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D43EB3">
        <w:trPr>
          <w:trHeight w:val="720"/>
        </w:trPr>
        <w:tc>
          <w:tcPr>
            <w:tcW w:w="5490" w:type="dxa"/>
            <w:gridSpan w:val="2"/>
            <w:tcBorders>
              <w:bottom w:val="single" w:sz="18" w:space="0" w:color="auto"/>
            </w:tcBorders>
          </w:tcPr>
          <w:p w:rsidR="00C15867" w:rsidRPr="0000434E" w:rsidRDefault="00C15867" w:rsidP="00D43E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D43EB3">
            <w:pPr>
              <w:jc w:val="right"/>
              <w:rPr>
                <w:sz w:val="52"/>
                <w:szCs w:val="52"/>
              </w:rPr>
            </w:pPr>
            <w:r>
              <w:rPr>
                <w:rFonts w:ascii="Univers Bold" w:hAnsi="Univers Bold"/>
                <w:b/>
                <w:sz w:val="72"/>
              </w:rPr>
              <w:t>EP</w:t>
            </w:r>
          </w:p>
        </w:tc>
      </w:tr>
      <w:tr w:rsidR="00C15867" w:rsidTr="00D43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D43EB3">
            <w:pPr>
              <w:spacing w:before="120"/>
            </w:pPr>
            <w:r>
              <w:rPr>
                <w:noProof/>
                <w:lang w:val="en-US"/>
              </w:rPr>
              <w:drawing>
                <wp:anchor distT="0" distB="0" distL="114300" distR="114300" simplePos="0" relativeHeight="251660288" behindDoc="0" locked="0" layoutInCell="1" allowOverlap="1" wp14:anchorId="14A3195D" wp14:editId="5010CE5E">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2FC9C4DD" wp14:editId="6A922E85">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8E2D04" w:rsidRDefault="008E2D04" w:rsidP="00D43E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p>
          <w:p w:rsidR="00C15867" w:rsidRDefault="00C15867" w:rsidP="00D43E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D43E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D43E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D43EB3">
            <w:pPr>
              <w:spacing w:before="720"/>
              <w:ind w:left="158"/>
            </w:pPr>
          </w:p>
        </w:tc>
        <w:tc>
          <w:tcPr>
            <w:tcW w:w="4590" w:type="dxa"/>
            <w:tcBorders>
              <w:top w:val="nil"/>
              <w:left w:val="nil"/>
              <w:bottom w:val="single" w:sz="36" w:space="0" w:color="auto"/>
              <w:right w:val="nil"/>
            </w:tcBorders>
          </w:tcPr>
          <w:p w:rsidR="008E2D04" w:rsidRDefault="008E2D04" w:rsidP="00D43EB3"/>
          <w:p w:rsidR="00C15867" w:rsidRPr="0033525D" w:rsidRDefault="00C15867" w:rsidP="00D43EB3">
            <w:r w:rsidRPr="0033525D">
              <w:t>Distr.</w:t>
            </w:r>
          </w:p>
          <w:p w:rsidR="00923540" w:rsidRPr="0033525D" w:rsidRDefault="00923540" w:rsidP="00923540">
            <w:r w:rsidRPr="0033525D">
              <w:t>GENERAL</w:t>
            </w:r>
          </w:p>
          <w:p w:rsidR="00C15867" w:rsidRPr="0033525D" w:rsidRDefault="00C15867" w:rsidP="00D43EB3"/>
          <w:p w:rsidR="00C15867" w:rsidRPr="003F73BA" w:rsidRDefault="00C15867" w:rsidP="00D43EB3"/>
          <w:p w:rsidR="00C15867" w:rsidRPr="003F73BA" w:rsidRDefault="00BA70B5" w:rsidP="00D43EB3">
            <w:r>
              <w:fldChar w:fldCharType="begin"/>
            </w:r>
            <w:r>
              <w:instrText xml:space="preserve"> DOCPROPERTY "Document number"  \* MERGEFORMAT </w:instrText>
            </w:r>
            <w:r>
              <w:fldChar w:fldCharType="separate"/>
            </w:r>
            <w:r w:rsidR="00722207">
              <w:t>UNEP/OzL.Pro/ExCom/77/10/Rev.1</w:t>
            </w:r>
            <w:r>
              <w:fldChar w:fldCharType="end"/>
            </w:r>
          </w:p>
          <w:p w:rsidR="00C15867" w:rsidRPr="003F73BA" w:rsidRDefault="00BC2495" w:rsidP="00D43EB3">
            <w:r>
              <w:fldChar w:fldCharType="begin"/>
            </w:r>
            <w:r w:rsidR="00851352">
              <w:instrText xml:space="preserve"> DOCPROPERTY "Revision date" \@ "d MMMM YYYY"  \* MERGEFORMAT </w:instrText>
            </w:r>
            <w:r>
              <w:fldChar w:fldCharType="separate"/>
            </w:r>
            <w:r w:rsidR="002932F4">
              <w:t>1 December 2016</w:t>
            </w:r>
            <w:r>
              <w:fldChar w:fldCharType="end"/>
            </w:r>
          </w:p>
          <w:p w:rsidR="00C15867" w:rsidRPr="00000FED" w:rsidRDefault="00C15867" w:rsidP="00D43EB3">
            <w:pPr>
              <w:rPr>
                <w:caps/>
              </w:rPr>
            </w:pPr>
          </w:p>
          <w:p w:rsidR="00C15867" w:rsidRDefault="00C15867" w:rsidP="00D43EB3">
            <w:r w:rsidRPr="0033525D">
              <w:t>ORIGINAL: ENGLISH</w:t>
            </w:r>
          </w:p>
        </w:tc>
      </w:tr>
    </w:tbl>
    <w:p w:rsidR="00EC13DF" w:rsidRPr="00612F2F" w:rsidRDefault="00C15867" w:rsidP="00EC13DF">
      <w:pPr>
        <w:jc w:val="left"/>
      </w:pPr>
      <w:r w:rsidRPr="0033525D">
        <w:t>EXECUTIVE COMMITTEE OF</w:t>
      </w:r>
      <w:r w:rsidRPr="0033525D">
        <w:br/>
      </w:r>
      <w:r w:rsidR="00380B8D">
        <w:t xml:space="preserve"> </w:t>
      </w:r>
      <w:r w:rsidR="008E2D04">
        <w:t xml:space="preserve"> </w:t>
      </w:r>
      <w:r w:rsidRPr="0033525D">
        <w:t>THE MULTILATERAL FUND FOR THE</w:t>
      </w:r>
      <w:r w:rsidRPr="0033525D">
        <w:br/>
      </w:r>
      <w:r w:rsidR="008E2D04">
        <w:t xml:space="preserve"> </w:t>
      </w:r>
      <w:r w:rsidR="00380B8D">
        <w:t xml:space="preserve"> </w:t>
      </w:r>
      <w:r w:rsidRPr="0033525D">
        <w:t>IMPLEMENTATION OF THE MONTREAL PROTOCOL</w:t>
      </w:r>
      <w:r w:rsidRPr="0033525D">
        <w:br/>
      </w:r>
      <w:r w:rsidR="00EC13DF">
        <w:rPr>
          <w:lang w:val="en-CA"/>
        </w:rPr>
        <w:t>Seventy-seventh</w:t>
      </w:r>
      <w:r w:rsidR="00EC13DF">
        <w:t xml:space="preserve"> Meeting</w:t>
      </w:r>
    </w:p>
    <w:p w:rsidR="00EC13DF" w:rsidRPr="006C39CE" w:rsidRDefault="00EC13DF" w:rsidP="00EC13DF">
      <w:pPr>
        <w:jc w:val="left"/>
        <w:rPr>
          <w:lang w:val="en-CA"/>
        </w:rPr>
      </w:pPr>
      <w:r>
        <w:t>Montreal</w:t>
      </w:r>
      <w:r w:rsidRPr="006C39CE">
        <w:rPr>
          <w:lang w:val="en-CA"/>
        </w:rPr>
        <w:t xml:space="preserve">, </w:t>
      </w:r>
      <w:r w:rsidR="00971045">
        <w:t>28 November - 2</w:t>
      </w:r>
      <w:r>
        <w:t xml:space="preserve"> December 2016</w:t>
      </w:r>
    </w:p>
    <w:p w:rsidR="00C15867" w:rsidRPr="00765DE4" w:rsidRDefault="00C15867" w:rsidP="00EC13DF">
      <w:pPr>
        <w:jc w:val="left"/>
        <w:rPr>
          <w:lang w:val="en-US"/>
        </w:rPr>
      </w:pPr>
    </w:p>
    <w:p w:rsidR="00C15867" w:rsidRPr="00765DE4" w:rsidRDefault="00C15867" w:rsidP="00C15867">
      <w:pPr>
        <w:pStyle w:val="Heading3"/>
        <w:numPr>
          <w:ilvl w:val="0"/>
          <w:numId w:val="0"/>
        </w:numPr>
        <w:spacing w:after="0"/>
        <w:rPr>
          <w:lang w:val="en-US"/>
        </w:rPr>
      </w:pPr>
    </w:p>
    <w:p w:rsidR="004E7F9C" w:rsidRDefault="004E7F9C" w:rsidP="004E7F9C">
      <w:pPr>
        <w:pStyle w:val="Title1"/>
      </w:pPr>
    </w:p>
    <w:p w:rsidR="000A7441" w:rsidRDefault="000A7441" w:rsidP="00BE1792">
      <w:pPr>
        <w:spacing w:after="240"/>
        <w:jc w:val="center"/>
        <w:rPr>
          <w:b/>
        </w:rPr>
      </w:pPr>
    </w:p>
    <w:p w:rsidR="005B2FD2" w:rsidRPr="00955FE0" w:rsidRDefault="005B2FD2" w:rsidP="00BE1792">
      <w:pPr>
        <w:spacing w:after="240"/>
        <w:jc w:val="center"/>
        <w:rPr>
          <w:b/>
        </w:rPr>
      </w:pPr>
      <w:r w:rsidRPr="00955FE0">
        <w:rPr>
          <w:b/>
        </w:rPr>
        <w:t>DRAFT MONITORING AND EV</w:t>
      </w:r>
      <w:r w:rsidR="00EC13DF">
        <w:rPr>
          <w:b/>
        </w:rPr>
        <w:t>ALUATION WORK PROGRAMME FOR 2017</w:t>
      </w:r>
    </w:p>
    <w:p w:rsidR="008E2D04" w:rsidRDefault="008E2D04" w:rsidP="00BE1792">
      <w:pPr>
        <w:spacing w:after="240"/>
        <w:rPr>
          <w:b/>
        </w:rPr>
      </w:pPr>
    </w:p>
    <w:p w:rsidR="003C0C08" w:rsidRPr="003C0C08" w:rsidRDefault="003C0C08" w:rsidP="00BE1792">
      <w:pPr>
        <w:spacing w:after="240"/>
        <w:rPr>
          <w:b/>
        </w:rPr>
      </w:pPr>
      <w:r w:rsidRPr="00B66080">
        <w:rPr>
          <w:b/>
        </w:rPr>
        <w:t>Introduction</w:t>
      </w:r>
    </w:p>
    <w:p w:rsidR="003C0C08" w:rsidRPr="00B66080" w:rsidRDefault="003C0C08" w:rsidP="00BE1792">
      <w:pPr>
        <w:pStyle w:val="Heading1"/>
      </w:pPr>
      <w:r w:rsidRPr="00B66080">
        <w:t>This document presents the draft Monitoring and Ev</w:t>
      </w:r>
      <w:r w:rsidR="002818D4">
        <w:t>aluation work programme for 2017</w:t>
      </w:r>
      <w:r w:rsidRPr="00B66080">
        <w:t xml:space="preserve"> for consideration by the Executive Committee. The monitoring and evaluation activities in the work programme have</w:t>
      </w:r>
      <w:r w:rsidR="00890EB7">
        <w:t xml:space="preserve"> </w:t>
      </w:r>
      <w:r w:rsidRPr="00B66080">
        <w:t>been proposed based on discussions by the Executive Committee on issues pertaining to monitoring and evaluation on previous meetings; the review of progress reports of on-going projects and project completion reports; and on discussions w</w:t>
      </w:r>
      <w:r>
        <w:t xml:space="preserve">ith implementing agencies </w:t>
      </w:r>
      <w:r w:rsidRPr="00B66080">
        <w:t>and the Secretariat.</w:t>
      </w:r>
    </w:p>
    <w:p w:rsidR="003C0C08" w:rsidRPr="00B66080" w:rsidRDefault="003C0C08" w:rsidP="00BE1792">
      <w:pPr>
        <w:pStyle w:val="Heading1"/>
      </w:pPr>
      <w:r w:rsidRPr="00B66080">
        <w:t>Accordingly, the draft Monitoring and Evaluation work programme consists of the following:</w:t>
      </w:r>
    </w:p>
    <w:p w:rsidR="003C0C08" w:rsidRPr="003C0C08" w:rsidRDefault="00F54530" w:rsidP="00BE1792">
      <w:pPr>
        <w:spacing w:after="240"/>
        <w:rPr>
          <w:u w:val="single"/>
        </w:rPr>
      </w:pPr>
      <w:r>
        <w:rPr>
          <w:u w:val="single"/>
        </w:rPr>
        <w:t>Evaluation activities</w:t>
      </w:r>
    </w:p>
    <w:p w:rsidR="00CA4BC8" w:rsidRDefault="00E63BC5" w:rsidP="00BE1792">
      <w:pPr>
        <w:pStyle w:val="Heading4"/>
        <w:numPr>
          <w:ilvl w:val="0"/>
          <w:numId w:val="7"/>
        </w:numPr>
        <w:spacing w:before="0" w:after="240"/>
        <w:rPr>
          <w:lang w:val="en-US"/>
        </w:rPr>
      </w:pPr>
      <w:r>
        <w:t>Second phase of the</w:t>
      </w:r>
      <w:r w:rsidR="00CA4BC8" w:rsidRPr="00B66080">
        <w:t xml:space="preserve"> evaluation of </w:t>
      </w:r>
      <w:r w:rsidR="00CA4BC8">
        <w:rPr>
          <w:lang w:val="en-US"/>
        </w:rPr>
        <w:t>chiller projects</w:t>
      </w:r>
    </w:p>
    <w:p w:rsidR="00F3190E" w:rsidRPr="000B6438" w:rsidRDefault="00F3190E" w:rsidP="000B6438">
      <w:pPr>
        <w:pStyle w:val="Heading4"/>
        <w:numPr>
          <w:ilvl w:val="0"/>
          <w:numId w:val="7"/>
        </w:numPr>
        <w:spacing w:before="0" w:after="240"/>
      </w:pPr>
      <w:r w:rsidRPr="000B6438">
        <w:t xml:space="preserve">Desk study for the evaluation of </w:t>
      </w:r>
      <w:r w:rsidR="000B6438">
        <w:t xml:space="preserve">the </w:t>
      </w:r>
      <w:r w:rsidRPr="000B6438">
        <w:t xml:space="preserve">refrigeration servicing </w:t>
      </w:r>
      <w:r w:rsidR="000B6438">
        <w:t>sector</w:t>
      </w:r>
      <w:r w:rsidRPr="000B6438">
        <w:t xml:space="preserve"> (pe</w:t>
      </w:r>
      <w:r w:rsidR="000B6438">
        <w:t>nding approval of the terms of r</w:t>
      </w:r>
      <w:r w:rsidRPr="000B6438">
        <w:t>eference)</w:t>
      </w:r>
    </w:p>
    <w:p w:rsidR="003C0C08" w:rsidRPr="003C0C08" w:rsidRDefault="003C0C08" w:rsidP="00BE1792">
      <w:pPr>
        <w:spacing w:after="240"/>
        <w:rPr>
          <w:u w:val="single"/>
        </w:rPr>
      </w:pPr>
      <w:r w:rsidRPr="00B66080">
        <w:rPr>
          <w:u w:val="single"/>
        </w:rPr>
        <w:t>Monitoring activities</w:t>
      </w:r>
    </w:p>
    <w:p w:rsidR="003C0C08" w:rsidRPr="00B66080" w:rsidRDefault="003C0C08" w:rsidP="00BE1792">
      <w:pPr>
        <w:pStyle w:val="Heading4"/>
        <w:keepNext w:val="0"/>
        <w:numPr>
          <w:ilvl w:val="0"/>
          <w:numId w:val="8"/>
        </w:numPr>
        <w:spacing w:before="0" w:after="240"/>
      </w:pPr>
      <w:r w:rsidRPr="00B66080">
        <w:t>Consolidated project completion report (PCR)</w:t>
      </w:r>
      <w:r>
        <w:t xml:space="preserve"> for </w:t>
      </w:r>
      <w:r w:rsidRPr="00B66080">
        <w:t>multi-year agreement (MYA)</w:t>
      </w:r>
      <w:r>
        <w:t xml:space="preserve"> projects</w:t>
      </w:r>
    </w:p>
    <w:p w:rsidR="00EE7F61" w:rsidRDefault="003C0C08" w:rsidP="00BE1792">
      <w:pPr>
        <w:pStyle w:val="Heading4"/>
        <w:keepNext w:val="0"/>
        <w:numPr>
          <w:ilvl w:val="0"/>
          <w:numId w:val="8"/>
        </w:numPr>
        <w:spacing w:before="0" w:after="240"/>
      </w:pPr>
      <w:r w:rsidRPr="00B66080">
        <w:t>Consolidated PCR</w:t>
      </w:r>
      <w:r>
        <w:t xml:space="preserve"> for individual projects</w:t>
      </w:r>
    </w:p>
    <w:p w:rsidR="003C0C08" w:rsidRPr="00EE7F61" w:rsidRDefault="00EE7F61" w:rsidP="00EE7F61">
      <w:pPr>
        <w:pStyle w:val="ListParagraph"/>
        <w:numPr>
          <w:ilvl w:val="0"/>
          <w:numId w:val="8"/>
        </w:numPr>
        <w:spacing w:before="120" w:after="240"/>
      </w:pPr>
      <w:r w:rsidRPr="00EE7F61">
        <w:t>Inventory of enterprises database report</w:t>
      </w:r>
      <w:r w:rsidR="003C0C08" w:rsidRPr="00EE7F61">
        <w:t xml:space="preserve"> </w:t>
      </w:r>
    </w:p>
    <w:p w:rsidR="003C0C08" w:rsidRPr="00B66080" w:rsidRDefault="003C0C08" w:rsidP="00BE1792">
      <w:pPr>
        <w:pStyle w:val="Heading1"/>
      </w:pPr>
      <w:r w:rsidRPr="00B66080">
        <w:t>Additional issues of interest may arise during the implementation of the 201</w:t>
      </w:r>
      <w:r w:rsidR="002818D4">
        <w:t>7</w:t>
      </w:r>
      <w:r w:rsidRPr="00B66080">
        <w:t xml:space="preserve"> work programme that may need to be addressed by the Executive Committee. A certain degree of flexibility therefore might </w:t>
      </w:r>
      <w:r w:rsidRPr="00B66080">
        <w:lastRenderedPageBreak/>
        <w:t xml:space="preserve">be allowed in its implementation as well as in the allocation of its budget in order to accommodate any such issues. </w:t>
      </w:r>
    </w:p>
    <w:p w:rsidR="005B2FD2" w:rsidRPr="00C32EFE" w:rsidRDefault="005B2FD2" w:rsidP="00BE1792">
      <w:pPr>
        <w:pStyle w:val="Heading1"/>
        <w:keepNext/>
        <w:keepLines/>
        <w:numPr>
          <w:ilvl w:val="0"/>
          <w:numId w:val="0"/>
        </w:numPr>
        <w:rPr>
          <w:b/>
        </w:rPr>
      </w:pPr>
      <w:r w:rsidRPr="00C32EFE">
        <w:rPr>
          <w:b/>
        </w:rPr>
        <w:t>Evaluation acti</w:t>
      </w:r>
      <w:r w:rsidR="00722207">
        <w:rPr>
          <w:b/>
        </w:rPr>
        <w:t>vity</w:t>
      </w:r>
      <w:r w:rsidR="002818D4">
        <w:rPr>
          <w:b/>
        </w:rPr>
        <w:t xml:space="preserve"> for 2017</w:t>
      </w:r>
    </w:p>
    <w:p w:rsidR="00CA4BC8" w:rsidRDefault="00E63BC5" w:rsidP="00BE1792">
      <w:pPr>
        <w:pStyle w:val="Heading4"/>
        <w:numPr>
          <w:ilvl w:val="0"/>
          <w:numId w:val="0"/>
        </w:numPr>
        <w:spacing w:before="0" w:after="240"/>
        <w:rPr>
          <w:u w:val="single"/>
        </w:rPr>
      </w:pPr>
      <w:r>
        <w:rPr>
          <w:u w:val="single"/>
        </w:rPr>
        <w:t xml:space="preserve">Second phase of the </w:t>
      </w:r>
      <w:r w:rsidR="00346861">
        <w:rPr>
          <w:u w:val="single"/>
        </w:rPr>
        <w:t>e</w:t>
      </w:r>
      <w:r>
        <w:rPr>
          <w:u w:val="single"/>
        </w:rPr>
        <w:t>valuation of</w:t>
      </w:r>
      <w:r w:rsidR="00CA4BC8" w:rsidRPr="002818D4">
        <w:rPr>
          <w:u w:val="single"/>
        </w:rPr>
        <w:t xml:space="preserve"> </w:t>
      </w:r>
      <w:r w:rsidR="009E33E4">
        <w:rPr>
          <w:u w:val="single"/>
          <w:lang w:val="en-US"/>
        </w:rPr>
        <w:t>chiller projects</w:t>
      </w:r>
      <w:r>
        <w:rPr>
          <w:u w:val="single"/>
          <w:lang w:val="en-US"/>
        </w:rPr>
        <w:t>: Field missions</w:t>
      </w:r>
      <w:r w:rsidR="00CA4BC8" w:rsidRPr="002818D4">
        <w:rPr>
          <w:u w:val="single"/>
        </w:rPr>
        <w:t xml:space="preserve"> </w:t>
      </w:r>
    </w:p>
    <w:p w:rsidR="006C710E" w:rsidRDefault="00CA4BC8" w:rsidP="00BE1792">
      <w:pPr>
        <w:pStyle w:val="Heading1"/>
        <w:rPr>
          <w:lang w:val="en-US"/>
        </w:rPr>
      </w:pPr>
      <w:r w:rsidRPr="00955FE0">
        <w:t>This activity</w:t>
      </w:r>
      <w:r>
        <w:t xml:space="preserve"> is </w:t>
      </w:r>
      <w:r w:rsidRPr="00955FE0">
        <w:t>to finalize the evaluation of</w:t>
      </w:r>
      <w:r>
        <w:t xml:space="preserve"> chiller projects that was </w:t>
      </w:r>
      <w:r w:rsidR="00E63BC5">
        <w:t>initiated</w:t>
      </w:r>
      <w:r w:rsidR="008848D6">
        <w:t xml:space="preserve"> with the desk study presented to the 58</w:t>
      </w:r>
      <w:r w:rsidR="008848D6" w:rsidRPr="008848D6">
        <w:rPr>
          <w:vertAlign w:val="superscript"/>
        </w:rPr>
        <w:t>th</w:t>
      </w:r>
      <w:r w:rsidR="008848D6">
        <w:t xml:space="preserve"> meeting (decision 56/8)</w:t>
      </w:r>
      <w:r w:rsidR="00B4239E">
        <w:t>,</w:t>
      </w:r>
      <w:r w:rsidR="008848D6">
        <w:t xml:space="preserve"> and a subsequent </w:t>
      </w:r>
      <w:r>
        <w:rPr>
          <w:lang w:val="en-US"/>
        </w:rPr>
        <w:t>desk study presented to the 68</w:t>
      </w:r>
      <w:r w:rsidRPr="00E03001">
        <w:rPr>
          <w:vertAlign w:val="superscript"/>
          <w:lang w:val="en-US"/>
        </w:rPr>
        <w:t>th</w:t>
      </w:r>
      <w:r>
        <w:rPr>
          <w:lang w:val="en-US"/>
        </w:rPr>
        <w:t> meeting. The</w:t>
      </w:r>
      <w:r w:rsidR="008848D6">
        <w:rPr>
          <w:lang w:val="en-US"/>
        </w:rPr>
        <w:t xml:space="preserve"> findings from these two studies conc</w:t>
      </w:r>
      <w:r w:rsidR="00282BCC">
        <w:rPr>
          <w:lang w:val="en-US"/>
        </w:rPr>
        <w:t>l</w:t>
      </w:r>
      <w:r w:rsidR="008848D6">
        <w:rPr>
          <w:lang w:val="en-US"/>
        </w:rPr>
        <w:t>uded that it was better to</w:t>
      </w:r>
      <w:r w:rsidR="008848D6" w:rsidRPr="008848D6">
        <w:rPr>
          <w:lang w:val="en-US"/>
        </w:rPr>
        <w:t xml:space="preserve"> </w:t>
      </w:r>
      <w:r w:rsidR="00282BCC">
        <w:rPr>
          <w:lang w:val="en-US"/>
        </w:rPr>
        <w:t>postpone the</w:t>
      </w:r>
      <w:r>
        <w:rPr>
          <w:lang w:val="en-US"/>
        </w:rPr>
        <w:t xml:space="preserve"> field </w:t>
      </w:r>
      <w:r w:rsidR="006C710E">
        <w:rPr>
          <w:lang w:val="en-US"/>
        </w:rPr>
        <w:t>visits until the projects reached a more mature stage of implementation.</w:t>
      </w:r>
      <w:r>
        <w:rPr>
          <w:lang w:val="en-US"/>
        </w:rPr>
        <w:t xml:space="preserve"> </w:t>
      </w:r>
    </w:p>
    <w:p w:rsidR="00CA4BC8" w:rsidRDefault="006C710E" w:rsidP="00BE1792">
      <w:pPr>
        <w:pStyle w:val="Heading1"/>
        <w:rPr>
          <w:lang w:val="en-US"/>
        </w:rPr>
      </w:pPr>
      <w:r>
        <w:rPr>
          <w:color w:val="000000"/>
          <w:lang w:val="en-US"/>
        </w:rPr>
        <w:t xml:space="preserve">The objective of the evaluation is to collect and analyze information </w:t>
      </w:r>
      <w:r w:rsidRPr="00BA31CC">
        <w:rPr>
          <w:rFonts w:eastAsia="Calibri"/>
        </w:rPr>
        <w:t>to</w:t>
      </w:r>
      <w:r w:rsidR="00B4239E">
        <w:rPr>
          <w:rFonts w:eastAsia="Calibri"/>
        </w:rPr>
        <w:t xml:space="preserve"> address</w:t>
      </w:r>
      <w:r w:rsidRPr="00BA31CC">
        <w:rPr>
          <w:rFonts w:eastAsia="Calibri"/>
        </w:rPr>
        <w:t xml:space="preserve"> the questions and issues </w:t>
      </w:r>
      <w:r>
        <w:rPr>
          <w:rFonts w:eastAsia="Calibri"/>
        </w:rPr>
        <w:t xml:space="preserve">stressed in the desk study, especially those related to the functioning of various financial mechanisms. The evaluation will examine whether with </w:t>
      </w:r>
      <w:r w:rsidRPr="00BA31CC">
        <w:t>the current demonstration projects</w:t>
      </w:r>
      <w:r>
        <w:t>,</w:t>
      </w:r>
      <w:r w:rsidRPr="00BA31CC">
        <w:t xml:space="preserve"> sufficient incentives </w:t>
      </w:r>
      <w:r w:rsidR="00292767">
        <w:t>are, or will be,</w:t>
      </w:r>
      <w:r w:rsidRPr="00BA31CC">
        <w:t xml:space="preserve"> in place </w:t>
      </w:r>
      <w:r>
        <w:t xml:space="preserve">to catalyse </w:t>
      </w:r>
      <w:r w:rsidR="007A7848">
        <w:t xml:space="preserve">chiller </w:t>
      </w:r>
      <w:r w:rsidRPr="003B1D00">
        <w:t>replacements</w:t>
      </w:r>
      <w:r>
        <w:t xml:space="preserve"> </w:t>
      </w:r>
      <w:r w:rsidRPr="00BA31CC">
        <w:t xml:space="preserve">without </w:t>
      </w:r>
      <w:r>
        <w:t>Multilateral</w:t>
      </w:r>
      <w:r w:rsidRPr="00BA31CC">
        <w:t xml:space="preserve"> </w:t>
      </w:r>
      <w:r w:rsidR="001E2883">
        <w:t>Fund</w:t>
      </w:r>
      <w:r w:rsidR="00903936">
        <w:t>’s</w:t>
      </w:r>
      <w:r w:rsidR="001E2883">
        <w:t xml:space="preserve"> contribution</w:t>
      </w:r>
      <w:r w:rsidR="00903936">
        <w:t>, and</w:t>
      </w:r>
      <w:r>
        <w:t xml:space="preserve"> the problems to be expected in the c</w:t>
      </w:r>
      <w:r w:rsidRPr="00BA31CC">
        <w:t>hillers</w:t>
      </w:r>
      <w:r w:rsidR="00292767">
        <w:t xml:space="preserve"> replacement </w:t>
      </w:r>
      <w:r w:rsidRPr="00BA31CC">
        <w:t xml:space="preserve">in countries where </w:t>
      </w:r>
      <w:r>
        <w:t xml:space="preserve">funds for chiller replacements </w:t>
      </w:r>
      <w:r w:rsidRPr="00BA31CC">
        <w:t xml:space="preserve">are </w:t>
      </w:r>
      <w:r>
        <w:t>scarce</w:t>
      </w:r>
      <w:r w:rsidR="00903936">
        <w:t>.</w:t>
      </w:r>
      <w:r>
        <w:t xml:space="preserve"> Based on </w:t>
      </w:r>
      <w:r w:rsidR="00903936">
        <w:t xml:space="preserve">the findings, </w:t>
      </w:r>
      <w:r w:rsidR="00903936" w:rsidRPr="00552E8B">
        <w:rPr>
          <w:lang w:val="en-US"/>
        </w:rPr>
        <w:t>lessons learned</w:t>
      </w:r>
      <w:r>
        <w:rPr>
          <w:rFonts w:eastAsia="Calibri"/>
        </w:rPr>
        <w:t xml:space="preserve"> will</w:t>
      </w:r>
      <w:r w:rsidR="00903936">
        <w:rPr>
          <w:rFonts w:eastAsia="Calibri"/>
        </w:rPr>
        <w:t xml:space="preserve"> be</w:t>
      </w:r>
      <w:r>
        <w:rPr>
          <w:rFonts w:eastAsia="Calibri"/>
        </w:rPr>
        <w:t xml:space="preserve"> formulate</w:t>
      </w:r>
      <w:r w:rsidR="00903936">
        <w:rPr>
          <w:rFonts w:eastAsia="Calibri"/>
        </w:rPr>
        <w:t>d</w:t>
      </w:r>
      <w:r>
        <w:rPr>
          <w:rFonts w:eastAsia="Calibri"/>
        </w:rPr>
        <w:t xml:space="preserve"> </w:t>
      </w:r>
      <w:r w:rsidR="00903936">
        <w:rPr>
          <w:lang w:val="en-US"/>
        </w:rPr>
        <w:t>and</w:t>
      </w:r>
      <w:r w:rsidRPr="00552E8B">
        <w:rPr>
          <w:lang w:val="en-US"/>
        </w:rPr>
        <w:t xml:space="preserve"> will</w:t>
      </w:r>
      <w:r>
        <w:rPr>
          <w:lang w:val="en-US"/>
        </w:rPr>
        <w:t xml:space="preserve"> </w:t>
      </w:r>
      <w:r w:rsidRPr="00552E8B">
        <w:rPr>
          <w:lang w:val="en-US"/>
        </w:rPr>
        <w:t>contribute to future policy development</w:t>
      </w:r>
      <w:r>
        <w:rPr>
          <w:lang w:val="en-US"/>
        </w:rPr>
        <w:t xml:space="preserve"> concerning resource mobilization</w:t>
      </w:r>
      <w:r w:rsidR="002A7E1B">
        <w:rPr>
          <w:lang w:val="en-US"/>
        </w:rPr>
        <w:t>.</w:t>
      </w:r>
    </w:p>
    <w:p w:rsidR="00CA4BC8" w:rsidRDefault="006C710E" w:rsidP="00BE1792">
      <w:pPr>
        <w:pStyle w:val="Heading1"/>
      </w:pPr>
      <w:r>
        <w:t>The</w:t>
      </w:r>
      <w:r w:rsidR="002A7E1B">
        <w:t xml:space="preserve"> evaluation</w:t>
      </w:r>
      <w:r w:rsidR="00CA4BC8">
        <w:t xml:space="preserve"> includes field work in several countries. </w:t>
      </w:r>
      <w:r>
        <w:t>A country report will be prepared for each country and a synthesis report will summarize the findings and draw conclusion</w:t>
      </w:r>
      <w:r w:rsidR="002A7E1B">
        <w:t>s</w:t>
      </w:r>
      <w:r>
        <w:t xml:space="preserve"> and recommendation</w:t>
      </w:r>
      <w:r w:rsidR="002A7E1B">
        <w:t>s</w:t>
      </w:r>
      <w:r>
        <w:t xml:space="preserve">. The terms of reference are </w:t>
      </w:r>
      <w:r w:rsidR="002A7E1B">
        <w:t xml:space="preserve">contained </w:t>
      </w:r>
      <w:r>
        <w:t>in Annex</w:t>
      </w:r>
      <w:r w:rsidR="008E2D04">
        <w:t xml:space="preserve"> </w:t>
      </w:r>
      <w:r w:rsidR="00EE54D2">
        <w:t>I</w:t>
      </w:r>
      <w:r>
        <w:t>.</w:t>
      </w:r>
    </w:p>
    <w:p w:rsidR="00F3190E" w:rsidRPr="00563AE1" w:rsidRDefault="000B6438" w:rsidP="00563AE1">
      <w:pPr>
        <w:spacing w:after="240"/>
        <w:rPr>
          <w:u w:val="single"/>
        </w:rPr>
      </w:pPr>
      <w:r>
        <w:rPr>
          <w:u w:val="single"/>
        </w:rPr>
        <w:t>Desk study for the evaluation of refrigeration servicing s</w:t>
      </w:r>
      <w:r w:rsidR="00F3190E" w:rsidRPr="000B6438">
        <w:rPr>
          <w:u w:val="single"/>
        </w:rPr>
        <w:t>ector</w:t>
      </w:r>
    </w:p>
    <w:p w:rsidR="00F3190E" w:rsidRPr="000B6438" w:rsidRDefault="000B6438" w:rsidP="000B6438">
      <w:pPr>
        <w:pStyle w:val="Heading1"/>
      </w:pPr>
      <w:r>
        <w:t>Following a request by</w:t>
      </w:r>
      <w:r w:rsidR="00F3190E" w:rsidRPr="000B6438">
        <w:t xml:space="preserve"> the Executive Committee</w:t>
      </w:r>
      <w:r>
        <w:t>,</w:t>
      </w:r>
      <w:r w:rsidR="00F3190E" w:rsidRPr="000B6438">
        <w:t xml:space="preserve"> the SMEO will p</w:t>
      </w:r>
      <w:r>
        <w:t>resent the terms of reference for</w:t>
      </w:r>
      <w:r w:rsidR="00F3190E" w:rsidRPr="000B6438">
        <w:t xml:space="preserve"> the </w:t>
      </w:r>
      <w:r w:rsidRPr="000B6438">
        <w:t xml:space="preserve">desk study </w:t>
      </w:r>
      <w:r>
        <w:t xml:space="preserve">for the </w:t>
      </w:r>
      <w:r w:rsidR="00F3190E" w:rsidRPr="000B6438">
        <w:t xml:space="preserve">evaluation of the </w:t>
      </w:r>
      <w:r>
        <w:t>refrigeration servicing s</w:t>
      </w:r>
      <w:r w:rsidR="00F3190E" w:rsidRPr="000B6438">
        <w:t xml:space="preserve">ector </w:t>
      </w:r>
      <w:r w:rsidRPr="000B6438">
        <w:t xml:space="preserve">with the related budget </w:t>
      </w:r>
      <w:r w:rsidR="00F3190E" w:rsidRPr="000B6438">
        <w:t>at the 79</w:t>
      </w:r>
      <w:r w:rsidR="00F3190E" w:rsidRPr="000B6438">
        <w:rPr>
          <w:vertAlign w:val="superscript"/>
        </w:rPr>
        <w:t>th</w:t>
      </w:r>
      <w:r w:rsidR="00BA70B5">
        <w:rPr>
          <w:vertAlign w:val="superscript"/>
        </w:rPr>
        <w:t> </w:t>
      </w:r>
      <w:r>
        <w:t>meeting</w:t>
      </w:r>
      <w:r w:rsidR="00F3190E" w:rsidRPr="000B6438">
        <w:t>. Upon approval, the desk study will be prepared and presented at the 80</w:t>
      </w:r>
      <w:r w:rsidR="00F3190E" w:rsidRPr="000B6438">
        <w:rPr>
          <w:vertAlign w:val="superscript"/>
        </w:rPr>
        <w:t>th</w:t>
      </w:r>
      <w:r w:rsidR="00F3190E" w:rsidRPr="000B6438">
        <w:t xml:space="preserve"> meeting of the Executive Committee.</w:t>
      </w:r>
    </w:p>
    <w:p w:rsidR="008A00F7" w:rsidRPr="00955FE0" w:rsidRDefault="00D477C0" w:rsidP="00BE1792">
      <w:pPr>
        <w:pStyle w:val="Heading1"/>
        <w:keepNext/>
        <w:keepLines/>
        <w:numPr>
          <w:ilvl w:val="0"/>
          <w:numId w:val="0"/>
        </w:numPr>
        <w:rPr>
          <w:b/>
          <w:strike/>
        </w:rPr>
      </w:pPr>
      <w:r w:rsidRPr="00955FE0">
        <w:rPr>
          <w:b/>
        </w:rPr>
        <w:t>Monitoring activities</w:t>
      </w:r>
      <w:r w:rsidR="00A52693">
        <w:rPr>
          <w:b/>
        </w:rPr>
        <w:t xml:space="preserve"> for 2017</w:t>
      </w:r>
      <w:r w:rsidRPr="00955FE0">
        <w:rPr>
          <w:b/>
        </w:rPr>
        <w:t xml:space="preserve"> </w:t>
      </w:r>
    </w:p>
    <w:p w:rsidR="005B2FD2" w:rsidRPr="0011746E" w:rsidRDefault="0011746E" w:rsidP="00BE1792">
      <w:pPr>
        <w:pStyle w:val="Heading1"/>
        <w:keepNext/>
        <w:keepLines/>
        <w:numPr>
          <w:ilvl w:val="0"/>
          <w:numId w:val="0"/>
        </w:numPr>
        <w:rPr>
          <w:strike/>
          <w:u w:val="single"/>
        </w:rPr>
      </w:pPr>
      <w:r w:rsidRPr="0011746E">
        <w:rPr>
          <w:u w:val="single"/>
        </w:rPr>
        <w:t>Consolidated PCRs for MYA</w:t>
      </w:r>
      <w:r w:rsidR="00D477C0" w:rsidRPr="0011746E">
        <w:rPr>
          <w:u w:val="single"/>
        </w:rPr>
        <w:t xml:space="preserve"> and </w:t>
      </w:r>
      <w:r w:rsidRPr="0011746E">
        <w:rPr>
          <w:u w:val="single"/>
        </w:rPr>
        <w:t>individual projects</w:t>
      </w:r>
      <w:r w:rsidR="00D477C0" w:rsidRPr="0011746E">
        <w:rPr>
          <w:u w:val="single"/>
        </w:rPr>
        <w:t xml:space="preserve"> </w:t>
      </w:r>
    </w:p>
    <w:p w:rsidR="005B2FD2" w:rsidRPr="00955FE0" w:rsidRDefault="004A3243" w:rsidP="00BE1792">
      <w:pPr>
        <w:pStyle w:val="Heading1"/>
        <w:keepNext/>
        <w:keepLines/>
      </w:pPr>
      <w:r>
        <w:t>T</w:t>
      </w:r>
      <w:r w:rsidR="005B2FD2" w:rsidRPr="00955FE0">
        <w:t xml:space="preserve">he Senior Monitoring and Evaluation Officer will work closely with relevant bilateral and </w:t>
      </w:r>
      <w:r w:rsidR="0011746E">
        <w:t>implementing agencies</w:t>
      </w:r>
      <w:r w:rsidR="005B2FD2" w:rsidRPr="00955FE0">
        <w:t xml:space="preserve"> to submit all outstanding PCRs related to MYA </w:t>
      </w:r>
      <w:r w:rsidR="0011746E">
        <w:t xml:space="preserve">and individual projects </w:t>
      </w:r>
      <w:r w:rsidR="005B2FD2" w:rsidRPr="00955FE0">
        <w:t xml:space="preserve">to the </w:t>
      </w:r>
      <w:r w:rsidR="00742679">
        <w:t>79</w:t>
      </w:r>
      <w:r w:rsidR="00D477C0" w:rsidRPr="00955FE0">
        <w:rPr>
          <w:vertAlign w:val="superscript"/>
        </w:rPr>
        <w:t>th</w:t>
      </w:r>
      <w:r w:rsidR="00D477C0" w:rsidRPr="00955FE0">
        <w:t> </w:t>
      </w:r>
      <w:r w:rsidR="005B2FD2" w:rsidRPr="00955FE0">
        <w:t xml:space="preserve">and </w:t>
      </w:r>
      <w:r w:rsidR="00742679">
        <w:t>80</w:t>
      </w:r>
      <w:r w:rsidR="00D477C0" w:rsidRPr="00955FE0">
        <w:rPr>
          <w:vertAlign w:val="superscript"/>
        </w:rPr>
        <w:t>th</w:t>
      </w:r>
      <w:r w:rsidR="00D477C0" w:rsidRPr="00955FE0">
        <w:t> </w:t>
      </w:r>
      <w:r w:rsidR="005B2FD2" w:rsidRPr="00955FE0">
        <w:t>meetings.</w:t>
      </w:r>
    </w:p>
    <w:p w:rsidR="004948DA" w:rsidRDefault="008A00F7" w:rsidP="00BE1792">
      <w:pPr>
        <w:pStyle w:val="Heading1"/>
      </w:pPr>
      <w:r w:rsidRPr="00955FE0">
        <w:t>The consolidated</w:t>
      </w:r>
      <w:r w:rsidR="005B2FD2" w:rsidRPr="00955FE0">
        <w:t xml:space="preserve"> PCR</w:t>
      </w:r>
      <w:r w:rsidR="0011746E">
        <w:t xml:space="preserve">s </w:t>
      </w:r>
      <w:r w:rsidR="005E34AA" w:rsidRPr="00955FE0">
        <w:t>will provide the Executive Committee with an overview of the results and lessons learned as reported on the completion reports.</w:t>
      </w:r>
      <w:r w:rsidR="005B2FD2" w:rsidRPr="00955FE0">
        <w:t xml:space="preserve"> </w:t>
      </w:r>
    </w:p>
    <w:p w:rsidR="00745878" w:rsidRDefault="00745878" w:rsidP="00745878">
      <w:pPr>
        <w:spacing w:before="120" w:after="240"/>
        <w:rPr>
          <w:u w:val="single"/>
        </w:rPr>
      </w:pPr>
      <w:r w:rsidRPr="00745878">
        <w:rPr>
          <w:u w:val="single"/>
        </w:rPr>
        <w:t>Inventory of enterprises database report</w:t>
      </w:r>
    </w:p>
    <w:p w:rsidR="00745878" w:rsidRPr="00745878" w:rsidRDefault="00745878" w:rsidP="00745878">
      <w:pPr>
        <w:pStyle w:val="Heading1"/>
      </w:pPr>
      <w:proofErr w:type="gramStart"/>
      <w:r w:rsidRPr="00745878">
        <w:t xml:space="preserve">Report </w:t>
      </w:r>
      <w:r w:rsidR="00825758">
        <w:t>to the 79</w:t>
      </w:r>
      <w:r w:rsidR="00825758" w:rsidRPr="00825758">
        <w:rPr>
          <w:vertAlign w:val="superscript"/>
        </w:rPr>
        <w:t>th</w:t>
      </w:r>
      <w:r w:rsidR="00825758">
        <w:t xml:space="preserve"> meeting of the Executive C</w:t>
      </w:r>
      <w:r w:rsidRPr="00745878">
        <w:t xml:space="preserve">ommittee </w:t>
      </w:r>
      <w:r w:rsidR="003D0694">
        <w:t xml:space="preserve">on </w:t>
      </w:r>
      <w:r w:rsidRPr="00745878">
        <w:t>the</w:t>
      </w:r>
      <w:r w:rsidR="003D0694">
        <w:t xml:space="preserve"> status of</w:t>
      </w:r>
      <w:r w:rsidRPr="00745878">
        <w:t xml:space="preserve"> </w:t>
      </w:r>
      <w:r w:rsidR="00756BBF">
        <w:t>updates for</w:t>
      </w:r>
      <w:r>
        <w:t xml:space="preserve"> the</w:t>
      </w:r>
      <w:r w:rsidRPr="00745878">
        <w:t xml:space="preserve"> </w:t>
      </w:r>
      <w:r>
        <w:t>Inventory of enterprises database.</w:t>
      </w:r>
      <w:proofErr w:type="gramEnd"/>
    </w:p>
    <w:p w:rsidR="005B2FD2" w:rsidRPr="005809E9" w:rsidRDefault="005B2FD2" w:rsidP="00BE1792">
      <w:pPr>
        <w:pStyle w:val="Heading1"/>
        <w:keepNext/>
        <w:numPr>
          <w:ilvl w:val="0"/>
          <w:numId w:val="0"/>
        </w:numPr>
        <w:rPr>
          <w:b/>
        </w:rPr>
      </w:pPr>
      <w:r w:rsidRPr="007F5B89">
        <w:rPr>
          <w:b/>
        </w:rPr>
        <w:t>Schedule for submission</w:t>
      </w:r>
    </w:p>
    <w:p w:rsidR="005B2FD2" w:rsidRPr="00955FE0" w:rsidRDefault="005B2FD2" w:rsidP="00BE1792">
      <w:pPr>
        <w:pStyle w:val="Heading1"/>
      </w:pPr>
      <w:r w:rsidRPr="00955FE0">
        <w:t>An overview of the activities contained in the proposed draft monitoring and ev</w:t>
      </w:r>
      <w:r w:rsidR="009E33E4">
        <w:t>aluation work programme for 2017</w:t>
      </w:r>
      <w:r w:rsidRPr="00955FE0">
        <w:t xml:space="preserve"> is presented in Table 1.</w:t>
      </w:r>
    </w:p>
    <w:p w:rsidR="005B2FD2" w:rsidRPr="00955FE0" w:rsidRDefault="005B2FD2" w:rsidP="00BE1792">
      <w:pPr>
        <w:keepNext/>
        <w:spacing w:after="240"/>
        <w:contextualSpacing/>
        <w:rPr>
          <w:b/>
        </w:rPr>
      </w:pPr>
      <w:proofErr w:type="gramStart"/>
      <w:r w:rsidRPr="00955FE0">
        <w:rPr>
          <w:b/>
        </w:rPr>
        <w:lastRenderedPageBreak/>
        <w:t>Table 1.</w:t>
      </w:r>
      <w:proofErr w:type="gramEnd"/>
      <w:r w:rsidRPr="00955FE0">
        <w:rPr>
          <w:b/>
        </w:rPr>
        <w:t xml:space="preserve"> Schedule for submission of activities in the monitoring and evaluation work programme</w:t>
      </w:r>
      <w:r w:rsidR="009E33E4">
        <w:rPr>
          <w:b/>
        </w:rPr>
        <w:t xml:space="preserve"> </w:t>
      </w:r>
      <w:r w:rsidR="00EE7F61">
        <w:rPr>
          <w:b/>
        </w:rPr>
        <w:t xml:space="preserve">for </w:t>
      </w:r>
      <w:r w:rsidR="009E33E4">
        <w:rPr>
          <w:b/>
        </w:rPr>
        <w:t>2017</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4640"/>
      </w:tblGrid>
      <w:tr w:rsidR="005B2FD2" w:rsidRPr="00955FE0" w:rsidTr="000A7441">
        <w:trPr>
          <w:jc w:val="center"/>
        </w:trPr>
        <w:tc>
          <w:tcPr>
            <w:tcW w:w="2548" w:type="pct"/>
          </w:tcPr>
          <w:p w:rsidR="005B2FD2" w:rsidRPr="00955FE0" w:rsidRDefault="000B6438" w:rsidP="000B6438">
            <w:pPr>
              <w:keepNext/>
              <w:widowControl w:val="0"/>
              <w:shd w:val="clear" w:color="auto" w:fill="FFFFFF"/>
              <w:spacing w:after="240"/>
              <w:ind w:left="72"/>
              <w:contextualSpacing/>
              <w:jc w:val="center"/>
              <w:rPr>
                <w:b/>
              </w:rPr>
            </w:pPr>
            <w:r w:rsidRPr="00955FE0">
              <w:rPr>
                <w:b/>
              </w:rPr>
              <w:t>7</w:t>
            </w:r>
            <w:r>
              <w:rPr>
                <w:b/>
              </w:rPr>
              <w:t>9</w:t>
            </w:r>
            <w:r w:rsidRPr="00955FE0">
              <w:rPr>
                <w:b/>
                <w:vertAlign w:val="superscript"/>
              </w:rPr>
              <w:t>th</w:t>
            </w:r>
            <w:r w:rsidR="00BA70B5">
              <w:rPr>
                <w:b/>
                <w:vertAlign w:val="superscript"/>
              </w:rPr>
              <w:t xml:space="preserve"> </w:t>
            </w:r>
            <w:bookmarkStart w:id="0" w:name="_GoBack"/>
            <w:bookmarkEnd w:id="0"/>
            <w:r w:rsidR="005B2FD2" w:rsidRPr="00955FE0">
              <w:rPr>
                <w:b/>
              </w:rPr>
              <w:t>meeting</w:t>
            </w:r>
          </w:p>
        </w:tc>
        <w:tc>
          <w:tcPr>
            <w:tcW w:w="2452" w:type="pct"/>
          </w:tcPr>
          <w:p w:rsidR="005B2FD2" w:rsidRPr="00955FE0" w:rsidRDefault="000B6438" w:rsidP="000B6438">
            <w:pPr>
              <w:keepNext/>
              <w:widowControl w:val="0"/>
              <w:shd w:val="clear" w:color="auto" w:fill="FFFFFF"/>
              <w:spacing w:after="240"/>
              <w:ind w:left="58"/>
              <w:contextualSpacing/>
              <w:jc w:val="center"/>
              <w:rPr>
                <w:b/>
              </w:rPr>
            </w:pPr>
            <w:r>
              <w:rPr>
                <w:b/>
              </w:rPr>
              <w:t>80</w:t>
            </w:r>
            <w:r w:rsidRPr="00955FE0">
              <w:rPr>
                <w:b/>
                <w:vertAlign w:val="superscript"/>
              </w:rPr>
              <w:t>th</w:t>
            </w:r>
            <w:r w:rsidRPr="00955FE0">
              <w:rPr>
                <w:b/>
              </w:rPr>
              <w:t xml:space="preserve"> </w:t>
            </w:r>
            <w:r w:rsidR="005B2FD2" w:rsidRPr="00955FE0">
              <w:rPr>
                <w:b/>
              </w:rPr>
              <w:t>meeting</w:t>
            </w:r>
            <w:r w:rsidR="003A34CF" w:rsidRPr="00955FE0">
              <w:rPr>
                <w:b/>
              </w:rPr>
              <w:t xml:space="preserve"> </w:t>
            </w:r>
          </w:p>
        </w:tc>
      </w:tr>
      <w:tr w:rsidR="005B2FD2" w:rsidRPr="00955FE0" w:rsidTr="001E4A21">
        <w:trPr>
          <w:trHeight w:val="602"/>
          <w:jc w:val="center"/>
        </w:trPr>
        <w:tc>
          <w:tcPr>
            <w:tcW w:w="2548" w:type="pct"/>
            <w:vAlign w:val="center"/>
          </w:tcPr>
          <w:p w:rsidR="005B2FD2" w:rsidRPr="00955FE0" w:rsidRDefault="005B2FD2" w:rsidP="001E4A21">
            <w:pPr>
              <w:spacing w:after="240"/>
              <w:jc w:val="left"/>
            </w:pPr>
            <w:r w:rsidRPr="00955FE0">
              <w:t>Consolidated MYA</w:t>
            </w:r>
            <w:r w:rsidR="00D477C0" w:rsidRPr="00955FE0">
              <w:t xml:space="preserve"> and individual</w:t>
            </w:r>
            <w:r w:rsidR="006573FA">
              <w:t xml:space="preserve"> </w:t>
            </w:r>
            <w:r w:rsidRPr="00955FE0">
              <w:t>project completion report</w:t>
            </w:r>
          </w:p>
        </w:tc>
        <w:tc>
          <w:tcPr>
            <w:tcW w:w="2452" w:type="pct"/>
            <w:shd w:val="clear" w:color="auto" w:fill="auto"/>
            <w:vAlign w:val="center"/>
          </w:tcPr>
          <w:p w:rsidR="005B2FD2" w:rsidRPr="009E33E4" w:rsidRDefault="00E63BC5" w:rsidP="001E4A21">
            <w:pPr>
              <w:pStyle w:val="Heading4"/>
              <w:numPr>
                <w:ilvl w:val="0"/>
                <w:numId w:val="0"/>
              </w:numPr>
              <w:spacing w:before="0" w:after="240"/>
              <w:jc w:val="left"/>
              <w:rPr>
                <w:u w:val="single"/>
              </w:rPr>
            </w:pPr>
            <w:r w:rsidRPr="00955FE0">
              <w:t>Consolidated MYA and individual</w:t>
            </w:r>
            <w:r>
              <w:t xml:space="preserve"> </w:t>
            </w:r>
            <w:r w:rsidRPr="00955FE0">
              <w:t>project completion report</w:t>
            </w:r>
          </w:p>
        </w:tc>
      </w:tr>
      <w:tr w:rsidR="005B2FD2" w:rsidRPr="00955FE0" w:rsidTr="001E4A21">
        <w:trPr>
          <w:jc w:val="center"/>
        </w:trPr>
        <w:tc>
          <w:tcPr>
            <w:tcW w:w="2548" w:type="pct"/>
            <w:vAlign w:val="center"/>
          </w:tcPr>
          <w:p w:rsidR="005B2FD2" w:rsidRPr="00955FE0" w:rsidRDefault="003B7516" w:rsidP="001E4A21">
            <w:pPr>
              <w:spacing w:after="240"/>
              <w:jc w:val="left"/>
            </w:pPr>
            <w:r>
              <w:t>Inventory of enterprises database report</w:t>
            </w:r>
          </w:p>
        </w:tc>
        <w:tc>
          <w:tcPr>
            <w:tcW w:w="2452" w:type="pct"/>
            <w:vAlign w:val="center"/>
          </w:tcPr>
          <w:p w:rsidR="005B2FD2" w:rsidRPr="00955FE0" w:rsidRDefault="00E63BC5" w:rsidP="001E4A21">
            <w:pPr>
              <w:spacing w:after="240"/>
              <w:jc w:val="left"/>
            </w:pPr>
            <w:r>
              <w:t>Second phase of the</w:t>
            </w:r>
            <w:r w:rsidR="009E33E4">
              <w:t xml:space="preserve"> evaluation of chiller projects</w:t>
            </w:r>
          </w:p>
        </w:tc>
      </w:tr>
      <w:tr w:rsidR="00745878" w:rsidRPr="00955FE0" w:rsidTr="001E4A21">
        <w:trPr>
          <w:jc w:val="center"/>
        </w:trPr>
        <w:tc>
          <w:tcPr>
            <w:tcW w:w="2548" w:type="pct"/>
            <w:vAlign w:val="center"/>
          </w:tcPr>
          <w:p w:rsidR="00745878" w:rsidRPr="00955FE0" w:rsidRDefault="005A2017" w:rsidP="001E4A21">
            <w:pPr>
              <w:spacing w:after="240"/>
              <w:jc w:val="left"/>
            </w:pPr>
            <w:r>
              <w:t>Terms of reference for the</w:t>
            </w:r>
            <w:r w:rsidR="00F3190E">
              <w:t xml:space="preserve"> </w:t>
            </w:r>
            <w:r w:rsidR="000B6438">
              <w:t>desk study for</w:t>
            </w:r>
            <w:r w:rsidR="00F3190E">
              <w:t xml:space="preserve"> the</w:t>
            </w:r>
            <w:r>
              <w:t xml:space="preserve"> evaluation of the refrigeration servicing sector and associated budget</w:t>
            </w:r>
          </w:p>
        </w:tc>
        <w:tc>
          <w:tcPr>
            <w:tcW w:w="2452" w:type="pct"/>
            <w:vAlign w:val="center"/>
          </w:tcPr>
          <w:p w:rsidR="00745878" w:rsidRDefault="00F3190E" w:rsidP="001E4A21">
            <w:pPr>
              <w:spacing w:after="240"/>
              <w:jc w:val="left"/>
            </w:pPr>
            <w:r>
              <w:t xml:space="preserve">Desk study </w:t>
            </w:r>
            <w:r w:rsidR="000B6438">
              <w:t>for</w:t>
            </w:r>
            <w:r>
              <w:t xml:space="preserve"> the evaluation of the refrigeration servicing sector</w:t>
            </w:r>
          </w:p>
        </w:tc>
      </w:tr>
    </w:tbl>
    <w:p w:rsidR="005B2FD2" w:rsidRPr="00955FE0" w:rsidRDefault="005B2FD2" w:rsidP="00BE1792">
      <w:pPr>
        <w:keepNext/>
        <w:spacing w:after="240"/>
        <w:rPr>
          <w:b/>
        </w:rPr>
      </w:pPr>
      <w:r w:rsidRPr="00955FE0">
        <w:rPr>
          <w:b/>
        </w:rPr>
        <w:t>Budget</w:t>
      </w:r>
    </w:p>
    <w:p w:rsidR="005B2FD2" w:rsidRPr="00955FE0" w:rsidRDefault="005B2FD2" w:rsidP="00BE1792">
      <w:pPr>
        <w:pStyle w:val="Heading1"/>
      </w:pPr>
      <w:r w:rsidRPr="00955FE0">
        <w:t>Table 2 presents the budget for the monitoring and evaluation work programme for 201</w:t>
      </w:r>
      <w:r w:rsidR="00F16DA0">
        <w:t>7</w:t>
      </w:r>
      <w:r w:rsidRPr="00955FE0">
        <w:t xml:space="preserve">. It includes the fees and travel costs for consultants as well as for the </w:t>
      </w:r>
      <w:r w:rsidR="003A34CF" w:rsidRPr="00955FE0">
        <w:t>S</w:t>
      </w:r>
      <w:r w:rsidR="00CF0295">
        <w:t xml:space="preserve">enior </w:t>
      </w:r>
      <w:r w:rsidR="003A34CF" w:rsidRPr="00955FE0">
        <w:t>M</w:t>
      </w:r>
      <w:r w:rsidR="00CF0295">
        <w:t xml:space="preserve">onitoring and </w:t>
      </w:r>
      <w:r w:rsidR="003A34CF" w:rsidRPr="00955FE0">
        <w:t>E</w:t>
      </w:r>
      <w:r w:rsidR="00CF0295">
        <w:t xml:space="preserve">valuation </w:t>
      </w:r>
      <w:r w:rsidR="003A34CF" w:rsidRPr="00955FE0">
        <w:t>O</w:t>
      </w:r>
      <w:r w:rsidR="00CF0295">
        <w:t>fficer</w:t>
      </w:r>
      <w:r w:rsidR="009F65FC">
        <w:t>,</w:t>
      </w:r>
      <w:r w:rsidR="003A34CF" w:rsidRPr="00955FE0">
        <w:t xml:space="preserve"> </w:t>
      </w:r>
      <w:r w:rsidRPr="00955FE0">
        <w:t xml:space="preserve">who will participate in </w:t>
      </w:r>
      <w:r w:rsidR="003A34CF" w:rsidRPr="00955FE0">
        <w:t>the</w:t>
      </w:r>
      <w:r w:rsidRPr="00955FE0">
        <w:t xml:space="preserve"> case studies and attend regional meetings</w:t>
      </w:r>
      <w:r w:rsidR="00B466A8">
        <w:t>, as required</w:t>
      </w:r>
      <w:r w:rsidRPr="00955FE0">
        <w:t>.</w:t>
      </w:r>
      <w:r w:rsidR="009F65FC" w:rsidRPr="009F65FC">
        <w:t xml:space="preserve"> </w:t>
      </w:r>
    </w:p>
    <w:p w:rsidR="005B2FD2" w:rsidRPr="00955FE0" w:rsidRDefault="005B2FD2" w:rsidP="00BE1792">
      <w:pPr>
        <w:keepNext/>
        <w:spacing w:after="240"/>
        <w:contextualSpacing/>
        <w:jc w:val="left"/>
        <w:rPr>
          <w:b/>
        </w:rPr>
      </w:pPr>
      <w:proofErr w:type="gramStart"/>
      <w:r w:rsidRPr="00955FE0">
        <w:rPr>
          <w:b/>
        </w:rPr>
        <w:t>Table 2.</w:t>
      </w:r>
      <w:proofErr w:type="gramEnd"/>
      <w:r w:rsidRPr="00955FE0">
        <w:rPr>
          <w:b/>
        </w:rPr>
        <w:t xml:space="preserve"> Proposed budget for the monitoring and evaluation work programme</w:t>
      </w:r>
      <w:r w:rsidR="00EE7F61">
        <w:rPr>
          <w:b/>
        </w:rPr>
        <w:t xml:space="preserve"> for 2017</w:t>
      </w:r>
    </w:p>
    <w:tbl>
      <w:tblPr>
        <w:tblStyle w:val="TableGrid"/>
        <w:tblW w:w="5000" w:type="pct"/>
        <w:tblLook w:val="04A0" w:firstRow="1" w:lastRow="0" w:firstColumn="1" w:lastColumn="0" w:noHBand="0" w:noVBand="1"/>
      </w:tblPr>
      <w:tblGrid>
        <w:gridCol w:w="7483"/>
        <w:gridCol w:w="2093"/>
      </w:tblGrid>
      <w:tr w:rsidR="005B2FD2" w:rsidRPr="00F16DA0" w:rsidTr="002A5476">
        <w:trPr>
          <w:trHeight w:val="305"/>
          <w:tblHeader/>
        </w:trPr>
        <w:tc>
          <w:tcPr>
            <w:tcW w:w="3907" w:type="pct"/>
          </w:tcPr>
          <w:p w:rsidR="005B2FD2" w:rsidRPr="00414661" w:rsidRDefault="005B2FD2" w:rsidP="00BE1792">
            <w:pPr>
              <w:keepNext/>
              <w:widowControl w:val="0"/>
              <w:spacing w:after="240"/>
              <w:jc w:val="left"/>
              <w:rPr>
                <w:b/>
              </w:rPr>
            </w:pPr>
            <w:r w:rsidRPr="00414661">
              <w:rPr>
                <w:b/>
              </w:rPr>
              <w:t>Description</w:t>
            </w:r>
          </w:p>
        </w:tc>
        <w:tc>
          <w:tcPr>
            <w:tcW w:w="1093" w:type="pct"/>
          </w:tcPr>
          <w:p w:rsidR="005B2FD2" w:rsidRPr="00414661" w:rsidRDefault="005B2FD2" w:rsidP="00BE1792">
            <w:pPr>
              <w:keepNext/>
              <w:widowControl w:val="0"/>
              <w:spacing w:after="240"/>
              <w:jc w:val="center"/>
              <w:rPr>
                <w:b/>
              </w:rPr>
            </w:pPr>
            <w:r w:rsidRPr="00414661">
              <w:rPr>
                <w:b/>
              </w:rPr>
              <w:t>Amount (US $)</w:t>
            </w:r>
          </w:p>
        </w:tc>
      </w:tr>
      <w:tr w:rsidR="009E3129" w:rsidRPr="00F16DA0" w:rsidTr="005369FF">
        <w:trPr>
          <w:trHeight w:val="431"/>
        </w:trPr>
        <w:tc>
          <w:tcPr>
            <w:tcW w:w="3907" w:type="pct"/>
            <w:tcBorders>
              <w:top w:val="single" w:sz="4" w:space="0" w:color="auto"/>
            </w:tcBorders>
          </w:tcPr>
          <w:p w:rsidR="009E3129" w:rsidRPr="00FA3679" w:rsidRDefault="009E3129" w:rsidP="00BE1792">
            <w:pPr>
              <w:pStyle w:val="ListParagraph"/>
              <w:widowControl w:val="0"/>
              <w:tabs>
                <w:tab w:val="left" w:pos="219"/>
                <w:tab w:val="left" w:pos="2919"/>
              </w:tabs>
              <w:spacing w:after="240"/>
              <w:ind w:left="39" w:right="117"/>
              <w:contextualSpacing w:val="0"/>
              <w:rPr>
                <w:lang w:val="en-GB"/>
              </w:rPr>
            </w:pPr>
            <w:r w:rsidRPr="00FA3679">
              <w:rPr>
                <w:b/>
              </w:rPr>
              <w:t>Second phase of the evaluation of chiller projects</w:t>
            </w:r>
          </w:p>
        </w:tc>
        <w:tc>
          <w:tcPr>
            <w:tcW w:w="1093" w:type="pct"/>
            <w:vAlign w:val="center"/>
          </w:tcPr>
          <w:p w:rsidR="009E3129" w:rsidRPr="00FA3679" w:rsidRDefault="009E3129" w:rsidP="00BE1792">
            <w:pPr>
              <w:widowControl w:val="0"/>
              <w:spacing w:after="240"/>
              <w:jc w:val="right"/>
            </w:pPr>
          </w:p>
        </w:tc>
      </w:tr>
      <w:tr w:rsidR="009E3129" w:rsidRPr="00F16DA0" w:rsidTr="005369FF">
        <w:trPr>
          <w:trHeight w:val="431"/>
        </w:trPr>
        <w:tc>
          <w:tcPr>
            <w:tcW w:w="3907" w:type="pct"/>
            <w:tcBorders>
              <w:top w:val="single" w:sz="4" w:space="0" w:color="auto"/>
            </w:tcBorders>
          </w:tcPr>
          <w:p w:rsidR="009E3129" w:rsidRPr="00745878" w:rsidRDefault="00745878" w:rsidP="00BE1792">
            <w:pPr>
              <w:pStyle w:val="ListParagraph"/>
              <w:widowControl w:val="0"/>
              <w:tabs>
                <w:tab w:val="left" w:pos="219"/>
                <w:tab w:val="left" w:pos="2919"/>
              </w:tabs>
              <w:spacing w:after="240"/>
              <w:ind w:left="39" w:right="117"/>
              <w:contextualSpacing w:val="0"/>
              <w:rPr>
                <w:b/>
              </w:rPr>
            </w:pPr>
            <w:r w:rsidRPr="00745878">
              <w:rPr>
                <w:lang w:val="en-GB"/>
              </w:rPr>
              <w:t>Field visits (8</w:t>
            </w:r>
            <w:r w:rsidR="00E9496B" w:rsidRPr="00745878">
              <w:rPr>
                <w:lang w:val="en-GB"/>
              </w:rPr>
              <w:t xml:space="preserve"> countries,</w:t>
            </w:r>
            <w:r w:rsidR="00C35073" w:rsidRPr="00745878">
              <w:rPr>
                <w:lang w:val="en-GB"/>
              </w:rPr>
              <w:t xml:space="preserve"> 7 day</w:t>
            </w:r>
            <w:r w:rsidR="002F3382" w:rsidRPr="00745878">
              <w:rPr>
                <w:lang w:val="en-GB"/>
              </w:rPr>
              <w:t>s</w:t>
            </w:r>
            <w:r w:rsidR="00C35073" w:rsidRPr="00745878">
              <w:rPr>
                <w:lang w:val="en-GB"/>
              </w:rPr>
              <w:t>/country</w:t>
            </w:r>
            <w:r w:rsidR="00E9496B" w:rsidRPr="00745878">
              <w:rPr>
                <w:lang w:val="en-GB"/>
              </w:rPr>
              <w:t>)</w:t>
            </w:r>
          </w:p>
        </w:tc>
        <w:tc>
          <w:tcPr>
            <w:tcW w:w="1093" w:type="pct"/>
            <w:vAlign w:val="center"/>
          </w:tcPr>
          <w:p w:rsidR="009E3129" w:rsidRPr="00FA3679" w:rsidRDefault="009E3129" w:rsidP="00BE1792">
            <w:pPr>
              <w:widowControl w:val="0"/>
              <w:spacing w:after="240"/>
              <w:jc w:val="right"/>
            </w:pPr>
          </w:p>
        </w:tc>
      </w:tr>
      <w:tr w:rsidR="009E3129" w:rsidRPr="00F16DA0" w:rsidTr="005369FF">
        <w:trPr>
          <w:trHeight w:val="359"/>
        </w:trPr>
        <w:tc>
          <w:tcPr>
            <w:tcW w:w="3907" w:type="pct"/>
            <w:tcBorders>
              <w:top w:val="single" w:sz="4" w:space="0" w:color="auto"/>
            </w:tcBorders>
          </w:tcPr>
          <w:p w:rsidR="009E3129" w:rsidRPr="00FA3679" w:rsidRDefault="009E3129" w:rsidP="00BE1792">
            <w:pPr>
              <w:pStyle w:val="ListParagraph"/>
              <w:widowControl w:val="0"/>
              <w:tabs>
                <w:tab w:val="left" w:pos="219"/>
                <w:tab w:val="left" w:pos="2919"/>
              </w:tabs>
              <w:spacing w:after="240"/>
              <w:ind w:left="39" w:right="117"/>
              <w:contextualSpacing w:val="0"/>
              <w:rPr>
                <w:lang w:val="en-GB"/>
              </w:rPr>
            </w:pPr>
            <w:r w:rsidRPr="00B466A8">
              <w:rPr>
                <w:lang w:val="en-GB"/>
              </w:rPr>
              <w:t>Staff</w:t>
            </w:r>
            <w:r w:rsidRPr="00FA3679">
              <w:rPr>
                <w:lang w:val="en-GB"/>
              </w:rPr>
              <w:t>:</w:t>
            </w:r>
          </w:p>
        </w:tc>
        <w:tc>
          <w:tcPr>
            <w:tcW w:w="1093" w:type="pct"/>
            <w:vAlign w:val="center"/>
          </w:tcPr>
          <w:p w:rsidR="009E3129" w:rsidRPr="00FA3679" w:rsidRDefault="009E3129" w:rsidP="00BE1792">
            <w:pPr>
              <w:widowControl w:val="0"/>
              <w:spacing w:after="240"/>
              <w:jc w:val="right"/>
            </w:pPr>
          </w:p>
        </w:tc>
      </w:tr>
      <w:tr w:rsidR="009E3129" w:rsidRPr="00F16DA0" w:rsidTr="005369FF">
        <w:trPr>
          <w:trHeight w:val="413"/>
        </w:trPr>
        <w:tc>
          <w:tcPr>
            <w:tcW w:w="3907" w:type="pct"/>
            <w:tcBorders>
              <w:top w:val="single" w:sz="4" w:space="0" w:color="auto"/>
            </w:tcBorders>
          </w:tcPr>
          <w:p w:rsidR="009E3129" w:rsidRPr="00FA3679" w:rsidDel="00A65727" w:rsidRDefault="009E3129" w:rsidP="00BE1792">
            <w:pPr>
              <w:pStyle w:val="ListParagraph"/>
              <w:widowControl w:val="0"/>
              <w:numPr>
                <w:ilvl w:val="0"/>
                <w:numId w:val="10"/>
              </w:numPr>
              <w:tabs>
                <w:tab w:val="left" w:pos="219"/>
                <w:tab w:val="left" w:pos="2919"/>
              </w:tabs>
              <w:spacing w:after="240"/>
              <w:ind w:right="117"/>
              <w:contextualSpacing w:val="0"/>
              <w:rPr>
                <w:lang w:val="en-GB"/>
              </w:rPr>
            </w:pPr>
            <w:r w:rsidRPr="00FA3679">
              <w:rPr>
                <w:lang w:val="en-GB"/>
              </w:rPr>
              <w:t>Travel (</w:t>
            </w:r>
            <w:r w:rsidR="00745878">
              <w:rPr>
                <w:lang w:val="en-GB"/>
              </w:rPr>
              <w:t>4</w:t>
            </w:r>
            <w:r w:rsidRPr="00FA3679">
              <w:rPr>
                <w:lang w:val="en-GB"/>
              </w:rPr>
              <w:t>*US $6,000)</w:t>
            </w:r>
          </w:p>
        </w:tc>
        <w:tc>
          <w:tcPr>
            <w:tcW w:w="1093" w:type="pct"/>
            <w:vAlign w:val="center"/>
          </w:tcPr>
          <w:p w:rsidR="009E3129" w:rsidRPr="00FA3679" w:rsidDel="00A65727" w:rsidRDefault="00745878" w:rsidP="00BE1792">
            <w:pPr>
              <w:widowControl w:val="0"/>
              <w:spacing w:after="240"/>
              <w:jc w:val="right"/>
            </w:pPr>
            <w:r>
              <w:t>24</w:t>
            </w:r>
            <w:r w:rsidR="009E3129" w:rsidRPr="00FA3679">
              <w:t>,000</w:t>
            </w:r>
          </w:p>
        </w:tc>
      </w:tr>
      <w:tr w:rsidR="009E3129" w:rsidRPr="00F16DA0" w:rsidTr="005369FF">
        <w:tc>
          <w:tcPr>
            <w:tcW w:w="3907" w:type="pct"/>
            <w:tcBorders>
              <w:top w:val="single" w:sz="4" w:space="0" w:color="auto"/>
            </w:tcBorders>
          </w:tcPr>
          <w:p w:rsidR="009E3129" w:rsidRPr="00FA3679" w:rsidRDefault="009E3129" w:rsidP="00BE1792">
            <w:pPr>
              <w:pStyle w:val="ListParagraph"/>
              <w:widowControl w:val="0"/>
              <w:numPr>
                <w:ilvl w:val="0"/>
                <w:numId w:val="10"/>
              </w:numPr>
              <w:tabs>
                <w:tab w:val="left" w:pos="219"/>
                <w:tab w:val="left" w:pos="2919"/>
              </w:tabs>
              <w:spacing w:after="240"/>
              <w:ind w:right="117"/>
              <w:contextualSpacing w:val="0"/>
              <w:rPr>
                <w:lang w:val="en-GB"/>
              </w:rPr>
            </w:pPr>
            <w:r w:rsidRPr="00FA3679">
              <w:rPr>
                <w:lang w:val="en-GB"/>
              </w:rPr>
              <w:t>Per diem (</w:t>
            </w:r>
            <w:r w:rsidR="00745878" w:rsidRPr="00745878">
              <w:rPr>
                <w:lang w:val="en-GB"/>
              </w:rPr>
              <w:t>2</w:t>
            </w:r>
            <w:r w:rsidR="00745878">
              <w:rPr>
                <w:lang w:val="en-GB"/>
              </w:rPr>
              <w:t>8</w:t>
            </w:r>
            <w:r w:rsidRPr="00FA3679">
              <w:rPr>
                <w:lang w:val="en-GB"/>
              </w:rPr>
              <w:t>*US $351/day)</w:t>
            </w:r>
          </w:p>
        </w:tc>
        <w:tc>
          <w:tcPr>
            <w:tcW w:w="1093" w:type="pct"/>
            <w:vAlign w:val="center"/>
          </w:tcPr>
          <w:p w:rsidR="009E3129" w:rsidRPr="00FA3679" w:rsidRDefault="00745878" w:rsidP="00BE1792">
            <w:pPr>
              <w:pStyle w:val="ListParagraph"/>
              <w:widowControl w:val="0"/>
              <w:spacing w:after="240"/>
              <w:ind w:left="820"/>
              <w:contextualSpacing w:val="0"/>
              <w:jc w:val="right"/>
            </w:pPr>
            <w:r>
              <w:t>9,828</w:t>
            </w:r>
          </w:p>
        </w:tc>
      </w:tr>
      <w:tr w:rsidR="009E3129" w:rsidRPr="00F16DA0" w:rsidTr="005369FF">
        <w:tc>
          <w:tcPr>
            <w:tcW w:w="3907" w:type="pct"/>
            <w:tcBorders>
              <w:top w:val="single" w:sz="4" w:space="0" w:color="auto"/>
            </w:tcBorders>
          </w:tcPr>
          <w:p w:rsidR="009E3129" w:rsidRPr="00B466A8" w:rsidRDefault="009E3129" w:rsidP="00BE1792">
            <w:pPr>
              <w:pStyle w:val="ListParagraph"/>
              <w:widowControl w:val="0"/>
              <w:tabs>
                <w:tab w:val="left" w:pos="219"/>
                <w:tab w:val="left" w:pos="2919"/>
              </w:tabs>
              <w:spacing w:after="240"/>
              <w:ind w:left="39" w:right="117"/>
              <w:contextualSpacing w:val="0"/>
              <w:rPr>
                <w:lang w:val="en-GB"/>
              </w:rPr>
            </w:pPr>
            <w:r w:rsidRPr="00B466A8">
              <w:rPr>
                <w:lang w:val="en-GB"/>
              </w:rPr>
              <w:t xml:space="preserve">Consultants </w:t>
            </w:r>
          </w:p>
        </w:tc>
        <w:tc>
          <w:tcPr>
            <w:tcW w:w="1093" w:type="pct"/>
            <w:vAlign w:val="center"/>
          </w:tcPr>
          <w:p w:rsidR="009E3129" w:rsidRPr="00FA3679" w:rsidRDefault="009E3129" w:rsidP="00BE1792">
            <w:pPr>
              <w:widowControl w:val="0"/>
              <w:spacing w:after="240"/>
              <w:jc w:val="right"/>
            </w:pPr>
          </w:p>
        </w:tc>
      </w:tr>
      <w:tr w:rsidR="001E2883" w:rsidRPr="00F16DA0" w:rsidTr="005369FF">
        <w:tc>
          <w:tcPr>
            <w:tcW w:w="3907" w:type="pct"/>
            <w:tcBorders>
              <w:top w:val="single" w:sz="4" w:space="0" w:color="auto"/>
            </w:tcBorders>
          </w:tcPr>
          <w:p w:rsidR="001E2883" w:rsidRPr="00745878" w:rsidRDefault="001E2883" w:rsidP="00BE1792">
            <w:pPr>
              <w:pStyle w:val="ListParagraph"/>
              <w:widowControl w:val="0"/>
              <w:numPr>
                <w:ilvl w:val="0"/>
                <w:numId w:val="10"/>
              </w:numPr>
              <w:tabs>
                <w:tab w:val="left" w:pos="219"/>
                <w:tab w:val="left" w:pos="2919"/>
              </w:tabs>
              <w:spacing w:after="240"/>
              <w:ind w:right="117"/>
              <w:contextualSpacing w:val="0"/>
              <w:rPr>
                <w:lang w:val="en-GB"/>
              </w:rPr>
            </w:pPr>
            <w:r w:rsidRPr="00745878">
              <w:rPr>
                <w:lang w:val="en-GB"/>
              </w:rPr>
              <w:t xml:space="preserve">Fee: </w:t>
            </w:r>
            <w:r w:rsidR="00971045" w:rsidRPr="00745878">
              <w:rPr>
                <w:lang w:val="en-GB"/>
              </w:rPr>
              <w:t>(</w:t>
            </w:r>
            <w:r w:rsidRPr="00745878">
              <w:rPr>
                <w:lang w:val="en-GB"/>
              </w:rPr>
              <w:t>*7 days*</w:t>
            </w:r>
            <w:r w:rsidR="00745878" w:rsidRPr="00745878">
              <w:rPr>
                <w:lang w:val="en-GB"/>
              </w:rPr>
              <w:t>8</w:t>
            </w:r>
            <w:r w:rsidRPr="00745878">
              <w:rPr>
                <w:lang w:val="en-GB"/>
              </w:rPr>
              <w:t xml:space="preserve"> </w:t>
            </w:r>
            <w:r w:rsidR="00E9496B" w:rsidRPr="00745878">
              <w:rPr>
                <w:lang w:val="en-GB"/>
              </w:rPr>
              <w:t>countries</w:t>
            </w:r>
            <w:r w:rsidRPr="00745878">
              <w:rPr>
                <w:lang w:val="en-GB"/>
              </w:rPr>
              <w:t>*US $500/day</w:t>
            </w:r>
            <w:r w:rsidR="00971045" w:rsidRPr="00745878">
              <w:rPr>
                <w:lang w:val="en-GB"/>
              </w:rPr>
              <w:t>)</w:t>
            </w:r>
          </w:p>
        </w:tc>
        <w:tc>
          <w:tcPr>
            <w:tcW w:w="1093" w:type="pct"/>
            <w:vAlign w:val="center"/>
          </w:tcPr>
          <w:p w:rsidR="001E2883" w:rsidRPr="00FA3679" w:rsidRDefault="00745878" w:rsidP="00BE1792">
            <w:pPr>
              <w:widowControl w:val="0"/>
              <w:spacing w:after="240"/>
              <w:jc w:val="right"/>
            </w:pPr>
            <w:r>
              <w:t>28</w:t>
            </w:r>
            <w:r w:rsidR="00B466A8">
              <w:t>,0</w:t>
            </w:r>
            <w:r w:rsidR="001E2883" w:rsidRPr="00FA3679">
              <w:t>00</w:t>
            </w:r>
          </w:p>
        </w:tc>
      </w:tr>
      <w:tr w:rsidR="009E3129" w:rsidRPr="00F16DA0" w:rsidTr="005369FF">
        <w:tc>
          <w:tcPr>
            <w:tcW w:w="3907" w:type="pct"/>
            <w:tcBorders>
              <w:top w:val="single" w:sz="4" w:space="0" w:color="auto"/>
            </w:tcBorders>
          </w:tcPr>
          <w:p w:rsidR="009E3129" w:rsidRPr="00FA3679" w:rsidRDefault="009E3129" w:rsidP="00BE1792">
            <w:pPr>
              <w:pStyle w:val="ListParagraph"/>
              <w:widowControl w:val="0"/>
              <w:numPr>
                <w:ilvl w:val="0"/>
                <w:numId w:val="10"/>
              </w:numPr>
              <w:tabs>
                <w:tab w:val="left" w:pos="219"/>
                <w:tab w:val="left" w:pos="2919"/>
              </w:tabs>
              <w:spacing w:after="240"/>
              <w:ind w:right="117"/>
              <w:contextualSpacing w:val="0"/>
              <w:rPr>
                <w:lang w:val="en-GB"/>
              </w:rPr>
            </w:pPr>
            <w:r w:rsidRPr="00FA3679">
              <w:rPr>
                <w:lang w:val="en-GB"/>
              </w:rPr>
              <w:t>Travel (</w:t>
            </w:r>
            <w:r w:rsidR="00745878">
              <w:rPr>
                <w:lang w:val="en-GB"/>
              </w:rPr>
              <w:t>8</w:t>
            </w:r>
            <w:r w:rsidRPr="00FA3679">
              <w:rPr>
                <w:lang w:val="en-GB"/>
              </w:rPr>
              <w:t>*US $3,000)</w:t>
            </w:r>
          </w:p>
        </w:tc>
        <w:tc>
          <w:tcPr>
            <w:tcW w:w="1093" w:type="pct"/>
            <w:vAlign w:val="center"/>
          </w:tcPr>
          <w:p w:rsidR="009E3129" w:rsidRPr="00FA3679" w:rsidRDefault="00745878" w:rsidP="00BE1792">
            <w:pPr>
              <w:widowControl w:val="0"/>
              <w:spacing w:after="240"/>
              <w:jc w:val="right"/>
            </w:pPr>
            <w:r>
              <w:t>24</w:t>
            </w:r>
            <w:r w:rsidR="009E3129" w:rsidRPr="00FA3679">
              <w:t>,000</w:t>
            </w:r>
          </w:p>
        </w:tc>
      </w:tr>
      <w:tr w:rsidR="009E3129" w:rsidRPr="00F16DA0" w:rsidTr="005369FF">
        <w:tc>
          <w:tcPr>
            <w:tcW w:w="3907" w:type="pct"/>
            <w:tcBorders>
              <w:top w:val="single" w:sz="4" w:space="0" w:color="auto"/>
            </w:tcBorders>
          </w:tcPr>
          <w:p w:rsidR="009E3129" w:rsidRPr="00FA3679" w:rsidRDefault="009E3129" w:rsidP="00BE1792">
            <w:pPr>
              <w:pStyle w:val="ListParagraph"/>
              <w:widowControl w:val="0"/>
              <w:numPr>
                <w:ilvl w:val="0"/>
                <w:numId w:val="10"/>
              </w:numPr>
              <w:tabs>
                <w:tab w:val="left" w:pos="219"/>
                <w:tab w:val="left" w:pos="2919"/>
              </w:tabs>
              <w:spacing w:after="240"/>
              <w:ind w:right="117"/>
              <w:contextualSpacing w:val="0"/>
              <w:rPr>
                <w:lang w:val="en-GB"/>
              </w:rPr>
            </w:pPr>
            <w:r w:rsidRPr="00FA3679">
              <w:rPr>
                <w:lang w:val="en-GB"/>
              </w:rPr>
              <w:t>Per diem (</w:t>
            </w:r>
            <w:r w:rsidR="00745878">
              <w:rPr>
                <w:lang w:val="en-GB"/>
              </w:rPr>
              <w:t>56</w:t>
            </w:r>
            <w:r w:rsidRPr="00FA3679">
              <w:rPr>
                <w:lang w:val="en-GB"/>
              </w:rPr>
              <w:t>*US $351/day)</w:t>
            </w:r>
          </w:p>
        </w:tc>
        <w:tc>
          <w:tcPr>
            <w:tcW w:w="1093" w:type="pct"/>
            <w:vAlign w:val="center"/>
          </w:tcPr>
          <w:p w:rsidR="009E3129" w:rsidRPr="00FA3679" w:rsidRDefault="00745878" w:rsidP="00745878">
            <w:pPr>
              <w:widowControl w:val="0"/>
              <w:spacing w:after="240"/>
              <w:jc w:val="right"/>
            </w:pPr>
            <w:r>
              <w:t>19</w:t>
            </w:r>
            <w:r w:rsidR="009E3129" w:rsidRPr="00FA3679">
              <w:t>,</w:t>
            </w:r>
            <w:r>
              <w:t>656</w:t>
            </w:r>
          </w:p>
        </w:tc>
      </w:tr>
      <w:tr w:rsidR="009E3129" w:rsidRPr="00F16DA0" w:rsidTr="005369FF">
        <w:tc>
          <w:tcPr>
            <w:tcW w:w="3907" w:type="pct"/>
            <w:tcBorders>
              <w:top w:val="single" w:sz="4" w:space="0" w:color="auto"/>
            </w:tcBorders>
          </w:tcPr>
          <w:p w:rsidR="009E3129" w:rsidRPr="00FA3679" w:rsidRDefault="009E3129" w:rsidP="00BE1792">
            <w:pPr>
              <w:pStyle w:val="ListParagraph"/>
              <w:widowControl w:val="0"/>
              <w:tabs>
                <w:tab w:val="left" w:pos="219"/>
                <w:tab w:val="left" w:pos="2919"/>
              </w:tabs>
              <w:spacing w:after="240"/>
              <w:ind w:left="39" w:right="117"/>
              <w:contextualSpacing w:val="0"/>
              <w:rPr>
                <w:b/>
                <w:lang w:val="en-GB"/>
              </w:rPr>
            </w:pPr>
            <w:r w:rsidRPr="00FA3679">
              <w:rPr>
                <w:lang w:val="en-GB"/>
              </w:rPr>
              <w:t>Report writing</w:t>
            </w:r>
            <w:r w:rsidRPr="00FA3679">
              <w:rPr>
                <w:b/>
                <w:lang w:val="en-GB"/>
              </w:rPr>
              <w:t xml:space="preserve"> </w:t>
            </w:r>
            <w:r w:rsidRPr="00FA3679">
              <w:rPr>
                <w:lang w:val="en-GB"/>
              </w:rPr>
              <w:t>(</w:t>
            </w:r>
            <w:r w:rsidR="00745878">
              <w:rPr>
                <w:lang w:val="en-GB"/>
              </w:rPr>
              <w:t>8</w:t>
            </w:r>
            <w:r w:rsidRPr="00FA3679">
              <w:rPr>
                <w:lang w:val="en-GB"/>
              </w:rPr>
              <w:t>*7</w:t>
            </w:r>
            <w:r w:rsidR="00E9496B">
              <w:rPr>
                <w:lang w:val="en-GB"/>
              </w:rPr>
              <w:t xml:space="preserve"> </w:t>
            </w:r>
            <w:r w:rsidRPr="00FA3679">
              <w:rPr>
                <w:lang w:val="en-GB"/>
              </w:rPr>
              <w:t>days*US $500/day)</w:t>
            </w:r>
          </w:p>
        </w:tc>
        <w:tc>
          <w:tcPr>
            <w:tcW w:w="1093" w:type="pct"/>
            <w:vAlign w:val="center"/>
          </w:tcPr>
          <w:p w:rsidR="009E3129" w:rsidRPr="00FA3679" w:rsidRDefault="00745878" w:rsidP="00BE1792">
            <w:pPr>
              <w:widowControl w:val="0"/>
              <w:spacing w:after="240"/>
              <w:jc w:val="right"/>
            </w:pPr>
            <w:r>
              <w:t>28</w:t>
            </w:r>
            <w:r w:rsidR="009E3129" w:rsidRPr="00FA3679">
              <w:t>,000</w:t>
            </w:r>
          </w:p>
        </w:tc>
      </w:tr>
      <w:tr w:rsidR="009E3129" w:rsidRPr="00F16DA0" w:rsidTr="005369FF">
        <w:tc>
          <w:tcPr>
            <w:tcW w:w="3907" w:type="pct"/>
            <w:tcBorders>
              <w:top w:val="single" w:sz="4" w:space="0" w:color="auto"/>
            </w:tcBorders>
          </w:tcPr>
          <w:p w:rsidR="009E3129" w:rsidRPr="00FA3679" w:rsidRDefault="009E3129" w:rsidP="00BE1792">
            <w:pPr>
              <w:pStyle w:val="ListParagraph"/>
              <w:widowControl w:val="0"/>
              <w:tabs>
                <w:tab w:val="left" w:pos="219"/>
                <w:tab w:val="left" w:pos="2919"/>
              </w:tabs>
              <w:spacing w:after="240"/>
              <w:ind w:left="39" w:right="117"/>
              <w:contextualSpacing w:val="0"/>
              <w:rPr>
                <w:b/>
                <w:lang w:val="en-GB"/>
              </w:rPr>
            </w:pPr>
            <w:r w:rsidRPr="00FA3679">
              <w:rPr>
                <w:lang w:val="en-GB"/>
              </w:rPr>
              <w:t>Synthesis report (12 days*US $500/day)</w:t>
            </w:r>
          </w:p>
        </w:tc>
        <w:tc>
          <w:tcPr>
            <w:tcW w:w="1093" w:type="pct"/>
            <w:vAlign w:val="center"/>
          </w:tcPr>
          <w:p w:rsidR="009E3129" w:rsidRPr="00FA3679" w:rsidRDefault="009E3129" w:rsidP="00BE1792">
            <w:pPr>
              <w:widowControl w:val="0"/>
              <w:spacing w:after="240"/>
              <w:jc w:val="right"/>
            </w:pPr>
            <w:r w:rsidRPr="00FA3679">
              <w:t>6,000</w:t>
            </w:r>
          </w:p>
        </w:tc>
      </w:tr>
      <w:tr w:rsidR="009E3129" w:rsidRPr="00F16DA0" w:rsidTr="005369FF">
        <w:tc>
          <w:tcPr>
            <w:tcW w:w="3907" w:type="pct"/>
          </w:tcPr>
          <w:p w:rsidR="009E3129" w:rsidRPr="00FA3679" w:rsidRDefault="009E3129" w:rsidP="00BE1792">
            <w:pPr>
              <w:pStyle w:val="ListParagraph"/>
              <w:widowControl w:val="0"/>
              <w:tabs>
                <w:tab w:val="left" w:pos="219"/>
                <w:tab w:val="left" w:pos="2919"/>
              </w:tabs>
              <w:spacing w:after="240"/>
              <w:ind w:left="39" w:right="117"/>
              <w:contextualSpacing w:val="0"/>
              <w:rPr>
                <w:b/>
                <w:lang w:val="en-GB"/>
              </w:rPr>
            </w:pPr>
            <w:r w:rsidRPr="00FA3679">
              <w:rPr>
                <w:b/>
                <w:lang w:val="en-GB"/>
              </w:rPr>
              <w:t>Sub-total</w:t>
            </w:r>
          </w:p>
        </w:tc>
        <w:tc>
          <w:tcPr>
            <w:tcW w:w="1093" w:type="pct"/>
            <w:vAlign w:val="center"/>
          </w:tcPr>
          <w:p w:rsidR="009E3129" w:rsidRPr="00FA3679" w:rsidRDefault="00871428" w:rsidP="00BE1792">
            <w:pPr>
              <w:widowControl w:val="0"/>
              <w:spacing w:after="240"/>
              <w:jc w:val="right"/>
              <w:rPr>
                <w:b/>
              </w:rPr>
            </w:pPr>
            <w:r>
              <w:rPr>
                <w:b/>
              </w:rPr>
              <w:t>139</w:t>
            </w:r>
            <w:r w:rsidR="009E3129" w:rsidRPr="00FA3679">
              <w:rPr>
                <w:b/>
              </w:rPr>
              <w:t>,</w:t>
            </w:r>
            <w:r>
              <w:rPr>
                <w:b/>
              </w:rPr>
              <w:t>484</w:t>
            </w:r>
          </w:p>
        </w:tc>
      </w:tr>
      <w:tr w:rsidR="009E3129" w:rsidRPr="00F16DA0" w:rsidTr="005369FF">
        <w:tc>
          <w:tcPr>
            <w:tcW w:w="3907" w:type="pct"/>
          </w:tcPr>
          <w:p w:rsidR="009E3129" w:rsidRPr="00FA3679" w:rsidDel="00A65727" w:rsidRDefault="009E3129" w:rsidP="00BE1792">
            <w:pPr>
              <w:pStyle w:val="ListParagraph"/>
              <w:widowControl w:val="0"/>
              <w:tabs>
                <w:tab w:val="left" w:pos="219"/>
                <w:tab w:val="left" w:pos="2919"/>
              </w:tabs>
              <w:spacing w:after="240"/>
              <w:ind w:left="39" w:right="117"/>
              <w:contextualSpacing w:val="0"/>
              <w:rPr>
                <w:lang w:val="en-GB"/>
              </w:rPr>
            </w:pPr>
            <w:r w:rsidRPr="00FA3679">
              <w:rPr>
                <w:lang w:val="en-GB"/>
              </w:rPr>
              <w:t>Miscellaneous</w:t>
            </w:r>
          </w:p>
        </w:tc>
        <w:tc>
          <w:tcPr>
            <w:tcW w:w="1093" w:type="pct"/>
            <w:vAlign w:val="center"/>
          </w:tcPr>
          <w:p w:rsidR="009E3129" w:rsidRPr="00FA3679" w:rsidDel="00A65727" w:rsidRDefault="009E3129" w:rsidP="00BE1792">
            <w:pPr>
              <w:widowControl w:val="0"/>
              <w:spacing w:after="240"/>
              <w:jc w:val="right"/>
            </w:pPr>
            <w:r w:rsidRPr="00FA3679">
              <w:t>4,000</w:t>
            </w:r>
          </w:p>
        </w:tc>
      </w:tr>
      <w:tr w:rsidR="009E3129" w:rsidRPr="00F16DA0" w:rsidTr="005369FF">
        <w:trPr>
          <w:trHeight w:val="269"/>
        </w:trPr>
        <w:tc>
          <w:tcPr>
            <w:tcW w:w="3907" w:type="pct"/>
            <w:vAlign w:val="center"/>
          </w:tcPr>
          <w:p w:rsidR="009E3129" w:rsidRPr="00FA3679" w:rsidRDefault="009E3129" w:rsidP="00BE1792">
            <w:pPr>
              <w:widowControl w:val="0"/>
              <w:spacing w:after="240"/>
              <w:jc w:val="left"/>
              <w:rPr>
                <w:b/>
              </w:rPr>
            </w:pPr>
            <w:r w:rsidRPr="00FA3679">
              <w:rPr>
                <w:b/>
              </w:rPr>
              <w:t>Total</w:t>
            </w:r>
          </w:p>
        </w:tc>
        <w:tc>
          <w:tcPr>
            <w:tcW w:w="1093" w:type="pct"/>
            <w:vAlign w:val="center"/>
          </w:tcPr>
          <w:p w:rsidR="009E3129" w:rsidRPr="00FA3679" w:rsidRDefault="009B257C" w:rsidP="00871428">
            <w:pPr>
              <w:pStyle w:val="Title"/>
              <w:tabs>
                <w:tab w:val="center" w:pos="938"/>
                <w:tab w:val="right" w:pos="1877"/>
              </w:tabs>
              <w:jc w:val="right"/>
              <w:rPr>
                <w:rFonts w:ascii="Times New Roman" w:hAnsi="Times New Roman" w:cs="Times New Roman"/>
              </w:rPr>
            </w:pPr>
            <w:r>
              <w:rPr>
                <w:rFonts w:ascii="Times New Roman" w:hAnsi="Times New Roman" w:cs="Times New Roman"/>
              </w:rPr>
              <w:t>1</w:t>
            </w:r>
            <w:r w:rsidR="00871428">
              <w:rPr>
                <w:rFonts w:ascii="Times New Roman" w:hAnsi="Times New Roman" w:cs="Times New Roman"/>
              </w:rPr>
              <w:t>43</w:t>
            </w:r>
            <w:r w:rsidR="007C7A6D">
              <w:rPr>
                <w:rFonts w:ascii="Times New Roman" w:hAnsi="Times New Roman" w:cs="Times New Roman"/>
              </w:rPr>
              <w:t>,</w:t>
            </w:r>
            <w:r w:rsidR="00871428">
              <w:rPr>
                <w:rFonts w:ascii="Times New Roman" w:hAnsi="Times New Roman" w:cs="Times New Roman"/>
              </w:rPr>
              <w:t>484</w:t>
            </w:r>
          </w:p>
        </w:tc>
      </w:tr>
    </w:tbl>
    <w:p w:rsidR="005B2FD2" w:rsidRPr="00955FE0" w:rsidRDefault="005B2FD2" w:rsidP="00BE1792">
      <w:pPr>
        <w:keepNext/>
        <w:keepLines/>
        <w:spacing w:before="120" w:after="240"/>
        <w:rPr>
          <w:b/>
        </w:rPr>
      </w:pPr>
      <w:r w:rsidRPr="00955FE0">
        <w:rPr>
          <w:b/>
        </w:rPr>
        <w:lastRenderedPageBreak/>
        <w:t>Action expected from the Executive Committee</w:t>
      </w:r>
    </w:p>
    <w:p w:rsidR="008E2D04" w:rsidRDefault="005B2FD2" w:rsidP="00BE1792">
      <w:pPr>
        <w:pStyle w:val="Heading1"/>
        <w:keepNext/>
        <w:keepLines/>
      </w:pPr>
      <w:r w:rsidRPr="00955FE0">
        <w:t>The Executive Committee may wish</w:t>
      </w:r>
      <w:r w:rsidR="00543E45">
        <w:t xml:space="preserve"> t</w:t>
      </w:r>
      <w:r w:rsidRPr="00955FE0">
        <w:t>o</w:t>
      </w:r>
      <w:r w:rsidR="00742679">
        <w:t>:</w:t>
      </w:r>
    </w:p>
    <w:p w:rsidR="008E2D04" w:rsidRDefault="00B0579D" w:rsidP="008E2D04">
      <w:pPr>
        <w:pStyle w:val="Heading1"/>
        <w:keepNext/>
        <w:keepLines/>
        <w:numPr>
          <w:ilvl w:val="0"/>
          <w:numId w:val="42"/>
        </w:numPr>
        <w:spacing w:before="120"/>
        <w:ind w:left="1440" w:hanging="720"/>
      </w:pPr>
      <w:r>
        <w:t>Approve</w:t>
      </w:r>
      <w:r w:rsidR="005B2FD2" w:rsidRPr="00955FE0">
        <w:t xml:space="preserve"> the proposed monitoring and evaluation work programm</w:t>
      </w:r>
      <w:r w:rsidR="00F16DA0">
        <w:t>e for 2017</w:t>
      </w:r>
      <w:r w:rsidR="005B2FD2" w:rsidRPr="00955FE0">
        <w:t xml:space="preserve"> at a budget of </w:t>
      </w:r>
      <w:r w:rsidR="005B2FD2" w:rsidRPr="00CE37C6">
        <w:t>US $</w:t>
      </w:r>
      <w:r w:rsidR="00871428" w:rsidRPr="00871428">
        <w:t>143,484</w:t>
      </w:r>
      <w:r w:rsidR="00722207">
        <w:t xml:space="preserve"> </w:t>
      </w:r>
      <w:r w:rsidR="005B2FD2" w:rsidRPr="00955FE0">
        <w:t>as shown in Table 2 of document UNEP/OzL.Pro/ExCom/</w:t>
      </w:r>
      <w:r w:rsidR="00F16DA0">
        <w:t>77</w:t>
      </w:r>
      <w:r w:rsidR="005B2FD2" w:rsidRPr="00955FE0">
        <w:t>/</w:t>
      </w:r>
      <w:r w:rsidR="0014651C">
        <w:t>10</w:t>
      </w:r>
      <w:r w:rsidR="008E2D04">
        <w:t>/Rev.1; and</w:t>
      </w:r>
    </w:p>
    <w:p w:rsidR="008E2D04" w:rsidRDefault="0002400A" w:rsidP="008E2D04">
      <w:pPr>
        <w:pStyle w:val="Heading1"/>
        <w:keepNext/>
        <w:keepLines/>
        <w:numPr>
          <w:ilvl w:val="0"/>
          <w:numId w:val="42"/>
        </w:numPr>
        <w:spacing w:before="120"/>
        <w:ind w:left="1440" w:hanging="720"/>
      </w:pPr>
      <w:r>
        <w:t>R</w:t>
      </w:r>
      <w:r w:rsidR="008E2D04">
        <w:t xml:space="preserve">equest the Senior Monitoring and Evaluation Officer to </w:t>
      </w:r>
      <w:r w:rsidR="00E07E45">
        <w:t>present an amendment to the</w:t>
      </w:r>
      <w:r w:rsidR="00E07E45" w:rsidRPr="00871428">
        <w:t xml:space="preserve"> </w:t>
      </w:r>
      <w:r w:rsidR="00E07E45" w:rsidRPr="00955FE0">
        <w:t>monitoring and evaluation work programm</w:t>
      </w:r>
      <w:r w:rsidR="00E07E45">
        <w:t xml:space="preserve">e for 2017 </w:t>
      </w:r>
      <w:r w:rsidR="00871428">
        <w:t>to the 79</w:t>
      </w:r>
      <w:r w:rsidR="00871428" w:rsidRPr="0002789F">
        <w:rPr>
          <w:vertAlign w:val="superscript"/>
        </w:rPr>
        <w:t>th</w:t>
      </w:r>
      <w:r w:rsidR="00871428">
        <w:t xml:space="preserve"> meeting</w:t>
      </w:r>
      <w:r w:rsidR="00E07E45">
        <w:t>,</w:t>
      </w:r>
      <w:r w:rsidR="00871428">
        <w:t xml:space="preserve"> </w:t>
      </w:r>
      <w:r w:rsidR="004B1510">
        <w:t>to include the evaluation of the</w:t>
      </w:r>
      <w:r w:rsidR="00871428">
        <w:t xml:space="preserve"> refrigeration</w:t>
      </w:r>
      <w:r w:rsidR="004B1510">
        <w:t xml:space="preserve"> servicing sector</w:t>
      </w:r>
      <w:r w:rsidR="00871428">
        <w:t>, with terms of reference and the budget</w:t>
      </w:r>
      <w:r w:rsidR="0002789F">
        <w:t xml:space="preserve">. </w:t>
      </w:r>
    </w:p>
    <w:p w:rsidR="008E2D04" w:rsidRDefault="008E2D04" w:rsidP="008E2D04"/>
    <w:p w:rsidR="008E2D04" w:rsidRPr="008E2D04" w:rsidRDefault="008E2D04" w:rsidP="008E2D04">
      <w:pPr>
        <w:sectPr w:rsidR="008E2D04" w:rsidRPr="008E2D04" w:rsidSect="00C32EFE">
          <w:headerReference w:type="even" r:id="rId11"/>
          <w:headerReference w:type="default" r:id="rId12"/>
          <w:footerReference w:type="even" r:id="rId13"/>
          <w:footerReference w:type="default" r:id="rId14"/>
          <w:headerReference w:type="first" r:id="rId15"/>
          <w:pgSz w:w="12240" w:h="15840" w:code="1"/>
          <w:pgMar w:top="720" w:right="1440" w:bottom="864" w:left="1440" w:header="720" w:footer="475" w:gutter="0"/>
          <w:pgNumType w:start="1"/>
          <w:cols w:space="720"/>
          <w:titlePg/>
        </w:sectPr>
      </w:pPr>
    </w:p>
    <w:p w:rsidR="00A16FB4" w:rsidRDefault="008E2D04" w:rsidP="00BE1792">
      <w:pPr>
        <w:pStyle w:val="StyleHeader4Para4Left0Firstline0"/>
        <w:numPr>
          <w:ilvl w:val="0"/>
          <w:numId w:val="0"/>
        </w:numPr>
        <w:jc w:val="center"/>
        <w:rPr>
          <w:b/>
          <w:lang w:val="en-US"/>
        </w:rPr>
      </w:pPr>
      <w:r>
        <w:rPr>
          <w:b/>
          <w:lang w:val="en-US"/>
        </w:rPr>
        <w:lastRenderedPageBreak/>
        <w:t>Annex I</w:t>
      </w:r>
    </w:p>
    <w:p w:rsidR="00A16FB4" w:rsidRDefault="00A16FB4" w:rsidP="00BE1792">
      <w:pPr>
        <w:spacing w:before="120" w:after="240"/>
        <w:jc w:val="center"/>
        <w:rPr>
          <w:b/>
          <w:lang w:val="en-US"/>
        </w:rPr>
      </w:pPr>
      <w:r>
        <w:rPr>
          <w:b/>
          <w:lang w:val="en-US"/>
        </w:rPr>
        <w:t>TERMS OF REFERENCE FOR THE EVALUATION OF CHILLER PROJECTS WITH CO-FUNDING MODALITIES</w:t>
      </w:r>
    </w:p>
    <w:p w:rsidR="00A16FB4" w:rsidRDefault="00A16FB4" w:rsidP="00BE1792">
      <w:pPr>
        <w:spacing w:before="120" w:after="240"/>
        <w:rPr>
          <w:lang w:val="en-US"/>
        </w:rPr>
      </w:pPr>
      <w:r>
        <w:rPr>
          <w:b/>
        </w:rPr>
        <w:t>Background</w:t>
      </w:r>
    </w:p>
    <w:p w:rsidR="00A16FB4" w:rsidRDefault="00A16FB4" w:rsidP="00BE1792">
      <w:pPr>
        <w:pStyle w:val="Heading1"/>
        <w:numPr>
          <w:ilvl w:val="0"/>
          <w:numId w:val="9"/>
        </w:numPr>
        <w:spacing w:before="120"/>
        <w:rPr>
          <w:color w:val="000000"/>
          <w:lang w:val="en-US"/>
        </w:rPr>
      </w:pPr>
      <w:r>
        <w:rPr>
          <w:color w:val="000000"/>
          <w:lang w:val="en-US"/>
        </w:rPr>
        <w:t>The desk study on the evaluation of chiller projects carried out in 2012 and submitted to the 68</w:t>
      </w:r>
      <w:r>
        <w:rPr>
          <w:color w:val="000000"/>
          <w:vertAlign w:val="superscript"/>
          <w:lang w:val="en-US"/>
        </w:rPr>
        <w:t>th</w:t>
      </w:r>
      <w:r>
        <w:rPr>
          <w:color w:val="000000"/>
          <w:lang w:val="en-US"/>
        </w:rPr>
        <w:t> meeting</w:t>
      </w:r>
      <w:r>
        <w:rPr>
          <w:rStyle w:val="FootnoteReference"/>
          <w:color w:val="000000"/>
          <w:lang w:val="en-US"/>
        </w:rPr>
        <w:footnoteReference w:id="1"/>
      </w:r>
      <w:r>
        <w:rPr>
          <w:color w:val="000000"/>
          <w:lang w:val="en-US"/>
        </w:rPr>
        <w:t xml:space="preserve"> analyzed the efficacy of the eight demonstration projects with a view to improving understanding of progress made, difficulties still being encountered, various attributes and/or shortcomings of the co-funding mechanisms and project approaches in the implementation of chiller projects.</w:t>
      </w:r>
    </w:p>
    <w:p w:rsidR="00A16FB4" w:rsidRDefault="00A16FB4" w:rsidP="00BE1792">
      <w:pPr>
        <w:pStyle w:val="Heading1"/>
        <w:numPr>
          <w:ilvl w:val="0"/>
          <w:numId w:val="9"/>
        </w:numPr>
        <w:spacing w:before="120"/>
      </w:pPr>
      <w:r>
        <w:rPr>
          <w:color w:val="000000"/>
          <w:lang w:val="en-US"/>
        </w:rPr>
        <w:t>The report concluded that the system of stimuli used to drive replacements has uneven results, it is not working in all countries and where it is working it is not fast enough. It includes a large variety of mechanisms</w:t>
      </w:r>
      <w:r>
        <w:t>, promotions and incentives which are utilized in the eight demonstration projects. However, initiation of these projects had been slow at the time the desk study was written and therefore progress reporting was limited, postponing the second stage of the evaluation, which includes field visits, until the projects reached a more mature stage of implementation. After consultations with the implementing agencies during the Inter-agency coordination meeting</w:t>
      </w:r>
      <w:r w:rsidR="00DE0696">
        <w:rPr>
          <w:rStyle w:val="FootnoteReference"/>
        </w:rPr>
        <w:footnoteReference w:id="2"/>
      </w:r>
      <w:r>
        <w:t xml:space="preserve">, it was </w:t>
      </w:r>
      <w:r w:rsidR="00530E1B">
        <w:t>agreed</w:t>
      </w:r>
      <w:r>
        <w:t xml:space="preserve"> that the organization of the second stage of the evaluation for 2017 was opportune.</w:t>
      </w:r>
      <w:r w:rsidR="00380B8D">
        <w:t xml:space="preserve"> </w:t>
      </w:r>
    </w:p>
    <w:p w:rsidR="00A16FB4" w:rsidRDefault="00530E1B" w:rsidP="00BE1792">
      <w:pPr>
        <w:spacing w:before="120" w:after="240"/>
        <w:rPr>
          <w:b/>
        </w:rPr>
      </w:pPr>
      <w:r>
        <w:rPr>
          <w:b/>
        </w:rPr>
        <w:t>Objective</w:t>
      </w:r>
      <w:r w:rsidR="00A16FB4">
        <w:rPr>
          <w:b/>
        </w:rPr>
        <w:t xml:space="preserve"> of the evaluation</w:t>
      </w:r>
    </w:p>
    <w:p w:rsidR="00A16FB4" w:rsidRDefault="00A16FB4" w:rsidP="00BE1792">
      <w:pPr>
        <w:pStyle w:val="Heading1"/>
        <w:numPr>
          <w:ilvl w:val="0"/>
          <w:numId w:val="9"/>
        </w:numPr>
        <w:spacing w:before="120"/>
      </w:pPr>
      <w:r>
        <w:rPr>
          <w:color w:val="000000"/>
          <w:lang w:val="en-US"/>
        </w:rPr>
        <w:t xml:space="preserve">The objective of the evaluation is to collect and analyze information with the aim of finding an answer </w:t>
      </w:r>
      <w:r>
        <w:rPr>
          <w:rFonts w:eastAsia="Calibri"/>
        </w:rPr>
        <w:t xml:space="preserve">to the questions and issues stressed in the desk study, especially those related to the functioning of various financial mechanisms. The evaluation will examine </w:t>
      </w:r>
      <w:r>
        <w:t xml:space="preserve">the current demonstration projects and assess </w:t>
      </w:r>
      <w:r>
        <w:rPr>
          <w:rFonts w:eastAsia="Calibri"/>
        </w:rPr>
        <w:t>whether</w:t>
      </w:r>
      <w:r>
        <w:t xml:space="preserve"> sufficient incentives are in place to catalyse replacements without the Multilateral Fund’</w:t>
      </w:r>
      <w:r w:rsidR="00530E1B">
        <w:t>s resources, and</w:t>
      </w:r>
      <w:r>
        <w:t xml:space="preserve"> the problems to be expected in the private sector chillers replacement as well as in the public sector in countries where funds for c</w:t>
      </w:r>
      <w:r w:rsidR="00530E1B">
        <w:t>hiller replacements are scarce.</w:t>
      </w:r>
    </w:p>
    <w:p w:rsidR="00A16FB4" w:rsidRDefault="00A16FB4" w:rsidP="00BE1792">
      <w:pPr>
        <w:pStyle w:val="Heading1"/>
        <w:numPr>
          <w:ilvl w:val="0"/>
          <w:numId w:val="9"/>
        </w:numPr>
        <w:spacing w:before="120"/>
      </w:pPr>
      <w:r>
        <w:t>Based on its findings, the second phase of the evaluation</w:t>
      </w:r>
      <w:r>
        <w:rPr>
          <w:rFonts w:eastAsia="Calibri"/>
        </w:rPr>
        <w:t xml:space="preserve"> will formulate </w:t>
      </w:r>
      <w:r>
        <w:rPr>
          <w:lang w:val="en-US"/>
        </w:rPr>
        <w:t>lessons learned that will contribute to future policy development concerning resource mobilization. The field visits</w:t>
      </w:r>
      <w:r>
        <w:t xml:space="preserve"> will cover </w:t>
      </w:r>
      <w:r w:rsidR="00742679">
        <w:t>eight</w:t>
      </w:r>
      <w:r>
        <w:t xml:space="preserve"> countries with chiller demonstration projects and will ask the following questions. </w:t>
      </w:r>
    </w:p>
    <w:p w:rsidR="00A16FB4" w:rsidRDefault="00A16FB4" w:rsidP="00BE1792">
      <w:pPr>
        <w:pStyle w:val="Heading1"/>
        <w:keepNext/>
        <w:numPr>
          <w:ilvl w:val="0"/>
          <w:numId w:val="0"/>
        </w:numPr>
        <w:tabs>
          <w:tab w:val="left" w:pos="720"/>
        </w:tabs>
        <w:spacing w:before="120"/>
      </w:pPr>
      <w:r>
        <w:rPr>
          <w:b/>
          <w:bCs/>
          <w:lang w:val="en-US"/>
        </w:rPr>
        <w:t>National chiller context</w:t>
      </w:r>
    </w:p>
    <w:p w:rsidR="00A16FB4" w:rsidRDefault="00A16FB4" w:rsidP="00BE1792">
      <w:pPr>
        <w:pStyle w:val="ListParagraph"/>
        <w:numPr>
          <w:ilvl w:val="0"/>
          <w:numId w:val="37"/>
        </w:numPr>
        <w:autoSpaceDE w:val="0"/>
        <w:autoSpaceDN w:val="0"/>
        <w:adjustRightInd w:val="0"/>
        <w:spacing w:before="120" w:after="240"/>
        <w:ind w:left="1440" w:hanging="720"/>
        <w:contextualSpacing w:val="0"/>
        <w:outlineLvl w:val="0"/>
      </w:pPr>
      <w:r>
        <w:t xml:space="preserve">Does the country have an inventory/database of all CFC chillers remaining in operation? What is the age profile of the chillers not as yet converted or replaced? How many chillers of the total were replaced </w:t>
      </w:r>
      <w:r w:rsidR="00995211">
        <w:t xml:space="preserve">since the beginning of project implementation </w:t>
      </w:r>
      <w:r>
        <w:t xml:space="preserve">to date and how many remain? </w:t>
      </w:r>
    </w:p>
    <w:p w:rsidR="00976EC4" w:rsidRDefault="00A16FB4" w:rsidP="00BE1792">
      <w:pPr>
        <w:pStyle w:val="ListParagraph"/>
        <w:numPr>
          <w:ilvl w:val="0"/>
          <w:numId w:val="37"/>
        </w:numPr>
        <w:autoSpaceDE w:val="0"/>
        <w:autoSpaceDN w:val="0"/>
        <w:adjustRightInd w:val="0"/>
        <w:spacing w:before="120" w:after="240"/>
        <w:ind w:left="1440" w:hanging="720"/>
        <w:contextualSpacing w:val="0"/>
        <w:outlineLvl w:val="0"/>
      </w:pPr>
      <w:r>
        <w:t>What is the remaining chiller-based CFC demand in the country? And if there is one, how and when is this demand expected to trail off? How is the remaining demand to be met?</w:t>
      </w:r>
    </w:p>
    <w:p w:rsidR="00976EC4" w:rsidRPr="0003081A" w:rsidRDefault="00976EC4" w:rsidP="00BE1792">
      <w:pPr>
        <w:pStyle w:val="ListParagraph"/>
        <w:numPr>
          <w:ilvl w:val="0"/>
          <w:numId w:val="37"/>
        </w:numPr>
        <w:autoSpaceDE w:val="0"/>
        <w:autoSpaceDN w:val="0"/>
        <w:adjustRightInd w:val="0"/>
        <w:spacing w:before="120" w:after="240"/>
        <w:ind w:left="1440" w:hanging="720"/>
        <w:contextualSpacing w:val="0"/>
        <w:outlineLvl w:val="0"/>
      </w:pPr>
      <w:r w:rsidRPr="0003081A">
        <w:t>The impact of regional projects successes and failures on neighboring Article 5 countries.</w:t>
      </w:r>
    </w:p>
    <w:p w:rsidR="00A16FB4" w:rsidRDefault="00A16FB4" w:rsidP="00BE1792">
      <w:pPr>
        <w:keepNext/>
        <w:spacing w:before="120" w:after="240"/>
        <w:rPr>
          <w:b/>
          <w:lang w:val="en-US"/>
        </w:rPr>
      </w:pPr>
      <w:r>
        <w:rPr>
          <w:b/>
          <w:lang w:val="en-US"/>
        </w:rPr>
        <w:lastRenderedPageBreak/>
        <w:t>Institutional and legislative issues</w:t>
      </w:r>
    </w:p>
    <w:p w:rsidR="00A16FB4" w:rsidRPr="00410FCF" w:rsidRDefault="00A16FB4" w:rsidP="00BE1792">
      <w:pPr>
        <w:pStyle w:val="ListParagraph"/>
        <w:keepNext/>
        <w:numPr>
          <w:ilvl w:val="0"/>
          <w:numId w:val="38"/>
        </w:numPr>
        <w:autoSpaceDE w:val="0"/>
        <w:autoSpaceDN w:val="0"/>
        <w:adjustRightInd w:val="0"/>
        <w:spacing w:before="120" w:after="240"/>
        <w:ind w:left="1440" w:hanging="720"/>
        <w:contextualSpacing w:val="0"/>
        <w:outlineLvl w:val="0"/>
      </w:pPr>
      <w:r w:rsidRPr="00410FCF">
        <w:t xml:space="preserve">Which institution(s) coordinate(s) the chiller replacement (policies and funding)? Is there a national strategy in place to phase out all CFC chillers? Are the required regulatory provisions to drive the chiller phase-out in place? If not, what is still needed? </w:t>
      </w:r>
    </w:p>
    <w:p w:rsidR="00A16FB4" w:rsidRDefault="00A16FB4" w:rsidP="00BE1792">
      <w:pPr>
        <w:pStyle w:val="ListParagraph"/>
        <w:numPr>
          <w:ilvl w:val="0"/>
          <w:numId w:val="38"/>
        </w:numPr>
        <w:autoSpaceDE w:val="0"/>
        <w:autoSpaceDN w:val="0"/>
        <w:adjustRightInd w:val="0"/>
        <w:spacing w:before="120" w:after="240"/>
        <w:ind w:left="1440" w:hanging="720"/>
        <w:contextualSpacing w:val="0"/>
        <w:outlineLvl w:val="0"/>
      </w:pPr>
      <w:r>
        <w:t xml:space="preserve">Were </w:t>
      </w:r>
      <w:r w:rsidR="00522A1A">
        <w:t xml:space="preserve">project designs </w:t>
      </w:r>
      <w:r>
        <w:t>differen</w:t>
      </w:r>
      <w:r w:rsidR="00522A1A">
        <w:t>t</w:t>
      </w:r>
      <w:r>
        <w:t xml:space="preserve"> in approach for the public and private sector chillers? Is the private sector proceeding with replacements without assistance and if so why? Is it a fear of diminishing CFC supply or other concerns? </w:t>
      </w:r>
    </w:p>
    <w:p w:rsidR="00A16FB4" w:rsidRDefault="00A16FB4" w:rsidP="00BE1792">
      <w:pPr>
        <w:pStyle w:val="ListParagraph"/>
        <w:numPr>
          <w:ilvl w:val="0"/>
          <w:numId w:val="38"/>
        </w:numPr>
        <w:autoSpaceDE w:val="0"/>
        <w:autoSpaceDN w:val="0"/>
        <w:adjustRightInd w:val="0"/>
        <w:spacing w:before="120" w:after="240"/>
        <w:ind w:left="1440" w:hanging="720"/>
        <w:contextualSpacing w:val="0"/>
        <w:outlineLvl w:val="0"/>
      </w:pPr>
      <w:r>
        <w:t>Are all of the stak</w:t>
      </w:r>
      <w:r w:rsidR="006A1489">
        <w:t>eholders (including government m</w:t>
      </w:r>
      <w:r>
        <w:t>inistries) engaged in the conversion? Is there a coordination/communication mechanism and, if so, how is it working?</w:t>
      </w:r>
    </w:p>
    <w:p w:rsidR="00A16FB4" w:rsidRDefault="00A16FB4" w:rsidP="00BE1792">
      <w:pPr>
        <w:pStyle w:val="ListParagraph"/>
        <w:numPr>
          <w:ilvl w:val="0"/>
          <w:numId w:val="38"/>
        </w:numPr>
        <w:autoSpaceDE w:val="0"/>
        <w:autoSpaceDN w:val="0"/>
        <w:adjustRightInd w:val="0"/>
        <w:spacing w:before="120" w:after="240"/>
        <w:ind w:left="1440" w:hanging="720"/>
        <w:contextualSpacing w:val="0"/>
        <w:outlineLvl w:val="0"/>
      </w:pPr>
      <w:r>
        <w:t xml:space="preserve">If there is a </w:t>
      </w:r>
      <w:r w:rsidRPr="0003081A">
        <w:t>dissemination strategy</w:t>
      </w:r>
      <w:r>
        <w:t>, how is it planned and how was the management modality working? If it is not working, what are the reasons?</w:t>
      </w:r>
    </w:p>
    <w:p w:rsidR="00522A1A" w:rsidRDefault="00A16FB4" w:rsidP="00BE1792">
      <w:pPr>
        <w:pStyle w:val="ListParagraph"/>
        <w:numPr>
          <w:ilvl w:val="0"/>
          <w:numId w:val="38"/>
        </w:numPr>
        <w:autoSpaceDE w:val="0"/>
        <w:autoSpaceDN w:val="0"/>
        <w:adjustRightInd w:val="0"/>
        <w:spacing w:before="120" w:after="240"/>
        <w:ind w:left="1440" w:hanging="720"/>
        <w:contextualSpacing w:val="0"/>
        <w:outlineLvl w:val="0"/>
      </w:pPr>
      <w:r>
        <w:t>What role, if any, did the various demonstration projects play in designing and implementing the chiller phase-out strategies?</w:t>
      </w:r>
      <w:r w:rsidR="00522A1A">
        <w:t xml:space="preserve"> </w:t>
      </w:r>
    </w:p>
    <w:p w:rsidR="00522A1A" w:rsidRDefault="00522A1A" w:rsidP="00BE1792">
      <w:pPr>
        <w:pStyle w:val="ListParagraph"/>
        <w:numPr>
          <w:ilvl w:val="0"/>
          <w:numId w:val="38"/>
        </w:numPr>
        <w:autoSpaceDE w:val="0"/>
        <w:autoSpaceDN w:val="0"/>
        <w:adjustRightInd w:val="0"/>
        <w:spacing w:before="120" w:after="240"/>
        <w:ind w:left="1440" w:hanging="720"/>
        <w:contextualSpacing w:val="0"/>
        <w:outlineLvl w:val="0"/>
      </w:pPr>
      <w:r>
        <w:t>Were there private/public sector policies and strategies in place?</w:t>
      </w:r>
      <w:r w:rsidR="003734A3" w:rsidRPr="003734A3">
        <w:t xml:space="preserve"> </w:t>
      </w:r>
      <w:r w:rsidR="003734A3">
        <w:t>Were there corporate social responsibility program</w:t>
      </w:r>
      <w:r w:rsidR="006A1489">
        <w:t>me</w:t>
      </w:r>
      <w:r w:rsidR="003734A3">
        <w:t>s in place driving the replacement of chillers? Were there any green initiatives implemented with the projects (i.e., green buildings)?</w:t>
      </w:r>
    </w:p>
    <w:p w:rsidR="00522A1A" w:rsidRPr="00522A1A" w:rsidRDefault="00522A1A" w:rsidP="00BE1792">
      <w:pPr>
        <w:pStyle w:val="ListParagraph"/>
        <w:numPr>
          <w:ilvl w:val="0"/>
          <w:numId w:val="38"/>
        </w:numPr>
        <w:autoSpaceDE w:val="0"/>
        <w:autoSpaceDN w:val="0"/>
        <w:adjustRightInd w:val="0"/>
        <w:spacing w:before="120" w:after="240"/>
        <w:ind w:left="1440" w:hanging="720"/>
        <w:contextualSpacing w:val="0"/>
        <w:outlineLvl w:val="0"/>
      </w:pPr>
      <w:r w:rsidRPr="00522A1A">
        <w:t>Were energy efficiency standards playing a role in the replacement of CFC chillers?</w:t>
      </w:r>
    </w:p>
    <w:p w:rsidR="00A16FB4" w:rsidRDefault="00A16FB4" w:rsidP="00BE1792">
      <w:pPr>
        <w:spacing w:before="120" w:after="240"/>
        <w:rPr>
          <w:b/>
          <w:lang w:val="en-US"/>
        </w:rPr>
      </w:pPr>
      <w:r>
        <w:rPr>
          <w:b/>
          <w:lang w:val="en-US"/>
        </w:rPr>
        <w:t>Funding-related issues</w:t>
      </w:r>
    </w:p>
    <w:p w:rsidR="00A16FB4" w:rsidRPr="00410FCF" w:rsidRDefault="00A16FB4" w:rsidP="00BE1792">
      <w:pPr>
        <w:pStyle w:val="ListParagraph"/>
        <w:numPr>
          <w:ilvl w:val="0"/>
          <w:numId w:val="39"/>
        </w:numPr>
        <w:autoSpaceDE w:val="0"/>
        <w:autoSpaceDN w:val="0"/>
        <w:adjustRightInd w:val="0"/>
        <w:spacing w:before="120" w:after="240"/>
        <w:ind w:left="1440" w:hanging="720"/>
        <w:contextualSpacing w:val="0"/>
        <w:outlineLvl w:val="0"/>
      </w:pPr>
      <w:r w:rsidRPr="00410FCF">
        <w:t xml:space="preserve">How was the funding modality selected? What barriers or impediments did it encounter? </w:t>
      </w:r>
    </w:p>
    <w:p w:rsidR="00A16FB4" w:rsidRDefault="00A16FB4" w:rsidP="00BE1792">
      <w:pPr>
        <w:pStyle w:val="ListParagraph"/>
        <w:numPr>
          <w:ilvl w:val="0"/>
          <w:numId w:val="39"/>
        </w:numPr>
        <w:autoSpaceDE w:val="0"/>
        <w:autoSpaceDN w:val="0"/>
        <w:adjustRightInd w:val="0"/>
        <w:spacing w:before="120" w:after="240"/>
        <w:ind w:left="1440" w:hanging="720"/>
        <w:contextualSpacing w:val="0"/>
        <w:outlineLvl w:val="0"/>
      </w:pPr>
      <w:r>
        <w:t>Has co-funding been mobilized or is it anticipated? What were, or are, the problems associated with donor coordination in the face of different criteria, schedules and priorities? How were they overcome?</w:t>
      </w:r>
    </w:p>
    <w:p w:rsidR="00A16FB4" w:rsidRDefault="00A16FB4" w:rsidP="00BE1792">
      <w:pPr>
        <w:pStyle w:val="ListParagraph"/>
        <w:numPr>
          <w:ilvl w:val="0"/>
          <w:numId w:val="39"/>
        </w:numPr>
        <w:autoSpaceDE w:val="0"/>
        <w:autoSpaceDN w:val="0"/>
        <w:adjustRightInd w:val="0"/>
        <w:spacing w:before="120" w:after="240"/>
        <w:ind w:left="1440" w:hanging="720"/>
        <w:contextualSpacing w:val="0"/>
        <w:outlineLvl w:val="0"/>
      </w:pPr>
      <w:r>
        <w:t>What agreements are/were needed and concluded (why were they needed, with whom, and what is covered)?</w:t>
      </w:r>
    </w:p>
    <w:p w:rsidR="00A16FB4" w:rsidRDefault="00A16FB4" w:rsidP="00BE1792">
      <w:pPr>
        <w:pStyle w:val="ListParagraph"/>
        <w:numPr>
          <w:ilvl w:val="0"/>
          <w:numId w:val="39"/>
        </w:numPr>
        <w:autoSpaceDE w:val="0"/>
        <w:autoSpaceDN w:val="0"/>
        <w:adjustRightInd w:val="0"/>
        <w:spacing w:before="120" w:after="240"/>
        <w:ind w:left="1440" w:hanging="720"/>
        <w:contextualSpacing w:val="0"/>
        <w:outlineLvl w:val="0"/>
      </w:pPr>
      <w:r>
        <w:t>Are chillers replacements occurring outside the project (i.e., chiller owners and operators</w:t>
      </w:r>
      <w:r w:rsidR="00A6389A">
        <w:t>)</w:t>
      </w:r>
      <w:r>
        <w:t xml:space="preserve"> are undertaking replacements on their own initiative? If so, why?</w:t>
      </w:r>
    </w:p>
    <w:p w:rsidR="00A16FB4" w:rsidRDefault="00A16FB4" w:rsidP="00BE1792">
      <w:pPr>
        <w:pStyle w:val="ListParagraph"/>
        <w:numPr>
          <w:ilvl w:val="0"/>
          <w:numId w:val="39"/>
        </w:numPr>
        <w:autoSpaceDE w:val="0"/>
        <w:autoSpaceDN w:val="0"/>
        <w:adjustRightInd w:val="0"/>
        <w:spacing w:before="120" w:after="240"/>
        <w:ind w:left="1440" w:hanging="720"/>
        <w:contextualSpacing w:val="0"/>
        <w:outlineLvl w:val="0"/>
      </w:pPr>
      <w:r>
        <w:t>What are the chiller owners’ perceptions/views on the efficacy of the various funding arrangements or mechanisms (</w:t>
      </w:r>
      <w:r w:rsidR="006A1489">
        <w:t xml:space="preserve">e.g., </w:t>
      </w:r>
      <w:r>
        <w:t>concessional</w:t>
      </w:r>
      <w:r w:rsidR="006A1489">
        <w:t xml:space="preserve"> loans, grants, revolving funds</w:t>
      </w:r>
      <w:r>
        <w:t>)?</w:t>
      </w:r>
    </w:p>
    <w:p w:rsidR="00A16FB4" w:rsidRDefault="00A16FB4" w:rsidP="00BE1792">
      <w:pPr>
        <w:keepNext/>
        <w:keepLines/>
        <w:spacing w:before="120" w:after="240"/>
        <w:rPr>
          <w:b/>
          <w:lang w:val="en-US"/>
        </w:rPr>
      </w:pPr>
      <w:r>
        <w:rPr>
          <w:b/>
          <w:lang w:val="en-US"/>
        </w:rPr>
        <w:t>Implementation issues</w:t>
      </w:r>
    </w:p>
    <w:p w:rsidR="00A16FB4" w:rsidRPr="00410FCF" w:rsidRDefault="00A16FB4" w:rsidP="00BE1792">
      <w:pPr>
        <w:pStyle w:val="ListParagraph"/>
        <w:numPr>
          <w:ilvl w:val="0"/>
          <w:numId w:val="40"/>
        </w:numPr>
        <w:autoSpaceDE w:val="0"/>
        <w:autoSpaceDN w:val="0"/>
        <w:adjustRightInd w:val="0"/>
        <w:spacing w:before="120" w:after="240"/>
        <w:ind w:left="1440" w:hanging="720"/>
        <w:contextualSpacing w:val="0"/>
        <w:outlineLvl w:val="0"/>
      </w:pPr>
      <w:r w:rsidRPr="00410FCF">
        <w:t>With ongoing chiller conversions and replacements have there been barriers and impediments resulting in significant delays? If so, what were these and have they been resolved; and how?</w:t>
      </w:r>
    </w:p>
    <w:p w:rsidR="00A16FB4" w:rsidRDefault="00A16FB4" w:rsidP="00BE1792">
      <w:pPr>
        <w:pStyle w:val="ListParagraph"/>
        <w:numPr>
          <w:ilvl w:val="0"/>
          <w:numId w:val="40"/>
        </w:numPr>
        <w:autoSpaceDE w:val="0"/>
        <w:autoSpaceDN w:val="0"/>
        <w:adjustRightInd w:val="0"/>
        <w:spacing w:before="120" w:after="240"/>
        <w:ind w:left="1440" w:hanging="720"/>
        <w:contextualSpacing w:val="0"/>
        <w:outlineLvl w:val="0"/>
      </w:pPr>
      <w:r>
        <w:t>What are the main reasons for public and private sector chiller operators to delay replacement? To what extent, and how, have they been addressed and overcome?</w:t>
      </w:r>
    </w:p>
    <w:p w:rsidR="00A16FB4" w:rsidRDefault="00A16FB4" w:rsidP="00BE1792">
      <w:pPr>
        <w:pStyle w:val="ListParagraph"/>
        <w:numPr>
          <w:ilvl w:val="0"/>
          <w:numId w:val="40"/>
        </w:numPr>
        <w:autoSpaceDE w:val="0"/>
        <w:autoSpaceDN w:val="0"/>
        <w:adjustRightInd w:val="0"/>
        <w:spacing w:before="120" w:after="240"/>
        <w:ind w:left="1440" w:hanging="720"/>
        <w:contextualSpacing w:val="0"/>
        <w:outlineLvl w:val="0"/>
      </w:pPr>
      <w:r>
        <w:t>For the chillers that have been replaced to date, what were the actual chiller replacement costs (relative to expectations)</w:t>
      </w:r>
      <w:r w:rsidR="003734A3">
        <w:t xml:space="preserve">, </w:t>
      </w:r>
      <w:r>
        <w:t>and how were these costs met? (Who paid what share?)</w:t>
      </w:r>
      <w:r w:rsidR="003734A3">
        <w:t xml:space="preserve"> </w:t>
      </w:r>
      <w:proofErr w:type="gramStart"/>
      <w:r w:rsidR="003734A3">
        <w:t>and</w:t>
      </w:r>
      <w:proofErr w:type="gramEnd"/>
      <w:r w:rsidR="003734A3">
        <w:t xml:space="preserve"> what were the alternative technologies used?</w:t>
      </w:r>
    </w:p>
    <w:p w:rsidR="00A16FB4" w:rsidRDefault="00A16FB4" w:rsidP="00BE1792">
      <w:pPr>
        <w:pStyle w:val="ListParagraph"/>
        <w:numPr>
          <w:ilvl w:val="0"/>
          <w:numId w:val="40"/>
        </w:numPr>
        <w:autoSpaceDE w:val="0"/>
        <w:autoSpaceDN w:val="0"/>
        <w:adjustRightInd w:val="0"/>
        <w:spacing w:before="120" w:after="240"/>
        <w:ind w:left="1440" w:hanging="720"/>
        <w:contextualSpacing w:val="0"/>
        <w:outlineLvl w:val="0"/>
      </w:pPr>
      <w:r>
        <w:lastRenderedPageBreak/>
        <w:t xml:space="preserve">What was the role (or possible future role) of energy savings in both project design and implementation? Can </w:t>
      </w:r>
      <w:r w:rsidR="006A1489">
        <w:t>energy service c</w:t>
      </w:r>
      <w:r w:rsidR="00A6389A">
        <w:t>ompanies</w:t>
      </w:r>
      <w:r w:rsidR="006A1489">
        <w:t xml:space="preserve"> and utilities be used</w:t>
      </w:r>
      <w:r>
        <w:t>? If not, why? Are energy savings now a sufficient driver to cause replacements?</w:t>
      </w:r>
    </w:p>
    <w:p w:rsidR="00A16FB4" w:rsidRDefault="00A16FB4" w:rsidP="00BE1792">
      <w:pPr>
        <w:pStyle w:val="ListParagraph"/>
        <w:numPr>
          <w:ilvl w:val="0"/>
          <w:numId w:val="40"/>
        </w:numPr>
        <w:autoSpaceDE w:val="0"/>
        <w:autoSpaceDN w:val="0"/>
        <w:adjustRightInd w:val="0"/>
        <w:spacing w:before="120" w:after="240"/>
        <w:ind w:left="1440" w:hanging="720"/>
        <w:contextualSpacing w:val="0"/>
        <w:outlineLvl w:val="0"/>
      </w:pPr>
      <w:r>
        <w:t>Were there any CFC recovered from the chiller projects? Is there, or will there be, any monitoring of recovered CFCs? Is there a plan in place to deal with the recovered CFCs? (Re-use, disposal or destruction?)</w:t>
      </w:r>
    </w:p>
    <w:p w:rsidR="00A16FB4" w:rsidRDefault="00A16FB4" w:rsidP="00BE1792">
      <w:pPr>
        <w:pStyle w:val="Style1"/>
        <w:spacing w:before="120"/>
        <w:rPr>
          <w:color w:val="000000"/>
          <w:lang w:val="en-US"/>
        </w:rPr>
      </w:pPr>
      <w:r>
        <w:rPr>
          <w:color w:val="000000"/>
          <w:lang w:val="en-US"/>
        </w:rPr>
        <w:t>Case study country selection</w:t>
      </w:r>
    </w:p>
    <w:p w:rsidR="00A16FB4" w:rsidRDefault="00A16FB4" w:rsidP="00BE1792">
      <w:pPr>
        <w:pStyle w:val="Heading1"/>
        <w:numPr>
          <w:ilvl w:val="0"/>
          <w:numId w:val="9"/>
        </w:numPr>
        <w:spacing w:before="120"/>
        <w:rPr>
          <w:lang w:val="en-US" w:eastAsia="zh-CN"/>
        </w:rPr>
      </w:pPr>
      <w:r>
        <w:rPr>
          <w:lang w:val="en-US" w:eastAsia="zh-CN"/>
        </w:rPr>
        <w:t>The following countries are proposed to be part of the sample of countries to be</w:t>
      </w:r>
      <w:r w:rsidR="00BA4704">
        <w:rPr>
          <w:lang w:val="en-US" w:eastAsia="zh-CN"/>
        </w:rPr>
        <w:t xml:space="preserve"> visited by the evaluation team:</w:t>
      </w:r>
    </w:p>
    <w:p w:rsidR="00742679" w:rsidRPr="00A411AA" w:rsidRDefault="00742679" w:rsidP="00742679">
      <w:pPr>
        <w:pStyle w:val="ListParagraph"/>
        <w:numPr>
          <w:ilvl w:val="0"/>
          <w:numId w:val="41"/>
        </w:numPr>
        <w:autoSpaceDE w:val="0"/>
        <w:autoSpaceDN w:val="0"/>
        <w:adjustRightInd w:val="0"/>
        <w:spacing w:before="120" w:after="240"/>
        <w:ind w:left="1440" w:hanging="720"/>
        <w:contextualSpacing w:val="0"/>
        <w:outlineLvl w:val="0"/>
      </w:pPr>
      <w:r w:rsidRPr="00A411AA">
        <w:t xml:space="preserve">Argentina, as a country with access to financial inputs such as commercial grants, institutional grants and carbon finance credits. This would allow a more detailed evaluation of the efficacy of this approach; </w:t>
      </w:r>
    </w:p>
    <w:p w:rsidR="00742679" w:rsidRDefault="00742679" w:rsidP="00742679">
      <w:pPr>
        <w:pStyle w:val="ListParagraph"/>
        <w:numPr>
          <w:ilvl w:val="0"/>
          <w:numId w:val="41"/>
        </w:numPr>
        <w:autoSpaceDE w:val="0"/>
        <w:autoSpaceDN w:val="0"/>
        <w:adjustRightInd w:val="0"/>
        <w:spacing w:before="120" w:after="240"/>
        <w:ind w:left="1440" w:hanging="720"/>
        <w:contextualSpacing w:val="0"/>
        <w:outlineLvl w:val="0"/>
      </w:pPr>
      <w:r>
        <w:t>Brazil and Colombia, as countries that have</w:t>
      </w:r>
      <w:r w:rsidRPr="00A411AA">
        <w:t xml:space="preserve"> a fully operational chiller replacement project where there are likely many additional lessons to be learned and where the expectation is that the projects underway will serve as a regional model and catalyze early replacements;</w:t>
      </w:r>
    </w:p>
    <w:p w:rsidR="00A16FB4" w:rsidRDefault="00A16FB4" w:rsidP="00BE1792">
      <w:pPr>
        <w:pStyle w:val="ListParagraph"/>
        <w:numPr>
          <w:ilvl w:val="0"/>
          <w:numId w:val="41"/>
        </w:numPr>
        <w:autoSpaceDE w:val="0"/>
        <w:autoSpaceDN w:val="0"/>
        <w:adjustRightInd w:val="0"/>
        <w:spacing w:before="120" w:after="240"/>
        <w:ind w:left="1440" w:hanging="720"/>
        <w:contextualSpacing w:val="0"/>
        <w:outlineLvl w:val="0"/>
      </w:pPr>
      <w:r w:rsidRPr="00A411AA">
        <w:t xml:space="preserve">Cuba, </w:t>
      </w:r>
      <w:r>
        <w:t>to explore project implementation in the public sector</w:t>
      </w:r>
      <w:r w:rsidRPr="00A411AA">
        <w:t xml:space="preserve"> where chillers are not a luxury, but a necessity (</w:t>
      </w:r>
      <w:r w:rsidR="006A1489" w:rsidRPr="00A411AA">
        <w:t xml:space="preserve">e.g., </w:t>
      </w:r>
      <w:r w:rsidRPr="00A411AA">
        <w:t>instit</w:t>
      </w:r>
      <w:r w:rsidR="006A1489" w:rsidRPr="00A411AA">
        <w:t>utions, laboratories, hospitals);</w:t>
      </w:r>
    </w:p>
    <w:p w:rsidR="00742679" w:rsidRPr="00742679" w:rsidRDefault="00742679" w:rsidP="00742679">
      <w:pPr>
        <w:pStyle w:val="ListParagraph"/>
        <w:numPr>
          <w:ilvl w:val="0"/>
          <w:numId w:val="41"/>
        </w:numPr>
        <w:autoSpaceDE w:val="0"/>
        <w:autoSpaceDN w:val="0"/>
        <w:adjustRightInd w:val="0"/>
        <w:spacing w:before="120" w:after="240"/>
        <w:ind w:left="1440" w:hanging="720"/>
        <w:contextualSpacing w:val="0"/>
        <w:outlineLvl w:val="0"/>
        <w:rPr>
          <w:rFonts w:eastAsia="Calibri"/>
        </w:rPr>
      </w:pPr>
      <w:r w:rsidRPr="00871428">
        <w:t xml:space="preserve">Jordan, as </w:t>
      </w:r>
      <w:r w:rsidR="00F65729">
        <w:t xml:space="preserve">a high-ambient temperature country and </w:t>
      </w:r>
      <w:r>
        <w:t>part of the global project;</w:t>
      </w:r>
    </w:p>
    <w:p w:rsidR="00742679" w:rsidRPr="003F0143" w:rsidRDefault="00742679" w:rsidP="00742679">
      <w:pPr>
        <w:pStyle w:val="ListParagraph"/>
        <w:numPr>
          <w:ilvl w:val="0"/>
          <w:numId w:val="41"/>
        </w:numPr>
        <w:autoSpaceDE w:val="0"/>
        <w:autoSpaceDN w:val="0"/>
        <w:adjustRightInd w:val="0"/>
        <w:spacing w:before="120" w:after="240"/>
        <w:ind w:left="1440" w:hanging="720"/>
        <w:contextualSpacing w:val="0"/>
        <w:outlineLvl w:val="0"/>
        <w:rPr>
          <w:rFonts w:eastAsia="Calibri"/>
        </w:rPr>
      </w:pPr>
      <w:r>
        <w:t xml:space="preserve">The </w:t>
      </w:r>
      <w:r w:rsidRPr="003F0143">
        <w:t xml:space="preserve">Philippines, as a sizable project close to completion, part of the global </w:t>
      </w:r>
      <w:r>
        <w:t>project</w:t>
      </w:r>
      <w:r w:rsidRPr="003F0143">
        <w:t xml:space="preserve"> and with a co-financing </w:t>
      </w:r>
      <w:r>
        <w:t>mechanism with the Global Environment Facility;</w:t>
      </w:r>
    </w:p>
    <w:p w:rsidR="00A16FB4" w:rsidRDefault="006A1489" w:rsidP="00BE1792">
      <w:pPr>
        <w:pStyle w:val="ListParagraph"/>
        <w:numPr>
          <w:ilvl w:val="0"/>
          <w:numId w:val="41"/>
        </w:numPr>
        <w:autoSpaceDE w:val="0"/>
        <w:autoSpaceDN w:val="0"/>
        <w:adjustRightInd w:val="0"/>
        <w:spacing w:before="120" w:after="240"/>
        <w:ind w:left="1440" w:hanging="720"/>
        <w:contextualSpacing w:val="0"/>
        <w:outlineLvl w:val="0"/>
      </w:pPr>
      <w:r>
        <w:t>Sudan, as part of the s</w:t>
      </w:r>
      <w:r w:rsidR="00A16FB4">
        <w:t>trategic demonstration project for accelerated conversion of CFC chillers in African countries where progress in impl</w:t>
      </w:r>
      <w:r>
        <w:t>ementation has taken place;</w:t>
      </w:r>
      <w:r w:rsidR="00742679">
        <w:t xml:space="preserve"> and</w:t>
      </w:r>
    </w:p>
    <w:p w:rsidR="000E4F51" w:rsidRPr="00742679" w:rsidRDefault="008D6616" w:rsidP="00742679">
      <w:pPr>
        <w:pStyle w:val="ListParagraph"/>
        <w:numPr>
          <w:ilvl w:val="0"/>
          <w:numId w:val="41"/>
        </w:numPr>
        <w:autoSpaceDE w:val="0"/>
        <w:autoSpaceDN w:val="0"/>
        <w:adjustRightInd w:val="0"/>
        <w:spacing w:before="120" w:after="240"/>
        <w:ind w:left="1440" w:hanging="720"/>
        <w:contextualSpacing w:val="0"/>
        <w:outlineLvl w:val="0"/>
        <w:rPr>
          <w:rFonts w:eastAsia="Calibri"/>
        </w:rPr>
      </w:pPr>
      <w:r w:rsidRPr="00A411AA">
        <w:t>Thailand</w:t>
      </w:r>
      <w:r w:rsidR="00BA4704" w:rsidRPr="00A411AA">
        <w:t>,</w:t>
      </w:r>
      <w:r w:rsidRPr="00A411AA">
        <w:t xml:space="preserve"> as a</w:t>
      </w:r>
      <w:r w:rsidR="006A1489" w:rsidRPr="00A411AA">
        <w:t>n</w:t>
      </w:r>
      <w:r w:rsidRPr="00A411AA">
        <w:t xml:space="preserve"> example in the use of savings generated by an increase in energy efficiency</w:t>
      </w:r>
      <w:r w:rsidR="00742679">
        <w:rPr>
          <w:rFonts w:eastAsia="Calibri"/>
        </w:rPr>
        <w:t>.</w:t>
      </w:r>
    </w:p>
    <w:p w:rsidR="00A16FB4" w:rsidRDefault="00A16FB4" w:rsidP="00BE1792">
      <w:pPr>
        <w:spacing w:before="120" w:after="240"/>
        <w:rPr>
          <w:b/>
          <w:lang w:val="en-US"/>
        </w:rPr>
      </w:pPr>
      <w:r>
        <w:rPr>
          <w:b/>
          <w:lang w:val="en-US"/>
        </w:rPr>
        <w:t>Methodology</w:t>
      </w:r>
    </w:p>
    <w:p w:rsidR="00A16FB4" w:rsidRDefault="00A16FB4" w:rsidP="00BE1792">
      <w:pPr>
        <w:pStyle w:val="Heading1"/>
        <w:numPr>
          <w:ilvl w:val="0"/>
          <w:numId w:val="9"/>
        </w:numPr>
        <w:spacing w:before="120"/>
      </w:pPr>
      <w:r>
        <w:rPr>
          <w:lang w:val="en-US"/>
        </w:rPr>
        <w:t>A team of consultants will be recruited based on their experience and knowledge of the subject matter and of the functioning of the Montreal Protocol and the Multilateral Fund.</w:t>
      </w:r>
      <w:r>
        <w:t xml:space="preserve"> The team will analyse the existing documents as well as the conclusions and recommendations of the desk study and collect additional information from field visits. Discussions with the Secretariat staff, the NOU and the implementing agencies will be organized as needed. </w:t>
      </w:r>
    </w:p>
    <w:p w:rsidR="00A16FB4" w:rsidRDefault="00A16FB4" w:rsidP="00BE1792">
      <w:pPr>
        <w:pStyle w:val="Heading1"/>
        <w:numPr>
          <w:ilvl w:val="0"/>
          <w:numId w:val="9"/>
        </w:numPr>
        <w:spacing w:before="120"/>
        <w:rPr>
          <w:lang w:val="en-US"/>
        </w:rPr>
      </w:pPr>
      <w:r>
        <w:rPr>
          <w:lang w:val="en-US"/>
        </w:rPr>
        <w:t xml:space="preserve">A synthesis report will summarize findings from both desk study and country evaluation reports and will formulate lessons learned and recommendations for consideration by the Executive Committee at </w:t>
      </w:r>
      <w:r w:rsidR="006A1489">
        <w:rPr>
          <w:lang w:val="en-US"/>
        </w:rPr>
        <w:t>the last</w:t>
      </w:r>
      <w:r>
        <w:rPr>
          <w:lang w:val="en-US"/>
        </w:rPr>
        <w:t xml:space="preserve"> meeting</w:t>
      </w:r>
      <w:r w:rsidR="006A1489">
        <w:rPr>
          <w:lang w:val="en-US"/>
        </w:rPr>
        <w:t xml:space="preserve"> in 2017</w:t>
      </w:r>
      <w:r>
        <w:rPr>
          <w:lang w:val="en-US"/>
        </w:rPr>
        <w:t>.</w:t>
      </w:r>
    </w:p>
    <w:p w:rsidR="00A16FB4" w:rsidRDefault="00A16FB4" w:rsidP="00BE1792">
      <w:pPr>
        <w:pStyle w:val="Heading1"/>
        <w:numPr>
          <w:ilvl w:val="0"/>
          <w:numId w:val="9"/>
        </w:numPr>
        <w:spacing w:before="120"/>
        <w:rPr>
          <w:lang w:val="en-US"/>
        </w:rPr>
      </w:pPr>
      <w:r>
        <w:rPr>
          <w:lang w:val="en-US"/>
        </w:rPr>
        <w:t>Each consultant will be in charge of elaborating the country evaluation report. The team leader, in cooperation with the other team members will draft the synthesis report. Implementing agencies will be involved in participating in the evaluation mission and in providing comments on the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A5554" w:rsidTr="00965874">
        <w:tc>
          <w:tcPr>
            <w:tcW w:w="1915" w:type="dxa"/>
          </w:tcPr>
          <w:p w:rsidR="007A5554" w:rsidRDefault="007A5554" w:rsidP="00BE1792"/>
        </w:tc>
        <w:tc>
          <w:tcPr>
            <w:tcW w:w="1915" w:type="dxa"/>
          </w:tcPr>
          <w:p w:rsidR="007A5554" w:rsidRDefault="007A5554" w:rsidP="00BE1792"/>
        </w:tc>
        <w:tc>
          <w:tcPr>
            <w:tcW w:w="1915" w:type="dxa"/>
            <w:tcBorders>
              <w:bottom w:val="single" w:sz="4" w:space="0" w:color="auto"/>
            </w:tcBorders>
          </w:tcPr>
          <w:p w:rsidR="007A5554" w:rsidRDefault="007A5554" w:rsidP="00BE1792"/>
        </w:tc>
        <w:tc>
          <w:tcPr>
            <w:tcW w:w="1915" w:type="dxa"/>
          </w:tcPr>
          <w:p w:rsidR="007A5554" w:rsidRDefault="007A5554" w:rsidP="00BE1792"/>
        </w:tc>
        <w:tc>
          <w:tcPr>
            <w:tcW w:w="1916" w:type="dxa"/>
          </w:tcPr>
          <w:p w:rsidR="007A5554" w:rsidRDefault="007A5554" w:rsidP="00BE1792"/>
        </w:tc>
      </w:tr>
    </w:tbl>
    <w:p w:rsidR="0011299B" w:rsidRPr="00A16FB4" w:rsidRDefault="0011299B" w:rsidP="00A16FB4">
      <w:pPr>
        <w:tabs>
          <w:tab w:val="left" w:pos="5222"/>
        </w:tabs>
        <w:rPr>
          <w:lang w:val="en-US"/>
        </w:rPr>
      </w:pPr>
    </w:p>
    <w:sectPr w:rsidR="0011299B" w:rsidRPr="00A16FB4" w:rsidSect="00C32EFE">
      <w:headerReference w:type="even" r:id="rId16"/>
      <w:headerReference w:type="default" r:id="rId17"/>
      <w:headerReference w:type="first" r:id="rId18"/>
      <w:footerReference w:type="first" r:id="rId19"/>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27" w:rsidRDefault="00295927" w:rsidP="004A504B">
      <w:r>
        <w:separator/>
      </w:r>
    </w:p>
  </w:endnote>
  <w:endnote w:type="continuationSeparator" w:id="0">
    <w:p w:rsidR="00295927" w:rsidRDefault="0029592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F7" w:rsidRPr="0033525D" w:rsidRDefault="003E04F7">
    <w:pPr>
      <w:jc w:val="center"/>
    </w:pPr>
    <w:r>
      <w:fldChar w:fldCharType="begin"/>
    </w:r>
    <w:r>
      <w:instrText xml:space="preserve"> PAGE </w:instrText>
    </w:r>
    <w:r>
      <w:fldChar w:fldCharType="separate"/>
    </w:r>
    <w:r w:rsidR="00BA70B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89269"/>
      <w:docPartObj>
        <w:docPartGallery w:val="Page Numbers (Bottom of Page)"/>
        <w:docPartUnique/>
      </w:docPartObj>
    </w:sdtPr>
    <w:sdtEndPr>
      <w:rPr>
        <w:noProof/>
      </w:rPr>
    </w:sdtEndPr>
    <w:sdtContent>
      <w:p w:rsidR="003E04F7" w:rsidRPr="000932D7" w:rsidRDefault="003E04F7" w:rsidP="000932D7">
        <w:pPr>
          <w:pStyle w:val="Footer"/>
          <w:jc w:val="center"/>
        </w:pPr>
        <w:r>
          <w:fldChar w:fldCharType="begin"/>
        </w:r>
        <w:r>
          <w:instrText xml:space="preserve"> PAGE   \* MERGEFORMAT </w:instrText>
        </w:r>
        <w:r>
          <w:fldChar w:fldCharType="separate"/>
        </w:r>
        <w:r w:rsidR="00BA70B5">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B4" w:rsidRPr="000932D7" w:rsidRDefault="00745878" w:rsidP="00745878">
    <w:pPr>
      <w:pStyle w:val="Footer"/>
      <w:tabs>
        <w:tab w:val="center" w:pos="4680"/>
        <w:tab w:val="left" w:pos="5334"/>
      </w:tabs>
      <w:jc w:val="left"/>
    </w:pPr>
    <w:r>
      <w:tab/>
    </w:r>
    <w:r>
      <w:tab/>
    </w:r>
    <w:sdt>
      <w:sdtPr>
        <w:id w:val="-1135711935"/>
        <w:docPartObj>
          <w:docPartGallery w:val="Page Numbers (Bottom of Page)"/>
          <w:docPartUnique/>
        </w:docPartObj>
      </w:sdtPr>
      <w:sdtEndPr>
        <w:rPr>
          <w:noProof/>
        </w:rPr>
      </w:sdtEndPr>
      <w:sdtContent>
        <w:r w:rsidR="00A16FB4">
          <w:fldChar w:fldCharType="begin"/>
        </w:r>
        <w:r w:rsidR="00A16FB4">
          <w:instrText xml:space="preserve"> PAGE   \* MERGEFORMAT </w:instrText>
        </w:r>
        <w:r w:rsidR="00A16FB4">
          <w:fldChar w:fldCharType="separate"/>
        </w:r>
        <w:r w:rsidR="00BA70B5">
          <w:rPr>
            <w:noProof/>
          </w:rPr>
          <w:t>1</w:t>
        </w:r>
        <w:r w:rsidR="00A16FB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27" w:rsidRDefault="00295927" w:rsidP="004A504B">
      <w:r>
        <w:separator/>
      </w:r>
    </w:p>
  </w:footnote>
  <w:footnote w:type="continuationSeparator" w:id="0">
    <w:p w:rsidR="00295927" w:rsidRDefault="00295927" w:rsidP="004A504B">
      <w:r>
        <w:continuationSeparator/>
      </w:r>
    </w:p>
  </w:footnote>
  <w:footnote w:id="1">
    <w:p w:rsidR="00A16FB4" w:rsidRDefault="00A16FB4" w:rsidP="00A16FB4">
      <w:pPr>
        <w:pStyle w:val="FootnoteText"/>
        <w:rPr>
          <w:lang w:val="en-US"/>
        </w:rPr>
      </w:pPr>
      <w:r>
        <w:rPr>
          <w:rStyle w:val="FootnoteReference"/>
        </w:rPr>
        <w:footnoteRef/>
      </w:r>
      <w:r>
        <w:t xml:space="preserve"> </w:t>
      </w:r>
      <w:r>
        <w:rPr>
          <w:color w:val="000000"/>
          <w:lang w:val="en-US"/>
        </w:rPr>
        <w:t>UNEP/OzL.Pro/ExCom/68/10</w:t>
      </w:r>
      <w:r w:rsidR="00DE0696">
        <w:rPr>
          <w:color w:val="000000"/>
          <w:lang w:val="en-US"/>
        </w:rPr>
        <w:t xml:space="preserve"> and Add.1</w:t>
      </w:r>
    </w:p>
  </w:footnote>
  <w:footnote w:id="2">
    <w:p w:rsidR="00DE0696" w:rsidRPr="00DE0696" w:rsidRDefault="00DE0696">
      <w:pPr>
        <w:pStyle w:val="FootnoteText"/>
        <w:rPr>
          <w:lang w:val="en-US"/>
        </w:rPr>
      </w:pPr>
      <w:r>
        <w:rPr>
          <w:rStyle w:val="FootnoteReference"/>
        </w:rPr>
        <w:footnoteRef/>
      </w:r>
      <w:r>
        <w:t xml:space="preserve"> Montreal, 31 August – 1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F7" w:rsidRPr="0033525D" w:rsidRDefault="00BA70B5" w:rsidP="00C32EFE">
    <w:pPr>
      <w:contextualSpacing/>
    </w:pPr>
    <w:r>
      <w:fldChar w:fldCharType="begin"/>
    </w:r>
    <w:r>
      <w:instrText xml:space="preserve"> DOCPROPERTY "Document number"  \* MERGEFORMAT </w:instrText>
    </w:r>
    <w:r>
      <w:fldChar w:fldCharType="separate"/>
    </w:r>
    <w:r w:rsidR="00A6788B">
      <w:t>UNEP/OzL.Pro/ExCom/77/10/Rev.1</w:t>
    </w:r>
    <w:r>
      <w:fldChar w:fldCharType="end"/>
    </w:r>
  </w:p>
  <w:p w:rsidR="003E04F7" w:rsidRDefault="003E04F7"/>
  <w:p w:rsidR="003E04F7" w:rsidRPr="0033525D" w:rsidRDefault="003E04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F7" w:rsidRPr="0033525D" w:rsidRDefault="00BA70B5" w:rsidP="00B434EE">
    <w:pPr>
      <w:jc w:val="right"/>
    </w:pPr>
    <w:r>
      <w:fldChar w:fldCharType="begin"/>
    </w:r>
    <w:r>
      <w:instrText xml:space="preserve"> DOCPROPERTY "Document number"  \* MERGEFORMAT </w:instrText>
    </w:r>
    <w:r>
      <w:fldChar w:fldCharType="separate"/>
    </w:r>
    <w:r w:rsidR="00A6788B">
      <w:t>UNEP/OzL.Pro/ExCom/77/10/Rev.1</w:t>
    </w:r>
    <w:r>
      <w:fldChar w:fldCharType="end"/>
    </w:r>
  </w:p>
  <w:p w:rsidR="003E04F7" w:rsidRDefault="003E04F7">
    <w:pPr>
      <w:pStyle w:val="Header"/>
    </w:pPr>
  </w:p>
  <w:p w:rsidR="003E04F7" w:rsidRPr="0033525D" w:rsidRDefault="003E0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F7" w:rsidRDefault="003E04F7" w:rsidP="000932D7">
    <w:pPr>
      <w:pStyle w:val="Header"/>
      <w:tabs>
        <w:tab w:val="clear" w:pos="4320"/>
        <w:tab w:val="clear" w:pos="8640"/>
        <w:tab w:val="left" w:pos="5295"/>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B4" w:rsidRPr="0033525D" w:rsidRDefault="00BA70B5" w:rsidP="00C32EFE">
    <w:pPr>
      <w:contextualSpacing/>
    </w:pPr>
    <w:r>
      <w:fldChar w:fldCharType="begin"/>
    </w:r>
    <w:r>
      <w:instrText xml:space="preserve"> DOCPROPERTY "Document number"  \* MERGEFORMAT </w:instrText>
    </w:r>
    <w:r>
      <w:fldChar w:fldCharType="separate"/>
    </w:r>
    <w:r w:rsidR="00A6788B">
      <w:t>UNEP/OzL.Pro/ExCom/77/10/Rev.1</w:t>
    </w:r>
    <w:r>
      <w:fldChar w:fldCharType="end"/>
    </w:r>
  </w:p>
  <w:p w:rsidR="00A16FB4" w:rsidRDefault="008E2D04" w:rsidP="000932D7">
    <w:pPr>
      <w:pStyle w:val="Header"/>
      <w:jc w:val="left"/>
    </w:pPr>
    <w:r>
      <w:t>Annex I</w:t>
    </w:r>
  </w:p>
  <w:p w:rsidR="00A16FB4" w:rsidRPr="0033525D" w:rsidRDefault="00A16FB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B4" w:rsidRPr="0033525D" w:rsidRDefault="00BA70B5" w:rsidP="00B434EE">
    <w:pPr>
      <w:jc w:val="right"/>
    </w:pPr>
    <w:r>
      <w:fldChar w:fldCharType="begin"/>
    </w:r>
    <w:r>
      <w:instrText xml:space="preserve"> DOCPROPERTY "Document number"  \* MERGEFORMAT </w:instrText>
    </w:r>
    <w:r>
      <w:fldChar w:fldCharType="separate"/>
    </w:r>
    <w:r w:rsidR="00A6788B">
      <w:t>UNEP/OzL.Pro/ExCom/77/10/Rev.1</w:t>
    </w:r>
    <w:r>
      <w:fldChar w:fldCharType="end"/>
    </w:r>
  </w:p>
  <w:p w:rsidR="00A16FB4" w:rsidRDefault="00745878" w:rsidP="000932D7">
    <w:pPr>
      <w:pStyle w:val="Header"/>
      <w:tabs>
        <w:tab w:val="left" w:pos="6465"/>
        <w:tab w:val="right" w:pos="9360"/>
      </w:tabs>
      <w:jc w:val="right"/>
    </w:pPr>
    <w:r>
      <w:tab/>
    </w:r>
    <w:r>
      <w:tab/>
    </w:r>
    <w:r>
      <w:tab/>
      <w:t>Annex I</w:t>
    </w:r>
  </w:p>
  <w:p w:rsidR="00A16FB4" w:rsidRPr="0033525D" w:rsidRDefault="00A16F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B4" w:rsidRPr="0033525D" w:rsidRDefault="00BA70B5" w:rsidP="000932D7">
    <w:pPr>
      <w:jc w:val="right"/>
    </w:pPr>
    <w:r>
      <w:fldChar w:fldCharType="begin"/>
    </w:r>
    <w:r>
      <w:instrText xml:space="preserve"> DOCPROPERTY "Document number"  \* MERGEFORMAT </w:instrText>
    </w:r>
    <w:r>
      <w:fldChar w:fldCharType="separate"/>
    </w:r>
    <w:r w:rsidR="00A6788B">
      <w:t>UNEP/OzL.Pro/ExCom/77/10/Rev.1</w:t>
    </w:r>
    <w:r>
      <w:fldChar w:fldCharType="end"/>
    </w:r>
  </w:p>
  <w:p w:rsidR="00A16FB4" w:rsidRDefault="00EE54D2" w:rsidP="000932D7">
    <w:pPr>
      <w:pStyle w:val="Header"/>
      <w:tabs>
        <w:tab w:val="left" w:pos="6465"/>
        <w:tab w:val="right" w:pos="9360"/>
      </w:tabs>
      <w:jc w:val="right"/>
    </w:pPr>
    <w:r>
      <w:tab/>
    </w:r>
    <w:r>
      <w:tab/>
    </w:r>
    <w:r>
      <w:tab/>
    </w:r>
    <w:r w:rsidR="008E2D04">
      <w:t>Annex I</w:t>
    </w:r>
  </w:p>
  <w:p w:rsidR="00A16FB4" w:rsidRDefault="00A16FB4" w:rsidP="000932D7">
    <w:pPr>
      <w:pStyle w:val="Header"/>
      <w:tabs>
        <w:tab w:val="clear" w:pos="4320"/>
        <w:tab w:val="clear" w:pos="8640"/>
        <w:tab w:val="left" w:pos="52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C9C19D4"/>
    <w:lvl w:ilvl="0">
      <w:start w:val="1"/>
      <w:numFmt w:val="decimal"/>
      <w:pStyle w:val="Heading1"/>
      <w:lvlText w:val="%1."/>
      <w:lvlJc w:val="left"/>
      <w:pPr>
        <w:tabs>
          <w:tab w:val="num" w:pos="0"/>
        </w:tabs>
        <w:ind w:left="0" w:firstLine="0"/>
      </w:pPr>
      <w:rPr>
        <w:b w:val="0"/>
        <w:strike w:val="0"/>
      </w:rPr>
    </w:lvl>
    <w:lvl w:ilvl="1">
      <w:start w:val="1"/>
      <w:numFmt w:val="lowerRoman"/>
      <w:pStyle w:val="Heading2"/>
      <w:lvlText w:val="(%2)"/>
      <w:lvlJc w:val="left"/>
      <w:pPr>
        <w:tabs>
          <w:tab w:val="num" w:pos="0"/>
        </w:tabs>
        <w:ind w:left="1440" w:hanging="720"/>
      </w:pPr>
      <w:rPr>
        <w:rFonts w:hint="default"/>
        <w:lang w:val="en-US"/>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nsid w:val="001427DF"/>
    <w:multiLevelType w:val="hybridMultilevel"/>
    <w:tmpl w:val="BA96891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581657D"/>
    <w:multiLevelType w:val="hybridMultilevel"/>
    <w:tmpl w:val="2B5CF326"/>
    <w:lvl w:ilvl="0" w:tplc="9192F6EC">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9F69EC"/>
    <w:multiLevelType w:val="hybridMultilevel"/>
    <w:tmpl w:val="2B5CF326"/>
    <w:lvl w:ilvl="0" w:tplc="9192F6EC">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BF3464"/>
    <w:multiLevelType w:val="hybridMultilevel"/>
    <w:tmpl w:val="2B5CF326"/>
    <w:lvl w:ilvl="0" w:tplc="9192F6EC">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B9488F"/>
    <w:multiLevelType w:val="hybridMultilevel"/>
    <w:tmpl w:val="2B5CF326"/>
    <w:lvl w:ilvl="0" w:tplc="9192F6EC">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BE6D3F"/>
    <w:multiLevelType w:val="hybridMultilevel"/>
    <w:tmpl w:val="7110D7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20E1B48"/>
    <w:multiLevelType w:val="hybridMultilevel"/>
    <w:tmpl w:val="2B5CF326"/>
    <w:lvl w:ilvl="0" w:tplc="9192F6EC">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827C64"/>
    <w:multiLevelType w:val="hybridMultilevel"/>
    <w:tmpl w:val="BD28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A171B"/>
    <w:multiLevelType w:val="hybridMultilevel"/>
    <w:tmpl w:val="5B38EA9A"/>
    <w:lvl w:ilvl="0" w:tplc="9192F6EC">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D1075B0"/>
    <w:multiLevelType w:val="multilevel"/>
    <w:tmpl w:val="46E4213E"/>
    <w:lvl w:ilvl="0">
      <w:start w:val="1"/>
      <w:numFmt w:val="lowerRoman"/>
      <w:lvlText w:val="(%1)"/>
      <w:lvlJc w:val="left"/>
      <w:pPr>
        <w:tabs>
          <w:tab w:val="num" w:pos="0"/>
        </w:tabs>
        <w:ind w:left="0" w:firstLine="0"/>
      </w:pPr>
      <w:rPr>
        <w:rFonts w:hint="default"/>
        <w:b w:val="0"/>
        <w:strike w:val="0"/>
      </w:rPr>
    </w:lvl>
    <w:lvl w:ilvl="1">
      <w:start w:val="1"/>
      <w:numFmt w:val="lowerRoman"/>
      <w:lvlText w:val="(%2)"/>
      <w:lvlJc w:val="left"/>
      <w:pPr>
        <w:tabs>
          <w:tab w:val="num" w:pos="0"/>
        </w:tabs>
        <w:ind w:left="1440" w:hanging="720"/>
      </w:pPr>
      <w:rPr>
        <w:rFonts w:hint="default"/>
        <w:lang w:val="en-US"/>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nsid w:val="32535E8D"/>
    <w:multiLevelType w:val="hybridMultilevel"/>
    <w:tmpl w:val="18C8F4C0"/>
    <w:lvl w:ilvl="0" w:tplc="AC1E84E6">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34C47139"/>
    <w:multiLevelType w:val="hybridMultilevel"/>
    <w:tmpl w:val="2B5CF326"/>
    <w:lvl w:ilvl="0" w:tplc="9192F6EC">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2FD7679"/>
    <w:multiLevelType w:val="hybridMultilevel"/>
    <w:tmpl w:val="2B5CF326"/>
    <w:lvl w:ilvl="0" w:tplc="9192F6EC">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342C80"/>
    <w:multiLevelType w:val="hybridMultilevel"/>
    <w:tmpl w:val="BAA8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0B74DF"/>
    <w:multiLevelType w:val="hybridMultilevel"/>
    <w:tmpl w:val="744A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013BC"/>
    <w:multiLevelType w:val="hybridMultilevel"/>
    <w:tmpl w:val="CBB6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7612D"/>
    <w:multiLevelType w:val="hybridMultilevel"/>
    <w:tmpl w:val="ABE6105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A576CCA"/>
    <w:multiLevelType w:val="hybridMultilevel"/>
    <w:tmpl w:val="918E6C1E"/>
    <w:lvl w:ilvl="0" w:tplc="5DE8EF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3238A"/>
    <w:multiLevelType w:val="hybridMultilevel"/>
    <w:tmpl w:val="2B5CF326"/>
    <w:lvl w:ilvl="0" w:tplc="9192F6EC">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5A45472"/>
    <w:multiLevelType w:val="hybridMultilevel"/>
    <w:tmpl w:val="2B5CF326"/>
    <w:lvl w:ilvl="0" w:tplc="9192F6EC">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561223"/>
    <w:multiLevelType w:val="hybridMultilevel"/>
    <w:tmpl w:val="FF3EBC50"/>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A5975CC"/>
    <w:multiLevelType w:val="hybridMultilevel"/>
    <w:tmpl w:val="A8741B9C"/>
    <w:lvl w:ilvl="0" w:tplc="5DE8EFA8">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CF1C78"/>
    <w:multiLevelType w:val="hybridMultilevel"/>
    <w:tmpl w:val="2B5CF326"/>
    <w:lvl w:ilvl="0" w:tplc="9192F6EC">
      <w:start w:val="1"/>
      <w:numFmt w:val="lowerLetter"/>
      <w:lvlText w:val="(%1)"/>
      <w:lvlJc w:val="left"/>
      <w:pPr>
        <w:ind w:left="36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9">
    <w:nsid w:val="7F7E60E3"/>
    <w:multiLevelType w:val="hybridMultilevel"/>
    <w:tmpl w:val="40FC95D0"/>
    <w:lvl w:ilvl="0" w:tplc="AC1E8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6"/>
  </w:num>
  <w:num w:numId="5">
    <w:abstractNumId w:val="28"/>
  </w:num>
  <w:num w:numId="6">
    <w:abstractNumId w:val="13"/>
  </w:num>
  <w:num w:numId="7">
    <w:abstractNumId w:val="21"/>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0"/>
  </w:num>
  <w:num w:numId="20">
    <w:abstractNumId w:val="25"/>
  </w:num>
  <w:num w:numId="21">
    <w:abstractNumId w:val="3"/>
  </w:num>
  <w:num w:numId="22">
    <w:abstractNumId w:val="20"/>
  </w:num>
  <w:num w:numId="23">
    <w:abstractNumId w:val="29"/>
  </w:num>
  <w:num w:numId="24">
    <w:abstractNumId w:val="1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num>
  <w:num w:numId="30">
    <w:abstractNumId w:val="19"/>
  </w:num>
  <w:num w:numId="31">
    <w:abstractNumId w:val="0"/>
  </w:num>
  <w:num w:numId="32">
    <w:abstractNumId w:val="0"/>
  </w:num>
  <w:num w:numId="33">
    <w:abstractNumId w:val="0"/>
  </w:num>
  <w:num w:numId="34">
    <w:abstractNumId w:val="11"/>
  </w:num>
  <w:num w:numId="35">
    <w:abstractNumId w:val="2"/>
  </w:num>
  <w:num w:numId="36">
    <w:abstractNumId w:val="22"/>
  </w:num>
  <w:num w:numId="37">
    <w:abstractNumId w:val="24"/>
  </w:num>
  <w:num w:numId="38">
    <w:abstractNumId w:val="5"/>
  </w:num>
  <w:num w:numId="39">
    <w:abstractNumId w:val="7"/>
  </w:num>
  <w:num w:numId="40">
    <w:abstractNumId w:val="4"/>
  </w:num>
  <w:num w:numId="41">
    <w:abstractNumId w:val="23"/>
  </w:num>
  <w:num w:numId="42">
    <w:abstractNumId w:val="9"/>
  </w:num>
  <w:num w:numId="43">
    <w:abstractNumId w:val="0"/>
  </w:num>
  <w:num w:numId="44">
    <w:abstractNumId w:val="0"/>
  </w:num>
  <w:num w:numId="45">
    <w:abstractNumId w:val="0"/>
  </w:num>
  <w:num w:numId="46">
    <w:abstractNumId w:val="0"/>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D2"/>
    <w:rsid w:val="00000FED"/>
    <w:rsid w:val="0000434E"/>
    <w:rsid w:val="000074D2"/>
    <w:rsid w:val="000211A9"/>
    <w:rsid w:val="000236D4"/>
    <w:rsid w:val="0002400A"/>
    <w:rsid w:val="0002789F"/>
    <w:rsid w:val="0003081A"/>
    <w:rsid w:val="00031260"/>
    <w:rsid w:val="00033298"/>
    <w:rsid w:val="0003681A"/>
    <w:rsid w:val="000442DA"/>
    <w:rsid w:val="00050D02"/>
    <w:rsid w:val="0007067A"/>
    <w:rsid w:val="00073FEB"/>
    <w:rsid w:val="00080ED0"/>
    <w:rsid w:val="00085B8F"/>
    <w:rsid w:val="00087ACD"/>
    <w:rsid w:val="00090481"/>
    <w:rsid w:val="000926BB"/>
    <w:rsid w:val="000932D7"/>
    <w:rsid w:val="00093499"/>
    <w:rsid w:val="000A2361"/>
    <w:rsid w:val="000A7441"/>
    <w:rsid w:val="000B1B31"/>
    <w:rsid w:val="000B6438"/>
    <w:rsid w:val="000E07BC"/>
    <w:rsid w:val="000E37B3"/>
    <w:rsid w:val="000E4F51"/>
    <w:rsid w:val="000F1CD4"/>
    <w:rsid w:val="000F4103"/>
    <w:rsid w:val="000F70A7"/>
    <w:rsid w:val="00106195"/>
    <w:rsid w:val="0011299B"/>
    <w:rsid w:val="0011746E"/>
    <w:rsid w:val="00122628"/>
    <w:rsid w:val="00130882"/>
    <w:rsid w:val="00135980"/>
    <w:rsid w:val="00140068"/>
    <w:rsid w:val="0014651C"/>
    <w:rsid w:val="00152F9D"/>
    <w:rsid w:val="00157F06"/>
    <w:rsid w:val="001634C3"/>
    <w:rsid w:val="00164719"/>
    <w:rsid w:val="00166FC4"/>
    <w:rsid w:val="001677AC"/>
    <w:rsid w:val="00172188"/>
    <w:rsid w:val="00174E67"/>
    <w:rsid w:val="001804EA"/>
    <w:rsid w:val="00190A61"/>
    <w:rsid w:val="001A3342"/>
    <w:rsid w:val="001A3E3D"/>
    <w:rsid w:val="001A6BFD"/>
    <w:rsid w:val="001A7049"/>
    <w:rsid w:val="001B1E40"/>
    <w:rsid w:val="001C764E"/>
    <w:rsid w:val="001D4FBA"/>
    <w:rsid w:val="001E1052"/>
    <w:rsid w:val="001E21B1"/>
    <w:rsid w:val="001E2883"/>
    <w:rsid w:val="001E2F93"/>
    <w:rsid w:val="001E4A21"/>
    <w:rsid w:val="001E61E5"/>
    <w:rsid w:val="001F2159"/>
    <w:rsid w:val="00211BA1"/>
    <w:rsid w:val="002156B4"/>
    <w:rsid w:val="002473F5"/>
    <w:rsid w:val="00253222"/>
    <w:rsid w:val="00262847"/>
    <w:rsid w:val="002818D4"/>
    <w:rsid w:val="00282BCC"/>
    <w:rsid w:val="0028369A"/>
    <w:rsid w:val="00292767"/>
    <w:rsid w:val="002932F4"/>
    <w:rsid w:val="00295927"/>
    <w:rsid w:val="0029606D"/>
    <w:rsid w:val="002A5476"/>
    <w:rsid w:val="002A693D"/>
    <w:rsid w:val="002A7E1B"/>
    <w:rsid w:val="002B0135"/>
    <w:rsid w:val="002B72E9"/>
    <w:rsid w:val="002B7CA2"/>
    <w:rsid w:val="002C4D7C"/>
    <w:rsid w:val="002C7998"/>
    <w:rsid w:val="002E274C"/>
    <w:rsid w:val="002E4D0F"/>
    <w:rsid w:val="002E725C"/>
    <w:rsid w:val="002F1E53"/>
    <w:rsid w:val="002F2CAA"/>
    <w:rsid w:val="002F3382"/>
    <w:rsid w:val="00317715"/>
    <w:rsid w:val="003306E1"/>
    <w:rsid w:val="003320E4"/>
    <w:rsid w:val="00333A52"/>
    <w:rsid w:val="0033525D"/>
    <w:rsid w:val="00336162"/>
    <w:rsid w:val="003414F3"/>
    <w:rsid w:val="003442C1"/>
    <w:rsid w:val="00344CFD"/>
    <w:rsid w:val="00346861"/>
    <w:rsid w:val="0035613E"/>
    <w:rsid w:val="003607AB"/>
    <w:rsid w:val="00363EE9"/>
    <w:rsid w:val="0037042C"/>
    <w:rsid w:val="003734A3"/>
    <w:rsid w:val="00376128"/>
    <w:rsid w:val="0037742E"/>
    <w:rsid w:val="00377EE2"/>
    <w:rsid w:val="00380B8D"/>
    <w:rsid w:val="0038245A"/>
    <w:rsid w:val="00384DE7"/>
    <w:rsid w:val="00391CDE"/>
    <w:rsid w:val="00392A8D"/>
    <w:rsid w:val="0039337A"/>
    <w:rsid w:val="003A3189"/>
    <w:rsid w:val="003A34CF"/>
    <w:rsid w:val="003B1D00"/>
    <w:rsid w:val="003B569D"/>
    <w:rsid w:val="003B7516"/>
    <w:rsid w:val="003C0C08"/>
    <w:rsid w:val="003C3C0E"/>
    <w:rsid w:val="003D0694"/>
    <w:rsid w:val="003D1833"/>
    <w:rsid w:val="003D31C8"/>
    <w:rsid w:val="003D4FAC"/>
    <w:rsid w:val="003E04F7"/>
    <w:rsid w:val="003E553B"/>
    <w:rsid w:val="003E7906"/>
    <w:rsid w:val="003F0143"/>
    <w:rsid w:val="003F3C50"/>
    <w:rsid w:val="003F79B5"/>
    <w:rsid w:val="0040001E"/>
    <w:rsid w:val="0040628C"/>
    <w:rsid w:val="0040628D"/>
    <w:rsid w:val="00406A6A"/>
    <w:rsid w:val="00406B22"/>
    <w:rsid w:val="00410FCF"/>
    <w:rsid w:val="00414661"/>
    <w:rsid w:val="004147B4"/>
    <w:rsid w:val="004176D0"/>
    <w:rsid w:val="00430BDB"/>
    <w:rsid w:val="004320DB"/>
    <w:rsid w:val="004328A7"/>
    <w:rsid w:val="00434C74"/>
    <w:rsid w:val="004568F7"/>
    <w:rsid w:val="00456EB4"/>
    <w:rsid w:val="004718F3"/>
    <w:rsid w:val="00475040"/>
    <w:rsid w:val="00487F61"/>
    <w:rsid w:val="00493D40"/>
    <w:rsid w:val="00494090"/>
    <w:rsid w:val="004948DA"/>
    <w:rsid w:val="004967B6"/>
    <w:rsid w:val="004A3243"/>
    <w:rsid w:val="004A504B"/>
    <w:rsid w:val="004A6911"/>
    <w:rsid w:val="004B1510"/>
    <w:rsid w:val="004B29D7"/>
    <w:rsid w:val="004B54E0"/>
    <w:rsid w:val="004B7384"/>
    <w:rsid w:val="004C2B4C"/>
    <w:rsid w:val="004C4269"/>
    <w:rsid w:val="004C7CCE"/>
    <w:rsid w:val="004D6236"/>
    <w:rsid w:val="004E3C9B"/>
    <w:rsid w:val="004E4DBB"/>
    <w:rsid w:val="004E4E41"/>
    <w:rsid w:val="004E7F9C"/>
    <w:rsid w:val="004F3493"/>
    <w:rsid w:val="004F61A5"/>
    <w:rsid w:val="004F68FA"/>
    <w:rsid w:val="00501DCB"/>
    <w:rsid w:val="00502201"/>
    <w:rsid w:val="00506914"/>
    <w:rsid w:val="00512B09"/>
    <w:rsid w:val="00514474"/>
    <w:rsid w:val="00522A1A"/>
    <w:rsid w:val="005249DA"/>
    <w:rsid w:val="00530E1B"/>
    <w:rsid w:val="005369FF"/>
    <w:rsid w:val="00543E45"/>
    <w:rsid w:val="00555564"/>
    <w:rsid w:val="00555D75"/>
    <w:rsid w:val="0055793C"/>
    <w:rsid w:val="00560DF0"/>
    <w:rsid w:val="00561A54"/>
    <w:rsid w:val="00563AE1"/>
    <w:rsid w:val="0056759C"/>
    <w:rsid w:val="005809E9"/>
    <w:rsid w:val="005917F1"/>
    <w:rsid w:val="0059513E"/>
    <w:rsid w:val="005A2017"/>
    <w:rsid w:val="005B2FD2"/>
    <w:rsid w:val="005B48FF"/>
    <w:rsid w:val="005D5CA4"/>
    <w:rsid w:val="005E1FD0"/>
    <w:rsid w:val="005E34AA"/>
    <w:rsid w:val="00604C15"/>
    <w:rsid w:val="0060625A"/>
    <w:rsid w:val="00612A62"/>
    <w:rsid w:val="0061456E"/>
    <w:rsid w:val="006158D5"/>
    <w:rsid w:val="00616DB3"/>
    <w:rsid w:val="00624613"/>
    <w:rsid w:val="00625D83"/>
    <w:rsid w:val="006512DD"/>
    <w:rsid w:val="0065185D"/>
    <w:rsid w:val="006573FA"/>
    <w:rsid w:val="006623E7"/>
    <w:rsid w:val="00662B80"/>
    <w:rsid w:val="00663A5F"/>
    <w:rsid w:val="00667244"/>
    <w:rsid w:val="0067490E"/>
    <w:rsid w:val="006852C7"/>
    <w:rsid w:val="0068743C"/>
    <w:rsid w:val="006A1489"/>
    <w:rsid w:val="006A4476"/>
    <w:rsid w:val="006B4DC6"/>
    <w:rsid w:val="006C03E2"/>
    <w:rsid w:val="006C1727"/>
    <w:rsid w:val="006C1911"/>
    <w:rsid w:val="006C241F"/>
    <w:rsid w:val="006C32FD"/>
    <w:rsid w:val="006C39CE"/>
    <w:rsid w:val="006C70BA"/>
    <w:rsid w:val="006C710E"/>
    <w:rsid w:val="006D0FCC"/>
    <w:rsid w:val="006E4A75"/>
    <w:rsid w:val="006E5B19"/>
    <w:rsid w:val="0070616B"/>
    <w:rsid w:val="00706FDA"/>
    <w:rsid w:val="00711F9A"/>
    <w:rsid w:val="00713810"/>
    <w:rsid w:val="00722207"/>
    <w:rsid w:val="007303A5"/>
    <w:rsid w:val="00730B3E"/>
    <w:rsid w:val="0073420B"/>
    <w:rsid w:val="00742679"/>
    <w:rsid w:val="00742ED0"/>
    <w:rsid w:val="00745878"/>
    <w:rsid w:val="0074760E"/>
    <w:rsid w:val="00754ABA"/>
    <w:rsid w:val="00755890"/>
    <w:rsid w:val="00756BBF"/>
    <w:rsid w:val="00757157"/>
    <w:rsid w:val="0077503A"/>
    <w:rsid w:val="007962A6"/>
    <w:rsid w:val="007A1546"/>
    <w:rsid w:val="007A228C"/>
    <w:rsid w:val="007A368E"/>
    <w:rsid w:val="007A5554"/>
    <w:rsid w:val="007A5868"/>
    <w:rsid w:val="007A7848"/>
    <w:rsid w:val="007B04CE"/>
    <w:rsid w:val="007B6871"/>
    <w:rsid w:val="007B7A2F"/>
    <w:rsid w:val="007C3D33"/>
    <w:rsid w:val="007C7A6D"/>
    <w:rsid w:val="007D294A"/>
    <w:rsid w:val="007D329A"/>
    <w:rsid w:val="007D47D2"/>
    <w:rsid w:val="007D6EC0"/>
    <w:rsid w:val="007D7E1D"/>
    <w:rsid w:val="007F5B89"/>
    <w:rsid w:val="00815CF1"/>
    <w:rsid w:val="00821D34"/>
    <w:rsid w:val="00824D0A"/>
    <w:rsid w:val="00825758"/>
    <w:rsid w:val="00833C1D"/>
    <w:rsid w:val="00851352"/>
    <w:rsid w:val="0086272F"/>
    <w:rsid w:val="00863230"/>
    <w:rsid w:val="008632AD"/>
    <w:rsid w:val="00867D21"/>
    <w:rsid w:val="00871428"/>
    <w:rsid w:val="008717D8"/>
    <w:rsid w:val="0087215C"/>
    <w:rsid w:val="008848D6"/>
    <w:rsid w:val="008875FE"/>
    <w:rsid w:val="00887F8E"/>
    <w:rsid w:val="00890EB7"/>
    <w:rsid w:val="008922D1"/>
    <w:rsid w:val="00896234"/>
    <w:rsid w:val="00897E43"/>
    <w:rsid w:val="008A00F7"/>
    <w:rsid w:val="008A0675"/>
    <w:rsid w:val="008A0FA3"/>
    <w:rsid w:val="008B7B64"/>
    <w:rsid w:val="008C5738"/>
    <w:rsid w:val="008C7EAD"/>
    <w:rsid w:val="008D067A"/>
    <w:rsid w:val="008D6152"/>
    <w:rsid w:val="008D6616"/>
    <w:rsid w:val="008E13E5"/>
    <w:rsid w:val="008E1D2A"/>
    <w:rsid w:val="008E2D04"/>
    <w:rsid w:val="008F0F81"/>
    <w:rsid w:val="008F27BF"/>
    <w:rsid w:val="008F6A71"/>
    <w:rsid w:val="00903936"/>
    <w:rsid w:val="00906AD2"/>
    <w:rsid w:val="00915A32"/>
    <w:rsid w:val="00923540"/>
    <w:rsid w:val="00926767"/>
    <w:rsid w:val="009270C3"/>
    <w:rsid w:val="009361D5"/>
    <w:rsid w:val="00943BE5"/>
    <w:rsid w:val="0095182C"/>
    <w:rsid w:val="00955FE0"/>
    <w:rsid w:val="00965874"/>
    <w:rsid w:val="009659F4"/>
    <w:rsid w:val="0096666E"/>
    <w:rsid w:val="00970D60"/>
    <w:rsid w:val="00971045"/>
    <w:rsid w:val="009745B9"/>
    <w:rsid w:val="00976EC4"/>
    <w:rsid w:val="00995211"/>
    <w:rsid w:val="009960E5"/>
    <w:rsid w:val="009A7ADC"/>
    <w:rsid w:val="009B143E"/>
    <w:rsid w:val="009B257C"/>
    <w:rsid w:val="009C19B7"/>
    <w:rsid w:val="009D7C51"/>
    <w:rsid w:val="009E3129"/>
    <w:rsid w:val="009E33E4"/>
    <w:rsid w:val="009F36BF"/>
    <w:rsid w:val="009F65FC"/>
    <w:rsid w:val="00A021AA"/>
    <w:rsid w:val="00A07D67"/>
    <w:rsid w:val="00A111B6"/>
    <w:rsid w:val="00A16FB4"/>
    <w:rsid w:val="00A20B6E"/>
    <w:rsid w:val="00A21A99"/>
    <w:rsid w:val="00A30EB6"/>
    <w:rsid w:val="00A411AA"/>
    <w:rsid w:val="00A42A99"/>
    <w:rsid w:val="00A5151A"/>
    <w:rsid w:val="00A52693"/>
    <w:rsid w:val="00A5335C"/>
    <w:rsid w:val="00A57E0A"/>
    <w:rsid w:val="00A6389A"/>
    <w:rsid w:val="00A6788B"/>
    <w:rsid w:val="00A709A3"/>
    <w:rsid w:val="00A729ED"/>
    <w:rsid w:val="00A75B71"/>
    <w:rsid w:val="00A823F6"/>
    <w:rsid w:val="00A834CE"/>
    <w:rsid w:val="00A86915"/>
    <w:rsid w:val="00A979EF"/>
    <w:rsid w:val="00AA0A89"/>
    <w:rsid w:val="00AA1195"/>
    <w:rsid w:val="00AA6429"/>
    <w:rsid w:val="00AC01AA"/>
    <w:rsid w:val="00AC40A6"/>
    <w:rsid w:val="00AC4F72"/>
    <w:rsid w:val="00AD25C7"/>
    <w:rsid w:val="00AE2882"/>
    <w:rsid w:val="00AF741A"/>
    <w:rsid w:val="00B01ADB"/>
    <w:rsid w:val="00B04161"/>
    <w:rsid w:val="00B056F9"/>
    <w:rsid w:val="00B0579D"/>
    <w:rsid w:val="00B11E3D"/>
    <w:rsid w:val="00B17E82"/>
    <w:rsid w:val="00B20A70"/>
    <w:rsid w:val="00B24A2B"/>
    <w:rsid w:val="00B4239E"/>
    <w:rsid w:val="00B434EE"/>
    <w:rsid w:val="00B4575A"/>
    <w:rsid w:val="00B466A8"/>
    <w:rsid w:val="00B575BA"/>
    <w:rsid w:val="00B667C2"/>
    <w:rsid w:val="00B71E5C"/>
    <w:rsid w:val="00B76429"/>
    <w:rsid w:val="00B768E1"/>
    <w:rsid w:val="00B956D4"/>
    <w:rsid w:val="00B97446"/>
    <w:rsid w:val="00BA0FAD"/>
    <w:rsid w:val="00BA4704"/>
    <w:rsid w:val="00BA70B5"/>
    <w:rsid w:val="00BA7432"/>
    <w:rsid w:val="00BB0621"/>
    <w:rsid w:val="00BB764C"/>
    <w:rsid w:val="00BC1982"/>
    <w:rsid w:val="00BC1AA0"/>
    <w:rsid w:val="00BC2495"/>
    <w:rsid w:val="00BC63E9"/>
    <w:rsid w:val="00BC7EB9"/>
    <w:rsid w:val="00BD2643"/>
    <w:rsid w:val="00BD35B0"/>
    <w:rsid w:val="00BD56B1"/>
    <w:rsid w:val="00BD6558"/>
    <w:rsid w:val="00BD6F34"/>
    <w:rsid w:val="00BD7137"/>
    <w:rsid w:val="00BD7C6E"/>
    <w:rsid w:val="00BE1792"/>
    <w:rsid w:val="00BF3214"/>
    <w:rsid w:val="00C15867"/>
    <w:rsid w:val="00C2296D"/>
    <w:rsid w:val="00C23155"/>
    <w:rsid w:val="00C300B1"/>
    <w:rsid w:val="00C32EFE"/>
    <w:rsid w:val="00C35073"/>
    <w:rsid w:val="00C40C41"/>
    <w:rsid w:val="00C45885"/>
    <w:rsid w:val="00C5059D"/>
    <w:rsid w:val="00C50F22"/>
    <w:rsid w:val="00C57971"/>
    <w:rsid w:val="00C6479D"/>
    <w:rsid w:val="00C70466"/>
    <w:rsid w:val="00C70BD9"/>
    <w:rsid w:val="00C76BA4"/>
    <w:rsid w:val="00C83A48"/>
    <w:rsid w:val="00C85865"/>
    <w:rsid w:val="00C85E85"/>
    <w:rsid w:val="00CA2EAE"/>
    <w:rsid w:val="00CA3366"/>
    <w:rsid w:val="00CA4AC1"/>
    <w:rsid w:val="00CA4BC8"/>
    <w:rsid w:val="00CB0316"/>
    <w:rsid w:val="00CB0B11"/>
    <w:rsid w:val="00CB5354"/>
    <w:rsid w:val="00CC31EF"/>
    <w:rsid w:val="00CC6A14"/>
    <w:rsid w:val="00CC70A3"/>
    <w:rsid w:val="00CD09AE"/>
    <w:rsid w:val="00CD4442"/>
    <w:rsid w:val="00CD53C3"/>
    <w:rsid w:val="00CD574E"/>
    <w:rsid w:val="00CD6950"/>
    <w:rsid w:val="00CE37C6"/>
    <w:rsid w:val="00CE3E7A"/>
    <w:rsid w:val="00CE4C22"/>
    <w:rsid w:val="00CE7C58"/>
    <w:rsid w:val="00CF0295"/>
    <w:rsid w:val="00CF41EC"/>
    <w:rsid w:val="00CF51D0"/>
    <w:rsid w:val="00CF5D04"/>
    <w:rsid w:val="00D047E1"/>
    <w:rsid w:val="00D04DE4"/>
    <w:rsid w:val="00D063F1"/>
    <w:rsid w:val="00D14F22"/>
    <w:rsid w:val="00D24281"/>
    <w:rsid w:val="00D2778B"/>
    <w:rsid w:val="00D43EB3"/>
    <w:rsid w:val="00D477C0"/>
    <w:rsid w:val="00D57918"/>
    <w:rsid w:val="00D73DC6"/>
    <w:rsid w:val="00D745EA"/>
    <w:rsid w:val="00D74C1A"/>
    <w:rsid w:val="00D754C1"/>
    <w:rsid w:val="00D77A35"/>
    <w:rsid w:val="00D81B3E"/>
    <w:rsid w:val="00D90C70"/>
    <w:rsid w:val="00D90E49"/>
    <w:rsid w:val="00DC6A10"/>
    <w:rsid w:val="00DE0696"/>
    <w:rsid w:val="00DE37D3"/>
    <w:rsid w:val="00DE657E"/>
    <w:rsid w:val="00DF4704"/>
    <w:rsid w:val="00E024AA"/>
    <w:rsid w:val="00E07E45"/>
    <w:rsid w:val="00E250F1"/>
    <w:rsid w:val="00E27EDD"/>
    <w:rsid w:val="00E3550D"/>
    <w:rsid w:val="00E432CF"/>
    <w:rsid w:val="00E51AE6"/>
    <w:rsid w:val="00E61182"/>
    <w:rsid w:val="00E614E0"/>
    <w:rsid w:val="00E63BC5"/>
    <w:rsid w:val="00E66A74"/>
    <w:rsid w:val="00E73F7F"/>
    <w:rsid w:val="00E82C67"/>
    <w:rsid w:val="00E8615B"/>
    <w:rsid w:val="00E9496B"/>
    <w:rsid w:val="00E95E1C"/>
    <w:rsid w:val="00EA429F"/>
    <w:rsid w:val="00EA4F9E"/>
    <w:rsid w:val="00EA63CA"/>
    <w:rsid w:val="00EA6D3B"/>
    <w:rsid w:val="00EB00AD"/>
    <w:rsid w:val="00EB136C"/>
    <w:rsid w:val="00EB480E"/>
    <w:rsid w:val="00EB5EC6"/>
    <w:rsid w:val="00EB7C1E"/>
    <w:rsid w:val="00EB7FC9"/>
    <w:rsid w:val="00EC13DF"/>
    <w:rsid w:val="00EC21DD"/>
    <w:rsid w:val="00ED27E8"/>
    <w:rsid w:val="00ED7137"/>
    <w:rsid w:val="00EE54D2"/>
    <w:rsid w:val="00EE7060"/>
    <w:rsid w:val="00EE7F61"/>
    <w:rsid w:val="00EF5F66"/>
    <w:rsid w:val="00F01327"/>
    <w:rsid w:val="00F16A31"/>
    <w:rsid w:val="00F16DA0"/>
    <w:rsid w:val="00F21088"/>
    <w:rsid w:val="00F3190E"/>
    <w:rsid w:val="00F31F06"/>
    <w:rsid w:val="00F327E7"/>
    <w:rsid w:val="00F34439"/>
    <w:rsid w:val="00F35746"/>
    <w:rsid w:val="00F447C7"/>
    <w:rsid w:val="00F455CD"/>
    <w:rsid w:val="00F52B6A"/>
    <w:rsid w:val="00F54530"/>
    <w:rsid w:val="00F554A9"/>
    <w:rsid w:val="00F634DD"/>
    <w:rsid w:val="00F64531"/>
    <w:rsid w:val="00F65729"/>
    <w:rsid w:val="00F716FD"/>
    <w:rsid w:val="00F7405A"/>
    <w:rsid w:val="00F80355"/>
    <w:rsid w:val="00F9222E"/>
    <w:rsid w:val="00F93221"/>
    <w:rsid w:val="00FA3679"/>
    <w:rsid w:val="00FA4171"/>
    <w:rsid w:val="00FB0C81"/>
    <w:rsid w:val="00FB444A"/>
    <w:rsid w:val="00FB58BC"/>
    <w:rsid w:val="00FC2200"/>
    <w:rsid w:val="00FC2540"/>
    <w:rsid w:val="00FC791B"/>
    <w:rsid w:val="00FC7E93"/>
    <w:rsid w:val="00FD7B6F"/>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5B2FD2"/>
    <w:pPr>
      <w:ind w:left="720"/>
      <w:contextualSpacing/>
    </w:pPr>
    <w:rPr>
      <w:lang w:val="en-US"/>
    </w:rPr>
  </w:style>
  <w:style w:type="paragraph" w:styleId="FootnoteText">
    <w:name w:val="footnote text"/>
    <w:basedOn w:val="Normal"/>
    <w:link w:val="FootnoteTextChar"/>
    <w:uiPriority w:val="99"/>
    <w:semiHidden/>
    <w:unhideWhenUsed/>
    <w:rsid w:val="005B2FD2"/>
    <w:rPr>
      <w:sz w:val="20"/>
      <w:szCs w:val="20"/>
    </w:rPr>
  </w:style>
  <w:style w:type="character" w:customStyle="1" w:styleId="FootnoteTextChar">
    <w:name w:val="Footnote Text Char"/>
    <w:basedOn w:val="DefaultParagraphFont"/>
    <w:link w:val="FootnoteText"/>
    <w:uiPriority w:val="99"/>
    <w:semiHidden/>
    <w:rsid w:val="005B2FD2"/>
    <w:rPr>
      <w:lang w:val="en-GB"/>
    </w:rPr>
  </w:style>
  <w:style w:type="character" w:styleId="FootnoteReference">
    <w:name w:val="footnote reference"/>
    <w:basedOn w:val="DefaultParagraphFont"/>
    <w:uiPriority w:val="99"/>
    <w:semiHidden/>
    <w:unhideWhenUsed/>
    <w:rsid w:val="005B2FD2"/>
    <w:rPr>
      <w:vertAlign w:val="superscript"/>
    </w:rPr>
  </w:style>
  <w:style w:type="character" w:customStyle="1" w:styleId="FooterChar">
    <w:name w:val="Footer Char"/>
    <w:basedOn w:val="DefaultParagraphFont"/>
    <w:link w:val="Footer"/>
    <w:uiPriority w:val="99"/>
    <w:rsid w:val="00C32EFE"/>
    <w:rPr>
      <w:sz w:val="22"/>
      <w:szCs w:val="22"/>
      <w:lang w:val="en-GB"/>
    </w:rPr>
  </w:style>
  <w:style w:type="paragraph" w:styleId="DocumentMap">
    <w:name w:val="Document Map"/>
    <w:basedOn w:val="Normal"/>
    <w:link w:val="DocumentMapChar"/>
    <w:uiPriority w:val="99"/>
    <w:semiHidden/>
    <w:unhideWhenUsed/>
    <w:rsid w:val="00890EB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0EB7"/>
    <w:rPr>
      <w:rFonts w:ascii="Lucida Grande" w:hAnsi="Lucida Grande" w:cs="Lucida Grande"/>
      <w:sz w:val="24"/>
      <w:szCs w:val="24"/>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16FB4"/>
    <w:rPr>
      <w:sz w:val="22"/>
      <w:szCs w:val="22"/>
      <w:lang w:val="en-GB"/>
    </w:rPr>
  </w:style>
  <w:style w:type="paragraph" w:customStyle="1" w:styleId="Style1">
    <w:name w:val="Style  1."/>
    <w:basedOn w:val="Normal"/>
    <w:next w:val="TOC1"/>
    <w:rsid w:val="00A16FB4"/>
    <w:pPr>
      <w:spacing w:after="240"/>
    </w:pPr>
    <w:rPr>
      <w:rFonts w:eastAsia="MS Mincho"/>
      <w:b/>
      <w:bCs/>
      <w:lang w:eastAsia="zh-CN"/>
    </w:rPr>
  </w:style>
  <w:style w:type="paragraph" w:styleId="TOC1">
    <w:name w:val="toc 1"/>
    <w:basedOn w:val="Normal"/>
    <w:next w:val="Normal"/>
    <w:autoRedefine/>
    <w:uiPriority w:val="39"/>
    <w:semiHidden/>
    <w:unhideWhenUsed/>
    <w:rsid w:val="00A16FB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5B2FD2"/>
    <w:pPr>
      <w:ind w:left="720"/>
      <w:contextualSpacing/>
    </w:pPr>
    <w:rPr>
      <w:lang w:val="en-US"/>
    </w:rPr>
  </w:style>
  <w:style w:type="paragraph" w:styleId="FootnoteText">
    <w:name w:val="footnote text"/>
    <w:basedOn w:val="Normal"/>
    <w:link w:val="FootnoteTextChar"/>
    <w:uiPriority w:val="99"/>
    <w:semiHidden/>
    <w:unhideWhenUsed/>
    <w:rsid w:val="005B2FD2"/>
    <w:rPr>
      <w:sz w:val="20"/>
      <w:szCs w:val="20"/>
    </w:rPr>
  </w:style>
  <w:style w:type="character" w:customStyle="1" w:styleId="FootnoteTextChar">
    <w:name w:val="Footnote Text Char"/>
    <w:basedOn w:val="DefaultParagraphFont"/>
    <w:link w:val="FootnoteText"/>
    <w:uiPriority w:val="99"/>
    <w:semiHidden/>
    <w:rsid w:val="005B2FD2"/>
    <w:rPr>
      <w:lang w:val="en-GB"/>
    </w:rPr>
  </w:style>
  <w:style w:type="character" w:styleId="FootnoteReference">
    <w:name w:val="footnote reference"/>
    <w:basedOn w:val="DefaultParagraphFont"/>
    <w:uiPriority w:val="99"/>
    <w:semiHidden/>
    <w:unhideWhenUsed/>
    <w:rsid w:val="005B2FD2"/>
    <w:rPr>
      <w:vertAlign w:val="superscript"/>
    </w:rPr>
  </w:style>
  <w:style w:type="character" w:customStyle="1" w:styleId="FooterChar">
    <w:name w:val="Footer Char"/>
    <w:basedOn w:val="DefaultParagraphFont"/>
    <w:link w:val="Footer"/>
    <w:uiPriority w:val="99"/>
    <w:rsid w:val="00C32EFE"/>
    <w:rPr>
      <w:sz w:val="22"/>
      <w:szCs w:val="22"/>
      <w:lang w:val="en-GB"/>
    </w:rPr>
  </w:style>
  <w:style w:type="paragraph" w:styleId="DocumentMap">
    <w:name w:val="Document Map"/>
    <w:basedOn w:val="Normal"/>
    <w:link w:val="DocumentMapChar"/>
    <w:uiPriority w:val="99"/>
    <w:semiHidden/>
    <w:unhideWhenUsed/>
    <w:rsid w:val="00890EB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0EB7"/>
    <w:rPr>
      <w:rFonts w:ascii="Lucida Grande" w:hAnsi="Lucida Grande" w:cs="Lucida Grande"/>
      <w:sz w:val="24"/>
      <w:szCs w:val="24"/>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16FB4"/>
    <w:rPr>
      <w:sz w:val="22"/>
      <w:szCs w:val="22"/>
      <w:lang w:val="en-GB"/>
    </w:rPr>
  </w:style>
  <w:style w:type="paragraph" w:customStyle="1" w:styleId="Style1">
    <w:name w:val="Style  1."/>
    <w:basedOn w:val="Normal"/>
    <w:next w:val="TOC1"/>
    <w:rsid w:val="00A16FB4"/>
    <w:pPr>
      <w:spacing w:after="240"/>
    </w:pPr>
    <w:rPr>
      <w:rFonts w:eastAsia="MS Mincho"/>
      <w:b/>
      <w:bCs/>
      <w:lang w:eastAsia="zh-CN"/>
    </w:rPr>
  </w:style>
  <w:style w:type="paragraph" w:styleId="TOC1">
    <w:name w:val="toc 1"/>
    <w:basedOn w:val="Normal"/>
    <w:next w:val="Normal"/>
    <w:autoRedefine/>
    <w:uiPriority w:val="39"/>
    <w:semiHidden/>
    <w:unhideWhenUsed/>
    <w:rsid w:val="00A16F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633">
      <w:bodyDiv w:val="1"/>
      <w:marLeft w:val="0"/>
      <w:marRight w:val="0"/>
      <w:marTop w:val="0"/>
      <w:marBottom w:val="0"/>
      <w:divBdr>
        <w:top w:val="none" w:sz="0" w:space="0" w:color="auto"/>
        <w:left w:val="none" w:sz="0" w:space="0" w:color="auto"/>
        <w:bottom w:val="none" w:sz="0" w:space="0" w:color="auto"/>
        <w:right w:val="none" w:sz="0" w:space="0" w:color="auto"/>
      </w:divBdr>
    </w:div>
    <w:div w:id="1250387291">
      <w:bodyDiv w:val="1"/>
      <w:marLeft w:val="0"/>
      <w:marRight w:val="0"/>
      <w:marTop w:val="0"/>
      <w:marBottom w:val="0"/>
      <w:divBdr>
        <w:top w:val="none" w:sz="0" w:space="0" w:color="auto"/>
        <w:left w:val="none" w:sz="0" w:space="0" w:color="auto"/>
        <w:bottom w:val="none" w:sz="0" w:space="0" w:color="auto"/>
        <w:right w:val="none" w:sz="0" w:space="0" w:color="auto"/>
      </w:divBdr>
    </w:div>
    <w:div w:id="154324631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5th\Templates\Eec75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UNEP/OzL.Pro/ExCom/77/10/Rev.1</Document_x0020_Number>
    <DocumentType xmlns="64e33b30-101d-41de-b951-961aab25ea29">Pre-session</DocumentType>
  </documentManagement>
</p:properties>
</file>

<file path=customXml/itemProps1.xml><?xml version="1.0" encoding="utf-8"?>
<ds:datastoreItem xmlns:ds="http://schemas.openxmlformats.org/officeDocument/2006/customXml" ds:itemID="{D2691B44-AFC9-413D-9032-B08AF4E4A6FF}"/>
</file>

<file path=customXml/itemProps2.xml><?xml version="1.0" encoding="utf-8"?>
<ds:datastoreItem xmlns:ds="http://schemas.openxmlformats.org/officeDocument/2006/customXml" ds:itemID="{BE5923BE-97FE-4076-A44B-193C6643E5BA}"/>
</file>

<file path=customXml/itemProps3.xml><?xml version="1.0" encoding="utf-8"?>
<ds:datastoreItem xmlns:ds="http://schemas.openxmlformats.org/officeDocument/2006/customXml" ds:itemID="{11211A3A-E905-488F-9E98-FC09D005D034}"/>
</file>

<file path=customXml/itemProps4.xml><?xml version="1.0" encoding="utf-8"?>
<ds:datastoreItem xmlns:ds="http://schemas.openxmlformats.org/officeDocument/2006/customXml" ds:itemID="{29E58EA4-C351-4032-8AFD-74B684BA368B}"/>
</file>

<file path=docProps/app.xml><?xml version="1.0" encoding="utf-8"?>
<Properties xmlns="http://schemas.openxmlformats.org/officeDocument/2006/extended-properties" xmlns:vt="http://schemas.openxmlformats.org/officeDocument/2006/docPropsVTypes">
  <Template>Eec75G</Template>
  <TotalTime>10</TotalTime>
  <Pages>7</Pages>
  <Words>2177</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 monitoring and evaluation workprogramme 2017</vt:lpstr>
    </vt:vector>
  </TitlesOfParts>
  <Company>Hewlett-Packard Company</Company>
  <LinksUpToDate>false</LinksUpToDate>
  <CharactersWithSpaces>14295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monitoring and evaluation workprogramme 2017</dc:title>
  <dc:subject>UNEP/OzL.Pro/ExCom/77/10/Rev.1</dc:subject>
  <dc:creator>Joel Pare-Julien</dc:creator>
  <cp:lastModifiedBy>unmfs</cp:lastModifiedBy>
  <cp:revision>5</cp:revision>
  <cp:lastPrinted>2016-11-30T18:25:00Z</cp:lastPrinted>
  <dcterms:created xsi:type="dcterms:W3CDTF">2016-12-01T21:02:00Z</dcterms:created>
  <dcterms:modified xsi:type="dcterms:W3CDTF">2016-12-02T02:32:00Z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UNEP/OzL.Pro/ExCom/77/10/Rev.1</vt:lpwstr>
  </property>
  <property fmtid="{D5CDD505-2E9C-101B-9397-08002B2CF9AE}" pid="3" name="Revision date">
    <vt:lpwstr>12/1/2016</vt:lpwstr>
  </property>
  <property fmtid="{D5CDD505-2E9C-101B-9397-08002B2CF9AE}" pid="4" name="ContentTypeId">
    <vt:lpwstr>0x010100F409F5B17BF82F4083D32896D3516BC1</vt:lpwstr>
  </property>
</Properties>
</file>