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AA23BE" w:rsidTr="008809D9">
        <w:trPr>
          <w:trHeight w:val="720"/>
        </w:trPr>
        <w:tc>
          <w:tcPr>
            <w:tcW w:w="5490" w:type="dxa"/>
            <w:gridSpan w:val="2"/>
            <w:tcBorders>
              <w:bottom w:val="single" w:sz="18" w:space="0" w:color="auto"/>
            </w:tcBorders>
          </w:tcPr>
          <w:p w:rsidR="00C15867" w:rsidRPr="00AA23BE" w:rsidRDefault="00C15867" w:rsidP="008809D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AA23BE">
              <w:rPr>
                <w:rFonts w:ascii="Univers" w:hAnsi="Univers"/>
                <w:b/>
                <w:sz w:val="28"/>
                <w:szCs w:val="28"/>
              </w:rPr>
              <w:t>UNITED</w:t>
            </w:r>
            <w:r w:rsidRPr="00AA23BE">
              <w:rPr>
                <w:rFonts w:ascii="Univers" w:hAnsi="Univers"/>
                <w:b/>
                <w:sz w:val="28"/>
                <w:szCs w:val="28"/>
              </w:rPr>
              <w:br/>
              <w:t>NATIONS</w:t>
            </w:r>
          </w:p>
        </w:tc>
        <w:tc>
          <w:tcPr>
            <w:tcW w:w="4590" w:type="dxa"/>
            <w:tcBorders>
              <w:bottom w:val="single" w:sz="18" w:space="0" w:color="auto"/>
            </w:tcBorders>
          </w:tcPr>
          <w:p w:rsidR="00C15867" w:rsidRPr="00AA23BE" w:rsidRDefault="00C15867" w:rsidP="008809D9">
            <w:pPr>
              <w:jc w:val="right"/>
              <w:rPr>
                <w:sz w:val="52"/>
                <w:szCs w:val="52"/>
              </w:rPr>
            </w:pPr>
            <w:r w:rsidRPr="00AA23BE">
              <w:rPr>
                <w:rFonts w:ascii="Univers Bold" w:hAnsi="Univers Bold"/>
                <w:b/>
                <w:sz w:val="72"/>
              </w:rPr>
              <w:t>EP</w:t>
            </w:r>
          </w:p>
        </w:tc>
      </w:tr>
      <w:tr w:rsidR="00C15867" w:rsidRPr="00AA23BE" w:rsidTr="00880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AA23BE" w:rsidRDefault="00C15867" w:rsidP="008809D9">
            <w:pPr>
              <w:spacing w:before="120"/>
            </w:pPr>
            <w:r w:rsidRPr="00AA23BE">
              <w:rPr>
                <w:noProof/>
                <w:lang w:val="en-CA" w:eastAsia="zh-CN"/>
              </w:rPr>
              <w:drawing>
                <wp:anchor distT="0" distB="0" distL="114300" distR="114300" simplePos="0" relativeHeight="251660288" behindDoc="0" locked="0" layoutInCell="1" allowOverlap="1" wp14:anchorId="7F3D7A6D" wp14:editId="748E924B">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AA23BE">
              <w:rPr>
                <w:noProof/>
                <w:lang w:val="en-CA" w:eastAsia="zh-CN"/>
              </w:rPr>
              <w:drawing>
                <wp:anchor distT="0" distB="0" distL="114300" distR="114300" simplePos="0" relativeHeight="251661312" behindDoc="1" locked="0" layoutInCell="0" allowOverlap="1" wp14:anchorId="1C8F3A43" wp14:editId="3DBAEF49">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AA23BE" w:rsidRDefault="00C15867" w:rsidP="008809D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AA23BE">
              <w:rPr>
                <w:rFonts w:ascii="Univers" w:hAnsi="Univers"/>
                <w:b/>
                <w:sz w:val="32"/>
              </w:rPr>
              <w:t>United Nations</w:t>
            </w:r>
          </w:p>
          <w:p w:rsidR="00C15867" w:rsidRPr="00AA23BE" w:rsidRDefault="00C15867" w:rsidP="008809D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AA23BE">
              <w:rPr>
                <w:rFonts w:ascii="Univers" w:hAnsi="Univers"/>
                <w:b/>
                <w:sz w:val="32"/>
              </w:rPr>
              <w:t>Environment</w:t>
            </w:r>
          </w:p>
          <w:p w:rsidR="00C15867" w:rsidRPr="00AA23BE" w:rsidRDefault="00C15867" w:rsidP="008809D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AA23BE">
              <w:rPr>
                <w:rFonts w:ascii="Univers" w:hAnsi="Univers"/>
                <w:b/>
                <w:sz w:val="32"/>
              </w:rPr>
              <w:t>Programme</w:t>
            </w:r>
          </w:p>
          <w:p w:rsidR="00C15867" w:rsidRPr="00AA23BE" w:rsidRDefault="00C15867" w:rsidP="008809D9">
            <w:pPr>
              <w:spacing w:before="720"/>
              <w:ind w:left="158"/>
            </w:pPr>
          </w:p>
        </w:tc>
        <w:tc>
          <w:tcPr>
            <w:tcW w:w="4590" w:type="dxa"/>
            <w:tcBorders>
              <w:top w:val="nil"/>
              <w:left w:val="nil"/>
              <w:bottom w:val="single" w:sz="36" w:space="0" w:color="auto"/>
              <w:right w:val="nil"/>
            </w:tcBorders>
          </w:tcPr>
          <w:p w:rsidR="00C15867" w:rsidRPr="00AA23BE" w:rsidRDefault="00C15867" w:rsidP="008809D9">
            <w:r w:rsidRPr="00AA23BE">
              <w:t>Distr.</w:t>
            </w:r>
          </w:p>
          <w:p w:rsidR="00923540" w:rsidRPr="00AA23BE" w:rsidRDefault="00923540" w:rsidP="00923540">
            <w:r w:rsidRPr="00AA23BE">
              <w:t>GENERAL</w:t>
            </w:r>
          </w:p>
          <w:p w:rsidR="00C15867" w:rsidRPr="00AA23BE" w:rsidRDefault="00C15867" w:rsidP="008809D9"/>
          <w:p w:rsidR="00C15867" w:rsidRPr="00AA23BE" w:rsidRDefault="00C15867" w:rsidP="008809D9"/>
          <w:p w:rsidR="00C15867" w:rsidRPr="00AA23BE" w:rsidRDefault="001804EA" w:rsidP="008809D9">
            <w:r w:rsidRPr="00AA23BE">
              <w:fldChar w:fldCharType="begin"/>
            </w:r>
            <w:r w:rsidRPr="00AA23BE">
              <w:instrText xml:space="preserve"> DOCPROPERTY "Document number"  \* MERGEFORMAT </w:instrText>
            </w:r>
            <w:r w:rsidRPr="00AA23BE">
              <w:fldChar w:fldCharType="separate"/>
            </w:r>
            <w:r w:rsidR="00FB2077" w:rsidRPr="00AA23BE">
              <w:t>UNEP/OzL.Pro/</w:t>
            </w:r>
            <w:proofErr w:type="spellStart"/>
            <w:r w:rsidR="00FB2077" w:rsidRPr="00AA23BE">
              <w:t>ExCom</w:t>
            </w:r>
            <w:proofErr w:type="spellEnd"/>
            <w:r w:rsidR="00FB2077" w:rsidRPr="00AA23BE">
              <w:t>/77/20</w:t>
            </w:r>
            <w:r w:rsidRPr="00AA23BE">
              <w:fldChar w:fldCharType="end"/>
            </w:r>
          </w:p>
          <w:p w:rsidR="00C15867" w:rsidRPr="00AA23BE" w:rsidRDefault="00BC2495" w:rsidP="008809D9">
            <w:r w:rsidRPr="00AA23BE">
              <w:fldChar w:fldCharType="begin"/>
            </w:r>
            <w:r w:rsidR="00851352" w:rsidRPr="00AA23BE">
              <w:instrText xml:space="preserve"> DOCPROPERTY "Revision date" \@ "d MMMM YYYY"  \* MERGEFORMAT </w:instrText>
            </w:r>
            <w:r w:rsidRPr="00AA23BE">
              <w:fldChar w:fldCharType="separate"/>
            </w:r>
            <w:r w:rsidR="0065767E">
              <w:t>26 October 2016</w:t>
            </w:r>
            <w:r w:rsidRPr="00AA23BE">
              <w:fldChar w:fldCharType="end"/>
            </w:r>
          </w:p>
          <w:p w:rsidR="00C15867" w:rsidRPr="00AA23BE" w:rsidRDefault="00C15867" w:rsidP="008809D9">
            <w:pPr>
              <w:rPr>
                <w:caps/>
              </w:rPr>
            </w:pPr>
          </w:p>
          <w:p w:rsidR="00C15867" w:rsidRPr="00AA23BE" w:rsidRDefault="00C15867" w:rsidP="008809D9">
            <w:r w:rsidRPr="00AA23BE">
              <w:t>ORIGINAL: ENGLISH</w:t>
            </w:r>
          </w:p>
        </w:tc>
      </w:tr>
    </w:tbl>
    <w:p w:rsidR="00667244" w:rsidRPr="00AA23BE" w:rsidRDefault="00C15867" w:rsidP="00667244">
      <w:pPr>
        <w:jc w:val="left"/>
      </w:pPr>
      <w:r w:rsidRPr="00AA23BE">
        <w:t>EXECUTIVE COMMITTEE OF</w:t>
      </w:r>
      <w:r w:rsidRPr="00AA23BE">
        <w:br/>
        <w:t xml:space="preserve">  THE MULTILATERAL FUND FOR THE</w:t>
      </w:r>
      <w:r w:rsidRPr="00AA23BE">
        <w:br/>
        <w:t xml:space="preserve">  IMPLEMENTATION OF THE MONTREAL PROTOCOL</w:t>
      </w:r>
      <w:r w:rsidRPr="00AA23BE">
        <w:br/>
      </w:r>
      <w:r w:rsidR="00667244" w:rsidRPr="00AA23BE">
        <w:rPr>
          <w:lang w:val="en-CA"/>
        </w:rPr>
        <w:t>Seventy-</w:t>
      </w:r>
      <w:r w:rsidR="00822233" w:rsidRPr="00AA23BE">
        <w:rPr>
          <w:lang w:val="en-CA"/>
        </w:rPr>
        <w:t>seventh</w:t>
      </w:r>
      <w:r w:rsidR="00667244" w:rsidRPr="00AA23BE">
        <w:t xml:space="preserve"> Meeting</w:t>
      </w:r>
    </w:p>
    <w:p w:rsidR="00667244" w:rsidRPr="00AA23BE" w:rsidRDefault="00667244" w:rsidP="00667244">
      <w:pPr>
        <w:jc w:val="left"/>
        <w:rPr>
          <w:lang w:val="en-CA"/>
        </w:rPr>
      </w:pPr>
      <w:r w:rsidRPr="00AA23BE">
        <w:t>Montreal</w:t>
      </w:r>
      <w:r w:rsidRPr="00AA23BE">
        <w:rPr>
          <w:lang w:val="en-CA"/>
        </w:rPr>
        <w:t xml:space="preserve">, </w:t>
      </w:r>
      <w:r w:rsidR="00822233" w:rsidRPr="00AA23BE">
        <w:t xml:space="preserve">28 November </w:t>
      </w:r>
      <w:r w:rsidR="00DC7990" w:rsidRPr="00AA23BE">
        <w:t>-</w:t>
      </w:r>
      <w:r w:rsidR="00822233" w:rsidRPr="00AA23BE">
        <w:t xml:space="preserve"> 2 December 2016</w:t>
      </w:r>
    </w:p>
    <w:p w:rsidR="00C15867" w:rsidRPr="00AA23BE" w:rsidRDefault="00C15867" w:rsidP="00667244">
      <w:pPr>
        <w:jc w:val="left"/>
        <w:rPr>
          <w:lang w:val="en-US"/>
        </w:rPr>
      </w:pPr>
    </w:p>
    <w:p w:rsidR="00C15867" w:rsidRPr="00AA23BE" w:rsidRDefault="00C15867" w:rsidP="00C15867">
      <w:pPr>
        <w:pStyle w:val="Heading3"/>
        <w:numPr>
          <w:ilvl w:val="0"/>
          <w:numId w:val="0"/>
        </w:numPr>
        <w:spacing w:after="0"/>
        <w:rPr>
          <w:lang w:val="en-US"/>
        </w:rPr>
      </w:pPr>
    </w:p>
    <w:p w:rsidR="004E7F9C" w:rsidRPr="00AA23BE" w:rsidRDefault="004E7F9C" w:rsidP="004E7F9C">
      <w:pPr>
        <w:pStyle w:val="Title1"/>
      </w:pPr>
    </w:p>
    <w:p w:rsidR="00E6554D" w:rsidRPr="00AA23BE" w:rsidRDefault="00E6554D" w:rsidP="00AA23BE">
      <w:pPr>
        <w:pStyle w:val="Title2"/>
        <w:rPr>
          <w:lang w:val="en-CA"/>
        </w:rPr>
      </w:pPr>
      <w:r w:rsidRPr="00AA23BE">
        <w:rPr>
          <w:lang w:val="en-CA"/>
        </w:rPr>
        <w:t>CONSOLIDATED BUSINESS PLAN OF THE MULTILATERAL FUND for 2017-2019</w:t>
      </w:r>
    </w:p>
    <w:p w:rsidR="00E6554D" w:rsidRPr="00AA23BE" w:rsidRDefault="00F41B33" w:rsidP="00AA23BE">
      <w:pPr>
        <w:pStyle w:val="Title2"/>
        <w:rPr>
          <w:lang w:val="en-CA"/>
        </w:rPr>
      </w:pPr>
      <w:r w:rsidRPr="00AA23BE">
        <w:rPr>
          <w:lang w:val="en-CA"/>
        </w:rPr>
        <w:t xml:space="preserve"> </w:t>
      </w:r>
    </w:p>
    <w:p w:rsidR="00E6554D" w:rsidRPr="00AA23BE" w:rsidRDefault="00E6554D" w:rsidP="00AA23BE">
      <w:pPr>
        <w:pStyle w:val="Heading1"/>
        <w:numPr>
          <w:ilvl w:val="0"/>
          <w:numId w:val="0"/>
        </w:numPr>
        <w:rPr>
          <w:b/>
          <w:lang w:val="en-CA"/>
        </w:rPr>
      </w:pPr>
      <w:r w:rsidRPr="00AA23BE">
        <w:rPr>
          <w:b/>
          <w:lang w:val="en-CA"/>
        </w:rPr>
        <w:t>Introduction</w:t>
      </w:r>
    </w:p>
    <w:p w:rsidR="00E6554D" w:rsidRPr="00AA23BE" w:rsidRDefault="00E6554D" w:rsidP="00AA23BE">
      <w:pPr>
        <w:pStyle w:val="Heading1"/>
        <w:rPr>
          <w:lang w:val="en-CA"/>
        </w:rPr>
      </w:pPr>
      <w:r w:rsidRPr="00AA23BE">
        <w:rPr>
          <w:lang w:val="en-CA"/>
        </w:rPr>
        <w:t>The Secretariat and the bilateral and implementing agencies began their collaborative efforts on business planning for 201</w:t>
      </w:r>
      <w:r w:rsidR="00C93F87" w:rsidRPr="00AA23BE">
        <w:rPr>
          <w:lang w:val="en-CA"/>
        </w:rPr>
        <w:t>7</w:t>
      </w:r>
      <w:r w:rsidRPr="00AA23BE">
        <w:rPr>
          <w:lang w:val="en-CA"/>
        </w:rPr>
        <w:t>-201</w:t>
      </w:r>
      <w:r w:rsidR="00C93F87" w:rsidRPr="00AA23BE">
        <w:rPr>
          <w:lang w:val="en-CA"/>
        </w:rPr>
        <w:t>9</w:t>
      </w:r>
      <w:r w:rsidRPr="00AA23BE">
        <w:rPr>
          <w:lang w:val="en-CA"/>
        </w:rPr>
        <w:t xml:space="preserve"> </w:t>
      </w:r>
      <w:r w:rsidR="00932874" w:rsidRPr="00AA23BE">
        <w:rPr>
          <w:lang w:val="en-CA"/>
        </w:rPr>
        <w:t xml:space="preserve">of the Multilateral Fund </w:t>
      </w:r>
      <w:r w:rsidRPr="00AA23BE">
        <w:rPr>
          <w:lang w:val="en-CA"/>
        </w:rPr>
        <w:t>with the submission of the initial business plan tables on 1</w:t>
      </w:r>
      <w:r w:rsidR="00C93F87" w:rsidRPr="00AA23BE">
        <w:rPr>
          <w:lang w:val="en-CA"/>
        </w:rPr>
        <w:t>5 August 2016</w:t>
      </w:r>
      <w:r w:rsidRPr="00AA23BE">
        <w:rPr>
          <w:lang w:val="en-CA"/>
        </w:rPr>
        <w:t>. The total value of the 201</w:t>
      </w:r>
      <w:r w:rsidR="00C93F87" w:rsidRPr="00AA23BE">
        <w:rPr>
          <w:lang w:val="en-CA"/>
        </w:rPr>
        <w:t>7</w:t>
      </w:r>
      <w:r w:rsidRPr="00AA23BE">
        <w:rPr>
          <w:lang w:val="en-CA"/>
        </w:rPr>
        <w:t>-201</w:t>
      </w:r>
      <w:r w:rsidR="00C93F87" w:rsidRPr="00AA23BE">
        <w:rPr>
          <w:lang w:val="en-CA"/>
        </w:rPr>
        <w:t>9</w:t>
      </w:r>
      <w:r w:rsidRPr="00AA23BE">
        <w:rPr>
          <w:lang w:val="en-CA"/>
        </w:rPr>
        <w:t xml:space="preserve"> business plan tables as submitted is summarized in Table 1.</w:t>
      </w:r>
    </w:p>
    <w:p w:rsidR="00E6554D" w:rsidRPr="00AA23BE" w:rsidRDefault="00E6554D" w:rsidP="00AA23BE">
      <w:pPr>
        <w:rPr>
          <w:b/>
          <w:lang w:val="en-CA"/>
        </w:rPr>
      </w:pPr>
      <w:r w:rsidRPr="00AA23BE">
        <w:rPr>
          <w:b/>
          <w:lang w:val="en-CA"/>
        </w:rPr>
        <w:t>Table 1: Total initial business plan values for 201</w:t>
      </w:r>
      <w:r w:rsidR="00C93F87" w:rsidRPr="00AA23BE">
        <w:rPr>
          <w:b/>
          <w:lang w:val="en-CA"/>
        </w:rPr>
        <w:t>7</w:t>
      </w:r>
      <w:r w:rsidRPr="00AA23BE">
        <w:rPr>
          <w:b/>
          <w:lang w:val="en-CA"/>
        </w:rPr>
        <w:t>-201</w:t>
      </w:r>
      <w:r w:rsidR="00C93F87" w:rsidRPr="00AA23BE">
        <w:rPr>
          <w:b/>
          <w:lang w:val="en-CA"/>
        </w:rPr>
        <w:t>9</w:t>
      </w:r>
      <w:r w:rsidRPr="00AA23BE">
        <w:rPr>
          <w:b/>
          <w:lang w:val="en-CA"/>
        </w:rPr>
        <w:t xml:space="preserve"> (U$ $000)</w:t>
      </w:r>
    </w:p>
    <w:tbl>
      <w:tblPr>
        <w:tblW w:w="9361" w:type="dxa"/>
        <w:tblInd w:w="103" w:type="dxa"/>
        <w:tblLayout w:type="fixed"/>
        <w:tblLook w:val="04A0" w:firstRow="1" w:lastRow="0" w:firstColumn="1" w:lastColumn="0" w:noHBand="0" w:noVBand="1"/>
      </w:tblPr>
      <w:tblGrid>
        <w:gridCol w:w="1848"/>
        <w:gridCol w:w="1181"/>
        <w:gridCol w:w="1181"/>
        <w:gridCol w:w="1182"/>
        <w:gridCol w:w="1323"/>
        <w:gridCol w:w="1323"/>
        <w:gridCol w:w="1323"/>
      </w:tblGrid>
      <w:tr w:rsidR="008809D9" w:rsidRPr="00AA23BE" w:rsidTr="0065767E">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hideMark/>
          </w:tcPr>
          <w:p w:rsidR="008809D9" w:rsidRPr="00AA23BE" w:rsidRDefault="008809D9" w:rsidP="00AA23BE">
            <w:pPr>
              <w:jc w:val="left"/>
              <w:rPr>
                <w:b/>
                <w:bCs/>
                <w:sz w:val="20"/>
                <w:szCs w:val="20"/>
                <w:lang w:val="en-CA" w:eastAsia="en-CA"/>
              </w:rPr>
            </w:pPr>
            <w:r w:rsidRPr="00AA23BE">
              <w:rPr>
                <w:b/>
                <w:bCs/>
                <w:sz w:val="20"/>
                <w:szCs w:val="20"/>
                <w:lang w:val="en-CA" w:eastAsia="en-CA"/>
              </w:rPr>
              <w:t>Item</w:t>
            </w:r>
          </w:p>
        </w:tc>
        <w:tc>
          <w:tcPr>
            <w:tcW w:w="1181" w:type="dxa"/>
            <w:tcBorders>
              <w:top w:val="single" w:sz="4" w:space="0" w:color="auto"/>
              <w:left w:val="nil"/>
              <w:bottom w:val="single" w:sz="4" w:space="0" w:color="auto"/>
              <w:right w:val="single" w:sz="4" w:space="0" w:color="auto"/>
            </w:tcBorders>
            <w:shd w:val="clear" w:color="auto" w:fill="auto"/>
            <w:noWrap/>
            <w:hideMark/>
          </w:tcPr>
          <w:p w:rsidR="008809D9" w:rsidRPr="00AA23BE" w:rsidRDefault="008809D9" w:rsidP="00AA23BE">
            <w:pPr>
              <w:jc w:val="center"/>
              <w:rPr>
                <w:b/>
                <w:bCs/>
                <w:sz w:val="20"/>
                <w:szCs w:val="20"/>
                <w:lang w:val="en-CA" w:eastAsia="en-CA"/>
              </w:rPr>
            </w:pPr>
            <w:r w:rsidRPr="00AA23BE">
              <w:rPr>
                <w:b/>
                <w:bCs/>
                <w:sz w:val="20"/>
                <w:szCs w:val="20"/>
                <w:lang w:val="en-CA" w:eastAsia="en-CA"/>
              </w:rPr>
              <w:t>2017</w:t>
            </w:r>
          </w:p>
        </w:tc>
        <w:tc>
          <w:tcPr>
            <w:tcW w:w="1181" w:type="dxa"/>
            <w:tcBorders>
              <w:top w:val="single" w:sz="4" w:space="0" w:color="auto"/>
              <w:left w:val="nil"/>
              <w:bottom w:val="single" w:sz="4" w:space="0" w:color="auto"/>
              <w:right w:val="single" w:sz="4" w:space="0" w:color="auto"/>
            </w:tcBorders>
            <w:shd w:val="clear" w:color="auto" w:fill="auto"/>
            <w:noWrap/>
            <w:hideMark/>
          </w:tcPr>
          <w:p w:rsidR="008809D9" w:rsidRPr="00AA23BE" w:rsidRDefault="008809D9" w:rsidP="00AA23BE">
            <w:pPr>
              <w:jc w:val="center"/>
              <w:rPr>
                <w:b/>
                <w:bCs/>
                <w:sz w:val="20"/>
                <w:szCs w:val="20"/>
                <w:lang w:val="en-CA" w:eastAsia="en-CA"/>
              </w:rPr>
            </w:pPr>
            <w:r w:rsidRPr="00AA23BE">
              <w:rPr>
                <w:b/>
                <w:bCs/>
                <w:sz w:val="20"/>
                <w:szCs w:val="20"/>
                <w:lang w:val="en-CA" w:eastAsia="en-CA"/>
              </w:rPr>
              <w:t>2018</w:t>
            </w:r>
          </w:p>
        </w:tc>
        <w:tc>
          <w:tcPr>
            <w:tcW w:w="1182" w:type="dxa"/>
            <w:tcBorders>
              <w:top w:val="single" w:sz="4" w:space="0" w:color="auto"/>
              <w:left w:val="nil"/>
              <w:bottom w:val="single" w:sz="4" w:space="0" w:color="auto"/>
              <w:right w:val="single" w:sz="4" w:space="0" w:color="auto"/>
            </w:tcBorders>
            <w:shd w:val="clear" w:color="auto" w:fill="auto"/>
            <w:noWrap/>
            <w:hideMark/>
          </w:tcPr>
          <w:p w:rsidR="008809D9" w:rsidRPr="00AA23BE" w:rsidRDefault="008809D9" w:rsidP="00AA23BE">
            <w:pPr>
              <w:jc w:val="center"/>
              <w:rPr>
                <w:b/>
                <w:bCs/>
                <w:sz w:val="20"/>
                <w:szCs w:val="20"/>
                <w:lang w:val="en-CA" w:eastAsia="en-CA"/>
              </w:rPr>
            </w:pPr>
            <w:r w:rsidRPr="00AA23BE">
              <w:rPr>
                <w:b/>
                <w:bCs/>
                <w:sz w:val="20"/>
                <w:szCs w:val="20"/>
                <w:lang w:val="en-CA" w:eastAsia="en-CA"/>
              </w:rPr>
              <w:t>2019</w:t>
            </w:r>
          </w:p>
        </w:tc>
        <w:tc>
          <w:tcPr>
            <w:tcW w:w="1323" w:type="dxa"/>
            <w:tcBorders>
              <w:top w:val="single" w:sz="4" w:space="0" w:color="auto"/>
              <w:left w:val="nil"/>
              <w:bottom w:val="single" w:sz="4" w:space="0" w:color="auto"/>
              <w:right w:val="single" w:sz="4" w:space="0" w:color="auto"/>
            </w:tcBorders>
            <w:shd w:val="clear" w:color="auto" w:fill="auto"/>
            <w:noWrap/>
            <w:hideMark/>
          </w:tcPr>
          <w:p w:rsidR="00E31BEB" w:rsidRPr="00AA23BE" w:rsidRDefault="008809D9" w:rsidP="00AA23BE">
            <w:pPr>
              <w:jc w:val="center"/>
              <w:rPr>
                <w:b/>
                <w:bCs/>
                <w:sz w:val="20"/>
                <w:szCs w:val="20"/>
                <w:lang w:val="en-CA" w:eastAsia="en-CA"/>
              </w:rPr>
            </w:pPr>
            <w:r w:rsidRPr="00AA23BE">
              <w:rPr>
                <w:b/>
                <w:bCs/>
                <w:sz w:val="20"/>
                <w:szCs w:val="20"/>
                <w:lang w:val="en-CA" w:eastAsia="en-CA"/>
              </w:rPr>
              <w:t>Total</w:t>
            </w:r>
            <w:r w:rsidR="00E31BEB" w:rsidRPr="00AA23BE">
              <w:rPr>
                <w:b/>
                <w:bCs/>
                <w:sz w:val="20"/>
                <w:szCs w:val="20"/>
                <w:lang w:val="en-CA" w:eastAsia="en-CA"/>
              </w:rPr>
              <w:t xml:space="preserve"> </w:t>
            </w:r>
          </w:p>
          <w:p w:rsidR="008809D9" w:rsidRPr="00AA23BE" w:rsidRDefault="00E31BEB" w:rsidP="00AA23BE">
            <w:pPr>
              <w:jc w:val="center"/>
              <w:rPr>
                <w:b/>
                <w:bCs/>
                <w:sz w:val="20"/>
                <w:szCs w:val="20"/>
                <w:lang w:val="en-CA" w:eastAsia="en-CA"/>
              </w:rPr>
            </w:pPr>
            <w:r w:rsidRPr="00AA23BE">
              <w:rPr>
                <w:b/>
                <w:bCs/>
                <w:sz w:val="20"/>
                <w:szCs w:val="20"/>
                <w:lang w:val="en-CA" w:eastAsia="en-CA"/>
              </w:rPr>
              <w:t>(2017-2019)</w:t>
            </w:r>
          </w:p>
        </w:tc>
        <w:tc>
          <w:tcPr>
            <w:tcW w:w="1323" w:type="dxa"/>
            <w:tcBorders>
              <w:top w:val="single" w:sz="4" w:space="0" w:color="auto"/>
              <w:left w:val="nil"/>
              <w:bottom w:val="single" w:sz="4" w:space="0" w:color="auto"/>
              <w:right w:val="single" w:sz="4" w:space="0" w:color="auto"/>
            </w:tcBorders>
            <w:shd w:val="clear" w:color="auto" w:fill="auto"/>
            <w:noWrap/>
            <w:hideMark/>
          </w:tcPr>
          <w:p w:rsidR="008809D9" w:rsidRPr="00AA23BE" w:rsidRDefault="008809D9" w:rsidP="00AA23BE">
            <w:pPr>
              <w:jc w:val="center"/>
              <w:rPr>
                <w:b/>
                <w:bCs/>
                <w:sz w:val="20"/>
                <w:szCs w:val="20"/>
                <w:lang w:val="en-CA" w:eastAsia="en-CA"/>
              </w:rPr>
            </w:pPr>
            <w:r w:rsidRPr="00AA23BE">
              <w:rPr>
                <w:b/>
                <w:bCs/>
                <w:sz w:val="20"/>
                <w:szCs w:val="20"/>
                <w:lang w:val="en-CA" w:eastAsia="en-CA"/>
              </w:rPr>
              <w:t>2020</w:t>
            </w:r>
          </w:p>
        </w:tc>
        <w:tc>
          <w:tcPr>
            <w:tcW w:w="1323" w:type="dxa"/>
            <w:tcBorders>
              <w:top w:val="single" w:sz="4" w:space="0" w:color="auto"/>
              <w:left w:val="nil"/>
              <w:bottom w:val="single" w:sz="4" w:space="0" w:color="auto"/>
              <w:right w:val="single" w:sz="4" w:space="0" w:color="auto"/>
            </w:tcBorders>
            <w:shd w:val="clear" w:color="auto" w:fill="auto"/>
            <w:noWrap/>
            <w:hideMark/>
          </w:tcPr>
          <w:p w:rsidR="008809D9" w:rsidRPr="00AA23BE" w:rsidRDefault="008809D9" w:rsidP="00AA23BE">
            <w:pPr>
              <w:jc w:val="center"/>
              <w:rPr>
                <w:b/>
                <w:bCs/>
                <w:sz w:val="20"/>
                <w:szCs w:val="20"/>
                <w:lang w:val="en-CA" w:eastAsia="en-CA"/>
              </w:rPr>
            </w:pPr>
            <w:r w:rsidRPr="00AA23BE">
              <w:rPr>
                <w:b/>
                <w:bCs/>
                <w:sz w:val="20"/>
                <w:szCs w:val="20"/>
                <w:lang w:val="en-CA" w:eastAsia="en-CA"/>
              </w:rPr>
              <w:t>Total after 2020</w:t>
            </w:r>
          </w:p>
        </w:tc>
      </w:tr>
      <w:tr w:rsidR="00301BA3" w:rsidRPr="00AA23BE" w:rsidTr="0065767E">
        <w:trPr>
          <w:trHeight w:val="255"/>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301BA3" w:rsidRPr="00AA23BE" w:rsidRDefault="00301BA3" w:rsidP="00AA23BE">
            <w:pPr>
              <w:jc w:val="left"/>
              <w:rPr>
                <w:b/>
                <w:bCs/>
                <w:sz w:val="20"/>
                <w:szCs w:val="20"/>
                <w:lang w:val="en-CA" w:eastAsia="en-CA"/>
              </w:rPr>
            </w:pPr>
            <w:r w:rsidRPr="00AA23BE">
              <w:rPr>
                <w:b/>
                <w:bCs/>
                <w:sz w:val="20"/>
                <w:szCs w:val="20"/>
                <w:lang w:val="en-CA" w:eastAsia="en-CA"/>
              </w:rPr>
              <w:t>Grand total</w:t>
            </w:r>
          </w:p>
        </w:tc>
        <w:tc>
          <w:tcPr>
            <w:tcW w:w="1181"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b/>
                <w:bCs/>
                <w:sz w:val="20"/>
                <w:szCs w:val="20"/>
              </w:rPr>
            </w:pPr>
            <w:r w:rsidRPr="00AA23BE">
              <w:rPr>
                <w:b/>
                <w:bCs/>
                <w:sz w:val="20"/>
                <w:szCs w:val="20"/>
              </w:rPr>
              <w:t>175,936</w:t>
            </w:r>
          </w:p>
        </w:tc>
        <w:tc>
          <w:tcPr>
            <w:tcW w:w="1181"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b/>
                <w:bCs/>
                <w:sz w:val="20"/>
                <w:szCs w:val="20"/>
              </w:rPr>
            </w:pPr>
            <w:r w:rsidRPr="00AA23BE">
              <w:rPr>
                <w:b/>
                <w:bCs/>
                <w:sz w:val="20"/>
                <w:szCs w:val="20"/>
              </w:rPr>
              <w:t>260,841</w:t>
            </w:r>
          </w:p>
        </w:tc>
        <w:tc>
          <w:tcPr>
            <w:tcW w:w="1182"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b/>
                <w:bCs/>
                <w:sz w:val="20"/>
                <w:szCs w:val="20"/>
              </w:rPr>
            </w:pPr>
            <w:r w:rsidRPr="00AA23BE">
              <w:rPr>
                <w:b/>
                <w:bCs/>
                <w:sz w:val="20"/>
                <w:szCs w:val="20"/>
              </w:rPr>
              <w:t>191,219</w:t>
            </w:r>
          </w:p>
        </w:tc>
        <w:tc>
          <w:tcPr>
            <w:tcW w:w="1323"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b/>
                <w:bCs/>
                <w:sz w:val="20"/>
                <w:szCs w:val="20"/>
              </w:rPr>
            </w:pPr>
            <w:r w:rsidRPr="00AA23BE">
              <w:rPr>
                <w:b/>
                <w:bCs/>
                <w:sz w:val="20"/>
                <w:szCs w:val="20"/>
              </w:rPr>
              <w:t>627,995</w:t>
            </w:r>
          </w:p>
        </w:tc>
        <w:tc>
          <w:tcPr>
            <w:tcW w:w="1323"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b/>
                <w:bCs/>
                <w:sz w:val="20"/>
                <w:szCs w:val="20"/>
              </w:rPr>
            </w:pPr>
            <w:r w:rsidRPr="00AA23BE">
              <w:rPr>
                <w:b/>
                <w:bCs/>
                <w:sz w:val="20"/>
                <w:szCs w:val="20"/>
              </w:rPr>
              <w:t>245,268</w:t>
            </w:r>
          </w:p>
        </w:tc>
        <w:tc>
          <w:tcPr>
            <w:tcW w:w="1323"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b/>
                <w:bCs/>
                <w:sz w:val="20"/>
                <w:szCs w:val="20"/>
              </w:rPr>
            </w:pPr>
            <w:r w:rsidRPr="00AA23BE">
              <w:rPr>
                <w:b/>
                <w:bCs/>
                <w:sz w:val="20"/>
                <w:szCs w:val="20"/>
              </w:rPr>
              <w:t>346,178</w:t>
            </w:r>
          </w:p>
        </w:tc>
      </w:tr>
      <w:tr w:rsidR="00301BA3" w:rsidRPr="00AA23BE" w:rsidTr="0065767E">
        <w:trPr>
          <w:trHeight w:val="255"/>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301BA3" w:rsidRPr="00AA23BE" w:rsidRDefault="00301BA3" w:rsidP="00AA23BE">
            <w:pPr>
              <w:jc w:val="left"/>
              <w:rPr>
                <w:sz w:val="20"/>
                <w:szCs w:val="20"/>
                <w:lang w:val="en-CA" w:eastAsia="en-CA"/>
              </w:rPr>
            </w:pPr>
            <w:r w:rsidRPr="00AA23BE">
              <w:rPr>
                <w:sz w:val="20"/>
                <w:szCs w:val="20"/>
                <w:lang w:val="en-CA" w:eastAsia="en-CA"/>
              </w:rPr>
              <w:t>Indicative budget</w:t>
            </w:r>
          </w:p>
        </w:tc>
        <w:tc>
          <w:tcPr>
            <w:tcW w:w="1181"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sz w:val="20"/>
                <w:szCs w:val="20"/>
              </w:rPr>
            </w:pPr>
            <w:r w:rsidRPr="00AA23BE">
              <w:rPr>
                <w:sz w:val="20"/>
                <w:szCs w:val="20"/>
              </w:rPr>
              <w:t>153,800</w:t>
            </w:r>
          </w:p>
        </w:tc>
        <w:tc>
          <w:tcPr>
            <w:tcW w:w="1181"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sz w:val="20"/>
                <w:szCs w:val="20"/>
              </w:rPr>
            </w:pPr>
            <w:r w:rsidRPr="00AA23BE">
              <w:rPr>
                <w:sz w:val="20"/>
                <w:szCs w:val="20"/>
              </w:rPr>
              <w:t>169,167</w:t>
            </w:r>
          </w:p>
        </w:tc>
        <w:tc>
          <w:tcPr>
            <w:tcW w:w="1182"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sz w:val="20"/>
                <w:szCs w:val="20"/>
              </w:rPr>
            </w:pPr>
            <w:r w:rsidRPr="00AA23BE">
              <w:rPr>
                <w:sz w:val="20"/>
                <w:szCs w:val="20"/>
              </w:rPr>
              <w:t>169,167</w:t>
            </w:r>
          </w:p>
        </w:tc>
        <w:tc>
          <w:tcPr>
            <w:tcW w:w="1323"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sz w:val="20"/>
                <w:szCs w:val="20"/>
              </w:rPr>
            </w:pPr>
            <w:r w:rsidRPr="00AA23BE">
              <w:rPr>
                <w:sz w:val="20"/>
                <w:szCs w:val="20"/>
              </w:rPr>
              <w:t>492,133</w:t>
            </w:r>
          </w:p>
        </w:tc>
        <w:tc>
          <w:tcPr>
            <w:tcW w:w="1323"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sz w:val="20"/>
                <w:szCs w:val="20"/>
              </w:rPr>
            </w:pPr>
            <w:r w:rsidRPr="00AA23BE">
              <w:rPr>
                <w:sz w:val="20"/>
                <w:szCs w:val="20"/>
              </w:rPr>
              <w:t>169,167</w:t>
            </w:r>
          </w:p>
        </w:tc>
        <w:tc>
          <w:tcPr>
            <w:tcW w:w="1323"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sz w:val="20"/>
                <w:szCs w:val="20"/>
              </w:rPr>
            </w:pPr>
            <w:r w:rsidRPr="00AA23BE">
              <w:rPr>
                <w:sz w:val="20"/>
                <w:szCs w:val="20"/>
              </w:rPr>
              <w:t> </w:t>
            </w:r>
          </w:p>
        </w:tc>
      </w:tr>
      <w:tr w:rsidR="00301BA3" w:rsidRPr="00AA23BE" w:rsidTr="0065767E">
        <w:trPr>
          <w:trHeight w:val="255"/>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301BA3" w:rsidRPr="00AA23BE" w:rsidRDefault="00301BA3" w:rsidP="00AA23BE">
            <w:pPr>
              <w:jc w:val="left"/>
              <w:rPr>
                <w:sz w:val="20"/>
                <w:szCs w:val="20"/>
                <w:lang w:val="en-CA" w:eastAsia="en-CA"/>
              </w:rPr>
            </w:pPr>
            <w:r w:rsidRPr="00AA23BE">
              <w:rPr>
                <w:sz w:val="20"/>
                <w:szCs w:val="20"/>
                <w:lang w:val="en-CA" w:eastAsia="en-CA"/>
              </w:rPr>
              <w:t>Difference</w:t>
            </w:r>
          </w:p>
        </w:tc>
        <w:tc>
          <w:tcPr>
            <w:tcW w:w="1181"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sz w:val="20"/>
                <w:szCs w:val="20"/>
              </w:rPr>
            </w:pPr>
            <w:r w:rsidRPr="00AA23BE">
              <w:rPr>
                <w:sz w:val="20"/>
                <w:szCs w:val="20"/>
              </w:rPr>
              <w:t>22,136</w:t>
            </w:r>
          </w:p>
        </w:tc>
        <w:tc>
          <w:tcPr>
            <w:tcW w:w="1181"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sz w:val="20"/>
                <w:szCs w:val="20"/>
              </w:rPr>
            </w:pPr>
            <w:r w:rsidRPr="00AA23BE">
              <w:rPr>
                <w:sz w:val="20"/>
                <w:szCs w:val="20"/>
              </w:rPr>
              <w:t>91,674</w:t>
            </w:r>
          </w:p>
        </w:tc>
        <w:tc>
          <w:tcPr>
            <w:tcW w:w="1182"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sz w:val="20"/>
                <w:szCs w:val="20"/>
              </w:rPr>
            </w:pPr>
            <w:r w:rsidRPr="00AA23BE">
              <w:rPr>
                <w:sz w:val="20"/>
                <w:szCs w:val="20"/>
              </w:rPr>
              <w:t>22,052</w:t>
            </w:r>
          </w:p>
        </w:tc>
        <w:tc>
          <w:tcPr>
            <w:tcW w:w="1323"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sz w:val="20"/>
                <w:szCs w:val="20"/>
              </w:rPr>
            </w:pPr>
            <w:r w:rsidRPr="00AA23BE">
              <w:rPr>
                <w:sz w:val="20"/>
                <w:szCs w:val="20"/>
              </w:rPr>
              <w:t>135,862</w:t>
            </w:r>
          </w:p>
        </w:tc>
        <w:tc>
          <w:tcPr>
            <w:tcW w:w="1323"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sz w:val="20"/>
                <w:szCs w:val="20"/>
              </w:rPr>
            </w:pPr>
            <w:r w:rsidRPr="00AA23BE">
              <w:rPr>
                <w:sz w:val="20"/>
                <w:szCs w:val="20"/>
              </w:rPr>
              <w:t>76,101</w:t>
            </w:r>
          </w:p>
        </w:tc>
        <w:tc>
          <w:tcPr>
            <w:tcW w:w="1323" w:type="dxa"/>
            <w:tcBorders>
              <w:top w:val="nil"/>
              <w:left w:val="nil"/>
              <w:bottom w:val="single" w:sz="4" w:space="0" w:color="auto"/>
              <w:right w:val="single" w:sz="4" w:space="0" w:color="auto"/>
            </w:tcBorders>
            <w:shd w:val="clear" w:color="auto" w:fill="auto"/>
            <w:noWrap/>
            <w:hideMark/>
          </w:tcPr>
          <w:p w:rsidR="00301BA3" w:rsidRPr="00AA23BE" w:rsidRDefault="00301BA3" w:rsidP="00AA23BE">
            <w:pPr>
              <w:jc w:val="right"/>
              <w:rPr>
                <w:sz w:val="20"/>
                <w:szCs w:val="20"/>
              </w:rPr>
            </w:pPr>
            <w:r w:rsidRPr="00AA23BE">
              <w:rPr>
                <w:sz w:val="20"/>
                <w:szCs w:val="20"/>
              </w:rPr>
              <w:t> </w:t>
            </w:r>
          </w:p>
        </w:tc>
      </w:tr>
    </w:tbl>
    <w:p w:rsidR="00E6554D" w:rsidRPr="00AA23BE" w:rsidRDefault="00E6554D" w:rsidP="00AA23BE">
      <w:pPr>
        <w:rPr>
          <w:lang w:val="en-CA"/>
        </w:rPr>
      </w:pPr>
    </w:p>
    <w:p w:rsidR="00E6554D" w:rsidRPr="00AA23BE" w:rsidRDefault="00E6554D" w:rsidP="00AA23BE">
      <w:pPr>
        <w:pStyle w:val="Heading1"/>
        <w:rPr>
          <w:lang w:val="en-CA"/>
        </w:rPr>
      </w:pPr>
      <w:r w:rsidRPr="00AA23BE">
        <w:rPr>
          <w:lang w:val="en-CA"/>
        </w:rPr>
        <w:t>Programme officers reviewed new activities in particular stage II of HCFC phase-out management plans (HPMPs) in the light of stage I of HPMPs, remaining funding eligibility and costs, and sent comments to bilateral and implementing agencies. During the Inter-agency coordination meeting (IACM) held</w:t>
      </w:r>
      <w:r w:rsidR="00CD665A" w:rsidRPr="00AA23BE">
        <w:rPr>
          <w:lang w:val="en-CA"/>
        </w:rPr>
        <w:t xml:space="preserve"> in Montreal from 31 August to 1 September 2016</w:t>
      </w:r>
      <w:r w:rsidRPr="00AA23BE">
        <w:rPr>
          <w:lang w:val="en-CA"/>
        </w:rPr>
        <w:t xml:space="preserve">, the Secretariat discussed the issues arising from the review of the initial business plan tables including </w:t>
      </w:r>
      <w:r w:rsidRPr="00AA23BE">
        <w:rPr>
          <w:i/>
          <w:lang w:val="en-CA"/>
        </w:rPr>
        <w:t>inter alia</w:t>
      </w:r>
      <w:r w:rsidRPr="00AA23BE">
        <w:rPr>
          <w:lang w:val="en-CA"/>
        </w:rPr>
        <w:t>: over-p</w:t>
      </w:r>
      <w:r w:rsidR="00CD665A" w:rsidRPr="00AA23BE">
        <w:rPr>
          <w:lang w:val="en-CA"/>
        </w:rPr>
        <w:t>rogramming, projects in the 2016</w:t>
      </w:r>
      <w:r w:rsidRPr="00AA23BE">
        <w:rPr>
          <w:lang w:val="en-CA"/>
        </w:rPr>
        <w:t xml:space="preserve"> business plans but not submitted to the 7</w:t>
      </w:r>
      <w:r w:rsidR="00CD665A" w:rsidRPr="00AA23BE">
        <w:rPr>
          <w:lang w:val="en-CA"/>
        </w:rPr>
        <w:t>7</w:t>
      </w:r>
      <w:r w:rsidRPr="00AA23BE">
        <w:rPr>
          <w:vertAlign w:val="superscript"/>
          <w:lang w:val="en-CA"/>
        </w:rPr>
        <w:t>th</w:t>
      </w:r>
      <w:r w:rsidRPr="00AA23BE">
        <w:rPr>
          <w:lang w:val="en-CA"/>
        </w:rPr>
        <w:t xml:space="preserve"> meeting, and the production sector including tranches associated with the HCFC production phase-out management plan (HPPMP) for China. </w:t>
      </w:r>
    </w:p>
    <w:p w:rsidR="00E6554D" w:rsidRPr="00AA23BE" w:rsidRDefault="00E6554D" w:rsidP="00AA23BE">
      <w:pPr>
        <w:pStyle w:val="Heading1"/>
        <w:rPr>
          <w:lang w:val="en-CA"/>
        </w:rPr>
      </w:pPr>
      <w:r w:rsidRPr="00AA23BE">
        <w:rPr>
          <w:lang w:val="en-CA"/>
        </w:rPr>
        <w:lastRenderedPageBreak/>
        <w:t>Further to the discussion at the IACM, bilateral and implementing agencies revised their business plan tables and resubmitted them together with the narrative sections. The total val</w:t>
      </w:r>
      <w:r w:rsidR="00CD665A" w:rsidRPr="00AA23BE">
        <w:rPr>
          <w:lang w:val="en-CA"/>
        </w:rPr>
        <w:t>ue of the business plan for 2017-2019</w:t>
      </w:r>
      <w:r w:rsidRPr="00AA23BE">
        <w:rPr>
          <w:lang w:val="en-CA"/>
        </w:rPr>
        <w:t xml:space="preserve"> is summarized in Table 2.</w:t>
      </w:r>
    </w:p>
    <w:p w:rsidR="00E6554D" w:rsidRPr="00AA23BE" w:rsidRDefault="00E6554D" w:rsidP="00AA23BE">
      <w:pPr>
        <w:keepNext/>
        <w:rPr>
          <w:b/>
          <w:lang w:val="en-CA"/>
        </w:rPr>
      </w:pPr>
      <w:r w:rsidRPr="00AA23BE">
        <w:rPr>
          <w:b/>
          <w:lang w:val="en-CA"/>
        </w:rPr>
        <w:t>Table 2: Total revised business plan values for 201</w:t>
      </w:r>
      <w:r w:rsidR="00480926" w:rsidRPr="00AA23BE">
        <w:rPr>
          <w:b/>
          <w:lang w:val="en-CA"/>
        </w:rPr>
        <w:t>7</w:t>
      </w:r>
      <w:r w:rsidRPr="00AA23BE">
        <w:rPr>
          <w:b/>
          <w:lang w:val="en-CA"/>
        </w:rPr>
        <w:t>-201</w:t>
      </w:r>
      <w:r w:rsidR="00480926" w:rsidRPr="00AA23BE">
        <w:rPr>
          <w:b/>
          <w:lang w:val="en-CA"/>
        </w:rPr>
        <w:t>9</w:t>
      </w:r>
      <w:r w:rsidRPr="00AA23BE">
        <w:rPr>
          <w:b/>
          <w:lang w:val="en-CA"/>
        </w:rPr>
        <w:t xml:space="preserve"> as submitted (US $000)</w:t>
      </w:r>
    </w:p>
    <w:tbl>
      <w:tblPr>
        <w:tblW w:w="9361" w:type="dxa"/>
        <w:tblInd w:w="103" w:type="dxa"/>
        <w:tblLayout w:type="fixed"/>
        <w:tblLook w:val="04A0" w:firstRow="1" w:lastRow="0" w:firstColumn="1" w:lastColumn="0" w:noHBand="0" w:noVBand="1"/>
      </w:tblPr>
      <w:tblGrid>
        <w:gridCol w:w="1706"/>
        <w:gridCol w:w="1228"/>
        <w:gridCol w:w="1229"/>
        <w:gridCol w:w="1229"/>
        <w:gridCol w:w="1323"/>
        <w:gridCol w:w="1323"/>
        <w:gridCol w:w="1323"/>
      </w:tblGrid>
      <w:tr w:rsidR="00480926" w:rsidRPr="00AA23BE" w:rsidTr="0065767E">
        <w:trPr>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926" w:rsidRPr="00AA23BE" w:rsidRDefault="00480926" w:rsidP="00AA23BE">
            <w:pPr>
              <w:keepNext/>
              <w:jc w:val="left"/>
              <w:rPr>
                <w:b/>
                <w:bCs/>
                <w:sz w:val="20"/>
                <w:szCs w:val="20"/>
                <w:lang w:val="en-CA" w:eastAsia="en-CA"/>
              </w:rPr>
            </w:pPr>
            <w:r w:rsidRPr="00AA23BE">
              <w:rPr>
                <w:b/>
                <w:bCs/>
                <w:sz w:val="20"/>
                <w:szCs w:val="20"/>
                <w:lang w:val="en-CA" w:eastAsia="en-CA"/>
              </w:rPr>
              <w:t>Item</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480926" w:rsidRPr="00AA23BE" w:rsidRDefault="00480926" w:rsidP="00AA23BE">
            <w:pPr>
              <w:keepNext/>
              <w:jc w:val="center"/>
              <w:rPr>
                <w:b/>
                <w:bCs/>
                <w:sz w:val="20"/>
                <w:szCs w:val="20"/>
                <w:lang w:val="en-CA" w:eastAsia="en-CA"/>
              </w:rPr>
            </w:pPr>
            <w:r w:rsidRPr="00AA23BE">
              <w:rPr>
                <w:b/>
                <w:bCs/>
                <w:sz w:val="20"/>
                <w:szCs w:val="20"/>
                <w:lang w:val="en-CA" w:eastAsia="en-CA"/>
              </w:rPr>
              <w:t>2017</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80926" w:rsidRPr="00AA23BE" w:rsidRDefault="00480926" w:rsidP="00AA23BE">
            <w:pPr>
              <w:keepNext/>
              <w:jc w:val="center"/>
              <w:rPr>
                <w:b/>
                <w:bCs/>
                <w:sz w:val="20"/>
                <w:szCs w:val="20"/>
                <w:lang w:val="en-CA" w:eastAsia="en-CA"/>
              </w:rPr>
            </w:pPr>
            <w:r w:rsidRPr="00AA23BE">
              <w:rPr>
                <w:b/>
                <w:bCs/>
                <w:sz w:val="20"/>
                <w:szCs w:val="20"/>
                <w:lang w:val="en-CA" w:eastAsia="en-CA"/>
              </w:rPr>
              <w:t>2018</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80926" w:rsidRPr="00AA23BE" w:rsidRDefault="00480926" w:rsidP="00AA23BE">
            <w:pPr>
              <w:keepNext/>
              <w:jc w:val="center"/>
              <w:rPr>
                <w:b/>
                <w:bCs/>
                <w:sz w:val="20"/>
                <w:szCs w:val="20"/>
                <w:lang w:val="en-CA" w:eastAsia="en-CA"/>
              </w:rPr>
            </w:pPr>
            <w:r w:rsidRPr="00AA23BE">
              <w:rPr>
                <w:b/>
                <w:bCs/>
                <w:sz w:val="20"/>
                <w:szCs w:val="20"/>
                <w:lang w:val="en-CA" w:eastAsia="en-CA"/>
              </w:rPr>
              <w:t>2019</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480926" w:rsidRPr="00AA23BE" w:rsidRDefault="00480926" w:rsidP="00AA23BE">
            <w:pPr>
              <w:keepNext/>
              <w:jc w:val="center"/>
              <w:rPr>
                <w:b/>
                <w:bCs/>
                <w:sz w:val="20"/>
                <w:szCs w:val="20"/>
                <w:lang w:val="en-CA" w:eastAsia="en-CA"/>
              </w:rPr>
            </w:pPr>
            <w:r w:rsidRPr="00AA23BE">
              <w:rPr>
                <w:b/>
                <w:bCs/>
                <w:sz w:val="20"/>
                <w:szCs w:val="20"/>
                <w:lang w:val="en-CA" w:eastAsia="en-CA"/>
              </w:rPr>
              <w:t xml:space="preserve">Total </w:t>
            </w:r>
          </w:p>
          <w:p w:rsidR="00480926" w:rsidRPr="00AA23BE" w:rsidRDefault="00480926" w:rsidP="00AA23BE">
            <w:pPr>
              <w:keepNext/>
              <w:jc w:val="center"/>
              <w:rPr>
                <w:b/>
                <w:bCs/>
                <w:sz w:val="20"/>
                <w:szCs w:val="20"/>
                <w:lang w:val="en-CA" w:eastAsia="en-CA"/>
              </w:rPr>
            </w:pPr>
            <w:r w:rsidRPr="00AA23BE">
              <w:rPr>
                <w:b/>
                <w:bCs/>
                <w:sz w:val="20"/>
                <w:szCs w:val="20"/>
                <w:lang w:val="en-CA" w:eastAsia="en-CA"/>
              </w:rPr>
              <w:t>(2017-2019)</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480926" w:rsidRPr="00AA23BE" w:rsidRDefault="00480926" w:rsidP="00AA23BE">
            <w:pPr>
              <w:keepNext/>
              <w:jc w:val="center"/>
              <w:rPr>
                <w:b/>
                <w:bCs/>
                <w:sz w:val="20"/>
                <w:szCs w:val="20"/>
                <w:lang w:val="en-CA" w:eastAsia="en-CA"/>
              </w:rPr>
            </w:pPr>
            <w:r w:rsidRPr="00AA23BE">
              <w:rPr>
                <w:b/>
                <w:bCs/>
                <w:sz w:val="20"/>
                <w:szCs w:val="20"/>
                <w:lang w:val="en-CA" w:eastAsia="en-CA"/>
              </w:rPr>
              <w:t xml:space="preserve">Total </w:t>
            </w:r>
          </w:p>
          <w:p w:rsidR="00480926" w:rsidRPr="00AA23BE" w:rsidRDefault="00480926" w:rsidP="00AA23BE">
            <w:pPr>
              <w:keepNext/>
              <w:jc w:val="center"/>
              <w:rPr>
                <w:b/>
                <w:bCs/>
                <w:sz w:val="20"/>
                <w:szCs w:val="20"/>
                <w:lang w:val="en-CA" w:eastAsia="en-CA"/>
              </w:rPr>
            </w:pPr>
            <w:r w:rsidRPr="00AA23BE">
              <w:rPr>
                <w:b/>
                <w:bCs/>
                <w:sz w:val="20"/>
                <w:szCs w:val="20"/>
                <w:lang w:val="en-CA" w:eastAsia="en-CA"/>
              </w:rPr>
              <w:t>2020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480926" w:rsidRPr="00AA23BE" w:rsidRDefault="00480926" w:rsidP="00AA23BE">
            <w:pPr>
              <w:keepNext/>
              <w:jc w:val="center"/>
              <w:rPr>
                <w:b/>
                <w:bCs/>
                <w:sz w:val="20"/>
                <w:szCs w:val="20"/>
                <w:lang w:val="en-CA" w:eastAsia="en-CA"/>
              </w:rPr>
            </w:pPr>
            <w:r w:rsidRPr="00AA23BE">
              <w:rPr>
                <w:b/>
                <w:bCs/>
                <w:sz w:val="20"/>
                <w:szCs w:val="20"/>
                <w:lang w:val="en-CA" w:eastAsia="en-CA"/>
              </w:rPr>
              <w:t>Total after 2020</w:t>
            </w:r>
          </w:p>
        </w:tc>
      </w:tr>
      <w:tr w:rsidR="005D02E4" w:rsidRPr="00AA23BE" w:rsidTr="0065767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5D02E4" w:rsidRPr="00AA23BE" w:rsidRDefault="005D02E4" w:rsidP="00AA23BE">
            <w:pPr>
              <w:keepNext/>
              <w:jc w:val="left"/>
              <w:rPr>
                <w:b/>
                <w:bCs/>
                <w:sz w:val="20"/>
                <w:szCs w:val="20"/>
                <w:lang w:val="en-CA" w:eastAsia="en-CA"/>
              </w:rPr>
            </w:pPr>
            <w:r w:rsidRPr="00AA23BE">
              <w:rPr>
                <w:b/>
                <w:bCs/>
                <w:sz w:val="20"/>
                <w:szCs w:val="20"/>
                <w:lang w:val="en-CA" w:eastAsia="en-CA"/>
              </w:rPr>
              <w:t>Grand total</w:t>
            </w:r>
          </w:p>
        </w:tc>
        <w:tc>
          <w:tcPr>
            <w:tcW w:w="1228" w:type="dxa"/>
            <w:tcBorders>
              <w:top w:val="nil"/>
              <w:left w:val="nil"/>
              <w:bottom w:val="single" w:sz="4" w:space="0" w:color="auto"/>
              <w:right w:val="single" w:sz="4" w:space="0" w:color="auto"/>
            </w:tcBorders>
            <w:shd w:val="clear" w:color="auto" w:fill="auto"/>
            <w:noWrap/>
            <w:hideMark/>
          </w:tcPr>
          <w:p w:rsidR="005D02E4" w:rsidRPr="00AA23BE" w:rsidRDefault="005D02E4" w:rsidP="00AA23BE">
            <w:pPr>
              <w:keepNext/>
              <w:jc w:val="right"/>
              <w:rPr>
                <w:b/>
                <w:bCs/>
                <w:sz w:val="20"/>
                <w:szCs w:val="20"/>
                <w:lang w:val="en-US"/>
              </w:rPr>
            </w:pPr>
            <w:r w:rsidRPr="00AA23BE">
              <w:rPr>
                <w:b/>
                <w:bCs/>
                <w:sz w:val="20"/>
                <w:szCs w:val="20"/>
                <w:lang w:val="en-US"/>
              </w:rPr>
              <w:t>173,198</w:t>
            </w:r>
          </w:p>
        </w:tc>
        <w:tc>
          <w:tcPr>
            <w:tcW w:w="1229" w:type="dxa"/>
            <w:tcBorders>
              <w:top w:val="nil"/>
              <w:left w:val="nil"/>
              <w:bottom w:val="single" w:sz="4" w:space="0" w:color="auto"/>
              <w:right w:val="single" w:sz="4" w:space="0" w:color="auto"/>
            </w:tcBorders>
            <w:shd w:val="clear" w:color="auto" w:fill="auto"/>
            <w:noWrap/>
            <w:hideMark/>
          </w:tcPr>
          <w:p w:rsidR="005D02E4" w:rsidRPr="00AA23BE" w:rsidRDefault="005D02E4" w:rsidP="00AA23BE">
            <w:pPr>
              <w:keepNext/>
              <w:jc w:val="right"/>
              <w:rPr>
                <w:b/>
                <w:bCs/>
                <w:sz w:val="20"/>
                <w:szCs w:val="20"/>
                <w:lang w:val="en-US"/>
              </w:rPr>
            </w:pPr>
            <w:r w:rsidRPr="00AA23BE">
              <w:rPr>
                <w:b/>
                <w:bCs/>
                <w:sz w:val="20"/>
                <w:szCs w:val="20"/>
                <w:lang w:val="en-US"/>
              </w:rPr>
              <w:t>274,359</w:t>
            </w:r>
          </w:p>
        </w:tc>
        <w:tc>
          <w:tcPr>
            <w:tcW w:w="1229" w:type="dxa"/>
            <w:tcBorders>
              <w:top w:val="nil"/>
              <w:left w:val="nil"/>
              <w:bottom w:val="single" w:sz="4" w:space="0" w:color="auto"/>
              <w:right w:val="single" w:sz="4" w:space="0" w:color="auto"/>
            </w:tcBorders>
            <w:shd w:val="clear" w:color="auto" w:fill="auto"/>
            <w:noWrap/>
            <w:hideMark/>
          </w:tcPr>
          <w:p w:rsidR="005D02E4" w:rsidRPr="00AA23BE" w:rsidRDefault="005D02E4" w:rsidP="00AA23BE">
            <w:pPr>
              <w:keepNext/>
              <w:jc w:val="right"/>
              <w:rPr>
                <w:b/>
                <w:bCs/>
                <w:sz w:val="20"/>
                <w:szCs w:val="20"/>
                <w:lang w:val="en-US"/>
              </w:rPr>
            </w:pPr>
            <w:r w:rsidRPr="00AA23BE">
              <w:rPr>
                <w:b/>
                <w:bCs/>
                <w:sz w:val="20"/>
                <w:szCs w:val="20"/>
                <w:lang w:val="en-US"/>
              </w:rPr>
              <w:t>272,104</w:t>
            </w:r>
          </w:p>
        </w:tc>
        <w:tc>
          <w:tcPr>
            <w:tcW w:w="1323" w:type="dxa"/>
            <w:tcBorders>
              <w:top w:val="nil"/>
              <w:left w:val="nil"/>
              <w:bottom w:val="single" w:sz="4" w:space="0" w:color="auto"/>
              <w:right w:val="single" w:sz="4" w:space="0" w:color="auto"/>
            </w:tcBorders>
            <w:shd w:val="clear" w:color="auto" w:fill="auto"/>
            <w:noWrap/>
            <w:hideMark/>
          </w:tcPr>
          <w:p w:rsidR="005D02E4" w:rsidRPr="00AA23BE" w:rsidRDefault="005D02E4" w:rsidP="00AA23BE">
            <w:pPr>
              <w:keepNext/>
              <w:jc w:val="right"/>
              <w:rPr>
                <w:b/>
                <w:bCs/>
                <w:sz w:val="20"/>
                <w:szCs w:val="20"/>
                <w:lang w:val="en-US"/>
              </w:rPr>
            </w:pPr>
            <w:r w:rsidRPr="00AA23BE">
              <w:rPr>
                <w:b/>
                <w:bCs/>
                <w:sz w:val="20"/>
                <w:szCs w:val="20"/>
                <w:lang w:val="en-US"/>
              </w:rPr>
              <w:t>719,660</w:t>
            </w:r>
          </w:p>
        </w:tc>
        <w:tc>
          <w:tcPr>
            <w:tcW w:w="1323" w:type="dxa"/>
            <w:tcBorders>
              <w:top w:val="nil"/>
              <w:left w:val="nil"/>
              <w:bottom w:val="single" w:sz="4" w:space="0" w:color="auto"/>
              <w:right w:val="single" w:sz="4" w:space="0" w:color="auto"/>
            </w:tcBorders>
            <w:shd w:val="clear" w:color="auto" w:fill="auto"/>
            <w:noWrap/>
            <w:hideMark/>
          </w:tcPr>
          <w:p w:rsidR="005D02E4" w:rsidRPr="00AA23BE" w:rsidRDefault="005D02E4" w:rsidP="00AA23BE">
            <w:pPr>
              <w:keepNext/>
              <w:jc w:val="right"/>
              <w:rPr>
                <w:b/>
                <w:bCs/>
                <w:sz w:val="20"/>
                <w:szCs w:val="20"/>
                <w:lang w:val="en-US"/>
              </w:rPr>
            </w:pPr>
            <w:r w:rsidRPr="00AA23BE">
              <w:rPr>
                <w:b/>
                <w:bCs/>
                <w:sz w:val="20"/>
                <w:szCs w:val="20"/>
                <w:lang w:val="en-US"/>
              </w:rPr>
              <w:t>335,485</w:t>
            </w:r>
          </w:p>
        </w:tc>
        <w:tc>
          <w:tcPr>
            <w:tcW w:w="1323" w:type="dxa"/>
            <w:tcBorders>
              <w:top w:val="nil"/>
              <w:left w:val="nil"/>
              <w:bottom w:val="single" w:sz="4" w:space="0" w:color="auto"/>
              <w:right w:val="single" w:sz="4" w:space="0" w:color="auto"/>
            </w:tcBorders>
            <w:shd w:val="clear" w:color="auto" w:fill="auto"/>
            <w:noWrap/>
            <w:hideMark/>
          </w:tcPr>
          <w:p w:rsidR="005D02E4" w:rsidRPr="00AA23BE" w:rsidRDefault="005D02E4" w:rsidP="00AA23BE">
            <w:pPr>
              <w:keepNext/>
              <w:jc w:val="right"/>
              <w:rPr>
                <w:b/>
                <w:bCs/>
                <w:sz w:val="20"/>
                <w:szCs w:val="20"/>
                <w:lang w:val="en-US"/>
              </w:rPr>
            </w:pPr>
            <w:r w:rsidRPr="00AA23BE">
              <w:rPr>
                <w:b/>
                <w:bCs/>
                <w:sz w:val="20"/>
                <w:szCs w:val="20"/>
                <w:lang w:val="en-US"/>
              </w:rPr>
              <w:t>871,520</w:t>
            </w:r>
          </w:p>
        </w:tc>
      </w:tr>
      <w:tr w:rsidR="005D02E4" w:rsidRPr="00AA23BE" w:rsidTr="0065767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5D02E4" w:rsidRPr="00AA23BE" w:rsidRDefault="005D02E4" w:rsidP="00AA23BE">
            <w:pPr>
              <w:keepNext/>
              <w:jc w:val="left"/>
              <w:rPr>
                <w:sz w:val="20"/>
                <w:szCs w:val="20"/>
                <w:lang w:val="en-CA" w:eastAsia="en-CA"/>
              </w:rPr>
            </w:pPr>
            <w:r w:rsidRPr="00AA23BE">
              <w:rPr>
                <w:sz w:val="20"/>
                <w:szCs w:val="20"/>
                <w:lang w:val="en-CA" w:eastAsia="en-CA"/>
              </w:rPr>
              <w:t>Indicative budget</w:t>
            </w:r>
          </w:p>
        </w:tc>
        <w:tc>
          <w:tcPr>
            <w:tcW w:w="1228" w:type="dxa"/>
            <w:tcBorders>
              <w:top w:val="nil"/>
              <w:left w:val="nil"/>
              <w:bottom w:val="single" w:sz="4" w:space="0" w:color="auto"/>
              <w:right w:val="single" w:sz="4" w:space="0" w:color="auto"/>
            </w:tcBorders>
            <w:shd w:val="clear" w:color="auto" w:fill="auto"/>
            <w:noWrap/>
            <w:hideMark/>
          </w:tcPr>
          <w:p w:rsidR="005D02E4" w:rsidRPr="00AA23BE" w:rsidRDefault="005D02E4" w:rsidP="00AA23BE">
            <w:pPr>
              <w:keepNext/>
              <w:jc w:val="right"/>
              <w:rPr>
                <w:sz w:val="20"/>
                <w:szCs w:val="20"/>
                <w:lang w:val="en-US"/>
              </w:rPr>
            </w:pPr>
            <w:r w:rsidRPr="00AA23BE">
              <w:rPr>
                <w:sz w:val="20"/>
                <w:szCs w:val="20"/>
                <w:lang w:val="en-US"/>
              </w:rPr>
              <w:t>153,800</w:t>
            </w:r>
          </w:p>
        </w:tc>
        <w:tc>
          <w:tcPr>
            <w:tcW w:w="1229" w:type="dxa"/>
            <w:tcBorders>
              <w:top w:val="nil"/>
              <w:left w:val="nil"/>
              <w:bottom w:val="single" w:sz="4" w:space="0" w:color="auto"/>
              <w:right w:val="single" w:sz="4" w:space="0" w:color="auto"/>
            </w:tcBorders>
            <w:shd w:val="clear" w:color="auto" w:fill="auto"/>
            <w:noWrap/>
            <w:hideMark/>
          </w:tcPr>
          <w:p w:rsidR="005D02E4" w:rsidRPr="00AA23BE" w:rsidRDefault="005D02E4" w:rsidP="00AA23BE">
            <w:pPr>
              <w:keepNext/>
              <w:jc w:val="right"/>
              <w:rPr>
                <w:sz w:val="20"/>
                <w:szCs w:val="20"/>
                <w:lang w:val="en-US"/>
              </w:rPr>
            </w:pPr>
            <w:r w:rsidRPr="00AA23BE">
              <w:rPr>
                <w:sz w:val="20"/>
                <w:szCs w:val="20"/>
                <w:lang w:val="en-US"/>
              </w:rPr>
              <w:t>169,167</w:t>
            </w:r>
          </w:p>
        </w:tc>
        <w:tc>
          <w:tcPr>
            <w:tcW w:w="1229" w:type="dxa"/>
            <w:tcBorders>
              <w:top w:val="nil"/>
              <w:left w:val="nil"/>
              <w:bottom w:val="single" w:sz="4" w:space="0" w:color="auto"/>
              <w:right w:val="single" w:sz="4" w:space="0" w:color="auto"/>
            </w:tcBorders>
            <w:shd w:val="clear" w:color="auto" w:fill="auto"/>
            <w:noWrap/>
            <w:hideMark/>
          </w:tcPr>
          <w:p w:rsidR="005D02E4" w:rsidRPr="00AA23BE" w:rsidRDefault="005D02E4" w:rsidP="00AA23BE">
            <w:pPr>
              <w:keepNext/>
              <w:jc w:val="right"/>
              <w:rPr>
                <w:sz w:val="20"/>
                <w:szCs w:val="20"/>
                <w:lang w:val="en-US"/>
              </w:rPr>
            </w:pPr>
            <w:r w:rsidRPr="00AA23BE">
              <w:rPr>
                <w:sz w:val="20"/>
                <w:szCs w:val="20"/>
                <w:lang w:val="en-US"/>
              </w:rPr>
              <w:t>169,167</w:t>
            </w:r>
          </w:p>
        </w:tc>
        <w:tc>
          <w:tcPr>
            <w:tcW w:w="1323" w:type="dxa"/>
            <w:tcBorders>
              <w:top w:val="nil"/>
              <w:left w:val="nil"/>
              <w:bottom w:val="single" w:sz="4" w:space="0" w:color="auto"/>
              <w:right w:val="single" w:sz="4" w:space="0" w:color="auto"/>
            </w:tcBorders>
            <w:shd w:val="clear" w:color="auto" w:fill="auto"/>
            <w:noWrap/>
            <w:hideMark/>
          </w:tcPr>
          <w:p w:rsidR="005D02E4" w:rsidRPr="00AA23BE" w:rsidRDefault="005D02E4" w:rsidP="00AA23BE">
            <w:pPr>
              <w:keepNext/>
              <w:jc w:val="right"/>
              <w:rPr>
                <w:sz w:val="20"/>
                <w:szCs w:val="20"/>
                <w:lang w:val="en-US"/>
              </w:rPr>
            </w:pPr>
            <w:r w:rsidRPr="00AA23BE">
              <w:rPr>
                <w:sz w:val="20"/>
                <w:szCs w:val="20"/>
                <w:lang w:val="en-US"/>
              </w:rPr>
              <w:t>492,133</w:t>
            </w:r>
          </w:p>
        </w:tc>
        <w:tc>
          <w:tcPr>
            <w:tcW w:w="1323" w:type="dxa"/>
            <w:tcBorders>
              <w:top w:val="nil"/>
              <w:left w:val="nil"/>
              <w:bottom w:val="single" w:sz="4" w:space="0" w:color="auto"/>
              <w:right w:val="single" w:sz="4" w:space="0" w:color="auto"/>
            </w:tcBorders>
            <w:shd w:val="clear" w:color="auto" w:fill="auto"/>
            <w:noWrap/>
            <w:hideMark/>
          </w:tcPr>
          <w:p w:rsidR="005D02E4" w:rsidRPr="00AA23BE" w:rsidRDefault="005D02E4" w:rsidP="00AA23BE">
            <w:pPr>
              <w:keepNext/>
              <w:jc w:val="right"/>
              <w:rPr>
                <w:sz w:val="20"/>
                <w:szCs w:val="20"/>
                <w:lang w:val="en-US"/>
              </w:rPr>
            </w:pPr>
            <w:r w:rsidRPr="00AA23BE">
              <w:rPr>
                <w:sz w:val="20"/>
                <w:szCs w:val="20"/>
                <w:lang w:val="en-US"/>
              </w:rPr>
              <w:t>169,167</w:t>
            </w:r>
          </w:p>
        </w:tc>
        <w:tc>
          <w:tcPr>
            <w:tcW w:w="1323" w:type="dxa"/>
            <w:tcBorders>
              <w:top w:val="nil"/>
              <w:left w:val="nil"/>
              <w:bottom w:val="single" w:sz="4" w:space="0" w:color="auto"/>
              <w:right w:val="single" w:sz="4" w:space="0" w:color="auto"/>
            </w:tcBorders>
            <w:shd w:val="clear" w:color="auto" w:fill="auto"/>
            <w:noWrap/>
          </w:tcPr>
          <w:p w:rsidR="005D02E4" w:rsidRPr="00AA23BE" w:rsidRDefault="005D02E4" w:rsidP="00AA23BE">
            <w:pPr>
              <w:keepNext/>
              <w:jc w:val="right"/>
              <w:rPr>
                <w:sz w:val="20"/>
                <w:szCs w:val="20"/>
                <w:lang w:val="en-US"/>
              </w:rPr>
            </w:pPr>
          </w:p>
        </w:tc>
      </w:tr>
      <w:tr w:rsidR="005D02E4" w:rsidRPr="00AA23BE" w:rsidTr="0065767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5D02E4" w:rsidRPr="00AA23BE" w:rsidRDefault="005D02E4" w:rsidP="00AA23BE">
            <w:pPr>
              <w:jc w:val="left"/>
              <w:rPr>
                <w:sz w:val="20"/>
                <w:szCs w:val="20"/>
                <w:lang w:val="en-CA" w:eastAsia="en-CA"/>
              </w:rPr>
            </w:pPr>
            <w:r w:rsidRPr="00AA23BE">
              <w:rPr>
                <w:sz w:val="20"/>
                <w:szCs w:val="20"/>
                <w:lang w:val="en-CA" w:eastAsia="en-CA"/>
              </w:rPr>
              <w:t>Difference</w:t>
            </w:r>
          </w:p>
        </w:tc>
        <w:tc>
          <w:tcPr>
            <w:tcW w:w="1228" w:type="dxa"/>
            <w:tcBorders>
              <w:top w:val="nil"/>
              <w:left w:val="nil"/>
              <w:bottom w:val="single" w:sz="4" w:space="0" w:color="auto"/>
              <w:right w:val="single" w:sz="4" w:space="0" w:color="auto"/>
            </w:tcBorders>
            <w:shd w:val="clear" w:color="auto" w:fill="auto"/>
            <w:noWrap/>
            <w:hideMark/>
          </w:tcPr>
          <w:p w:rsidR="005D02E4" w:rsidRPr="00AA23BE" w:rsidRDefault="005D02E4" w:rsidP="00AA23BE">
            <w:pPr>
              <w:jc w:val="right"/>
              <w:rPr>
                <w:sz w:val="20"/>
                <w:szCs w:val="20"/>
                <w:lang w:val="en-US"/>
              </w:rPr>
            </w:pPr>
            <w:r w:rsidRPr="00AA23BE">
              <w:rPr>
                <w:sz w:val="20"/>
                <w:szCs w:val="20"/>
                <w:lang w:val="en-US"/>
              </w:rPr>
              <w:t>19,398</w:t>
            </w:r>
          </w:p>
        </w:tc>
        <w:tc>
          <w:tcPr>
            <w:tcW w:w="1229" w:type="dxa"/>
            <w:tcBorders>
              <w:top w:val="nil"/>
              <w:left w:val="nil"/>
              <w:bottom w:val="single" w:sz="4" w:space="0" w:color="auto"/>
              <w:right w:val="single" w:sz="4" w:space="0" w:color="auto"/>
            </w:tcBorders>
            <w:shd w:val="clear" w:color="auto" w:fill="auto"/>
            <w:noWrap/>
            <w:hideMark/>
          </w:tcPr>
          <w:p w:rsidR="005D02E4" w:rsidRPr="00AA23BE" w:rsidRDefault="005D02E4" w:rsidP="00AA23BE">
            <w:pPr>
              <w:jc w:val="right"/>
              <w:rPr>
                <w:sz w:val="20"/>
                <w:szCs w:val="20"/>
                <w:lang w:val="en-US"/>
              </w:rPr>
            </w:pPr>
            <w:r w:rsidRPr="00AA23BE">
              <w:rPr>
                <w:sz w:val="20"/>
                <w:szCs w:val="20"/>
                <w:lang w:val="en-US"/>
              </w:rPr>
              <w:t>105,192</w:t>
            </w:r>
          </w:p>
        </w:tc>
        <w:tc>
          <w:tcPr>
            <w:tcW w:w="1229" w:type="dxa"/>
            <w:tcBorders>
              <w:top w:val="nil"/>
              <w:left w:val="nil"/>
              <w:bottom w:val="single" w:sz="4" w:space="0" w:color="auto"/>
              <w:right w:val="single" w:sz="4" w:space="0" w:color="auto"/>
            </w:tcBorders>
            <w:shd w:val="clear" w:color="auto" w:fill="auto"/>
            <w:noWrap/>
            <w:hideMark/>
          </w:tcPr>
          <w:p w:rsidR="005D02E4" w:rsidRPr="00AA23BE" w:rsidRDefault="005D02E4" w:rsidP="00AA23BE">
            <w:pPr>
              <w:jc w:val="right"/>
              <w:rPr>
                <w:sz w:val="20"/>
                <w:szCs w:val="20"/>
                <w:lang w:val="en-US"/>
              </w:rPr>
            </w:pPr>
            <w:r w:rsidRPr="00AA23BE">
              <w:rPr>
                <w:sz w:val="20"/>
                <w:szCs w:val="20"/>
                <w:lang w:val="en-US"/>
              </w:rPr>
              <w:t>102,937</w:t>
            </w:r>
          </w:p>
        </w:tc>
        <w:tc>
          <w:tcPr>
            <w:tcW w:w="1323" w:type="dxa"/>
            <w:tcBorders>
              <w:top w:val="nil"/>
              <w:left w:val="nil"/>
              <w:bottom w:val="single" w:sz="4" w:space="0" w:color="auto"/>
              <w:right w:val="single" w:sz="4" w:space="0" w:color="auto"/>
            </w:tcBorders>
            <w:shd w:val="clear" w:color="auto" w:fill="auto"/>
            <w:noWrap/>
            <w:hideMark/>
          </w:tcPr>
          <w:p w:rsidR="005D02E4" w:rsidRPr="00AA23BE" w:rsidRDefault="005D02E4" w:rsidP="00AA23BE">
            <w:pPr>
              <w:jc w:val="right"/>
              <w:rPr>
                <w:sz w:val="20"/>
                <w:szCs w:val="20"/>
                <w:lang w:val="en-US"/>
              </w:rPr>
            </w:pPr>
            <w:r w:rsidRPr="00AA23BE">
              <w:rPr>
                <w:sz w:val="20"/>
                <w:szCs w:val="20"/>
                <w:lang w:val="en-US"/>
              </w:rPr>
              <w:t>227,527</w:t>
            </w:r>
          </w:p>
        </w:tc>
        <w:tc>
          <w:tcPr>
            <w:tcW w:w="1323" w:type="dxa"/>
            <w:tcBorders>
              <w:top w:val="nil"/>
              <w:left w:val="nil"/>
              <w:bottom w:val="single" w:sz="4" w:space="0" w:color="auto"/>
              <w:right w:val="single" w:sz="4" w:space="0" w:color="auto"/>
            </w:tcBorders>
            <w:shd w:val="clear" w:color="auto" w:fill="auto"/>
            <w:noWrap/>
            <w:hideMark/>
          </w:tcPr>
          <w:p w:rsidR="005D02E4" w:rsidRPr="00AA23BE" w:rsidRDefault="005D02E4" w:rsidP="00AA23BE">
            <w:pPr>
              <w:jc w:val="right"/>
              <w:rPr>
                <w:sz w:val="20"/>
                <w:szCs w:val="20"/>
                <w:lang w:val="en-US"/>
              </w:rPr>
            </w:pPr>
            <w:r w:rsidRPr="00AA23BE">
              <w:rPr>
                <w:sz w:val="20"/>
                <w:szCs w:val="20"/>
                <w:lang w:val="en-US"/>
              </w:rPr>
              <w:t>166,319</w:t>
            </w:r>
          </w:p>
        </w:tc>
        <w:tc>
          <w:tcPr>
            <w:tcW w:w="1323" w:type="dxa"/>
            <w:tcBorders>
              <w:top w:val="nil"/>
              <w:left w:val="nil"/>
              <w:bottom w:val="single" w:sz="4" w:space="0" w:color="auto"/>
              <w:right w:val="single" w:sz="4" w:space="0" w:color="auto"/>
            </w:tcBorders>
            <w:shd w:val="clear" w:color="auto" w:fill="auto"/>
            <w:noWrap/>
          </w:tcPr>
          <w:p w:rsidR="005D02E4" w:rsidRPr="00AA23BE" w:rsidRDefault="005D02E4" w:rsidP="00AA23BE">
            <w:pPr>
              <w:jc w:val="right"/>
              <w:rPr>
                <w:sz w:val="20"/>
                <w:szCs w:val="20"/>
                <w:lang w:val="en-US"/>
              </w:rPr>
            </w:pPr>
          </w:p>
        </w:tc>
      </w:tr>
    </w:tbl>
    <w:p w:rsidR="00480926" w:rsidRPr="00AA23BE" w:rsidRDefault="00480926" w:rsidP="00AA23BE">
      <w:pPr>
        <w:rPr>
          <w:b/>
          <w:lang w:val="en-CA"/>
        </w:rPr>
      </w:pPr>
    </w:p>
    <w:p w:rsidR="00E6554D" w:rsidRPr="00AA23BE" w:rsidRDefault="00E6554D" w:rsidP="00AA23BE">
      <w:pPr>
        <w:rPr>
          <w:u w:val="single"/>
          <w:lang w:val="en-CA"/>
        </w:rPr>
      </w:pPr>
      <w:r w:rsidRPr="00AA23BE">
        <w:rPr>
          <w:u w:val="single"/>
          <w:lang w:val="en-CA"/>
        </w:rPr>
        <w:t>Content</w:t>
      </w:r>
    </w:p>
    <w:p w:rsidR="00E6554D" w:rsidRPr="00AA23BE" w:rsidRDefault="00E6554D" w:rsidP="00AA23BE">
      <w:pPr>
        <w:rPr>
          <w:lang w:val="en-CA"/>
        </w:rPr>
      </w:pPr>
    </w:p>
    <w:p w:rsidR="00E6554D" w:rsidRPr="00AA23BE" w:rsidRDefault="00E6554D" w:rsidP="00AA23BE">
      <w:pPr>
        <w:pStyle w:val="Heading1"/>
        <w:rPr>
          <w:lang w:val="en-CA"/>
        </w:rPr>
      </w:pPr>
      <w:r w:rsidRPr="00AA23BE">
        <w:rPr>
          <w:lang w:val="en-CA"/>
        </w:rPr>
        <w:t xml:space="preserve">This document presents the consolidated business plans of the Multilateral Fund for </w:t>
      </w:r>
      <w:r w:rsidR="00CD665A" w:rsidRPr="00AA23BE">
        <w:rPr>
          <w:lang w:val="en-CA"/>
        </w:rPr>
        <w:t>2017-2019</w:t>
      </w:r>
      <w:r w:rsidRPr="00AA23BE">
        <w:rPr>
          <w:lang w:val="en-CA"/>
        </w:rPr>
        <w:t xml:space="preserve"> and is base</w:t>
      </w:r>
      <w:r w:rsidR="00CD665A" w:rsidRPr="00AA23BE">
        <w:rPr>
          <w:lang w:val="en-CA"/>
        </w:rPr>
        <w:t>d on the business plans for 2017-2019</w:t>
      </w:r>
      <w:r w:rsidRPr="00AA23BE">
        <w:rPr>
          <w:lang w:val="en-CA"/>
        </w:rPr>
        <w:t xml:space="preserve"> of bilateral agencies</w:t>
      </w:r>
      <w:r w:rsidRPr="00AA23BE">
        <w:rPr>
          <w:rStyle w:val="FootnoteReference"/>
          <w:lang w:val="en-CA"/>
        </w:rPr>
        <w:footnoteReference w:id="1"/>
      </w:r>
      <w:r w:rsidRPr="00AA23BE">
        <w:rPr>
          <w:lang w:val="en-CA"/>
        </w:rPr>
        <w:t xml:space="preserve"> and UNDP</w:t>
      </w:r>
      <w:r w:rsidRPr="00AA23BE">
        <w:rPr>
          <w:rStyle w:val="FootnoteReference"/>
          <w:lang w:val="en-CA"/>
        </w:rPr>
        <w:footnoteReference w:id="2"/>
      </w:r>
      <w:r w:rsidRPr="00AA23BE">
        <w:rPr>
          <w:lang w:val="en-CA"/>
        </w:rPr>
        <w:t>, UNEP</w:t>
      </w:r>
      <w:r w:rsidRPr="00AA23BE">
        <w:rPr>
          <w:rStyle w:val="FootnoteReference"/>
          <w:lang w:val="en-CA"/>
        </w:rPr>
        <w:footnoteReference w:id="3"/>
      </w:r>
      <w:r w:rsidRPr="00AA23BE">
        <w:rPr>
          <w:lang w:val="en-CA"/>
        </w:rPr>
        <w:t>, UNIDO</w:t>
      </w:r>
      <w:r w:rsidRPr="00AA23BE">
        <w:rPr>
          <w:rStyle w:val="FootnoteReference"/>
          <w:lang w:val="en-CA"/>
        </w:rPr>
        <w:footnoteReference w:id="4"/>
      </w:r>
      <w:r w:rsidRPr="00AA23BE">
        <w:rPr>
          <w:lang w:val="en-CA"/>
        </w:rPr>
        <w:t xml:space="preserve"> and the World Bank</w:t>
      </w:r>
      <w:r w:rsidRPr="00AA23BE">
        <w:rPr>
          <w:rStyle w:val="FootnoteReference"/>
          <w:lang w:val="en-CA"/>
        </w:rPr>
        <w:footnoteReference w:id="5"/>
      </w:r>
      <w:r w:rsidR="00CD665A" w:rsidRPr="00AA23BE">
        <w:rPr>
          <w:lang w:val="en-CA"/>
        </w:rPr>
        <w:t xml:space="preserve"> submitted to the 77</w:t>
      </w:r>
      <w:r w:rsidRPr="00AA23BE">
        <w:rPr>
          <w:vertAlign w:val="superscript"/>
          <w:lang w:val="en-CA"/>
        </w:rPr>
        <w:t>th</w:t>
      </w:r>
      <w:r w:rsidRPr="00AA23BE">
        <w:rPr>
          <w:lang w:val="en-CA"/>
        </w:rPr>
        <w:t xml:space="preserve"> meeting. </w:t>
      </w:r>
    </w:p>
    <w:p w:rsidR="00E6554D" w:rsidRPr="00AA23BE" w:rsidRDefault="00E6554D" w:rsidP="00AA23BE">
      <w:pPr>
        <w:pStyle w:val="Heading1"/>
        <w:rPr>
          <w:lang w:val="en-CA"/>
        </w:rPr>
      </w:pPr>
      <w:r w:rsidRPr="00AA23BE">
        <w:rPr>
          <w:lang w:val="en-CA"/>
        </w:rPr>
        <w:t>This document consists of the following sections:</w:t>
      </w:r>
    </w:p>
    <w:p w:rsidR="00E6554D" w:rsidRPr="00AA23BE" w:rsidRDefault="00E6554D" w:rsidP="00AA23BE">
      <w:pPr>
        <w:pStyle w:val="ListParagraph"/>
        <w:numPr>
          <w:ilvl w:val="0"/>
          <w:numId w:val="21"/>
        </w:numPr>
        <w:rPr>
          <w:lang w:val="en-CA"/>
        </w:rPr>
      </w:pPr>
      <w:r w:rsidRPr="00AA23BE">
        <w:rPr>
          <w:lang w:val="en-CA"/>
        </w:rPr>
        <w:t>Resource allocation in the business plan for 20</w:t>
      </w:r>
      <w:r w:rsidR="00CD665A" w:rsidRPr="00AA23BE">
        <w:rPr>
          <w:lang w:val="en-CA"/>
        </w:rPr>
        <w:t>17-2019</w:t>
      </w:r>
    </w:p>
    <w:p w:rsidR="00E6554D" w:rsidRPr="00AA23BE" w:rsidRDefault="00E6554D" w:rsidP="00AA23BE">
      <w:pPr>
        <w:pStyle w:val="ListParagraph"/>
        <w:numPr>
          <w:ilvl w:val="0"/>
          <w:numId w:val="21"/>
        </w:numPr>
        <w:rPr>
          <w:lang w:val="en-CA"/>
        </w:rPr>
      </w:pPr>
      <w:r w:rsidRPr="00AA23BE">
        <w:rPr>
          <w:lang w:val="en-CA"/>
        </w:rPr>
        <w:t>Secretariat’s observations on activities required for compliance</w:t>
      </w:r>
    </w:p>
    <w:p w:rsidR="00E6554D" w:rsidRPr="00AA23BE" w:rsidRDefault="00E6554D" w:rsidP="00AA23BE">
      <w:pPr>
        <w:pStyle w:val="ListParagraph"/>
        <w:numPr>
          <w:ilvl w:val="0"/>
          <w:numId w:val="21"/>
        </w:numPr>
        <w:rPr>
          <w:lang w:val="en-CA"/>
        </w:rPr>
      </w:pPr>
      <w:r w:rsidRPr="00AA23BE">
        <w:rPr>
          <w:lang w:val="en-CA"/>
        </w:rPr>
        <w:t>Secretariat’s observations on standard activities</w:t>
      </w:r>
    </w:p>
    <w:p w:rsidR="00E6554D" w:rsidRPr="00AA23BE" w:rsidRDefault="00E6554D" w:rsidP="00AA23BE">
      <w:pPr>
        <w:pStyle w:val="ListParagraph"/>
        <w:numPr>
          <w:ilvl w:val="0"/>
          <w:numId w:val="21"/>
        </w:numPr>
        <w:rPr>
          <w:lang w:val="en-CA"/>
        </w:rPr>
      </w:pPr>
      <w:r w:rsidRPr="00AA23BE">
        <w:rPr>
          <w:lang w:val="en-CA"/>
        </w:rPr>
        <w:t>Adjustments to the consolidated business plan o</w:t>
      </w:r>
      <w:r w:rsidR="00CD665A" w:rsidRPr="00AA23BE">
        <w:rPr>
          <w:lang w:val="en-CA"/>
        </w:rPr>
        <w:t>f the Multilateral Fund for 2017-2019</w:t>
      </w:r>
    </w:p>
    <w:p w:rsidR="00E6554D" w:rsidRPr="00AA23BE" w:rsidRDefault="00E6554D" w:rsidP="00AA23BE">
      <w:pPr>
        <w:pStyle w:val="ListParagraph"/>
        <w:numPr>
          <w:ilvl w:val="0"/>
          <w:numId w:val="21"/>
        </w:numPr>
        <w:rPr>
          <w:lang w:val="en-CA"/>
        </w:rPr>
      </w:pPr>
      <w:r w:rsidRPr="00AA23BE">
        <w:rPr>
          <w:lang w:val="en-CA"/>
        </w:rPr>
        <w:t>Other policy issues</w:t>
      </w:r>
    </w:p>
    <w:p w:rsidR="00E6554D" w:rsidRPr="00AA23BE" w:rsidRDefault="00E6554D" w:rsidP="00AA23BE">
      <w:pPr>
        <w:pStyle w:val="ListParagraph"/>
        <w:numPr>
          <w:ilvl w:val="0"/>
          <w:numId w:val="21"/>
        </w:numPr>
        <w:rPr>
          <w:lang w:val="en-CA"/>
        </w:rPr>
      </w:pPr>
      <w:r w:rsidRPr="00AA23BE">
        <w:rPr>
          <w:lang w:val="en-CA"/>
        </w:rPr>
        <w:t>Recommendations of the Secretariat</w:t>
      </w:r>
    </w:p>
    <w:p w:rsidR="00E6554D" w:rsidRPr="00AA23BE" w:rsidRDefault="00E6554D" w:rsidP="00AA23BE">
      <w:pPr>
        <w:ind w:left="720"/>
        <w:rPr>
          <w:lang w:val="en-CA"/>
        </w:rPr>
      </w:pPr>
    </w:p>
    <w:p w:rsidR="00E6554D" w:rsidRPr="00AA23BE" w:rsidRDefault="00E6554D" w:rsidP="00AA23BE">
      <w:pPr>
        <w:rPr>
          <w:b/>
          <w:lang w:val="en-CA"/>
        </w:rPr>
      </w:pPr>
      <w:r w:rsidRPr="00AA23BE">
        <w:rPr>
          <w:b/>
          <w:lang w:val="en-CA"/>
        </w:rPr>
        <w:t>Resource allocati</w:t>
      </w:r>
      <w:r w:rsidR="00CD665A" w:rsidRPr="00AA23BE">
        <w:rPr>
          <w:b/>
          <w:lang w:val="en-CA"/>
        </w:rPr>
        <w:t>on in the business plan for 2017-2019</w:t>
      </w:r>
    </w:p>
    <w:p w:rsidR="00E6554D" w:rsidRPr="00AA23BE" w:rsidRDefault="00E6554D" w:rsidP="00AA23BE">
      <w:pPr>
        <w:rPr>
          <w:lang w:val="en-CA"/>
        </w:rPr>
      </w:pPr>
    </w:p>
    <w:p w:rsidR="00E6554D" w:rsidRPr="00AA23BE" w:rsidRDefault="00E6554D" w:rsidP="00AA23BE">
      <w:pPr>
        <w:pStyle w:val="Heading1"/>
        <w:rPr>
          <w:lang w:val="en-CA"/>
        </w:rPr>
      </w:pPr>
      <w:proofErr w:type="gramStart"/>
      <w:r w:rsidRPr="00AA23BE">
        <w:rPr>
          <w:lang w:val="en-CA"/>
        </w:rPr>
        <w:t>Table 3 presents, by year, the value of activities includ</w:t>
      </w:r>
      <w:r w:rsidR="00CD665A" w:rsidRPr="00AA23BE">
        <w:rPr>
          <w:lang w:val="en-CA"/>
        </w:rPr>
        <w:t>ed in the business plan for 2017-2019</w:t>
      </w:r>
      <w:r w:rsidRPr="00AA23BE">
        <w:rPr>
          <w:lang w:val="en-CA"/>
        </w:rPr>
        <w:t>.</w:t>
      </w:r>
      <w:proofErr w:type="gramEnd"/>
      <w:r w:rsidRPr="00AA23BE">
        <w:rPr>
          <w:lang w:val="en-CA"/>
        </w:rPr>
        <w:t xml:space="preserve"> The values </w:t>
      </w:r>
      <w:r w:rsidR="00CD665A" w:rsidRPr="00AA23BE">
        <w:rPr>
          <w:lang w:val="en-CA"/>
        </w:rPr>
        <w:t xml:space="preserve">exceed the </w:t>
      </w:r>
      <w:r w:rsidR="00E8094E" w:rsidRPr="00AA23BE">
        <w:rPr>
          <w:lang w:val="en-CA"/>
        </w:rPr>
        <w:t>indicative budget by US $227.53</w:t>
      </w:r>
      <w:r w:rsidRPr="00AA23BE">
        <w:rPr>
          <w:lang w:val="en-CA"/>
        </w:rPr>
        <w:t xml:space="preserve"> million. </w:t>
      </w:r>
    </w:p>
    <w:p w:rsidR="00E6554D" w:rsidRPr="00AA23BE" w:rsidRDefault="00E6554D" w:rsidP="00AA23BE">
      <w:pPr>
        <w:rPr>
          <w:b/>
          <w:lang w:val="en-CA"/>
        </w:rPr>
      </w:pPr>
      <w:r w:rsidRPr="00AA23BE">
        <w:rPr>
          <w:b/>
          <w:lang w:val="en-CA"/>
        </w:rPr>
        <w:t>Table 3: Resource allocation in the business plan for 201</w:t>
      </w:r>
      <w:r w:rsidR="001A297B" w:rsidRPr="00AA23BE">
        <w:rPr>
          <w:b/>
          <w:lang w:val="en-CA"/>
        </w:rPr>
        <w:t>7-2019</w:t>
      </w:r>
      <w:r w:rsidRPr="00AA23BE">
        <w:rPr>
          <w:b/>
          <w:lang w:val="en-CA"/>
        </w:rPr>
        <w:t xml:space="preserve"> as submitted (US $000s)*</w:t>
      </w:r>
    </w:p>
    <w:tbl>
      <w:tblPr>
        <w:tblW w:w="9455" w:type="dxa"/>
        <w:tblInd w:w="103" w:type="dxa"/>
        <w:tblLook w:val="04A0" w:firstRow="1" w:lastRow="0" w:firstColumn="1" w:lastColumn="0" w:noHBand="0" w:noVBand="1"/>
      </w:tblPr>
      <w:tblGrid>
        <w:gridCol w:w="3335"/>
        <w:gridCol w:w="900"/>
        <w:gridCol w:w="900"/>
        <w:gridCol w:w="900"/>
        <w:gridCol w:w="1260"/>
        <w:gridCol w:w="1080"/>
        <w:gridCol w:w="1080"/>
      </w:tblGrid>
      <w:tr w:rsidR="001A297B" w:rsidRPr="00AA23BE" w:rsidTr="0065767E">
        <w:trPr>
          <w:trHeight w:val="255"/>
          <w:tblHeader/>
        </w:trPr>
        <w:tc>
          <w:tcPr>
            <w:tcW w:w="3335" w:type="dxa"/>
            <w:tcBorders>
              <w:top w:val="single" w:sz="4" w:space="0" w:color="auto"/>
              <w:left w:val="single" w:sz="4" w:space="0" w:color="auto"/>
              <w:bottom w:val="single" w:sz="4" w:space="0" w:color="auto"/>
              <w:right w:val="single" w:sz="4" w:space="0" w:color="auto"/>
            </w:tcBorders>
            <w:shd w:val="clear" w:color="auto" w:fill="auto"/>
            <w:noWrap/>
            <w:hideMark/>
          </w:tcPr>
          <w:p w:rsidR="001A297B" w:rsidRPr="00AA23BE" w:rsidRDefault="001A297B" w:rsidP="00AA23BE">
            <w:pPr>
              <w:jc w:val="left"/>
              <w:rPr>
                <w:b/>
                <w:bCs/>
                <w:sz w:val="20"/>
                <w:szCs w:val="20"/>
                <w:lang w:val="en-US"/>
              </w:rPr>
            </w:pPr>
            <w:r w:rsidRPr="00AA23BE">
              <w:rPr>
                <w:b/>
                <w:bCs/>
                <w:sz w:val="20"/>
                <w:szCs w:val="20"/>
                <w:lang w:val="en-CA" w:eastAsia="en-CA"/>
              </w:rPr>
              <w:t>Item</w:t>
            </w:r>
          </w:p>
        </w:tc>
        <w:tc>
          <w:tcPr>
            <w:tcW w:w="900" w:type="dxa"/>
            <w:tcBorders>
              <w:top w:val="single" w:sz="4" w:space="0" w:color="auto"/>
              <w:left w:val="nil"/>
              <w:bottom w:val="single" w:sz="4" w:space="0" w:color="auto"/>
              <w:right w:val="single" w:sz="4" w:space="0" w:color="auto"/>
            </w:tcBorders>
            <w:shd w:val="clear" w:color="auto" w:fill="auto"/>
            <w:noWrap/>
            <w:hideMark/>
          </w:tcPr>
          <w:p w:rsidR="001A297B" w:rsidRPr="00AA23BE" w:rsidRDefault="001A297B" w:rsidP="00AA23BE">
            <w:pPr>
              <w:jc w:val="center"/>
              <w:rPr>
                <w:b/>
                <w:bCs/>
                <w:sz w:val="20"/>
                <w:szCs w:val="20"/>
                <w:lang w:val="en-US"/>
              </w:rPr>
            </w:pPr>
            <w:r w:rsidRPr="00AA23BE">
              <w:rPr>
                <w:b/>
                <w:bCs/>
                <w:sz w:val="20"/>
                <w:szCs w:val="20"/>
                <w:lang w:val="en-CA" w:eastAsia="en-CA"/>
              </w:rPr>
              <w:t>2017</w:t>
            </w:r>
          </w:p>
        </w:tc>
        <w:tc>
          <w:tcPr>
            <w:tcW w:w="900" w:type="dxa"/>
            <w:tcBorders>
              <w:top w:val="single" w:sz="4" w:space="0" w:color="auto"/>
              <w:left w:val="nil"/>
              <w:bottom w:val="single" w:sz="4" w:space="0" w:color="auto"/>
              <w:right w:val="single" w:sz="4" w:space="0" w:color="auto"/>
            </w:tcBorders>
            <w:shd w:val="clear" w:color="auto" w:fill="auto"/>
            <w:noWrap/>
            <w:hideMark/>
          </w:tcPr>
          <w:p w:rsidR="001A297B" w:rsidRPr="00AA23BE" w:rsidRDefault="001A297B" w:rsidP="00AA23BE">
            <w:pPr>
              <w:jc w:val="center"/>
              <w:rPr>
                <w:b/>
                <w:bCs/>
                <w:sz w:val="20"/>
                <w:szCs w:val="20"/>
                <w:lang w:val="en-US"/>
              </w:rPr>
            </w:pPr>
            <w:r w:rsidRPr="00AA23BE">
              <w:rPr>
                <w:b/>
                <w:bCs/>
                <w:sz w:val="20"/>
                <w:szCs w:val="20"/>
                <w:lang w:val="en-CA" w:eastAsia="en-CA"/>
              </w:rPr>
              <w:t>2018</w:t>
            </w:r>
          </w:p>
        </w:tc>
        <w:tc>
          <w:tcPr>
            <w:tcW w:w="900" w:type="dxa"/>
            <w:tcBorders>
              <w:top w:val="single" w:sz="4" w:space="0" w:color="auto"/>
              <w:left w:val="nil"/>
              <w:bottom w:val="single" w:sz="4" w:space="0" w:color="auto"/>
              <w:right w:val="single" w:sz="4" w:space="0" w:color="auto"/>
            </w:tcBorders>
            <w:shd w:val="clear" w:color="auto" w:fill="auto"/>
            <w:noWrap/>
            <w:hideMark/>
          </w:tcPr>
          <w:p w:rsidR="001A297B" w:rsidRPr="00AA23BE" w:rsidRDefault="001A297B" w:rsidP="00AA23BE">
            <w:pPr>
              <w:jc w:val="center"/>
              <w:rPr>
                <w:b/>
                <w:bCs/>
                <w:sz w:val="20"/>
                <w:szCs w:val="20"/>
                <w:lang w:val="en-US"/>
              </w:rPr>
            </w:pPr>
            <w:r w:rsidRPr="00AA23BE">
              <w:rPr>
                <w:b/>
                <w:bCs/>
                <w:sz w:val="20"/>
                <w:szCs w:val="20"/>
                <w:lang w:val="en-CA" w:eastAsia="en-CA"/>
              </w:rPr>
              <w:t>2019</w:t>
            </w:r>
          </w:p>
        </w:tc>
        <w:tc>
          <w:tcPr>
            <w:tcW w:w="1260" w:type="dxa"/>
            <w:tcBorders>
              <w:top w:val="single" w:sz="4" w:space="0" w:color="auto"/>
              <w:left w:val="nil"/>
              <w:bottom w:val="single" w:sz="4" w:space="0" w:color="auto"/>
              <w:right w:val="single" w:sz="4" w:space="0" w:color="auto"/>
            </w:tcBorders>
            <w:shd w:val="clear" w:color="auto" w:fill="auto"/>
            <w:noWrap/>
            <w:hideMark/>
          </w:tcPr>
          <w:p w:rsidR="001A297B" w:rsidRPr="00AA23BE" w:rsidRDefault="001A297B" w:rsidP="00AA23BE">
            <w:pPr>
              <w:jc w:val="center"/>
              <w:rPr>
                <w:b/>
                <w:bCs/>
                <w:sz w:val="20"/>
                <w:szCs w:val="20"/>
                <w:lang w:val="en-CA" w:eastAsia="en-CA"/>
              </w:rPr>
            </w:pPr>
            <w:r w:rsidRPr="00AA23BE">
              <w:rPr>
                <w:b/>
                <w:bCs/>
                <w:sz w:val="20"/>
                <w:szCs w:val="20"/>
                <w:lang w:val="en-CA" w:eastAsia="en-CA"/>
              </w:rPr>
              <w:t>Total</w:t>
            </w:r>
          </w:p>
          <w:p w:rsidR="001A297B" w:rsidRPr="00AA23BE" w:rsidRDefault="001A297B" w:rsidP="00AA23BE">
            <w:pPr>
              <w:jc w:val="center"/>
              <w:rPr>
                <w:b/>
                <w:bCs/>
                <w:sz w:val="20"/>
                <w:szCs w:val="20"/>
                <w:lang w:val="en-US"/>
              </w:rPr>
            </w:pPr>
            <w:r w:rsidRPr="00AA23BE">
              <w:rPr>
                <w:b/>
                <w:bCs/>
                <w:sz w:val="20"/>
                <w:szCs w:val="20"/>
                <w:lang w:val="en-CA" w:eastAsia="en-CA"/>
              </w:rPr>
              <w:t>(2017-2019)</w:t>
            </w:r>
          </w:p>
        </w:tc>
        <w:tc>
          <w:tcPr>
            <w:tcW w:w="1080" w:type="dxa"/>
            <w:tcBorders>
              <w:top w:val="single" w:sz="4" w:space="0" w:color="auto"/>
              <w:left w:val="nil"/>
              <w:bottom w:val="single" w:sz="4" w:space="0" w:color="auto"/>
              <w:right w:val="single" w:sz="4" w:space="0" w:color="auto"/>
            </w:tcBorders>
            <w:shd w:val="clear" w:color="auto" w:fill="auto"/>
            <w:noWrap/>
            <w:hideMark/>
          </w:tcPr>
          <w:p w:rsidR="001A297B" w:rsidRPr="00AA23BE" w:rsidRDefault="001A297B" w:rsidP="00AA23BE">
            <w:pPr>
              <w:jc w:val="center"/>
              <w:rPr>
                <w:b/>
                <w:bCs/>
                <w:sz w:val="20"/>
                <w:szCs w:val="20"/>
                <w:lang w:val="en-US"/>
              </w:rPr>
            </w:pPr>
            <w:r w:rsidRPr="00AA23BE">
              <w:rPr>
                <w:b/>
                <w:bCs/>
                <w:sz w:val="20"/>
                <w:szCs w:val="20"/>
                <w:lang w:val="en-CA" w:eastAsia="en-CA"/>
              </w:rPr>
              <w:t>2020</w:t>
            </w:r>
          </w:p>
        </w:tc>
        <w:tc>
          <w:tcPr>
            <w:tcW w:w="1080" w:type="dxa"/>
            <w:tcBorders>
              <w:top w:val="single" w:sz="4" w:space="0" w:color="auto"/>
              <w:left w:val="nil"/>
              <w:bottom w:val="single" w:sz="4" w:space="0" w:color="auto"/>
              <w:right w:val="single" w:sz="4" w:space="0" w:color="auto"/>
            </w:tcBorders>
            <w:shd w:val="clear" w:color="auto" w:fill="auto"/>
            <w:noWrap/>
            <w:hideMark/>
          </w:tcPr>
          <w:p w:rsidR="001A297B" w:rsidRPr="00AA23BE" w:rsidRDefault="001A297B" w:rsidP="00AA23BE">
            <w:pPr>
              <w:jc w:val="center"/>
              <w:rPr>
                <w:b/>
                <w:bCs/>
                <w:sz w:val="20"/>
                <w:szCs w:val="20"/>
                <w:lang w:val="en-US"/>
              </w:rPr>
            </w:pPr>
            <w:r w:rsidRPr="00AA23BE">
              <w:rPr>
                <w:b/>
                <w:bCs/>
                <w:sz w:val="20"/>
                <w:szCs w:val="20"/>
                <w:lang w:val="en-CA" w:eastAsia="en-CA"/>
              </w:rPr>
              <w:t>Total after 2020</w:t>
            </w:r>
          </w:p>
        </w:tc>
      </w:tr>
      <w:tr w:rsidR="001A297B" w:rsidRPr="00AA23BE" w:rsidTr="001A297B">
        <w:trPr>
          <w:trHeight w:val="255"/>
        </w:trPr>
        <w:tc>
          <w:tcPr>
            <w:tcW w:w="94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97B" w:rsidRPr="00AA23BE" w:rsidRDefault="001A297B" w:rsidP="00AA23BE">
            <w:pPr>
              <w:jc w:val="left"/>
              <w:rPr>
                <w:b/>
                <w:bCs/>
                <w:sz w:val="20"/>
                <w:szCs w:val="20"/>
                <w:lang w:val="en-US"/>
              </w:rPr>
            </w:pPr>
            <w:r w:rsidRPr="00AA23BE">
              <w:rPr>
                <w:b/>
                <w:bCs/>
                <w:sz w:val="20"/>
                <w:szCs w:val="20"/>
                <w:lang w:val="en-CA" w:eastAsia="en-CA"/>
              </w:rPr>
              <w:t>Required for compliance</w:t>
            </w:r>
          </w:p>
        </w:tc>
      </w:tr>
      <w:tr w:rsidR="001A297B"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1A297B" w:rsidRPr="00AA23BE" w:rsidRDefault="001A297B" w:rsidP="00AA23BE">
            <w:pPr>
              <w:jc w:val="left"/>
              <w:rPr>
                <w:sz w:val="20"/>
                <w:szCs w:val="20"/>
                <w:lang w:val="en-US"/>
              </w:rPr>
            </w:pPr>
            <w:r w:rsidRPr="00AA23BE">
              <w:rPr>
                <w:sz w:val="20"/>
                <w:szCs w:val="20"/>
                <w:lang w:val="en-CA" w:eastAsia="en-CA"/>
              </w:rPr>
              <w:t xml:space="preserve">Approved </w:t>
            </w:r>
            <w:r w:rsidR="000737D5" w:rsidRPr="00AA23BE">
              <w:rPr>
                <w:sz w:val="20"/>
                <w:szCs w:val="20"/>
                <w:lang w:val="en-CA" w:eastAsia="en-CA"/>
              </w:rPr>
              <w:t>HPMPs</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23,279</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49,698</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8,218</w:t>
            </w:r>
          </w:p>
        </w:tc>
        <w:tc>
          <w:tcPr>
            <w:tcW w:w="126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81,195</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17,350</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5,940</w:t>
            </w:r>
          </w:p>
        </w:tc>
      </w:tr>
      <w:tr w:rsidR="001A297B"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1A297B" w:rsidRPr="00AA23BE" w:rsidRDefault="001A297B" w:rsidP="00AA23BE">
            <w:pPr>
              <w:jc w:val="left"/>
              <w:rPr>
                <w:sz w:val="20"/>
                <w:szCs w:val="20"/>
                <w:lang w:val="en-US"/>
              </w:rPr>
            </w:pPr>
            <w:r w:rsidRPr="00AA23BE">
              <w:rPr>
                <w:sz w:val="20"/>
                <w:szCs w:val="20"/>
                <w:lang w:val="en-CA" w:eastAsia="en-CA"/>
              </w:rPr>
              <w:t>HCFC production project preparation (PRP) – stage I</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107</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0</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0</w:t>
            </w:r>
          </w:p>
        </w:tc>
        <w:tc>
          <w:tcPr>
            <w:tcW w:w="126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107</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0</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0</w:t>
            </w:r>
          </w:p>
        </w:tc>
      </w:tr>
      <w:tr w:rsidR="001A297B"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1A297B" w:rsidRPr="00AA23BE" w:rsidRDefault="001A297B" w:rsidP="00AA23BE">
            <w:pPr>
              <w:jc w:val="left"/>
              <w:rPr>
                <w:sz w:val="20"/>
                <w:szCs w:val="20"/>
                <w:lang w:val="en-US"/>
              </w:rPr>
            </w:pPr>
            <w:r w:rsidRPr="00AA23BE">
              <w:rPr>
                <w:sz w:val="20"/>
                <w:szCs w:val="20"/>
                <w:lang w:val="en-CA" w:eastAsia="en-CA"/>
              </w:rPr>
              <w:t>HCFC production – stage I</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0</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533</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533</w:t>
            </w:r>
          </w:p>
        </w:tc>
        <w:tc>
          <w:tcPr>
            <w:tcW w:w="126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1,065</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533</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0</w:t>
            </w:r>
          </w:p>
        </w:tc>
      </w:tr>
      <w:tr w:rsidR="001A297B"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1A297B" w:rsidRPr="00AA23BE" w:rsidRDefault="001A297B" w:rsidP="00AA23BE">
            <w:pPr>
              <w:jc w:val="left"/>
              <w:rPr>
                <w:sz w:val="20"/>
                <w:szCs w:val="20"/>
                <w:lang w:val="en-US"/>
              </w:rPr>
            </w:pPr>
            <w:r w:rsidRPr="00AA23BE">
              <w:rPr>
                <w:sz w:val="20"/>
                <w:szCs w:val="20"/>
                <w:lang w:val="en-CA" w:eastAsia="en-CA"/>
              </w:rPr>
              <w:t>HCFC production – stage II</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29,306</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29,306</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29,306</w:t>
            </w:r>
          </w:p>
        </w:tc>
        <w:tc>
          <w:tcPr>
            <w:tcW w:w="126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87,917</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29,306</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172,777</w:t>
            </w:r>
          </w:p>
        </w:tc>
      </w:tr>
      <w:tr w:rsidR="001A297B"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1A297B" w:rsidRPr="00AA23BE" w:rsidRDefault="001A297B" w:rsidP="00AA23BE">
            <w:pPr>
              <w:jc w:val="left"/>
              <w:rPr>
                <w:sz w:val="20"/>
                <w:szCs w:val="20"/>
                <w:lang w:val="en-US"/>
              </w:rPr>
            </w:pPr>
            <w:r w:rsidRPr="00AA23BE">
              <w:rPr>
                <w:sz w:val="20"/>
                <w:szCs w:val="20"/>
                <w:lang w:val="en-CA" w:eastAsia="en-CA"/>
              </w:rPr>
              <w:t>HPMP stage I</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127</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853</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8</w:t>
            </w:r>
          </w:p>
        </w:tc>
        <w:tc>
          <w:tcPr>
            <w:tcW w:w="126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988</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191</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0</w:t>
            </w:r>
          </w:p>
        </w:tc>
      </w:tr>
      <w:tr w:rsidR="001A297B"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1A297B" w:rsidRPr="00AA23BE" w:rsidRDefault="001A297B" w:rsidP="00AA23BE">
            <w:pPr>
              <w:jc w:val="left"/>
              <w:rPr>
                <w:sz w:val="20"/>
                <w:szCs w:val="20"/>
                <w:lang w:val="en-US"/>
              </w:rPr>
            </w:pPr>
            <w:r w:rsidRPr="00AA23BE">
              <w:rPr>
                <w:sz w:val="20"/>
                <w:szCs w:val="20"/>
                <w:lang w:val="en-CA" w:eastAsia="en-CA"/>
              </w:rPr>
              <w:t>HPMP stage I – additional funding PRP</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60</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0</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0</w:t>
            </w:r>
          </w:p>
        </w:tc>
        <w:tc>
          <w:tcPr>
            <w:tcW w:w="126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60</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0</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0</w:t>
            </w:r>
          </w:p>
        </w:tc>
      </w:tr>
      <w:tr w:rsidR="001A297B"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1A297B" w:rsidRPr="00AA23BE" w:rsidRDefault="001A297B" w:rsidP="00AA23BE">
            <w:pPr>
              <w:jc w:val="left"/>
              <w:rPr>
                <w:sz w:val="20"/>
                <w:szCs w:val="20"/>
                <w:lang w:val="en-US"/>
              </w:rPr>
            </w:pPr>
            <w:r w:rsidRPr="00AA23BE">
              <w:rPr>
                <w:sz w:val="20"/>
                <w:szCs w:val="20"/>
                <w:lang w:val="en-CA" w:eastAsia="en-CA"/>
              </w:rPr>
              <w:t>HPMP stage I – additional funding</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1,417</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430</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0</w:t>
            </w:r>
          </w:p>
        </w:tc>
        <w:tc>
          <w:tcPr>
            <w:tcW w:w="126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1,846</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0</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0</w:t>
            </w:r>
          </w:p>
        </w:tc>
      </w:tr>
      <w:tr w:rsidR="001A297B"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1A297B" w:rsidRPr="00AA23BE" w:rsidRDefault="001A297B" w:rsidP="00AA23BE">
            <w:pPr>
              <w:jc w:val="left"/>
              <w:rPr>
                <w:sz w:val="20"/>
                <w:szCs w:val="20"/>
                <w:lang w:val="en-US"/>
              </w:rPr>
            </w:pPr>
            <w:r w:rsidRPr="00AA23BE">
              <w:rPr>
                <w:sz w:val="20"/>
                <w:szCs w:val="20"/>
                <w:lang w:val="en-CA" w:eastAsia="en-CA"/>
              </w:rPr>
              <w:t>HPMP PRP – stage II</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868</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4,186</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228</w:t>
            </w:r>
          </w:p>
        </w:tc>
        <w:tc>
          <w:tcPr>
            <w:tcW w:w="126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5,282</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0</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80</w:t>
            </w:r>
          </w:p>
        </w:tc>
      </w:tr>
      <w:tr w:rsidR="001A297B"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1A297B" w:rsidRPr="00AA23BE" w:rsidRDefault="001A297B" w:rsidP="00AA23BE">
            <w:pPr>
              <w:jc w:val="left"/>
              <w:rPr>
                <w:sz w:val="20"/>
                <w:szCs w:val="20"/>
                <w:lang w:val="en-US"/>
              </w:rPr>
            </w:pPr>
            <w:r w:rsidRPr="00AA23BE">
              <w:rPr>
                <w:sz w:val="20"/>
                <w:szCs w:val="20"/>
                <w:lang w:val="en-CA" w:eastAsia="en-CA"/>
              </w:rPr>
              <w:t>HPMP stage II</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83,116</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155,176</w:t>
            </w:r>
          </w:p>
        </w:tc>
        <w:tc>
          <w:tcPr>
            <w:tcW w:w="90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198,054</w:t>
            </w:r>
          </w:p>
        </w:tc>
        <w:tc>
          <w:tcPr>
            <w:tcW w:w="126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436,347</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181,834</w:t>
            </w:r>
          </w:p>
        </w:tc>
        <w:tc>
          <w:tcPr>
            <w:tcW w:w="1080" w:type="dxa"/>
            <w:tcBorders>
              <w:top w:val="nil"/>
              <w:left w:val="nil"/>
              <w:bottom w:val="single" w:sz="4" w:space="0" w:color="auto"/>
              <w:right w:val="single" w:sz="4" w:space="0" w:color="auto"/>
            </w:tcBorders>
            <w:shd w:val="clear" w:color="auto" w:fill="auto"/>
            <w:noWrap/>
            <w:hideMark/>
          </w:tcPr>
          <w:p w:rsidR="001A297B" w:rsidRPr="00AA23BE" w:rsidRDefault="001A297B" w:rsidP="00AA23BE">
            <w:pPr>
              <w:jc w:val="right"/>
              <w:rPr>
                <w:sz w:val="20"/>
                <w:szCs w:val="20"/>
                <w:lang w:val="en-US"/>
              </w:rPr>
            </w:pPr>
            <w:r w:rsidRPr="00AA23BE">
              <w:rPr>
                <w:sz w:val="20"/>
                <w:szCs w:val="20"/>
                <w:lang w:val="en-US"/>
              </w:rPr>
              <w:t>409,194</w:t>
            </w:r>
          </w:p>
        </w:tc>
      </w:tr>
      <w:tr w:rsidR="00932874"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932874" w:rsidRPr="00AA23BE" w:rsidRDefault="00932874" w:rsidP="00AA23BE">
            <w:pPr>
              <w:jc w:val="left"/>
              <w:rPr>
                <w:sz w:val="20"/>
                <w:szCs w:val="20"/>
                <w:lang w:val="en-US"/>
              </w:rPr>
            </w:pPr>
            <w:r w:rsidRPr="00AA23BE">
              <w:rPr>
                <w:sz w:val="20"/>
                <w:szCs w:val="20"/>
                <w:lang w:val="en-CA" w:eastAsia="en-CA"/>
              </w:rPr>
              <w:t>HPMP PRP – stage III</w:t>
            </w:r>
          </w:p>
        </w:tc>
        <w:tc>
          <w:tcPr>
            <w:tcW w:w="900" w:type="dxa"/>
            <w:tcBorders>
              <w:top w:val="nil"/>
              <w:left w:val="nil"/>
              <w:bottom w:val="single" w:sz="4" w:space="0" w:color="auto"/>
              <w:right w:val="single" w:sz="4" w:space="0" w:color="auto"/>
            </w:tcBorders>
            <w:shd w:val="clear" w:color="auto" w:fill="auto"/>
            <w:noWrap/>
          </w:tcPr>
          <w:p w:rsidR="00932874" w:rsidRPr="00AA23BE" w:rsidRDefault="00AF7C0C" w:rsidP="00AA23BE">
            <w:pPr>
              <w:jc w:val="right"/>
              <w:rPr>
                <w:sz w:val="20"/>
                <w:szCs w:val="20"/>
                <w:lang w:val="en-US"/>
              </w:rPr>
            </w:pPr>
            <w:r w:rsidRPr="00AA23BE">
              <w:rPr>
                <w:sz w:val="20"/>
                <w:szCs w:val="20"/>
                <w:lang w:val="en-US"/>
              </w:rPr>
              <w:t>0</w:t>
            </w:r>
          </w:p>
        </w:tc>
        <w:tc>
          <w:tcPr>
            <w:tcW w:w="900" w:type="dxa"/>
            <w:tcBorders>
              <w:top w:val="nil"/>
              <w:left w:val="nil"/>
              <w:bottom w:val="single" w:sz="4" w:space="0" w:color="auto"/>
              <w:right w:val="single" w:sz="4" w:space="0" w:color="auto"/>
            </w:tcBorders>
            <w:shd w:val="clear" w:color="auto" w:fill="auto"/>
            <w:noWrap/>
          </w:tcPr>
          <w:p w:rsidR="00932874" w:rsidRPr="00AA23BE" w:rsidRDefault="00AF7C0C" w:rsidP="00AA23BE">
            <w:pPr>
              <w:jc w:val="right"/>
              <w:rPr>
                <w:sz w:val="20"/>
                <w:szCs w:val="20"/>
              </w:rPr>
            </w:pPr>
            <w:r w:rsidRPr="00AA23BE">
              <w:rPr>
                <w:sz w:val="20"/>
                <w:szCs w:val="20"/>
              </w:rPr>
              <w:t>0</w:t>
            </w:r>
          </w:p>
        </w:tc>
        <w:tc>
          <w:tcPr>
            <w:tcW w:w="900" w:type="dxa"/>
            <w:tcBorders>
              <w:top w:val="nil"/>
              <w:left w:val="nil"/>
              <w:bottom w:val="single" w:sz="4" w:space="0" w:color="auto"/>
              <w:right w:val="single" w:sz="4" w:space="0" w:color="auto"/>
            </w:tcBorders>
            <w:shd w:val="clear" w:color="auto" w:fill="auto"/>
            <w:noWrap/>
          </w:tcPr>
          <w:p w:rsidR="00932874" w:rsidRPr="00AA23BE" w:rsidRDefault="00AF7C0C" w:rsidP="00AA23BE">
            <w:pPr>
              <w:jc w:val="right"/>
              <w:rPr>
                <w:sz w:val="20"/>
                <w:szCs w:val="20"/>
              </w:rPr>
            </w:pPr>
            <w:r w:rsidRPr="00AA23BE">
              <w:rPr>
                <w:sz w:val="20"/>
                <w:szCs w:val="20"/>
              </w:rPr>
              <w:t>0</w:t>
            </w:r>
          </w:p>
        </w:tc>
        <w:tc>
          <w:tcPr>
            <w:tcW w:w="1260" w:type="dxa"/>
            <w:tcBorders>
              <w:top w:val="nil"/>
              <w:left w:val="nil"/>
              <w:bottom w:val="single" w:sz="4" w:space="0" w:color="auto"/>
              <w:right w:val="single" w:sz="4" w:space="0" w:color="auto"/>
            </w:tcBorders>
            <w:shd w:val="clear" w:color="auto" w:fill="auto"/>
            <w:noWrap/>
            <w:hideMark/>
          </w:tcPr>
          <w:p w:rsidR="00932874" w:rsidRPr="00AA23BE" w:rsidRDefault="00932874" w:rsidP="00AA23BE">
            <w:pPr>
              <w:jc w:val="right"/>
              <w:rPr>
                <w:sz w:val="20"/>
                <w:szCs w:val="20"/>
                <w:lang w:val="en-US"/>
              </w:rPr>
            </w:pPr>
            <w:r w:rsidRPr="00AA23BE">
              <w:rPr>
                <w:sz w:val="20"/>
                <w:szCs w:val="20"/>
                <w:lang w:val="en-US"/>
              </w:rPr>
              <w:t>0</w:t>
            </w:r>
          </w:p>
        </w:tc>
        <w:tc>
          <w:tcPr>
            <w:tcW w:w="1080" w:type="dxa"/>
            <w:tcBorders>
              <w:top w:val="nil"/>
              <w:left w:val="nil"/>
              <w:bottom w:val="single" w:sz="4" w:space="0" w:color="auto"/>
              <w:right w:val="single" w:sz="4" w:space="0" w:color="auto"/>
            </w:tcBorders>
            <w:shd w:val="clear" w:color="auto" w:fill="auto"/>
            <w:noWrap/>
            <w:hideMark/>
          </w:tcPr>
          <w:p w:rsidR="00932874" w:rsidRPr="00AA23BE" w:rsidRDefault="00932874" w:rsidP="00AA23BE">
            <w:pPr>
              <w:jc w:val="right"/>
              <w:rPr>
                <w:sz w:val="20"/>
                <w:szCs w:val="20"/>
                <w:lang w:val="en-US"/>
              </w:rPr>
            </w:pPr>
            <w:r w:rsidRPr="00AA23BE">
              <w:rPr>
                <w:sz w:val="20"/>
                <w:szCs w:val="20"/>
                <w:lang w:val="en-US"/>
              </w:rPr>
              <w:t>102</w:t>
            </w:r>
          </w:p>
        </w:tc>
        <w:tc>
          <w:tcPr>
            <w:tcW w:w="1080" w:type="dxa"/>
            <w:tcBorders>
              <w:top w:val="nil"/>
              <w:left w:val="nil"/>
              <w:bottom w:val="single" w:sz="4" w:space="0" w:color="auto"/>
              <w:right w:val="single" w:sz="4" w:space="0" w:color="auto"/>
            </w:tcBorders>
            <w:shd w:val="clear" w:color="auto" w:fill="auto"/>
            <w:noWrap/>
            <w:hideMark/>
          </w:tcPr>
          <w:p w:rsidR="00932874" w:rsidRPr="00AA23BE" w:rsidRDefault="00932874" w:rsidP="00AA23BE">
            <w:pPr>
              <w:jc w:val="right"/>
              <w:rPr>
                <w:sz w:val="20"/>
                <w:szCs w:val="20"/>
                <w:lang w:val="en-US"/>
              </w:rPr>
            </w:pPr>
            <w:r w:rsidRPr="00AA23BE">
              <w:rPr>
                <w:sz w:val="20"/>
                <w:szCs w:val="20"/>
                <w:lang w:val="en-US"/>
              </w:rPr>
              <w:t>0</w:t>
            </w:r>
          </w:p>
        </w:tc>
      </w:tr>
      <w:tr w:rsidR="00AF7C0C"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AF7C0C" w:rsidRPr="00AA23BE" w:rsidRDefault="00AF7C0C" w:rsidP="00AA23BE">
            <w:pPr>
              <w:jc w:val="left"/>
              <w:rPr>
                <w:sz w:val="20"/>
                <w:szCs w:val="20"/>
                <w:lang w:val="en-US"/>
              </w:rPr>
            </w:pPr>
            <w:r w:rsidRPr="00AA23BE">
              <w:rPr>
                <w:sz w:val="20"/>
                <w:szCs w:val="20"/>
                <w:lang w:val="en-CA" w:eastAsia="en-CA"/>
              </w:rPr>
              <w:t>HPMP stage III</w:t>
            </w:r>
          </w:p>
        </w:tc>
        <w:tc>
          <w:tcPr>
            <w:tcW w:w="900" w:type="dxa"/>
            <w:tcBorders>
              <w:top w:val="nil"/>
              <w:left w:val="nil"/>
              <w:bottom w:val="single" w:sz="4" w:space="0" w:color="auto"/>
              <w:right w:val="single" w:sz="4" w:space="0" w:color="auto"/>
            </w:tcBorders>
            <w:shd w:val="clear" w:color="auto" w:fill="auto"/>
            <w:noWrap/>
          </w:tcPr>
          <w:p w:rsidR="00AF7C0C" w:rsidRPr="00AA23BE" w:rsidRDefault="00AF7C0C" w:rsidP="00AA23BE">
            <w:pPr>
              <w:jc w:val="right"/>
              <w:rPr>
                <w:sz w:val="20"/>
                <w:szCs w:val="20"/>
                <w:lang w:val="en-US"/>
              </w:rPr>
            </w:pPr>
            <w:r w:rsidRPr="00AA23BE">
              <w:rPr>
                <w:sz w:val="20"/>
                <w:szCs w:val="20"/>
                <w:lang w:val="en-US"/>
              </w:rPr>
              <w:t>0</w:t>
            </w:r>
          </w:p>
        </w:tc>
        <w:tc>
          <w:tcPr>
            <w:tcW w:w="900" w:type="dxa"/>
            <w:tcBorders>
              <w:top w:val="nil"/>
              <w:left w:val="nil"/>
              <w:bottom w:val="single" w:sz="4" w:space="0" w:color="auto"/>
              <w:right w:val="single" w:sz="4" w:space="0" w:color="auto"/>
            </w:tcBorders>
            <w:shd w:val="clear" w:color="auto" w:fill="auto"/>
            <w:noWrap/>
          </w:tcPr>
          <w:p w:rsidR="00AF7C0C" w:rsidRPr="00AA23BE" w:rsidRDefault="00AF7C0C" w:rsidP="00AA23BE">
            <w:pPr>
              <w:jc w:val="right"/>
              <w:rPr>
                <w:sz w:val="20"/>
                <w:szCs w:val="20"/>
              </w:rPr>
            </w:pPr>
            <w:r w:rsidRPr="00AA23BE">
              <w:rPr>
                <w:sz w:val="20"/>
                <w:szCs w:val="20"/>
                <w:lang w:val="en-US"/>
              </w:rPr>
              <w:t>0</w:t>
            </w:r>
          </w:p>
        </w:tc>
        <w:tc>
          <w:tcPr>
            <w:tcW w:w="900" w:type="dxa"/>
            <w:tcBorders>
              <w:top w:val="nil"/>
              <w:left w:val="nil"/>
              <w:bottom w:val="single" w:sz="4" w:space="0" w:color="auto"/>
              <w:right w:val="single" w:sz="4" w:space="0" w:color="auto"/>
            </w:tcBorders>
            <w:shd w:val="clear" w:color="auto" w:fill="auto"/>
            <w:noWrap/>
          </w:tcPr>
          <w:p w:rsidR="00AF7C0C" w:rsidRPr="00AA23BE" w:rsidRDefault="00AF7C0C" w:rsidP="00AA23BE">
            <w:pPr>
              <w:jc w:val="right"/>
              <w:rPr>
                <w:sz w:val="20"/>
                <w:szCs w:val="20"/>
              </w:rPr>
            </w:pPr>
            <w:r w:rsidRPr="00AA23BE">
              <w:rPr>
                <w:sz w:val="20"/>
                <w:szCs w:val="20"/>
                <w:lang w:val="en-US"/>
              </w:rPr>
              <w:t>0</w:t>
            </w:r>
          </w:p>
        </w:tc>
        <w:tc>
          <w:tcPr>
            <w:tcW w:w="126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0</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70,945</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283,530</w:t>
            </w:r>
          </w:p>
        </w:tc>
      </w:tr>
      <w:tr w:rsidR="00AF7C0C"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AF7C0C" w:rsidRPr="00AA23BE" w:rsidRDefault="00AF7C0C" w:rsidP="00AA23BE">
            <w:pPr>
              <w:jc w:val="left"/>
              <w:rPr>
                <w:sz w:val="20"/>
                <w:szCs w:val="20"/>
                <w:lang w:val="en-US"/>
              </w:rPr>
            </w:pPr>
            <w:r w:rsidRPr="00AA23BE">
              <w:rPr>
                <w:sz w:val="20"/>
                <w:szCs w:val="20"/>
                <w:lang w:val="en-CA" w:eastAsia="en-CA"/>
              </w:rPr>
              <w:t>HPMP verification</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589</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589</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589</w:t>
            </w:r>
          </w:p>
        </w:tc>
        <w:tc>
          <w:tcPr>
            <w:tcW w:w="126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1,766</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589</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0</w:t>
            </w:r>
          </w:p>
        </w:tc>
      </w:tr>
      <w:tr w:rsidR="00AF7C0C" w:rsidRPr="00AA23BE" w:rsidTr="001A297B">
        <w:trPr>
          <w:trHeight w:val="255"/>
        </w:trPr>
        <w:tc>
          <w:tcPr>
            <w:tcW w:w="94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0C" w:rsidRPr="00AA23BE" w:rsidRDefault="00AF7C0C" w:rsidP="00AA23BE">
            <w:pPr>
              <w:keepNext/>
              <w:jc w:val="left"/>
              <w:rPr>
                <w:b/>
                <w:bCs/>
                <w:sz w:val="20"/>
                <w:szCs w:val="20"/>
                <w:lang w:val="en-US"/>
              </w:rPr>
            </w:pPr>
            <w:r w:rsidRPr="00AA23BE">
              <w:rPr>
                <w:b/>
                <w:bCs/>
                <w:sz w:val="20"/>
                <w:szCs w:val="20"/>
                <w:lang w:val="en-CA" w:eastAsia="en-CA"/>
              </w:rPr>
              <w:t>Standard activities</w:t>
            </w:r>
          </w:p>
        </w:tc>
      </w:tr>
      <w:tr w:rsidR="00AF7C0C"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AF7C0C" w:rsidRPr="00AA23BE" w:rsidRDefault="00AF7C0C" w:rsidP="00AA23BE">
            <w:pPr>
              <w:keepNext/>
              <w:jc w:val="left"/>
              <w:rPr>
                <w:sz w:val="20"/>
                <w:szCs w:val="20"/>
                <w:lang w:val="en-US"/>
              </w:rPr>
            </w:pPr>
            <w:r w:rsidRPr="00AA23BE">
              <w:rPr>
                <w:sz w:val="20"/>
                <w:szCs w:val="20"/>
                <w:lang w:val="en-CA" w:eastAsia="en-CA"/>
              </w:rPr>
              <w:t>Compliance Assistance Programme (CAP)</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keepNext/>
              <w:jc w:val="right"/>
              <w:rPr>
                <w:sz w:val="20"/>
                <w:szCs w:val="20"/>
                <w:lang w:val="en-US"/>
              </w:rPr>
            </w:pPr>
            <w:r w:rsidRPr="00AA23BE">
              <w:rPr>
                <w:sz w:val="20"/>
                <w:szCs w:val="20"/>
                <w:lang w:val="en-US"/>
              </w:rPr>
              <w:t>10,931</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keepNext/>
              <w:jc w:val="right"/>
              <w:rPr>
                <w:sz w:val="20"/>
                <w:szCs w:val="20"/>
                <w:lang w:val="en-US"/>
              </w:rPr>
            </w:pPr>
            <w:r w:rsidRPr="00AA23BE">
              <w:rPr>
                <w:sz w:val="20"/>
                <w:szCs w:val="20"/>
                <w:lang w:val="en-US"/>
              </w:rPr>
              <w:t>11,259</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keepNext/>
              <w:jc w:val="right"/>
              <w:rPr>
                <w:sz w:val="20"/>
                <w:szCs w:val="20"/>
                <w:lang w:val="en-US"/>
              </w:rPr>
            </w:pPr>
            <w:r w:rsidRPr="00AA23BE">
              <w:rPr>
                <w:sz w:val="20"/>
                <w:szCs w:val="20"/>
                <w:lang w:val="en-US"/>
              </w:rPr>
              <w:t>11,596</w:t>
            </w:r>
          </w:p>
        </w:tc>
        <w:tc>
          <w:tcPr>
            <w:tcW w:w="126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keepNext/>
              <w:jc w:val="right"/>
              <w:rPr>
                <w:sz w:val="20"/>
                <w:szCs w:val="20"/>
                <w:lang w:val="en-US"/>
              </w:rPr>
            </w:pPr>
            <w:r w:rsidRPr="00AA23BE">
              <w:rPr>
                <w:sz w:val="20"/>
                <w:szCs w:val="20"/>
                <w:lang w:val="en-US"/>
              </w:rPr>
              <w:t>33,786</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keepNext/>
              <w:jc w:val="right"/>
              <w:rPr>
                <w:sz w:val="20"/>
                <w:szCs w:val="20"/>
                <w:lang w:val="en-US"/>
              </w:rPr>
            </w:pPr>
            <w:r w:rsidRPr="00AA23BE">
              <w:rPr>
                <w:sz w:val="20"/>
                <w:szCs w:val="20"/>
                <w:lang w:val="en-US"/>
              </w:rPr>
              <w:t>11,944</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keepNext/>
              <w:jc w:val="right"/>
              <w:rPr>
                <w:sz w:val="20"/>
                <w:szCs w:val="20"/>
              </w:rPr>
            </w:pPr>
            <w:r w:rsidRPr="00AA23BE">
              <w:rPr>
                <w:sz w:val="20"/>
                <w:szCs w:val="20"/>
                <w:lang w:val="en-US"/>
              </w:rPr>
              <w:t>0</w:t>
            </w:r>
          </w:p>
        </w:tc>
      </w:tr>
      <w:tr w:rsidR="00AF7C0C"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AF7C0C" w:rsidRPr="00AA23BE" w:rsidRDefault="00AF7C0C" w:rsidP="00AA23BE">
            <w:pPr>
              <w:jc w:val="left"/>
              <w:rPr>
                <w:sz w:val="20"/>
                <w:szCs w:val="20"/>
                <w:lang w:val="en-US"/>
              </w:rPr>
            </w:pPr>
            <w:r w:rsidRPr="00AA23BE">
              <w:rPr>
                <w:sz w:val="20"/>
                <w:szCs w:val="20"/>
                <w:lang w:val="en-CA" w:eastAsia="en-CA"/>
              </w:rPr>
              <w:t>Core unit</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5,864</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5,905</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5,946</w:t>
            </w:r>
          </w:p>
        </w:tc>
        <w:tc>
          <w:tcPr>
            <w:tcW w:w="126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17,715</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5,988</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rPr>
            </w:pPr>
            <w:r w:rsidRPr="00AA23BE">
              <w:rPr>
                <w:sz w:val="20"/>
                <w:szCs w:val="20"/>
                <w:lang w:val="en-US"/>
              </w:rPr>
              <w:t>0</w:t>
            </w:r>
          </w:p>
        </w:tc>
      </w:tr>
      <w:tr w:rsidR="00AF7C0C"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AF7C0C" w:rsidRPr="00AA23BE" w:rsidRDefault="00AF7C0C" w:rsidP="00AA23BE">
            <w:pPr>
              <w:jc w:val="left"/>
              <w:rPr>
                <w:sz w:val="20"/>
                <w:szCs w:val="20"/>
                <w:lang w:val="en-US"/>
              </w:rPr>
            </w:pPr>
            <w:r w:rsidRPr="00AA23BE">
              <w:rPr>
                <w:sz w:val="20"/>
                <w:szCs w:val="20"/>
                <w:lang w:val="en-CA" w:eastAsia="en-CA"/>
              </w:rPr>
              <w:t>Secretariat, Executive Committee, and Monitoring and Evaluation costs minus Canadian counterpart</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5,759</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5,893</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6,030</w:t>
            </w:r>
          </w:p>
        </w:tc>
        <w:tc>
          <w:tcPr>
            <w:tcW w:w="126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17,682</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6,172</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rPr>
            </w:pPr>
            <w:r w:rsidRPr="00AA23BE">
              <w:rPr>
                <w:sz w:val="20"/>
                <w:szCs w:val="20"/>
                <w:lang w:val="en-US"/>
              </w:rPr>
              <w:t>0</w:t>
            </w:r>
          </w:p>
        </w:tc>
      </w:tr>
      <w:tr w:rsidR="00AF7C0C"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AF7C0C" w:rsidRPr="00AA23BE" w:rsidRDefault="00AF7C0C" w:rsidP="00AA23BE">
            <w:pPr>
              <w:jc w:val="left"/>
              <w:rPr>
                <w:sz w:val="20"/>
                <w:szCs w:val="20"/>
                <w:lang w:val="en-US"/>
              </w:rPr>
            </w:pPr>
            <w:r w:rsidRPr="00AA23BE">
              <w:rPr>
                <w:sz w:val="20"/>
                <w:szCs w:val="20"/>
                <w:lang w:val="en-CA" w:eastAsia="en-CA"/>
              </w:rPr>
              <w:t>Treasurer</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500</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500</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500</w:t>
            </w:r>
          </w:p>
        </w:tc>
        <w:tc>
          <w:tcPr>
            <w:tcW w:w="126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1,500</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500</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0</w:t>
            </w:r>
          </w:p>
        </w:tc>
      </w:tr>
      <w:tr w:rsidR="00AF7C0C"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AF7C0C" w:rsidRPr="00AA23BE" w:rsidRDefault="00AF7C0C" w:rsidP="00AA23BE">
            <w:pPr>
              <w:jc w:val="left"/>
              <w:rPr>
                <w:sz w:val="20"/>
                <w:szCs w:val="20"/>
                <w:lang w:val="en-US"/>
              </w:rPr>
            </w:pPr>
            <w:r w:rsidRPr="00AA23BE">
              <w:rPr>
                <w:sz w:val="20"/>
                <w:szCs w:val="20"/>
                <w:lang w:val="en-CA" w:eastAsia="en-CA"/>
              </w:rPr>
              <w:t>Institutional strengthening (IS)</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11,276</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10,033</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11,096</w:t>
            </w:r>
          </w:p>
        </w:tc>
        <w:tc>
          <w:tcPr>
            <w:tcW w:w="126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32,405</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10,033</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0</w:t>
            </w:r>
          </w:p>
        </w:tc>
      </w:tr>
      <w:tr w:rsidR="00AF7C0C"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AF7C0C" w:rsidRPr="00AA23BE" w:rsidRDefault="00AF7C0C" w:rsidP="00AA23BE">
            <w:pPr>
              <w:jc w:val="left"/>
              <w:rPr>
                <w:b/>
                <w:bCs/>
                <w:sz w:val="20"/>
                <w:szCs w:val="20"/>
                <w:lang w:val="en-US"/>
              </w:rPr>
            </w:pPr>
            <w:r w:rsidRPr="00AA23BE">
              <w:rPr>
                <w:b/>
                <w:bCs/>
                <w:sz w:val="20"/>
                <w:szCs w:val="20"/>
                <w:lang w:val="en-CA" w:eastAsia="en-CA"/>
              </w:rPr>
              <w:t>Grand total</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b/>
                <w:bCs/>
                <w:sz w:val="20"/>
                <w:szCs w:val="20"/>
                <w:lang w:val="en-US"/>
              </w:rPr>
            </w:pPr>
            <w:r w:rsidRPr="00AA23BE">
              <w:rPr>
                <w:b/>
                <w:bCs/>
                <w:sz w:val="20"/>
                <w:szCs w:val="20"/>
                <w:lang w:val="en-US"/>
              </w:rPr>
              <w:t>173,198</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b/>
                <w:bCs/>
                <w:sz w:val="20"/>
                <w:szCs w:val="20"/>
                <w:lang w:val="en-US"/>
              </w:rPr>
            </w:pPr>
            <w:r w:rsidRPr="00AA23BE">
              <w:rPr>
                <w:b/>
                <w:bCs/>
                <w:sz w:val="20"/>
                <w:szCs w:val="20"/>
                <w:lang w:val="en-US"/>
              </w:rPr>
              <w:t>274,359</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b/>
                <w:bCs/>
                <w:sz w:val="20"/>
                <w:szCs w:val="20"/>
                <w:lang w:val="en-US"/>
              </w:rPr>
            </w:pPr>
            <w:r w:rsidRPr="00AA23BE">
              <w:rPr>
                <w:b/>
                <w:bCs/>
                <w:sz w:val="20"/>
                <w:szCs w:val="20"/>
                <w:lang w:val="en-US"/>
              </w:rPr>
              <w:t>272,104</w:t>
            </w:r>
          </w:p>
        </w:tc>
        <w:tc>
          <w:tcPr>
            <w:tcW w:w="126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b/>
                <w:bCs/>
                <w:sz w:val="20"/>
                <w:szCs w:val="20"/>
                <w:lang w:val="en-US"/>
              </w:rPr>
            </w:pPr>
            <w:r w:rsidRPr="00AA23BE">
              <w:rPr>
                <w:b/>
                <w:bCs/>
                <w:sz w:val="20"/>
                <w:szCs w:val="20"/>
                <w:lang w:val="en-US"/>
              </w:rPr>
              <w:t>719,660</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b/>
                <w:bCs/>
                <w:sz w:val="20"/>
                <w:szCs w:val="20"/>
                <w:lang w:val="en-US"/>
              </w:rPr>
            </w:pPr>
            <w:r w:rsidRPr="00AA23BE">
              <w:rPr>
                <w:b/>
                <w:bCs/>
                <w:sz w:val="20"/>
                <w:szCs w:val="20"/>
                <w:lang w:val="en-US"/>
              </w:rPr>
              <w:t>335,485</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b/>
                <w:bCs/>
                <w:sz w:val="20"/>
                <w:szCs w:val="20"/>
                <w:lang w:val="en-US"/>
              </w:rPr>
            </w:pPr>
            <w:r w:rsidRPr="00AA23BE">
              <w:rPr>
                <w:b/>
                <w:bCs/>
                <w:sz w:val="20"/>
                <w:szCs w:val="20"/>
                <w:lang w:val="en-US"/>
              </w:rPr>
              <w:t>871,520</w:t>
            </w:r>
          </w:p>
        </w:tc>
      </w:tr>
      <w:tr w:rsidR="00AF7C0C"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AF7C0C" w:rsidRPr="00AA23BE" w:rsidRDefault="00AF7C0C" w:rsidP="00AA23BE">
            <w:pPr>
              <w:jc w:val="left"/>
              <w:rPr>
                <w:sz w:val="20"/>
                <w:szCs w:val="20"/>
                <w:lang w:val="en-US"/>
              </w:rPr>
            </w:pPr>
            <w:r w:rsidRPr="00AA23BE">
              <w:rPr>
                <w:sz w:val="20"/>
                <w:szCs w:val="20"/>
                <w:lang w:val="en-CA" w:eastAsia="en-CA"/>
              </w:rPr>
              <w:t>Indicative budget**</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153,800</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169,167</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169,167</w:t>
            </w:r>
          </w:p>
        </w:tc>
        <w:tc>
          <w:tcPr>
            <w:tcW w:w="126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492,133</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169,167</w:t>
            </w:r>
          </w:p>
        </w:tc>
        <w:tc>
          <w:tcPr>
            <w:tcW w:w="1080" w:type="dxa"/>
            <w:tcBorders>
              <w:top w:val="nil"/>
              <w:left w:val="nil"/>
              <w:bottom w:val="single" w:sz="4" w:space="0" w:color="auto"/>
              <w:right w:val="single" w:sz="4" w:space="0" w:color="auto"/>
            </w:tcBorders>
            <w:shd w:val="clear" w:color="auto" w:fill="auto"/>
            <w:noWrap/>
          </w:tcPr>
          <w:p w:rsidR="00AF7C0C" w:rsidRPr="00AA23BE" w:rsidRDefault="00AF7C0C" w:rsidP="00AA23BE">
            <w:pPr>
              <w:jc w:val="right"/>
              <w:rPr>
                <w:sz w:val="20"/>
                <w:szCs w:val="20"/>
                <w:lang w:val="en-US"/>
              </w:rPr>
            </w:pPr>
          </w:p>
        </w:tc>
      </w:tr>
      <w:tr w:rsidR="00AF7C0C" w:rsidRPr="00AA23BE" w:rsidTr="0065767E">
        <w:trPr>
          <w:trHeight w:val="255"/>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AF7C0C" w:rsidRPr="00AA23BE" w:rsidRDefault="00AF7C0C" w:rsidP="00AA23BE">
            <w:pPr>
              <w:jc w:val="left"/>
              <w:rPr>
                <w:sz w:val="20"/>
                <w:szCs w:val="20"/>
                <w:lang w:val="en-US"/>
              </w:rPr>
            </w:pPr>
            <w:r w:rsidRPr="00AA23BE">
              <w:rPr>
                <w:sz w:val="20"/>
                <w:szCs w:val="20"/>
                <w:lang w:val="en-CA" w:eastAsia="en-CA"/>
              </w:rPr>
              <w:t>Difference</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19,398</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105,192</w:t>
            </w:r>
          </w:p>
        </w:tc>
        <w:tc>
          <w:tcPr>
            <w:tcW w:w="90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102,937</w:t>
            </w:r>
          </w:p>
        </w:tc>
        <w:tc>
          <w:tcPr>
            <w:tcW w:w="126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227,527</w:t>
            </w:r>
          </w:p>
        </w:tc>
        <w:tc>
          <w:tcPr>
            <w:tcW w:w="1080" w:type="dxa"/>
            <w:tcBorders>
              <w:top w:val="nil"/>
              <w:left w:val="nil"/>
              <w:bottom w:val="single" w:sz="4" w:space="0" w:color="auto"/>
              <w:right w:val="single" w:sz="4" w:space="0" w:color="auto"/>
            </w:tcBorders>
            <w:shd w:val="clear" w:color="auto" w:fill="auto"/>
            <w:noWrap/>
            <w:hideMark/>
          </w:tcPr>
          <w:p w:rsidR="00AF7C0C" w:rsidRPr="00AA23BE" w:rsidRDefault="00AF7C0C" w:rsidP="00AA23BE">
            <w:pPr>
              <w:jc w:val="right"/>
              <w:rPr>
                <w:sz w:val="20"/>
                <w:szCs w:val="20"/>
                <w:lang w:val="en-US"/>
              </w:rPr>
            </w:pPr>
            <w:r w:rsidRPr="00AA23BE">
              <w:rPr>
                <w:sz w:val="20"/>
                <w:szCs w:val="20"/>
                <w:lang w:val="en-US"/>
              </w:rPr>
              <w:t>166,319</w:t>
            </w:r>
          </w:p>
        </w:tc>
        <w:tc>
          <w:tcPr>
            <w:tcW w:w="1080" w:type="dxa"/>
            <w:tcBorders>
              <w:top w:val="nil"/>
              <w:left w:val="nil"/>
              <w:bottom w:val="single" w:sz="4" w:space="0" w:color="auto"/>
              <w:right w:val="single" w:sz="4" w:space="0" w:color="auto"/>
            </w:tcBorders>
            <w:shd w:val="clear" w:color="auto" w:fill="auto"/>
            <w:noWrap/>
          </w:tcPr>
          <w:p w:rsidR="00AF7C0C" w:rsidRPr="00AA23BE" w:rsidRDefault="00AF7C0C" w:rsidP="00AA23BE">
            <w:pPr>
              <w:jc w:val="right"/>
              <w:rPr>
                <w:sz w:val="20"/>
                <w:szCs w:val="20"/>
                <w:lang w:val="en-US"/>
              </w:rPr>
            </w:pPr>
          </w:p>
        </w:tc>
      </w:tr>
    </w:tbl>
    <w:p w:rsidR="00E6554D" w:rsidRPr="00AA23BE" w:rsidRDefault="00E6554D" w:rsidP="00AA23BE">
      <w:pPr>
        <w:keepNext/>
        <w:jc w:val="left"/>
        <w:rPr>
          <w:sz w:val="18"/>
          <w:szCs w:val="18"/>
          <w:lang w:val="en-CA"/>
        </w:rPr>
      </w:pPr>
      <w:r w:rsidRPr="00AA23BE">
        <w:rPr>
          <w:sz w:val="18"/>
          <w:szCs w:val="18"/>
          <w:lang w:val="en-CA"/>
        </w:rPr>
        <w:t>* Including agency support costs where applicable.</w:t>
      </w:r>
      <w:r w:rsidRPr="00AA23BE">
        <w:rPr>
          <w:sz w:val="18"/>
          <w:szCs w:val="18"/>
          <w:lang w:val="en-CA"/>
        </w:rPr>
        <w:br/>
        <w:t>** Based o</w:t>
      </w:r>
      <w:r w:rsidR="001A297B" w:rsidRPr="00AA23BE">
        <w:rPr>
          <w:sz w:val="18"/>
          <w:szCs w:val="18"/>
          <w:lang w:val="en-CA"/>
        </w:rPr>
        <w:t xml:space="preserve">n decision 74/3(c) for </w:t>
      </w:r>
      <w:r w:rsidRPr="00AA23BE">
        <w:rPr>
          <w:sz w:val="18"/>
          <w:szCs w:val="18"/>
          <w:lang w:val="en-CA"/>
        </w:rPr>
        <w:t>2017, and the level of previous replenishments for 2018</w:t>
      </w:r>
      <w:r w:rsidR="001A297B" w:rsidRPr="00AA23BE">
        <w:rPr>
          <w:sz w:val="18"/>
          <w:szCs w:val="18"/>
          <w:lang w:val="en-CA"/>
        </w:rPr>
        <w:t>, 2019 and 2020</w:t>
      </w:r>
      <w:r w:rsidRPr="00AA23BE">
        <w:rPr>
          <w:sz w:val="18"/>
          <w:szCs w:val="18"/>
          <w:lang w:val="en-CA"/>
        </w:rPr>
        <w:t>.</w:t>
      </w:r>
    </w:p>
    <w:p w:rsidR="00E6554D" w:rsidRPr="00AA23BE" w:rsidRDefault="00E6554D" w:rsidP="00AA23BE">
      <w:pPr>
        <w:keepNext/>
        <w:jc w:val="left"/>
        <w:rPr>
          <w:sz w:val="18"/>
          <w:szCs w:val="18"/>
          <w:lang w:val="en-CA"/>
        </w:rPr>
      </w:pPr>
    </w:p>
    <w:p w:rsidR="00E6554D" w:rsidRPr="00AA23BE" w:rsidRDefault="00E6554D" w:rsidP="00AA23BE">
      <w:pPr>
        <w:pStyle w:val="Heading1"/>
        <w:numPr>
          <w:ilvl w:val="0"/>
          <w:numId w:val="0"/>
        </w:numPr>
        <w:rPr>
          <w:b/>
          <w:lang w:val="en-CA"/>
        </w:rPr>
      </w:pPr>
      <w:r w:rsidRPr="00AA23BE">
        <w:rPr>
          <w:b/>
          <w:lang w:val="en-CA"/>
        </w:rPr>
        <w:t>Secretariat’s observations on activities required for compliance</w:t>
      </w:r>
    </w:p>
    <w:p w:rsidR="00E6554D" w:rsidRPr="00AA23BE" w:rsidRDefault="00E6554D" w:rsidP="00AA23BE">
      <w:pPr>
        <w:rPr>
          <w:u w:val="single"/>
          <w:lang w:val="en-CA"/>
        </w:rPr>
      </w:pPr>
      <w:r w:rsidRPr="00AA23BE">
        <w:rPr>
          <w:u w:val="single"/>
          <w:lang w:val="en-CA"/>
        </w:rPr>
        <w:t>Production sector</w:t>
      </w:r>
    </w:p>
    <w:p w:rsidR="00E6554D" w:rsidRPr="00AA23BE" w:rsidRDefault="00E6554D" w:rsidP="00AA23BE">
      <w:pPr>
        <w:rPr>
          <w:lang w:val="en-CA"/>
        </w:rPr>
      </w:pPr>
    </w:p>
    <w:p w:rsidR="00E6554D" w:rsidRPr="00AA23BE" w:rsidRDefault="00E6554D" w:rsidP="00AA23BE">
      <w:pPr>
        <w:pStyle w:val="Heading1"/>
        <w:rPr>
          <w:lang w:val="en-CA"/>
        </w:rPr>
      </w:pPr>
      <w:r w:rsidRPr="00AA23BE">
        <w:rPr>
          <w:lang w:val="en-CA"/>
        </w:rPr>
        <w:t>A total of US $1.7 million (including US $107,000 for project preparation activities in</w:t>
      </w:r>
      <w:r w:rsidR="00E8094E" w:rsidRPr="00AA23BE">
        <w:rPr>
          <w:lang w:val="en-CA"/>
        </w:rPr>
        <w:t xml:space="preserve"> 2017</w:t>
      </w:r>
      <w:r w:rsidRPr="00AA23BE">
        <w:rPr>
          <w:lang w:val="en-CA"/>
        </w:rPr>
        <w:t xml:space="preserve">) is included for stage I of the HPPMP in the Democratic People’s Republic of Korea. </w:t>
      </w:r>
    </w:p>
    <w:p w:rsidR="00E6554D" w:rsidRPr="00AA23BE" w:rsidRDefault="00E6554D" w:rsidP="00AA23BE">
      <w:pPr>
        <w:pStyle w:val="Heading1"/>
        <w:rPr>
          <w:lang w:val="en-CA"/>
        </w:rPr>
      </w:pPr>
      <w:r w:rsidRPr="00AA23BE">
        <w:rPr>
          <w:lang w:val="en-CA"/>
        </w:rPr>
        <w:t>US $29.31 milli</w:t>
      </w:r>
      <w:r w:rsidR="00E8094E" w:rsidRPr="00AA23BE">
        <w:rPr>
          <w:lang w:val="en-CA"/>
        </w:rPr>
        <w:t>on per year is included for 2017</w:t>
      </w:r>
      <w:r w:rsidRPr="00AA23BE">
        <w:rPr>
          <w:lang w:val="en-CA"/>
        </w:rPr>
        <w:t xml:space="preserve"> to 2020 </w:t>
      </w:r>
      <w:r w:rsidR="00932874" w:rsidRPr="00AA23BE">
        <w:t>and US $172.78 </w:t>
      </w:r>
      <w:r w:rsidR="002A32AE" w:rsidRPr="00AA23BE">
        <w:t xml:space="preserve">million for after 2020 </w:t>
      </w:r>
      <w:r w:rsidRPr="00AA23BE">
        <w:rPr>
          <w:lang w:val="en-CA"/>
        </w:rPr>
        <w:t xml:space="preserve">for stage II of the HPPMP for China. This annual level of funding for </w:t>
      </w:r>
      <w:r w:rsidR="002A32AE" w:rsidRPr="00AA23BE">
        <w:rPr>
          <w:lang w:val="en-CA"/>
        </w:rPr>
        <w:t>2017 to 2020</w:t>
      </w:r>
      <w:r w:rsidRPr="00AA23BE">
        <w:rPr>
          <w:rStyle w:val="FootnoteReference"/>
          <w:lang w:val="en-CA"/>
        </w:rPr>
        <w:footnoteReference w:id="6"/>
      </w:r>
      <w:r w:rsidRPr="00AA23BE">
        <w:rPr>
          <w:lang w:val="en-CA"/>
        </w:rPr>
        <w:t xml:space="preserve"> would exceed the average annual amount left after stage I (US $21.87 million for each ye</w:t>
      </w:r>
      <w:r w:rsidR="00363CEA" w:rsidRPr="00AA23BE">
        <w:rPr>
          <w:lang w:val="en-CA"/>
        </w:rPr>
        <w:t>ar between 2017 and 2030) by 34 </w:t>
      </w:r>
      <w:r w:rsidRPr="00AA23BE">
        <w:rPr>
          <w:lang w:val="en-CA"/>
        </w:rPr>
        <w:t>per cent.</w:t>
      </w:r>
      <w:r w:rsidR="002A32AE" w:rsidRPr="00AA23BE">
        <w:rPr>
          <w:lang w:val="en-CA"/>
        </w:rPr>
        <w:t xml:space="preserve"> </w:t>
      </w:r>
    </w:p>
    <w:p w:rsidR="00E6554D" w:rsidRPr="00AA23BE" w:rsidRDefault="00E6554D" w:rsidP="00AA23BE">
      <w:pPr>
        <w:pStyle w:val="Heading1"/>
        <w:keepNext/>
        <w:numPr>
          <w:ilvl w:val="0"/>
          <w:numId w:val="0"/>
        </w:numPr>
        <w:rPr>
          <w:u w:val="single"/>
          <w:lang w:val="en-CA"/>
        </w:rPr>
      </w:pPr>
      <w:r w:rsidRPr="00AA23BE">
        <w:rPr>
          <w:u w:val="single"/>
          <w:lang w:val="en-CA"/>
        </w:rPr>
        <w:t xml:space="preserve">Stage I of HPMPs and additional projects  </w:t>
      </w:r>
    </w:p>
    <w:p w:rsidR="00E6554D" w:rsidRPr="00AA23BE" w:rsidRDefault="00BB1AE5" w:rsidP="00AA23BE">
      <w:pPr>
        <w:pStyle w:val="Heading1"/>
        <w:rPr>
          <w:lang w:val="en-CA"/>
        </w:rPr>
      </w:pPr>
      <w:r w:rsidRPr="00AA23BE">
        <w:rPr>
          <w:lang w:val="en-CA"/>
        </w:rPr>
        <w:t>There are three</w:t>
      </w:r>
      <w:r w:rsidR="00E6554D" w:rsidRPr="00AA23BE">
        <w:rPr>
          <w:lang w:val="en-CA"/>
        </w:rPr>
        <w:t xml:space="preserve"> countries</w:t>
      </w:r>
      <w:r w:rsidR="00E6554D" w:rsidRPr="00AA23BE">
        <w:rPr>
          <w:rStyle w:val="FootnoteReference"/>
          <w:lang w:val="en-CA"/>
        </w:rPr>
        <w:footnoteReference w:id="7"/>
      </w:r>
      <w:r w:rsidR="00E6554D" w:rsidRPr="00AA23BE">
        <w:rPr>
          <w:lang w:val="en-CA"/>
        </w:rPr>
        <w:t xml:space="preserve"> for which stage I of HPMPs have not yet been approved. The business plan includes US $</w:t>
      </w:r>
      <w:r w:rsidR="00A7643B" w:rsidRPr="00AA23BE">
        <w:rPr>
          <w:lang w:val="en-CA"/>
        </w:rPr>
        <w:t xml:space="preserve">1.18 </w:t>
      </w:r>
      <w:r w:rsidR="00E6554D" w:rsidRPr="00AA23BE">
        <w:rPr>
          <w:lang w:val="en-CA"/>
        </w:rPr>
        <w:t>million for activities of which US $</w:t>
      </w:r>
      <w:r w:rsidR="00A7643B" w:rsidRPr="00AA23BE">
        <w:rPr>
          <w:lang w:val="en-CA"/>
        </w:rPr>
        <w:t xml:space="preserve">988,385 </w:t>
      </w:r>
      <w:r w:rsidR="00E6554D" w:rsidRPr="00AA23BE">
        <w:rPr>
          <w:lang w:val="en-CA"/>
        </w:rPr>
        <w:t>is programmed f</w:t>
      </w:r>
      <w:r w:rsidR="00A7643B" w:rsidRPr="00AA23BE">
        <w:rPr>
          <w:lang w:val="en-CA"/>
        </w:rPr>
        <w:t>or the period 2017 to 2019</w:t>
      </w:r>
      <w:r w:rsidR="00E6554D" w:rsidRPr="00AA23BE">
        <w:rPr>
          <w:lang w:val="en-CA"/>
        </w:rPr>
        <w:t xml:space="preserve">. </w:t>
      </w:r>
    </w:p>
    <w:p w:rsidR="00E6554D" w:rsidRPr="00AA23BE" w:rsidRDefault="00E6554D" w:rsidP="00AA23BE">
      <w:pPr>
        <w:pStyle w:val="Heading1"/>
        <w:rPr>
          <w:lang w:val="en-CA"/>
        </w:rPr>
      </w:pPr>
      <w:r w:rsidRPr="00AA23BE">
        <w:rPr>
          <w:lang w:val="en-CA"/>
        </w:rPr>
        <w:t>Implementing agencies included additional projects o</w:t>
      </w:r>
      <w:r w:rsidR="00A7643B" w:rsidRPr="00AA23BE">
        <w:rPr>
          <w:lang w:val="en-CA"/>
        </w:rPr>
        <w:t>utside stage I of HPMPs for six</w:t>
      </w:r>
      <w:r w:rsidRPr="00AA23BE">
        <w:rPr>
          <w:lang w:val="en-CA"/>
        </w:rPr>
        <w:t xml:space="preserve"> countries, namely Bahrain, </w:t>
      </w:r>
      <w:r w:rsidR="00734E63" w:rsidRPr="00AA23BE">
        <w:rPr>
          <w:lang w:val="en-CA"/>
        </w:rPr>
        <w:t>Bolivia</w:t>
      </w:r>
      <w:r w:rsidR="00363CEA" w:rsidRPr="00AA23BE">
        <w:rPr>
          <w:lang w:val="en-CA"/>
        </w:rPr>
        <w:t xml:space="preserve"> (Plurinational State of)</w:t>
      </w:r>
      <w:r w:rsidR="00734E63" w:rsidRPr="00AA23BE">
        <w:rPr>
          <w:lang w:val="en-CA"/>
        </w:rPr>
        <w:t xml:space="preserve">, Costa Rica, </w:t>
      </w:r>
      <w:r w:rsidRPr="00AA23BE">
        <w:rPr>
          <w:lang w:val="en-CA"/>
        </w:rPr>
        <w:t>Cuba, Ecuador</w:t>
      </w:r>
      <w:r w:rsidR="009C01F5" w:rsidRPr="00AA23BE">
        <w:rPr>
          <w:lang w:val="en-CA"/>
        </w:rPr>
        <w:t xml:space="preserve"> </w:t>
      </w:r>
      <w:r w:rsidRPr="00AA23BE">
        <w:rPr>
          <w:lang w:val="en-CA"/>
        </w:rPr>
        <w:t xml:space="preserve">and </w:t>
      </w:r>
      <w:r w:rsidR="00932874" w:rsidRPr="00AA23BE">
        <w:rPr>
          <w:lang w:val="en-CA"/>
        </w:rPr>
        <w:t>Para</w:t>
      </w:r>
      <w:r w:rsidRPr="00AA23BE">
        <w:rPr>
          <w:lang w:val="en-CA"/>
        </w:rPr>
        <w:t>guay</w:t>
      </w:r>
      <w:r w:rsidR="004121B8" w:rsidRPr="00AA23BE">
        <w:rPr>
          <w:rStyle w:val="FootnoteReference"/>
          <w:lang w:val="en-CA"/>
        </w:rPr>
        <w:footnoteReference w:id="8"/>
      </w:r>
      <w:r w:rsidRPr="00AA23BE">
        <w:rPr>
          <w:lang w:val="en-CA"/>
        </w:rPr>
        <w:t>, amounting to US $</w:t>
      </w:r>
      <w:r w:rsidR="00AD1249" w:rsidRPr="00AA23BE">
        <w:rPr>
          <w:lang w:val="en-CA"/>
        </w:rPr>
        <w:t>1.</w:t>
      </w:r>
      <w:r w:rsidR="000B5ED7" w:rsidRPr="00AA23BE">
        <w:rPr>
          <w:lang w:val="en-CA"/>
        </w:rPr>
        <w:t>91</w:t>
      </w:r>
      <w:r w:rsidR="00AD1249" w:rsidRPr="00AA23BE">
        <w:rPr>
          <w:lang w:val="en-CA"/>
        </w:rPr>
        <w:t xml:space="preserve"> </w:t>
      </w:r>
      <w:r w:rsidRPr="00AA23BE">
        <w:rPr>
          <w:lang w:val="en-CA"/>
        </w:rPr>
        <w:t>million for the</w:t>
      </w:r>
      <w:r w:rsidR="00AD1249" w:rsidRPr="00AA23BE">
        <w:rPr>
          <w:lang w:val="en-CA"/>
        </w:rPr>
        <w:t xml:space="preserve"> period of 2017 to 2019</w:t>
      </w:r>
      <w:r w:rsidR="000B5ED7" w:rsidRPr="00AA23BE">
        <w:rPr>
          <w:lang w:val="en-CA"/>
        </w:rPr>
        <w:t xml:space="preserve"> (including one project </w:t>
      </w:r>
      <w:r w:rsidR="00363CEA" w:rsidRPr="00AA23BE">
        <w:rPr>
          <w:lang w:val="en-CA"/>
        </w:rPr>
        <w:t xml:space="preserve">preparation activity </w:t>
      </w:r>
      <w:r w:rsidR="000B5ED7" w:rsidRPr="00AA23BE">
        <w:rPr>
          <w:lang w:val="en-CA"/>
        </w:rPr>
        <w:t>amounting to US</w:t>
      </w:r>
      <w:r w:rsidR="00363CEA" w:rsidRPr="00AA23BE">
        <w:rPr>
          <w:lang w:val="en-CA"/>
        </w:rPr>
        <w:t> </w:t>
      </w:r>
      <w:r w:rsidR="000B5ED7" w:rsidRPr="00AA23BE">
        <w:rPr>
          <w:lang w:val="en-CA"/>
        </w:rPr>
        <w:t>$60,000 in 2017 for Bolivia</w:t>
      </w:r>
      <w:r w:rsidR="00871DB3" w:rsidRPr="00AA23BE">
        <w:rPr>
          <w:lang w:val="en-CA"/>
        </w:rPr>
        <w:t xml:space="preserve"> </w:t>
      </w:r>
      <w:r w:rsidR="00363CEA" w:rsidRPr="00AA23BE">
        <w:rPr>
          <w:lang w:val="en-CA"/>
        </w:rPr>
        <w:t>(Plurinational State of)</w:t>
      </w:r>
      <w:r w:rsidR="000B5ED7" w:rsidRPr="00AA23BE">
        <w:rPr>
          <w:lang w:val="en-CA"/>
        </w:rPr>
        <w:t>)</w:t>
      </w:r>
      <w:r w:rsidRPr="00AA23BE">
        <w:rPr>
          <w:lang w:val="en-CA"/>
        </w:rPr>
        <w:t>. These requests fall under different decisions of the Executive Committee that allow those countries to submit additional projects during the implementation of stage I of their HPMPs.</w:t>
      </w:r>
    </w:p>
    <w:p w:rsidR="00E6554D" w:rsidRPr="00AA23BE" w:rsidRDefault="00E6554D" w:rsidP="00AA23BE">
      <w:pPr>
        <w:pStyle w:val="Heading1"/>
        <w:keepNext/>
        <w:numPr>
          <w:ilvl w:val="0"/>
          <w:numId w:val="0"/>
        </w:numPr>
        <w:rPr>
          <w:u w:val="single"/>
          <w:lang w:val="en-CA"/>
        </w:rPr>
      </w:pPr>
      <w:r w:rsidRPr="00AA23BE">
        <w:rPr>
          <w:u w:val="single"/>
          <w:lang w:val="en-CA"/>
        </w:rPr>
        <w:t>Stage II of HPMPs in low-volume-consuming (LVC) countries</w:t>
      </w:r>
    </w:p>
    <w:p w:rsidR="00E6554D" w:rsidRPr="00AA23BE" w:rsidRDefault="00E6554D" w:rsidP="00AA23BE">
      <w:pPr>
        <w:pStyle w:val="Heading1"/>
        <w:rPr>
          <w:lang w:val="en-CA"/>
        </w:rPr>
      </w:pPr>
      <w:r w:rsidRPr="00AA23BE">
        <w:rPr>
          <w:lang w:val="en-CA"/>
        </w:rPr>
        <w:t>The total level of funding for stage II of HPMPs for the servicing sector in LVC countries is US $</w:t>
      </w:r>
      <w:r w:rsidR="00555196" w:rsidRPr="00AA23BE">
        <w:rPr>
          <w:lang w:val="en-CA"/>
        </w:rPr>
        <w:t xml:space="preserve">25.99 </w:t>
      </w:r>
      <w:r w:rsidRPr="00AA23BE">
        <w:rPr>
          <w:lang w:val="en-CA"/>
        </w:rPr>
        <w:t>million of which US $</w:t>
      </w:r>
      <w:r w:rsidR="00555196" w:rsidRPr="00AA23BE">
        <w:rPr>
          <w:lang w:val="en-CA"/>
        </w:rPr>
        <w:t xml:space="preserve">423,865 </w:t>
      </w:r>
      <w:r w:rsidRPr="00AA23BE">
        <w:rPr>
          <w:lang w:val="en-CA"/>
        </w:rPr>
        <w:t>is for the period 201</w:t>
      </w:r>
      <w:r w:rsidR="00555196" w:rsidRPr="00AA23BE">
        <w:rPr>
          <w:lang w:val="en-CA"/>
        </w:rPr>
        <w:t>7</w:t>
      </w:r>
      <w:r w:rsidRPr="00AA23BE">
        <w:rPr>
          <w:lang w:val="en-CA"/>
        </w:rPr>
        <w:t xml:space="preserve"> to 201</w:t>
      </w:r>
      <w:r w:rsidR="00555196" w:rsidRPr="00AA23BE">
        <w:rPr>
          <w:lang w:val="en-CA"/>
        </w:rPr>
        <w:t>9 to reach</w:t>
      </w:r>
      <w:r w:rsidR="00DA056A" w:rsidRPr="00AA23BE">
        <w:rPr>
          <w:lang w:val="en-CA"/>
        </w:rPr>
        <w:t xml:space="preserve"> the</w:t>
      </w:r>
      <w:r w:rsidR="00555196" w:rsidRPr="00AA23BE">
        <w:rPr>
          <w:lang w:val="en-CA"/>
        </w:rPr>
        <w:t xml:space="preserve"> </w:t>
      </w:r>
      <w:r w:rsidRPr="00AA23BE">
        <w:rPr>
          <w:lang w:val="en-CA"/>
        </w:rPr>
        <w:t>67.5 per cent reduction from the baseline consumption of HCFCs in 2025. The value of projects for the servicing sector in LVC countries required to reach a 35 per cent reduction is US $</w:t>
      </w:r>
      <w:r w:rsidR="005C39EA" w:rsidRPr="00AA23BE">
        <w:rPr>
          <w:lang w:val="en-CA"/>
        </w:rPr>
        <w:t xml:space="preserve">707,387 </w:t>
      </w:r>
      <w:r w:rsidRPr="00AA23BE">
        <w:rPr>
          <w:lang w:val="en-CA"/>
        </w:rPr>
        <w:t>(including US $</w:t>
      </w:r>
      <w:r w:rsidR="005C39EA" w:rsidRPr="00AA23BE">
        <w:rPr>
          <w:lang w:val="en-CA"/>
        </w:rPr>
        <w:t>563,292 for the period of 2017</w:t>
      </w:r>
      <w:r w:rsidRPr="00AA23BE">
        <w:rPr>
          <w:lang w:val="en-CA"/>
        </w:rPr>
        <w:t xml:space="preserve"> to 201</w:t>
      </w:r>
      <w:r w:rsidR="005C39EA" w:rsidRPr="00AA23BE">
        <w:rPr>
          <w:lang w:val="en-CA"/>
        </w:rPr>
        <w:t>9</w:t>
      </w:r>
      <w:r w:rsidRPr="00AA23BE">
        <w:rPr>
          <w:lang w:val="en-CA"/>
        </w:rPr>
        <w:t xml:space="preserve">). </w:t>
      </w:r>
    </w:p>
    <w:p w:rsidR="00E6554D" w:rsidRPr="00AA23BE" w:rsidRDefault="00E6554D" w:rsidP="00AA23BE">
      <w:pPr>
        <w:rPr>
          <w:u w:val="single"/>
          <w:lang w:val="en-CA"/>
        </w:rPr>
      </w:pPr>
      <w:r w:rsidRPr="00AA23BE">
        <w:rPr>
          <w:u w:val="single"/>
          <w:lang w:val="en-CA"/>
        </w:rPr>
        <w:t>Stage II of HPMPs in non-LVC countries</w:t>
      </w:r>
    </w:p>
    <w:p w:rsidR="00E6554D" w:rsidRPr="00AA23BE" w:rsidRDefault="00E6554D" w:rsidP="00AA23BE">
      <w:pPr>
        <w:rPr>
          <w:lang w:val="en-CA"/>
        </w:rPr>
      </w:pPr>
    </w:p>
    <w:p w:rsidR="00E6554D" w:rsidRPr="00AA23BE" w:rsidRDefault="00E6554D" w:rsidP="00AA23BE">
      <w:pPr>
        <w:pStyle w:val="Heading1"/>
        <w:rPr>
          <w:lang w:val="en-CA"/>
        </w:rPr>
      </w:pPr>
      <w:r w:rsidRPr="00AA23BE">
        <w:rPr>
          <w:lang w:val="en-CA"/>
        </w:rPr>
        <w:t>The total level of funding for stage II of HPMPs in non-LVC countries is US $</w:t>
      </w:r>
      <w:r w:rsidR="00CC35FC" w:rsidRPr="00AA23BE">
        <w:rPr>
          <w:lang w:val="en-CA"/>
        </w:rPr>
        <w:t>1 b</w:t>
      </w:r>
      <w:r w:rsidRPr="00AA23BE">
        <w:rPr>
          <w:lang w:val="en-CA"/>
        </w:rPr>
        <w:t xml:space="preserve">illion with an associated phase-out of </w:t>
      </w:r>
      <w:r w:rsidR="00CC35FC" w:rsidRPr="00AA23BE">
        <w:rPr>
          <w:lang w:val="en-CA"/>
        </w:rPr>
        <w:t>13,090</w:t>
      </w:r>
      <w:r w:rsidRPr="00AA23BE">
        <w:rPr>
          <w:lang w:val="en-CA"/>
        </w:rPr>
        <w:t xml:space="preserve"> ODP tonnes of HCFCs (including US $</w:t>
      </w:r>
      <w:r w:rsidR="00CC35FC" w:rsidRPr="00AA23BE">
        <w:rPr>
          <w:lang w:val="en-CA"/>
        </w:rPr>
        <w:t xml:space="preserve">435.36 </w:t>
      </w:r>
      <w:r w:rsidRPr="00AA23BE">
        <w:rPr>
          <w:lang w:val="en-CA"/>
        </w:rPr>
        <w:t>million for the period of 201</w:t>
      </w:r>
      <w:r w:rsidR="00CC35FC" w:rsidRPr="00AA23BE">
        <w:rPr>
          <w:lang w:val="en-CA"/>
        </w:rPr>
        <w:t>7</w:t>
      </w:r>
      <w:r w:rsidRPr="00AA23BE">
        <w:rPr>
          <w:lang w:val="en-CA"/>
        </w:rPr>
        <w:t xml:space="preserve"> to 201</w:t>
      </w:r>
      <w:r w:rsidR="00CC35FC" w:rsidRPr="00AA23BE">
        <w:rPr>
          <w:lang w:val="en-CA"/>
        </w:rPr>
        <w:t>9</w:t>
      </w:r>
      <w:r w:rsidRPr="00AA23BE">
        <w:rPr>
          <w:lang w:val="en-CA"/>
        </w:rPr>
        <w:t xml:space="preserve"> with a phase-out of </w:t>
      </w:r>
      <w:r w:rsidR="00CC35FC" w:rsidRPr="00AA23BE">
        <w:rPr>
          <w:lang w:val="en-CA"/>
        </w:rPr>
        <w:t>4,640</w:t>
      </w:r>
      <w:r w:rsidRPr="00AA23BE">
        <w:rPr>
          <w:lang w:val="en-CA"/>
        </w:rPr>
        <w:t xml:space="preserve"> ODP tonnes of HCFCs). The funding distribution by sector is provided in Table 4.</w:t>
      </w:r>
    </w:p>
    <w:p w:rsidR="00E6554D" w:rsidRPr="00AA23BE" w:rsidRDefault="00E6554D" w:rsidP="00AA23BE">
      <w:pPr>
        <w:keepNext/>
        <w:rPr>
          <w:b/>
          <w:lang w:val="en-CA"/>
        </w:rPr>
      </w:pPr>
      <w:r w:rsidRPr="00AA23BE">
        <w:rPr>
          <w:b/>
          <w:lang w:val="en-CA"/>
        </w:rPr>
        <w:t>Table 4: Funding distribution of stage II of HPMPs in non-LVC countries by sector (US $000)</w:t>
      </w:r>
    </w:p>
    <w:tbl>
      <w:tblPr>
        <w:tblW w:w="9361" w:type="dxa"/>
        <w:tblInd w:w="103" w:type="dxa"/>
        <w:tblLook w:val="04A0" w:firstRow="1" w:lastRow="0" w:firstColumn="1" w:lastColumn="0" w:noHBand="0" w:noVBand="1"/>
      </w:tblPr>
      <w:tblGrid>
        <w:gridCol w:w="3691"/>
        <w:gridCol w:w="1134"/>
        <w:gridCol w:w="992"/>
        <w:gridCol w:w="1134"/>
        <w:gridCol w:w="1134"/>
        <w:gridCol w:w="1276"/>
      </w:tblGrid>
      <w:tr w:rsidR="00930E7C" w:rsidRPr="00AA23BE" w:rsidTr="00CE12E8">
        <w:trPr>
          <w:trHeight w:val="255"/>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C" w:rsidRPr="00AA23BE" w:rsidRDefault="00930E7C" w:rsidP="00AA23BE">
            <w:pPr>
              <w:jc w:val="left"/>
              <w:rPr>
                <w:b/>
                <w:bCs/>
                <w:sz w:val="20"/>
                <w:szCs w:val="20"/>
                <w:lang w:val="en-CA" w:eastAsia="en-CA"/>
              </w:rPr>
            </w:pPr>
            <w:r w:rsidRPr="00AA23BE">
              <w:rPr>
                <w:b/>
                <w:bCs/>
                <w:sz w:val="20"/>
                <w:szCs w:val="20"/>
                <w:lang w:val="en-CA" w:eastAsia="en-CA"/>
              </w:rPr>
              <w:t>Sector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0E7C" w:rsidRPr="00AA23BE" w:rsidRDefault="00930E7C" w:rsidP="00AA23BE">
            <w:pPr>
              <w:jc w:val="center"/>
              <w:rPr>
                <w:b/>
                <w:bCs/>
                <w:sz w:val="20"/>
                <w:szCs w:val="20"/>
                <w:lang w:val="en-CA" w:eastAsia="en-CA"/>
              </w:rPr>
            </w:pPr>
            <w:r w:rsidRPr="00AA23BE">
              <w:rPr>
                <w:b/>
                <w:bCs/>
                <w:sz w:val="20"/>
                <w:szCs w:val="20"/>
                <w:lang w:val="en-CA" w:eastAsia="en-CA"/>
              </w:rPr>
              <w:t>2017-2019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0E7C" w:rsidRPr="00AA23BE" w:rsidRDefault="00930E7C" w:rsidP="00AA23BE">
            <w:pPr>
              <w:jc w:val="center"/>
              <w:rPr>
                <w:b/>
                <w:bCs/>
                <w:sz w:val="20"/>
                <w:szCs w:val="20"/>
                <w:lang w:val="en-CA" w:eastAsia="en-CA"/>
              </w:rPr>
            </w:pPr>
            <w:r w:rsidRPr="00AA23BE">
              <w:rPr>
                <w:b/>
                <w:bCs/>
                <w:sz w:val="20"/>
                <w:szCs w:val="20"/>
                <w:lang w:val="en-CA" w:eastAsia="en-CA"/>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0E7C" w:rsidRPr="00AA23BE" w:rsidRDefault="00930E7C" w:rsidP="00AA23BE">
            <w:pPr>
              <w:jc w:val="center"/>
              <w:rPr>
                <w:b/>
                <w:bCs/>
                <w:sz w:val="20"/>
                <w:szCs w:val="20"/>
                <w:lang w:val="en-CA" w:eastAsia="en-CA"/>
              </w:rPr>
            </w:pPr>
            <w:r w:rsidRPr="00AA23BE">
              <w:rPr>
                <w:b/>
                <w:bCs/>
                <w:sz w:val="20"/>
                <w:szCs w:val="20"/>
                <w:lang w:val="en-CA" w:eastAsia="en-CA"/>
              </w:rPr>
              <w:t>After 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0E7C" w:rsidRPr="00AA23BE" w:rsidRDefault="00930E7C" w:rsidP="00AA23BE">
            <w:pPr>
              <w:jc w:val="center"/>
              <w:rPr>
                <w:b/>
                <w:bCs/>
                <w:sz w:val="20"/>
                <w:szCs w:val="20"/>
                <w:lang w:val="en-CA" w:eastAsia="en-CA"/>
              </w:rPr>
            </w:pPr>
            <w:r w:rsidRPr="00AA23BE">
              <w:rPr>
                <w:b/>
                <w:bCs/>
                <w:sz w:val="20"/>
                <w:szCs w:val="20"/>
                <w:lang w:val="en-CA" w:eastAsia="en-CA"/>
              </w:rPr>
              <w:t>Total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0E7C" w:rsidRPr="00AA23BE" w:rsidRDefault="00930E7C" w:rsidP="00AA23BE">
            <w:pPr>
              <w:ind w:left="-108" w:right="-108"/>
              <w:jc w:val="center"/>
              <w:rPr>
                <w:b/>
                <w:bCs/>
                <w:sz w:val="20"/>
                <w:szCs w:val="20"/>
                <w:lang w:val="en-CA" w:eastAsia="en-CA"/>
              </w:rPr>
            </w:pPr>
            <w:r w:rsidRPr="00AA23BE">
              <w:rPr>
                <w:b/>
                <w:bCs/>
                <w:sz w:val="20"/>
                <w:szCs w:val="20"/>
                <w:lang w:val="en-CA" w:eastAsia="en-CA"/>
              </w:rPr>
              <w:t>Per cent of total</w:t>
            </w:r>
          </w:p>
        </w:tc>
      </w:tr>
      <w:tr w:rsidR="00930E7C" w:rsidRPr="00AA23BE" w:rsidTr="00AA23BE">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930E7C" w:rsidRPr="00AA23BE" w:rsidRDefault="00930E7C" w:rsidP="00AA23BE">
            <w:pPr>
              <w:jc w:val="left"/>
              <w:rPr>
                <w:sz w:val="20"/>
                <w:szCs w:val="20"/>
                <w:lang w:val="en-CA" w:eastAsia="en-CA"/>
              </w:rPr>
            </w:pPr>
            <w:r w:rsidRPr="00AA23BE">
              <w:rPr>
                <w:sz w:val="20"/>
                <w:szCs w:val="20"/>
                <w:lang w:val="en-CA" w:eastAsia="en-CA"/>
              </w:rPr>
              <w:t>Foam general</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4,628</w:t>
            </w:r>
          </w:p>
        </w:tc>
        <w:tc>
          <w:tcPr>
            <w:tcW w:w="992"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769</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5,397</w:t>
            </w:r>
          </w:p>
        </w:tc>
        <w:tc>
          <w:tcPr>
            <w:tcW w:w="1276"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0.5</w:t>
            </w:r>
          </w:p>
        </w:tc>
      </w:tr>
      <w:tr w:rsidR="00930E7C" w:rsidRPr="00AA23BE" w:rsidTr="00AA23BE">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930E7C" w:rsidRPr="00AA23BE" w:rsidRDefault="00930E7C" w:rsidP="00AA23BE">
            <w:pPr>
              <w:jc w:val="left"/>
              <w:rPr>
                <w:sz w:val="20"/>
                <w:szCs w:val="20"/>
                <w:lang w:val="en-CA" w:eastAsia="en-CA"/>
              </w:rPr>
            </w:pPr>
            <w:r w:rsidRPr="00AA23BE">
              <w:rPr>
                <w:sz w:val="20"/>
                <w:szCs w:val="20"/>
                <w:lang w:val="en-CA" w:eastAsia="en-CA"/>
              </w:rPr>
              <w:t>Foam rigid</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79,720</w:t>
            </w:r>
          </w:p>
        </w:tc>
        <w:tc>
          <w:tcPr>
            <w:tcW w:w="992"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27,809</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91,405</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198,934</w:t>
            </w:r>
          </w:p>
        </w:tc>
        <w:tc>
          <w:tcPr>
            <w:tcW w:w="1276"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19.9</w:t>
            </w:r>
          </w:p>
        </w:tc>
      </w:tr>
      <w:tr w:rsidR="00930E7C" w:rsidRPr="00AA23BE" w:rsidTr="00AA23BE">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930E7C" w:rsidRPr="00AA23BE" w:rsidRDefault="00930E7C" w:rsidP="00AA23BE">
            <w:pPr>
              <w:jc w:val="left"/>
              <w:rPr>
                <w:sz w:val="20"/>
                <w:szCs w:val="20"/>
                <w:lang w:val="en-CA" w:eastAsia="en-CA"/>
              </w:rPr>
            </w:pPr>
            <w:r w:rsidRPr="00AA23BE">
              <w:rPr>
                <w:sz w:val="20"/>
                <w:szCs w:val="20"/>
                <w:lang w:val="en-CA" w:eastAsia="en-CA"/>
              </w:rPr>
              <w:t>Foam rigid and refrigeration servicing</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747</w:t>
            </w:r>
          </w:p>
        </w:tc>
        <w:tc>
          <w:tcPr>
            <w:tcW w:w="992"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121</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868</w:t>
            </w:r>
          </w:p>
        </w:tc>
        <w:tc>
          <w:tcPr>
            <w:tcW w:w="1276"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0.1</w:t>
            </w:r>
          </w:p>
        </w:tc>
      </w:tr>
      <w:tr w:rsidR="00930E7C" w:rsidRPr="00AA23BE" w:rsidTr="00AA23BE">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930E7C" w:rsidRPr="00AA23BE" w:rsidRDefault="00930E7C" w:rsidP="00AA23BE">
            <w:pPr>
              <w:jc w:val="left"/>
              <w:rPr>
                <w:sz w:val="20"/>
                <w:szCs w:val="20"/>
                <w:lang w:val="en-CA" w:eastAsia="en-CA"/>
              </w:rPr>
            </w:pPr>
            <w:r w:rsidRPr="00AA23BE">
              <w:rPr>
                <w:sz w:val="20"/>
                <w:szCs w:val="20"/>
                <w:lang w:val="en-CA" w:eastAsia="en-CA"/>
              </w:rPr>
              <w:t xml:space="preserve">Foam rigid and </w:t>
            </w:r>
            <w:r w:rsidR="00DA056A" w:rsidRPr="00AA23BE">
              <w:rPr>
                <w:sz w:val="20"/>
                <w:szCs w:val="20"/>
                <w:lang w:val="en-CA" w:eastAsia="en-CA"/>
              </w:rPr>
              <w:t>extruded polystyrene (</w:t>
            </w:r>
            <w:r w:rsidRPr="00AA23BE">
              <w:rPr>
                <w:sz w:val="20"/>
                <w:szCs w:val="20"/>
                <w:lang w:val="en-CA" w:eastAsia="en-CA"/>
              </w:rPr>
              <w:t>XPS</w:t>
            </w:r>
            <w:r w:rsidR="00DA056A" w:rsidRPr="00AA23BE">
              <w:rPr>
                <w:sz w:val="20"/>
                <w:szCs w:val="20"/>
                <w:lang w:val="en-CA" w:eastAsia="en-CA"/>
              </w:rPr>
              <w:t>)</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5,632</w:t>
            </w:r>
          </w:p>
        </w:tc>
        <w:tc>
          <w:tcPr>
            <w:tcW w:w="992"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1,609</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805</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8,046</w:t>
            </w:r>
          </w:p>
        </w:tc>
        <w:tc>
          <w:tcPr>
            <w:tcW w:w="1276"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0.8</w:t>
            </w:r>
          </w:p>
        </w:tc>
      </w:tr>
      <w:tr w:rsidR="00930E7C" w:rsidRPr="00AA23BE" w:rsidTr="00AA23BE">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930E7C" w:rsidRPr="00AA23BE" w:rsidRDefault="00930E7C" w:rsidP="00AA23BE">
            <w:pPr>
              <w:jc w:val="left"/>
              <w:rPr>
                <w:sz w:val="20"/>
                <w:szCs w:val="20"/>
                <w:lang w:val="en-CA" w:eastAsia="en-CA"/>
              </w:rPr>
            </w:pPr>
            <w:r w:rsidRPr="00AA23BE">
              <w:rPr>
                <w:sz w:val="20"/>
                <w:szCs w:val="20"/>
                <w:lang w:val="en-CA" w:eastAsia="en-CA"/>
              </w:rPr>
              <w:t>XPS</w:t>
            </w:r>
            <w:r w:rsidR="00DA056A" w:rsidRPr="00AA23BE">
              <w:rPr>
                <w:sz w:val="20"/>
                <w:szCs w:val="20"/>
                <w:lang w:val="en-CA" w:eastAsia="en-CA"/>
              </w:rPr>
              <w:t xml:space="preserve"> foam</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64,900</w:t>
            </w:r>
          </w:p>
        </w:tc>
        <w:tc>
          <w:tcPr>
            <w:tcW w:w="992"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23,540</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75,153</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163,593</w:t>
            </w:r>
          </w:p>
        </w:tc>
        <w:tc>
          <w:tcPr>
            <w:tcW w:w="1276"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16.3</w:t>
            </w:r>
          </w:p>
        </w:tc>
      </w:tr>
      <w:tr w:rsidR="00930E7C" w:rsidRPr="00AA23BE" w:rsidTr="00AA23BE">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930E7C" w:rsidRPr="00AA23BE" w:rsidRDefault="00930E7C" w:rsidP="00AA23BE">
            <w:pPr>
              <w:jc w:val="left"/>
              <w:rPr>
                <w:sz w:val="20"/>
                <w:szCs w:val="20"/>
                <w:lang w:val="en-CA" w:eastAsia="en-CA"/>
              </w:rPr>
            </w:pPr>
            <w:r w:rsidRPr="00AA23BE">
              <w:rPr>
                <w:sz w:val="20"/>
                <w:szCs w:val="20"/>
                <w:lang w:val="en-CA" w:eastAsia="en-CA"/>
              </w:rPr>
              <w:t>Foam, refrigeration, air conditioning</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27,887</w:t>
            </w:r>
          </w:p>
        </w:tc>
        <w:tc>
          <w:tcPr>
            <w:tcW w:w="992"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17,330</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2,179</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47,396</w:t>
            </w:r>
          </w:p>
        </w:tc>
        <w:tc>
          <w:tcPr>
            <w:tcW w:w="1276"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4.7</w:t>
            </w:r>
          </w:p>
        </w:tc>
      </w:tr>
      <w:tr w:rsidR="00930E7C" w:rsidRPr="00AA23BE" w:rsidTr="00AA23BE">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930E7C" w:rsidRPr="00AA23BE" w:rsidRDefault="00930E7C" w:rsidP="00AA23BE">
            <w:pPr>
              <w:jc w:val="left"/>
              <w:rPr>
                <w:sz w:val="20"/>
                <w:szCs w:val="20"/>
                <w:lang w:val="en-CA" w:eastAsia="en-CA"/>
              </w:rPr>
            </w:pPr>
            <w:r w:rsidRPr="00AA23BE">
              <w:rPr>
                <w:sz w:val="20"/>
                <w:szCs w:val="20"/>
                <w:lang w:val="en-CA" w:eastAsia="en-CA"/>
              </w:rPr>
              <w:t>Fire fighting</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31</w:t>
            </w:r>
          </w:p>
        </w:tc>
        <w:tc>
          <w:tcPr>
            <w:tcW w:w="992"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3</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34</w:t>
            </w:r>
          </w:p>
        </w:tc>
        <w:tc>
          <w:tcPr>
            <w:tcW w:w="1276"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0.0</w:t>
            </w:r>
          </w:p>
        </w:tc>
      </w:tr>
      <w:tr w:rsidR="00930E7C" w:rsidRPr="00AA23BE" w:rsidTr="00AA23BE">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930E7C" w:rsidRPr="00AA23BE" w:rsidRDefault="00930E7C" w:rsidP="00AA23BE">
            <w:pPr>
              <w:jc w:val="left"/>
              <w:rPr>
                <w:sz w:val="20"/>
                <w:szCs w:val="20"/>
                <w:lang w:val="en-CA" w:eastAsia="en-CA"/>
              </w:rPr>
            </w:pPr>
            <w:r w:rsidRPr="00AA23BE">
              <w:rPr>
                <w:sz w:val="20"/>
                <w:szCs w:val="20"/>
                <w:lang w:val="en-CA" w:eastAsia="en-CA"/>
              </w:rPr>
              <w:t xml:space="preserve">Production of hydrocarbon-based refrigerant, XPS and </w:t>
            </w:r>
            <w:r w:rsidR="00CE12E8" w:rsidRPr="00AA23BE">
              <w:rPr>
                <w:sz w:val="20"/>
                <w:szCs w:val="20"/>
                <w:lang w:val="en-CA" w:eastAsia="en-CA"/>
              </w:rPr>
              <w:t>f</w:t>
            </w:r>
            <w:r w:rsidRPr="00AA23BE">
              <w:rPr>
                <w:sz w:val="20"/>
                <w:szCs w:val="20"/>
                <w:lang w:val="en-CA" w:eastAsia="en-CA"/>
              </w:rPr>
              <w:t>oam</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6,572</w:t>
            </w:r>
          </w:p>
        </w:tc>
        <w:tc>
          <w:tcPr>
            <w:tcW w:w="992"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1,502</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8,075</w:t>
            </w:r>
          </w:p>
        </w:tc>
        <w:tc>
          <w:tcPr>
            <w:tcW w:w="1276"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0.8</w:t>
            </w:r>
          </w:p>
        </w:tc>
      </w:tr>
      <w:tr w:rsidR="00930E7C" w:rsidRPr="00AA23BE" w:rsidTr="00AA23BE">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930E7C" w:rsidRPr="00AA23BE" w:rsidRDefault="00930E7C" w:rsidP="00AA23BE">
            <w:pPr>
              <w:jc w:val="left"/>
              <w:rPr>
                <w:sz w:val="20"/>
                <w:szCs w:val="20"/>
                <w:lang w:val="en-CA" w:eastAsia="en-CA"/>
              </w:rPr>
            </w:pPr>
            <w:r w:rsidRPr="00AA23BE">
              <w:rPr>
                <w:sz w:val="20"/>
                <w:szCs w:val="20"/>
                <w:lang w:val="en-CA" w:eastAsia="en-CA"/>
              </w:rPr>
              <w:t>Refrigeration air-conditioning</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84,913</w:t>
            </w:r>
          </w:p>
        </w:tc>
        <w:tc>
          <w:tcPr>
            <w:tcW w:w="992"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28,051</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702</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113,666</w:t>
            </w:r>
          </w:p>
        </w:tc>
        <w:tc>
          <w:tcPr>
            <w:tcW w:w="1276"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11.4</w:t>
            </w:r>
          </w:p>
        </w:tc>
      </w:tr>
      <w:tr w:rsidR="00930E7C" w:rsidRPr="00AA23BE" w:rsidTr="00AA23BE">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930E7C" w:rsidRPr="00AA23BE" w:rsidRDefault="00930E7C" w:rsidP="00AA23BE">
            <w:pPr>
              <w:jc w:val="left"/>
              <w:rPr>
                <w:sz w:val="20"/>
                <w:szCs w:val="20"/>
                <w:lang w:val="en-CA" w:eastAsia="en-CA"/>
              </w:rPr>
            </w:pPr>
            <w:r w:rsidRPr="00AA23BE">
              <w:rPr>
                <w:sz w:val="20"/>
                <w:szCs w:val="20"/>
                <w:lang w:val="en-CA" w:eastAsia="en-CA"/>
              </w:rPr>
              <w:t>Refrigeration assembly</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1,221</w:t>
            </w:r>
          </w:p>
        </w:tc>
        <w:tc>
          <w:tcPr>
            <w:tcW w:w="992"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467</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1,688</w:t>
            </w:r>
          </w:p>
        </w:tc>
        <w:tc>
          <w:tcPr>
            <w:tcW w:w="1276"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0.2</w:t>
            </w:r>
          </w:p>
        </w:tc>
      </w:tr>
      <w:tr w:rsidR="00930E7C" w:rsidRPr="00AA23BE" w:rsidTr="00AA23BE">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930E7C" w:rsidRPr="00AA23BE" w:rsidRDefault="00930E7C" w:rsidP="00AA23BE">
            <w:pPr>
              <w:jc w:val="left"/>
              <w:rPr>
                <w:sz w:val="20"/>
                <w:szCs w:val="20"/>
                <w:lang w:val="en-CA" w:eastAsia="en-CA"/>
              </w:rPr>
            </w:pPr>
            <w:r w:rsidRPr="00AA23BE">
              <w:rPr>
                <w:sz w:val="20"/>
                <w:szCs w:val="20"/>
                <w:lang w:val="en-CA" w:eastAsia="en-CA"/>
              </w:rPr>
              <w:t>Refrigeration general (including manufacturing, commercial, and industrial)</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100,435</w:t>
            </w:r>
          </w:p>
        </w:tc>
        <w:tc>
          <w:tcPr>
            <w:tcW w:w="992"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42,815</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21,346</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164,596</w:t>
            </w:r>
          </w:p>
        </w:tc>
        <w:tc>
          <w:tcPr>
            <w:tcW w:w="1276"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16.4</w:t>
            </w:r>
          </w:p>
        </w:tc>
      </w:tr>
      <w:tr w:rsidR="00930E7C" w:rsidRPr="00AA23BE" w:rsidTr="00AA23BE">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930E7C" w:rsidRPr="00AA23BE" w:rsidRDefault="00930E7C" w:rsidP="00AA23BE">
            <w:pPr>
              <w:jc w:val="left"/>
              <w:rPr>
                <w:sz w:val="20"/>
                <w:szCs w:val="20"/>
                <w:lang w:val="en-CA" w:eastAsia="en-CA"/>
              </w:rPr>
            </w:pPr>
            <w:r w:rsidRPr="00AA23BE">
              <w:rPr>
                <w:sz w:val="20"/>
                <w:szCs w:val="20"/>
                <w:lang w:val="en-CA" w:eastAsia="en-CA"/>
              </w:rPr>
              <w:t>Refrigeration servicing</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43,635</w:t>
            </w:r>
          </w:p>
        </w:tc>
        <w:tc>
          <w:tcPr>
            <w:tcW w:w="992"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23,205</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172,160</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239,000</w:t>
            </w:r>
          </w:p>
        </w:tc>
        <w:tc>
          <w:tcPr>
            <w:tcW w:w="1276"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23.9</w:t>
            </w:r>
          </w:p>
        </w:tc>
      </w:tr>
      <w:tr w:rsidR="00930E7C" w:rsidRPr="00AA23BE" w:rsidTr="00AA23BE">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930E7C" w:rsidRPr="00AA23BE" w:rsidRDefault="00930E7C" w:rsidP="00AA23BE">
            <w:pPr>
              <w:jc w:val="left"/>
              <w:rPr>
                <w:sz w:val="20"/>
                <w:szCs w:val="20"/>
                <w:lang w:val="en-CA" w:eastAsia="en-CA"/>
              </w:rPr>
            </w:pPr>
            <w:r w:rsidRPr="00AA23BE">
              <w:rPr>
                <w:sz w:val="20"/>
                <w:szCs w:val="20"/>
                <w:lang w:val="en-CA" w:eastAsia="en-CA"/>
              </w:rPr>
              <w:t>Solvent</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14,984</w:t>
            </w:r>
          </w:p>
        </w:tc>
        <w:tc>
          <w:tcPr>
            <w:tcW w:w="992"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6,518</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27,796</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49,298</w:t>
            </w:r>
          </w:p>
        </w:tc>
        <w:tc>
          <w:tcPr>
            <w:tcW w:w="1276"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4.9</w:t>
            </w:r>
          </w:p>
        </w:tc>
      </w:tr>
      <w:tr w:rsidR="00930E7C" w:rsidRPr="00AA23BE" w:rsidTr="00AA23BE">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930E7C" w:rsidRPr="00AA23BE" w:rsidRDefault="00CE12E8" w:rsidP="00AA23BE">
            <w:pPr>
              <w:jc w:val="left"/>
              <w:rPr>
                <w:sz w:val="20"/>
                <w:szCs w:val="20"/>
                <w:lang w:val="en-CA" w:eastAsia="en-CA"/>
              </w:rPr>
            </w:pPr>
            <w:r w:rsidRPr="00AA23BE">
              <w:rPr>
                <w:sz w:val="20"/>
                <w:szCs w:val="20"/>
                <w:lang w:val="en-CA" w:eastAsia="en-CA"/>
              </w:rPr>
              <w:t>Production s</w:t>
            </w:r>
            <w:r w:rsidR="00930E7C" w:rsidRPr="00AA23BE">
              <w:rPr>
                <w:sz w:val="20"/>
                <w:szCs w:val="20"/>
                <w:lang w:val="en-CA" w:eastAsia="en-CA"/>
              </w:rPr>
              <w:t xml:space="preserve">ector </w:t>
            </w:r>
            <w:r w:rsidRPr="00AA23BE">
              <w:rPr>
                <w:sz w:val="20"/>
                <w:szCs w:val="20"/>
                <w:lang w:val="en-CA" w:eastAsia="en-CA"/>
              </w:rPr>
              <w:t>m</w:t>
            </w:r>
            <w:r w:rsidR="00930E7C" w:rsidRPr="00AA23BE">
              <w:rPr>
                <w:sz w:val="20"/>
                <w:szCs w:val="20"/>
                <w:lang w:val="en-CA" w:eastAsia="en-CA"/>
              </w:rPr>
              <w:t>onitoring</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54</w:t>
            </w:r>
          </w:p>
        </w:tc>
        <w:tc>
          <w:tcPr>
            <w:tcW w:w="992"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18</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18</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90</w:t>
            </w:r>
          </w:p>
        </w:tc>
        <w:tc>
          <w:tcPr>
            <w:tcW w:w="1276"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sz w:val="20"/>
                <w:szCs w:val="20"/>
                <w:lang w:val="en-CA" w:eastAsia="en-CA"/>
              </w:rPr>
              <w:t>0.0</w:t>
            </w:r>
          </w:p>
        </w:tc>
      </w:tr>
      <w:tr w:rsidR="00930E7C" w:rsidRPr="00AA23BE" w:rsidTr="00AA23BE">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930E7C" w:rsidRPr="00AA23BE" w:rsidRDefault="00930E7C" w:rsidP="00AA23BE">
            <w:pPr>
              <w:jc w:val="left"/>
              <w:rPr>
                <w:b/>
                <w:bCs/>
                <w:sz w:val="20"/>
                <w:szCs w:val="20"/>
                <w:lang w:val="en-CA" w:eastAsia="en-CA"/>
              </w:rPr>
            </w:pPr>
            <w:r w:rsidRPr="00AA23BE">
              <w:rPr>
                <w:b/>
                <w:bCs/>
                <w:sz w:val="20"/>
                <w:szCs w:val="20"/>
                <w:lang w:val="en-CA" w:eastAsia="en-CA"/>
              </w:rPr>
              <w:t>Grand total</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b/>
                <w:bCs/>
                <w:sz w:val="20"/>
                <w:szCs w:val="20"/>
                <w:lang w:val="en-CA" w:eastAsia="en-CA"/>
              </w:rPr>
            </w:pPr>
            <w:r w:rsidRPr="00AA23BE">
              <w:rPr>
                <w:b/>
                <w:bCs/>
                <w:sz w:val="20"/>
                <w:szCs w:val="20"/>
                <w:lang w:val="en-CA" w:eastAsia="en-CA"/>
              </w:rPr>
              <w:t>435,360</w:t>
            </w:r>
          </w:p>
        </w:tc>
        <w:tc>
          <w:tcPr>
            <w:tcW w:w="992"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b/>
                <w:bCs/>
                <w:sz w:val="20"/>
                <w:szCs w:val="20"/>
                <w:lang w:val="en-CA" w:eastAsia="en-CA"/>
              </w:rPr>
            </w:pPr>
            <w:r w:rsidRPr="00AA23BE">
              <w:rPr>
                <w:b/>
                <w:bCs/>
                <w:sz w:val="20"/>
                <w:szCs w:val="20"/>
                <w:lang w:val="en-CA" w:eastAsia="en-CA"/>
              </w:rPr>
              <w:t>172,256</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b/>
                <w:bCs/>
                <w:sz w:val="20"/>
                <w:szCs w:val="20"/>
                <w:lang w:val="en-CA" w:eastAsia="en-CA"/>
              </w:rPr>
            </w:pPr>
            <w:r w:rsidRPr="00AA23BE">
              <w:rPr>
                <w:b/>
                <w:bCs/>
                <w:sz w:val="20"/>
                <w:szCs w:val="20"/>
                <w:lang w:val="en-CA" w:eastAsia="en-CA"/>
              </w:rPr>
              <w:t>393,065</w:t>
            </w:r>
          </w:p>
        </w:tc>
        <w:tc>
          <w:tcPr>
            <w:tcW w:w="1134"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b/>
                <w:bCs/>
                <w:sz w:val="20"/>
                <w:szCs w:val="20"/>
                <w:lang w:val="en-CA" w:eastAsia="en-CA"/>
              </w:rPr>
            </w:pPr>
            <w:r w:rsidRPr="00AA23BE">
              <w:rPr>
                <w:b/>
                <w:bCs/>
                <w:sz w:val="20"/>
                <w:szCs w:val="20"/>
                <w:lang w:val="en-CA" w:eastAsia="en-CA"/>
              </w:rPr>
              <w:t>1,000,681</w:t>
            </w:r>
          </w:p>
        </w:tc>
        <w:tc>
          <w:tcPr>
            <w:tcW w:w="1276" w:type="dxa"/>
            <w:tcBorders>
              <w:top w:val="nil"/>
              <w:left w:val="nil"/>
              <w:bottom w:val="single" w:sz="4" w:space="0" w:color="auto"/>
              <w:right w:val="single" w:sz="4" w:space="0" w:color="auto"/>
            </w:tcBorders>
            <w:shd w:val="clear" w:color="auto" w:fill="auto"/>
            <w:noWrap/>
            <w:hideMark/>
          </w:tcPr>
          <w:p w:rsidR="00930E7C" w:rsidRPr="00AA23BE" w:rsidRDefault="00930E7C" w:rsidP="00AA23BE">
            <w:pPr>
              <w:jc w:val="right"/>
              <w:rPr>
                <w:sz w:val="20"/>
                <w:szCs w:val="20"/>
                <w:lang w:val="en-CA" w:eastAsia="en-CA"/>
              </w:rPr>
            </w:pPr>
            <w:r w:rsidRPr="00AA23BE">
              <w:rPr>
                <w:b/>
                <w:sz w:val="20"/>
                <w:szCs w:val="20"/>
                <w:lang w:val="en-CA" w:eastAsia="en-CA"/>
              </w:rPr>
              <w:t>100.0</w:t>
            </w:r>
          </w:p>
        </w:tc>
      </w:tr>
    </w:tbl>
    <w:p w:rsidR="00E6554D" w:rsidRPr="00AA23BE" w:rsidRDefault="00E6554D" w:rsidP="00AA23BE">
      <w:pPr>
        <w:keepNext/>
        <w:jc w:val="left"/>
        <w:rPr>
          <w:b/>
          <w:lang w:val="en-CA"/>
        </w:rPr>
      </w:pPr>
    </w:p>
    <w:p w:rsidR="002F3DD9" w:rsidRPr="00AA23BE" w:rsidRDefault="002F3DD9" w:rsidP="00AA23BE">
      <w:pPr>
        <w:pStyle w:val="Heading1"/>
        <w:keepNext/>
        <w:numPr>
          <w:ilvl w:val="0"/>
          <w:numId w:val="0"/>
        </w:numPr>
        <w:rPr>
          <w:u w:val="single"/>
        </w:rPr>
      </w:pPr>
      <w:r w:rsidRPr="00AA23BE">
        <w:rPr>
          <w:u w:val="single"/>
        </w:rPr>
        <w:t xml:space="preserve">Project preparation for stage III of HPMPs </w:t>
      </w:r>
    </w:p>
    <w:p w:rsidR="002F3DD9" w:rsidRPr="00AA23BE" w:rsidRDefault="002F3DD9" w:rsidP="00AA23BE">
      <w:pPr>
        <w:pStyle w:val="Heading1"/>
      </w:pPr>
      <w:r w:rsidRPr="00AA23BE">
        <w:t xml:space="preserve">The total level of funding for project preparation for stage III of HPMPs (Chile, the Democratic Republic of the Congo and Peru) is US $101,700 for the period after 2019.  </w:t>
      </w:r>
    </w:p>
    <w:p w:rsidR="00555196" w:rsidRPr="00AA23BE" w:rsidRDefault="00555196" w:rsidP="00AA23BE">
      <w:pPr>
        <w:rPr>
          <w:u w:val="single"/>
        </w:rPr>
      </w:pPr>
      <w:r w:rsidRPr="00AA23BE">
        <w:rPr>
          <w:u w:val="single"/>
        </w:rPr>
        <w:t>Stage III of HPMPs in LVC countries</w:t>
      </w:r>
    </w:p>
    <w:p w:rsidR="00555196" w:rsidRPr="00AA23BE" w:rsidRDefault="00555196" w:rsidP="00AA23BE"/>
    <w:p w:rsidR="00555196" w:rsidRPr="00AA23BE" w:rsidRDefault="00555196" w:rsidP="00AA23BE">
      <w:pPr>
        <w:pStyle w:val="Heading1"/>
      </w:pPr>
      <w:r w:rsidRPr="00AA23BE">
        <w:t xml:space="preserve">The total level of funding for stage III of HPMPs in two LVC countries (Armenia and </w:t>
      </w:r>
      <w:r w:rsidR="00CE12E8" w:rsidRPr="00AA23BE">
        <w:t xml:space="preserve">the </w:t>
      </w:r>
      <w:r w:rsidRPr="00AA23BE">
        <w:t xml:space="preserve">Republic of Moldova) in the refrigeration servicing sector amounts to US $429,670 for the period after 2019.  </w:t>
      </w:r>
    </w:p>
    <w:p w:rsidR="00555196" w:rsidRPr="00AA23BE" w:rsidRDefault="00555196" w:rsidP="00AA23BE">
      <w:pPr>
        <w:rPr>
          <w:u w:val="single"/>
          <w:lang w:val="en-CA"/>
        </w:rPr>
      </w:pPr>
      <w:r w:rsidRPr="00AA23BE">
        <w:rPr>
          <w:u w:val="single"/>
          <w:lang w:val="en-CA"/>
        </w:rPr>
        <w:t>Stage III of HPMPs in non-LVC countries</w:t>
      </w:r>
    </w:p>
    <w:p w:rsidR="00555196" w:rsidRPr="00AA23BE" w:rsidRDefault="00555196" w:rsidP="00AA23BE">
      <w:pPr>
        <w:rPr>
          <w:u w:val="single"/>
          <w:lang w:val="en-CA"/>
        </w:rPr>
      </w:pPr>
    </w:p>
    <w:p w:rsidR="00555196" w:rsidRPr="00AA23BE" w:rsidRDefault="00555196" w:rsidP="00AA23BE">
      <w:pPr>
        <w:pStyle w:val="Heading1"/>
      </w:pPr>
      <w:r w:rsidRPr="00AA23BE">
        <w:t xml:space="preserve">The total level of funding for stage III of </w:t>
      </w:r>
      <w:r w:rsidR="002F3DD9" w:rsidRPr="00AA23BE">
        <w:t xml:space="preserve">the </w:t>
      </w:r>
      <w:r w:rsidRPr="00AA23BE">
        <w:t xml:space="preserve">HPMP </w:t>
      </w:r>
      <w:r w:rsidR="002F3DD9" w:rsidRPr="00AA23BE">
        <w:t>in</w:t>
      </w:r>
      <w:r w:rsidRPr="00AA23BE">
        <w:t xml:space="preserve"> one non-LVC country </w:t>
      </w:r>
      <w:r w:rsidR="002F3DD9" w:rsidRPr="00AA23BE">
        <w:t xml:space="preserve">(China) </w:t>
      </w:r>
      <w:r w:rsidRPr="00AA23BE">
        <w:t>is US $354.05 million for after 2019 in the refrigeration air-conditioning sector and refrigeration industrial and commercial sector.</w:t>
      </w:r>
    </w:p>
    <w:p w:rsidR="00E6554D" w:rsidRPr="00AA23BE" w:rsidRDefault="00E6554D" w:rsidP="00AA23BE">
      <w:pPr>
        <w:keepNext/>
        <w:rPr>
          <w:u w:val="single"/>
          <w:lang w:val="en-CA"/>
        </w:rPr>
      </w:pPr>
      <w:r w:rsidRPr="00AA23BE">
        <w:rPr>
          <w:u w:val="single"/>
          <w:lang w:val="en-CA"/>
        </w:rPr>
        <w:t>HPMP verification</w:t>
      </w:r>
    </w:p>
    <w:p w:rsidR="00E6554D" w:rsidRPr="00AA23BE" w:rsidRDefault="00E6554D" w:rsidP="00AA23BE">
      <w:pPr>
        <w:keepNext/>
        <w:rPr>
          <w:lang w:val="en-CA"/>
        </w:rPr>
      </w:pPr>
    </w:p>
    <w:p w:rsidR="00E6554D" w:rsidRPr="00AA23BE" w:rsidRDefault="00E6554D" w:rsidP="00AA23BE">
      <w:pPr>
        <w:pStyle w:val="Heading1"/>
        <w:keepNext/>
        <w:rPr>
          <w:lang w:val="en-CA"/>
        </w:rPr>
      </w:pPr>
      <w:r w:rsidRPr="00AA23BE">
        <w:rPr>
          <w:lang w:val="en-CA"/>
        </w:rPr>
        <w:t>The Secretariat has included an amount of US $588,600 per year for verification reports</w:t>
      </w:r>
      <w:r w:rsidRPr="00AA23BE">
        <w:rPr>
          <w:vertAlign w:val="superscript"/>
          <w:lang w:val="en-CA"/>
        </w:rPr>
        <w:footnoteReference w:id="9"/>
      </w:r>
      <w:r w:rsidRPr="00AA23BE">
        <w:rPr>
          <w:lang w:val="en-CA"/>
        </w:rPr>
        <w:t xml:space="preserve"> assuming that 18 reports, each at a cost of US $32,700, will be prepared (US $1.77 million for the period of 201</w:t>
      </w:r>
      <w:r w:rsidR="00555196" w:rsidRPr="00AA23BE">
        <w:rPr>
          <w:lang w:val="en-CA"/>
        </w:rPr>
        <w:t>7</w:t>
      </w:r>
      <w:r w:rsidRPr="00AA23BE">
        <w:rPr>
          <w:lang w:val="en-CA"/>
        </w:rPr>
        <w:t xml:space="preserve"> to 201</w:t>
      </w:r>
      <w:r w:rsidR="00555196" w:rsidRPr="00AA23BE">
        <w:rPr>
          <w:lang w:val="en-CA"/>
        </w:rPr>
        <w:t>9</w:t>
      </w:r>
      <w:r w:rsidRPr="00AA23BE">
        <w:rPr>
          <w:lang w:val="en-CA"/>
        </w:rPr>
        <w:t xml:space="preserve"> and US $</w:t>
      </w:r>
      <w:r w:rsidR="00545250" w:rsidRPr="00AA23BE">
        <w:rPr>
          <w:lang w:val="en-CA"/>
        </w:rPr>
        <w:t>588,600</w:t>
      </w:r>
      <w:r w:rsidRPr="00AA23BE">
        <w:rPr>
          <w:lang w:val="en-CA"/>
        </w:rPr>
        <w:t xml:space="preserve"> for 2020).</w:t>
      </w:r>
    </w:p>
    <w:p w:rsidR="00E6554D" w:rsidRPr="00AA23BE" w:rsidRDefault="00E6554D" w:rsidP="00AA23BE">
      <w:pPr>
        <w:pStyle w:val="Heading1"/>
        <w:numPr>
          <w:ilvl w:val="0"/>
          <w:numId w:val="0"/>
        </w:numPr>
        <w:rPr>
          <w:b/>
          <w:lang w:val="en-CA"/>
        </w:rPr>
      </w:pPr>
      <w:r w:rsidRPr="00AA23BE">
        <w:rPr>
          <w:b/>
          <w:lang w:val="en-CA"/>
        </w:rPr>
        <w:t>Secretariat’s observations on standard activities</w:t>
      </w:r>
    </w:p>
    <w:p w:rsidR="00E6554D" w:rsidRPr="00AA23BE" w:rsidRDefault="00E6554D" w:rsidP="00AA23BE">
      <w:pPr>
        <w:rPr>
          <w:u w:val="single"/>
          <w:lang w:val="en-CA"/>
        </w:rPr>
      </w:pPr>
      <w:r w:rsidRPr="00AA23BE">
        <w:rPr>
          <w:u w:val="single"/>
          <w:lang w:val="en-CA"/>
        </w:rPr>
        <w:t>Standard costs</w:t>
      </w:r>
    </w:p>
    <w:p w:rsidR="00E6554D" w:rsidRPr="00AA23BE" w:rsidRDefault="00E6554D" w:rsidP="00AA23BE">
      <w:pPr>
        <w:rPr>
          <w:lang w:val="en-CA"/>
        </w:rPr>
      </w:pPr>
    </w:p>
    <w:p w:rsidR="00E6554D" w:rsidRPr="00AA23BE" w:rsidRDefault="00E6554D" w:rsidP="00AA23BE">
      <w:pPr>
        <w:pStyle w:val="Heading1"/>
        <w:rPr>
          <w:lang w:val="en-CA"/>
        </w:rPr>
      </w:pPr>
      <w:r w:rsidRPr="00AA23BE">
        <w:rPr>
          <w:lang w:val="en-CA"/>
        </w:rPr>
        <w:t xml:space="preserve">The standard costs, e.g., CAP, core unit costs, Secretariat/Executive Committee and monitoring and evaluation costs, and the Treasurer’s costs, are expected to be maintained at the rates of increases that have been agreed to-date. </w:t>
      </w:r>
    </w:p>
    <w:p w:rsidR="00E6554D" w:rsidRPr="00AA23BE" w:rsidRDefault="00E6554D" w:rsidP="00AA23BE">
      <w:pPr>
        <w:rPr>
          <w:u w:val="single"/>
          <w:lang w:val="en-CA"/>
        </w:rPr>
      </w:pPr>
      <w:r w:rsidRPr="00AA23BE">
        <w:rPr>
          <w:u w:val="single"/>
          <w:lang w:val="en-CA"/>
        </w:rPr>
        <w:t>IS</w:t>
      </w:r>
    </w:p>
    <w:p w:rsidR="00E6554D" w:rsidRPr="00AA23BE" w:rsidRDefault="00E6554D" w:rsidP="00AA23BE">
      <w:pPr>
        <w:rPr>
          <w:lang w:val="en-CA"/>
        </w:rPr>
      </w:pPr>
    </w:p>
    <w:p w:rsidR="00E6554D" w:rsidRPr="00AA23BE" w:rsidRDefault="00E6554D" w:rsidP="00AA23BE">
      <w:pPr>
        <w:pStyle w:val="Heading1"/>
        <w:rPr>
          <w:lang w:val="en-CA"/>
        </w:rPr>
      </w:pPr>
      <w:r w:rsidRPr="00AA23BE">
        <w:rPr>
          <w:lang w:val="en-CA"/>
        </w:rPr>
        <w:t>For IS activities, US $</w:t>
      </w:r>
      <w:r w:rsidR="00B96CDD" w:rsidRPr="00AA23BE">
        <w:rPr>
          <w:lang w:val="en-CA"/>
        </w:rPr>
        <w:t>42.44</w:t>
      </w:r>
      <w:r w:rsidRPr="00AA23BE">
        <w:rPr>
          <w:lang w:val="en-CA"/>
        </w:rPr>
        <w:t xml:space="preserve"> million has been included in the business plan of which US $32.4</w:t>
      </w:r>
      <w:r w:rsidR="00B96CDD" w:rsidRPr="00AA23BE">
        <w:rPr>
          <w:lang w:val="en-CA"/>
        </w:rPr>
        <w:t>1</w:t>
      </w:r>
      <w:r w:rsidRPr="00AA23BE">
        <w:rPr>
          <w:lang w:val="en-CA"/>
        </w:rPr>
        <w:t> million is for the period of 201</w:t>
      </w:r>
      <w:r w:rsidR="00B96CDD" w:rsidRPr="00AA23BE">
        <w:rPr>
          <w:lang w:val="en-CA"/>
        </w:rPr>
        <w:t>7</w:t>
      </w:r>
      <w:r w:rsidRPr="00AA23BE">
        <w:rPr>
          <w:lang w:val="en-CA"/>
        </w:rPr>
        <w:t xml:space="preserve"> to 201</w:t>
      </w:r>
      <w:r w:rsidR="00B96CDD" w:rsidRPr="00AA23BE">
        <w:rPr>
          <w:lang w:val="en-CA"/>
        </w:rPr>
        <w:t>9</w:t>
      </w:r>
      <w:r w:rsidRPr="00AA23BE">
        <w:rPr>
          <w:rStyle w:val="FootnoteReference"/>
          <w:lang w:val="en-CA"/>
        </w:rPr>
        <w:footnoteReference w:id="10"/>
      </w:r>
      <w:r w:rsidRPr="00AA23BE">
        <w:rPr>
          <w:lang w:val="en-CA"/>
        </w:rPr>
        <w:t>, and US $</w:t>
      </w:r>
      <w:r w:rsidR="00B96CDD" w:rsidRPr="00AA23BE">
        <w:rPr>
          <w:lang w:val="en-CA"/>
        </w:rPr>
        <w:t>10.03</w:t>
      </w:r>
      <w:r w:rsidRPr="00AA23BE">
        <w:rPr>
          <w:lang w:val="en-CA"/>
        </w:rPr>
        <w:t xml:space="preserve"> million for 2020. </w:t>
      </w:r>
    </w:p>
    <w:p w:rsidR="00E6554D" w:rsidRPr="00AA23BE" w:rsidRDefault="00E6554D" w:rsidP="00AA23BE">
      <w:pPr>
        <w:keepNext/>
        <w:rPr>
          <w:b/>
          <w:bCs/>
          <w:lang w:val="en-CA"/>
        </w:rPr>
      </w:pPr>
      <w:r w:rsidRPr="00AA23BE">
        <w:rPr>
          <w:b/>
          <w:bCs/>
          <w:lang w:val="en-CA"/>
        </w:rPr>
        <w:t>Adjustments to the consolidated business plan of the Multilateral Fund for 201</w:t>
      </w:r>
      <w:r w:rsidR="00493CC8" w:rsidRPr="00AA23BE">
        <w:rPr>
          <w:b/>
          <w:bCs/>
          <w:lang w:val="en-CA"/>
        </w:rPr>
        <w:t>7</w:t>
      </w:r>
      <w:r w:rsidRPr="00AA23BE">
        <w:rPr>
          <w:b/>
          <w:bCs/>
          <w:lang w:val="en-CA"/>
        </w:rPr>
        <w:t>-201</w:t>
      </w:r>
      <w:r w:rsidR="00493CC8" w:rsidRPr="00AA23BE">
        <w:rPr>
          <w:b/>
          <w:bCs/>
          <w:lang w:val="en-CA"/>
        </w:rPr>
        <w:t>9</w:t>
      </w:r>
    </w:p>
    <w:p w:rsidR="00E6554D" w:rsidRPr="00AA23BE" w:rsidRDefault="00E6554D" w:rsidP="00AA23BE">
      <w:pPr>
        <w:keepNext/>
        <w:rPr>
          <w:b/>
          <w:bCs/>
          <w:caps/>
          <w:lang w:val="en-CA"/>
        </w:rPr>
      </w:pPr>
    </w:p>
    <w:p w:rsidR="00E6554D" w:rsidRPr="00AA23BE" w:rsidRDefault="00E6554D" w:rsidP="00AA23BE">
      <w:pPr>
        <w:pStyle w:val="Heading1"/>
        <w:rPr>
          <w:lang w:val="en-CA"/>
        </w:rPr>
      </w:pPr>
      <w:r w:rsidRPr="00AA23BE">
        <w:rPr>
          <w:lang w:val="en-CA"/>
        </w:rPr>
        <w:t>During the IACM, adjustments to the business plans of bilateral and implementing agencies were agreed based on relevant decisions of the Executive Committee as explained under the introduction section. In reviewing the revised business plan of bilateral an</w:t>
      </w:r>
      <w:r w:rsidR="00865126" w:rsidRPr="00AA23BE">
        <w:rPr>
          <w:lang w:val="en-CA"/>
        </w:rPr>
        <w:t>d implementing agencies for 2017</w:t>
      </w:r>
      <w:r w:rsidRPr="00AA23BE">
        <w:rPr>
          <w:lang w:val="en-CA"/>
        </w:rPr>
        <w:t>-201</w:t>
      </w:r>
      <w:r w:rsidR="00865126" w:rsidRPr="00AA23BE">
        <w:rPr>
          <w:lang w:val="en-CA"/>
        </w:rPr>
        <w:t>9</w:t>
      </w:r>
      <w:r w:rsidRPr="00AA23BE">
        <w:rPr>
          <w:lang w:val="en-CA"/>
        </w:rPr>
        <w:t xml:space="preserve">, the Secretariat noted that the following adjustments were not included: </w:t>
      </w:r>
    </w:p>
    <w:p w:rsidR="00E6554D" w:rsidRPr="00AA23BE" w:rsidRDefault="00E6554D" w:rsidP="00AA23BE">
      <w:pPr>
        <w:keepNext/>
        <w:rPr>
          <w:b/>
          <w:bCs/>
          <w:lang w:val="en-CA"/>
        </w:rPr>
      </w:pPr>
      <w:r w:rsidRPr="00AA23BE">
        <w:rPr>
          <w:b/>
          <w:lang w:val="en-CA"/>
        </w:rPr>
        <w:t xml:space="preserve">Table </w:t>
      </w:r>
      <w:r w:rsidR="008021C0" w:rsidRPr="00AA23BE">
        <w:rPr>
          <w:b/>
          <w:lang w:val="en-CA"/>
        </w:rPr>
        <w:t>5</w:t>
      </w:r>
      <w:r w:rsidRPr="00AA23BE">
        <w:rPr>
          <w:b/>
          <w:lang w:val="en-CA"/>
        </w:rPr>
        <w:t xml:space="preserve">: </w:t>
      </w:r>
      <w:r w:rsidRPr="00AA23BE">
        <w:rPr>
          <w:b/>
          <w:bCs/>
          <w:lang w:val="en-CA"/>
        </w:rPr>
        <w:t>Adjustments to the consolidated business plan o</w:t>
      </w:r>
      <w:r w:rsidR="00493CC8" w:rsidRPr="00AA23BE">
        <w:rPr>
          <w:b/>
          <w:bCs/>
          <w:lang w:val="en-CA"/>
        </w:rPr>
        <w:t>f the Multilateral Fund for 2017</w:t>
      </w:r>
      <w:r w:rsidRPr="00AA23BE">
        <w:rPr>
          <w:b/>
          <w:bCs/>
          <w:lang w:val="en-CA"/>
        </w:rPr>
        <w:t>-201</w:t>
      </w:r>
      <w:r w:rsidR="00493CC8" w:rsidRPr="00AA23BE">
        <w:rPr>
          <w:b/>
          <w:bCs/>
          <w:lang w:val="en-CA"/>
        </w:rPr>
        <w:t>9</w:t>
      </w:r>
    </w:p>
    <w:tbl>
      <w:tblPr>
        <w:tblStyle w:val="TableGrid"/>
        <w:tblW w:w="0" w:type="auto"/>
        <w:tblLook w:val="04A0" w:firstRow="1" w:lastRow="0" w:firstColumn="1" w:lastColumn="0" w:noHBand="0" w:noVBand="1"/>
      </w:tblPr>
      <w:tblGrid>
        <w:gridCol w:w="6934"/>
        <w:gridCol w:w="1276"/>
        <w:gridCol w:w="1366"/>
      </w:tblGrid>
      <w:tr w:rsidR="00E6554D" w:rsidRPr="00AA23BE" w:rsidTr="00BF16FB">
        <w:trPr>
          <w:trHeight w:val="622"/>
          <w:tblHeader/>
        </w:trPr>
        <w:tc>
          <w:tcPr>
            <w:tcW w:w="6934" w:type="dxa"/>
          </w:tcPr>
          <w:p w:rsidR="00E6554D" w:rsidRPr="00AA23BE" w:rsidRDefault="00E6554D" w:rsidP="00AA23BE">
            <w:pPr>
              <w:rPr>
                <w:b/>
                <w:lang w:val="en-CA"/>
              </w:rPr>
            </w:pPr>
            <w:r w:rsidRPr="00AA23BE">
              <w:rPr>
                <w:b/>
                <w:lang w:val="en-CA"/>
              </w:rPr>
              <w:t>Adjustment</w:t>
            </w:r>
          </w:p>
        </w:tc>
        <w:tc>
          <w:tcPr>
            <w:tcW w:w="1276" w:type="dxa"/>
          </w:tcPr>
          <w:p w:rsidR="00E6554D" w:rsidRPr="00AA23BE" w:rsidRDefault="00846930" w:rsidP="00AA23BE">
            <w:pPr>
              <w:jc w:val="center"/>
              <w:rPr>
                <w:b/>
                <w:lang w:val="en-CA"/>
              </w:rPr>
            </w:pPr>
            <w:r w:rsidRPr="00AA23BE">
              <w:rPr>
                <w:b/>
                <w:lang w:val="en-CA"/>
              </w:rPr>
              <w:t>2017</w:t>
            </w:r>
            <w:r w:rsidR="00E6554D" w:rsidRPr="00AA23BE">
              <w:rPr>
                <w:b/>
                <w:lang w:val="en-CA"/>
              </w:rPr>
              <w:t>-201</w:t>
            </w:r>
            <w:r w:rsidRPr="00AA23BE">
              <w:rPr>
                <w:b/>
                <w:lang w:val="en-CA"/>
              </w:rPr>
              <w:t>9</w:t>
            </w:r>
            <w:r w:rsidR="00E6554D" w:rsidRPr="00AA23BE">
              <w:rPr>
                <w:b/>
                <w:lang w:val="en-CA"/>
              </w:rPr>
              <w:t xml:space="preserve"> (US $000)</w:t>
            </w:r>
          </w:p>
        </w:tc>
        <w:tc>
          <w:tcPr>
            <w:tcW w:w="1366" w:type="dxa"/>
          </w:tcPr>
          <w:p w:rsidR="00E6554D" w:rsidRPr="00AA23BE" w:rsidRDefault="00846930" w:rsidP="00AA23BE">
            <w:pPr>
              <w:jc w:val="center"/>
              <w:rPr>
                <w:b/>
                <w:lang w:val="en-CA"/>
              </w:rPr>
            </w:pPr>
            <w:r w:rsidRPr="00AA23BE">
              <w:rPr>
                <w:b/>
                <w:lang w:val="en-CA"/>
              </w:rPr>
              <w:t>2020</w:t>
            </w:r>
            <w:r w:rsidR="00F21721" w:rsidRPr="00AA23BE">
              <w:rPr>
                <w:b/>
                <w:lang w:val="en-CA"/>
              </w:rPr>
              <w:t xml:space="preserve"> and</w:t>
            </w:r>
            <w:r w:rsidR="00E6554D" w:rsidRPr="00AA23BE">
              <w:rPr>
                <w:b/>
                <w:lang w:val="en-CA"/>
              </w:rPr>
              <w:t xml:space="preserve"> after 2020 (US $000)</w:t>
            </w:r>
          </w:p>
        </w:tc>
      </w:tr>
      <w:tr w:rsidR="00E6554D" w:rsidRPr="00AA23BE" w:rsidTr="00AA23BE">
        <w:tc>
          <w:tcPr>
            <w:tcW w:w="6934" w:type="dxa"/>
          </w:tcPr>
          <w:p w:rsidR="00E6554D" w:rsidRPr="00AA23BE" w:rsidRDefault="00D875C6" w:rsidP="00AA23BE">
            <w:pPr>
              <w:rPr>
                <w:lang w:val="en-CA"/>
              </w:rPr>
            </w:pPr>
            <w:r w:rsidRPr="00AA23BE">
              <w:rPr>
                <w:lang w:val="en-CA"/>
              </w:rPr>
              <w:t>HPMP</w:t>
            </w:r>
            <w:r w:rsidR="00E6554D" w:rsidRPr="00AA23BE">
              <w:rPr>
                <w:lang w:val="en-CA"/>
              </w:rPr>
              <w:t xml:space="preserve"> values to reflect the actual amounts approved under the agreements</w:t>
            </w:r>
          </w:p>
        </w:tc>
        <w:tc>
          <w:tcPr>
            <w:tcW w:w="1276" w:type="dxa"/>
          </w:tcPr>
          <w:p w:rsidR="00E6554D" w:rsidRPr="00AA23BE" w:rsidRDefault="002A0D8C" w:rsidP="00AA23BE">
            <w:pPr>
              <w:jc w:val="right"/>
              <w:rPr>
                <w:lang w:val="en-CA"/>
              </w:rPr>
            </w:pPr>
            <w:r w:rsidRPr="00AA23BE">
              <w:rPr>
                <w:lang w:val="en-CA"/>
              </w:rPr>
              <w:t>394</w:t>
            </w:r>
          </w:p>
        </w:tc>
        <w:tc>
          <w:tcPr>
            <w:tcW w:w="1366" w:type="dxa"/>
          </w:tcPr>
          <w:p w:rsidR="00E6554D" w:rsidRPr="00AA23BE" w:rsidRDefault="002A0D8C" w:rsidP="00AA23BE">
            <w:pPr>
              <w:jc w:val="right"/>
              <w:rPr>
                <w:lang w:val="en-CA"/>
              </w:rPr>
            </w:pPr>
            <w:r w:rsidRPr="00AA23BE">
              <w:rPr>
                <w:lang w:val="en-CA"/>
              </w:rPr>
              <w:t>5</w:t>
            </w:r>
          </w:p>
        </w:tc>
      </w:tr>
      <w:tr w:rsidR="00594227" w:rsidRPr="00AA23BE" w:rsidTr="00AA23BE">
        <w:tc>
          <w:tcPr>
            <w:tcW w:w="6934" w:type="dxa"/>
          </w:tcPr>
          <w:p w:rsidR="00594227" w:rsidRPr="00AA23BE" w:rsidRDefault="00D875C6" w:rsidP="00AA23BE">
            <w:pPr>
              <w:rPr>
                <w:lang w:val="en-CA"/>
              </w:rPr>
            </w:pPr>
            <w:r w:rsidRPr="00AA23BE">
              <w:rPr>
                <w:lang w:val="en-CA"/>
              </w:rPr>
              <w:t>HPMP</w:t>
            </w:r>
            <w:r w:rsidR="00594227" w:rsidRPr="00AA23BE">
              <w:rPr>
                <w:lang w:val="en-CA"/>
              </w:rPr>
              <w:t xml:space="preserve"> values to reflect tranches of HPMP</w:t>
            </w:r>
            <w:r w:rsidR="001E3DA0" w:rsidRPr="00AA23BE">
              <w:rPr>
                <w:lang w:val="en-CA"/>
              </w:rPr>
              <w:t>s</w:t>
            </w:r>
            <w:r w:rsidR="00594227" w:rsidRPr="00AA23BE">
              <w:rPr>
                <w:lang w:val="en-CA"/>
              </w:rPr>
              <w:t xml:space="preserve"> that are due but not submitted to the 77</w:t>
            </w:r>
            <w:r w:rsidR="00594227" w:rsidRPr="00AA23BE">
              <w:rPr>
                <w:vertAlign w:val="superscript"/>
                <w:lang w:val="en-CA"/>
              </w:rPr>
              <w:t>th</w:t>
            </w:r>
            <w:r w:rsidR="002F3DD9" w:rsidRPr="00AA23BE">
              <w:rPr>
                <w:lang w:val="en-CA"/>
              </w:rPr>
              <w:t xml:space="preserve"> </w:t>
            </w:r>
            <w:r w:rsidR="00594227" w:rsidRPr="00AA23BE">
              <w:rPr>
                <w:lang w:val="en-CA"/>
              </w:rPr>
              <w:t>meeting</w:t>
            </w:r>
          </w:p>
        </w:tc>
        <w:tc>
          <w:tcPr>
            <w:tcW w:w="1276" w:type="dxa"/>
          </w:tcPr>
          <w:p w:rsidR="00594227" w:rsidRPr="00AA23BE" w:rsidRDefault="00846930" w:rsidP="00AA23BE">
            <w:pPr>
              <w:jc w:val="right"/>
              <w:rPr>
                <w:lang w:val="en-CA"/>
              </w:rPr>
            </w:pPr>
            <w:r w:rsidRPr="00AA23BE">
              <w:rPr>
                <w:lang w:val="en-CA"/>
              </w:rPr>
              <w:t>3,897</w:t>
            </w:r>
          </w:p>
        </w:tc>
        <w:tc>
          <w:tcPr>
            <w:tcW w:w="1366" w:type="dxa"/>
          </w:tcPr>
          <w:p w:rsidR="00594227" w:rsidRPr="00AA23BE" w:rsidRDefault="00846930" w:rsidP="00AA23BE">
            <w:pPr>
              <w:jc w:val="right"/>
              <w:rPr>
                <w:lang w:val="en-CA"/>
              </w:rPr>
            </w:pPr>
            <w:r w:rsidRPr="00AA23BE">
              <w:rPr>
                <w:lang w:val="en-CA"/>
              </w:rPr>
              <w:t>0</w:t>
            </w:r>
          </w:p>
        </w:tc>
      </w:tr>
      <w:tr w:rsidR="00FB58E8" w:rsidRPr="00AA23BE" w:rsidTr="00AA23BE">
        <w:tc>
          <w:tcPr>
            <w:tcW w:w="6934" w:type="dxa"/>
          </w:tcPr>
          <w:p w:rsidR="00FB58E8" w:rsidRPr="00AA23BE" w:rsidRDefault="00FB58E8" w:rsidP="00AA23BE">
            <w:pPr>
              <w:rPr>
                <w:lang w:val="en-CA"/>
              </w:rPr>
            </w:pPr>
            <w:r w:rsidRPr="00AA23BE">
              <w:rPr>
                <w:lang w:val="en-CA"/>
              </w:rPr>
              <w:t>New HPMP activities (stage I) with submissions to the 77</w:t>
            </w:r>
            <w:r w:rsidRPr="00AA23BE">
              <w:rPr>
                <w:vertAlign w:val="superscript"/>
                <w:lang w:val="en-CA"/>
              </w:rPr>
              <w:t>th</w:t>
            </w:r>
            <w:r w:rsidRPr="00AA23BE">
              <w:rPr>
                <w:lang w:val="en-CA"/>
              </w:rPr>
              <w:t xml:space="preserve"> meeting to match the proposed funding level as originally submitted</w:t>
            </w:r>
          </w:p>
        </w:tc>
        <w:tc>
          <w:tcPr>
            <w:tcW w:w="1276" w:type="dxa"/>
          </w:tcPr>
          <w:p w:rsidR="00FB58E8" w:rsidRPr="00AA23BE" w:rsidRDefault="00FB58E8" w:rsidP="00AA23BE">
            <w:pPr>
              <w:jc w:val="right"/>
            </w:pPr>
            <w:r w:rsidRPr="00AA23BE">
              <w:t>45</w:t>
            </w:r>
          </w:p>
        </w:tc>
        <w:tc>
          <w:tcPr>
            <w:tcW w:w="1366" w:type="dxa"/>
          </w:tcPr>
          <w:p w:rsidR="00FB58E8" w:rsidRPr="00AA23BE" w:rsidRDefault="00FB58E8" w:rsidP="00AA23BE">
            <w:pPr>
              <w:jc w:val="right"/>
            </w:pPr>
            <w:r w:rsidRPr="00AA23BE">
              <w:t>11</w:t>
            </w:r>
          </w:p>
        </w:tc>
      </w:tr>
      <w:tr w:rsidR="00FB58E8" w:rsidRPr="00AA23BE" w:rsidTr="00AA23BE">
        <w:tc>
          <w:tcPr>
            <w:tcW w:w="6934" w:type="dxa"/>
          </w:tcPr>
          <w:p w:rsidR="00FB58E8" w:rsidRPr="00AA23BE" w:rsidRDefault="00FB58E8" w:rsidP="00AA23BE">
            <w:pPr>
              <w:rPr>
                <w:lang w:val="en-CA"/>
              </w:rPr>
            </w:pPr>
            <w:r w:rsidRPr="00AA23BE">
              <w:rPr>
                <w:lang w:val="en-CA"/>
              </w:rPr>
              <w:t>New HPMP activities (stages II) with submissions to the 77</w:t>
            </w:r>
            <w:r w:rsidRPr="00AA23BE">
              <w:rPr>
                <w:vertAlign w:val="superscript"/>
                <w:lang w:val="en-CA"/>
              </w:rPr>
              <w:t>th</w:t>
            </w:r>
            <w:r w:rsidRPr="00AA23BE">
              <w:rPr>
                <w:lang w:val="en-CA"/>
              </w:rPr>
              <w:t xml:space="preserve"> meeting to match the proposed funding level as originally submitted</w:t>
            </w:r>
          </w:p>
        </w:tc>
        <w:tc>
          <w:tcPr>
            <w:tcW w:w="1276" w:type="dxa"/>
          </w:tcPr>
          <w:p w:rsidR="00FB58E8" w:rsidRPr="00AA23BE" w:rsidRDefault="00FB58E8" w:rsidP="00AA23BE">
            <w:pPr>
              <w:jc w:val="right"/>
            </w:pPr>
            <w:r w:rsidRPr="00AA23BE">
              <w:t>16,674</w:t>
            </w:r>
          </w:p>
        </w:tc>
        <w:tc>
          <w:tcPr>
            <w:tcW w:w="1366" w:type="dxa"/>
          </w:tcPr>
          <w:p w:rsidR="00FB58E8" w:rsidRPr="00AA23BE" w:rsidRDefault="00FB58E8" w:rsidP="00AA23BE">
            <w:pPr>
              <w:jc w:val="right"/>
            </w:pPr>
            <w:r w:rsidRPr="00AA23BE">
              <w:t>-142,601</w:t>
            </w:r>
          </w:p>
        </w:tc>
      </w:tr>
      <w:tr w:rsidR="000928D6" w:rsidRPr="00AA23BE" w:rsidTr="00AA23BE">
        <w:tc>
          <w:tcPr>
            <w:tcW w:w="6934" w:type="dxa"/>
          </w:tcPr>
          <w:p w:rsidR="000928D6" w:rsidRPr="00AA23BE" w:rsidRDefault="000928D6" w:rsidP="00AA23BE">
            <w:pPr>
              <w:rPr>
                <w:lang w:val="en-CA"/>
              </w:rPr>
            </w:pPr>
            <w:r w:rsidRPr="00AA23BE">
              <w:rPr>
                <w:lang w:val="en-CA"/>
              </w:rPr>
              <w:t>Stage II of HPPMP starting in 2017 as per decision 71/23(c)</w:t>
            </w:r>
          </w:p>
        </w:tc>
        <w:tc>
          <w:tcPr>
            <w:tcW w:w="1276" w:type="dxa"/>
          </w:tcPr>
          <w:p w:rsidR="000928D6" w:rsidRPr="00AA23BE" w:rsidRDefault="000928D6" w:rsidP="00AA23BE">
            <w:pPr>
              <w:jc w:val="right"/>
              <w:rPr>
                <w:lang w:val="en-CA"/>
              </w:rPr>
            </w:pPr>
            <w:r w:rsidRPr="00AA23BE">
              <w:rPr>
                <w:lang w:val="en-CA"/>
              </w:rPr>
              <w:t>-22,295</w:t>
            </w:r>
          </w:p>
        </w:tc>
        <w:tc>
          <w:tcPr>
            <w:tcW w:w="1366" w:type="dxa"/>
          </w:tcPr>
          <w:p w:rsidR="000928D6" w:rsidRPr="00AA23BE" w:rsidRDefault="000928D6" w:rsidP="00AA23BE">
            <w:pPr>
              <w:jc w:val="right"/>
              <w:rPr>
                <w:lang w:val="en-CA"/>
              </w:rPr>
            </w:pPr>
            <w:r w:rsidRPr="00AA23BE">
              <w:rPr>
                <w:lang w:val="en-CA"/>
              </w:rPr>
              <w:t>38,535</w:t>
            </w:r>
          </w:p>
        </w:tc>
      </w:tr>
      <w:tr w:rsidR="00932874" w:rsidRPr="00AA23BE" w:rsidTr="00AA23BE">
        <w:tc>
          <w:tcPr>
            <w:tcW w:w="6934" w:type="dxa"/>
          </w:tcPr>
          <w:p w:rsidR="00932874" w:rsidRPr="00AA23BE" w:rsidRDefault="00932874" w:rsidP="00AA23BE">
            <w:pPr>
              <w:rPr>
                <w:lang w:val="en-CA"/>
              </w:rPr>
            </w:pPr>
            <w:r w:rsidRPr="00AA23BE">
              <w:rPr>
                <w:lang w:val="en-CA"/>
              </w:rPr>
              <w:t xml:space="preserve">Additional stage I of HPMP preparation </w:t>
            </w:r>
          </w:p>
        </w:tc>
        <w:tc>
          <w:tcPr>
            <w:tcW w:w="1276" w:type="dxa"/>
          </w:tcPr>
          <w:p w:rsidR="00932874" w:rsidRPr="00AA23BE" w:rsidRDefault="00932874" w:rsidP="00AA23BE">
            <w:pPr>
              <w:jc w:val="right"/>
              <w:rPr>
                <w:lang w:val="en-CA"/>
              </w:rPr>
            </w:pPr>
            <w:r w:rsidRPr="00AA23BE">
              <w:rPr>
                <w:lang w:val="en-CA"/>
              </w:rPr>
              <w:t>-23</w:t>
            </w:r>
          </w:p>
        </w:tc>
        <w:tc>
          <w:tcPr>
            <w:tcW w:w="1366" w:type="dxa"/>
          </w:tcPr>
          <w:p w:rsidR="00932874" w:rsidRPr="00AA23BE" w:rsidRDefault="00932874" w:rsidP="00AA23BE">
            <w:pPr>
              <w:jc w:val="right"/>
              <w:rPr>
                <w:lang w:val="en-CA"/>
              </w:rPr>
            </w:pPr>
            <w:r w:rsidRPr="00AA23BE">
              <w:rPr>
                <w:lang w:val="en-CA"/>
              </w:rPr>
              <w:t>0</w:t>
            </w:r>
          </w:p>
        </w:tc>
      </w:tr>
      <w:tr w:rsidR="00581A54" w:rsidRPr="00AA23BE" w:rsidTr="00AA23BE">
        <w:tc>
          <w:tcPr>
            <w:tcW w:w="6934" w:type="dxa"/>
          </w:tcPr>
          <w:p w:rsidR="00581A54" w:rsidRPr="00AA23BE" w:rsidRDefault="00581A54" w:rsidP="00AA23BE">
            <w:pPr>
              <w:rPr>
                <w:lang w:val="en-CA"/>
              </w:rPr>
            </w:pPr>
            <w:r w:rsidRPr="00AA23BE">
              <w:rPr>
                <w:lang w:val="en-CA"/>
              </w:rPr>
              <w:t>Stage I of HPMPs with phase-out exceeding the maximum eligibility for HCFC-141b (including those contained in imported pre</w:t>
            </w:r>
            <w:r w:rsidRPr="00AA23BE">
              <w:rPr>
                <w:lang w:val="en-CA"/>
              </w:rPr>
              <w:noBreakHyphen/>
              <w:t>blended polyol)</w:t>
            </w:r>
          </w:p>
        </w:tc>
        <w:tc>
          <w:tcPr>
            <w:tcW w:w="1276" w:type="dxa"/>
          </w:tcPr>
          <w:p w:rsidR="00581A54" w:rsidRPr="00AA23BE" w:rsidRDefault="00581A54" w:rsidP="00AA23BE">
            <w:pPr>
              <w:jc w:val="right"/>
            </w:pPr>
            <w:r w:rsidRPr="00AA23BE">
              <w:t>-16</w:t>
            </w:r>
          </w:p>
        </w:tc>
        <w:tc>
          <w:tcPr>
            <w:tcW w:w="1366" w:type="dxa"/>
          </w:tcPr>
          <w:p w:rsidR="00581A54" w:rsidRPr="00AA23BE" w:rsidRDefault="00581A54" w:rsidP="00AA23BE">
            <w:pPr>
              <w:jc w:val="right"/>
            </w:pPr>
            <w:r w:rsidRPr="00AA23BE">
              <w:t>0</w:t>
            </w:r>
          </w:p>
        </w:tc>
      </w:tr>
      <w:tr w:rsidR="00E6554D" w:rsidRPr="00AA23BE" w:rsidTr="00AA23BE">
        <w:tc>
          <w:tcPr>
            <w:tcW w:w="6934" w:type="dxa"/>
          </w:tcPr>
          <w:p w:rsidR="00E6554D" w:rsidRPr="00AA23BE" w:rsidRDefault="00E6554D" w:rsidP="00AA23BE">
            <w:pPr>
              <w:rPr>
                <w:lang w:val="en-CA"/>
              </w:rPr>
            </w:pPr>
            <w:r w:rsidRPr="00AA23BE">
              <w:rPr>
                <w:lang w:val="en-CA"/>
              </w:rPr>
              <w:t>Project preparation for stage II of HPMPs pursuant to decision 71/42</w:t>
            </w:r>
          </w:p>
        </w:tc>
        <w:tc>
          <w:tcPr>
            <w:tcW w:w="1276" w:type="dxa"/>
          </w:tcPr>
          <w:p w:rsidR="00E6554D" w:rsidRPr="00AA23BE" w:rsidRDefault="000928D6" w:rsidP="00AA23BE">
            <w:pPr>
              <w:jc w:val="right"/>
              <w:rPr>
                <w:lang w:val="en-CA"/>
              </w:rPr>
            </w:pPr>
            <w:r w:rsidRPr="00AA23BE">
              <w:rPr>
                <w:lang w:val="en-CA"/>
              </w:rPr>
              <w:t>-98</w:t>
            </w:r>
          </w:p>
        </w:tc>
        <w:tc>
          <w:tcPr>
            <w:tcW w:w="1366" w:type="dxa"/>
          </w:tcPr>
          <w:p w:rsidR="00E6554D" w:rsidRPr="00AA23BE" w:rsidRDefault="000928D6" w:rsidP="00AA23BE">
            <w:pPr>
              <w:jc w:val="right"/>
              <w:rPr>
                <w:lang w:val="en-CA"/>
              </w:rPr>
            </w:pPr>
            <w:r w:rsidRPr="00AA23BE">
              <w:rPr>
                <w:lang w:val="en-CA"/>
              </w:rPr>
              <w:t>-34</w:t>
            </w:r>
          </w:p>
        </w:tc>
      </w:tr>
      <w:tr w:rsidR="00E6554D" w:rsidRPr="00AA23BE" w:rsidTr="00AA23BE">
        <w:tc>
          <w:tcPr>
            <w:tcW w:w="6934" w:type="dxa"/>
          </w:tcPr>
          <w:p w:rsidR="00E6554D" w:rsidRPr="00AA23BE" w:rsidRDefault="00E6554D" w:rsidP="00AA23BE">
            <w:pPr>
              <w:rPr>
                <w:lang w:val="en-CA"/>
              </w:rPr>
            </w:pPr>
            <w:r w:rsidRPr="00AA23BE">
              <w:rPr>
                <w:lang w:val="en-CA"/>
              </w:rPr>
              <w:t>Stage II of HPMPs in LVC countries to the maximum allowable value to achieve 35 or 67.5 per cent reduction in the HCFC baseline consumption based on decision 74/50(c)(xii)</w:t>
            </w:r>
          </w:p>
        </w:tc>
        <w:tc>
          <w:tcPr>
            <w:tcW w:w="1276" w:type="dxa"/>
          </w:tcPr>
          <w:p w:rsidR="00E6554D" w:rsidRPr="00AA23BE" w:rsidRDefault="000928D6" w:rsidP="00AA23BE">
            <w:pPr>
              <w:jc w:val="right"/>
              <w:rPr>
                <w:lang w:val="en-CA"/>
              </w:rPr>
            </w:pPr>
            <w:r w:rsidRPr="00AA23BE">
              <w:rPr>
                <w:lang w:val="en-CA"/>
              </w:rPr>
              <w:t>-34</w:t>
            </w:r>
          </w:p>
        </w:tc>
        <w:tc>
          <w:tcPr>
            <w:tcW w:w="1366" w:type="dxa"/>
          </w:tcPr>
          <w:p w:rsidR="00E6554D" w:rsidRPr="00AA23BE" w:rsidRDefault="000928D6" w:rsidP="00AA23BE">
            <w:pPr>
              <w:jc w:val="right"/>
              <w:rPr>
                <w:lang w:val="en-CA"/>
              </w:rPr>
            </w:pPr>
            <w:r w:rsidRPr="00AA23BE">
              <w:rPr>
                <w:lang w:val="en-CA"/>
              </w:rPr>
              <w:t>-1,244</w:t>
            </w:r>
          </w:p>
        </w:tc>
      </w:tr>
      <w:tr w:rsidR="00E6554D" w:rsidRPr="00AA23BE" w:rsidTr="00AA23BE">
        <w:tc>
          <w:tcPr>
            <w:tcW w:w="6934" w:type="dxa"/>
          </w:tcPr>
          <w:p w:rsidR="00E6554D" w:rsidRPr="00AA23BE" w:rsidRDefault="00E6554D" w:rsidP="00AA23BE">
            <w:pPr>
              <w:rPr>
                <w:lang w:val="en-CA"/>
              </w:rPr>
            </w:pPr>
            <w:r w:rsidRPr="00AA23BE">
              <w:rPr>
                <w:lang w:val="en-CA"/>
              </w:rPr>
              <w:t>Stage II of HPMPs in non-LVC countries with the foam sector based on a maximum cost-effectiveness of US $7.00/kg</w:t>
            </w:r>
            <w:r w:rsidRPr="00AA23BE">
              <w:rPr>
                <w:rStyle w:val="FootnoteReference"/>
                <w:lang w:val="en-CA"/>
              </w:rPr>
              <w:footnoteReference w:id="11"/>
            </w:r>
          </w:p>
        </w:tc>
        <w:tc>
          <w:tcPr>
            <w:tcW w:w="1276" w:type="dxa"/>
          </w:tcPr>
          <w:p w:rsidR="00E6554D" w:rsidRPr="00AA23BE" w:rsidRDefault="00865126" w:rsidP="00AA23BE">
            <w:pPr>
              <w:jc w:val="right"/>
              <w:rPr>
                <w:lang w:val="en-CA"/>
              </w:rPr>
            </w:pPr>
            <w:r w:rsidRPr="00AA23BE">
              <w:rPr>
                <w:lang w:val="en-CA"/>
              </w:rPr>
              <w:t>0</w:t>
            </w:r>
          </w:p>
        </w:tc>
        <w:tc>
          <w:tcPr>
            <w:tcW w:w="1366" w:type="dxa"/>
          </w:tcPr>
          <w:p w:rsidR="00E6554D" w:rsidRPr="00AA23BE" w:rsidRDefault="00865126" w:rsidP="00AA23BE">
            <w:pPr>
              <w:jc w:val="right"/>
              <w:rPr>
                <w:lang w:val="en-CA"/>
              </w:rPr>
            </w:pPr>
            <w:r w:rsidRPr="00AA23BE">
              <w:rPr>
                <w:lang w:val="en-CA"/>
              </w:rPr>
              <w:t>-11</w:t>
            </w:r>
          </w:p>
        </w:tc>
      </w:tr>
      <w:tr w:rsidR="00865126" w:rsidRPr="00AA23BE" w:rsidTr="00BF16FB">
        <w:tc>
          <w:tcPr>
            <w:tcW w:w="6934" w:type="dxa"/>
          </w:tcPr>
          <w:p w:rsidR="00865126" w:rsidRPr="00AA23BE" w:rsidRDefault="00865126" w:rsidP="00AA23BE">
            <w:pPr>
              <w:rPr>
                <w:lang w:val="en-CA"/>
              </w:rPr>
            </w:pPr>
            <w:r w:rsidRPr="00AA23BE">
              <w:rPr>
                <w:lang w:val="en-CA"/>
              </w:rPr>
              <w:t>Stage II of HPMPs in non-LVC countries with the refrigeration servicing sector based on a maximum cost-effectiveness of US $4.80/kg</w:t>
            </w:r>
          </w:p>
        </w:tc>
        <w:tc>
          <w:tcPr>
            <w:tcW w:w="1276" w:type="dxa"/>
          </w:tcPr>
          <w:p w:rsidR="00865126" w:rsidRPr="00AA23BE" w:rsidRDefault="00865126" w:rsidP="00AA23BE">
            <w:pPr>
              <w:jc w:val="right"/>
            </w:pPr>
            <w:r w:rsidRPr="00AA23BE">
              <w:t>-0.497</w:t>
            </w:r>
          </w:p>
        </w:tc>
        <w:tc>
          <w:tcPr>
            <w:tcW w:w="1366" w:type="dxa"/>
          </w:tcPr>
          <w:p w:rsidR="00865126" w:rsidRPr="00AA23BE" w:rsidRDefault="00865126" w:rsidP="00AA23BE">
            <w:pPr>
              <w:jc w:val="right"/>
            </w:pPr>
            <w:r w:rsidRPr="00AA23BE">
              <w:t>-103</w:t>
            </w:r>
          </w:p>
        </w:tc>
      </w:tr>
      <w:tr w:rsidR="006A51DA" w:rsidRPr="00AA23BE" w:rsidTr="00BF16FB">
        <w:tc>
          <w:tcPr>
            <w:tcW w:w="6934" w:type="dxa"/>
          </w:tcPr>
          <w:p w:rsidR="006A51DA" w:rsidRPr="00AA23BE" w:rsidRDefault="00932874" w:rsidP="00AA23BE">
            <w:pPr>
              <w:rPr>
                <w:lang w:val="en-CA"/>
              </w:rPr>
            </w:pPr>
            <w:r w:rsidRPr="00AA23BE">
              <w:rPr>
                <w:lang w:val="en-CA"/>
              </w:rPr>
              <w:t>Stage</w:t>
            </w:r>
            <w:r w:rsidR="006A51DA" w:rsidRPr="00AA23BE">
              <w:rPr>
                <w:lang w:val="en-CA"/>
              </w:rPr>
              <w:t xml:space="preserve"> II of HPMPs with phase-out exceeding the maximum eligibility for HCFC-141b (including those contained in imported pre</w:t>
            </w:r>
            <w:r w:rsidR="006A51DA" w:rsidRPr="00AA23BE">
              <w:rPr>
                <w:lang w:val="en-CA"/>
              </w:rPr>
              <w:noBreakHyphen/>
              <w:t>blended polyol)</w:t>
            </w:r>
          </w:p>
        </w:tc>
        <w:tc>
          <w:tcPr>
            <w:tcW w:w="1276" w:type="dxa"/>
          </w:tcPr>
          <w:p w:rsidR="006A51DA" w:rsidRPr="00AA23BE" w:rsidRDefault="006A51DA" w:rsidP="00AA23BE">
            <w:pPr>
              <w:jc w:val="right"/>
            </w:pPr>
            <w:r w:rsidRPr="00AA23BE">
              <w:t>-1,498</w:t>
            </w:r>
          </w:p>
        </w:tc>
        <w:tc>
          <w:tcPr>
            <w:tcW w:w="1366" w:type="dxa"/>
          </w:tcPr>
          <w:p w:rsidR="006A51DA" w:rsidRPr="00AA23BE" w:rsidRDefault="006A51DA" w:rsidP="00AA23BE">
            <w:pPr>
              <w:jc w:val="right"/>
            </w:pPr>
            <w:r w:rsidRPr="00AA23BE">
              <w:t>0</w:t>
            </w:r>
          </w:p>
        </w:tc>
      </w:tr>
    </w:tbl>
    <w:p w:rsidR="00E6554D" w:rsidRPr="00AA23BE" w:rsidRDefault="00E6554D" w:rsidP="00AA23BE">
      <w:pPr>
        <w:rPr>
          <w:lang w:val="en-CA"/>
        </w:rPr>
      </w:pPr>
    </w:p>
    <w:p w:rsidR="00E6554D" w:rsidRPr="00AA23BE" w:rsidRDefault="00E6554D" w:rsidP="00AA23BE">
      <w:pPr>
        <w:pStyle w:val="Heading1"/>
        <w:rPr>
          <w:lang w:val="en-CA"/>
        </w:rPr>
      </w:pPr>
      <w:r w:rsidRPr="00AA23BE">
        <w:rPr>
          <w:lang w:val="en-CA"/>
        </w:rPr>
        <w:t xml:space="preserve">Table </w:t>
      </w:r>
      <w:r w:rsidR="008021C0" w:rsidRPr="00AA23BE">
        <w:rPr>
          <w:lang w:val="en-CA"/>
        </w:rPr>
        <w:t>6</w:t>
      </w:r>
      <w:r w:rsidRPr="00AA23BE">
        <w:rPr>
          <w:lang w:val="en-CA"/>
        </w:rPr>
        <w:t xml:space="preserve"> presents the results of the proposed adjustments to the con</w:t>
      </w:r>
      <w:r w:rsidR="00743FB7" w:rsidRPr="00AA23BE">
        <w:rPr>
          <w:lang w:val="en-CA"/>
        </w:rPr>
        <w:t>solidated business plan for 2017</w:t>
      </w:r>
      <w:r w:rsidRPr="00AA23BE">
        <w:rPr>
          <w:lang w:val="en-CA"/>
        </w:rPr>
        <w:t>-201</w:t>
      </w:r>
      <w:r w:rsidR="00743FB7" w:rsidRPr="00AA23BE">
        <w:rPr>
          <w:lang w:val="en-CA"/>
        </w:rPr>
        <w:t>9</w:t>
      </w:r>
      <w:r w:rsidRPr="00AA23BE">
        <w:rPr>
          <w:lang w:val="en-CA"/>
        </w:rPr>
        <w:t>.</w:t>
      </w:r>
    </w:p>
    <w:p w:rsidR="00E6554D" w:rsidRPr="00AA23BE" w:rsidRDefault="00E6554D" w:rsidP="00AA23BE">
      <w:pPr>
        <w:keepNext/>
        <w:rPr>
          <w:b/>
          <w:lang w:val="en-CA"/>
        </w:rPr>
      </w:pPr>
      <w:r w:rsidRPr="00AA23BE">
        <w:rPr>
          <w:b/>
          <w:lang w:val="en-CA"/>
        </w:rPr>
        <w:t xml:space="preserve">Table </w:t>
      </w:r>
      <w:r w:rsidR="008021C0" w:rsidRPr="00AA23BE">
        <w:rPr>
          <w:b/>
          <w:lang w:val="en-CA"/>
        </w:rPr>
        <w:t>6</w:t>
      </w:r>
      <w:r w:rsidRPr="00AA23BE">
        <w:rPr>
          <w:b/>
          <w:lang w:val="en-CA"/>
        </w:rPr>
        <w:t>: Adjusted resource allocation for the business plan for 201</w:t>
      </w:r>
      <w:r w:rsidR="00743FB7" w:rsidRPr="00AA23BE">
        <w:rPr>
          <w:b/>
          <w:lang w:val="en-CA"/>
        </w:rPr>
        <w:t>7</w:t>
      </w:r>
      <w:r w:rsidRPr="00AA23BE">
        <w:rPr>
          <w:b/>
          <w:lang w:val="en-CA"/>
        </w:rPr>
        <w:t>-201</w:t>
      </w:r>
      <w:r w:rsidR="00743FB7" w:rsidRPr="00AA23BE">
        <w:rPr>
          <w:b/>
          <w:lang w:val="en-CA"/>
        </w:rPr>
        <w:t>9</w:t>
      </w:r>
      <w:r w:rsidRPr="00AA23BE">
        <w:rPr>
          <w:b/>
          <w:lang w:val="en-CA"/>
        </w:rPr>
        <w:t xml:space="preserve"> (US $000s)*</w:t>
      </w:r>
    </w:p>
    <w:tbl>
      <w:tblPr>
        <w:tblW w:w="9928" w:type="dxa"/>
        <w:tblInd w:w="103" w:type="dxa"/>
        <w:tblLook w:val="04A0" w:firstRow="1" w:lastRow="0" w:firstColumn="1" w:lastColumn="0" w:noHBand="0" w:noVBand="1"/>
      </w:tblPr>
      <w:tblGrid>
        <w:gridCol w:w="3549"/>
        <w:gridCol w:w="992"/>
        <w:gridCol w:w="992"/>
        <w:gridCol w:w="993"/>
        <w:gridCol w:w="1276"/>
        <w:gridCol w:w="992"/>
        <w:gridCol w:w="1134"/>
      </w:tblGrid>
      <w:tr w:rsidR="00AB2377" w:rsidRPr="00AA23BE" w:rsidTr="0065767E">
        <w:trPr>
          <w:trHeight w:val="510"/>
          <w:tblHeader/>
        </w:trPr>
        <w:tc>
          <w:tcPr>
            <w:tcW w:w="3549" w:type="dxa"/>
            <w:tcBorders>
              <w:top w:val="single" w:sz="4" w:space="0" w:color="auto"/>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b/>
                <w:bCs/>
                <w:sz w:val="20"/>
                <w:szCs w:val="20"/>
                <w:lang w:val="en-CA" w:eastAsia="en-CA"/>
              </w:rPr>
            </w:pPr>
            <w:r w:rsidRPr="00AA23BE">
              <w:rPr>
                <w:b/>
                <w:bCs/>
                <w:sz w:val="20"/>
                <w:szCs w:val="20"/>
                <w:lang w:val="en-CA" w:eastAsia="en-CA"/>
              </w:rPr>
              <w:t>Item</w:t>
            </w:r>
          </w:p>
        </w:tc>
        <w:tc>
          <w:tcPr>
            <w:tcW w:w="992" w:type="dxa"/>
            <w:tcBorders>
              <w:top w:val="single" w:sz="4" w:space="0" w:color="auto"/>
              <w:left w:val="nil"/>
              <w:bottom w:val="single" w:sz="4" w:space="0" w:color="auto"/>
              <w:right w:val="single" w:sz="4" w:space="0" w:color="auto"/>
            </w:tcBorders>
            <w:shd w:val="clear" w:color="auto" w:fill="auto"/>
            <w:hideMark/>
          </w:tcPr>
          <w:p w:rsidR="00AB2377" w:rsidRPr="00AA23BE" w:rsidRDefault="00AB2377" w:rsidP="00AA23BE">
            <w:pPr>
              <w:jc w:val="center"/>
              <w:rPr>
                <w:b/>
                <w:bCs/>
                <w:sz w:val="20"/>
                <w:szCs w:val="20"/>
                <w:lang w:val="en-CA" w:eastAsia="en-CA"/>
              </w:rPr>
            </w:pPr>
            <w:r w:rsidRPr="00AA23BE">
              <w:rPr>
                <w:b/>
                <w:bCs/>
                <w:sz w:val="20"/>
                <w:szCs w:val="20"/>
                <w:lang w:val="en-CA" w:eastAsia="en-CA"/>
              </w:rPr>
              <w:t>2017</w:t>
            </w:r>
          </w:p>
        </w:tc>
        <w:tc>
          <w:tcPr>
            <w:tcW w:w="992" w:type="dxa"/>
            <w:tcBorders>
              <w:top w:val="single" w:sz="4" w:space="0" w:color="auto"/>
              <w:left w:val="nil"/>
              <w:bottom w:val="single" w:sz="4" w:space="0" w:color="auto"/>
              <w:right w:val="single" w:sz="4" w:space="0" w:color="auto"/>
            </w:tcBorders>
            <w:shd w:val="clear" w:color="auto" w:fill="auto"/>
            <w:hideMark/>
          </w:tcPr>
          <w:p w:rsidR="00AB2377" w:rsidRPr="00AA23BE" w:rsidRDefault="00AB2377" w:rsidP="00AA23BE">
            <w:pPr>
              <w:jc w:val="center"/>
              <w:rPr>
                <w:b/>
                <w:bCs/>
                <w:sz w:val="20"/>
                <w:szCs w:val="20"/>
                <w:lang w:val="en-CA" w:eastAsia="en-CA"/>
              </w:rPr>
            </w:pPr>
            <w:r w:rsidRPr="00AA23BE">
              <w:rPr>
                <w:b/>
                <w:bCs/>
                <w:sz w:val="20"/>
                <w:szCs w:val="20"/>
                <w:lang w:val="en-CA" w:eastAsia="en-CA"/>
              </w:rPr>
              <w:t>2018</w:t>
            </w:r>
          </w:p>
        </w:tc>
        <w:tc>
          <w:tcPr>
            <w:tcW w:w="993" w:type="dxa"/>
            <w:tcBorders>
              <w:top w:val="single" w:sz="4" w:space="0" w:color="auto"/>
              <w:left w:val="nil"/>
              <w:bottom w:val="single" w:sz="4" w:space="0" w:color="auto"/>
              <w:right w:val="single" w:sz="4" w:space="0" w:color="auto"/>
            </w:tcBorders>
            <w:shd w:val="clear" w:color="auto" w:fill="auto"/>
            <w:hideMark/>
          </w:tcPr>
          <w:p w:rsidR="00AB2377" w:rsidRPr="00AA23BE" w:rsidRDefault="00AB2377" w:rsidP="00AA23BE">
            <w:pPr>
              <w:jc w:val="center"/>
              <w:rPr>
                <w:b/>
                <w:bCs/>
                <w:sz w:val="20"/>
                <w:szCs w:val="20"/>
                <w:lang w:val="en-CA" w:eastAsia="en-CA"/>
              </w:rPr>
            </w:pPr>
            <w:r w:rsidRPr="00AA23BE">
              <w:rPr>
                <w:b/>
                <w:bCs/>
                <w:sz w:val="20"/>
                <w:szCs w:val="20"/>
                <w:lang w:val="en-CA" w:eastAsia="en-CA"/>
              </w:rPr>
              <w:t>2019</w:t>
            </w:r>
          </w:p>
        </w:tc>
        <w:tc>
          <w:tcPr>
            <w:tcW w:w="1276" w:type="dxa"/>
            <w:tcBorders>
              <w:top w:val="single" w:sz="4" w:space="0" w:color="auto"/>
              <w:left w:val="nil"/>
              <w:bottom w:val="single" w:sz="4" w:space="0" w:color="auto"/>
              <w:right w:val="single" w:sz="4" w:space="0" w:color="auto"/>
            </w:tcBorders>
            <w:shd w:val="clear" w:color="auto" w:fill="auto"/>
            <w:hideMark/>
          </w:tcPr>
          <w:p w:rsidR="00AB2377" w:rsidRPr="00AA23BE" w:rsidRDefault="00AB2377" w:rsidP="00AA23BE">
            <w:pPr>
              <w:jc w:val="center"/>
              <w:rPr>
                <w:b/>
                <w:bCs/>
                <w:sz w:val="20"/>
                <w:szCs w:val="20"/>
                <w:lang w:val="en-CA" w:eastAsia="en-CA"/>
              </w:rPr>
            </w:pPr>
            <w:r w:rsidRPr="00AA23BE">
              <w:rPr>
                <w:b/>
                <w:bCs/>
                <w:sz w:val="20"/>
                <w:szCs w:val="20"/>
                <w:lang w:val="en-CA" w:eastAsia="en-CA"/>
              </w:rPr>
              <w:t xml:space="preserve">Total </w:t>
            </w:r>
          </w:p>
          <w:p w:rsidR="00AB2377" w:rsidRPr="00AA23BE" w:rsidRDefault="00AB2377" w:rsidP="00AA23BE">
            <w:pPr>
              <w:jc w:val="center"/>
              <w:rPr>
                <w:b/>
                <w:bCs/>
                <w:sz w:val="20"/>
                <w:szCs w:val="20"/>
                <w:lang w:val="en-CA" w:eastAsia="en-CA"/>
              </w:rPr>
            </w:pPr>
            <w:r w:rsidRPr="00AA23BE">
              <w:rPr>
                <w:b/>
                <w:bCs/>
                <w:sz w:val="20"/>
                <w:szCs w:val="20"/>
                <w:lang w:val="en-CA" w:eastAsia="en-CA"/>
              </w:rPr>
              <w:t>(2017-2019)</w:t>
            </w:r>
          </w:p>
        </w:tc>
        <w:tc>
          <w:tcPr>
            <w:tcW w:w="992" w:type="dxa"/>
            <w:tcBorders>
              <w:top w:val="single" w:sz="4" w:space="0" w:color="auto"/>
              <w:left w:val="nil"/>
              <w:bottom w:val="single" w:sz="4" w:space="0" w:color="auto"/>
              <w:right w:val="single" w:sz="4" w:space="0" w:color="auto"/>
            </w:tcBorders>
            <w:shd w:val="clear" w:color="auto" w:fill="auto"/>
            <w:hideMark/>
          </w:tcPr>
          <w:p w:rsidR="00AB2377" w:rsidRPr="00AA23BE" w:rsidRDefault="00AB2377" w:rsidP="00AA23BE">
            <w:pPr>
              <w:jc w:val="center"/>
              <w:rPr>
                <w:b/>
                <w:bCs/>
                <w:sz w:val="20"/>
                <w:szCs w:val="20"/>
                <w:lang w:val="en-CA" w:eastAsia="en-CA"/>
              </w:rPr>
            </w:pPr>
            <w:r w:rsidRPr="00AA23BE">
              <w:rPr>
                <w:b/>
                <w:bCs/>
                <w:sz w:val="20"/>
                <w:szCs w:val="20"/>
                <w:lang w:val="en-CA" w:eastAsia="en-CA"/>
              </w:rPr>
              <w:t>2020</w:t>
            </w:r>
          </w:p>
        </w:tc>
        <w:tc>
          <w:tcPr>
            <w:tcW w:w="1134" w:type="dxa"/>
            <w:tcBorders>
              <w:top w:val="single" w:sz="4" w:space="0" w:color="auto"/>
              <w:left w:val="nil"/>
              <w:bottom w:val="single" w:sz="4" w:space="0" w:color="auto"/>
              <w:right w:val="single" w:sz="4" w:space="0" w:color="auto"/>
            </w:tcBorders>
            <w:shd w:val="clear" w:color="auto" w:fill="auto"/>
            <w:hideMark/>
          </w:tcPr>
          <w:p w:rsidR="00AB2377" w:rsidRPr="00AA23BE" w:rsidRDefault="00AB2377" w:rsidP="00AA23BE">
            <w:pPr>
              <w:jc w:val="center"/>
              <w:rPr>
                <w:b/>
                <w:bCs/>
                <w:sz w:val="20"/>
                <w:szCs w:val="20"/>
                <w:lang w:val="en-CA" w:eastAsia="en-CA"/>
              </w:rPr>
            </w:pPr>
            <w:r w:rsidRPr="00AA23BE">
              <w:rPr>
                <w:b/>
                <w:bCs/>
                <w:sz w:val="20"/>
                <w:szCs w:val="20"/>
                <w:lang w:val="en-CA" w:eastAsia="en-CA"/>
              </w:rPr>
              <w:t>Total after 2020</w:t>
            </w:r>
          </w:p>
        </w:tc>
      </w:tr>
      <w:tr w:rsidR="00AB2377" w:rsidRPr="00AA23BE" w:rsidTr="00AB2377">
        <w:trPr>
          <w:trHeight w:val="255"/>
        </w:trPr>
        <w:tc>
          <w:tcPr>
            <w:tcW w:w="9928" w:type="dxa"/>
            <w:gridSpan w:val="7"/>
            <w:tcBorders>
              <w:top w:val="single" w:sz="4" w:space="0" w:color="auto"/>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b/>
                <w:bCs/>
                <w:sz w:val="20"/>
                <w:szCs w:val="20"/>
                <w:lang w:val="en-CA" w:eastAsia="en-CA"/>
              </w:rPr>
            </w:pPr>
            <w:r w:rsidRPr="00AA23BE">
              <w:rPr>
                <w:b/>
                <w:bCs/>
                <w:sz w:val="20"/>
                <w:szCs w:val="20"/>
                <w:lang w:val="en-CA" w:eastAsia="en-CA"/>
              </w:rPr>
              <w:t>Required for compliance</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ind w:right="-108"/>
              <w:jc w:val="left"/>
              <w:rPr>
                <w:sz w:val="20"/>
                <w:szCs w:val="20"/>
                <w:lang w:val="en-CA" w:eastAsia="en-CA"/>
              </w:rPr>
            </w:pPr>
            <w:r w:rsidRPr="00AA23BE">
              <w:rPr>
                <w:sz w:val="20"/>
                <w:szCs w:val="20"/>
                <w:lang w:val="en-CA" w:eastAsia="en-CA"/>
              </w:rPr>
              <w:t xml:space="preserve">Approved </w:t>
            </w:r>
            <w:r w:rsidR="000737D5" w:rsidRPr="00AA23BE">
              <w:rPr>
                <w:sz w:val="20"/>
                <w:szCs w:val="20"/>
                <w:lang w:val="en-CA" w:eastAsia="en-CA"/>
              </w:rPr>
              <w:t>HPMPs</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27,542</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49,727</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8,218</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85,487</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16,293</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7,002</w:t>
            </w:r>
          </w:p>
        </w:tc>
      </w:tr>
      <w:tr w:rsidR="00AB2377" w:rsidRPr="00AA23BE" w:rsidTr="0065767E">
        <w:trPr>
          <w:trHeight w:val="510"/>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HCFC production PRP – stage I</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107</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107</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HCFC production – stage I</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533</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533</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1,065</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533</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HCFC production – stage II</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21,874</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21,874</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21,874</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65,623</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21,874</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218,743</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HPMP stage I</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127</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898</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8</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1,034</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202</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HPMP stage I – additional funding PRP</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37</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37</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HPMP stage I – additional funding</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1,400</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430</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1,830</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HPMP PRP – stage II</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837</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4,184</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163</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5,184</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46</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HPMP stage II</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81,134</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172,260</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198,095</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451,488</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188,680</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258,389</w:t>
            </w:r>
          </w:p>
        </w:tc>
      </w:tr>
      <w:tr w:rsidR="00932874"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932874" w:rsidRPr="00AA23BE" w:rsidRDefault="00932874" w:rsidP="00AA23BE">
            <w:pPr>
              <w:jc w:val="left"/>
              <w:rPr>
                <w:sz w:val="20"/>
                <w:szCs w:val="20"/>
                <w:lang w:val="en-CA" w:eastAsia="en-CA"/>
              </w:rPr>
            </w:pPr>
            <w:r w:rsidRPr="00AA23BE">
              <w:rPr>
                <w:sz w:val="20"/>
                <w:szCs w:val="20"/>
                <w:lang w:val="en-CA" w:eastAsia="en-CA"/>
              </w:rPr>
              <w:t>HPMP PRP – stage III</w:t>
            </w:r>
          </w:p>
        </w:tc>
        <w:tc>
          <w:tcPr>
            <w:tcW w:w="992" w:type="dxa"/>
            <w:tcBorders>
              <w:top w:val="nil"/>
              <w:left w:val="nil"/>
              <w:bottom w:val="single" w:sz="4" w:space="0" w:color="auto"/>
              <w:right w:val="single" w:sz="4" w:space="0" w:color="auto"/>
            </w:tcBorders>
            <w:shd w:val="clear" w:color="auto" w:fill="auto"/>
            <w:hideMark/>
          </w:tcPr>
          <w:p w:rsidR="00932874" w:rsidRPr="00AA23BE" w:rsidRDefault="00932874" w:rsidP="00AA23BE">
            <w:pPr>
              <w:jc w:val="right"/>
            </w:pPr>
            <w:r w:rsidRPr="00AA23BE">
              <w:rPr>
                <w:sz w:val="20"/>
                <w:szCs w:val="20"/>
                <w:lang w:val="en-CA" w:eastAsia="en-CA"/>
              </w:rPr>
              <w:t>0</w:t>
            </w:r>
          </w:p>
        </w:tc>
        <w:tc>
          <w:tcPr>
            <w:tcW w:w="992" w:type="dxa"/>
            <w:tcBorders>
              <w:top w:val="nil"/>
              <w:left w:val="nil"/>
              <w:bottom w:val="single" w:sz="4" w:space="0" w:color="auto"/>
              <w:right w:val="single" w:sz="4" w:space="0" w:color="auto"/>
            </w:tcBorders>
            <w:shd w:val="clear" w:color="auto" w:fill="auto"/>
            <w:hideMark/>
          </w:tcPr>
          <w:p w:rsidR="00932874" w:rsidRPr="00AA23BE" w:rsidRDefault="00932874" w:rsidP="00AA23BE">
            <w:pPr>
              <w:jc w:val="right"/>
            </w:pPr>
            <w:r w:rsidRPr="00AA23BE">
              <w:rPr>
                <w:sz w:val="20"/>
                <w:szCs w:val="20"/>
                <w:lang w:val="en-CA" w:eastAsia="en-CA"/>
              </w:rPr>
              <w:t>0</w:t>
            </w:r>
          </w:p>
        </w:tc>
        <w:tc>
          <w:tcPr>
            <w:tcW w:w="993" w:type="dxa"/>
            <w:tcBorders>
              <w:top w:val="nil"/>
              <w:left w:val="nil"/>
              <w:bottom w:val="single" w:sz="4" w:space="0" w:color="auto"/>
              <w:right w:val="single" w:sz="4" w:space="0" w:color="auto"/>
            </w:tcBorders>
            <w:shd w:val="clear" w:color="auto" w:fill="auto"/>
            <w:hideMark/>
          </w:tcPr>
          <w:p w:rsidR="00932874" w:rsidRPr="00AA23BE" w:rsidRDefault="00932874" w:rsidP="00AA23BE">
            <w:pPr>
              <w:jc w:val="right"/>
            </w:pPr>
            <w:r w:rsidRPr="00AA23BE">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hideMark/>
          </w:tcPr>
          <w:p w:rsidR="00932874" w:rsidRPr="00AA23BE" w:rsidRDefault="00932874" w:rsidP="00AA23BE">
            <w:pPr>
              <w:jc w:val="right"/>
              <w:rPr>
                <w:sz w:val="20"/>
                <w:szCs w:val="20"/>
                <w:lang w:val="en-CA" w:eastAsia="en-CA"/>
              </w:rPr>
            </w:pPr>
            <w:r w:rsidRPr="00AA23BE">
              <w:rPr>
                <w:sz w:val="20"/>
                <w:szCs w:val="20"/>
                <w:lang w:val="en-CA" w:eastAsia="en-CA"/>
              </w:rPr>
              <w:t>0</w:t>
            </w:r>
          </w:p>
        </w:tc>
        <w:tc>
          <w:tcPr>
            <w:tcW w:w="992" w:type="dxa"/>
            <w:tcBorders>
              <w:top w:val="nil"/>
              <w:left w:val="nil"/>
              <w:bottom w:val="single" w:sz="4" w:space="0" w:color="auto"/>
              <w:right w:val="single" w:sz="4" w:space="0" w:color="auto"/>
            </w:tcBorders>
            <w:shd w:val="clear" w:color="auto" w:fill="auto"/>
            <w:hideMark/>
          </w:tcPr>
          <w:p w:rsidR="00932874" w:rsidRPr="00AA23BE" w:rsidRDefault="00932874" w:rsidP="00AA23BE">
            <w:pPr>
              <w:jc w:val="right"/>
              <w:rPr>
                <w:sz w:val="20"/>
                <w:szCs w:val="20"/>
                <w:lang w:val="en-CA" w:eastAsia="en-CA"/>
              </w:rPr>
            </w:pPr>
            <w:r w:rsidRPr="00AA23BE">
              <w:rPr>
                <w:sz w:val="20"/>
                <w:szCs w:val="20"/>
                <w:lang w:val="en-CA" w:eastAsia="en-CA"/>
              </w:rPr>
              <w:t>102</w:t>
            </w:r>
          </w:p>
        </w:tc>
        <w:tc>
          <w:tcPr>
            <w:tcW w:w="1134" w:type="dxa"/>
            <w:tcBorders>
              <w:top w:val="nil"/>
              <w:left w:val="nil"/>
              <w:bottom w:val="single" w:sz="4" w:space="0" w:color="auto"/>
              <w:right w:val="single" w:sz="4" w:space="0" w:color="auto"/>
            </w:tcBorders>
            <w:shd w:val="clear" w:color="auto" w:fill="auto"/>
            <w:hideMark/>
          </w:tcPr>
          <w:p w:rsidR="00932874" w:rsidRPr="00AA23BE" w:rsidRDefault="00932874" w:rsidP="00AA23BE">
            <w:pPr>
              <w:jc w:val="right"/>
              <w:rPr>
                <w:sz w:val="20"/>
                <w:szCs w:val="20"/>
                <w:lang w:val="en-CA" w:eastAsia="en-CA"/>
              </w:rPr>
            </w:pPr>
            <w:r w:rsidRPr="00AA23BE">
              <w:rPr>
                <w:sz w:val="20"/>
                <w:szCs w:val="20"/>
                <w:lang w:val="en-CA" w:eastAsia="en-CA"/>
              </w:rPr>
              <w:t>0</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HPMP stage III</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70,945</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283,530</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HPMP verification</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589</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589</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589</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1,766</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589</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932874" w:rsidP="00AA23BE">
            <w:pPr>
              <w:jc w:val="right"/>
              <w:rPr>
                <w:sz w:val="20"/>
                <w:szCs w:val="20"/>
                <w:lang w:val="en-CA" w:eastAsia="en-CA"/>
              </w:rPr>
            </w:pPr>
            <w:r w:rsidRPr="00AA23BE">
              <w:rPr>
                <w:sz w:val="20"/>
                <w:szCs w:val="20"/>
                <w:lang w:val="en-CA" w:eastAsia="en-CA"/>
              </w:rPr>
              <w:t>0</w:t>
            </w:r>
          </w:p>
        </w:tc>
      </w:tr>
      <w:tr w:rsidR="00AB2377" w:rsidRPr="00AA23BE" w:rsidTr="00AB2377">
        <w:trPr>
          <w:trHeight w:val="255"/>
        </w:trPr>
        <w:tc>
          <w:tcPr>
            <w:tcW w:w="9928" w:type="dxa"/>
            <w:gridSpan w:val="7"/>
            <w:tcBorders>
              <w:top w:val="single" w:sz="4" w:space="0" w:color="auto"/>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b/>
                <w:bCs/>
                <w:sz w:val="20"/>
                <w:szCs w:val="20"/>
                <w:lang w:val="en-CA" w:eastAsia="en-CA"/>
              </w:rPr>
            </w:pPr>
            <w:r w:rsidRPr="00AA23BE">
              <w:rPr>
                <w:b/>
                <w:bCs/>
                <w:sz w:val="20"/>
                <w:szCs w:val="20"/>
                <w:lang w:val="en-CA" w:eastAsia="en-CA"/>
              </w:rPr>
              <w:t>Standard activities</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ind w:right="-108"/>
              <w:jc w:val="left"/>
              <w:rPr>
                <w:sz w:val="20"/>
                <w:szCs w:val="20"/>
                <w:lang w:val="en-CA" w:eastAsia="en-CA"/>
              </w:rPr>
            </w:pPr>
            <w:r w:rsidRPr="00AA23BE">
              <w:rPr>
                <w:sz w:val="20"/>
                <w:szCs w:val="20"/>
                <w:lang w:val="en-CA" w:eastAsia="en-CA"/>
              </w:rPr>
              <w:t>CAP</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10,931</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11,259</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11,596</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33,786</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11,944</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932874" w:rsidP="00AA23BE">
            <w:pPr>
              <w:jc w:val="right"/>
              <w:rPr>
                <w:sz w:val="20"/>
                <w:szCs w:val="20"/>
                <w:lang w:val="en-CA" w:eastAsia="en-CA"/>
              </w:rPr>
            </w:pPr>
            <w:r w:rsidRPr="00AA23BE">
              <w:rPr>
                <w:sz w:val="20"/>
                <w:szCs w:val="20"/>
                <w:lang w:val="en-CA" w:eastAsia="en-CA"/>
              </w:rPr>
              <w:t>0</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Core unit</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5,864</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5,905</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5,946</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17,715</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5,988</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r>
      <w:tr w:rsidR="00AB2377" w:rsidRPr="00AA23BE" w:rsidTr="0065767E">
        <w:trPr>
          <w:trHeight w:val="510"/>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Secretariat, Executive Committee, and Monitoring and Evaluation costs minus Canadian counterpart</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5,759</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5,893</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6,030</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17,682</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6,172</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F7C0C" w:rsidP="00AA23BE">
            <w:pPr>
              <w:jc w:val="right"/>
              <w:rPr>
                <w:sz w:val="20"/>
                <w:szCs w:val="20"/>
                <w:lang w:val="en-CA" w:eastAsia="en-CA"/>
              </w:rPr>
            </w:pPr>
            <w:r w:rsidRPr="00AA23BE">
              <w:rPr>
                <w:sz w:val="20"/>
                <w:szCs w:val="20"/>
                <w:lang w:val="en-US" w:eastAsia="en-CA"/>
              </w:rPr>
              <w:t>0</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Treasurer</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500</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500</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500</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1,500</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500</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F7C0C" w:rsidP="00AA23BE">
            <w:pPr>
              <w:jc w:val="right"/>
              <w:rPr>
                <w:sz w:val="20"/>
                <w:szCs w:val="20"/>
                <w:lang w:val="en-CA" w:eastAsia="en-CA"/>
              </w:rPr>
            </w:pPr>
            <w:r w:rsidRPr="00AA23BE">
              <w:rPr>
                <w:sz w:val="20"/>
                <w:szCs w:val="20"/>
                <w:lang w:val="en-CA" w:eastAsia="en-CA"/>
              </w:rPr>
              <w:t>0</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IS</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11,276</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10,033</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11,096</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32,405</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10,033</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b/>
                <w:bCs/>
                <w:sz w:val="20"/>
                <w:szCs w:val="20"/>
                <w:lang w:val="en-CA" w:eastAsia="en-CA"/>
              </w:rPr>
            </w:pPr>
            <w:r w:rsidRPr="00AA23BE">
              <w:rPr>
                <w:b/>
                <w:bCs/>
                <w:sz w:val="20"/>
                <w:szCs w:val="20"/>
                <w:lang w:val="en-CA" w:eastAsia="en-CA"/>
              </w:rPr>
              <w:t>Grand total</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b/>
                <w:bCs/>
                <w:sz w:val="20"/>
                <w:szCs w:val="20"/>
                <w:lang w:val="en-CA" w:eastAsia="en-CA"/>
              </w:rPr>
            </w:pPr>
            <w:r w:rsidRPr="00AA23BE">
              <w:rPr>
                <w:b/>
                <w:bCs/>
                <w:sz w:val="20"/>
                <w:szCs w:val="20"/>
                <w:lang w:val="en-CA" w:eastAsia="en-CA"/>
              </w:rPr>
              <w:t>167,975</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b/>
                <w:bCs/>
                <w:sz w:val="20"/>
                <w:szCs w:val="20"/>
                <w:lang w:val="en-CA" w:eastAsia="en-CA"/>
              </w:rPr>
            </w:pPr>
            <w:r w:rsidRPr="00AA23BE">
              <w:rPr>
                <w:b/>
                <w:bCs/>
                <w:sz w:val="20"/>
                <w:szCs w:val="20"/>
                <w:lang w:val="en-CA" w:eastAsia="en-CA"/>
              </w:rPr>
              <w:t>284,084</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b/>
                <w:bCs/>
                <w:sz w:val="20"/>
                <w:szCs w:val="20"/>
                <w:lang w:val="en-CA" w:eastAsia="en-CA"/>
              </w:rPr>
            </w:pPr>
            <w:r w:rsidRPr="00AA23BE">
              <w:rPr>
                <w:b/>
                <w:bCs/>
                <w:sz w:val="20"/>
                <w:szCs w:val="20"/>
                <w:lang w:val="en-CA" w:eastAsia="en-CA"/>
              </w:rPr>
              <w:t>264,648</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b/>
                <w:bCs/>
                <w:sz w:val="20"/>
                <w:szCs w:val="20"/>
                <w:lang w:val="en-CA" w:eastAsia="en-CA"/>
              </w:rPr>
            </w:pPr>
            <w:r w:rsidRPr="00AA23BE">
              <w:rPr>
                <w:b/>
                <w:bCs/>
                <w:sz w:val="20"/>
                <w:szCs w:val="20"/>
                <w:lang w:val="en-CA" w:eastAsia="en-CA"/>
              </w:rPr>
              <w:t>716,707</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b/>
                <w:bCs/>
                <w:sz w:val="20"/>
                <w:szCs w:val="20"/>
                <w:lang w:val="en-CA" w:eastAsia="en-CA"/>
              </w:rPr>
            </w:pPr>
            <w:r w:rsidRPr="00AA23BE">
              <w:rPr>
                <w:b/>
                <w:bCs/>
                <w:sz w:val="20"/>
                <w:szCs w:val="20"/>
                <w:lang w:val="en-CA" w:eastAsia="en-CA"/>
              </w:rPr>
              <w:t>333,854</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b/>
                <w:bCs/>
                <w:sz w:val="20"/>
                <w:szCs w:val="20"/>
                <w:lang w:val="en-CA" w:eastAsia="en-CA"/>
              </w:rPr>
            </w:pPr>
            <w:r w:rsidRPr="00AA23BE">
              <w:rPr>
                <w:b/>
                <w:bCs/>
                <w:sz w:val="20"/>
                <w:szCs w:val="20"/>
                <w:lang w:val="en-CA" w:eastAsia="en-CA"/>
              </w:rPr>
              <w:t>767,710</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Indicative budget**</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153,800</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169,167</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169,167</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492,133</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169,167</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Difference</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14,175</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114,917</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95,481</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224,574</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164,687</w:t>
            </w:r>
          </w:p>
        </w:tc>
        <w:tc>
          <w:tcPr>
            <w:tcW w:w="1134" w:type="dxa"/>
            <w:tcBorders>
              <w:top w:val="nil"/>
              <w:left w:val="nil"/>
              <w:bottom w:val="single" w:sz="4" w:space="0" w:color="auto"/>
              <w:right w:val="single" w:sz="4" w:space="0" w:color="auto"/>
            </w:tcBorders>
            <w:shd w:val="clear" w:color="auto" w:fill="auto"/>
          </w:tcPr>
          <w:p w:rsidR="00AB2377" w:rsidRPr="00AA23BE" w:rsidRDefault="00AB2377" w:rsidP="00AA23BE">
            <w:pPr>
              <w:jc w:val="right"/>
              <w:rPr>
                <w:sz w:val="20"/>
                <w:szCs w:val="20"/>
                <w:lang w:val="en-CA" w:eastAsia="en-CA"/>
              </w:rPr>
            </w:pPr>
          </w:p>
        </w:tc>
      </w:tr>
      <w:tr w:rsidR="00AF7C0C" w:rsidRPr="00AA23BE" w:rsidTr="00A02E8E">
        <w:trPr>
          <w:trHeight w:val="255"/>
        </w:trPr>
        <w:tc>
          <w:tcPr>
            <w:tcW w:w="9928" w:type="dxa"/>
            <w:gridSpan w:val="7"/>
            <w:tcBorders>
              <w:top w:val="nil"/>
              <w:left w:val="single" w:sz="4" w:space="0" w:color="auto"/>
              <w:bottom w:val="single" w:sz="4" w:space="0" w:color="auto"/>
              <w:right w:val="single" w:sz="4" w:space="0" w:color="auto"/>
            </w:tcBorders>
            <w:shd w:val="clear" w:color="auto" w:fill="auto"/>
            <w:hideMark/>
          </w:tcPr>
          <w:p w:rsidR="00AF7C0C" w:rsidRPr="00AA23BE" w:rsidRDefault="00AF7C0C" w:rsidP="00AA23BE">
            <w:pPr>
              <w:jc w:val="left"/>
              <w:rPr>
                <w:b/>
                <w:bCs/>
                <w:sz w:val="20"/>
                <w:szCs w:val="20"/>
                <w:lang w:val="en-CA" w:eastAsia="en-CA"/>
              </w:rPr>
            </w:pPr>
            <w:r w:rsidRPr="00AA23BE">
              <w:rPr>
                <w:b/>
                <w:bCs/>
                <w:sz w:val="20"/>
                <w:szCs w:val="20"/>
                <w:lang w:val="en-CA" w:eastAsia="en-CA"/>
              </w:rPr>
              <w:t>By agency</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France</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180</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F7C0C" w:rsidP="00AA23BE">
            <w:pPr>
              <w:jc w:val="right"/>
              <w:rPr>
                <w:sz w:val="20"/>
                <w:szCs w:val="20"/>
                <w:lang w:val="en-CA" w:eastAsia="en-CA"/>
              </w:rPr>
            </w:pPr>
            <w:r w:rsidRPr="00AA23BE">
              <w:rPr>
                <w:sz w:val="20"/>
                <w:szCs w:val="20"/>
                <w:lang w:val="en-CA" w:eastAsia="en-CA"/>
              </w:rPr>
              <w:t>0</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F7C0C" w:rsidP="00AA23BE">
            <w:pPr>
              <w:jc w:val="right"/>
              <w:rPr>
                <w:sz w:val="20"/>
                <w:szCs w:val="20"/>
                <w:lang w:val="en-CA" w:eastAsia="en-CA"/>
              </w:rPr>
            </w:pPr>
            <w:r w:rsidRPr="00AA23BE">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180</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F7C0C" w:rsidP="00AA23BE">
            <w:pPr>
              <w:jc w:val="right"/>
              <w:rPr>
                <w:sz w:val="20"/>
                <w:szCs w:val="20"/>
                <w:lang w:val="en-CA" w:eastAsia="en-CA"/>
              </w:rPr>
            </w:pPr>
            <w:r w:rsidRPr="00AA23BE">
              <w:rPr>
                <w:sz w:val="20"/>
                <w:szCs w:val="20"/>
                <w:lang w:val="en-CA" w:eastAsia="en-CA"/>
              </w:rPr>
              <w:t>0</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Germany</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2,017</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10,445</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751</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13,212</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7,553</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5,433</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Italy</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266</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107</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266</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638</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0</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Japan</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285</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130</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100</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516</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F7C0C" w:rsidP="00AA23BE">
            <w:pPr>
              <w:jc w:val="right"/>
              <w:rPr>
                <w:sz w:val="20"/>
                <w:szCs w:val="20"/>
                <w:lang w:val="en-CA" w:eastAsia="en-CA"/>
              </w:rPr>
            </w:pPr>
            <w:r w:rsidRPr="00AA23BE">
              <w:rPr>
                <w:sz w:val="20"/>
                <w:szCs w:val="20"/>
                <w:lang w:val="en-CA" w:eastAsia="en-CA"/>
              </w:rPr>
              <w:t>0</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UNDP</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27,101</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79,968</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82,603</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189,672</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92,213</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163,584</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UNEP</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26,508</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28,590</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24,956</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80,055</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33,381</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15,766</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UNIDO</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52,272</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86,584</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85,332</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224,188</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130,921</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268,171</w:t>
            </w:r>
          </w:p>
        </w:tc>
      </w:tr>
      <w:tr w:rsidR="00BF16FB"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BF16FB" w:rsidRPr="00AA23BE" w:rsidRDefault="00BF16FB" w:rsidP="00AA23BE">
            <w:pPr>
              <w:jc w:val="left"/>
              <w:rPr>
                <w:sz w:val="20"/>
                <w:szCs w:val="20"/>
                <w:lang w:val="en-CA" w:eastAsia="en-CA"/>
              </w:rPr>
            </w:pPr>
            <w:r w:rsidRPr="00AA23BE">
              <w:rPr>
                <w:sz w:val="20"/>
                <w:szCs w:val="20"/>
                <w:lang w:val="en-CA" w:eastAsia="en-CA"/>
              </w:rPr>
              <w:t>World Bank</w:t>
            </w:r>
          </w:p>
        </w:tc>
        <w:tc>
          <w:tcPr>
            <w:tcW w:w="992" w:type="dxa"/>
            <w:tcBorders>
              <w:top w:val="nil"/>
              <w:left w:val="nil"/>
              <w:bottom w:val="single" w:sz="4" w:space="0" w:color="auto"/>
              <w:right w:val="single" w:sz="4" w:space="0" w:color="auto"/>
            </w:tcBorders>
            <w:shd w:val="clear" w:color="auto" w:fill="auto"/>
            <w:hideMark/>
          </w:tcPr>
          <w:p w:rsidR="00BF16FB" w:rsidRPr="00AA23BE" w:rsidRDefault="00BF16FB" w:rsidP="00AA23BE">
            <w:pPr>
              <w:jc w:val="right"/>
              <w:rPr>
                <w:sz w:val="20"/>
                <w:szCs w:val="20"/>
                <w:lang w:val="en-CA" w:eastAsia="en-CA"/>
              </w:rPr>
            </w:pPr>
            <w:r w:rsidRPr="00AA23BE">
              <w:rPr>
                <w:sz w:val="20"/>
                <w:szCs w:val="20"/>
                <w:lang w:val="en-CA" w:eastAsia="en-CA"/>
              </w:rPr>
              <w:t>52,498</w:t>
            </w:r>
          </w:p>
        </w:tc>
        <w:tc>
          <w:tcPr>
            <w:tcW w:w="992" w:type="dxa"/>
            <w:tcBorders>
              <w:top w:val="nil"/>
              <w:left w:val="nil"/>
              <w:bottom w:val="single" w:sz="4" w:space="0" w:color="auto"/>
              <w:right w:val="single" w:sz="4" w:space="0" w:color="auto"/>
            </w:tcBorders>
            <w:shd w:val="clear" w:color="auto" w:fill="auto"/>
            <w:hideMark/>
          </w:tcPr>
          <w:p w:rsidR="00BF16FB" w:rsidRPr="00AA23BE" w:rsidRDefault="00BF16FB" w:rsidP="00AA23BE">
            <w:pPr>
              <w:jc w:val="right"/>
              <w:rPr>
                <w:sz w:val="20"/>
                <w:szCs w:val="20"/>
                <w:lang w:val="en-CA" w:eastAsia="en-CA"/>
              </w:rPr>
            </w:pPr>
            <w:r w:rsidRPr="00AA23BE">
              <w:rPr>
                <w:sz w:val="20"/>
                <w:szCs w:val="20"/>
                <w:lang w:val="en-CA" w:eastAsia="en-CA"/>
              </w:rPr>
              <w:t>71,278</w:t>
            </w:r>
          </w:p>
        </w:tc>
        <w:tc>
          <w:tcPr>
            <w:tcW w:w="993" w:type="dxa"/>
            <w:tcBorders>
              <w:top w:val="nil"/>
              <w:left w:val="nil"/>
              <w:bottom w:val="single" w:sz="4" w:space="0" w:color="auto"/>
              <w:right w:val="single" w:sz="4" w:space="0" w:color="auto"/>
            </w:tcBorders>
            <w:shd w:val="clear" w:color="auto" w:fill="auto"/>
            <w:hideMark/>
          </w:tcPr>
          <w:p w:rsidR="00BF16FB" w:rsidRPr="00AA23BE" w:rsidRDefault="00BF16FB" w:rsidP="00AA23BE">
            <w:pPr>
              <w:jc w:val="right"/>
              <w:rPr>
                <w:sz w:val="20"/>
                <w:szCs w:val="20"/>
                <w:lang w:val="en-CA" w:eastAsia="en-CA"/>
              </w:rPr>
            </w:pPr>
            <w:r w:rsidRPr="00AA23BE">
              <w:rPr>
                <w:sz w:val="20"/>
                <w:szCs w:val="20"/>
                <w:lang w:val="en-CA" w:eastAsia="en-CA"/>
              </w:rPr>
              <w:t>63,522</w:t>
            </w:r>
          </w:p>
        </w:tc>
        <w:tc>
          <w:tcPr>
            <w:tcW w:w="1276" w:type="dxa"/>
            <w:tcBorders>
              <w:top w:val="nil"/>
              <w:left w:val="nil"/>
              <w:bottom w:val="single" w:sz="4" w:space="0" w:color="auto"/>
              <w:right w:val="single" w:sz="4" w:space="0" w:color="auto"/>
            </w:tcBorders>
            <w:shd w:val="clear" w:color="auto" w:fill="auto"/>
            <w:hideMark/>
          </w:tcPr>
          <w:p w:rsidR="00BF16FB" w:rsidRPr="00AA23BE" w:rsidRDefault="00BF16FB" w:rsidP="00AA23BE">
            <w:pPr>
              <w:jc w:val="right"/>
              <w:rPr>
                <w:sz w:val="20"/>
                <w:szCs w:val="20"/>
                <w:lang w:val="en-CA" w:eastAsia="en-CA"/>
              </w:rPr>
            </w:pPr>
            <w:r w:rsidRPr="00AA23BE">
              <w:rPr>
                <w:sz w:val="20"/>
                <w:szCs w:val="20"/>
                <w:lang w:val="en-CA" w:eastAsia="en-CA"/>
              </w:rPr>
              <w:t>187,298</w:t>
            </w:r>
          </w:p>
        </w:tc>
        <w:tc>
          <w:tcPr>
            <w:tcW w:w="992" w:type="dxa"/>
            <w:tcBorders>
              <w:top w:val="nil"/>
              <w:left w:val="nil"/>
              <w:bottom w:val="single" w:sz="4" w:space="0" w:color="auto"/>
              <w:right w:val="single" w:sz="4" w:space="0" w:color="auto"/>
            </w:tcBorders>
            <w:shd w:val="clear" w:color="auto" w:fill="auto"/>
            <w:hideMark/>
          </w:tcPr>
          <w:p w:rsidR="00BF16FB" w:rsidRPr="00AA23BE" w:rsidRDefault="00BF16FB" w:rsidP="00AA23BE">
            <w:pPr>
              <w:jc w:val="right"/>
              <w:rPr>
                <w:sz w:val="20"/>
                <w:szCs w:val="20"/>
                <w:lang w:val="en-CA" w:eastAsia="en-CA"/>
              </w:rPr>
            </w:pPr>
            <w:r w:rsidRPr="00AA23BE">
              <w:rPr>
                <w:sz w:val="20"/>
                <w:szCs w:val="20"/>
                <w:lang w:val="en-CA" w:eastAsia="en-CA"/>
              </w:rPr>
              <w:t>62,421</w:t>
            </w:r>
          </w:p>
        </w:tc>
        <w:tc>
          <w:tcPr>
            <w:tcW w:w="1134" w:type="dxa"/>
            <w:tcBorders>
              <w:top w:val="nil"/>
              <w:left w:val="nil"/>
              <w:bottom w:val="single" w:sz="4" w:space="0" w:color="auto"/>
              <w:right w:val="single" w:sz="4" w:space="0" w:color="auto"/>
            </w:tcBorders>
            <w:shd w:val="clear" w:color="auto" w:fill="auto"/>
            <w:hideMark/>
          </w:tcPr>
          <w:p w:rsidR="00BF16FB" w:rsidRPr="00AA23BE" w:rsidRDefault="00BF16FB" w:rsidP="00AA23BE">
            <w:pPr>
              <w:jc w:val="right"/>
              <w:rPr>
                <w:sz w:val="20"/>
                <w:szCs w:val="20"/>
                <w:lang w:val="en-CA" w:eastAsia="en-CA"/>
              </w:rPr>
            </w:pPr>
            <w:r w:rsidRPr="00AA23BE">
              <w:rPr>
                <w:sz w:val="20"/>
                <w:szCs w:val="20"/>
                <w:lang w:val="en-CA" w:eastAsia="en-CA"/>
              </w:rPr>
              <w:t>314,758</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HPMP verification</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589</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589</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589</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1,766</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589</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AF7C0C" w:rsidP="00AA23BE">
            <w:pPr>
              <w:jc w:val="right"/>
              <w:rPr>
                <w:sz w:val="20"/>
                <w:szCs w:val="20"/>
                <w:lang w:val="en-CA" w:eastAsia="en-CA"/>
              </w:rPr>
            </w:pPr>
            <w:r w:rsidRPr="00AA23BE">
              <w:rPr>
                <w:sz w:val="20"/>
                <w:szCs w:val="20"/>
                <w:lang w:val="en-CA" w:eastAsia="en-CA"/>
              </w:rPr>
              <w:t>0</w:t>
            </w:r>
            <w:r w:rsidR="00AB2377" w:rsidRPr="00AA23BE">
              <w:rPr>
                <w:sz w:val="20"/>
                <w:szCs w:val="20"/>
                <w:lang w:val="en-CA" w:eastAsia="en-CA"/>
              </w:rPr>
              <w:t> </w:t>
            </w:r>
          </w:p>
        </w:tc>
      </w:tr>
      <w:tr w:rsidR="00AB2377" w:rsidRPr="00AA23BE" w:rsidTr="0065767E">
        <w:trPr>
          <w:trHeight w:val="510"/>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Secretariat, Executive Committee, and Monitoring and Evaluation costs minus Canadian counterpart</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5,759</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5,893</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6,030</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17,682</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6,172</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932874" w:rsidP="00AA23BE">
            <w:pPr>
              <w:jc w:val="right"/>
              <w:rPr>
                <w:sz w:val="20"/>
                <w:szCs w:val="20"/>
                <w:lang w:val="en-CA" w:eastAsia="en-CA"/>
              </w:rPr>
            </w:pPr>
            <w:r w:rsidRPr="00AA23BE">
              <w:rPr>
                <w:sz w:val="20"/>
                <w:szCs w:val="20"/>
                <w:lang w:val="en-US" w:eastAsia="en-CA"/>
              </w:rPr>
              <w:t>0</w:t>
            </w:r>
            <w:r w:rsidR="00AB2377" w:rsidRPr="00AA23BE">
              <w:rPr>
                <w:sz w:val="20"/>
                <w:szCs w:val="20"/>
                <w:lang w:val="en-US" w:eastAsia="en-CA"/>
              </w:rPr>
              <w:t> </w:t>
            </w:r>
          </w:p>
        </w:tc>
      </w:tr>
      <w:tr w:rsidR="00AB2377" w:rsidRPr="00AA23BE" w:rsidTr="0065767E">
        <w:trPr>
          <w:trHeight w:val="255"/>
        </w:trPr>
        <w:tc>
          <w:tcPr>
            <w:tcW w:w="3549" w:type="dxa"/>
            <w:tcBorders>
              <w:top w:val="nil"/>
              <w:left w:val="single" w:sz="4" w:space="0" w:color="auto"/>
              <w:bottom w:val="single" w:sz="4" w:space="0" w:color="auto"/>
              <w:right w:val="single" w:sz="4" w:space="0" w:color="auto"/>
            </w:tcBorders>
            <w:shd w:val="clear" w:color="auto" w:fill="auto"/>
            <w:hideMark/>
          </w:tcPr>
          <w:p w:rsidR="00AB2377" w:rsidRPr="00AA23BE" w:rsidRDefault="00AB2377" w:rsidP="00AA23BE">
            <w:pPr>
              <w:jc w:val="left"/>
              <w:rPr>
                <w:sz w:val="20"/>
                <w:szCs w:val="20"/>
                <w:lang w:val="en-CA" w:eastAsia="en-CA"/>
              </w:rPr>
            </w:pPr>
            <w:r w:rsidRPr="00AA23BE">
              <w:rPr>
                <w:sz w:val="20"/>
                <w:szCs w:val="20"/>
                <w:lang w:val="en-CA" w:eastAsia="en-CA"/>
              </w:rPr>
              <w:t>Treasurer</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500</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500</w:t>
            </w:r>
          </w:p>
        </w:tc>
        <w:tc>
          <w:tcPr>
            <w:tcW w:w="993"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500</w:t>
            </w:r>
          </w:p>
        </w:tc>
        <w:tc>
          <w:tcPr>
            <w:tcW w:w="1276"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CA" w:eastAsia="en-CA"/>
              </w:rPr>
              <w:t>1,500</w:t>
            </w:r>
          </w:p>
        </w:tc>
        <w:tc>
          <w:tcPr>
            <w:tcW w:w="992" w:type="dxa"/>
            <w:tcBorders>
              <w:top w:val="nil"/>
              <w:left w:val="nil"/>
              <w:bottom w:val="single" w:sz="4" w:space="0" w:color="auto"/>
              <w:right w:val="single" w:sz="4" w:space="0" w:color="auto"/>
            </w:tcBorders>
            <w:shd w:val="clear" w:color="auto" w:fill="auto"/>
            <w:hideMark/>
          </w:tcPr>
          <w:p w:rsidR="00AB2377" w:rsidRPr="00AA23BE" w:rsidRDefault="00AB2377" w:rsidP="00AA23BE">
            <w:pPr>
              <w:jc w:val="right"/>
              <w:rPr>
                <w:sz w:val="20"/>
                <w:szCs w:val="20"/>
                <w:lang w:val="en-CA" w:eastAsia="en-CA"/>
              </w:rPr>
            </w:pPr>
            <w:r w:rsidRPr="00AA23BE">
              <w:rPr>
                <w:sz w:val="20"/>
                <w:szCs w:val="20"/>
                <w:lang w:val="en-US" w:eastAsia="en-CA"/>
              </w:rPr>
              <w:t>500</w:t>
            </w:r>
          </w:p>
        </w:tc>
        <w:tc>
          <w:tcPr>
            <w:tcW w:w="1134" w:type="dxa"/>
            <w:tcBorders>
              <w:top w:val="nil"/>
              <w:left w:val="nil"/>
              <w:bottom w:val="single" w:sz="4" w:space="0" w:color="auto"/>
              <w:right w:val="single" w:sz="4" w:space="0" w:color="auto"/>
            </w:tcBorders>
            <w:shd w:val="clear" w:color="auto" w:fill="auto"/>
            <w:hideMark/>
          </w:tcPr>
          <w:p w:rsidR="00AB2377" w:rsidRPr="00AA23BE" w:rsidRDefault="00932874" w:rsidP="00AA23BE">
            <w:pPr>
              <w:jc w:val="right"/>
              <w:rPr>
                <w:sz w:val="20"/>
                <w:szCs w:val="20"/>
                <w:lang w:val="en-CA" w:eastAsia="en-CA"/>
              </w:rPr>
            </w:pPr>
            <w:r w:rsidRPr="00AA23BE">
              <w:rPr>
                <w:sz w:val="20"/>
                <w:szCs w:val="20"/>
                <w:lang w:val="en-US" w:eastAsia="en-CA"/>
              </w:rPr>
              <w:t>0</w:t>
            </w:r>
            <w:r w:rsidR="00AB2377" w:rsidRPr="00AA23BE">
              <w:rPr>
                <w:sz w:val="20"/>
                <w:szCs w:val="20"/>
                <w:lang w:val="en-US" w:eastAsia="en-CA"/>
              </w:rPr>
              <w:t> </w:t>
            </w:r>
          </w:p>
        </w:tc>
      </w:tr>
    </w:tbl>
    <w:p w:rsidR="00AF7C0C" w:rsidRPr="00AA23BE" w:rsidRDefault="00E6554D" w:rsidP="00AA23BE">
      <w:pPr>
        <w:keepNext/>
        <w:jc w:val="left"/>
        <w:rPr>
          <w:sz w:val="18"/>
          <w:szCs w:val="18"/>
          <w:lang w:val="en-CA"/>
        </w:rPr>
      </w:pPr>
      <w:r w:rsidRPr="00AA23BE">
        <w:rPr>
          <w:sz w:val="18"/>
          <w:szCs w:val="18"/>
          <w:lang w:val="en-CA"/>
        </w:rPr>
        <w:t>* Including agency support costs where applicable.</w:t>
      </w:r>
    </w:p>
    <w:p w:rsidR="00E6554D" w:rsidRPr="00AA23BE" w:rsidRDefault="00E6554D" w:rsidP="00AA23BE">
      <w:pPr>
        <w:keepNext/>
        <w:jc w:val="left"/>
        <w:rPr>
          <w:sz w:val="18"/>
          <w:szCs w:val="18"/>
          <w:lang w:val="en-CA"/>
        </w:rPr>
      </w:pPr>
      <w:r w:rsidRPr="00AA23BE">
        <w:rPr>
          <w:sz w:val="18"/>
          <w:szCs w:val="18"/>
          <w:lang w:val="en-CA"/>
        </w:rPr>
        <w:t>** Based on decision 74/3(c) for 2016 and 2017, and the level of previous replenishments for 2018.</w:t>
      </w:r>
    </w:p>
    <w:p w:rsidR="00E6554D" w:rsidRPr="00AA23BE" w:rsidRDefault="00E6554D" w:rsidP="00AA23BE">
      <w:pPr>
        <w:keepNext/>
        <w:rPr>
          <w:b/>
          <w:lang w:val="en-CA"/>
        </w:rPr>
      </w:pPr>
    </w:p>
    <w:p w:rsidR="00E6554D" w:rsidRPr="00AA23BE" w:rsidRDefault="00E6554D" w:rsidP="00AA23BE">
      <w:pPr>
        <w:pStyle w:val="Footer"/>
        <w:tabs>
          <w:tab w:val="clear" w:pos="4320"/>
          <w:tab w:val="clear" w:pos="8640"/>
          <w:tab w:val="left" w:pos="450"/>
          <w:tab w:val="left" w:pos="720"/>
          <w:tab w:val="left" w:pos="990"/>
          <w:tab w:val="left" w:pos="1440"/>
          <w:tab w:val="left" w:pos="2160"/>
        </w:tabs>
        <w:spacing w:after="240"/>
        <w:ind w:left="1440" w:hanging="1440"/>
        <w:rPr>
          <w:b/>
          <w:lang w:val="en-CA"/>
        </w:rPr>
      </w:pPr>
      <w:r w:rsidRPr="00AA23BE">
        <w:rPr>
          <w:b/>
          <w:lang w:val="en-CA"/>
        </w:rPr>
        <w:t>Other policy issues</w:t>
      </w:r>
    </w:p>
    <w:p w:rsidR="00E6554D" w:rsidRPr="00AA23BE" w:rsidRDefault="00E6554D" w:rsidP="00AA23BE">
      <w:pPr>
        <w:pStyle w:val="Footer"/>
        <w:keepNext/>
        <w:tabs>
          <w:tab w:val="clear" w:pos="4320"/>
          <w:tab w:val="clear" w:pos="8640"/>
          <w:tab w:val="left" w:pos="450"/>
          <w:tab w:val="left" w:pos="720"/>
          <w:tab w:val="left" w:pos="990"/>
          <w:tab w:val="left" w:pos="1440"/>
          <w:tab w:val="left" w:pos="2160"/>
        </w:tabs>
        <w:ind w:left="1440" w:hanging="1440"/>
        <w:rPr>
          <w:b/>
          <w:lang w:val="en-CA"/>
        </w:rPr>
      </w:pPr>
      <w:r w:rsidRPr="00AA23BE">
        <w:rPr>
          <w:b/>
          <w:lang w:val="en-CA"/>
        </w:rPr>
        <w:t>Activities in the 201</w:t>
      </w:r>
      <w:r w:rsidR="0025209D" w:rsidRPr="00AA23BE">
        <w:rPr>
          <w:b/>
          <w:lang w:val="en-CA"/>
        </w:rPr>
        <w:t>6</w:t>
      </w:r>
      <w:r w:rsidRPr="00AA23BE">
        <w:rPr>
          <w:b/>
          <w:lang w:val="en-CA"/>
        </w:rPr>
        <w:t xml:space="preserve"> business plan not approved at the 7</w:t>
      </w:r>
      <w:r w:rsidR="0025209D" w:rsidRPr="00AA23BE">
        <w:rPr>
          <w:b/>
          <w:lang w:val="en-CA"/>
        </w:rPr>
        <w:t>7</w:t>
      </w:r>
      <w:r w:rsidRPr="00AA23BE">
        <w:rPr>
          <w:b/>
          <w:vertAlign w:val="superscript"/>
          <w:lang w:val="en-CA"/>
        </w:rPr>
        <w:t>th</w:t>
      </w:r>
      <w:r w:rsidRPr="00AA23BE">
        <w:rPr>
          <w:b/>
          <w:lang w:val="en-CA"/>
        </w:rPr>
        <w:t xml:space="preserve"> meeting</w:t>
      </w:r>
    </w:p>
    <w:p w:rsidR="00E6554D" w:rsidRPr="00AA23BE" w:rsidRDefault="00E6554D" w:rsidP="00AA23BE">
      <w:pPr>
        <w:pStyle w:val="Footer"/>
        <w:keepNext/>
        <w:tabs>
          <w:tab w:val="clear" w:pos="4320"/>
          <w:tab w:val="clear" w:pos="8640"/>
          <w:tab w:val="left" w:pos="450"/>
          <w:tab w:val="left" w:pos="720"/>
          <w:tab w:val="left" w:pos="990"/>
          <w:tab w:val="left" w:pos="1440"/>
          <w:tab w:val="left" w:pos="2160"/>
        </w:tabs>
        <w:ind w:left="1440" w:hanging="1440"/>
        <w:rPr>
          <w:lang w:val="en-CA"/>
        </w:rPr>
      </w:pPr>
    </w:p>
    <w:p w:rsidR="00E6554D" w:rsidRPr="00AA23BE" w:rsidRDefault="00E6554D" w:rsidP="00AA23BE">
      <w:pPr>
        <w:pStyle w:val="Heading1"/>
        <w:rPr>
          <w:lang w:val="en-CA"/>
        </w:rPr>
      </w:pPr>
      <w:r w:rsidRPr="00AA23BE">
        <w:rPr>
          <w:lang w:val="en-CA"/>
        </w:rPr>
        <w:t>Activities included in the 201</w:t>
      </w:r>
      <w:r w:rsidR="0025209D" w:rsidRPr="00AA23BE">
        <w:rPr>
          <w:lang w:val="en-CA"/>
        </w:rPr>
        <w:t>6</w:t>
      </w:r>
      <w:r w:rsidRPr="00AA23BE">
        <w:rPr>
          <w:lang w:val="en-CA"/>
        </w:rPr>
        <w:t xml:space="preserve"> business plans of bilateral and implementing agencies but not submitted to the 7</w:t>
      </w:r>
      <w:r w:rsidR="0025209D" w:rsidRPr="00AA23BE">
        <w:rPr>
          <w:lang w:val="en-CA"/>
        </w:rPr>
        <w:t>7</w:t>
      </w:r>
      <w:r w:rsidRPr="00AA23BE">
        <w:rPr>
          <w:vertAlign w:val="superscript"/>
          <w:lang w:val="en-CA"/>
        </w:rPr>
        <w:t>th</w:t>
      </w:r>
      <w:r w:rsidRPr="00AA23BE">
        <w:rPr>
          <w:lang w:val="en-CA"/>
        </w:rPr>
        <w:t xml:space="preserve"> meeting have already been included in the 201</w:t>
      </w:r>
      <w:r w:rsidR="0025209D" w:rsidRPr="00AA23BE">
        <w:rPr>
          <w:lang w:val="en-CA"/>
        </w:rPr>
        <w:t>7</w:t>
      </w:r>
      <w:r w:rsidRPr="00AA23BE">
        <w:rPr>
          <w:lang w:val="en-CA"/>
        </w:rPr>
        <w:t>-201</w:t>
      </w:r>
      <w:r w:rsidR="0025209D" w:rsidRPr="00AA23BE">
        <w:rPr>
          <w:lang w:val="en-CA"/>
        </w:rPr>
        <w:t>9</w:t>
      </w:r>
      <w:r w:rsidRPr="00AA23BE">
        <w:rPr>
          <w:lang w:val="en-CA"/>
        </w:rPr>
        <w:t xml:space="preserve"> business </w:t>
      </w:r>
      <w:proofErr w:type="gramStart"/>
      <w:r w:rsidRPr="00AA23BE">
        <w:rPr>
          <w:lang w:val="en-CA"/>
        </w:rPr>
        <w:t>plan</w:t>
      </w:r>
      <w:proofErr w:type="gramEnd"/>
      <w:r w:rsidRPr="00AA23BE">
        <w:rPr>
          <w:lang w:val="en-CA"/>
        </w:rPr>
        <w:t>. Any project submitted to the 7</w:t>
      </w:r>
      <w:r w:rsidR="0025209D" w:rsidRPr="00AA23BE">
        <w:rPr>
          <w:lang w:val="en-CA"/>
        </w:rPr>
        <w:t>7</w:t>
      </w:r>
      <w:r w:rsidRPr="00AA23BE">
        <w:rPr>
          <w:vertAlign w:val="superscript"/>
          <w:lang w:val="en-CA"/>
        </w:rPr>
        <w:t>th</w:t>
      </w:r>
      <w:r w:rsidRPr="00AA23BE">
        <w:rPr>
          <w:lang w:val="en-CA"/>
        </w:rPr>
        <w:t xml:space="preserve"> meeting but </w:t>
      </w:r>
      <w:r w:rsidR="00AF7C0C" w:rsidRPr="00AA23BE">
        <w:rPr>
          <w:lang w:val="en-CA"/>
        </w:rPr>
        <w:t xml:space="preserve">subsequently </w:t>
      </w:r>
      <w:r w:rsidRPr="00AA23BE">
        <w:rPr>
          <w:lang w:val="en-CA"/>
        </w:rPr>
        <w:t xml:space="preserve">deferred should also be </w:t>
      </w:r>
      <w:r w:rsidR="00AF7C0C" w:rsidRPr="00AA23BE">
        <w:rPr>
          <w:lang w:val="en-CA"/>
        </w:rPr>
        <w:t>included in</w:t>
      </w:r>
      <w:r w:rsidRPr="00AA23BE">
        <w:rPr>
          <w:lang w:val="en-CA"/>
        </w:rPr>
        <w:t xml:space="preserve"> the 201</w:t>
      </w:r>
      <w:r w:rsidR="0025209D" w:rsidRPr="00AA23BE">
        <w:rPr>
          <w:lang w:val="en-CA"/>
        </w:rPr>
        <w:t>7</w:t>
      </w:r>
      <w:r w:rsidR="00AF7C0C" w:rsidRPr="00AA23BE">
        <w:rPr>
          <w:lang w:val="en-CA"/>
        </w:rPr>
        <w:t>-2019</w:t>
      </w:r>
      <w:r w:rsidRPr="00AA23BE">
        <w:rPr>
          <w:lang w:val="en-CA"/>
        </w:rPr>
        <w:t xml:space="preserve"> business </w:t>
      </w:r>
      <w:proofErr w:type="gramStart"/>
      <w:r w:rsidRPr="00AA23BE">
        <w:rPr>
          <w:lang w:val="en-CA"/>
        </w:rPr>
        <w:t>plan</w:t>
      </w:r>
      <w:proofErr w:type="gramEnd"/>
      <w:r w:rsidRPr="00AA23BE">
        <w:rPr>
          <w:lang w:val="en-CA"/>
        </w:rPr>
        <w:t xml:space="preserve"> along with the resource allocation provided for them in the 2015</w:t>
      </w:r>
      <w:r w:rsidRPr="00AA23BE">
        <w:rPr>
          <w:lang w:val="en-CA"/>
        </w:rPr>
        <w:noBreakHyphen/>
        <w:t xml:space="preserve">2017 triennium as advised by the bilateral and implementing agencies. </w:t>
      </w:r>
    </w:p>
    <w:p w:rsidR="00C47A39" w:rsidRPr="00AA23BE" w:rsidRDefault="00E6554D" w:rsidP="00AA23BE">
      <w:pPr>
        <w:pStyle w:val="Heading1"/>
        <w:rPr>
          <w:lang w:val="en-CA"/>
        </w:rPr>
      </w:pPr>
      <w:r w:rsidRPr="00AA23BE">
        <w:rPr>
          <w:lang w:val="en-CA"/>
        </w:rPr>
        <w:t>The approval of activities not included in the 201</w:t>
      </w:r>
      <w:r w:rsidR="0025209D" w:rsidRPr="00AA23BE">
        <w:rPr>
          <w:lang w:val="en-CA"/>
        </w:rPr>
        <w:t>6</w:t>
      </w:r>
      <w:r w:rsidRPr="00AA23BE">
        <w:rPr>
          <w:lang w:val="en-CA"/>
        </w:rPr>
        <w:t xml:space="preserve"> business plan at the 7</w:t>
      </w:r>
      <w:r w:rsidR="0025209D" w:rsidRPr="00AA23BE">
        <w:rPr>
          <w:lang w:val="en-CA"/>
        </w:rPr>
        <w:t>7</w:t>
      </w:r>
      <w:r w:rsidRPr="00AA23BE">
        <w:rPr>
          <w:vertAlign w:val="superscript"/>
          <w:lang w:val="en-CA"/>
        </w:rPr>
        <w:t>th</w:t>
      </w:r>
      <w:r w:rsidR="005D2751" w:rsidRPr="00AA23BE">
        <w:rPr>
          <w:lang w:val="en-CA"/>
        </w:rPr>
        <w:t xml:space="preserve"> </w:t>
      </w:r>
      <w:r w:rsidRPr="00AA23BE">
        <w:rPr>
          <w:lang w:val="en-CA"/>
        </w:rPr>
        <w:t>meeting may result in less resources being available for the remainder of the 2015-2017 replenishment as indicated in the Update on the</w:t>
      </w:r>
      <w:r w:rsidR="00AF7C0C" w:rsidRPr="00AA23BE">
        <w:rPr>
          <w:lang w:val="en-CA"/>
        </w:rPr>
        <w:t xml:space="preserve"> status of</w:t>
      </w:r>
      <w:r w:rsidRPr="00AA23BE">
        <w:rPr>
          <w:lang w:val="en-CA"/>
        </w:rPr>
        <w:t xml:space="preserve"> implementation of the 201</w:t>
      </w:r>
      <w:r w:rsidR="005D2751" w:rsidRPr="00AA23BE">
        <w:rPr>
          <w:lang w:val="en-CA"/>
        </w:rPr>
        <w:t>6-2018</w:t>
      </w:r>
      <w:r w:rsidRPr="00AA23BE">
        <w:rPr>
          <w:lang w:val="en-CA"/>
        </w:rPr>
        <w:t xml:space="preserve"> </w:t>
      </w:r>
      <w:r w:rsidR="00AF7C0C" w:rsidRPr="00AA23BE">
        <w:rPr>
          <w:lang w:val="en-CA"/>
        </w:rPr>
        <w:t xml:space="preserve">consolidated </w:t>
      </w:r>
      <w:r w:rsidRPr="00AA23BE">
        <w:rPr>
          <w:lang w:val="en-CA"/>
        </w:rPr>
        <w:t>business plan</w:t>
      </w:r>
      <w:r w:rsidR="00AF7C0C" w:rsidRPr="00AA23BE">
        <w:rPr>
          <w:lang w:val="en-CA"/>
        </w:rPr>
        <w:t xml:space="preserve"> of the Multilateral Fund</w:t>
      </w:r>
      <w:r w:rsidRPr="00AA23BE">
        <w:rPr>
          <w:vertAlign w:val="superscript"/>
        </w:rPr>
        <w:footnoteReference w:id="12"/>
      </w:r>
      <w:r w:rsidRPr="00AA23BE">
        <w:rPr>
          <w:lang w:val="en-CA"/>
        </w:rPr>
        <w:t xml:space="preserve">. </w:t>
      </w:r>
    </w:p>
    <w:p w:rsidR="00E6554D" w:rsidRPr="00AA23BE" w:rsidRDefault="00E6554D" w:rsidP="00AA23BE">
      <w:pPr>
        <w:pStyle w:val="Heading1"/>
        <w:keepNext/>
        <w:numPr>
          <w:ilvl w:val="0"/>
          <w:numId w:val="0"/>
        </w:numPr>
        <w:tabs>
          <w:tab w:val="left" w:pos="450"/>
          <w:tab w:val="left" w:pos="720"/>
          <w:tab w:val="left" w:pos="990"/>
          <w:tab w:val="left" w:pos="1440"/>
          <w:tab w:val="left" w:pos="2160"/>
        </w:tabs>
        <w:spacing w:after="0"/>
        <w:rPr>
          <w:b/>
          <w:lang w:val="en-CA"/>
        </w:rPr>
      </w:pPr>
      <w:r w:rsidRPr="00AA23BE">
        <w:rPr>
          <w:b/>
          <w:lang w:val="en-CA"/>
        </w:rPr>
        <w:t xml:space="preserve">Over-budgeting </w:t>
      </w:r>
    </w:p>
    <w:p w:rsidR="00AF7C0C" w:rsidRPr="00AA23BE" w:rsidRDefault="00AF7C0C" w:rsidP="00AA23BE">
      <w:pPr>
        <w:rPr>
          <w:lang w:val="en-CA"/>
        </w:rPr>
      </w:pPr>
    </w:p>
    <w:p w:rsidR="00CD1366" w:rsidRPr="00AA23BE" w:rsidRDefault="00AF7C0C" w:rsidP="00AA23BE">
      <w:pPr>
        <w:pStyle w:val="Heading1"/>
        <w:rPr>
          <w:lang w:val="en-CA"/>
        </w:rPr>
      </w:pPr>
      <w:r w:rsidRPr="00AA23BE">
        <w:rPr>
          <w:lang w:val="en-CA"/>
        </w:rPr>
        <w:t>After adjustments are made, t</w:t>
      </w:r>
      <w:r w:rsidR="00E6554D" w:rsidRPr="00AA23BE">
        <w:rPr>
          <w:lang w:val="en-CA"/>
        </w:rPr>
        <w:t>he activities in the business plan exceed the overall indicative budget by US $</w:t>
      </w:r>
      <w:r w:rsidR="007C7799" w:rsidRPr="00AA23BE">
        <w:rPr>
          <w:lang w:val="en-CA"/>
        </w:rPr>
        <w:t>224.57</w:t>
      </w:r>
      <w:r w:rsidR="00E6554D" w:rsidRPr="00AA23BE">
        <w:rPr>
          <w:lang w:val="en-CA"/>
        </w:rPr>
        <w:t xml:space="preserve"> million</w:t>
      </w:r>
      <w:r w:rsidRPr="00AA23BE">
        <w:rPr>
          <w:lang w:val="en-CA"/>
        </w:rPr>
        <w:t xml:space="preserve"> for 2017-2019 (i.e.,</w:t>
      </w:r>
      <w:r w:rsidR="00E6554D" w:rsidRPr="00AA23BE">
        <w:rPr>
          <w:lang w:val="en-CA"/>
        </w:rPr>
        <w:t xml:space="preserve"> US $</w:t>
      </w:r>
      <w:r w:rsidR="007C7799" w:rsidRPr="00AA23BE">
        <w:rPr>
          <w:lang w:val="en-CA"/>
        </w:rPr>
        <w:t>14.18</w:t>
      </w:r>
      <w:r w:rsidR="00E6554D" w:rsidRPr="00AA23BE">
        <w:rPr>
          <w:lang w:val="en-CA"/>
        </w:rPr>
        <w:t xml:space="preserve"> million in 201</w:t>
      </w:r>
      <w:r w:rsidR="007C7799" w:rsidRPr="00AA23BE">
        <w:rPr>
          <w:lang w:val="en-CA"/>
        </w:rPr>
        <w:t>7</w:t>
      </w:r>
      <w:r w:rsidR="00E6554D" w:rsidRPr="00AA23BE">
        <w:rPr>
          <w:lang w:val="en-CA"/>
        </w:rPr>
        <w:t>, US $</w:t>
      </w:r>
      <w:r w:rsidR="007C7799" w:rsidRPr="00AA23BE">
        <w:rPr>
          <w:lang w:val="en-CA"/>
        </w:rPr>
        <w:t>114.92</w:t>
      </w:r>
      <w:r w:rsidR="00E6554D" w:rsidRPr="00AA23BE">
        <w:rPr>
          <w:lang w:val="en-CA"/>
        </w:rPr>
        <w:t> million in 201</w:t>
      </w:r>
      <w:r w:rsidR="007C7799" w:rsidRPr="00AA23BE">
        <w:rPr>
          <w:lang w:val="en-CA"/>
        </w:rPr>
        <w:t>8</w:t>
      </w:r>
      <w:r w:rsidR="00E6554D" w:rsidRPr="00AA23BE">
        <w:rPr>
          <w:lang w:val="en-CA"/>
        </w:rPr>
        <w:t>, and US $</w:t>
      </w:r>
      <w:r w:rsidR="007C7799" w:rsidRPr="00AA23BE">
        <w:rPr>
          <w:lang w:val="en-CA"/>
        </w:rPr>
        <w:t>95.48</w:t>
      </w:r>
      <w:r w:rsidR="00E6554D" w:rsidRPr="00AA23BE">
        <w:rPr>
          <w:lang w:val="en-CA"/>
        </w:rPr>
        <w:t> million in 201</w:t>
      </w:r>
      <w:r w:rsidR="007C7799" w:rsidRPr="00AA23BE">
        <w:rPr>
          <w:lang w:val="en-CA"/>
        </w:rPr>
        <w:t>9</w:t>
      </w:r>
      <w:r w:rsidR="00CD1366" w:rsidRPr="00AA23BE">
        <w:rPr>
          <w:lang w:val="en-CA"/>
        </w:rPr>
        <w:t>), and by US $164.69 million in 2020</w:t>
      </w:r>
      <w:r w:rsidR="00E6554D" w:rsidRPr="00AA23BE">
        <w:rPr>
          <w:lang w:val="en-CA"/>
        </w:rPr>
        <w:t xml:space="preserve">. </w:t>
      </w:r>
      <w:r w:rsidR="00CD1366" w:rsidRPr="00AA23BE">
        <w:rPr>
          <w:lang w:val="en-CA"/>
        </w:rPr>
        <w:t>The</w:t>
      </w:r>
      <w:r w:rsidR="00E6554D" w:rsidRPr="00AA23BE">
        <w:rPr>
          <w:lang w:val="en-CA"/>
        </w:rPr>
        <w:t xml:space="preserve"> indicative budget </w:t>
      </w:r>
      <w:r w:rsidR="004814B5" w:rsidRPr="00AA23BE">
        <w:rPr>
          <w:lang w:val="en-CA"/>
        </w:rPr>
        <w:t>assumes US $169.167 million annually for the next replenishment period of 2018-2020 at the same level as the current replenishment (201</w:t>
      </w:r>
      <w:r w:rsidR="00581A54" w:rsidRPr="00AA23BE">
        <w:rPr>
          <w:lang w:val="en-CA"/>
        </w:rPr>
        <w:t>5</w:t>
      </w:r>
      <w:r w:rsidR="004814B5" w:rsidRPr="00AA23BE">
        <w:rPr>
          <w:lang w:val="en-CA"/>
        </w:rPr>
        <w:t>-2017)</w:t>
      </w:r>
      <w:r w:rsidR="00E6554D" w:rsidRPr="00AA23BE">
        <w:rPr>
          <w:lang w:val="en-CA"/>
        </w:rPr>
        <w:t xml:space="preserve">. </w:t>
      </w:r>
    </w:p>
    <w:p w:rsidR="00E6554D" w:rsidRPr="00AA23BE" w:rsidRDefault="00511A33" w:rsidP="00AA23BE">
      <w:pPr>
        <w:pStyle w:val="Heading1"/>
        <w:rPr>
          <w:lang w:val="en-CA"/>
        </w:rPr>
      </w:pPr>
      <w:r w:rsidRPr="00AA23BE">
        <w:rPr>
          <w:lang w:val="en-CA"/>
        </w:rPr>
        <w:t xml:space="preserve">The </w:t>
      </w:r>
      <w:r w:rsidR="003A2090" w:rsidRPr="00AA23BE">
        <w:rPr>
          <w:lang w:val="en-CA"/>
        </w:rPr>
        <w:t>business plan values</w:t>
      </w:r>
      <w:r w:rsidRPr="00AA23BE">
        <w:rPr>
          <w:lang w:val="en-CA"/>
        </w:rPr>
        <w:t xml:space="preserve"> for </w:t>
      </w:r>
      <w:r w:rsidR="003A2090" w:rsidRPr="00AA23BE">
        <w:rPr>
          <w:lang w:val="en-CA"/>
        </w:rPr>
        <w:t>2017</w:t>
      </w:r>
      <w:r w:rsidRPr="00AA23BE">
        <w:rPr>
          <w:lang w:val="en-CA"/>
        </w:rPr>
        <w:t xml:space="preserve"> is </w:t>
      </w:r>
      <w:r w:rsidR="004814B5" w:rsidRPr="00AA23BE">
        <w:rPr>
          <w:lang w:val="en-CA"/>
        </w:rPr>
        <w:t>US $14.1 million (</w:t>
      </w:r>
      <w:r w:rsidR="003A2090" w:rsidRPr="00AA23BE">
        <w:rPr>
          <w:lang w:val="en-CA"/>
        </w:rPr>
        <w:t>9.2</w:t>
      </w:r>
      <w:r w:rsidRPr="00AA23BE">
        <w:rPr>
          <w:lang w:val="en-CA"/>
        </w:rPr>
        <w:t xml:space="preserve"> per cent</w:t>
      </w:r>
      <w:r w:rsidR="004814B5" w:rsidRPr="00AA23BE">
        <w:rPr>
          <w:lang w:val="en-CA"/>
        </w:rPr>
        <w:t>)</w:t>
      </w:r>
      <w:r w:rsidRPr="00AA23BE">
        <w:rPr>
          <w:lang w:val="en-CA"/>
        </w:rPr>
        <w:t xml:space="preserve"> </w:t>
      </w:r>
      <w:r w:rsidR="003A2090" w:rsidRPr="00AA23BE">
        <w:rPr>
          <w:lang w:val="en-CA"/>
        </w:rPr>
        <w:t xml:space="preserve">above </w:t>
      </w:r>
      <w:r w:rsidRPr="00AA23BE">
        <w:rPr>
          <w:lang w:val="en-CA"/>
        </w:rPr>
        <w:t>the overall budget</w:t>
      </w:r>
      <w:r w:rsidR="003A2090" w:rsidRPr="00AA23BE">
        <w:rPr>
          <w:lang w:val="en-CA"/>
        </w:rPr>
        <w:t xml:space="preserve"> of US $153.8 million</w:t>
      </w:r>
      <w:r w:rsidR="004814B5" w:rsidRPr="00AA23BE">
        <w:rPr>
          <w:lang w:val="en-CA"/>
        </w:rPr>
        <w:t>.</w:t>
      </w:r>
      <w:r w:rsidRPr="00AA23BE">
        <w:rPr>
          <w:lang w:val="en-CA"/>
        </w:rPr>
        <w:t xml:space="preserve"> </w:t>
      </w:r>
      <w:r w:rsidR="004814B5" w:rsidRPr="00AA23BE">
        <w:rPr>
          <w:lang w:val="en-CA"/>
        </w:rPr>
        <w:t>T</w:t>
      </w:r>
      <w:r w:rsidRPr="00AA23BE">
        <w:rPr>
          <w:lang w:val="en-CA"/>
        </w:rPr>
        <w:t>h</w:t>
      </w:r>
      <w:r w:rsidR="004814B5" w:rsidRPr="00AA23BE">
        <w:rPr>
          <w:lang w:val="en-CA"/>
        </w:rPr>
        <w:t xml:space="preserve">is </w:t>
      </w:r>
      <w:r w:rsidRPr="00AA23BE">
        <w:rPr>
          <w:lang w:val="en-CA"/>
        </w:rPr>
        <w:t xml:space="preserve">may </w:t>
      </w:r>
      <w:r w:rsidR="003A2090" w:rsidRPr="00AA23BE">
        <w:rPr>
          <w:lang w:val="en-CA"/>
        </w:rPr>
        <w:t xml:space="preserve">likely be </w:t>
      </w:r>
      <w:r w:rsidRPr="00AA23BE">
        <w:rPr>
          <w:lang w:val="en-CA"/>
        </w:rPr>
        <w:t>accounted for</w:t>
      </w:r>
      <w:r w:rsidR="003A2090" w:rsidRPr="00AA23BE">
        <w:rPr>
          <w:lang w:val="en-CA"/>
        </w:rPr>
        <w:t>: by</w:t>
      </w:r>
      <w:r w:rsidRPr="00AA23BE">
        <w:rPr>
          <w:lang w:val="en-CA"/>
        </w:rPr>
        <w:t xml:space="preserve"> funds allocated for activities that might not be submitted as planned</w:t>
      </w:r>
      <w:r w:rsidR="00136748" w:rsidRPr="00AA23BE">
        <w:rPr>
          <w:lang w:val="en-CA"/>
        </w:rPr>
        <w:t>;</w:t>
      </w:r>
      <w:r w:rsidRPr="00AA23BE">
        <w:rPr>
          <w:lang w:val="en-CA"/>
        </w:rPr>
        <w:t xml:space="preserve"> and </w:t>
      </w:r>
      <w:r w:rsidR="003A2090" w:rsidRPr="00AA23BE">
        <w:rPr>
          <w:lang w:val="en-CA"/>
        </w:rPr>
        <w:t xml:space="preserve">by the level of </w:t>
      </w:r>
      <w:r w:rsidRPr="00AA23BE">
        <w:rPr>
          <w:lang w:val="en-CA"/>
        </w:rPr>
        <w:t>approved funding below the business plan</w:t>
      </w:r>
      <w:r w:rsidR="003A2090" w:rsidRPr="00AA23BE">
        <w:rPr>
          <w:lang w:val="en-CA"/>
        </w:rPr>
        <w:t xml:space="preserve"> values</w:t>
      </w:r>
      <w:r w:rsidRPr="00AA23BE">
        <w:rPr>
          <w:lang w:val="en-CA"/>
        </w:rPr>
        <w:t xml:space="preserve">. However, the entries in the business plan </w:t>
      </w:r>
      <w:r w:rsidR="003A2090" w:rsidRPr="00AA23BE">
        <w:rPr>
          <w:lang w:val="en-CA"/>
        </w:rPr>
        <w:t>for</w:t>
      </w:r>
      <w:r w:rsidRPr="00AA23BE">
        <w:rPr>
          <w:lang w:val="en-CA"/>
        </w:rPr>
        <w:t xml:space="preserve"> 201</w:t>
      </w:r>
      <w:r w:rsidR="003A2090" w:rsidRPr="00AA23BE">
        <w:rPr>
          <w:lang w:val="en-CA"/>
        </w:rPr>
        <w:t>8 to 2020</w:t>
      </w:r>
      <w:r w:rsidRPr="00AA23BE">
        <w:rPr>
          <w:lang w:val="en-CA"/>
        </w:rPr>
        <w:t xml:space="preserve"> exceed the indicative budget by </w:t>
      </w:r>
      <w:r w:rsidR="00CD1366" w:rsidRPr="00AA23BE">
        <w:rPr>
          <w:lang w:val="en-CA"/>
        </w:rPr>
        <w:t>an average of</w:t>
      </w:r>
      <w:r w:rsidRPr="00AA23BE">
        <w:rPr>
          <w:lang w:val="en-CA"/>
        </w:rPr>
        <w:t xml:space="preserve"> </w:t>
      </w:r>
      <w:r w:rsidR="001E3DA0" w:rsidRPr="00AA23BE">
        <w:rPr>
          <w:lang w:val="en-CA"/>
        </w:rPr>
        <w:t>US </w:t>
      </w:r>
      <w:r w:rsidRPr="00AA23BE">
        <w:rPr>
          <w:lang w:val="en-CA"/>
        </w:rPr>
        <w:t>$1</w:t>
      </w:r>
      <w:r w:rsidR="003A2090" w:rsidRPr="00AA23BE">
        <w:rPr>
          <w:lang w:val="en-CA"/>
        </w:rPr>
        <w:t>45</w:t>
      </w:r>
      <w:r w:rsidR="004814B5" w:rsidRPr="00AA23BE">
        <w:rPr>
          <w:lang w:val="en-CA"/>
        </w:rPr>
        <w:t> </w:t>
      </w:r>
      <w:r w:rsidRPr="00AA23BE">
        <w:rPr>
          <w:lang w:val="en-CA"/>
        </w:rPr>
        <w:t xml:space="preserve">million, annually. </w:t>
      </w:r>
      <w:r w:rsidR="00C47A39" w:rsidRPr="00AA23BE">
        <w:rPr>
          <w:lang w:val="en-CA"/>
        </w:rPr>
        <w:t>The</w:t>
      </w:r>
      <w:r w:rsidR="00CD1366" w:rsidRPr="00AA23BE">
        <w:rPr>
          <w:lang w:val="en-CA"/>
        </w:rPr>
        <w:t xml:space="preserve"> over</w:t>
      </w:r>
      <w:r w:rsidR="00CD1366" w:rsidRPr="00AA23BE">
        <w:rPr>
          <w:lang w:val="en-CA"/>
        </w:rPr>
        <w:noBreakHyphen/>
      </w:r>
      <w:r w:rsidRPr="00AA23BE">
        <w:rPr>
          <w:lang w:val="en-CA"/>
        </w:rPr>
        <w:t>budgeting is mostly related to business plan values for non-LVC countries whose stage</w:t>
      </w:r>
      <w:r w:rsidR="002C063C" w:rsidRPr="00AA23BE">
        <w:rPr>
          <w:lang w:val="en-CA"/>
        </w:rPr>
        <w:t>s</w:t>
      </w:r>
      <w:r w:rsidRPr="00AA23BE">
        <w:rPr>
          <w:lang w:val="en-CA"/>
        </w:rPr>
        <w:t xml:space="preserve"> II of HPMPs</w:t>
      </w:r>
      <w:r w:rsidR="00C47A39" w:rsidRPr="00AA23BE">
        <w:rPr>
          <w:lang w:val="en-CA"/>
        </w:rPr>
        <w:t xml:space="preserve"> </w:t>
      </w:r>
      <w:r w:rsidRPr="00AA23BE">
        <w:rPr>
          <w:lang w:val="en-CA"/>
        </w:rPr>
        <w:t>have tranche</w:t>
      </w:r>
      <w:r w:rsidR="00CD1366" w:rsidRPr="00AA23BE">
        <w:rPr>
          <w:lang w:val="en-CA"/>
        </w:rPr>
        <w:t>s</w:t>
      </w:r>
      <w:r w:rsidRPr="00AA23BE">
        <w:rPr>
          <w:lang w:val="en-CA"/>
        </w:rPr>
        <w:t xml:space="preserve"> funded back-loaded, i.e., with higher tranche values after 2017. </w:t>
      </w:r>
      <w:r w:rsidR="00C47A39" w:rsidRPr="00AA23BE">
        <w:rPr>
          <w:lang w:val="en-CA"/>
        </w:rPr>
        <w:t xml:space="preserve"> </w:t>
      </w:r>
    </w:p>
    <w:p w:rsidR="000737D5" w:rsidRPr="00AA23BE" w:rsidRDefault="00E605A5" w:rsidP="00AA23BE">
      <w:pPr>
        <w:pStyle w:val="Heading1"/>
        <w:rPr>
          <w:lang w:val="en-CA"/>
        </w:rPr>
      </w:pPr>
      <w:r w:rsidRPr="00AA23BE">
        <w:rPr>
          <w:lang w:val="en-CA"/>
        </w:rPr>
        <w:t xml:space="preserve">The </w:t>
      </w:r>
      <w:r w:rsidR="00670314" w:rsidRPr="00AA23BE">
        <w:rPr>
          <w:lang w:val="en-CA"/>
        </w:rPr>
        <w:t>total value of new HPMPs</w:t>
      </w:r>
      <w:r w:rsidR="00511A33" w:rsidRPr="00AA23BE">
        <w:rPr>
          <w:lang w:val="en-CA"/>
        </w:rPr>
        <w:t xml:space="preserve"> </w:t>
      </w:r>
      <w:r w:rsidR="004814B5" w:rsidRPr="00AA23BE">
        <w:rPr>
          <w:lang w:val="en-CA"/>
        </w:rPr>
        <w:t>(stage</w:t>
      </w:r>
      <w:r w:rsidR="00592D70" w:rsidRPr="00AA23BE">
        <w:rPr>
          <w:lang w:val="en-CA"/>
        </w:rPr>
        <w:t>s</w:t>
      </w:r>
      <w:r w:rsidR="004814B5" w:rsidRPr="00AA23BE">
        <w:rPr>
          <w:lang w:val="en-CA"/>
        </w:rPr>
        <w:t xml:space="preserve"> I and II) </w:t>
      </w:r>
      <w:r w:rsidR="00670314" w:rsidRPr="00AA23BE">
        <w:rPr>
          <w:lang w:val="en-CA"/>
        </w:rPr>
        <w:t>submitted</w:t>
      </w:r>
      <w:r w:rsidRPr="00AA23BE">
        <w:rPr>
          <w:lang w:val="en-CA"/>
        </w:rPr>
        <w:t xml:space="preserve"> to </w:t>
      </w:r>
      <w:r w:rsidR="00511A33" w:rsidRPr="00AA23BE">
        <w:rPr>
          <w:lang w:val="en-CA"/>
        </w:rPr>
        <w:t>the 77</w:t>
      </w:r>
      <w:r w:rsidR="00511A33" w:rsidRPr="00AA23BE">
        <w:rPr>
          <w:vertAlign w:val="superscript"/>
          <w:lang w:val="en-CA"/>
        </w:rPr>
        <w:t>th</w:t>
      </w:r>
      <w:r w:rsidR="00511A33" w:rsidRPr="00AA23BE">
        <w:rPr>
          <w:lang w:val="en-CA"/>
        </w:rPr>
        <w:t xml:space="preserve"> meeting </w:t>
      </w:r>
      <w:r w:rsidR="00670314" w:rsidRPr="00AA23BE">
        <w:rPr>
          <w:lang w:val="en-CA"/>
        </w:rPr>
        <w:t>was</w:t>
      </w:r>
      <w:r w:rsidR="000737D5" w:rsidRPr="00AA23BE">
        <w:rPr>
          <w:lang w:val="en-CA"/>
        </w:rPr>
        <w:t xml:space="preserve"> </w:t>
      </w:r>
      <w:r w:rsidR="004814B5" w:rsidRPr="00AA23BE">
        <w:rPr>
          <w:lang w:val="en-CA"/>
        </w:rPr>
        <w:t>US </w:t>
      </w:r>
      <w:r w:rsidR="00511A33" w:rsidRPr="00AA23BE">
        <w:rPr>
          <w:lang w:val="en-CA"/>
        </w:rPr>
        <w:t>$</w:t>
      </w:r>
      <w:r w:rsidR="004814B5" w:rsidRPr="00AA23BE">
        <w:rPr>
          <w:lang w:val="en-CA"/>
        </w:rPr>
        <w:t>720.38 </w:t>
      </w:r>
      <w:r w:rsidR="003A2090" w:rsidRPr="00AA23BE">
        <w:rPr>
          <w:lang w:val="en-CA"/>
        </w:rPr>
        <w:t>million for 2017 to after 2020</w:t>
      </w:r>
      <w:r w:rsidR="003A2090" w:rsidRPr="00AA23BE">
        <w:rPr>
          <w:rStyle w:val="FootnoteReference"/>
          <w:lang w:val="en-CA"/>
        </w:rPr>
        <w:footnoteReference w:id="13"/>
      </w:r>
      <w:r w:rsidR="004814B5" w:rsidRPr="00AA23BE">
        <w:rPr>
          <w:lang w:val="en-CA"/>
        </w:rPr>
        <w:t xml:space="preserve"> that exceeds business plan cost-effectiveness values by US $108.33 million</w:t>
      </w:r>
      <w:r w:rsidR="00511A33" w:rsidRPr="00AA23BE">
        <w:rPr>
          <w:lang w:val="en-CA"/>
        </w:rPr>
        <w:t>.</w:t>
      </w:r>
      <w:r w:rsidR="004814B5" w:rsidRPr="00AA23BE">
        <w:rPr>
          <w:lang w:val="en-CA"/>
        </w:rPr>
        <w:t xml:space="preserve"> The approval in principle of these new HPMPs will determine the actual resource requirements for 2018-2020 and beyond. </w:t>
      </w:r>
      <w:r w:rsidR="00511A33" w:rsidRPr="00AA23BE">
        <w:rPr>
          <w:lang w:val="en-CA"/>
        </w:rPr>
        <w:t xml:space="preserve"> </w:t>
      </w:r>
    </w:p>
    <w:p w:rsidR="00E605A5" w:rsidRPr="00AA23BE" w:rsidRDefault="00420951" w:rsidP="00AA23BE">
      <w:pPr>
        <w:pStyle w:val="Heading1"/>
        <w:rPr>
          <w:lang w:val="en-CA"/>
        </w:rPr>
      </w:pPr>
      <w:r w:rsidRPr="00AA23BE">
        <w:rPr>
          <w:lang w:val="en-CA"/>
        </w:rPr>
        <w:t>The 2017-</w:t>
      </w:r>
      <w:r w:rsidR="00670314" w:rsidRPr="00AA23BE">
        <w:rPr>
          <w:lang w:val="en-CA"/>
        </w:rPr>
        <w:t xml:space="preserve">2019 business </w:t>
      </w:r>
      <w:proofErr w:type="gramStart"/>
      <w:r w:rsidR="00670314" w:rsidRPr="00AA23BE">
        <w:rPr>
          <w:lang w:val="en-CA"/>
        </w:rPr>
        <w:t>plan</w:t>
      </w:r>
      <w:proofErr w:type="gramEnd"/>
      <w:r w:rsidR="00670314" w:rsidRPr="00AA23BE">
        <w:rPr>
          <w:lang w:val="en-CA"/>
        </w:rPr>
        <w:t xml:space="preserve"> would more</w:t>
      </w:r>
      <w:r w:rsidR="000737D5" w:rsidRPr="00AA23BE">
        <w:rPr>
          <w:lang w:val="en-CA"/>
        </w:rPr>
        <w:t xml:space="preserve"> accurately reflect the resource allocation required</w:t>
      </w:r>
      <w:r w:rsidR="00670314" w:rsidRPr="00AA23BE">
        <w:rPr>
          <w:lang w:val="en-CA"/>
        </w:rPr>
        <w:t xml:space="preserve"> to fund them if the business plans were further adjusted based on the values approved in principle for them at the 77</w:t>
      </w:r>
      <w:r w:rsidR="00670314" w:rsidRPr="00AA23BE">
        <w:rPr>
          <w:vertAlign w:val="superscript"/>
          <w:lang w:val="en-CA"/>
        </w:rPr>
        <w:t>th</w:t>
      </w:r>
      <w:r w:rsidR="00670314" w:rsidRPr="00AA23BE">
        <w:rPr>
          <w:lang w:val="en-CA"/>
        </w:rPr>
        <w:t xml:space="preserve"> meeting. </w:t>
      </w:r>
      <w:r w:rsidR="001B6846" w:rsidRPr="00AA23BE">
        <w:rPr>
          <w:lang w:val="en-CA"/>
        </w:rPr>
        <w:t xml:space="preserve">This is particularly important at this time as Technology and Economic Assessment Panel (TEAP) Task Force will be using the business plan as one of the reference documents for its assessment of future replenishment needs. </w:t>
      </w:r>
      <w:r w:rsidR="00E605A5" w:rsidRPr="00AA23BE">
        <w:rPr>
          <w:lang w:val="en-CA"/>
        </w:rPr>
        <w:t xml:space="preserve">The Executive Committee may which to adjust the 2017-2019 business plan based on the level of </w:t>
      </w:r>
      <w:r w:rsidR="006D40A6" w:rsidRPr="00AA23BE">
        <w:rPr>
          <w:lang w:val="en-CA"/>
        </w:rPr>
        <w:t xml:space="preserve">funds </w:t>
      </w:r>
      <w:r w:rsidR="00E605A5" w:rsidRPr="00AA23BE">
        <w:rPr>
          <w:lang w:val="en-CA"/>
        </w:rPr>
        <w:t>approved in principle for the HPMP</w:t>
      </w:r>
      <w:r w:rsidR="0093077D" w:rsidRPr="00AA23BE">
        <w:rPr>
          <w:lang w:val="en-CA"/>
        </w:rPr>
        <w:t>s</w:t>
      </w:r>
      <w:r w:rsidR="00E605A5" w:rsidRPr="00AA23BE">
        <w:rPr>
          <w:lang w:val="en-CA"/>
        </w:rPr>
        <w:t xml:space="preserve"> approved at the 77</w:t>
      </w:r>
      <w:r w:rsidR="00E605A5" w:rsidRPr="00AA23BE">
        <w:rPr>
          <w:vertAlign w:val="superscript"/>
          <w:lang w:val="en-CA"/>
        </w:rPr>
        <w:t>th</w:t>
      </w:r>
      <w:r w:rsidR="00AA23BE">
        <w:rPr>
          <w:lang w:val="en-CA"/>
        </w:rPr>
        <w:t> </w:t>
      </w:r>
      <w:r w:rsidR="00136748" w:rsidRPr="00AA23BE">
        <w:rPr>
          <w:lang w:val="en-CA"/>
        </w:rPr>
        <w:t>meeting.</w:t>
      </w:r>
    </w:p>
    <w:p w:rsidR="00E6554D" w:rsidRPr="00AA23BE" w:rsidRDefault="00E6554D" w:rsidP="00AA23BE">
      <w:pPr>
        <w:pStyle w:val="Footer"/>
        <w:keepNext/>
        <w:tabs>
          <w:tab w:val="clear" w:pos="4320"/>
          <w:tab w:val="clear" w:pos="8640"/>
          <w:tab w:val="left" w:pos="450"/>
          <w:tab w:val="left" w:pos="720"/>
          <w:tab w:val="left" w:pos="990"/>
          <w:tab w:val="left" w:pos="1440"/>
          <w:tab w:val="left" w:pos="2160"/>
        </w:tabs>
        <w:ind w:left="1440" w:hanging="1440"/>
        <w:rPr>
          <w:b/>
          <w:lang w:val="en-CA"/>
        </w:rPr>
      </w:pPr>
      <w:r w:rsidRPr="00AA23BE">
        <w:rPr>
          <w:b/>
          <w:lang w:val="en-CA"/>
        </w:rPr>
        <w:t>RECOMMENDATIONS</w:t>
      </w:r>
    </w:p>
    <w:p w:rsidR="00E6554D" w:rsidRPr="00AA23BE" w:rsidRDefault="00E6554D" w:rsidP="00AA23BE">
      <w:pPr>
        <w:pStyle w:val="Footer"/>
        <w:keepNext/>
        <w:tabs>
          <w:tab w:val="clear" w:pos="4320"/>
          <w:tab w:val="clear" w:pos="8640"/>
          <w:tab w:val="left" w:pos="450"/>
          <w:tab w:val="left" w:pos="720"/>
          <w:tab w:val="left" w:pos="990"/>
          <w:tab w:val="left" w:pos="1440"/>
          <w:tab w:val="left" w:pos="2160"/>
        </w:tabs>
        <w:ind w:left="1440" w:hanging="1440"/>
        <w:rPr>
          <w:b/>
          <w:lang w:val="en-CA"/>
        </w:rPr>
      </w:pPr>
    </w:p>
    <w:p w:rsidR="00E6554D" w:rsidRPr="00AA23BE" w:rsidRDefault="00E6554D" w:rsidP="00AA23BE">
      <w:pPr>
        <w:pStyle w:val="Heading1"/>
        <w:rPr>
          <w:lang w:val="en-CA"/>
        </w:rPr>
      </w:pPr>
      <w:r w:rsidRPr="00AA23BE">
        <w:rPr>
          <w:lang w:val="en-CA"/>
        </w:rPr>
        <w:t>The Executive Committee may wish:</w:t>
      </w:r>
    </w:p>
    <w:p w:rsidR="00E6554D" w:rsidRPr="00AA23BE" w:rsidRDefault="00E6554D" w:rsidP="00AA23BE">
      <w:pPr>
        <w:pStyle w:val="Heading2"/>
        <w:numPr>
          <w:ilvl w:val="1"/>
          <w:numId w:val="1"/>
        </w:numPr>
        <w:rPr>
          <w:lang w:val="en-CA"/>
        </w:rPr>
      </w:pPr>
      <w:r w:rsidRPr="00AA23BE">
        <w:rPr>
          <w:lang w:val="en-CA"/>
        </w:rPr>
        <w:t>To note the consolidated business plan of the Multilateral Fund for 201</w:t>
      </w:r>
      <w:r w:rsidR="00594227" w:rsidRPr="00AA23BE">
        <w:rPr>
          <w:lang w:val="en-CA"/>
        </w:rPr>
        <w:t>7</w:t>
      </w:r>
      <w:r w:rsidRPr="00AA23BE">
        <w:rPr>
          <w:lang w:val="en-CA"/>
        </w:rPr>
        <w:t>-201</w:t>
      </w:r>
      <w:r w:rsidR="00594227" w:rsidRPr="00AA23BE">
        <w:rPr>
          <w:lang w:val="en-CA"/>
        </w:rPr>
        <w:t>9</w:t>
      </w:r>
      <w:r w:rsidRPr="00AA23BE">
        <w:rPr>
          <w:lang w:val="en-CA"/>
        </w:rPr>
        <w:t xml:space="preserve"> contained in document UNEP/OzL.Pro/</w:t>
      </w:r>
      <w:proofErr w:type="spellStart"/>
      <w:r w:rsidRPr="00AA23BE">
        <w:rPr>
          <w:lang w:val="en-CA"/>
        </w:rPr>
        <w:t>ExCom</w:t>
      </w:r>
      <w:proofErr w:type="spellEnd"/>
      <w:r w:rsidRPr="00AA23BE">
        <w:rPr>
          <w:lang w:val="en-CA"/>
        </w:rPr>
        <w:t>/7</w:t>
      </w:r>
      <w:r w:rsidR="00594227" w:rsidRPr="00AA23BE">
        <w:rPr>
          <w:lang w:val="en-CA"/>
        </w:rPr>
        <w:t>7</w:t>
      </w:r>
      <w:r w:rsidRPr="00AA23BE">
        <w:rPr>
          <w:lang w:val="en-CA"/>
        </w:rPr>
        <w:t>/</w:t>
      </w:r>
      <w:r w:rsidR="00136748" w:rsidRPr="00AA23BE">
        <w:rPr>
          <w:lang w:val="en-CA"/>
        </w:rPr>
        <w:t>20</w:t>
      </w:r>
      <w:r w:rsidRPr="00AA23BE">
        <w:rPr>
          <w:lang w:val="en-CA"/>
        </w:rPr>
        <w:t>;</w:t>
      </w:r>
    </w:p>
    <w:p w:rsidR="00E6554D" w:rsidRPr="00AA23BE" w:rsidRDefault="00E6554D" w:rsidP="00AA23BE">
      <w:pPr>
        <w:pStyle w:val="Heading2"/>
        <w:numPr>
          <w:ilvl w:val="1"/>
          <w:numId w:val="1"/>
        </w:numPr>
        <w:rPr>
          <w:lang w:val="en-CA"/>
        </w:rPr>
      </w:pPr>
      <w:r w:rsidRPr="00AA23BE">
        <w:rPr>
          <w:lang w:val="en-CA"/>
        </w:rPr>
        <w:t xml:space="preserve">To decide whether: </w:t>
      </w:r>
    </w:p>
    <w:p w:rsidR="00E6554D" w:rsidRPr="00AA23BE" w:rsidRDefault="00E6554D" w:rsidP="00AA23BE">
      <w:pPr>
        <w:pStyle w:val="Heading3"/>
        <w:numPr>
          <w:ilvl w:val="2"/>
          <w:numId w:val="1"/>
        </w:numPr>
        <w:rPr>
          <w:lang w:val="en-CA"/>
        </w:rPr>
      </w:pPr>
      <w:r w:rsidRPr="00AA23BE">
        <w:rPr>
          <w:lang w:val="en-CA"/>
        </w:rPr>
        <w:t>To adjust the business plan as proposed by the Secretariat in document UNEP/OzL.Pro/</w:t>
      </w:r>
      <w:proofErr w:type="spellStart"/>
      <w:r w:rsidRPr="00AA23BE">
        <w:rPr>
          <w:lang w:val="en-CA"/>
        </w:rPr>
        <w:t>ExCom</w:t>
      </w:r>
      <w:proofErr w:type="spellEnd"/>
      <w:r w:rsidRPr="00AA23BE">
        <w:rPr>
          <w:lang w:val="en-CA"/>
        </w:rPr>
        <w:t>/7</w:t>
      </w:r>
      <w:r w:rsidR="00594227" w:rsidRPr="00AA23BE">
        <w:rPr>
          <w:lang w:val="en-CA"/>
        </w:rPr>
        <w:t>7</w:t>
      </w:r>
      <w:r w:rsidRPr="00AA23BE">
        <w:rPr>
          <w:lang w:val="en-CA"/>
        </w:rPr>
        <w:t>/</w:t>
      </w:r>
      <w:r w:rsidR="00136748" w:rsidRPr="00AA23BE">
        <w:rPr>
          <w:lang w:val="en-CA"/>
        </w:rPr>
        <w:t>20</w:t>
      </w:r>
      <w:r w:rsidRPr="00AA23BE">
        <w:rPr>
          <w:lang w:val="en-CA"/>
        </w:rPr>
        <w:t>;</w:t>
      </w:r>
    </w:p>
    <w:p w:rsidR="00CD1366" w:rsidRPr="00AA23BE" w:rsidRDefault="00E6554D" w:rsidP="00AA23BE">
      <w:pPr>
        <w:pStyle w:val="Heading3"/>
        <w:numPr>
          <w:ilvl w:val="2"/>
          <w:numId w:val="1"/>
        </w:numPr>
        <w:rPr>
          <w:lang w:val="en-CA"/>
        </w:rPr>
      </w:pPr>
      <w:r w:rsidRPr="00AA23BE">
        <w:rPr>
          <w:lang w:val="en-CA"/>
        </w:rPr>
        <w:t>To further adjust the business plan during the discussion by the Executive Committee and/or during the presentation of the business plan by bilateral and implementing agencies by adding those HCFC phase-out management plans (HPMPs), institutional strengthening activities from the 201</w:t>
      </w:r>
      <w:r w:rsidR="007838CC" w:rsidRPr="00AA23BE">
        <w:rPr>
          <w:lang w:val="en-CA"/>
        </w:rPr>
        <w:t>6</w:t>
      </w:r>
      <w:r w:rsidRPr="00AA23BE">
        <w:rPr>
          <w:lang w:val="en-CA"/>
        </w:rPr>
        <w:t xml:space="preserve"> business plan that were deferred at the 7</w:t>
      </w:r>
      <w:r w:rsidR="007838CC" w:rsidRPr="00AA23BE">
        <w:rPr>
          <w:lang w:val="en-CA"/>
        </w:rPr>
        <w:t>7</w:t>
      </w:r>
      <w:r w:rsidRPr="00AA23BE">
        <w:rPr>
          <w:vertAlign w:val="superscript"/>
          <w:lang w:val="en-CA"/>
        </w:rPr>
        <w:t>th</w:t>
      </w:r>
      <w:r w:rsidRPr="00AA23BE">
        <w:rPr>
          <w:lang w:val="en-CA"/>
        </w:rPr>
        <w:t> meeting to the 201</w:t>
      </w:r>
      <w:r w:rsidR="007838CC" w:rsidRPr="00AA23BE">
        <w:rPr>
          <w:lang w:val="en-CA"/>
        </w:rPr>
        <w:t>7</w:t>
      </w:r>
      <w:r w:rsidRPr="00AA23BE">
        <w:rPr>
          <w:lang w:val="en-CA"/>
        </w:rPr>
        <w:t xml:space="preserve"> business plan</w:t>
      </w:r>
      <w:r w:rsidR="00CD1366" w:rsidRPr="00AA23BE">
        <w:rPr>
          <w:lang w:val="en-CA"/>
        </w:rPr>
        <w:t>;</w:t>
      </w:r>
    </w:p>
    <w:p w:rsidR="00E6554D" w:rsidRPr="00AA23BE" w:rsidRDefault="00CD1366" w:rsidP="00AA23BE">
      <w:pPr>
        <w:pStyle w:val="Heading3"/>
        <w:numPr>
          <w:ilvl w:val="2"/>
          <w:numId w:val="1"/>
        </w:numPr>
        <w:rPr>
          <w:lang w:val="en-CA"/>
        </w:rPr>
      </w:pPr>
      <w:r w:rsidRPr="00AA23BE">
        <w:rPr>
          <w:lang w:val="en-CA"/>
        </w:rPr>
        <w:t>T</w:t>
      </w:r>
      <w:r w:rsidR="00961A50" w:rsidRPr="00AA23BE">
        <w:rPr>
          <w:lang w:val="en-CA"/>
        </w:rPr>
        <w:t xml:space="preserve">o </w:t>
      </w:r>
      <w:r w:rsidRPr="00AA23BE">
        <w:rPr>
          <w:lang w:val="en-CA"/>
        </w:rPr>
        <w:t xml:space="preserve">further </w:t>
      </w:r>
      <w:r w:rsidR="00961A50" w:rsidRPr="00AA23BE">
        <w:rPr>
          <w:lang w:val="en-CA"/>
        </w:rPr>
        <w:t xml:space="preserve">adjust </w:t>
      </w:r>
      <w:r w:rsidRPr="00AA23BE">
        <w:rPr>
          <w:lang w:val="en-CA"/>
        </w:rPr>
        <w:t xml:space="preserve">the business plan based on </w:t>
      </w:r>
      <w:r w:rsidR="00961A50" w:rsidRPr="00AA23BE">
        <w:rPr>
          <w:lang w:val="en-CA"/>
        </w:rPr>
        <w:t>the value</w:t>
      </w:r>
      <w:r w:rsidRPr="00AA23BE">
        <w:rPr>
          <w:lang w:val="en-CA"/>
        </w:rPr>
        <w:t>s</w:t>
      </w:r>
      <w:r w:rsidR="00961A50" w:rsidRPr="00AA23BE">
        <w:rPr>
          <w:lang w:val="en-CA"/>
        </w:rPr>
        <w:t xml:space="preserve"> approved in principle </w:t>
      </w:r>
      <w:r w:rsidRPr="00AA23BE">
        <w:rPr>
          <w:lang w:val="en-CA"/>
        </w:rPr>
        <w:t xml:space="preserve">for new HPMPs </w:t>
      </w:r>
      <w:r w:rsidR="00961A50" w:rsidRPr="00AA23BE">
        <w:rPr>
          <w:lang w:val="en-CA"/>
        </w:rPr>
        <w:t>at the 77</w:t>
      </w:r>
      <w:r w:rsidR="00961A50" w:rsidRPr="00AA23BE">
        <w:rPr>
          <w:vertAlign w:val="superscript"/>
          <w:lang w:val="en-CA"/>
        </w:rPr>
        <w:t>th</w:t>
      </w:r>
      <w:r w:rsidR="00961A50" w:rsidRPr="00AA23BE">
        <w:rPr>
          <w:lang w:val="en-CA"/>
        </w:rPr>
        <w:t xml:space="preserve"> meeting</w:t>
      </w:r>
      <w:r w:rsidR="00E6554D" w:rsidRPr="00AA23BE">
        <w:rPr>
          <w:lang w:val="en-CA"/>
        </w:rPr>
        <w:t xml:space="preserve">; </w:t>
      </w:r>
    </w:p>
    <w:p w:rsidR="00E6554D" w:rsidRPr="00AA23BE" w:rsidRDefault="00E6554D" w:rsidP="00AA23BE">
      <w:pPr>
        <w:pStyle w:val="Heading2"/>
        <w:keepNext/>
        <w:keepLines/>
        <w:widowControl/>
        <w:numPr>
          <w:ilvl w:val="1"/>
          <w:numId w:val="1"/>
        </w:numPr>
        <w:rPr>
          <w:lang w:val="en-CA"/>
        </w:rPr>
      </w:pPr>
      <w:r w:rsidRPr="00AA23BE">
        <w:rPr>
          <w:lang w:val="en-CA"/>
        </w:rPr>
        <w:t>To request bilateral and implementing agencies to include in the business plans stage II of HPMP activities for Kenya</w:t>
      </w:r>
      <w:r w:rsidR="00B40BD6" w:rsidRPr="00AA23BE">
        <w:rPr>
          <w:lang w:val="en-CA"/>
        </w:rPr>
        <w:t xml:space="preserve"> and</w:t>
      </w:r>
      <w:r w:rsidRPr="00AA23BE">
        <w:rPr>
          <w:lang w:val="en-CA"/>
        </w:rPr>
        <w:t xml:space="preserve"> Syrian Arab Republic; and</w:t>
      </w:r>
    </w:p>
    <w:p w:rsidR="00E6554D" w:rsidRPr="00AA23BE" w:rsidRDefault="00E6554D" w:rsidP="00AA23BE">
      <w:pPr>
        <w:pStyle w:val="Heading2"/>
        <w:numPr>
          <w:ilvl w:val="1"/>
          <w:numId w:val="1"/>
        </w:numPr>
        <w:rPr>
          <w:lang w:val="en-CA"/>
        </w:rPr>
      </w:pPr>
      <w:r w:rsidRPr="00AA23BE">
        <w:rPr>
          <w:lang w:val="en-CA"/>
        </w:rPr>
        <w:t>To endorse the consolidated business plan o</w:t>
      </w:r>
      <w:r w:rsidR="007838CC" w:rsidRPr="00AA23BE">
        <w:rPr>
          <w:lang w:val="en-CA"/>
        </w:rPr>
        <w:t>f the Multilateral Fund for 2017</w:t>
      </w:r>
      <w:r w:rsidRPr="00AA23BE">
        <w:rPr>
          <w:lang w:val="en-CA"/>
        </w:rPr>
        <w:t>-201</w:t>
      </w:r>
      <w:r w:rsidR="007838CC" w:rsidRPr="00AA23BE">
        <w:rPr>
          <w:lang w:val="en-CA"/>
        </w:rPr>
        <w:t>9</w:t>
      </w:r>
      <w:r w:rsidRPr="00AA23BE">
        <w:rPr>
          <w:lang w:val="en-CA"/>
        </w:rPr>
        <w:t>, as adjusted by the Secretariat [and the Executive Committee], while noting that endorsement denote</w:t>
      </w:r>
      <w:r w:rsidR="00F43FDE" w:rsidRPr="00AA23BE">
        <w:rPr>
          <w:lang w:val="en-CA"/>
        </w:rPr>
        <w:t>d</w:t>
      </w:r>
      <w:r w:rsidRPr="00AA23BE">
        <w:rPr>
          <w:lang w:val="en-CA"/>
        </w:rPr>
        <w:t xml:space="preserve"> neither approval of the projects identified therein nor their funding or tonnage levels.</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AF0163" w:rsidTr="008809D9">
        <w:tc>
          <w:tcPr>
            <w:tcW w:w="1915" w:type="dxa"/>
          </w:tcPr>
          <w:p w:rsidR="00AF0163" w:rsidRDefault="00AF0163" w:rsidP="00AA23BE">
            <w:pPr>
              <w:rPr>
                <w:lang w:val="en-CA"/>
              </w:rPr>
            </w:pPr>
          </w:p>
        </w:tc>
        <w:tc>
          <w:tcPr>
            <w:tcW w:w="1915" w:type="dxa"/>
          </w:tcPr>
          <w:p w:rsidR="00AF0163" w:rsidRDefault="00AF0163" w:rsidP="00AA23BE">
            <w:pPr>
              <w:rPr>
                <w:lang w:val="en-CA"/>
              </w:rPr>
            </w:pPr>
          </w:p>
        </w:tc>
        <w:tc>
          <w:tcPr>
            <w:tcW w:w="1915" w:type="dxa"/>
            <w:tcBorders>
              <w:bottom w:val="single" w:sz="4" w:space="0" w:color="auto"/>
            </w:tcBorders>
          </w:tcPr>
          <w:p w:rsidR="00AF0163" w:rsidRDefault="00AF0163" w:rsidP="00AA23BE">
            <w:pPr>
              <w:rPr>
                <w:lang w:val="en-CA"/>
              </w:rPr>
            </w:pPr>
          </w:p>
        </w:tc>
        <w:tc>
          <w:tcPr>
            <w:tcW w:w="1915" w:type="dxa"/>
          </w:tcPr>
          <w:p w:rsidR="00AF0163" w:rsidRDefault="00AF0163" w:rsidP="00AA23BE">
            <w:pPr>
              <w:rPr>
                <w:lang w:val="en-CA"/>
              </w:rPr>
            </w:pPr>
          </w:p>
        </w:tc>
        <w:tc>
          <w:tcPr>
            <w:tcW w:w="1916" w:type="dxa"/>
          </w:tcPr>
          <w:p w:rsidR="00AF0163" w:rsidRDefault="00AF0163" w:rsidP="00AA23BE">
            <w:pPr>
              <w:rPr>
                <w:lang w:val="en-CA"/>
              </w:rPr>
            </w:pPr>
          </w:p>
        </w:tc>
      </w:tr>
    </w:tbl>
    <w:p w:rsidR="00AF0163" w:rsidRPr="00B04161" w:rsidRDefault="00AF0163" w:rsidP="00AA23BE">
      <w:pPr>
        <w:rPr>
          <w:lang w:val="en-CA"/>
        </w:rPr>
      </w:pPr>
    </w:p>
    <w:sectPr w:rsidR="00AF0163" w:rsidRPr="00B04161"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8E" w:rsidRDefault="00A02E8E" w:rsidP="004A504B">
      <w:r>
        <w:separator/>
      </w:r>
    </w:p>
  </w:endnote>
  <w:endnote w:type="continuationSeparator" w:id="0">
    <w:p w:rsidR="00A02E8E" w:rsidRDefault="00A02E8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8E" w:rsidRPr="0033525D" w:rsidRDefault="00A02E8E">
    <w:pPr>
      <w:jc w:val="center"/>
    </w:pPr>
    <w:r>
      <w:fldChar w:fldCharType="begin"/>
    </w:r>
    <w:r>
      <w:instrText xml:space="preserve"> PAGE </w:instrText>
    </w:r>
    <w:r>
      <w:fldChar w:fldCharType="separate"/>
    </w:r>
    <w:r w:rsidR="00306272">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8E" w:rsidRPr="0033525D" w:rsidRDefault="00A02E8E">
    <w:pPr>
      <w:jc w:val="center"/>
    </w:pPr>
    <w:r>
      <w:fldChar w:fldCharType="begin"/>
    </w:r>
    <w:r>
      <w:instrText xml:space="preserve"> PAGE </w:instrText>
    </w:r>
    <w:r>
      <w:fldChar w:fldCharType="separate"/>
    </w:r>
    <w:r w:rsidR="00306272">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8E" w:rsidRDefault="00A02E8E"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A02E8E" w:rsidRDefault="00A02E8E"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8E" w:rsidRDefault="00A02E8E" w:rsidP="004A504B">
      <w:r>
        <w:separator/>
      </w:r>
    </w:p>
  </w:footnote>
  <w:footnote w:type="continuationSeparator" w:id="0">
    <w:p w:rsidR="00A02E8E" w:rsidRDefault="00A02E8E" w:rsidP="004A504B">
      <w:r>
        <w:continuationSeparator/>
      </w:r>
    </w:p>
  </w:footnote>
  <w:footnote w:id="1">
    <w:p w:rsidR="00A02E8E" w:rsidRPr="00AA23BE" w:rsidRDefault="00A02E8E" w:rsidP="00E6554D">
      <w:pPr>
        <w:pStyle w:val="FootnoteText"/>
      </w:pPr>
      <w:r w:rsidRPr="00AA23BE">
        <w:rPr>
          <w:rStyle w:val="FootnoteReference"/>
        </w:rPr>
        <w:footnoteRef/>
      </w:r>
      <w:r w:rsidRPr="00AA23BE">
        <w:t xml:space="preserve"> UNEP/OzL.Pro/</w:t>
      </w:r>
      <w:proofErr w:type="spellStart"/>
      <w:r w:rsidRPr="00AA23BE">
        <w:t>ExCom</w:t>
      </w:r>
      <w:proofErr w:type="spellEnd"/>
      <w:r w:rsidRPr="00AA23BE">
        <w:t>/77/21.</w:t>
      </w:r>
    </w:p>
  </w:footnote>
  <w:footnote w:id="2">
    <w:p w:rsidR="00A02E8E" w:rsidRPr="00AA23BE" w:rsidRDefault="00A02E8E" w:rsidP="00E6554D">
      <w:pPr>
        <w:pStyle w:val="FootnoteText"/>
      </w:pPr>
      <w:r w:rsidRPr="00AA23BE">
        <w:rPr>
          <w:rStyle w:val="FootnoteReference"/>
        </w:rPr>
        <w:footnoteRef/>
      </w:r>
      <w:r w:rsidRPr="00AA23BE">
        <w:t xml:space="preserve"> UNEP/OzL.Pro/</w:t>
      </w:r>
      <w:proofErr w:type="spellStart"/>
      <w:r w:rsidRPr="00AA23BE">
        <w:t>ExCom</w:t>
      </w:r>
      <w:proofErr w:type="spellEnd"/>
      <w:r w:rsidRPr="00AA23BE">
        <w:t>/77/22.</w:t>
      </w:r>
    </w:p>
  </w:footnote>
  <w:footnote w:id="3">
    <w:p w:rsidR="00A02E8E" w:rsidRPr="00AA23BE" w:rsidRDefault="00A02E8E" w:rsidP="00E6554D">
      <w:pPr>
        <w:pStyle w:val="FootnoteText"/>
      </w:pPr>
      <w:r w:rsidRPr="00AA23BE">
        <w:rPr>
          <w:rStyle w:val="FootnoteReference"/>
        </w:rPr>
        <w:footnoteRef/>
      </w:r>
      <w:r w:rsidRPr="00AA23BE">
        <w:t xml:space="preserve"> UNEP/OzL.Pro/</w:t>
      </w:r>
      <w:proofErr w:type="spellStart"/>
      <w:r w:rsidRPr="00AA23BE">
        <w:t>ExCom</w:t>
      </w:r>
      <w:proofErr w:type="spellEnd"/>
      <w:r w:rsidRPr="00AA23BE">
        <w:t>/77/23.</w:t>
      </w:r>
    </w:p>
  </w:footnote>
  <w:footnote w:id="4">
    <w:p w:rsidR="00A02E8E" w:rsidRPr="00AA23BE" w:rsidRDefault="00A02E8E" w:rsidP="00E6554D">
      <w:pPr>
        <w:pStyle w:val="FootnoteText"/>
      </w:pPr>
      <w:r w:rsidRPr="00AA23BE">
        <w:rPr>
          <w:rStyle w:val="FootnoteReference"/>
        </w:rPr>
        <w:footnoteRef/>
      </w:r>
      <w:r w:rsidRPr="00AA23BE">
        <w:t xml:space="preserve"> UNEP/OzL.Pro/</w:t>
      </w:r>
      <w:proofErr w:type="spellStart"/>
      <w:r w:rsidRPr="00AA23BE">
        <w:t>ExCom</w:t>
      </w:r>
      <w:proofErr w:type="spellEnd"/>
      <w:r w:rsidRPr="00AA23BE">
        <w:t>/77/24.</w:t>
      </w:r>
    </w:p>
  </w:footnote>
  <w:footnote w:id="5">
    <w:p w:rsidR="00A02E8E" w:rsidRPr="00AA23BE" w:rsidRDefault="00A02E8E" w:rsidP="00E6554D">
      <w:pPr>
        <w:pStyle w:val="FootnoteText"/>
        <w:rPr>
          <w:lang w:val="en-CA"/>
        </w:rPr>
      </w:pPr>
      <w:r w:rsidRPr="00AA23BE">
        <w:rPr>
          <w:rStyle w:val="FootnoteReference"/>
        </w:rPr>
        <w:footnoteRef/>
      </w:r>
      <w:r w:rsidRPr="00AA23BE">
        <w:rPr>
          <w:lang w:val="en-CA"/>
        </w:rPr>
        <w:t xml:space="preserve"> UNEP/OzL.Pro/</w:t>
      </w:r>
      <w:proofErr w:type="spellStart"/>
      <w:r w:rsidRPr="00AA23BE">
        <w:rPr>
          <w:lang w:val="en-CA"/>
        </w:rPr>
        <w:t>ExCom</w:t>
      </w:r>
      <w:proofErr w:type="spellEnd"/>
      <w:r w:rsidRPr="00AA23BE">
        <w:rPr>
          <w:lang w:val="en-CA"/>
        </w:rPr>
        <w:t>/77/25.</w:t>
      </w:r>
    </w:p>
  </w:footnote>
  <w:footnote w:id="6">
    <w:p w:rsidR="00A02E8E" w:rsidRPr="00AA23BE" w:rsidRDefault="00A02E8E" w:rsidP="00E6554D">
      <w:pPr>
        <w:pStyle w:val="FootnoteText"/>
      </w:pPr>
      <w:r w:rsidRPr="00AA23BE">
        <w:rPr>
          <w:rStyle w:val="FootnoteReference"/>
        </w:rPr>
        <w:footnoteRef/>
      </w:r>
      <w:r w:rsidRPr="00AA23BE">
        <w:t xml:space="preserve"> The Executive Committee decided that the total funding for the HPPMP for China would be up to US $385 million. Of this amount, US $95 million was approved for stage I with a balance of US $290 million.</w:t>
      </w:r>
    </w:p>
  </w:footnote>
  <w:footnote w:id="7">
    <w:p w:rsidR="00A02E8E" w:rsidRPr="00AA23BE" w:rsidRDefault="00A02E8E" w:rsidP="00E6554D">
      <w:pPr>
        <w:pStyle w:val="FootnoteText"/>
        <w:rPr>
          <w:lang w:val="en-CA"/>
        </w:rPr>
      </w:pPr>
      <w:r w:rsidRPr="00AA23BE">
        <w:rPr>
          <w:rStyle w:val="FootnoteReference"/>
        </w:rPr>
        <w:footnoteRef/>
      </w:r>
      <w:r w:rsidRPr="00AA23BE">
        <w:t xml:space="preserve"> </w:t>
      </w:r>
      <w:proofErr w:type="gramStart"/>
      <w:r w:rsidRPr="00AA23BE">
        <w:t>Mauritania, South Sudan and Syrian Arab Republic.</w:t>
      </w:r>
      <w:proofErr w:type="gramEnd"/>
      <w:r w:rsidRPr="00AA23BE">
        <w:t xml:space="preserve"> However, the HPMP for South Sudan has been submitted to the 77</w:t>
      </w:r>
      <w:r w:rsidRPr="00AA23BE">
        <w:rPr>
          <w:vertAlign w:val="superscript"/>
        </w:rPr>
        <w:t>th</w:t>
      </w:r>
      <w:r w:rsidRPr="00AA23BE">
        <w:t xml:space="preserve"> meeting (UNEP/OzL.Pro/</w:t>
      </w:r>
      <w:proofErr w:type="spellStart"/>
      <w:r w:rsidRPr="00AA23BE">
        <w:t>ExCom</w:t>
      </w:r>
      <w:proofErr w:type="spellEnd"/>
      <w:r w:rsidRPr="00AA23BE">
        <w:t xml:space="preserve">/77/63.) </w:t>
      </w:r>
    </w:p>
  </w:footnote>
  <w:footnote w:id="8">
    <w:p w:rsidR="004121B8" w:rsidRPr="00AA23BE" w:rsidRDefault="004121B8">
      <w:pPr>
        <w:pStyle w:val="FootnoteText"/>
        <w:rPr>
          <w:lang w:val="en-CA"/>
        </w:rPr>
      </w:pPr>
      <w:r w:rsidRPr="00AA23BE">
        <w:rPr>
          <w:rStyle w:val="FootnoteReference"/>
        </w:rPr>
        <w:footnoteRef/>
      </w:r>
      <w:r w:rsidRPr="00AA23BE">
        <w:t xml:space="preserve"> </w:t>
      </w:r>
      <w:r w:rsidRPr="00AA23BE">
        <w:t>A project to phase out HCFC consumption in the foam sector has been submitted to the 77</w:t>
      </w:r>
      <w:r w:rsidRPr="00AA23BE">
        <w:rPr>
          <w:vertAlign w:val="superscript"/>
        </w:rPr>
        <w:t>th</w:t>
      </w:r>
      <w:r w:rsidRPr="00AA23BE">
        <w:t> meeting, but subsequently withdrawn.</w:t>
      </w:r>
    </w:p>
  </w:footnote>
  <w:footnote w:id="9">
    <w:p w:rsidR="00A02E8E" w:rsidRPr="00AA23BE" w:rsidRDefault="00A02E8E" w:rsidP="00E6554D">
      <w:pPr>
        <w:pStyle w:val="FootnoteText"/>
        <w:rPr>
          <w:lang w:val="en-US"/>
        </w:rPr>
      </w:pPr>
      <w:r w:rsidRPr="00AA23BE">
        <w:rPr>
          <w:rStyle w:val="FootnoteReference"/>
        </w:rPr>
        <w:footnoteRef/>
      </w:r>
      <w:r w:rsidRPr="00AA23BE">
        <w:t xml:space="preserve"> Decision 61/46(c) requires verification reports for a sample of 20 per cent of the LVC countries with approved HPMPs. </w:t>
      </w:r>
    </w:p>
  </w:footnote>
  <w:footnote w:id="10">
    <w:p w:rsidR="00A02E8E" w:rsidRPr="00AA23BE" w:rsidRDefault="00A02E8E" w:rsidP="00E6554D">
      <w:pPr>
        <w:pStyle w:val="FootnoteText"/>
        <w:rPr>
          <w:lang w:val="en-CA"/>
        </w:rPr>
      </w:pPr>
      <w:r w:rsidRPr="00AA23BE">
        <w:rPr>
          <w:rStyle w:val="FootnoteReference"/>
        </w:rPr>
        <w:footnoteRef/>
      </w:r>
      <w:r w:rsidRPr="00AA23BE">
        <w:t xml:space="preserve"> In line with decision 74/51(c), to approve all IS projects and renewals at a level 28 per cent higher than the historically agreed level, with a minimum level of IS funding of US $42,500 per year.</w:t>
      </w:r>
    </w:p>
  </w:footnote>
  <w:footnote w:id="11">
    <w:p w:rsidR="00A02E8E" w:rsidRPr="00AA23BE" w:rsidRDefault="00A02E8E" w:rsidP="00E6554D">
      <w:pPr>
        <w:pStyle w:val="FootnoteText"/>
        <w:rPr>
          <w:lang w:val="en-CA"/>
        </w:rPr>
      </w:pPr>
      <w:r w:rsidRPr="00AA23BE">
        <w:rPr>
          <w:rStyle w:val="FootnoteReference"/>
        </w:rPr>
        <w:footnoteRef/>
      </w:r>
      <w:r w:rsidRPr="00AA23BE">
        <w:t xml:space="preserve"> </w:t>
      </w:r>
      <w:r w:rsidRPr="00AA23BE">
        <w:rPr>
          <w:lang w:val="en-CA"/>
        </w:rPr>
        <w:t>As agreed at the IACM.</w:t>
      </w:r>
    </w:p>
  </w:footnote>
  <w:footnote w:id="12">
    <w:p w:rsidR="00A02E8E" w:rsidRPr="00AA23BE" w:rsidRDefault="00A02E8E" w:rsidP="00E6554D">
      <w:pPr>
        <w:pStyle w:val="FootnoteText"/>
      </w:pPr>
      <w:r w:rsidRPr="00AA23BE">
        <w:rPr>
          <w:rStyle w:val="FootnoteReference"/>
        </w:rPr>
        <w:footnoteRef/>
      </w:r>
      <w:r w:rsidRPr="00AA23BE">
        <w:t xml:space="preserve"> </w:t>
      </w:r>
      <w:r w:rsidRPr="00AA23BE">
        <w:rPr>
          <w:lang w:val="en-CA"/>
        </w:rPr>
        <w:t>UNEP/OzL.Pro/</w:t>
      </w:r>
      <w:proofErr w:type="spellStart"/>
      <w:r w:rsidRPr="00AA23BE">
        <w:rPr>
          <w:lang w:val="en-CA"/>
        </w:rPr>
        <w:t>ExCom</w:t>
      </w:r>
      <w:proofErr w:type="spellEnd"/>
      <w:r w:rsidRPr="00AA23BE">
        <w:rPr>
          <w:lang w:val="en-CA"/>
        </w:rPr>
        <w:t>/77/5.</w:t>
      </w:r>
    </w:p>
  </w:footnote>
  <w:footnote w:id="13">
    <w:p w:rsidR="00A02E8E" w:rsidRPr="003A2090" w:rsidRDefault="00A02E8E">
      <w:pPr>
        <w:pStyle w:val="FootnoteText"/>
        <w:rPr>
          <w:lang w:val="en-CA"/>
        </w:rPr>
      </w:pPr>
      <w:r w:rsidRPr="00AA23BE">
        <w:rPr>
          <w:rStyle w:val="FootnoteReference"/>
        </w:rPr>
        <w:footnoteRef/>
      </w:r>
      <w:r w:rsidRPr="00AA23BE">
        <w:t xml:space="preserve"> </w:t>
      </w:r>
      <w:proofErr w:type="gramStart"/>
      <w:r w:rsidRPr="00AA23BE">
        <w:rPr>
          <w:lang w:val="en-CA"/>
        </w:rPr>
        <w:t>Excluding 2016 values.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8E" w:rsidRPr="0033525D" w:rsidRDefault="00A02E8E">
    <w:r>
      <w:fldChar w:fldCharType="begin"/>
    </w:r>
    <w:r>
      <w:instrText xml:space="preserve"> DOCPROPERTY "Document number"  \* MERGEFORMAT </w:instrText>
    </w:r>
    <w:r>
      <w:fldChar w:fldCharType="separate"/>
    </w:r>
    <w:r w:rsidR="00306272">
      <w:t>UNEP/OzL.Pro/</w:t>
    </w:r>
    <w:proofErr w:type="spellStart"/>
    <w:r w:rsidR="00306272">
      <w:t>ExCom</w:t>
    </w:r>
    <w:proofErr w:type="spellEnd"/>
    <w:r w:rsidR="00306272">
      <w:t>/77/20</w:t>
    </w:r>
    <w:r>
      <w:fldChar w:fldCharType="end"/>
    </w:r>
  </w:p>
  <w:p w:rsidR="00A02E8E" w:rsidRPr="0033525D" w:rsidRDefault="00A02E8E"/>
  <w:p w:rsidR="00A02E8E" w:rsidRPr="0033525D" w:rsidRDefault="00A02E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8E" w:rsidRPr="0033525D" w:rsidRDefault="00A02E8E">
    <w:pPr>
      <w:jc w:val="right"/>
    </w:pPr>
    <w:r>
      <w:fldChar w:fldCharType="begin"/>
    </w:r>
    <w:r>
      <w:instrText xml:space="preserve"> DOCPROPERTY "Document number"  \* MERGEFORMAT </w:instrText>
    </w:r>
    <w:r>
      <w:fldChar w:fldCharType="separate"/>
    </w:r>
    <w:r w:rsidR="00306272">
      <w:t>UNEP/OzL.Pro/</w:t>
    </w:r>
    <w:proofErr w:type="spellStart"/>
    <w:r w:rsidR="00306272">
      <w:t>ExCom</w:t>
    </w:r>
    <w:proofErr w:type="spellEnd"/>
    <w:r w:rsidR="00306272">
      <w:t>/77/20</w:t>
    </w:r>
    <w:r>
      <w:fldChar w:fldCharType="end"/>
    </w:r>
  </w:p>
  <w:p w:rsidR="00A02E8E" w:rsidRPr="0033525D" w:rsidRDefault="00A02E8E"/>
  <w:p w:rsidR="00A02E8E" w:rsidRPr="0033525D" w:rsidRDefault="00A02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1A4E4C86"/>
    <w:multiLevelType w:val="hybridMultilevel"/>
    <w:tmpl w:val="E9BEA3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nsid w:val="37CF50BE"/>
    <w:multiLevelType w:val="multilevel"/>
    <w:tmpl w:val="B67C3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7"/>
  </w:num>
  <w:num w:numId="20">
    <w:abstractNumId w:val="13"/>
  </w:num>
  <w:num w:numId="21">
    <w:abstractNumId w:val="11"/>
  </w:num>
  <w:num w:numId="22">
    <w:abstractNumId w:val="14"/>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D"/>
    <w:rsid w:val="00000FED"/>
    <w:rsid w:val="0000434E"/>
    <w:rsid w:val="000211A9"/>
    <w:rsid w:val="00031260"/>
    <w:rsid w:val="0003681A"/>
    <w:rsid w:val="000737D5"/>
    <w:rsid w:val="00080ED0"/>
    <w:rsid w:val="00085B8F"/>
    <w:rsid w:val="00090481"/>
    <w:rsid w:val="000928D6"/>
    <w:rsid w:val="000B5ED7"/>
    <w:rsid w:val="000D10D1"/>
    <w:rsid w:val="000E07BC"/>
    <w:rsid w:val="000F1CD4"/>
    <w:rsid w:val="000F4103"/>
    <w:rsid w:val="000F70A7"/>
    <w:rsid w:val="00135980"/>
    <w:rsid w:val="00136748"/>
    <w:rsid w:val="00162C4A"/>
    <w:rsid w:val="001634C3"/>
    <w:rsid w:val="00164719"/>
    <w:rsid w:val="00166FC4"/>
    <w:rsid w:val="001677AC"/>
    <w:rsid w:val="001804EA"/>
    <w:rsid w:val="00180FA3"/>
    <w:rsid w:val="00190A61"/>
    <w:rsid w:val="001A1F7A"/>
    <w:rsid w:val="001A297B"/>
    <w:rsid w:val="001A3342"/>
    <w:rsid w:val="001A3E3D"/>
    <w:rsid w:val="001A7049"/>
    <w:rsid w:val="001B1E40"/>
    <w:rsid w:val="001B6846"/>
    <w:rsid w:val="001C764E"/>
    <w:rsid w:val="001E1052"/>
    <w:rsid w:val="001E21B1"/>
    <w:rsid w:val="001E2F93"/>
    <w:rsid w:val="001E3DA0"/>
    <w:rsid w:val="001E61E5"/>
    <w:rsid w:val="001F2159"/>
    <w:rsid w:val="002156B4"/>
    <w:rsid w:val="0025209D"/>
    <w:rsid w:val="00253222"/>
    <w:rsid w:val="00262847"/>
    <w:rsid w:val="00294328"/>
    <w:rsid w:val="002A0D8C"/>
    <w:rsid w:val="002A32AE"/>
    <w:rsid w:val="002B72E9"/>
    <w:rsid w:val="002C063C"/>
    <w:rsid w:val="002C7998"/>
    <w:rsid w:val="002F1E53"/>
    <w:rsid w:val="002F2CAA"/>
    <w:rsid w:val="002F3DD9"/>
    <w:rsid w:val="00301BA3"/>
    <w:rsid w:val="00306272"/>
    <w:rsid w:val="003306E1"/>
    <w:rsid w:val="003320E4"/>
    <w:rsid w:val="0033525D"/>
    <w:rsid w:val="003414F3"/>
    <w:rsid w:val="00352128"/>
    <w:rsid w:val="0035613E"/>
    <w:rsid w:val="00363CEA"/>
    <w:rsid w:val="00363EE9"/>
    <w:rsid w:val="0037042C"/>
    <w:rsid w:val="00376128"/>
    <w:rsid w:val="00376499"/>
    <w:rsid w:val="0037742E"/>
    <w:rsid w:val="0038245A"/>
    <w:rsid w:val="00390E82"/>
    <w:rsid w:val="0039337A"/>
    <w:rsid w:val="0039557D"/>
    <w:rsid w:val="003A2090"/>
    <w:rsid w:val="003A3189"/>
    <w:rsid w:val="003A5E58"/>
    <w:rsid w:val="003B569D"/>
    <w:rsid w:val="003C3C0E"/>
    <w:rsid w:val="003D4FAC"/>
    <w:rsid w:val="003E7906"/>
    <w:rsid w:val="003F3C50"/>
    <w:rsid w:val="0040628C"/>
    <w:rsid w:val="00406A6A"/>
    <w:rsid w:val="00406B22"/>
    <w:rsid w:val="004121B8"/>
    <w:rsid w:val="00420951"/>
    <w:rsid w:val="004328A7"/>
    <w:rsid w:val="00434C74"/>
    <w:rsid w:val="00456EB4"/>
    <w:rsid w:val="004718F3"/>
    <w:rsid w:val="00475040"/>
    <w:rsid w:val="00480926"/>
    <w:rsid w:val="004814B5"/>
    <w:rsid w:val="00493CC8"/>
    <w:rsid w:val="00493D40"/>
    <w:rsid w:val="004967B6"/>
    <w:rsid w:val="004A504B"/>
    <w:rsid w:val="004A6911"/>
    <w:rsid w:val="004B54E0"/>
    <w:rsid w:val="004B7384"/>
    <w:rsid w:val="004C4269"/>
    <w:rsid w:val="004D4158"/>
    <w:rsid w:val="004D6236"/>
    <w:rsid w:val="004D70A5"/>
    <w:rsid w:val="004E4DBB"/>
    <w:rsid w:val="004E4E41"/>
    <w:rsid w:val="004E6BAA"/>
    <w:rsid w:val="004E7F9C"/>
    <w:rsid w:val="004F3493"/>
    <w:rsid w:val="00511A33"/>
    <w:rsid w:val="00512B09"/>
    <w:rsid w:val="00545250"/>
    <w:rsid w:val="005501C2"/>
    <w:rsid w:val="00550753"/>
    <w:rsid w:val="00552B7E"/>
    <w:rsid w:val="00555196"/>
    <w:rsid w:val="00555D75"/>
    <w:rsid w:val="00560DF0"/>
    <w:rsid w:val="00564D02"/>
    <w:rsid w:val="0056759C"/>
    <w:rsid w:val="00581A54"/>
    <w:rsid w:val="00592D70"/>
    <w:rsid w:val="00594227"/>
    <w:rsid w:val="0059513E"/>
    <w:rsid w:val="005A1852"/>
    <w:rsid w:val="005B48FF"/>
    <w:rsid w:val="005C39EA"/>
    <w:rsid w:val="005C4186"/>
    <w:rsid w:val="005D02E4"/>
    <w:rsid w:val="005D2751"/>
    <w:rsid w:val="00604C15"/>
    <w:rsid w:val="006158D5"/>
    <w:rsid w:val="00625D83"/>
    <w:rsid w:val="0065767E"/>
    <w:rsid w:val="006623E7"/>
    <w:rsid w:val="00662B80"/>
    <w:rsid w:val="00667244"/>
    <w:rsid w:val="00670314"/>
    <w:rsid w:val="006852C7"/>
    <w:rsid w:val="00691BF2"/>
    <w:rsid w:val="006A51DA"/>
    <w:rsid w:val="006C1727"/>
    <w:rsid w:val="006C32FD"/>
    <w:rsid w:val="006C39CE"/>
    <w:rsid w:val="006D0FCC"/>
    <w:rsid w:val="006D40A6"/>
    <w:rsid w:val="006E4A75"/>
    <w:rsid w:val="0070616B"/>
    <w:rsid w:val="00706FDA"/>
    <w:rsid w:val="00711F9A"/>
    <w:rsid w:val="00713810"/>
    <w:rsid w:val="007303A5"/>
    <w:rsid w:val="00730B3E"/>
    <w:rsid w:val="0073420B"/>
    <w:rsid w:val="00734E63"/>
    <w:rsid w:val="00743FB7"/>
    <w:rsid w:val="0074760E"/>
    <w:rsid w:val="00752E42"/>
    <w:rsid w:val="00754ABA"/>
    <w:rsid w:val="00775B66"/>
    <w:rsid w:val="007838CC"/>
    <w:rsid w:val="007A1546"/>
    <w:rsid w:val="007A228C"/>
    <w:rsid w:val="007A368E"/>
    <w:rsid w:val="007A5868"/>
    <w:rsid w:val="007B04CE"/>
    <w:rsid w:val="007B6871"/>
    <w:rsid w:val="007B7A2F"/>
    <w:rsid w:val="007C3D33"/>
    <w:rsid w:val="007C425C"/>
    <w:rsid w:val="007C67EC"/>
    <w:rsid w:val="007C7799"/>
    <w:rsid w:val="007D294A"/>
    <w:rsid w:val="007D47D2"/>
    <w:rsid w:val="007D6EC0"/>
    <w:rsid w:val="007D7E1D"/>
    <w:rsid w:val="007F409D"/>
    <w:rsid w:val="008021C0"/>
    <w:rsid w:val="00802F64"/>
    <w:rsid w:val="00813487"/>
    <w:rsid w:val="00822233"/>
    <w:rsid w:val="00846930"/>
    <w:rsid w:val="00851352"/>
    <w:rsid w:val="00861D3C"/>
    <w:rsid w:val="00863230"/>
    <w:rsid w:val="00865126"/>
    <w:rsid w:val="008717D8"/>
    <w:rsid w:val="00871DB3"/>
    <w:rsid w:val="0087215C"/>
    <w:rsid w:val="008809D9"/>
    <w:rsid w:val="008875FE"/>
    <w:rsid w:val="00887F8E"/>
    <w:rsid w:val="00896234"/>
    <w:rsid w:val="00897E43"/>
    <w:rsid w:val="008A0675"/>
    <w:rsid w:val="008C4632"/>
    <w:rsid w:val="008C5738"/>
    <w:rsid w:val="008C7EAD"/>
    <w:rsid w:val="008D6152"/>
    <w:rsid w:val="008F0F81"/>
    <w:rsid w:val="008F200A"/>
    <w:rsid w:val="008F27BF"/>
    <w:rsid w:val="00923540"/>
    <w:rsid w:val="00926767"/>
    <w:rsid w:val="0093077D"/>
    <w:rsid w:val="00930E7C"/>
    <w:rsid w:val="00932874"/>
    <w:rsid w:val="009361D5"/>
    <w:rsid w:val="00961A50"/>
    <w:rsid w:val="009659F4"/>
    <w:rsid w:val="00970D60"/>
    <w:rsid w:val="009960E5"/>
    <w:rsid w:val="009A7ADC"/>
    <w:rsid w:val="009C01F5"/>
    <w:rsid w:val="009C19B7"/>
    <w:rsid w:val="009D7C51"/>
    <w:rsid w:val="009F36BF"/>
    <w:rsid w:val="00A02E8E"/>
    <w:rsid w:val="00A07D67"/>
    <w:rsid w:val="00A111B6"/>
    <w:rsid w:val="00A42A99"/>
    <w:rsid w:val="00A5151A"/>
    <w:rsid w:val="00A57E0A"/>
    <w:rsid w:val="00A7643B"/>
    <w:rsid w:val="00A823F6"/>
    <w:rsid w:val="00AA0A89"/>
    <w:rsid w:val="00AA23BE"/>
    <w:rsid w:val="00AA6429"/>
    <w:rsid w:val="00AB2377"/>
    <w:rsid w:val="00AC01AA"/>
    <w:rsid w:val="00AC4F72"/>
    <w:rsid w:val="00AD1249"/>
    <w:rsid w:val="00AF0163"/>
    <w:rsid w:val="00AF741A"/>
    <w:rsid w:val="00AF7C0C"/>
    <w:rsid w:val="00B01ADB"/>
    <w:rsid w:val="00B04161"/>
    <w:rsid w:val="00B056F9"/>
    <w:rsid w:val="00B11E3D"/>
    <w:rsid w:val="00B131CC"/>
    <w:rsid w:val="00B17E82"/>
    <w:rsid w:val="00B40BD6"/>
    <w:rsid w:val="00B42B41"/>
    <w:rsid w:val="00B4575A"/>
    <w:rsid w:val="00B575BA"/>
    <w:rsid w:val="00B76429"/>
    <w:rsid w:val="00B956D4"/>
    <w:rsid w:val="00B96CDD"/>
    <w:rsid w:val="00B97446"/>
    <w:rsid w:val="00BA7432"/>
    <w:rsid w:val="00BB1AE5"/>
    <w:rsid w:val="00BC1AA0"/>
    <w:rsid w:val="00BC2495"/>
    <w:rsid w:val="00BC7EB9"/>
    <w:rsid w:val="00BD2643"/>
    <w:rsid w:val="00BD56B1"/>
    <w:rsid w:val="00BD6558"/>
    <w:rsid w:val="00BF16FB"/>
    <w:rsid w:val="00BF3214"/>
    <w:rsid w:val="00C15867"/>
    <w:rsid w:val="00C2296D"/>
    <w:rsid w:val="00C23155"/>
    <w:rsid w:val="00C40C41"/>
    <w:rsid w:val="00C45885"/>
    <w:rsid w:val="00C47A39"/>
    <w:rsid w:val="00C50F22"/>
    <w:rsid w:val="00C57971"/>
    <w:rsid w:val="00C76BA4"/>
    <w:rsid w:val="00C83A48"/>
    <w:rsid w:val="00C85865"/>
    <w:rsid w:val="00C85E85"/>
    <w:rsid w:val="00C93F87"/>
    <w:rsid w:val="00CA2EAE"/>
    <w:rsid w:val="00CA4AC1"/>
    <w:rsid w:val="00CB0316"/>
    <w:rsid w:val="00CB0B11"/>
    <w:rsid w:val="00CB1FA8"/>
    <w:rsid w:val="00CB5354"/>
    <w:rsid w:val="00CC35FC"/>
    <w:rsid w:val="00CC6A14"/>
    <w:rsid w:val="00CC70A3"/>
    <w:rsid w:val="00CD1366"/>
    <w:rsid w:val="00CD4442"/>
    <w:rsid w:val="00CD53C3"/>
    <w:rsid w:val="00CD574E"/>
    <w:rsid w:val="00CD665A"/>
    <w:rsid w:val="00CE12E8"/>
    <w:rsid w:val="00CE4C22"/>
    <w:rsid w:val="00CE7C58"/>
    <w:rsid w:val="00CF41EC"/>
    <w:rsid w:val="00CF5D04"/>
    <w:rsid w:val="00D04DE4"/>
    <w:rsid w:val="00D063F1"/>
    <w:rsid w:val="00D14F22"/>
    <w:rsid w:val="00D45BC6"/>
    <w:rsid w:val="00D57918"/>
    <w:rsid w:val="00D65272"/>
    <w:rsid w:val="00D73DC6"/>
    <w:rsid w:val="00D74C1A"/>
    <w:rsid w:val="00D754C1"/>
    <w:rsid w:val="00D77A35"/>
    <w:rsid w:val="00D81B3E"/>
    <w:rsid w:val="00D875C6"/>
    <w:rsid w:val="00D90C70"/>
    <w:rsid w:val="00D90E49"/>
    <w:rsid w:val="00DA056A"/>
    <w:rsid w:val="00DC6A10"/>
    <w:rsid w:val="00DC7990"/>
    <w:rsid w:val="00DD3D6A"/>
    <w:rsid w:val="00DE657E"/>
    <w:rsid w:val="00DE6FF8"/>
    <w:rsid w:val="00DF4704"/>
    <w:rsid w:val="00E024AA"/>
    <w:rsid w:val="00E250F1"/>
    <w:rsid w:val="00E31BEB"/>
    <w:rsid w:val="00E3550D"/>
    <w:rsid w:val="00E53BD0"/>
    <w:rsid w:val="00E55012"/>
    <w:rsid w:val="00E605A5"/>
    <w:rsid w:val="00E614E0"/>
    <w:rsid w:val="00E6554D"/>
    <w:rsid w:val="00E66A74"/>
    <w:rsid w:val="00E73F7F"/>
    <w:rsid w:val="00E8094E"/>
    <w:rsid w:val="00EA429F"/>
    <w:rsid w:val="00EA4F9E"/>
    <w:rsid w:val="00EA63CA"/>
    <w:rsid w:val="00EA6D3B"/>
    <w:rsid w:val="00EB00AD"/>
    <w:rsid w:val="00EB136C"/>
    <w:rsid w:val="00EB480E"/>
    <w:rsid w:val="00EB5EC6"/>
    <w:rsid w:val="00EB7FC9"/>
    <w:rsid w:val="00ED27E8"/>
    <w:rsid w:val="00ED7137"/>
    <w:rsid w:val="00EE04B0"/>
    <w:rsid w:val="00F21088"/>
    <w:rsid w:val="00F21721"/>
    <w:rsid w:val="00F327E7"/>
    <w:rsid w:val="00F35746"/>
    <w:rsid w:val="00F41B33"/>
    <w:rsid w:val="00F43FDE"/>
    <w:rsid w:val="00F447C7"/>
    <w:rsid w:val="00F554A9"/>
    <w:rsid w:val="00F716FD"/>
    <w:rsid w:val="00F80355"/>
    <w:rsid w:val="00F80F0A"/>
    <w:rsid w:val="00FA2AC0"/>
    <w:rsid w:val="00FB0C81"/>
    <w:rsid w:val="00FB2077"/>
    <w:rsid w:val="00FB444A"/>
    <w:rsid w:val="00FB58E8"/>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link w:val="Heading3Char3"/>
    <w:uiPriority w:val="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customStyle="1" w:styleId="Title2">
    <w:name w:val="Title2"/>
    <w:rsid w:val="00E6554D"/>
    <w:pPr>
      <w:jc w:val="center"/>
      <w:outlineLvl w:val="0"/>
    </w:pPr>
    <w:rPr>
      <w:b/>
      <w:caps/>
      <w:sz w:val="22"/>
      <w:szCs w:val="22"/>
      <w:lang w:val="en-GB"/>
    </w:rPr>
  </w:style>
  <w:style w:type="paragraph" w:styleId="FootnoteText">
    <w:name w:val="footnote text"/>
    <w:basedOn w:val="Normal"/>
    <w:link w:val="FootnoteTextChar"/>
    <w:semiHidden/>
    <w:rsid w:val="00E6554D"/>
    <w:rPr>
      <w:sz w:val="20"/>
      <w:szCs w:val="20"/>
    </w:rPr>
  </w:style>
  <w:style w:type="character" w:customStyle="1" w:styleId="FootnoteTextChar">
    <w:name w:val="Footnote Text Char"/>
    <w:basedOn w:val="DefaultParagraphFont"/>
    <w:link w:val="FootnoteText"/>
    <w:semiHidden/>
    <w:rsid w:val="00E6554D"/>
    <w:rPr>
      <w:lang w:val="en-GB"/>
    </w:rPr>
  </w:style>
  <w:style w:type="character" w:styleId="FootnoteReference">
    <w:name w:val="footnote reference"/>
    <w:semiHidden/>
    <w:rsid w:val="00E6554D"/>
    <w:rPr>
      <w:vertAlign w:val="superscript"/>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link w:val="Heading2"/>
    <w:rsid w:val="00E6554D"/>
    <w:rPr>
      <w:sz w:val="22"/>
      <w:szCs w:val="22"/>
      <w:lang w:val="en-GB"/>
    </w:rPr>
  </w:style>
  <w:style w:type="character" w:customStyle="1" w:styleId="FooterChar">
    <w:name w:val="Footer Char"/>
    <w:link w:val="Footer"/>
    <w:uiPriority w:val="99"/>
    <w:rsid w:val="00E6554D"/>
    <w:rPr>
      <w:sz w:val="22"/>
      <w:szCs w:val="22"/>
      <w:lang w:val="en-GB"/>
    </w:rPr>
  </w:style>
  <w:style w:type="character" w:customStyle="1" w:styleId="Heading3Char3">
    <w:name w:val="Heading 3 Char3"/>
    <w:aliases w:val="Char Char3,Heading 3 Char Char1,Char Char Char2,Heading 3 Char1 Char1,Heading 3 Char Char Char1,Char Char Char Char1,Char Char1 Char1,Heading 3 Char2 Char,Heading 3 Char Char1 Char Char,Heading 3 Char1 Char Char,Char Char Char Char Char"/>
    <w:link w:val="Heading3"/>
    <w:uiPriority w:val="9"/>
    <w:rsid w:val="00E6554D"/>
    <w:rPr>
      <w:sz w:val="22"/>
      <w:szCs w:val="22"/>
      <w:lang w:val="en-GB"/>
    </w:rPr>
  </w:style>
  <w:style w:type="paragraph" w:styleId="ListParagraph">
    <w:name w:val="List Paragraph"/>
    <w:basedOn w:val="Normal"/>
    <w:uiPriority w:val="34"/>
    <w:qFormat/>
    <w:rsid w:val="00E65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link w:val="Heading3Char3"/>
    <w:uiPriority w:val="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customStyle="1" w:styleId="Title2">
    <w:name w:val="Title2"/>
    <w:rsid w:val="00E6554D"/>
    <w:pPr>
      <w:jc w:val="center"/>
      <w:outlineLvl w:val="0"/>
    </w:pPr>
    <w:rPr>
      <w:b/>
      <w:caps/>
      <w:sz w:val="22"/>
      <w:szCs w:val="22"/>
      <w:lang w:val="en-GB"/>
    </w:rPr>
  </w:style>
  <w:style w:type="paragraph" w:styleId="FootnoteText">
    <w:name w:val="footnote text"/>
    <w:basedOn w:val="Normal"/>
    <w:link w:val="FootnoteTextChar"/>
    <w:semiHidden/>
    <w:rsid w:val="00E6554D"/>
    <w:rPr>
      <w:sz w:val="20"/>
      <w:szCs w:val="20"/>
    </w:rPr>
  </w:style>
  <w:style w:type="character" w:customStyle="1" w:styleId="FootnoteTextChar">
    <w:name w:val="Footnote Text Char"/>
    <w:basedOn w:val="DefaultParagraphFont"/>
    <w:link w:val="FootnoteText"/>
    <w:semiHidden/>
    <w:rsid w:val="00E6554D"/>
    <w:rPr>
      <w:lang w:val="en-GB"/>
    </w:rPr>
  </w:style>
  <w:style w:type="character" w:styleId="FootnoteReference">
    <w:name w:val="footnote reference"/>
    <w:semiHidden/>
    <w:rsid w:val="00E6554D"/>
    <w:rPr>
      <w:vertAlign w:val="superscript"/>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link w:val="Heading2"/>
    <w:rsid w:val="00E6554D"/>
    <w:rPr>
      <w:sz w:val="22"/>
      <w:szCs w:val="22"/>
      <w:lang w:val="en-GB"/>
    </w:rPr>
  </w:style>
  <w:style w:type="character" w:customStyle="1" w:styleId="FooterChar">
    <w:name w:val="Footer Char"/>
    <w:link w:val="Footer"/>
    <w:uiPriority w:val="99"/>
    <w:rsid w:val="00E6554D"/>
    <w:rPr>
      <w:sz w:val="22"/>
      <w:szCs w:val="22"/>
      <w:lang w:val="en-GB"/>
    </w:rPr>
  </w:style>
  <w:style w:type="character" w:customStyle="1" w:styleId="Heading3Char3">
    <w:name w:val="Heading 3 Char3"/>
    <w:aliases w:val="Char Char3,Heading 3 Char Char1,Char Char Char2,Heading 3 Char1 Char1,Heading 3 Char Char Char1,Char Char Char Char1,Char Char1 Char1,Heading 3 Char2 Char,Heading 3 Char Char1 Char Char,Heading 3 Char1 Char Char,Char Char Char Char Char"/>
    <w:link w:val="Heading3"/>
    <w:uiPriority w:val="9"/>
    <w:rsid w:val="00E6554D"/>
    <w:rPr>
      <w:sz w:val="22"/>
      <w:szCs w:val="22"/>
      <w:lang w:val="en-GB"/>
    </w:rPr>
  </w:style>
  <w:style w:type="paragraph" w:styleId="ListParagraph">
    <w:name w:val="List Paragraph"/>
    <w:basedOn w:val="Normal"/>
    <w:uiPriority w:val="34"/>
    <w:qFormat/>
    <w:rsid w:val="00E6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7473">
      <w:bodyDiv w:val="1"/>
      <w:marLeft w:val="0"/>
      <w:marRight w:val="0"/>
      <w:marTop w:val="0"/>
      <w:marBottom w:val="0"/>
      <w:divBdr>
        <w:top w:val="none" w:sz="0" w:space="0" w:color="auto"/>
        <w:left w:val="none" w:sz="0" w:space="0" w:color="auto"/>
        <w:bottom w:val="none" w:sz="0" w:space="0" w:color="auto"/>
        <w:right w:val="none" w:sz="0" w:space="0" w:color="auto"/>
      </w:divBdr>
    </w:div>
    <w:div w:id="507865198">
      <w:bodyDiv w:val="1"/>
      <w:marLeft w:val="0"/>
      <w:marRight w:val="0"/>
      <w:marTop w:val="0"/>
      <w:marBottom w:val="0"/>
      <w:divBdr>
        <w:top w:val="none" w:sz="0" w:space="0" w:color="auto"/>
        <w:left w:val="none" w:sz="0" w:space="0" w:color="auto"/>
        <w:bottom w:val="none" w:sz="0" w:space="0" w:color="auto"/>
        <w:right w:val="none" w:sz="0" w:space="0" w:color="auto"/>
      </w:divBdr>
    </w:div>
    <w:div w:id="1215390379">
      <w:bodyDiv w:val="1"/>
      <w:marLeft w:val="0"/>
      <w:marRight w:val="0"/>
      <w:marTop w:val="0"/>
      <w:marBottom w:val="0"/>
      <w:divBdr>
        <w:top w:val="none" w:sz="0" w:space="0" w:color="auto"/>
        <w:left w:val="none" w:sz="0" w:space="0" w:color="auto"/>
        <w:bottom w:val="none" w:sz="0" w:space="0" w:color="auto"/>
        <w:right w:val="none" w:sz="0" w:space="0" w:color="auto"/>
      </w:divBdr>
    </w:div>
    <w:div w:id="1271937413">
      <w:bodyDiv w:val="1"/>
      <w:marLeft w:val="0"/>
      <w:marRight w:val="0"/>
      <w:marTop w:val="0"/>
      <w:marBottom w:val="0"/>
      <w:divBdr>
        <w:top w:val="none" w:sz="0" w:space="0" w:color="auto"/>
        <w:left w:val="none" w:sz="0" w:space="0" w:color="auto"/>
        <w:bottom w:val="none" w:sz="0" w:space="0" w:color="auto"/>
        <w:right w:val="none" w:sz="0" w:space="0" w:color="auto"/>
      </w:divBdr>
    </w:div>
    <w:div w:id="1572738301">
      <w:bodyDiv w:val="1"/>
      <w:marLeft w:val="0"/>
      <w:marRight w:val="0"/>
      <w:marTop w:val="0"/>
      <w:marBottom w:val="0"/>
      <w:divBdr>
        <w:top w:val="none" w:sz="0" w:space="0" w:color="auto"/>
        <w:left w:val="none" w:sz="0" w:space="0" w:color="auto"/>
        <w:bottom w:val="none" w:sz="0" w:space="0" w:color="auto"/>
        <w:right w:val="none" w:sz="0" w:space="0" w:color="auto"/>
      </w:divBdr>
    </w:div>
    <w:div w:id="176745449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359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UNEP/OzL.Pro/ExCom/77/20</Document_x0020_Number>
    <DocumentType xmlns="64e33b30-101d-41de-b951-961aab25ea29">Pre-session</DocumentType>
  </documentManagement>
</p:properties>
</file>

<file path=customXml/itemProps1.xml><?xml version="1.0" encoding="utf-8"?>
<ds:datastoreItem xmlns:ds="http://schemas.openxmlformats.org/officeDocument/2006/customXml" ds:itemID="{296B3FFD-5358-47B8-9460-19F1299AE286}"/>
</file>

<file path=customXml/itemProps2.xml><?xml version="1.0" encoding="utf-8"?>
<ds:datastoreItem xmlns:ds="http://schemas.openxmlformats.org/officeDocument/2006/customXml" ds:itemID="{6BF78F58-8A05-4EAC-AE06-1DB31961102A}"/>
</file>

<file path=customXml/itemProps3.xml><?xml version="1.0" encoding="utf-8"?>
<ds:datastoreItem xmlns:ds="http://schemas.openxmlformats.org/officeDocument/2006/customXml" ds:itemID="{C3E0D7D8-1B7E-4C08-8554-C6953BC78F8E}"/>
</file>

<file path=customXml/itemProps4.xml><?xml version="1.0" encoding="utf-8"?>
<ds:datastoreItem xmlns:ds="http://schemas.openxmlformats.org/officeDocument/2006/customXml" ds:itemID="{B9A90E71-B0CA-400E-9ADF-D2C49AEB91E4}"/>
</file>

<file path=docProps/app.xml><?xml version="1.0" encoding="utf-8"?>
<Properties xmlns="http://schemas.openxmlformats.org/officeDocument/2006/extended-properties" xmlns:vt="http://schemas.openxmlformats.org/officeDocument/2006/docPropsVTypes">
  <Template>normal</Template>
  <TotalTime>38</TotalTime>
  <Pages>8</Pages>
  <Words>2609</Words>
  <Characters>14874</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Consolidated business plan of the Multilateral Fund for 2017-2019 (part 1)</vt:lpstr>
      <vt:lpstr>        </vt:lpstr>
      <vt:lpstr/>
      <vt:lpstr>CONSOLIDATED BUSINESS PLAN OF THE MULTILATERAL FUND for 2017-2019</vt:lpstr>
      <vt:lpstr/>
      <vt:lpstr>Introduction</vt:lpstr>
      <vt:lpstr>The Secretariat and the bilateral and implementing agencies began their collabor</vt:lpstr>
      <vt:lpstr>Programme officers reviewed new activities in particular stage II of HCFC phase-</vt:lpstr>
      <vt:lpstr>Further to the discussion at the IACM, bilateral and implementing agencies revis</vt:lpstr>
      <vt:lpstr>This document presents the consolidated business plans of the Multilateral Fund </vt:lpstr>
      <vt:lpstr>This document consists of the following sections:</vt:lpstr>
      <vt:lpstr>Table 3 presents, by year, the value of activities included in the business plan</vt:lpstr>
      <vt:lpstr>Secretariat’s observations on activities required for compliance</vt:lpstr>
      <vt:lpstr>A total of US $1.7 million (including US $107,000 for project preparation activi</vt:lpstr>
      <vt:lpstr>US $29.31 million per year is included for 2017 to 2020 and US $172.78 million f</vt:lpstr>
      <vt:lpstr>Stage I of HPMPs and additional projects  </vt:lpstr>
      <vt:lpstr>There are three countries  for which stage I of HPMPs have not yet been approved</vt:lpstr>
      <vt:lpstr>Implementing agencies included additional projects outside stage I of HPMPs for </vt:lpstr>
      <vt:lpstr>Stage II of HPMPs in low-volume-consuming (LVC) countries</vt:lpstr>
      <vt:lpstr>The total level of funding for stage II of HPMPs for the servicing sector in LVC</vt:lpstr>
      <vt:lpstr>The total level of funding for stage II of HPMPs in non-LVC countries is US $1 b</vt:lpstr>
      <vt:lpstr>Project preparation for stage III of HPMPs </vt:lpstr>
      <vt:lpstr>The total level of funding for project preparation for stage III of HPMPs (Chile</vt:lpstr>
      <vt:lpstr>The total level of funding for stage III of HPMPs in two LVC countries (Armenia </vt:lpstr>
      <vt:lpstr>The total level of funding for stage III of the HPMP in one non-LVC country (Chi</vt:lpstr>
      <vt:lpstr>The Secretariat has included an amount of US $588,600 per year for verification </vt:lpstr>
      <vt:lpstr>Secretariat’s observations on standard activities</vt:lpstr>
      <vt:lpstr>The standard costs, e.g., CAP, core unit costs, Secretariat/Executive Committee </vt:lpstr>
      <vt:lpstr>For IS activities, US $42.44 million has been included in the business plan of w</vt:lpstr>
      <vt:lpstr>During the IACM, adjustments to the business plans of bilateral and implementing</vt:lpstr>
      <vt:lpstr>Table 6 presents the results of the proposed adjustments to the consolidated bus</vt:lpstr>
      <vt:lpstr>Activities included in the 2016 business plans of bilateral and implementing age</vt:lpstr>
      <vt:lpstr>The approval of activities not included in the 2016 business plan at the 77th me</vt:lpstr>
      <vt:lpstr>Over-budgeting </vt:lpstr>
      <vt:lpstr>After adjustments are made, the activities in the business plan exceed the overa</vt:lpstr>
      <vt:lpstr>The business plan values for 2017 is US $14.1 million (9.2 per cent) above the o</vt:lpstr>
      <vt:lpstr>The total value of new HPMPs (stages I and II) submitted to the 77th meeting was</vt:lpstr>
      <vt:lpstr>The 2017-2019 business plan would more accurately reflect the resource allocatio</vt:lpstr>
      <vt:lpstr>The Executive Committee may wish:</vt:lpstr>
      <vt:lpstr>    To note the consolidated business plan of the Multilateral Fund for 2017-2019 co</vt:lpstr>
      <vt:lpstr>    To decide whether: </vt:lpstr>
      <vt:lpstr>        To adjust the business plan as proposed by the Secretariat in document UNEP/OzL.</vt:lpstr>
      <vt:lpstr>        To further adjust the business plan during the discussion by the Executive Commi</vt:lpstr>
      <vt:lpstr>        To further adjust the business plan based on the values approved in principle fo</vt:lpstr>
      <vt:lpstr>    To request bilateral and implementing agencies to include in the business plans </vt:lpstr>
      <vt:lpstr>    To endorse the consolidated business plan of the Multilateral Fund for 2017-2019</vt:lpstr>
    </vt:vector>
  </TitlesOfParts>
  <Company/>
  <LinksUpToDate>false</LinksUpToDate>
  <CharactersWithSpaces>17449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business plan of the Multilateral Fund for 2017-2019 (part 1)</dc:title>
  <dc:subject>UNEP/OzL.Pro/ExCom/77/20</dc:subject>
  <dc:creator/>
  <cp:lastModifiedBy>muriel Aguiar</cp:lastModifiedBy>
  <cp:revision>6</cp:revision>
  <cp:lastPrinted>2016-10-26T17:49:00Z</cp:lastPrinted>
  <dcterms:created xsi:type="dcterms:W3CDTF">2016-10-26T17:11:00Z</dcterms:created>
  <dcterms:modified xsi:type="dcterms:W3CDTF">2016-10-26T17:51:00Z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UNEP/OzL.Pro/ExCom/77/20</vt:lpwstr>
  </property>
  <property fmtid="{D5CDD505-2E9C-101B-9397-08002B2CF9AE}" pid="3" name="Revision date">
    <vt:lpwstr>26/10/2016</vt:lpwstr>
  </property>
  <property fmtid="{D5CDD505-2E9C-101B-9397-08002B2CF9AE}" pid="4" name="ContentTypeId">
    <vt:lpwstr>0x010100F409F5B17BF82F4083D32896D3516BC1</vt:lpwstr>
  </property>
</Properties>
</file>