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BB2BF6">
        <w:trPr>
          <w:trHeight w:val="720"/>
        </w:trPr>
        <w:tc>
          <w:tcPr>
            <w:tcW w:w="5490" w:type="dxa"/>
            <w:gridSpan w:val="2"/>
            <w:tcBorders>
              <w:bottom w:val="single" w:sz="18" w:space="0" w:color="auto"/>
            </w:tcBorders>
          </w:tcPr>
          <w:p w:rsidR="00BB2BF6" w:rsidRDefault="007101D2" w:rsidP="006345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Pr>
                <w:rFonts w:ascii="Univers" w:hAnsi="Univers"/>
                <w:b/>
                <w:sz w:val="28"/>
                <w:szCs w:val="28"/>
              </w:rPr>
              <w:t>UNITED</w:t>
            </w:r>
            <w:r>
              <w:rPr>
                <w:rFonts w:ascii="Univers" w:hAnsi="Univers"/>
                <w:b/>
                <w:sz w:val="28"/>
                <w:szCs w:val="28"/>
              </w:rPr>
              <w:br/>
              <w:t>NATIONS</w:t>
            </w:r>
          </w:p>
        </w:tc>
        <w:tc>
          <w:tcPr>
            <w:tcW w:w="4590" w:type="dxa"/>
            <w:tcBorders>
              <w:bottom w:val="single" w:sz="18" w:space="0" w:color="auto"/>
            </w:tcBorders>
          </w:tcPr>
          <w:p w:rsidR="00BB2BF6" w:rsidRDefault="007101D2" w:rsidP="00634590">
            <w:pPr>
              <w:jc w:val="right"/>
              <w:rPr>
                <w:sz w:val="52"/>
                <w:szCs w:val="52"/>
              </w:rPr>
            </w:pPr>
            <w:r>
              <w:rPr>
                <w:rFonts w:ascii="Univers Bold" w:hAnsi="Univers Bold"/>
                <w:b/>
                <w:sz w:val="72"/>
              </w:rPr>
              <w:t>EP</w:t>
            </w:r>
          </w:p>
        </w:tc>
      </w:tr>
      <w:tr w:rsidR="00BB2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BB2BF6" w:rsidRDefault="007101D2" w:rsidP="00634590">
            <w:pPr>
              <w:spacing w:before="120"/>
            </w:pPr>
            <w:r>
              <w:rPr>
                <w:noProof/>
                <w:lang w:val="en-CA" w:eastAsia="en-CA"/>
              </w:rPr>
              <w:drawing>
                <wp:anchor distT="0" distB="0" distL="114300" distR="114300" simplePos="0" relativeHeight="251660288" behindDoc="0" locked="0" layoutInCell="1" allowOverlap="1" wp14:anchorId="03B064B9" wp14:editId="2114C422">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34B5054C" wp14:editId="1F99104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BB2BF6" w:rsidRDefault="007101D2" w:rsidP="006345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BB2BF6" w:rsidRDefault="007101D2" w:rsidP="006345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BB2BF6" w:rsidRDefault="007101D2" w:rsidP="0063459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BB2BF6" w:rsidRDefault="00BB2BF6" w:rsidP="00634590">
            <w:pPr>
              <w:spacing w:before="720"/>
              <w:ind w:left="158"/>
            </w:pPr>
          </w:p>
        </w:tc>
        <w:tc>
          <w:tcPr>
            <w:tcW w:w="4590" w:type="dxa"/>
            <w:tcBorders>
              <w:top w:val="nil"/>
              <w:left w:val="nil"/>
              <w:bottom w:val="single" w:sz="36" w:space="0" w:color="auto"/>
              <w:right w:val="nil"/>
            </w:tcBorders>
          </w:tcPr>
          <w:p w:rsidR="00BB2BF6" w:rsidRDefault="007101D2" w:rsidP="00634590">
            <w:r>
              <w:t>Distr.</w:t>
            </w:r>
          </w:p>
          <w:p w:rsidR="00BB2BF6" w:rsidRDefault="007101D2" w:rsidP="00634590">
            <w:r>
              <w:t>GENERAL</w:t>
            </w:r>
          </w:p>
          <w:p w:rsidR="00BB2BF6" w:rsidRDefault="00BB2BF6" w:rsidP="00634590"/>
          <w:p w:rsidR="00BB2BF6" w:rsidRDefault="00BB2BF6" w:rsidP="00634590"/>
          <w:p w:rsidR="00BB2BF6" w:rsidRDefault="008E28BD" w:rsidP="00634590">
            <w:r>
              <w:fldChar w:fldCharType="begin"/>
            </w:r>
            <w:r>
              <w:instrText xml:space="preserve"> DOCPROPERTY "Document number"  \* MERGEFORMAT </w:instrText>
            </w:r>
            <w:r>
              <w:fldChar w:fldCharType="separate"/>
            </w:r>
            <w:r w:rsidR="007101D2">
              <w:t>UNEP/</w:t>
            </w:r>
            <w:proofErr w:type="spellStart"/>
            <w:r w:rsidR="007101D2">
              <w:t>OzL.Pro</w:t>
            </w:r>
            <w:proofErr w:type="spellEnd"/>
            <w:r w:rsidR="007101D2">
              <w:t>/ExCom/77/</w:t>
            </w:r>
            <w:r w:rsidR="00D07760">
              <w:t>63</w:t>
            </w:r>
            <w:r>
              <w:fldChar w:fldCharType="end"/>
            </w:r>
          </w:p>
          <w:p w:rsidR="00BB2BF6" w:rsidRDefault="00D07760" w:rsidP="00634590">
            <w:r>
              <w:fldChar w:fldCharType="begin"/>
            </w:r>
            <w:r>
              <w:instrText xml:space="preserve"> DATE  \@ "d MMMM yyyy"  \* MERGEFORMAT </w:instrText>
            </w:r>
            <w:r>
              <w:fldChar w:fldCharType="separate"/>
            </w:r>
            <w:r w:rsidR="008E28BD">
              <w:rPr>
                <w:noProof/>
              </w:rPr>
              <w:t>2 November 2016</w:t>
            </w:r>
            <w:r>
              <w:fldChar w:fldCharType="end"/>
            </w:r>
          </w:p>
          <w:p w:rsidR="00BB2BF6" w:rsidRDefault="00BB2BF6" w:rsidP="00634590">
            <w:pPr>
              <w:rPr>
                <w:caps/>
              </w:rPr>
            </w:pPr>
          </w:p>
          <w:p w:rsidR="00BB2BF6" w:rsidRDefault="007101D2" w:rsidP="00634590">
            <w:r>
              <w:t>ORIGINAL: ENGLISH</w:t>
            </w:r>
          </w:p>
        </w:tc>
      </w:tr>
    </w:tbl>
    <w:p w:rsidR="00BB2BF6" w:rsidRDefault="007101D2" w:rsidP="00634590">
      <w:pPr>
        <w:jc w:val="left"/>
      </w:pPr>
      <w:r>
        <w:t>EXECUTIVE COMMITTEE OF</w:t>
      </w:r>
      <w:r>
        <w:br/>
        <w:t xml:space="preserve">  THE MULTILATERAL FUND FOR THE</w:t>
      </w:r>
      <w:r>
        <w:br/>
        <w:t xml:space="preserve">  IMPLEMENTATION OF THE MONTREAL PROTOCOL</w:t>
      </w:r>
      <w:r>
        <w:br/>
      </w:r>
      <w:r>
        <w:rPr>
          <w:lang w:val="en-CA"/>
        </w:rPr>
        <w:t>Seventy-seventh</w:t>
      </w:r>
      <w:r>
        <w:t xml:space="preserve"> Meeting</w:t>
      </w:r>
    </w:p>
    <w:p w:rsidR="00BB2BF6" w:rsidRDefault="007101D2" w:rsidP="00634590">
      <w:pPr>
        <w:jc w:val="left"/>
        <w:rPr>
          <w:lang w:val="en-CA"/>
        </w:rPr>
      </w:pPr>
      <w:r>
        <w:t>Montreal</w:t>
      </w:r>
      <w:r>
        <w:rPr>
          <w:lang w:val="en-CA"/>
        </w:rPr>
        <w:t xml:space="preserve">, </w:t>
      </w:r>
      <w:r>
        <w:t>28 November – 2 December 2016</w:t>
      </w:r>
    </w:p>
    <w:p w:rsidR="00BB2BF6" w:rsidRPr="00D07760" w:rsidRDefault="00BB2BF6" w:rsidP="00634590">
      <w:pPr>
        <w:jc w:val="left"/>
        <w:rPr>
          <w:lang w:val="en-US"/>
        </w:rPr>
      </w:pPr>
    </w:p>
    <w:p w:rsidR="00BB2BF6" w:rsidRPr="00D07760" w:rsidRDefault="00BB2BF6" w:rsidP="00634590">
      <w:pPr>
        <w:pStyle w:val="Heading3"/>
        <w:numPr>
          <w:ilvl w:val="0"/>
          <w:numId w:val="0"/>
        </w:numPr>
        <w:spacing w:after="0"/>
        <w:rPr>
          <w:lang w:val="en-US"/>
        </w:rPr>
      </w:pPr>
    </w:p>
    <w:p w:rsidR="00BB2BF6" w:rsidRPr="00D07760" w:rsidRDefault="00BB2BF6" w:rsidP="00634590">
      <w:pPr>
        <w:pStyle w:val="Title1"/>
      </w:pPr>
    </w:p>
    <w:p w:rsidR="00BB2BF6" w:rsidRPr="00D07760" w:rsidRDefault="007101D2" w:rsidP="00634590">
      <w:pPr>
        <w:jc w:val="center"/>
        <w:rPr>
          <w:b/>
          <w:lang w:val="en-CA"/>
        </w:rPr>
      </w:pPr>
      <w:r w:rsidRPr="00D07760">
        <w:rPr>
          <w:b/>
          <w:lang w:val="en-CA"/>
        </w:rPr>
        <w:t xml:space="preserve">PROJECT PROPOSAL: </w:t>
      </w:r>
      <w:r w:rsidRPr="00D07760">
        <w:rPr>
          <w:b/>
          <w:caps/>
          <w:lang w:val="en-CA"/>
        </w:rPr>
        <w:t>The Republic of</w:t>
      </w:r>
      <w:r w:rsidRPr="00D07760">
        <w:rPr>
          <w:b/>
          <w:lang w:val="en-CA"/>
        </w:rPr>
        <w:t xml:space="preserve"> SOUTH SUDAN</w:t>
      </w:r>
    </w:p>
    <w:p w:rsidR="00BB2BF6" w:rsidRPr="00D07760" w:rsidRDefault="00BB2BF6" w:rsidP="00634590">
      <w:pPr>
        <w:jc w:val="center"/>
        <w:rPr>
          <w:lang w:val="en-CA"/>
        </w:rPr>
      </w:pPr>
    </w:p>
    <w:p w:rsidR="00BB2BF6" w:rsidRPr="00D07760" w:rsidRDefault="00BB2BF6" w:rsidP="00634590">
      <w:pPr>
        <w:rPr>
          <w:lang w:val="en-CA"/>
        </w:rPr>
      </w:pPr>
    </w:p>
    <w:p w:rsidR="00BB2BF6" w:rsidRPr="00D07760" w:rsidRDefault="007101D2" w:rsidP="00634590">
      <w:pPr>
        <w:ind w:firstLine="720"/>
        <w:rPr>
          <w:lang w:val="en-CA"/>
        </w:rPr>
      </w:pPr>
      <w:r w:rsidRPr="00D07760">
        <w:rPr>
          <w:lang w:val="en-CA"/>
        </w:rPr>
        <w:t xml:space="preserve">This document consists of the comments and recommendation of the Secretariat on the following project proposal: </w:t>
      </w:r>
    </w:p>
    <w:p w:rsidR="00BB2BF6" w:rsidRPr="00D07760" w:rsidRDefault="00BB2BF6" w:rsidP="00634590">
      <w:pPr>
        <w:rPr>
          <w:lang w:val="en-CA"/>
        </w:rPr>
      </w:pPr>
    </w:p>
    <w:p w:rsidR="00BB2BF6" w:rsidRPr="00D07760" w:rsidRDefault="007101D2" w:rsidP="00634590">
      <w:pPr>
        <w:rPr>
          <w:u w:val="single"/>
          <w:lang w:val="en-CA"/>
        </w:rPr>
      </w:pPr>
      <w:r w:rsidRPr="00D07760">
        <w:rPr>
          <w:u w:val="single"/>
          <w:lang w:val="en-CA"/>
        </w:rPr>
        <w:t>Phase-out</w:t>
      </w:r>
    </w:p>
    <w:p w:rsidR="00BB2BF6" w:rsidRPr="00D07760" w:rsidRDefault="00BB2BF6" w:rsidP="00634590">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BB2BF6" w:rsidRPr="00D07760">
        <w:tc>
          <w:tcPr>
            <w:tcW w:w="7128" w:type="dxa"/>
          </w:tcPr>
          <w:p w:rsidR="00BB2BF6" w:rsidRPr="00D07760" w:rsidRDefault="007101D2" w:rsidP="00634590">
            <w:pPr>
              <w:rPr>
                <w:lang w:val="en-CA"/>
              </w:rPr>
            </w:pPr>
            <w:r w:rsidRPr="00D07760">
              <w:rPr>
                <w:lang w:val="en-CA"/>
              </w:rPr>
              <w:t>•</w:t>
            </w:r>
            <w:r w:rsidRPr="00D07760">
              <w:rPr>
                <w:lang w:val="en-CA"/>
              </w:rPr>
              <w:tab/>
              <w:t>HCFC phase-out management plan (stage I, first tranche)</w:t>
            </w:r>
          </w:p>
        </w:tc>
        <w:tc>
          <w:tcPr>
            <w:tcW w:w="2448" w:type="dxa"/>
          </w:tcPr>
          <w:p w:rsidR="00BB2BF6" w:rsidRPr="00D07760" w:rsidRDefault="007101D2" w:rsidP="00634590">
            <w:pPr>
              <w:jc w:val="right"/>
              <w:rPr>
                <w:highlight w:val="cyan"/>
                <w:lang w:val="en-CA"/>
              </w:rPr>
            </w:pPr>
            <w:r w:rsidRPr="00D07760">
              <w:rPr>
                <w:lang w:val="en-CA"/>
              </w:rPr>
              <w:t>UNEP/UNDP</w:t>
            </w:r>
          </w:p>
        </w:tc>
      </w:tr>
    </w:tbl>
    <w:p w:rsidR="00BB2BF6" w:rsidRPr="00D07760" w:rsidRDefault="00BB2BF6" w:rsidP="00634590">
      <w:pPr>
        <w:rPr>
          <w:lang w:val="en-CA"/>
        </w:rPr>
      </w:pPr>
    </w:p>
    <w:p w:rsidR="00BB2BF6" w:rsidRDefault="00BB2BF6" w:rsidP="00634590">
      <w:pPr>
        <w:rPr>
          <w:sz w:val="28"/>
          <w:szCs w:val="28"/>
          <w:lang w:val="en-CA"/>
        </w:rPr>
      </w:pPr>
    </w:p>
    <w:p w:rsidR="00BB2BF6" w:rsidRDefault="00BB2BF6" w:rsidP="00634590">
      <w:pPr>
        <w:pStyle w:val="StyleHeader4Para4Left0Firstline0"/>
        <w:numPr>
          <w:ilvl w:val="0"/>
          <w:numId w:val="0"/>
        </w:numPr>
        <w:rPr>
          <w:sz w:val="28"/>
          <w:szCs w:val="28"/>
        </w:rPr>
      </w:pPr>
    </w:p>
    <w:p w:rsidR="00BB2BF6" w:rsidRDefault="007101D2" w:rsidP="00634590">
      <w:pPr>
        <w:pStyle w:val="StyleHeader4Para4Left0Firstline0"/>
        <w:numPr>
          <w:ilvl w:val="0"/>
          <w:numId w:val="0"/>
        </w:numPr>
      </w:pPr>
      <w:r>
        <w:br w:type="page"/>
      </w:r>
    </w:p>
    <w:p w:rsidR="00BB2BF6" w:rsidRDefault="007101D2" w:rsidP="00634590">
      <w:pPr>
        <w:jc w:val="center"/>
        <w:rPr>
          <w:b/>
          <w:lang w:val="en-CA"/>
        </w:rPr>
      </w:pPr>
      <w:r>
        <w:rPr>
          <w:b/>
          <w:lang w:val="en-CA"/>
        </w:rPr>
        <w:lastRenderedPageBreak/>
        <w:t>PROJECT EVALUATION SHEET – MULTI-YEAR PROJECTS</w:t>
      </w:r>
    </w:p>
    <w:p w:rsidR="00BB2BF6" w:rsidRDefault="00BB2BF6" w:rsidP="00634590">
      <w:pPr>
        <w:jc w:val="center"/>
        <w:rPr>
          <w:lang w:val="en-CA"/>
        </w:rPr>
      </w:pPr>
    </w:p>
    <w:tbl>
      <w:tblPr>
        <w:tblStyle w:val="TableGrid"/>
        <w:tblpPr w:leftFromText="180" w:rightFromText="180" w:vertAnchor="text" w:horzAnchor="margin" w:tblpXSpec="center" w:tblpY="557"/>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612"/>
        <w:gridCol w:w="4964"/>
      </w:tblGrid>
      <w:tr w:rsidR="00BB2BF6" w:rsidTr="00D07760">
        <w:trPr>
          <w:trHeight w:val="296"/>
        </w:trPr>
        <w:tc>
          <w:tcPr>
            <w:tcW w:w="2408" w:type="pct"/>
            <w:shd w:val="clear" w:color="auto" w:fill="auto"/>
          </w:tcPr>
          <w:p w:rsidR="00BB2BF6" w:rsidRDefault="007101D2" w:rsidP="00634590">
            <w:pPr>
              <w:spacing w:after="80"/>
              <w:jc w:val="left"/>
              <w:rPr>
                <w:b/>
                <w:sz w:val="16"/>
                <w:szCs w:val="16"/>
              </w:rPr>
            </w:pPr>
            <w:r>
              <w:rPr>
                <w:b/>
                <w:sz w:val="16"/>
                <w:szCs w:val="16"/>
              </w:rPr>
              <w:t>(I) PROJECT TITLE</w:t>
            </w:r>
          </w:p>
        </w:tc>
        <w:tc>
          <w:tcPr>
            <w:tcW w:w="2592" w:type="pct"/>
            <w:shd w:val="clear" w:color="auto" w:fill="auto"/>
          </w:tcPr>
          <w:p w:rsidR="00BB2BF6" w:rsidRDefault="007101D2" w:rsidP="00634590">
            <w:pPr>
              <w:spacing w:after="80"/>
              <w:jc w:val="center"/>
              <w:rPr>
                <w:b/>
                <w:sz w:val="16"/>
                <w:szCs w:val="16"/>
              </w:rPr>
            </w:pPr>
            <w:r>
              <w:rPr>
                <w:b/>
                <w:sz w:val="16"/>
                <w:szCs w:val="16"/>
              </w:rPr>
              <w:t>AGENCY</w:t>
            </w:r>
          </w:p>
        </w:tc>
      </w:tr>
      <w:tr w:rsidR="00BB2BF6" w:rsidTr="00D07760">
        <w:trPr>
          <w:trHeight w:val="197"/>
        </w:trPr>
        <w:tc>
          <w:tcPr>
            <w:tcW w:w="2408" w:type="pct"/>
            <w:shd w:val="clear" w:color="auto" w:fill="auto"/>
          </w:tcPr>
          <w:p w:rsidR="00BB2BF6" w:rsidRDefault="007101D2" w:rsidP="00634590">
            <w:pPr>
              <w:spacing w:after="80"/>
              <w:jc w:val="center"/>
              <w:rPr>
                <w:sz w:val="16"/>
                <w:szCs w:val="16"/>
              </w:rPr>
            </w:pPr>
            <w:r>
              <w:rPr>
                <w:sz w:val="16"/>
                <w:szCs w:val="16"/>
              </w:rPr>
              <w:t>HPMP</w:t>
            </w:r>
          </w:p>
        </w:tc>
        <w:tc>
          <w:tcPr>
            <w:tcW w:w="2592" w:type="pct"/>
            <w:shd w:val="clear" w:color="auto" w:fill="auto"/>
          </w:tcPr>
          <w:p w:rsidR="00BB2BF6" w:rsidRDefault="007101D2" w:rsidP="00634590">
            <w:pPr>
              <w:spacing w:after="80"/>
              <w:jc w:val="center"/>
              <w:rPr>
                <w:sz w:val="16"/>
                <w:szCs w:val="16"/>
              </w:rPr>
            </w:pPr>
            <w:r>
              <w:rPr>
                <w:sz w:val="16"/>
                <w:szCs w:val="16"/>
              </w:rPr>
              <w:t>UNEP (lead)/UNDP</w:t>
            </w:r>
          </w:p>
        </w:tc>
      </w:tr>
    </w:tbl>
    <w:p w:rsidR="00BB2BF6" w:rsidRDefault="007101D2" w:rsidP="00634590">
      <w:pPr>
        <w:spacing w:after="80"/>
        <w:jc w:val="center"/>
        <w:rPr>
          <w:b/>
          <w:sz w:val="16"/>
          <w:szCs w:val="16"/>
        </w:rPr>
      </w:pPr>
      <w:r>
        <w:rPr>
          <w:b/>
        </w:rPr>
        <w:t>South Sudan</w:t>
      </w:r>
    </w:p>
    <w:p w:rsidR="00BB2BF6" w:rsidRDefault="00BB2BF6" w:rsidP="00634590">
      <w:pPr>
        <w:spacing w:after="60"/>
        <w:jc w:val="center"/>
        <w:rPr>
          <w:b/>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171"/>
        <w:gridCol w:w="2386"/>
        <w:gridCol w:w="2019"/>
      </w:tblGrid>
      <w:tr w:rsidR="00BB2BF6" w:rsidTr="00D07760">
        <w:trPr>
          <w:trHeight w:val="240"/>
        </w:trPr>
        <w:tc>
          <w:tcPr>
            <w:tcW w:w="2700" w:type="pct"/>
            <w:tcBorders>
              <w:top w:val="single" w:sz="4" w:space="0" w:color="666699"/>
              <w:left w:val="single" w:sz="4" w:space="0" w:color="666699"/>
              <w:bottom w:val="single" w:sz="4" w:space="0" w:color="666699"/>
              <w:right w:val="single" w:sz="4" w:space="0" w:color="666699"/>
            </w:tcBorders>
            <w:hideMark/>
          </w:tcPr>
          <w:p w:rsidR="00BB2BF6" w:rsidRDefault="007101D2" w:rsidP="00634590">
            <w:pPr>
              <w:spacing w:after="60"/>
              <w:jc w:val="left"/>
              <w:rPr>
                <w:b/>
                <w:sz w:val="18"/>
              </w:rPr>
            </w:pPr>
            <w:r>
              <w:rPr>
                <w:b/>
                <w:sz w:val="18"/>
              </w:rPr>
              <w:t>(II) LATEST ARTICLE 7 DATA (Annex C Group l)</w:t>
            </w:r>
          </w:p>
        </w:tc>
        <w:tc>
          <w:tcPr>
            <w:tcW w:w="1246" w:type="pct"/>
            <w:tcBorders>
              <w:top w:val="single" w:sz="4" w:space="0" w:color="666699"/>
              <w:left w:val="single" w:sz="4" w:space="0" w:color="666699"/>
              <w:bottom w:val="single" w:sz="4" w:space="0" w:color="666699"/>
              <w:right w:val="single" w:sz="4" w:space="0" w:color="666699"/>
            </w:tcBorders>
            <w:hideMark/>
          </w:tcPr>
          <w:p w:rsidR="00BB2BF6" w:rsidRDefault="007101D2" w:rsidP="00634590">
            <w:pPr>
              <w:spacing w:after="60"/>
              <w:jc w:val="center"/>
              <w:rPr>
                <w:sz w:val="18"/>
              </w:rPr>
            </w:pPr>
            <w:r>
              <w:rPr>
                <w:sz w:val="18"/>
              </w:rPr>
              <w:t>Year: 2015</w:t>
            </w:r>
          </w:p>
        </w:tc>
        <w:tc>
          <w:tcPr>
            <w:tcW w:w="1054" w:type="pct"/>
            <w:tcBorders>
              <w:top w:val="single" w:sz="4" w:space="0" w:color="666699"/>
              <w:left w:val="single" w:sz="4" w:space="0" w:color="666699"/>
              <w:bottom w:val="single" w:sz="4" w:space="0" w:color="666699"/>
              <w:right w:val="single" w:sz="4" w:space="0" w:color="666699"/>
            </w:tcBorders>
            <w:hideMark/>
          </w:tcPr>
          <w:p w:rsidR="00BB2BF6" w:rsidRDefault="007101D2" w:rsidP="00634590">
            <w:pPr>
              <w:spacing w:after="60"/>
              <w:jc w:val="right"/>
              <w:rPr>
                <w:sz w:val="18"/>
              </w:rPr>
            </w:pPr>
            <w:r w:rsidRPr="00594B94">
              <w:rPr>
                <w:sz w:val="18"/>
              </w:rPr>
              <w:t>3.36</w:t>
            </w:r>
            <w:r>
              <w:rPr>
                <w:sz w:val="18"/>
              </w:rPr>
              <w:t xml:space="preserve"> (ODP tonnes)</w:t>
            </w:r>
          </w:p>
        </w:tc>
      </w:tr>
    </w:tbl>
    <w:p w:rsidR="00BB2BF6" w:rsidRDefault="00BB2BF6" w:rsidP="00634590">
      <w:pPr>
        <w:spacing w:after="60"/>
        <w:jc w:val="center"/>
        <w:rPr>
          <w:b/>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02"/>
        <w:gridCol w:w="806"/>
        <w:gridCol w:w="630"/>
        <w:gridCol w:w="900"/>
        <w:gridCol w:w="1170"/>
        <w:gridCol w:w="900"/>
        <w:gridCol w:w="720"/>
        <w:gridCol w:w="900"/>
        <w:gridCol w:w="638"/>
        <w:gridCol w:w="1810"/>
      </w:tblGrid>
      <w:tr w:rsidR="00BB2BF6" w:rsidTr="00D07760">
        <w:trPr>
          <w:trHeight w:hRule="exact" w:val="505"/>
        </w:trPr>
        <w:tc>
          <w:tcPr>
            <w:tcW w:w="2876" w:type="pct"/>
            <w:gridSpan w:val="6"/>
            <w:shd w:val="clear" w:color="auto" w:fill="auto"/>
          </w:tcPr>
          <w:p w:rsidR="00BB2BF6" w:rsidRDefault="007101D2" w:rsidP="00634590">
            <w:pPr>
              <w:spacing w:after="60"/>
              <w:jc w:val="left"/>
              <w:rPr>
                <w:b/>
                <w:sz w:val="16"/>
                <w:szCs w:val="16"/>
              </w:rPr>
            </w:pPr>
            <w:r>
              <w:rPr>
                <w:b/>
                <w:sz w:val="16"/>
                <w:szCs w:val="16"/>
              </w:rPr>
              <w:t xml:space="preserve">(III) LATEST COUNTRY PROGRAMME SECTORAL DATA </w:t>
            </w:r>
          </w:p>
          <w:p w:rsidR="00BB2BF6" w:rsidRDefault="007101D2" w:rsidP="00634590">
            <w:pPr>
              <w:spacing w:after="60"/>
              <w:jc w:val="left"/>
              <w:rPr>
                <w:sz w:val="16"/>
                <w:szCs w:val="16"/>
              </w:rPr>
            </w:pPr>
            <w:r>
              <w:rPr>
                <w:b/>
                <w:sz w:val="16"/>
                <w:szCs w:val="16"/>
              </w:rPr>
              <w:t>(ODP tonnes)</w:t>
            </w:r>
          </w:p>
        </w:tc>
        <w:tc>
          <w:tcPr>
            <w:tcW w:w="2124" w:type="pct"/>
            <w:gridSpan w:val="4"/>
            <w:shd w:val="clear" w:color="auto" w:fill="auto"/>
          </w:tcPr>
          <w:p w:rsidR="00BB2BF6" w:rsidRDefault="007101D2" w:rsidP="00634590">
            <w:pPr>
              <w:spacing w:after="60"/>
              <w:jc w:val="right"/>
              <w:rPr>
                <w:b/>
                <w:sz w:val="16"/>
                <w:szCs w:val="16"/>
              </w:rPr>
            </w:pPr>
            <w:r>
              <w:rPr>
                <w:b/>
                <w:sz w:val="16"/>
                <w:szCs w:val="16"/>
              </w:rPr>
              <w:t xml:space="preserve">Year: 2015 </w:t>
            </w:r>
          </w:p>
        </w:tc>
      </w:tr>
      <w:tr w:rsidR="00BB2BF6" w:rsidTr="00D07760">
        <w:trPr>
          <w:trHeight w:hRule="exact" w:val="487"/>
        </w:trPr>
        <w:tc>
          <w:tcPr>
            <w:tcW w:w="575" w:type="pct"/>
            <w:shd w:val="clear" w:color="auto" w:fill="auto"/>
          </w:tcPr>
          <w:p w:rsidR="00BB2BF6" w:rsidRDefault="007101D2" w:rsidP="00634590">
            <w:pPr>
              <w:spacing w:after="60"/>
              <w:jc w:val="center"/>
              <w:rPr>
                <w:sz w:val="16"/>
                <w:szCs w:val="16"/>
              </w:rPr>
            </w:pPr>
            <w:r>
              <w:rPr>
                <w:sz w:val="16"/>
                <w:szCs w:val="16"/>
              </w:rPr>
              <w:t>Chemical</w:t>
            </w:r>
          </w:p>
        </w:tc>
        <w:tc>
          <w:tcPr>
            <w:tcW w:w="421" w:type="pct"/>
            <w:shd w:val="clear" w:color="auto" w:fill="auto"/>
          </w:tcPr>
          <w:p w:rsidR="00BB2BF6" w:rsidRDefault="007101D2" w:rsidP="00634590">
            <w:pPr>
              <w:spacing w:after="60"/>
              <w:jc w:val="center"/>
              <w:rPr>
                <w:sz w:val="16"/>
                <w:szCs w:val="16"/>
              </w:rPr>
            </w:pPr>
            <w:r>
              <w:rPr>
                <w:sz w:val="16"/>
                <w:szCs w:val="16"/>
              </w:rPr>
              <w:t>Aerosol</w:t>
            </w:r>
          </w:p>
        </w:tc>
        <w:tc>
          <w:tcPr>
            <w:tcW w:w="329" w:type="pct"/>
            <w:shd w:val="clear" w:color="auto" w:fill="auto"/>
          </w:tcPr>
          <w:p w:rsidR="00BB2BF6" w:rsidRDefault="007101D2" w:rsidP="00634590">
            <w:pPr>
              <w:spacing w:after="60"/>
              <w:jc w:val="center"/>
              <w:rPr>
                <w:sz w:val="16"/>
                <w:szCs w:val="16"/>
              </w:rPr>
            </w:pPr>
            <w:r>
              <w:rPr>
                <w:sz w:val="16"/>
                <w:szCs w:val="16"/>
              </w:rPr>
              <w:t>Foam</w:t>
            </w:r>
          </w:p>
        </w:tc>
        <w:tc>
          <w:tcPr>
            <w:tcW w:w="470" w:type="pct"/>
            <w:shd w:val="clear" w:color="auto" w:fill="auto"/>
          </w:tcPr>
          <w:p w:rsidR="00BB2BF6" w:rsidRDefault="007101D2" w:rsidP="00634590">
            <w:pPr>
              <w:spacing w:after="60"/>
              <w:jc w:val="center"/>
              <w:rPr>
                <w:sz w:val="16"/>
                <w:szCs w:val="16"/>
              </w:rPr>
            </w:pPr>
            <w:r>
              <w:rPr>
                <w:sz w:val="16"/>
                <w:szCs w:val="16"/>
              </w:rPr>
              <w:t>Fire fighting</w:t>
            </w:r>
          </w:p>
        </w:tc>
        <w:tc>
          <w:tcPr>
            <w:tcW w:w="1081" w:type="pct"/>
            <w:gridSpan w:val="2"/>
            <w:shd w:val="clear" w:color="auto" w:fill="auto"/>
          </w:tcPr>
          <w:p w:rsidR="00BB2BF6" w:rsidRDefault="007101D2" w:rsidP="00634590">
            <w:pPr>
              <w:spacing w:after="60"/>
              <w:jc w:val="center"/>
              <w:rPr>
                <w:sz w:val="16"/>
                <w:szCs w:val="16"/>
              </w:rPr>
            </w:pPr>
            <w:r>
              <w:rPr>
                <w:sz w:val="16"/>
                <w:szCs w:val="16"/>
              </w:rPr>
              <w:t>Refrigeration</w:t>
            </w:r>
          </w:p>
        </w:tc>
        <w:tc>
          <w:tcPr>
            <w:tcW w:w="376" w:type="pct"/>
            <w:shd w:val="clear" w:color="auto" w:fill="auto"/>
          </w:tcPr>
          <w:p w:rsidR="00BB2BF6" w:rsidRDefault="007101D2" w:rsidP="00634590">
            <w:pPr>
              <w:spacing w:after="60"/>
              <w:jc w:val="center"/>
              <w:rPr>
                <w:sz w:val="16"/>
                <w:szCs w:val="16"/>
              </w:rPr>
            </w:pPr>
            <w:r>
              <w:rPr>
                <w:sz w:val="16"/>
                <w:szCs w:val="16"/>
              </w:rPr>
              <w:t>Solvent</w:t>
            </w:r>
          </w:p>
        </w:tc>
        <w:tc>
          <w:tcPr>
            <w:tcW w:w="470" w:type="pct"/>
            <w:shd w:val="clear" w:color="auto" w:fill="auto"/>
          </w:tcPr>
          <w:p w:rsidR="00BB2BF6" w:rsidRDefault="007101D2" w:rsidP="00634590">
            <w:pPr>
              <w:spacing w:after="60"/>
              <w:jc w:val="center"/>
              <w:rPr>
                <w:sz w:val="16"/>
                <w:szCs w:val="16"/>
              </w:rPr>
            </w:pPr>
            <w:r>
              <w:rPr>
                <w:sz w:val="16"/>
                <w:szCs w:val="16"/>
              </w:rPr>
              <w:t>Process agent</w:t>
            </w:r>
          </w:p>
        </w:tc>
        <w:tc>
          <w:tcPr>
            <w:tcW w:w="333" w:type="pct"/>
            <w:shd w:val="clear" w:color="auto" w:fill="auto"/>
          </w:tcPr>
          <w:p w:rsidR="00BB2BF6" w:rsidRDefault="007101D2" w:rsidP="00634590">
            <w:pPr>
              <w:spacing w:after="60"/>
              <w:jc w:val="center"/>
              <w:rPr>
                <w:sz w:val="16"/>
                <w:szCs w:val="16"/>
              </w:rPr>
            </w:pPr>
            <w:r>
              <w:rPr>
                <w:sz w:val="16"/>
                <w:szCs w:val="16"/>
              </w:rPr>
              <w:t>Lab Use</w:t>
            </w:r>
          </w:p>
        </w:tc>
        <w:tc>
          <w:tcPr>
            <w:tcW w:w="945" w:type="pct"/>
            <w:shd w:val="clear" w:color="auto" w:fill="auto"/>
          </w:tcPr>
          <w:p w:rsidR="00BB2BF6" w:rsidRDefault="007101D2" w:rsidP="00634590">
            <w:pPr>
              <w:spacing w:after="60"/>
              <w:jc w:val="center"/>
              <w:rPr>
                <w:sz w:val="16"/>
                <w:szCs w:val="16"/>
              </w:rPr>
            </w:pPr>
            <w:r>
              <w:rPr>
                <w:sz w:val="16"/>
                <w:szCs w:val="16"/>
              </w:rPr>
              <w:t>Total sector consumption</w:t>
            </w:r>
          </w:p>
        </w:tc>
      </w:tr>
      <w:tr w:rsidR="00BB2BF6" w:rsidTr="00D07760">
        <w:trPr>
          <w:trHeight w:hRule="exact" w:val="240"/>
        </w:trPr>
        <w:tc>
          <w:tcPr>
            <w:tcW w:w="1795" w:type="pct"/>
            <w:gridSpan w:val="4"/>
            <w:shd w:val="clear" w:color="auto" w:fill="auto"/>
          </w:tcPr>
          <w:p w:rsidR="00BB2BF6" w:rsidRDefault="007101D2" w:rsidP="00634590">
            <w:pPr>
              <w:spacing w:after="60"/>
              <w:jc w:val="center"/>
              <w:rPr>
                <w:sz w:val="16"/>
                <w:szCs w:val="16"/>
              </w:rPr>
            </w:pPr>
            <w:r>
              <w:rPr>
                <w:sz w:val="16"/>
                <w:szCs w:val="16"/>
              </w:rPr>
              <w:t xml:space="preserve"> </w:t>
            </w:r>
          </w:p>
        </w:tc>
        <w:tc>
          <w:tcPr>
            <w:tcW w:w="611" w:type="pct"/>
            <w:shd w:val="clear" w:color="auto" w:fill="auto"/>
          </w:tcPr>
          <w:p w:rsidR="00BB2BF6" w:rsidRDefault="007101D2" w:rsidP="00634590">
            <w:pPr>
              <w:spacing w:after="60"/>
              <w:jc w:val="center"/>
              <w:rPr>
                <w:sz w:val="16"/>
                <w:szCs w:val="16"/>
              </w:rPr>
            </w:pPr>
            <w:r>
              <w:rPr>
                <w:sz w:val="16"/>
                <w:szCs w:val="16"/>
              </w:rPr>
              <w:t>Manufacturing</w:t>
            </w:r>
          </w:p>
        </w:tc>
        <w:tc>
          <w:tcPr>
            <w:tcW w:w="470" w:type="pct"/>
            <w:shd w:val="clear" w:color="auto" w:fill="auto"/>
          </w:tcPr>
          <w:p w:rsidR="00BB2BF6" w:rsidRDefault="007101D2" w:rsidP="00634590">
            <w:pPr>
              <w:spacing w:after="60"/>
              <w:jc w:val="center"/>
              <w:rPr>
                <w:sz w:val="16"/>
                <w:szCs w:val="16"/>
              </w:rPr>
            </w:pPr>
            <w:r>
              <w:rPr>
                <w:sz w:val="16"/>
                <w:szCs w:val="16"/>
              </w:rPr>
              <w:t>Servicing</w:t>
            </w:r>
          </w:p>
        </w:tc>
        <w:tc>
          <w:tcPr>
            <w:tcW w:w="2124" w:type="pct"/>
            <w:gridSpan w:val="4"/>
            <w:shd w:val="clear" w:color="auto" w:fill="auto"/>
          </w:tcPr>
          <w:p w:rsidR="00BB2BF6" w:rsidRDefault="00BB2BF6" w:rsidP="00634590">
            <w:pPr>
              <w:spacing w:after="60"/>
              <w:jc w:val="center"/>
              <w:rPr>
                <w:sz w:val="16"/>
                <w:szCs w:val="16"/>
              </w:rPr>
            </w:pPr>
          </w:p>
        </w:tc>
      </w:tr>
      <w:tr w:rsidR="00BB2BF6" w:rsidTr="00D07760">
        <w:trPr>
          <w:trHeight w:hRule="exact" w:val="240"/>
        </w:trPr>
        <w:tc>
          <w:tcPr>
            <w:tcW w:w="575" w:type="pct"/>
            <w:shd w:val="clear" w:color="auto" w:fill="auto"/>
          </w:tcPr>
          <w:p w:rsidR="00BB2BF6" w:rsidRDefault="007101D2" w:rsidP="00634590">
            <w:pPr>
              <w:spacing w:after="60"/>
              <w:jc w:val="left"/>
              <w:rPr>
                <w:sz w:val="16"/>
                <w:szCs w:val="16"/>
              </w:rPr>
            </w:pPr>
            <w:r>
              <w:rPr>
                <w:sz w:val="16"/>
                <w:szCs w:val="16"/>
              </w:rPr>
              <w:t>HCFC-22</w:t>
            </w:r>
          </w:p>
        </w:tc>
        <w:tc>
          <w:tcPr>
            <w:tcW w:w="421" w:type="pct"/>
            <w:shd w:val="clear" w:color="auto" w:fill="auto"/>
          </w:tcPr>
          <w:p w:rsidR="00BB2BF6" w:rsidRDefault="00BB2BF6" w:rsidP="00634590">
            <w:pPr>
              <w:spacing w:after="60"/>
              <w:jc w:val="right"/>
              <w:rPr>
                <w:sz w:val="16"/>
                <w:szCs w:val="16"/>
              </w:rPr>
            </w:pPr>
          </w:p>
        </w:tc>
        <w:tc>
          <w:tcPr>
            <w:tcW w:w="329" w:type="pct"/>
            <w:shd w:val="clear" w:color="auto" w:fill="auto"/>
          </w:tcPr>
          <w:p w:rsidR="00BB2BF6" w:rsidRDefault="00BB2BF6" w:rsidP="00634590">
            <w:pPr>
              <w:spacing w:after="60"/>
              <w:jc w:val="right"/>
              <w:rPr>
                <w:sz w:val="16"/>
                <w:szCs w:val="16"/>
              </w:rPr>
            </w:pPr>
          </w:p>
        </w:tc>
        <w:tc>
          <w:tcPr>
            <w:tcW w:w="470" w:type="pct"/>
            <w:shd w:val="clear" w:color="auto" w:fill="auto"/>
          </w:tcPr>
          <w:p w:rsidR="00BB2BF6" w:rsidRDefault="00BB2BF6" w:rsidP="00634590">
            <w:pPr>
              <w:spacing w:after="60"/>
              <w:jc w:val="right"/>
              <w:rPr>
                <w:sz w:val="16"/>
                <w:szCs w:val="16"/>
              </w:rPr>
            </w:pPr>
          </w:p>
        </w:tc>
        <w:tc>
          <w:tcPr>
            <w:tcW w:w="611" w:type="pct"/>
            <w:shd w:val="clear" w:color="auto" w:fill="auto"/>
          </w:tcPr>
          <w:p w:rsidR="00BB2BF6" w:rsidRDefault="00BB2BF6" w:rsidP="00634590">
            <w:pPr>
              <w:spacing w:after="60"/>
              <w:jc w:val="right"/>
              <w:rPr>
                <w:sz w:val="16"/>
                <w:szCs w:val="16"/>
              </w:rPr>
            </w:pPr>
          </w:p>
        </w:tc>
        <w:tc>
          <w:tcPr>
            <w:tcW w:w="470" w:type="pct"/>
            <w:shd w:val="clear" w:color="auto" w:fill="auto"/>
          </w:tcPr>
          <w:p w:rsidR="00BB2BF6" w:rsidRDefault="007101D2" w:rsidP="00634590">
            <w:pPr>
              <w:spacing w:after="60"/>
              <w:jc w:val="right"/>
              <w:rPr>
                <w:sz w:val="16"/>
                <w:szCs w:val="16"/>
              </w:rPr>
            </w:pPr>
            <w:r>
              <w:rPr>
                <w:sz w:val="16"/>
                <w:szCs w:val="16"/>
              </w:rPr>
              <w:t>3.36</w:t>
            </w:r>
          </w:p>
        </w:tc>
        <w:tc>
          <w:tcPr>
            <w:tcW w:w="376" w:type="pct"/>
            <w:shd w:val="clear" w:color="auto" w:fill="auto"/>
          </w:tcPr>
          <w:p w:rsidR="00BB2BF6" w:rsidRDefault="00BB2BF6" w:rsidP="00634590">
            <w:pPr>
              <w:spacing w:after="60"/>
              <w:jc w:val="right"/>
              <w:rPr>
                <w:sz w:val="16"/>
                <w:szCs w:val="16"/>
              </w:rPr>
            </w:pPr>
          </w:p>
        </w:tc>
        <w:tc>
          <w:tcPr>
            <w:tcW w:w="470" w:type="pct"/>
            <w:shd w:val="clear" w:color="auto" w:fill="auto"/>
          </w:tcPr>
          <w:p w:rsidR="00BB2BF6" w:rsidRDefault="00BB2BF6" w:rsidP="00634590">
            <w:pPr>
              <w:spacing w:after="60"/>
              <w:jc w:val="right"/>
              <w:rPr>
                <w:sz w:val="16"/>
                <w:szCs w:val="16"/>
              </w:rPr>
            </w:pPr>
          </w:p>
        </w:tc>
        <w:tc>
          <w:tcPr>
            <w:tcW w:w="333" w:type="pct"/>
            <w:shd w:val="clear" w:color="auto" w:fill="auto"/>
          </w:tcPr>
          <w:p w:rsidR="00BB2BF6" w:rsidRDefault="00BB2BF6" w:rsidP="00634590">
            <w:pPr>
              <w:spacing w:after="60"/>
              <w:jc w:val="right"/>
              <w:rPr>
                <w:sz w:val="16"/>
                <w:szCs w:val="16"/>
              </w:rPr>
            </w:pPr>
          </w:p>
        </w:tc>
        <w:tc>
          <w:tcPr>
            <w:tcW w:w="945" w:type="pct"/>
            <w:shd w:val="clear" w:color="auto" w:fill="auto"/>
          </w:tcPr>
          <w:p w:rsidR="00BB2BF6" w:rsidRDefault="007101D2" w:rsidP="00634590">
            <w:pPr>
              <w:spacing w:after="60"/>
              <w:jc w:val="right"/>
              <w:rPr>
                <w:sz w:val="16"/>
                <w:szCs w:val="16"/>
              </w:rPr>
            </w:pPr>
            <w:r>
              <w:rPr>
                <w:sz w:val="16"/>
                <w:szCs w:val="16"/>
              </w:rPr>
              <w:t>3.36</w:t>
            </w:r>
          </w:p>
        </w:tc>
      </w:tr>
    </w:tbl>
    <w:p w:rsidR="00BB2BF6" w:rsidRDefault="00BB2BF6" w:rsidP="00634590">
      <w:pPr>
        <w:spacing w:after="60"/>
        <w:jc w:val="center"/>
        <w:rPr>
          <w:b/>
          <w:sz w:val="16"/>
          <w:szCs w:val="16"/>
        </w:rPr>
      </w:pPr>
    </w:p>
    <w:tbl>
      <w:tblPr>
        <w:tblStyle w:val="TableGrid"/>
        <w:tblW w:w="5000" w:type="pct"/>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68"/>
        <w:gridCol w:w="615"/>
        <w:gridCol w:w="4978"/>
        <w:gridCol w:w="615"/>
      </w:tblGrid>
      <w:tr w:rsidR="00BB2BF6" w:rsidTr="00D07760">
        <w:trPr>
          <w:trHeight w:val="240"/>
          <w:jc w:val="center"/>
        </w:trPr>
        <w:tc>
          <w:tcPr>
            <w:tcW w:w="5000" w:type="pct"/>
            <w:gridSpan w:val="4"/>
            <w:shd w:val="clear" w:color="auto" w:fill="auto"/>
          </w:tcPr>
          <w:p w:rsidR="00BB2BF6" w:rsidRDefault="007101D2" w:rsidP="00634590">
            <w:pPr>
              <w:spacing w:after="60"/>
              <w:jc w:val="left"/>
              <w:rPr>
                <w:sz w:val="16"/>
                <w:szCs w:val="16"/>
              </w:rPr>
            </w:pPr>
            <w:r>
              <w:rPr>
                <w:b/>
                <w:sz w:val="16"/>
                <w:szCs w:val="16"/>
              </w:rPr>
              <w:t>(IV) CONSUMPTION DATA (ODP tonnes)</w:t>
            </w:r>
          </w:p>
        </w:tc>
      </w:tr>
      <w:tr w:rsidR="00BB2BF6" w:rsidTr="00D07760">
        <w:trPr>
          <w:trHeight w:val="240"/>
          <w:jc w:val="center"/>
        </w:trPr>
        <w:tc>
          <w:tcPr>
            <w:tcW w:w="1759" w:type="pct"/>
            <w:shd w:val="clear" w:color="auto" w:fill="auto"/>
          </w:tcPr>
          <w:p w:rsidR="00BB2BF6" w:rsidRDefault="007101D2" w:rsidP="00634590">
            <w:pPr>
              <w:spacing w:after="60"/>
              <w:jc w:val="center"/>
              <w:rPr>
                <w:sz w:val="16"/>
                <w:szCs w:val="16"/>
              </w:rPr>
            </w:pPr>
            <w:r>
              <w:rPr>
                <w:sz w:val="16"/>
                <w:szCs w:val="16"/>
              </w:rPr>
              <w:t>2009 - 2010 baseline:</w:t>
            </w:r>
          </w:p>
        </w:tc>
        <w:tc>
          <w:tcPr>
            <w:tcW w:w="321" w:type="pct"/>
            <w:shd w:val="clear" w:color="auto" w:fill="auto"/>
          </w:tcPr>
          <w:p w:rsidR="00BB2BF6" w:rsidRDefault="007101D2" w:rsidP="00634590">
            <w:pPr>
              <w:spacing w:after="60"/>
              <w:jc w:val="right"/>
              <w:rPr>
                <w:sz w:val="16"/>
                <w:szCs w:val="16"/>
              </w:rPr>
            </w:pPr>
            <w:r>
              <w:rPr>
                <w:sz w:val="16"/>
                <w:szCs w:val="16"/>
              </w:rPr>
              <w:t>4.10</w:t>
            </w:r>
          </w:p>
        </w:tc>
        <w:tc>
          <w:tcPr>
            <w:tcW w:w="2599" w:type="pct"/>
            <w:shd w:val="clear" w:color="auto" w:fill="auto"/>
          </w:tcPr>
          <w:p w:rsidR="00BB2BF6" w:rsidRDefault="007101D2" w:rsidP="00634590">
            <w:pPr>
              <w:spacing w:after="60"/>
              <w:jc w:val="center"/>
              <w:rPr>
                <w:sz w:val="16"/>
                <w:szCs w:val="16"/>
              </w:rPr>
            </w:pPr>
            <w:r>
              <w:rPr>
                <w:sz w:val="16"/>
                <w:szCs w:val="16"/>
              </w:rPr>
              <w:t>Starting point for sustained aggregate reductions:</w:t>
            </w:r>
          </w:p>
        </w:tc>
        <w:tc>
          <w:tcPr>
            <w:tcW w:w="321" w:type="pct"/>
            <w:shd w:val="clear" w:color="auto" w:fill="auto"/>
          </w:tcPr>
          <w:p w:rsidR="00BB2BF6" w:rsidRDefault="007101D2" w:rsidP="00634590">
            <w:pPr>
              <w:spacing w:after="60"/>
              <w:jc w:val="right"/>
              <w:rPr>
                <w:sz w:val="16"/>
                <w:szCs w:val="16"/>
              </w:rPr>
            </w:pPr>
            <w:r>
              <w:rPr>
                <w:sz w:val="16"/>
                <w:szCs w:val="16"/>
              </w:rPr>
              <w:t>1.64</w:t>
            </w:r>
          </w:p>
        </w:tc>
      </w:tr>
      <w:tr w:rsidR="00BB2BF6" w:rsidTr="00D07760">
        <w:trPr>
          <w:trHeight w:val="240"/>
          <w:jc w:val="center"/>
        </w:trPr>
        <w:tc>
          <w:tcPr>
            <w:tcW w:w="5000" w:type="pct"/>
            <w:gridSpan w:val="4"/>
            <w:shd w:val="clear" w:color="auto" w:fill="auto"/>
          </w:tcPr>
          <w:p w:rsidR="00BB2BF6" w:rsidRDefault="007101D2" w:rsidP="00634590">
            <w:pPr>
              <w:spacing w:after="60"/>
              <w:jc w:val="center"/>
              <w:rPr>
                <w:b/>
                <w:sz w:val="16"/>
                <w:szCs w:val="16"/>
              </w:rPr>
            </w:pPr>
            <w:r>
              <w:rPr>
                <w:b/>
                <w:sz w:val="16"/>
                <w:szCs w:val="16"/>
              </w:rPr>
              <w:t>CONSUMPTION ELIGIBLE FOR FUNDING (ODP tonnes)</w:t>
            </w:r>
          </w:p>
        </w:tc>
      </w:tr>
      <w:tr w:rsidR="00BB2BF6" w:rsidTr="00D07760">
        <w:trPr>
          <w:trHeight w:val="240"/>
          <w:jc w:val="center"/>
        </w:trPr>
        <w:tc>
          <w:tcPr>
            <w:tcW w:w="1759" w:type="pct"/>
            <w:shd w:val="clear" w:color="auto" w:fill="auto"/>
          </w:tcPr>
          <w:p w:rsidR="00BB2BF6" w:rsidRDefault="007101D2" w:rsidP="00634590">
            <w:pPr>
              <w:spacing w:after="60"/>
              <w:jc w:val="center"/>
              <w:rPr>
                <w:sz w:val="16"/>
                <w:szCs w:val="16"/>
              </w:rPr>
            </w:pPr>
            <w:r>
              <w:rPr>
                <w:sz w:val="16"/>
                <w:szCs w:val="16"/>
              </w:rPr>
              <w:t>Already approved:</w:t>
            </w:r>
          </w:p>
        </w:tc>
        <w:tc>
          <w:tcPr>
            <w:tcW w:w="321" w:type="pct"/>
            <w:shd w:val="clear" w:color="auto" w:fill="auto"/>
          </w:tcPr>
          <w:p w:rsidR="00BB2BF6" w:rsidRDefault="007101D2" w:rsidP="00634590">
            <w:pPr>
              <w:spacing w:after="60"/>
              <w:jc w:val="right"/>
              <w:rPr>
                <w:sz w:val="16"/>
                <w:szCs w:val="16"/>
              </w:rPr>
            </w:pPr>
            <w:r>
              <w:rPr>
                <w:sz w:val="16"/>
                <w:szCs w:val="16"/>
              </w:rPr>
              <w:t>0.0</w:t>
            </w:r>
          </w:p>
        </w:tc>
        <w:tc>
          <w:tcPr>
            <w:tcW w:w="2599" w:type="pct"/>
            <w:shd w:val="clear" w:color="auto" w:fill="auto"/>
          </w:tcPr>
          <w:p w:rsidR="00BB2BF6" w:rsidRDefault="007101D2" w:rsidP="00634590">
            <w:pPr>
              <w:spacing w:after="60"/>
              <w:jc w:val="center"/>
              <w:rPr>
                <w:sz w:val="16"/>
                <w:szCs w:val="16"/>
              </w:rPr>
            </w:pPr>
            <w:r>
              <w:rPr>
                <w:sz w:val="16"/>
                <w:szCs w:val="16"/>
              </w:rPr>
              <w:t>Remaining:</w:t>
            </w:r>
          </w:p>
        </w:tc>
        <w:tc>
          <w:tcPr>
            <w:tcW w:w="321" w:type="pct"/>
            <w:shd w:val="clear" w:color="auto" w:fill="auto"/>
          </w:tcPr>
          <w:p w:rsidR="00BB2BF6" w:rsidRDefault="007101D2" w:rsidP="00634590">
            <w:pPr>
              <w:spacing w:after="60"/>
              <w:jc w:val="right"/>
              <w:rPr>
                <w:sz w:val="16"/>
                <w:szCs w:val="16"/>
              </w:rPr>
            </w:pPr>
            <w:r>
              <w:rPr>
                <w:sz w:val="16"/>
                <w:szCs w:val="16"/>
              </w:rPr>
              <w:t>1.64</w:t>
            </w:r>
          </w:p>
        </w:tc>
      </w:tr>
    </w:tbl>
    <w:p w:rsidR="00BB2BF6" w:rsidRDefault="00BB2BF6" w:rsidP="00634590">
      <w:pPr>
        <w:spacing w:after="60"/>
        <w:jc w:val="center"/>
        <w:rPr>
          <w:b/>
          <w:sz w:val="16"/>
          <w:szCs w:val="16"/>
        </w:rPr>
      </w:pPr>
    </w:p>
    <w:tbl>
      <w:tblPr>
        <w:tblStyle w:val="TableGrid"/>
        <w:tblW w:w="5000" w:type="pct"/>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866"/>
        <w:gridCol w:w="2503"/>
        <w:gridCol w:w="1092"/>
        <w:gridCol w:w="728"/>
        <w:gridCol w:w="848"/>
        <w:gridCol w:w="848"/>
        <w:gridCol w:w="848"/>
        <w:gridCol w:w="843"/>
      </w:tblGrid>
      <w:tr w:rsidR="00BB2BF6" w:rsidTr="00D07760">
        <w:trPr>
          <w:trHeight w:val="240"/>
          <w:jc w:val="center"/>
        </w:trPr>
        <w:tc>
          <w:tcPr>
            <w:tcW w:w="2281" w:type="pct"/>
            <w:gridSpan w:val="2"/>
            <w:shd w:val="clear" w:color="auto" w:fill="auto"/>
          </w:tcPr>
          <w:p w:rsidR="00BB2BF6" w:rsidRDefault="007101D2" w:rsidP="00634590">
            <w:pPr>
              <w:spacing w:after="60"/>
              <w:jc w:val="left"/>
              <w:rPr>
                <w:b/>
                <w:sz w:val="16"/>
                <w:szCs w:val="16"/>
              </w:rPr>
            </w:pPr>
            <w:r>
              <w:rPr>
                <w:b/>
                <w:sz w:val="16"/>
                <w:szCs w:val="16"/>
              </w:rPr>
              <w:t>(V) BUSINESS PLAN</w:t>
            </w:r>
          </w:p>
        </w:tc>
        <w:tc>
          <w:tcPr>
            <w:tcW w:w="570" w:type="pct"/>
            <w:shd w:val="clear" w:color="auto" w:fill="auto"/>
          </w:tcPr>
          <w:p w:rsidR="00BB2BF6" w:rsidRDefault="007101D2" w:rsidP="00634590">
            <w:pPr>
              <w:spacing w:after="60"/>
              <w:jc w:val="center"/>
              <w:rPr>
                <w:b/>
                <w:sz w:val="16"/>
                <w:szCs w:val="16"/>
              </w:rPr>
            </w:pPr>
            <w:r>
              <w:rPr>
                <w:b/>
                <w:sz w:val="16"/>
                <w:szCs w:val="16"/>
              </w:rPr>
              <w:t>2016</w:t>
            </w:r>
          </w:p>
        </w:tc>
        <w:tc>
          <w:tcPr>
            <w:tcW w:w="380" w:type="pct"/>
            <w:shd w:val="clear" w:color="auto" w:fill="auto"/>
          </w:tcPr>
          <w:p w:rsidR="00BB2BF6" w:rsidRDefault="007101D2" w:rsidP="00634590">
            <w:pPr>
              <w:spacing w:after="60"/>
              <w:jc w:val="center"/>
              <w:rPr>
                <w:b/>
                <w:sz w:val="16"/>
                <w:szCs w:val="16"/>
              </w:rPr>
            </w:pPr>
            <w:r>
              <w:rPr>
                <w:b/>
                <w:sz w:val="16"/>
                <w:szCs w:val="16"/>
              </w:rPr>
              <w:t>2017</w:t>
            </w:r>
          </w:p>
        </w:tc>
        <w:tc>
          <w:tcPr>
            <w:tcW w:w="443" w:type="pct"/>
          </w:tcPr>
          <w:p w:rsidR="00BB2BF6" w:rsidRDefault="007101D2" w:rsidP="00634590">
            <w:pPr>
              <w:spacing w:after="60"/>
              <w:jc w:val="center"/>
              <w:rPr>
                <w:b/>
                <w:sz w:val="16"/>
                <w:szCs w:val="16"/>
              </w:rPr>
            </w:pPr>
            <w:r>
              <w:rPr>
                <w:b/>
                <w:sz w:val="16"/>
                <w:szCs w:val="16"/>
              </w:rPr>
              <w:t>2018</w:t>
            </w:r>
          </w:p>
        </w:tc>
        <w:tc>
          <w:tcPr>
            <w:tcW w:w="443" w:type="pct"/>
          </w:tcPr>
          <w:p w:rsidR="00BB2BF6" w:rsidRDefault="007101D2" w:rsidP="00634590">
            <w:pPr>
              <w:spacing w:after="60"/>
              <w:jc w:val="center"/>
              <w:rPr>
                <w:b/>
                <w:sz w:val="16"/>
                <w:szCs w:val="16"/>
              </w:rPr>
            </w:pPr>
            <w:r>
              <w:rPr>
                <w:b/>
                <w:sz w:val="16"/>
                <w:szCs w:val="16"/>
              </w:rPr>
              <w:t>2019</w:t>
            </w:r>
          </w:p>
        </w:tc>
        <w:tc>
          <w:tcPr>
            <w:tcW w:w="443" w:type="pct"/>
          </w:tcPr>
          <w:p w:rsidR="00BB2BF6" w:rsidRDefault="007101D2" w:rsidP="00634590">
            <w:pPr>
              <w:spacing w:after="60"/>
              <w:jc w:val="center"/>
              <w:rPr>
                <w:b/>
                <w:sz w:val="16"/>
                <w:szCs w:val="16"/>
              </w:rPr>
            </w:pPr>
            <w:r>
              <w:rPr>
                <w:b/>
                <w:sz w:val="16"/>
                <w:szCs w:val="16"/>
              </w:rPr>
              <w:t>2020</w:t>
            </w:r>
          </w:p>
        </w:tc>
        <w:tc>
          <w:tcPr>
            <w:tcW w:w="440" w:type="pct"/>
            <w:shd w:val="clear" w:color="auto" w:fill="auto"/>
          </w:tcPr>
          <w:p w:rsidR="00BB2BF6" w:rsidRDefault="007101D2" w:rsidP="00634590">
            <w:pPr>
              <w:spacing w:after="60"/>
              <w:jc w:val="center"/>
              <w:rPr>
                <w:b/>
                <w:sz w:val="16"/>
                <w:szCs w:val="16"/>
              </w:rPr>
            </w:pPr>
            <w:r>
              <w:rPr>
                <w:b/>
                <w:sz w:val="16"/>
                <w:szCs w:val="16"/>
              </w:rPr>
              <w:t>Total</w:t>
            </w:r>
          </w:p>
        </w:tc>
      </w:tr>
      <w:tr w:rsidR="00BB2BF6" w:rsidTr="00D07760">
        <w:trPr>
          <w:trHeight w:val="240"/>
          <w:jc w:val="center"/>
        </w:trPr>
        <w:tc>
          <w:tcPr>
            <w:tcW w:w="974" w:type="pct"/>
            <w:vMerge w:val="restart"/>
            <w:shd w:val="clear" w:color="auto" w:fill="auto"/>
          </w:tcPr>
          <w:p w:rsidR="00BB2BF6" w:rsidRDefault="007101D2" w:rsidP="00634590">
            <w:pPr>
              <w:spacing w:after="60"/>
              <w:rPr>
                <w:sz w:val="16"/>
                <w:szCs w:val="16"/>
              </w:rPr>
            </w:pPr>
            <w:r>
              <w:rPr>
                <w:sz w:val="16"/>
                <w:szCs w:val="16"/>
              </w:rPr>
              <w:t>UNEP</w:t>
            </w:r>
          </w:p>
        </w:tc>
        <w:tc>
          <w:tcPr>
            <w:tcW w:w="1307" w:type="pct"/>
            <w:shd w:val="clear" w:color="auto" w:fill="auto"/>
          </w:tcPr>
          <w:p w:rsidR="00BB2BF6" w:rsidRDefault="007101D2" w:rsidP="00634590">
            <w:pPr>
              <w:spacing w:after="60"/>
              <w:jc w:val="left"/>
              <w:rPr>
                <w:sz w:val="16"/>
                <w:szCs w:val="16"/>
              </w:rPr>
            </w:pPr>
            <w:r>
              <w:rPr>
                <w:sz w:val="16"/>
                <w:szCs w:val="16"/>
              </w:rPr>
              <w:t>ODS phase-out (ODP tonnes)</w:t>
            </w:r>
          </w:p>
        </w:tc>
        <w:tc>
          <w:tcPr>
            <w:tcW w:w="570" w:type="pct"/>
            <w:shd w:val="clear" w:color="auto" w:fill="auto"/>
          </w:tcPr>
          <w:p w:rsidR="00BB2BF6" w:rsidRDefault="007101D2" w:rsidP="00634590">
            <w:pPr>
              <w:spacing w:after="60"/>
              <w:jc w:val="right"/>
              <w:rPr>
                <w:sz w:val="16"/>
                <w:szCs w:val="16"/>
              </w:rPr>
            </w:pPr>
            <w:r>
              <w:rPr>
                <w:sz w:val="16"/>
                <w:szCs w:val="16"/>
              </w:rPr>
              <w:t>0</w:t>
            </w:r>
          </w:p>
        </w:tc>
        <w:tc>
          <w:tcPr>
            <w:tcW w:w="380" w:type="pct"/>
            <w:shd w:val="clear" w:color="auto" w:fill="auto"/>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0</w:t>
            </w:r>
          </w:p>
        </w:tc>
        <w:tc>
          <w:tcPr>
            <w:tcW w:w="440" w:type="pct"/>
            <w:shd w:val="clear" w:color="auto" w:fill="auto"/>
          </w:tcPr>
          <w:p w:rsidR="00BB2BF6" w:rsidRDefault="007101D2" w:rsidP="00634590">
            <w:pPr>
              <w:spacing w:after="60"/>
              <w:jc w:val="right"/>
              <w:rPr>
                <w:sz w:val="16"/>
                <w:szCs w:val="16"/>
              </w:rPr>
            </w:pPr>
            <w:r>
              <w:rPr>
                <w:sz w:val="16"/>
                <w:szCs w:val="16"/>
              </w:rPr>
              <w:t>0</w:t>
            </w:r>
          </w:p>
        </w:tc>
      </w:tr>
      <w:tr w:rsidR="00BB2BF6" w:rsidTr="00D07760">
        <w:trPr>
          <w:trHeight w:val="206"/>
          <w:jc w:val="center"/>
        </w:trPr>
        <w:tc>
          <w:tcPr>
            <w:tcW w:w="974" w:type="pct"/>
            <w:vMerge/>
            <w:shd w:val="clear" w:color="auto" w:fill="auto"/>
          </w:tcPr>
          <w:p w:rsidR="00BB2BF6" w:rsidRDefault="00BB2BF6" w:rsidP="00634590">
            <w:pPr>
              <w:spacing w:after="60"/>
              <w:jc w:val="center"/>
              <w:rPr>
                <w:sz w:val="16"/>
                <w:szCs w:val="16"/>
              </w:rPr>
            </w:pPr>
          </w:p>
        </w:tc>
        <w:tc>
          <w:tcPr>
            <w:tcW w:w="1307" w:type="pct"/>
            <w:shd w:val="clear" w:color="auto" w:fill="auto"/>
          </w:tcPr>
          <w:p w:rsidR="00BB2BF6" w:rsidRDefault="007101D2" w:rsidP="00634590">
            <w:pPr>
              <w:spacing w:after="60"/>
              <w:jc w:val="left"/>
              <w:rPr>
                <w:sz w:val="16"/>
                <w:szCs w:val="16"/>
              </w:rPr>
            </w:pPr>
            <w:r>
              <w:rPr>
                <w:sz w:val="16"/>
                <w:szCs w:val="16"/>
              </w:rPr>
              <w:t>Funding (US $)</w:t>
            </w:r>
          </w:p>
        </w:tc>
        <w:tc>
          <w:tcPr>
            <w:tcW w:w="570" w:type="pct"/>
            <w:shd w:val="clear" w:color="auto" w:fill="auto"/>
          </w:tcPr>
          <w:p w:rsidR="00BB2BF6" w:rsidRDefault="007101D2" w:rsidP="00634590">
            <w:pPr>
              <w:spacing w:after="60"/>
              <w:jc w:val="right"/>
              <w:rPr>
                <w:sz w:val="16"/>
                <w:szCs w:val="16"/>
              </w:rPr>
            </w:pPr>
            <w:r>
              <w:rPr>
                <w:sz w:val="16"/>
                <w:szCs w:val="16"/>
              </w:rPr>
              <w:t>109,935</w:t>
            </w:r>
          </w:p>
        </w:tc>
        <w:tc>
          <w:tcPr>
            <w:tcW w:w="380" w:type="pct"/>
            <w:shd w:val="clear" w:color="auto" w:fill="auto"/>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36,645</w:t>
            </w:r>
          </w:p>
        </w:tc>
        <w:tc>
          <w:tcPr>
            <w:tcW w:w="440" w:type="pct"/>
            <w:shd w:val="clear" w:color="auto" w:fill="auto"/>
          </w:tcPr>
          <w:p w:rsidR="00BB2BF6" w:rsidRDefault="007101D2" w:rsidP="00634590">
            <w:pPr>
              <w:spacing w:after="60"/>
              <w:jc w:val="right"/>
              <w:rPr>
                <w:sz w:val="16"/>
                <w:szCs w:val="16"/>
              </w:rPr>
            </w:pPr>
            <w:r>
              <w:rPr>
                <w:sz w:val="16"/>
                <w:szCs w:val="16"/>
              </w:rPr>
              <w:t>146,580</w:t>
            </w:r>
          </w:p>
        </w:tc>
      </w:tr>
      <w:tr w:rsidR="00BB2BF6" w:rsidTr="00D07760">
        <w:trPr>
          <w:trHeight w:val="206"/>
          <w:jc w:val="center"/>
        </w:trPr>
        <w:tc>
          <w:tcPr>
            <w:tcW w:w="974" w:type="pct"/>
            <w:shd w:val="clear" w:color="auto" w:fill="auto"/>
          </w:tcPr>
          <w:p w:rsidR="00BB2BF6" w:rsidRDefault="007101D2" w:rsidP="00634590">
            <w:pPr>
              <w:spacing w:after="60"/>
              <w:jc w:val="left"/>
              <w:rPr>
                <w:sz w:val="16"/>
                <w:szCs w:val="16"/>
                <w:highlight w:val="yellow"/>
              </w:rPr>
            </w:pPr>
            <w:r>
              <w:rPr>
                <w:sz w:val="16"/>
                <w:szCs w:val="16"/>
              </w:rPr>
              <w:t>UNDP</w:t>
            </w:r>
          </w:p>
        </w:tc>
        <w:tc>
          <w:tcPr>
            <w:tcW w:w="1307" w:type="pct"/>
            <w:shd w:val="clear" w:color="auto" w:fill="auto"/>
          </w:tcPr>
          <w:p w:rsidR="00BB2BF6" w:rsidRDefault="007101D2" w:rsidP="00634590">
            <w:pPr>
              <w:spacing w:after="60"/>
              <w:jc w:val="left"/>
              <w:rPr>
                <w:sz w:val="16"/>
                <w:szCs w:val="16"/>
              </w:rPr>
            </w:pPr>
            <w:r>
              <w:rPr>
                <w:sz w:val="16"/>
                <w:szCs w:val="16"/>
              </w:rPr>
              <w:t>ODS phase-out (ODP tonnes)</w:t>
            </w:r>
          </w:p>
        </w:tc>
        <w:tc>
          <w:tcPr>
            <w:tcW w:w="570" w:type="pct"/>
            <w:shd w:val="clear" w:color="auto" w:fill="auto"/>
          </w:tcPr>
          <w:p w:rsidR="00BB2BF6" w:rsidRDefault="007101D2" w:rsidP="00634590">
            <w:pPr>
              <w:spacing w:after="60"/>
              <w:jc w:val="right"/>
              <w:rPr>
                <w:sz w:val="16"/>
                <w:szCs w:val="16"/>
              </w:rPr>
            </w:pPr>
            <w:r>
              <w:rPr>
                <w:sz w:val="16"/>
                <w:szCs w:val="16"/>
              </w:rPr>
              <w:t>0</w:t>
            </w:r>
          </w:p>
        </w:tc>
        <w:tc>
          <w:tcPr>
            <w:tcW w:w="380" w:type="pct"/>
            <w:shd w:val="clear" w:color="auto" w:fill="auto"/>
          </w:tcPr>
          <w:p w:rsidR="00BB2BF6" w:rsidRDefault="007101D2" w:rsidP="00634590">
            <w:pPr>
              <w:spacing w:after="60"/>
              <w:jc w:val="right"/>
              <w:rPr>
                <w:sz w:val="16"/>
                <w:szCs w:val="16"/>
              </w:rPr>
            </w:pPr>
            <w:r>
              <w:rPr>
                <w:sz w:val="16"/>
                <w:szCs w:val="16"/>
              </w:rPr>
              <w:t>0.94</w:t>
            </w:r>
          </w:p>
        </w:tc>
        <w:tc>
          <w:tcPr>
            <w:tcW w:w="443" w:type="pct"/>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0.70</w:t>
            </w:r>
          </w:p>
        </w:tc>
        <w:tc>
          <w:tcPr>
            <w:tcW w:w="443" w:type="pct"/>
          </w:tcPr>
          <w:p w:rsidR="00BB2BF6" w:rsidRDefault="007101D2" w:rsidP="00634590">
            <w:pPr>
              <w:spacing w:after="60"/>
              <w:jc w:val="right"/>
              <w:rPr>
                <w:sz w:val="16"/>
                <w:szCs w:val="16"/>
              </w:rPr>
            </w:pPr>
            <w:r>
              <w:rPr>
                <w:sz w:val="16"/>
                <w:szCs w:val="16"/>
              </w:rPr>
              <w:t>0.70</w:t>
            </w:r>
          </w:p>
        </w:tc>
        <w:tc>
          <w:tcPr>
            <w:tcW w:w="440" w:type="pct"/>
            <w:shd w:val="clear" w:color="auto" w:fill="auto"/>
          </w:tcPr>
          <w:p w:rsidR="00BB2BF6" w:rsidRDefault="007101D2" w:rsidP="00634590">
            <w:pPr>
              <w:spacing w:after="60"/>
              <w:jc w:val="right"/>
              <w:rPr>
                <w:sz w:val="16"/>
                <w:szCs w:val="16"/>
              </w:rPr>
            </w:pPr>
            <w:r>
              <w:rPr>
                <w:sz w:val="16"/>
                <w:szCs w:val="16"/>
              </w:rPr>
              <w:t>2.34</w:t>
            </w:r>
          </w:p>
        </w:tc>
      </w:tr>
      <w:tr w:rsidR="00BB2BF6" w:rsidTr="00D07760">
        <w:trPr>
          <w:trHeight w:val="206"/>
          <w:jc w:val="center"/>
        </w:trPr>
        <w:tc>
          <w:tcPr>
            <w:tcW w:w="974" w:type="pct"/>
            <w:shd w:val="clear" w:color="auto" w:fill="auto"/>
          </w:tcPr>
          <w:p w:rsidR="00BB2BF6" w:rsidRDefault="00BB2BF6" w:rsidP="00634590">
            <w:pPr>
              <w:spacing w:after="60"/>
              <w:jc w:val="center"/>
              <w:rPr>
                <w:sz w:val="16"/>
                <w:szCs w:val="16"/>
                <w:highlight w:val="yellow"/>
              </w:rPr>
            </w:pPr>
          </w:p>
        </w:tc>
        <w:tc>
          <w:tcPr>
            <w:tcW w:w="1307" w:type="pct"/>
            <w:shd w:val="clear" w:color="auto" w:fill="auto"/>
          </w:tcPr>
          <w:p w:rsidR="00BB2BF6" w:rsidRDefault="007101D2" w:rsidP="00634590">
            <w:pPr>
              <w:spacing w:after="60"/>
              <w:jc w:val="left"/>
              <w:rPr>
                <w:sz w:val="16"/>
                <w:szCs w:val="16"/>
              </w:rPr>
            </w:pPr>
            <w:r>
              <w:rPr>
                <w:sz w:val="16"/>
                <w:szCs w:val="16"/>
              </w:rPr>
              <w:t>Funding (US $)</w:t>
            </w:r>
          </w:p>
        </w:tc>
        <w:tc>
          <w:tcPr>
            <w:tcW w:w="570" w:type="pct"/>
            <w:shd w:val="clear" w:color="auto" w:fill="auto"/>
          </w:tcPr>
          <w:p w:rsidR="00BB2BF6" w:rsidRDefault="007101D2" w:rsidP="00634590">
            <w:pPr>
              <w:spacing w:after="60"/>
              <w:jc w:val="right"/>
              <w:rPr>
                <w:sz w:val="16"/>
                <w:szCs w:val="16"/>
              </w:rPr>
            </w:pPr>
            <w:r>
              <w:rPr>
                <w:sz w:val="16"/>
                <w:szCs w:val="16"/>
              </w:rPr>
              <w:t>0</w:t>
            </w:r>
          </w:p>
        </w:tc>
        <w:tc>
          <w:tcPr>
            <w:tcW w:w="380" w:type="pct"/>
            <w:shd w:val="clear" w:color="auto" w:fill="auto"/>
          </w:tcPr>
          <w:p w:rsidR="00BB2BF6" w:rsidRDefault="007101D2" w:rsidP="00634590">
            <w:pPr>
              <w:spacing w:after="60"/>
              <w:jc w:val="right"/>
              <w:rPr>
                <w:sz w:val="16"/>
                <w:szCs w:val="16"/>
              </w:rPr>
            </w:pPr>
            <w:r>
              <w:rPr>
                <w:sz w:val="16"/>
                <w:szCs w:val="16"/>
              </w:rPr>
              <w:t>20,625</w:t>
            </w:r>
          </w:p>
        </w:tc>
        <w:tc>
          <w:tcPr>
            <w:tcW w:w="443" w:type="pct"/>
          </w:tcPr>
          <w:p w:rsidR="00BB2BF6" w:rsidRDefault="007101D2" w:rsidP="00634590">
            <w:pPr>
              <w:spacing w:after="60"/>
              <w:jc w:val="right"/>
              <w:rPr>
                <w:sz w:val="16"/>
                <w:szCs w:val="16"/>
              </w:rPr>
            </w:pPr>
            <w:r>
              <w:rPr>
                <w:sz w:val="16"/>
                <w:szCs w:val="16"/>
              </w:rPr>
              <w:t>0</w:t>
            </w:r>
          </w:p>
        </w:tc>
        <w:tc>
          <w:tcPr>
            <w:tcW w:w="443" w:type="pct"/>
          </w:tcPr>
          <w:p w:rsidR="00BB2BF6" w:rsidRDefault="007101D2" w:rsidP="00634590">
            <w:pPr>
              <w:spacing w:after="60"/>
              <w:jc w:val="right"/>
              <w:rPr>
                <w:sz w:val="16"/>
                <w:szCs w:val="16"/>
              </w:rPr>
            </w:pPr>
            <w:r>
              <w:rPr>
                <w:sz w:val="16"/>
                <w:szCs w:val="16"/>
              </w:rPr>
              <w:t>27,868</w:t>
            </w:r>
          </w:p>
        </w:tc>
        <w:tc>
          <w:tcPr>
            <w:tcW w:w="443" w:type="pct"/>
          </w:tcPr>
          <w:p w:rsidR="00BB2BF6" w:rsidRDefault="007101D2" w:rsidP="00634590">
            <w:pPr>
              <w:spacing w:after="60"/>
              <w:jc w:val="right"/>
              <w:rPr>
                <w:sz w:val="16"/>
                <w:szCs w:val="16"/>
              </w:rPr>
            </w:pPr>
            <w:r>
              <w:rPr>
                <w:sz w:val="16"/>
                <w:szCs w:val="16"/>
              </w:rPr>
              <w:t>27,868</w:t>
            </w:r>
          </w:p>
        </w:tc>
        <w:tc>
          <w:tcPr>
            <w:tcW w:w="440" w:type="pct"/>
            <w:shd w:val="clear" w:color="auto" w:fill="FFFFFF" w:themeFill="background1"/>
          </w:tcPr>
          <w:p w:rsidR="00BB2BF6" w:rsidRDefault="007101D2" w:rsidP="00634590">
            <w:pPr>
              <w:spacing w:after="60"/>
              <w:jc w:val="right"/>
              <w:rPr>
                <w:sz w:val="16"/>
                <w:szCs w:val="16"/>
              </w:rPr>
            </w:pPr>
            <w:r>
              <w:rPr>
                <w:sz w:val="16"/>
                <w:szCs w:val="16"/>
              </w:rPr>
              <w:t>76,361</w:t>
            </w:r>
          </w:p>
        </w:tc>
      </w:tr>
    </w:tbl>
    <w:p w:rsidR="00BB2BF6" w:rsidRDefault="00BB2BF6" w:rsidP="00634590">
      <w:pPr>
        <w:jc w:val="center"/>
        <w:rPr>
          <w:b/>
          <w:sz w:val="16"/>
          <w:szCs w:val="16"/>
        </w:rPr>
      </w:pPr>
    </w:p>
    <w:tbl>
      <w:tblPr>
        <w:tblW w:w="5000" w:type="pct"/>
        <w:tblLook w:val="04A0" w:firstRow="1" w:lastRow="0" w:firstColumn="1" w:lastColumn="0" w:noHBand="0" w:noVBand="1"/>
      </w:tblPr>
      <w:tblGrid>
        <w:gridCol w:w="1480"/>
        <w:gridCol w:w="1220"/>
        <w:gridCol w:w="1201"/>
        <w:gridCol w:w="1032"/>
        <w:gridCol w:w="776"/>
        <w:gridCol w:w="1032"/>
        <w:gridCol w:w="776"/>
        <w:gridCol w:w="1027"/>
        <w:gridCol w:w="1032"/>
      </w:tblGrid>
      <w:tr w:rsidR="00BB2BF6" w:rsidTr="00D07760">
        <w:trPr>
          <w:trHeight w:val="56"/>
        </w:trPr>
        <w:tc>
          <w:tcPr>
            <w:tcW w:w="2037"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left"/>
              <w:rPr>
                <w:b/>
                <w:bCs/>
                <w:color w:val="000000"/>
                <w:sz w:val="16"/>
                <w:szCs w:val="16"/>
                <w:lang w:val="en-US" w:eastAsia="zh-CN"/>
              </w:rPr>
            </w:pPr>
            <w:r>
              <w:rPr>
                <w:b/>
                <w:bCs/>
                <w:color w:val="000000"/>
                <w:sz w:val="16"/>
                <w:szCs w:val="16"/>
                <w:lang w:eastAsia="zh-CN"/>
              </w:rPr>
              <w:t>(VI) PROJECT DATA</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center"/>
              <w:rPr>
                <w:b/>
                <w:bCs/>
                <w:color w:val="000000"/>
                <w:sz w:val="16"/>
                <w:szCs w:val="16"/>
                <w:lang w:val="en-US" w:eastAsia="zh-CN"/>
              </w:rPr>
            </w:pPr>
            <w:r>
              <w:rPr>
                <w:b/>
                <w:bCs/>
                <w:color w:val="000000"/>
                <w:sz w:val="16"/>
                <w:szCs w:val="16"/>
                <w:lang w:eastAsia="zh-CN"/>
              </w:rPr>
              <w:t>2016</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center"/>
              <w:rPr>
                <w:b/>
                <w:bCs/>
                <w:color w:val="000000"/>
                <w:sz w:val="16"/>
                <w:szCs w:val="16"/>
                <w:lang w:val="en-US" w:eastAsia="zh-CN"/>
              </w:rPr>
            </w:pPr>
            <w:r>
              <w:rPr>
                <w:b/>
                <w:bCs/>
                <w:color w:val="000000"/>
                <w:sz w:val="16"/>
                <w:szCs w:val="16"/>
                <w:lang w:eastAsia="zh-CN"/>
              </w:rPr>
              <w:t>2017</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center"/>
              <w:rPr>
                <w:b/>
                <w:bCs/>
                <w:color w:val="000000"/>
                <w:sz w:val="16"/>
                <w:szCs w:val="16"/>
                <w:lang w:val="en-US" w:eastAsia="zh-CN"/>
              </w:rPr>
            </w:pPr>
            <w:r>
              <w:rPr>
                <w:b/>
                <w:bCs/>
                <w:color w:val="000000"/>
                <w:sz w:val="16"/>
                <w:szCs w:val="16"/>
                <w:lang w:eastAsia="zh-CN"/>
              </w:rPr>
              <w:t>2018</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center"/>
              <w:rPr>
                <w:b/>
                <w:bCs/>
                <w:color w:val="000000"/>
                <w:sz w:val="16"/>
                <w:szCs w:val="16"/>
                <w:lang w:val="en-US" w:eastAsia="zh-CN"/>
              </w:rPr>
            </w:pPr>
            <w:r>
              <w:rPr>
                <w:b/>
                <w:bCs/>
                <w:color w:val="000000"/>
                <w:sz w:val="16"/>
                <w:szCs w:val="16"/>
                <w:lang w:eastAsia="zh-CN"/>
              </w:rPr>
              <w:t>2019</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center"/>
              <w:rPr>
                <w:b/>
                <w:bCs/>
                <w:color w:val="000000"/>
                <w:sz w:val="16"/>
                <w:szCs w:val="16"/>
                <w:lang w:val="en-US" w:eastAsia="zh-CN"/>
              </w:rPr>
            </w:pPr>
            <w:r>
              <w:rPr>
                <w:b/>
                <w:bCs/>
                <w:color w:val="000000"/>
                <w:sz w:val="16"/>
                <w:szCs w:val="16"/>
                <w:lang w:eastAsia="zh-CN"/>
              </w:rPr>
              <w:t>2020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center"/>
              <w:rPr>
                <w:b/>
                <w:bCs/>
                <w:color w:val="000000"/>
                <w:sz w:val="16"/>
                <w:szCs w:val="16"/>
                <w:lang w:val="en-US" w:eastAsia="zh-CN"/>
              </w:rPr>
            </w:pPr>
            <w:r>
              <w:rPr>
                <w:b/>
                <w:bCs/>
                <w:color w:val="000000"/>
                <w:sz w:val="16"/>
                <w:szCs w:val="16"/>
                <w:lang w:eastAsia="zh-CN"/>
              </w:rPr>
              <w:t>Total</w:t>
            </w:r>
          </w:p>
        </w:tc>
      </w:tr>
      <w:tr w:rsidR="00BB2BF6" w:rsidTr="00D07760">
        <w:trPr>
          <w:trHeight w:val="56"/>
        </w:trPr>
        <w:tc>
          <w:tcPr>
            <w:tcW w:w="2037"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left"/>
              <w:rPr>
                <w:color w:val="000000"/>
                <w:sz w:val="16"/>
                <w:szCs w:val="16"/>
                <w:lang w:val="en-US" w:eastAsia="zh-CN"/>
              </w:rPr>
            </w:pPr>
            <w:r>
              <w:rPr>
                <w:color w:val="000000"/>
                <w:sz w:val="16"/>
                <w:szCs w:val="16"/>
                <w:lang w:eastAsia="zh-CN"/>
              </w:rPr>
              <w:t>Montreal Protocol consumption limits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3.69</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3.69</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3.69</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3.69</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2.67</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right"/>
              <w:rPr>
                <w:color w:val="000000"/>
                <w:sz w:val="16"/>
                <w:szCs w:val="16"/>
                <w:lang w:val="en-US" w:eastAsia="zh-CN"/>
              </w:rPr>
            </w:pPr>
            <w:r>
              <w:rPr>
                <w:color w:val="000000"/>
                <w:sz w:val="16"/>
                <w:szCs w:val="16"/>
                <w:lang w:eastAsia="zh-CN"/>
              </w:rPr>
              <w:t>n/a</w:t>
            </w:r>
          </w:p>
        </w:tc>
      </w:tr>
      <w:tr w:rsidR="00BB2BF6" w:rsidTr="00D07760">
        <w:trPr>
          <w:trHeight w:val="56"/>
        </w:trPr>
        <w:tc>
          <w:tcPr>
            <w:tcW w:w="2037"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Default="007101D2" w:rsidP="00634590">
            <w:pPr>
              <w:jc w:val="left"/>
              <w:rPr>
                <w:color w:val="000000"/>
                <w:sz w:val="16"/>
                <w:szCs w:val="16"/>
                <w:lang w:val="en-US" w:eastAsia="zh-CN"/>
              </w:rPr>
            </w:pPr>
            <w:r>
              <w:rPr>
                <w:color w:val="000000"/>
                <w:sz w:val="16"/>
                <w:szCs w:val="16"/>
                <w:lang w:eastAsia="zh-CN"/>
              </w:rPr>
              <w:t>Maximum allowable consumption (ODP tonnes)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1.48</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Default="007101D2" w:rsidP="00634590">
            <w:pPr>
              <w:jc w:val="right"/>
              <w:rPr>
                <w:color w:val="000000"/>
                <w:sz w:val="16"/>
                <w:szCs w:val="16"/>
                <w:lang w:val="en-US" w:eastAsia="zh-CN"/>
              </w:rPr>
            </w:pPr>
            <w:r>
              <w:rPr>
                <w:color w:val="000000"/>
                <w:sz w:val="16"/>
                <w:szCs w:val="16"/>
                <w:lang w:val="en-US" w:eastAsia="zh-CN"/>
              </w:rPr>
              <w:t>1.48</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Pr="0087548F" w:rsidRDefault="007101D2" w:rsidP="00634590">
            <w:pPr>
              <w:jc w:val="right"/>
              <w:rPr>
                <w:color w:val="000000"/>
                <w:sz w:val="16"/>
                <w:szCs w:val="16"/>
                <w:lang w:val="en-US" w:eastAsia="zh-CN"/>
              </w:rPr>
            </w:pPr>
            <w:r w:rsidRPr="0087548F">
              <w:rPr>
                <w:color w:val="000000"/>
                <w:sz w:val="16"/>
                <w:szCs w:val="16"/>
                <w:lang w:val="en-US" w:eastAsia="zh-CN"/>
              </w:rPr>
              <w:t>1.48</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Pr="0087548F" w:rsidRDefault="007101D2" w:rsidP="00634590">
            <w:pPr>
              <w:jc w:val="right"/>
              <w:rPr>
                <w:color w:val="000000"/>
                <w:sz w:val="16"/>
                <w:szCs w:val="16"/>
                <w:lang w:val="en-US" w:eastAsia="zh-CN"/>
              </w:rPr>
            </w:pPr>
            <w:r w:rsidRPr="0087548F">
              <w:rPr>
                <w:color w:val="000000"/>
                <w:sz w:val="16"/>
                <w:szCs w:val="16"/>
                <w:lang w:val="en-US" w:eastAsia="zh-CN"/>
              </w:rPr>
              <w:t>1.48</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bottom"/>
            <w:hideMark/>
          </w:tcPr>
          <w:p w:rsidR="00BB2BF6" w:rsidRPr="0087548F" w:rsidRDefault="007101D2" w:rsidP="00634590">
            <w:pPr>
              <w:jc w:val="right"/>
              <w:rPr>
                <w:color w:val="000000"/>
                <w:sz w:val="16"/>
                <w:szCs w:val="16"/>
                <w:lang w:val="en-US" w:eastAsia="zh-CN"/>
              </w:rPr>
            </w:pPr>
            <w:r w:rsidRPr="0087548F">
              <w:rPr>
                <w:color w:val="000000"/>
                <w:sz w:val="16"/>
                <w:szCs w:val="16"/>
                <w:lang w:val="en-US" w:eastAsia="zh-CN"/>
              </w:rPr>
              <w:t>1.07</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BB2BF6" w:rsidRPr="0087548F" w:rsidRDefault="007101D2" w:rsidP="00634590">
            <w:pPr>
              <w:jc w:val="right"/>
              <w:rPr>
                <w:color w:val="000000"/>
                <w:sz w:val="16"/>
                <w:szCs w:val="16"/>
                <w:lang w:val="en-US" w:eastAsia="zh-CN"/>
              </w:rPr>
            </w:pPr>
            <w:r w:rsidRPr="0087548F">
              <w:rPr>
                <w:color w:val="000000"/>
                <w:sz w:val="16"/>
                <w:szCs w:val="16"/>
                <w:lang w:eastAsia="zh-CN"/>
              </w:rPr>
              <w:t>n/a</w:t>
            </w:r>
          </w:p>
        </w:tc>
      </w:tr>
      <w:tr w:rsidR="0087548F" w:rsidTr="00D07760">
        <w:trPr>
          <w:trHeight w:val="116"/>
        </w:trPr>
        <w:tc>
          <w:tcPr>
            <w:tcW w:w="773"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center"/>
              <w:rPr>
                <w:color w:val="000000"/>
                <w:sz w:val="16"/>
                <w:szCs w:val="16"/>
                <w:lang w:val="en-US" w:eastAsia="zh-CN"/>
              </w:rPr>
            </w:pPr>
            <w:r>
              <w:rPr>
                <w:color w:val="000000"/>
                <w:sz w:val="16"/>
                <w:szCs w:val="16"/>
                <w:lang w:eastAsia="zh-CN"/>
              </w:rPr>
              <w:t>Project costs requested in principle(US$)</w:t>
            </w:r>
          </w:p>
        </w:tc>
        <w:tc>
          <w:tcPr>
            <w:tcW w:w="637"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center"/>
              <w:rPr>
                <w:color w:val="000000"/>
                <w:sz w:val="16"/>
                <w:szCs w:val="16"/>
                <w:lang w:val="en-US" w:eastAsia="zh-CN"/>
              </w:rPr>
            </w:pPr>
            <w:r>
              <w:rPr>
                <w:color w:val="000000"/>
                <w:sz w:val="16"/>
                <w:szCs w:val="16"/>
                <w:lang w:eastAsia="zh-CN"/>
              </w:rPr>
              <w:t>UNEP</w:t>
            </w:r>
          </w:p>
        </w:tc>
        <w:tc>
          <w:tcPr>
            <w:tcW w:w="627"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Project costs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20,000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70,500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29,500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120,000</w:t>
            </w:r>
          </w:p>
        </w:tc>
      </w:tr>
      <w:tr w:rsidR="0087548F" w:rsidTr="00D07760">
        <w:trPr>
          <w:trHeight w:val="56"/>
        </w:trPr>
        <w:tc>
          <w:tcPr>
            <w:tcW w:w="773"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87548F" w:rsidRDefault="0087548F" w:rsidP="00634590">
            <w:pPr>
              <w:jc w:val="left"/>
              <w:rPr>
                <w:color w:val="000000"/>
                <w:sz w:val="16"/>
                <w:szCs w:val="16"/>
                <w:lang w:val="en-US" w:eastAsia="zh-CN"/>
              </w:rPr>
            </w:pPr>
          </w:p>
        </w:tc>
        <w:tc>
          <w:tcPr>
            <w:tcW w:w="637"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87548F" w:rsidRDefault="0087548F" w:rsidP="00634590">
            <w:pPr>
              <w:jc w:val="left"/>
              <w:rPr>
                <w:color w:val="000000"/>
                <w:sz w:val="16"/>
                <w:szCs w:val="16"/>
                <w:lang w:val="en-US" w:eastAsia="zh-CN"/>
              </w:rPr>
            </w:pPr>
          </w:p>
        </w:tc>
        <w:tc>
          <w:tcPr>
            <w:tcW w:w="627"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Support costs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2,600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0 </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9,165</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 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3,835</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15,600</w:t>
            </w:r>
          </w:p>
        </w:tc>
      </w:tr>
      <w:tr w:rsidR="0087548F" w:rsidTr="00D07760">
        <w:trPr>
          <w:trHeight w:val="62"/>
        </w:trPr>
        <w:tc>
          <w:tcPr>
            <w:tcW w:w="773"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87548F" w:rsidRDefault="0087548F" w:rsidP="00634590">
            <w:pPr>
              <w:jc w:val="left"/>
              <w:rPr>
                <w:color w:val="000000"/>
                <w:sz w:val="16"/>
                <w:szCs w:val="16"/>
                <w:lang w:val="en-US" w:eastAsia="zh-CN"/>
              </w:rPr>
            </w:pPr>
          </w:p>
        </w:tc>
        <w:tc>
          <w:tcPr>
            <w:tcW w:w="637"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center"/>
              <w:rPr>
                <w:color w:val="000000"/>
                <w:sz w:val="16"/>
                <w:szCs w:val="16"/>
                <w:lang w:val="en-US" w:eastAsia="zh-CN"/>
              </w:rPr>
            </w:pPr>
            <w:r>
              <w:rPr>
                <w:color w:val="000000"/>
                <w:sz w:val="16"/>
                <w:szCs w:val="16"/>
                <w:lang w:eastAsia="zh-CN"/>
              </w:rPr>
              <w:t>UNDP</w:t>
            </w:r>
          </w:p>
        </w:tc>
        <w:tc>
          <w:tcPr>
            <w:tcW w:w="627"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Project costs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50,000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40,000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90,000</w:t>
            </w:r>
          </w:p>
        </w:tc>
      </w:tr>
      <w:tr w:rsidR="0087548F" w:rsidTr="00D07760">
        <w:trPr>
          <w:trHeight w:val="56"/>
        </w:trPr>
        <w:tc>
          <w:tcPr>
            <w:tcW w:w="773"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87548F" w:rsidRDefault="0087548F" w:rsidP="00634590">
            <w:pPr>
              <w:jc w:val="left"/>
              <w:rPr>
                <w:color w:val="000000"/>
                <w:sz w:val="16"/>
                <w:szCs w:val="16"/>
                <w:lang w:val="en-US" w:eastAsia="zh-CN"/>
              </w:rPr>
            </w:pPr>
          </w:p>
        </w:tc>
        <w:tc>
          <w:tcPr>
            <w:tcW w:w="637"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rsidR="0087548F" w:rsidRDefault="0087548F" w:rsidP="00634590">
            <w:pPr>
              <w:jc w:val="left"/>
              <w:rPr>
                <w:color w:val="000000"/>
                <w:sz w:val="16"/>
                <w:szCs w:val="16"/>
                <w:lang w:val="en-US" w:eastAsia="zh-CN"/>
              </w:rPr>
            </w:pPr>
          </w:p>
        </w:tc>
        <w:tc>
          <w:tcPr>
            <w:tcW w:w="627"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Support costs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4,500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3,600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8,100</w:t>
            </w:r>
          </w:p>
        </w:tc>
      </w:tr>
      <w:tr w:rsidR="0087548F" w:rsidTr="00D07760">
        <w:trPr>
          <w:trHeight w:val="56"/>
        </w:trPr>
        <w:tc>
          <w:tcPr>
            <w:tcW w:w="2037"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Total project costs requested in principle (US$)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20,000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120,500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69,500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210,000</w:t>
            </w:r>
          </w:p>
        </w:tc>
      </w:tr>
      <w:tr w:rsidR="0087548F" w:rsidTr="00D07760">
        <w:trPr>
          <w:trHeight w:val="56"/>
        </w:trPr>
        <w:tc>
          <w:tcPr>
            <w:tcW w:w="2037"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Total support costs requested in principle (US$)</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2,600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13,665</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7,435</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23,700</w:t>
            </w:r>
          </w:p>
        </w:tc>
      </w:tr>
      <w:tr w:rsidR="0087548F" w:rsidTr="00D07760">
        <w:trPr>
          <w:trHeight w:val="56"/>
        </w:trPr>
        <w:tc>
          <w:tcPr>
            <w:tcW w:w="2037"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left"/>
              <w:rPr>
                <w:color w:val="000000"/>
                <w:sz w:val="16"/>
                <w:szCs w:val="16"/>
                <w:lang w:val="en-US" w:eastAsia="zh-CN"/>
              </w:rPr>
            </w:pPr>
            <w:r>
              <w:rPr>
                <w:color w:val="000000"/>
                <w:sz w:val="16"/>
                <w:szCs w:val="16"/>
                <w:lang w:eastAsia="zh-CN"/>
              </w:rPr>
              <w:t>Total funds requested in principle (US $)</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22,600</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Default="0087548F" w:rsidP="00634590">
            <w:pPr>
              <w:jc w:val="right"/>
              <w:rPr>
                <w:color w:val="000000"/>
                <w:sz w:val="18"/>
                <w:szCs w:val="18"/>
                <w:lang w:val="en-US" w:eastAsia="zh-CN"/>
              </w:rPr>
            </w:pPr>
            <w:r>
              <w:rPr>
                <w:color w:val="000000"/>
                <w:sz w:val="18"/>
                <w:szCs w:val="18"/>
                <w:lang w:val="en-US" w:eastAsia="zh-CN"/>
              </w:rPr>
              <w:t>0</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134,165</w:t>
            </w:r>
          </w:p>
        </w:tc>
        <w:tc>
          <w:tcPr>
            <w:tcW w:w="405"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0</w:t>
            </w:r>
          </w:p>
        </w:tc>
        <w:tc>
          <w:tcPr>
            <w:tcW w:w="536"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76,935</w:t>
            </w:r>
          </w:p>
        </w:tc>
        <w:tc>
          <w:tcPr>
            <w:tcW w:w="539"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vAlign w:val="center"/>
            <w:hideMark/>
          </w:tcPr>
          <w:p w:rsidR="0087548F" w:rsidRPr="0087548F" w:rsidRDefault="0087548F" w:rsidP="00634590">
            <w:pPr>
              <w:jc w:val="right"/>
              <w:rPr>
                <w:color w:val="000000"/>
                <w:sz w:val="16"/>
                <w:szCs w:val="16"/>
                <w:lang w:val="en-US" w:eastAsia="zh-CN"/>
              </w:rPr>
            </w:pPr>
            <w:r w:rsidRPr="0087548F">
              <w:rPr>
                <w:color w:val="000000"/>
                <w:sz w:val="16"/>
                <w:szCs w:val="16"/>
                <w:lang w:val="en-US" w:eastAsia="zh-CN"/>
              </w:rPr>
              <w:t>233,700</w:t>
            </w:r>
          </w:p>
        </w:tc>
      </w:tr>
    </w:tbl>
    <w:p w:rsidR="00BB2BF6" w:rsidRDefault="00BB2BF6" w:rsidP="00634590">
      <w:pPr>
        <w:jc w:val="center"/>
        <w:rPr>
          <w:b/>
          <w:sz w:val="16"/>
          <w:szCs w:val="16"/>
        </w:rPr>
      </w:pPr>
    </w:p>
    <w:tbl>
      <w:tblPr>
        <w:tblStyle w:val="TableGrid"/>
        <w:tblpPr w:leftFromText="180" w:rightFromText="180" w:vertAnchor="text" w:horzAnchor="margin" w:tblpY="131"/>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711"/>
        <w:gridCol w:w="4146"/>
        <w:gridCol w:w="3719"/>
      </w:tblGrid>
      <w:tr w:rsidR="00BB2BF6">
        <w:trPr>
          <w:trHeight w:val="240"/>
        </w:trPr>
        <w:tc>
          <w:tcPr>
            <w:tcW w:w="5000" w:type="pct"/>
            <w:gridSpan w:val="3"/>
            <w:shd w:val="clear" w:color="auto" w:fill="auto"/>
          </w:tcPr>
          <w:p w:rsidR="00BB2BF6" w:rsidRDefault="007101D2" w:rsidP="00634590">
            <w:pPr>
              <w:jc w:val="left"/>
              <w:rPr>
                <w:b/>
                <w:sz w:val="16"/>
                <w:szCs w:val="16"/>
              </w:rPr>
            </w:pPr>
            <w:r>
              <w:rPr>
                <w:b/>
                <w:sz w:val="16"/>
                <w:szCs w:val="16"/>
              </w:rPr>
              <w:t>(VII) Request for funding for the first tranche (2016)</w:t>
            </w:r>
          </w:p>
        </w:tc>
      </w:tr>
      <w:tr w:rsidR="00BB2BF6">
        <w:trPr>
          <w:trHeight w:val="240"/>
        </w:trPr>
        <w:tc>
          <w:tcPr>
            <w:tcW w:w="893" w:type="pct"/>
            <w:shd w:val="clear" w:color="auto" w:fill="auto"/>
          </w:tcPr>
          <w:p w:rsidR="00BB2BF6" w:rsidRDefault="007101D2" w:rsidP="00634590">
            <w:pPr>
              <w:spacing w:after="60"/>
              <w:jc w:val="center"/>
              <w:rPr>
                <w:b/>
                <w:sz w:val="16"/>
                <w:szCs w:val="16"/>
              </w:rPr>
            </w:pPr>
            <w:r>
              <w:rPr>
                <w:b/>
                <w:sz w:val="16"/>
                <w:szCs w:val="16"/>
              </w:rPr>
              <w:t>Agency</w:t>
            </w:r>
          </w:p>
        </w:tc>
        <w:tc>
          <w:tcPr>
            <w:tcW w:w="2165" w:type="pct"/>
            <w:shd w:val="clear" w:color="auto" w:fill="auto"/>
          </w:tcPr>
          <w:p w:rsidR="00BB2BF6" w:rsidRDefault="007101D2" w:rsidP="00634590">
            <w:pPr>
              <w:spacing w:after="60"/>
              <w:jc w:val="center"/>
              <w:rPr>
                <w:b/>
                <w:sz w:val="16"/>
                <w:szCs w:val="16"/>
              </w:rPr>
            </w:pPr>
            <w:r>
              <w:rPr>
                <w:b/>
                <w:sz w:val="16"/>
                <w:szCs w:val="16"/>
              </w:rPr>
              <w:t>Funds requested (US $)</w:t>
            </w:r>
          </w:p>
        </w:tc>
        <w:tc>
          <w:tcPr>
            <w:tcW w:w="1942" w:type="pct"/>
            <w:shd w:val="clear" w:color="auto" w:fill="auto"/>
          </w:tcPr>
          <w:p w:rsidR="00BB2BF6" w:rsidRDefault="007101D2" w:rsidP="00634590">
            <w:pPr>
              <w:spacing w:after="60"/>
              <w:jc w:val="center"/>
              <w:rPr>
                <w:b/>
                <w:sz w:val="16"/>
                <w:szCs w:val="16"/>
              </w:rPr>
            </w:pPr>
            <w:r>
              <w:rPr>
                <w:b/>
                <w:sz w:val="16"/>
                <w:szCs w:val="16"/>
              </w:rPr>
              <w:t>Support costs (US $)</w:t>
            </w:r>
          </w:p>
        </w:tc>
      </w:tr>
      <w:tr w:rsidR="00BB2BF6">
        <w:trPr>
          <w:trHeight w:val="240"/>
        </w:trPr>
        <w:tc>
          <w:tcPr>
            <w:tcW w:w="893" w:type="pct"/>
            <w:shd w:val="clear" w:color="auto" w:fill="auto"/>
          </w:tcPr>
          <w:p w:rsidR="00BB2BF6" w:rsidRDefault="007101D2" w:rsidP="00634590">
            <w:pPr>
              <w:spacing w:after="60"/>
              <w:jc w:val="center"/>
              <w:rPr>
                <w:sz w:val="16"/>
                <w:szCs w:val="16"/>
              </w:rPr>
            </w:pPr>
            <w:r>
              <w:rPr>
                <w:sz w:val="16"/>
                <w:szCs w:val="16"/>
              </w:rPr>
              <w:t>UNEP</w:t>
            </w:r>
          </w:p>
        </w:tc>
        <w:tc>
          <w:tcPr>
            <w:tcW w:w="2165" w:type="pct"/>
            <w:shd w:val="clear" w:color="auto" w:fill="auto"/>
          </w:tcPr>
          <w:p w:rsidR="00BB2BF6" w:rsidRDefault="0087548F" w:rsidP="00634590">
            <w:pPr>
              <w:spacing w:after="60"/>
              <w:jc w:val="right"/>
              <w:rPr>
                <w:sz w:val="18"/>
                <w:szCs w:val="18"/>
              </w:rPr>
            </w:pPr>
            <w:r>
              <w:rPr>
                <w:sz w:val="18"/>
                <w:szCs w:val="18"/>
              </w:rPr>
              <w:t>20</w:t>
            </w:r>
            <w:r w:rsidR="007101D2">
              <w:rPr>
                <w:sz w:val="18"/>
                <w:szCs w:val="18"/>
              </w:rPr>
              <w:t>,000</w:t>
            </w:r>
          </w:p>
        </w:tc>
        <w:tc>
          <w:tcPr>
            <w:tcW w:w="1942" w:type="pct"/>
            <w:shd w:val="clear" w:color="auto" w:fill="auto"/>
          </w:tcPr>
          <w:p w:rsidR="00BB2BF6" w:rsidRDefault="0087548F" w:rsidP="00634590">
            <w:pPr>
              <w:spacing w:after="60"/>
              <w:ind w:right="90"/>
              <w:jc w:val="right"/>
              <w:rPr>
                <w:sz w:val="18"/>
                <w:szCs w:val="18"/>
              </w:rPr>
            </w:pPr>
            <w:r>
              <w:rPr>
                <w:sz w:val="18"/>
                <w:szCs w:val="18"/>
              </w:rPr>
              <w:t>2,600</w:t>
            </w:r>
          </w:p>
        </w:tc>
      </w:tr>
    </w:tbl>
    <w:p w:rsidR="00BB2BF6" w:rsidRPr="0087548F" w:rsidRDefault="00BB2BF6" w:rsidP="00634590">
      <w:pPr>
        <w:spacing w:after="60"/>
        <w:jc w:val="center"/>
        <w:rPr>
          <w:b/>
          <w:sz w:val="16"/>
          <w:szCs w:val="16"/>
        </w:rPr>
      </w:pPr>
    </w:p>
    <w:tbl>
      <w:tblPr>
        <w:tblStyle w:val="TableGrid"/>
        <w:tblW w:w="5000" w:type="pct"/>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73"/>
        <w:gridCol w:w="6703"/>
      </w:tblGrid>
      <w:tr w:rsidR="00BB2BF6" w:rsidTr="00D07760">
        <w:trPr>
          <w:trHeight w:val="240"/>
          <w:jc w:val="center"/>
        </w:trPr>
        <w:tc>
          <w:tcPr>
            <w:tcW w:w="1500" w:type="pct"/>
            <w:shd w:val="clear" w:color="auto" w:fill="auto"/>
          </w:tcPr>
          <w:p w:rsidR="00BB2BF6" w:rsidRDefault="007101D2" w:rsidP="00634590">
            <w:pPr>
              <w:spacing w:after="60"/>
              <w:jc w:val="left"/>
              <w:rPr>
                <w:b/>
                <w:sz w:val="16"/>
                <w:szCs w:val="16"/>
              </w:rPr>
            </w:pPr>
            <w:r>
              <w:rPr>
                <w:b/>
                <w:sz w:val="16"/>
                <w:szCs w:val="16"/>
              </w:rPr>
              <w:t>Funding request:</w:t>
            </w:r>
          </w:p>
        </w:tc>
        <w:tc>
          <w:tcPr>
            <w:tcW w:w="3500" w:type="pct"/>
            <w:shd w:val="clear" w:color="auto" w:fill="auto"/>
          </w:tcPr>
          <w:p w:rsidR="00BB2BF6" w:rsidRDefault="007101D2" w:rsidP="00634590">
            <w:pPr>
              <w:spacing w:after="60"/>
              <w:jc w:val="center"/>
              <w:rPr>
                <w:sz w:val="16"/>
                <w:szCs w:val="16"/>
              </w:rPr>
            </w:pPr>
            <w:r>
              <w:rPr>
                <w:sz w:val="16"/>
                <w:szCs w:val="16"/>
              </w:rPr>
              <w:t>Approval of funding for the first tranche (2016) as indicated above</w:t>
            </w:r>
          </w:p>
        </w:tc>
      </w:tr>
      <w:tr w:rsidR="00BB2BF6" w:rsidTr="00D07760">
        <w:trPr>
          <w:trHeight w:val="240"/>
          <w:jc w:val="center"/>
        </w:trPr>
        <w:tc>
          <w:tcPr>
            <w:tcW w:w="1500" w:type="pct"/>
            <w:shd w:val="clear" w:color="auto" w:fill="auto"/>
          </w:tcPr>
          <w:p w:rsidR="00BB2BF6" w:rsidRDefault="007101D2" w:rsidP="00634590">
            <w:pPr>
              <w:spacing w:after="60"/>
              <w:jc w:val="left"/>
              <w:rPr>
                <w:b/>
                <w:sz w:val="16"/>
                <w:szCs w:val="16"/>
              </w:rPr>
            </w:pPr>
            <w:r>
              <w:rPr>
                <w:b/>
                <w:sz w:val="16"/>
                <w:szCs w:val="16"/>
              </w:rPr>
              <w:t>Secretariat's recommendation:</w:t>
            </w:r>
          </w:p>
        </w:tc>
        <w:tc>
          <w:tcPr>
            <w:tcW w:w="3500" w:type="pct"/>
            <w:shd w:val="clear" w:color="auto" w:fill="auto"/>
          </w:tcPr>
          <w:p w:rsidR="00BB2BF6" w:rsidRDefault="007101D2" w:rsidP="00634590">
            <w:pPr>
              <w:spacing w:after="60"/>
              <w:jc w:val="center"/>
              <w:rPr>
                <w:sz w:val="16"/>
                <w:szCs w:val="16"/>
              </w:rPr>
            </w:pPr>
            <w:r>
              <w:rPr>
                <w:sz w:val="16"/>
                <w:szCs w:val="16"/>
              </w:rPr>
              <w:t>Individual consideration</w:t>
            </w:r>
          </w:p>
        </w:tc>
      </w:tr>
    </w:tbl>
    <w:p w:rsidR="00BB2BF6" w:rsidRDefault="00BB2BF6" w:rsidP="00634590">
      <w:pPr>
        <w:pStyle w:val="StyleHeader4Para4Left0Firstline0"/>
        <w:numPr>
          <w:ilvl w:val="0"/>
          <w:numId w:val="0"/>
        </w:numPr>
      </w:pPr>
    </w:p>
    <w:p w:rsidR="00BB2BF6" w:rsidRDefault="007101D2" w:rsidP="00634590">
      <w:pPr>
        <w:jc w:val="left"/>
        <w:rPr>
          <w:sz w:val="20"/>
        </w:rPr>
      </w:pPr>
      <w:r>
        <w:br w:type="page"/>
      </w:r>
    </w:p>
    <w:p w:rsidR="00BB2BF6" w:rsidRPr="00C22111" w:rsidRDefault="007101D2" w:rsidP="00634590">
      <w:pPr>
        <w:jc w:val="center"/>
        <w:rPr>
          <w:b/>
          <w:lang w:val="en-CA"/>
        </w:rPr>
      </w:pPr>
      <w:r w:rsidRPr="00C22111">
        <w:rPr>
          <w:b/>
          <w:lang w:val="en-CA"/>
        </w:rPr>
        <w:lastRenderedPageBreak/>
        <w:t>PROJECT DESCRIPTION</w:t>
      </w:r>
    </w:p>
    <w:p w:rsidR="00BB2BF6" w:rsidRPr="00C22111" w:rsidRDefault="00BB2BF6" w:rsidP="00634590">
      <w:pPr>
        <w:rPr>
          <w:lang w:val="en-CA"/>
        </w:rPr>
      </w:pPr>
    </w:p>
    <w:p w:rsidR="00BB2BF6" w:rsidRPr="00C22111" w:rsidRDefault="007101D2" w:rsidP="00634590">
      <w:pPr>
        <w:pStyle w:val="Heading1"/>
        <w:rPr>
          <w:lang w:val="en-CA"/>
        </w:rPr>
      </w:pPr>
      <w:r w:rsidRPr="00C22111">
        <w:rPr>
          <w:lang w:val="en-CA"/>
        </w:rPr>
        <w:t>On behalf of the Government of South Sudan, UNEP as the lead implementing agency, has submitted, to the 77</w:t>
      </w:r>
      <w:r w:rsidRPr="00C22111">
        <w:rPr>
          <w:vertAlign w:val="superscript"/>
          <w:lang w:val="en-CA"/>
        </w:rPr>
        <w:t>th </w:t>
      </w:r>
      <w:r w:rsidRPr="00C22111">
        <w:rPr>
          <w:lang w:val="en-CA"/>
        </w:rPr>
        <w:t>meeting, stage I of the HCFC phase-out management plan (HPMP)</w:t>
      </w:r>
      <w:r w:rsidR="0016636B" w:rsidRPr="00C22111">
        <w:rPr>
          <w:rStyle w:val="FootnoteReference"/>
          <w:lang w:val="en-CA"/>
        </w:rPr>
        <w:footnoteReference w:id="1"/>
      </w:r>
      <w:r w:rsidRPr="00C22111">
        <w:rPr>
          <w:lang w:val="en-CA"/>
        </w:rPr>
        <w:t xml:space="preserve"> at a total cost of US $350,950, consisting of US $190,000 plus agency support costs of US $24,700 for UNEP, and US $125,000 plus agency support costs of US $11,250 for UNDP, as originally submitted, to achieve a 35 per cent reduction in HCFC consumption by 2020.</w:t>
      </w:r>
    </w:p>
    <w:p w:rsidR="00BB2BF6" w:rsidRPr="00C22111" w:rsidRDefault="007101D2" w:rsidP="00634590">
      <w:pPr>
        <w:pStyle w:val="Heading1"/>
        <w:rPr>
          <w:lang w:val="en-CA"/>
        </w:rPr>
      </w:pPr>
      <w:r w:rsidRPr="00C22111">
        <w:rPr>
          <w:lang w:val="en-CA"/>
        </w:rPr>
        <w:t>The first tranche for stage I of the HPMP being requested at this meeting amounts to US $178,000, consisting of US $90,000 plus agency support costs of US $11,700 for UNEP, and US $70,000 plus agency support costs of US $6,300 for UNDP, as originally submitted.</w:t>
      </w:r>
    </w:p>
    <w:p w:rsidR="00BB2BF6" w:rsidRDefault="007101D2" w:rsidP="00634590">
      <w:pPr>
        <w:rPr>
          <w:u w:val="single"/>
          <w:lang w:val="en-CA"/>
        </w:rPr>
      </w:pPr>
      <w:r w:rsidRPr="00C22111">
        <w:rPr>
          <w:u w:val="single"/>
          <w:lang w:val="en-CA"/>
        </w:rPr>
        <w:t>Background</w:t>
      </w:r>
    </w:p>
    <w:p w:rsidR="00634590" w:rsidRPr="00C22111" w:rsidRDefault="00634590" w:rsidP="00634590">
      <w:pPr>
        <w:rPr>
          <w:u w:val="single"/>
          <w:lang w:val="en-CA"/>
        </w:rPr>
      </w:pPr>
    </w:p>
    <w:p w:rsidR="00BB2BF6" w:rsidRPr="00C22111" w:rsidRDefault="007101D2" w:rsidP="00634590">
      <w:pPr>
        <w:pStyle w:val="Heading1"/>
        <w:rPr>
          <w:lang w:val="en-CA"/>
        </w:rPr>
      </w:pPr>
      <w:r w:rsidRPr="00C22111">
        <w:rPr>
          <w:lang w:val="en-CA"/>
        </w:rPr>
        <w:t>South Sudan is a landlocked country in north eastern Africa that became independent in 2011. It has a total population of about 12 million inhabitants and it ratified the Montreal Protocol and all its amendments in 2012. The country has experienced political conflicts and economic disturbances and is currently administered by a transitional government.</w:t>
      </w:r>
    </w:p>
    <w:p w:rsidR="00BB2BF6" w:rsidRDefault="007101D2" w:rsidP="00634590">
      <w:pPr>
        <w:rPr>
          <w:u w:val="single"/>
          <w:lang w:val="en-CA"/>
        </w:rPr>
      </w:pPr>
      <w:r w:rsidRPr="00C22111">
        <w:rPr>
          <w:u w:val="single"/>
          <w:lang w:val="en-CA"/>
        </w:rPr>
        <w:t>ODS regulations</w:t>
      </w:r>
    </w:p>
    <w:p w:rsidR="00634590" w:rsidRPr="00C22111" w:rsidRDefault="00634590" w:rsidP="00634590">
      <w:pPr>
        <w:rPr>
          <w:u w:val="single"/>
          <w:lang w:val="en-CA"/>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spacing w:val="-3"/>
        </w:rPr>
      </w:pPr>
      <w:r w:rsidRPr="00C22111">
        <w:t xml:space="preserve">The Ministry of Environment is the focal point for implementation of the Montreal Protocol and hosts the national ozone unit (NOU), which coordinates activities at the operational level. </w:t>
      </w:r>
      <w:r w:rsidRPr="00C22111">
        <w:rPr>
          <w:lang w:val="en-CA"/>
        </w:rPr>
        <w:t xml:space="preserve">The Government of South Sudan has put in place </w:t>
      </w:r>
      <w:r w:rsidRPr="00C22111">
        <w:rPr>
          <w:lang w:val="en-US"/>
        </w:rPr>
        <w:t>a licensing system for the control of imports and exports of ODS including HCFCs by means of a ministerial order</w:t>
      </w:r>
      <w:r w:rsidRPr="00C22111">
        <w:rPr>
          <w:rStyle w:val="FootnoteReference"/>
          <w:lang w:val="en-US"/>
        </w:rPr>
        <w:footnoteReference w:id="2"/>
      </w:r>
      <w:r w:rsidRPr="00C22111">
        <w:rPr>
          <w:lang w:val="en-US"/>
        </w:rPr>
        <w:t xml:space="preserve">. It has also </w:t>
      </w:r>
      <w:r w:rsidRPr="00C22111">
        <w:rPr>
          <w:lang w:val="en-CA"/>
        </w:rPr>
        <w:t>approved the National Environmental Policy for the period from 2015 to 2025, which authorizes the Ministry of Environment to implement the ODS licensing and quota system. A National Ozone Steering Committee has been established to coordinate all HCFC phase-out activities.</w:t>
      </w:r>
    </w:p>
    <w:p w:rsidR="00BB2BF6" w:rsidRDefault="007101D2" w:rsidP="00634590">
      <w:pPr>
        <w:rPr>
          <w:u w:val="single"/>
          <w:lang w:val="en-CA"/>
        </w:rPr>
      </w:pPr>
      <w:r w:rsidRPr="00C22111">
        <w:rPr>
          <w:u w:val="single"/>
          <w:lang w:val="en-CA"/>
        </w:rPr>
        <w:t>HCFC consumption and sector distribution</w:t>
      </w:r>
    </w:p>
    <w:p w:rsidR="00634590" w:rsidRPr="00C22111" w:rsidRDefault="00634590" w:rsidP="00634590">
      <w:pPr>
        <w:rPr>
          <w:u w:val="single"/>
          <w:lang w:val="en-CA"/>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CA"/>
        </w:rPr>
      </w:pPr>
      <w:r w:rsidRPr="00C22111">
        <w:rPr>
          <w:lang w:val="en-CA"/>
        </w:rPr>
        <w:t>During the preparation of the HPMP, field surveys were conducted to collect HCFC consumption data. Based on the survey, HCFC</w:t>
      </w:r>
      <w:r w:rsidRPr="00C22111">
        <w:rPr>
          <w:lang w:val="en-CA"/>
        </w:rPr>
        <w:noBreakHyphen/>
        <w:t>22 is the only HCFC imported and is used solely in servicing refrigeration and air</w:t>
      </w:r>
      <w:r w:rsidRPr="00C22111">
        <w:rPr>
          <w:lang w:val="en-CA"/>
        </w:rPr>
        <w:noBreakHyphen/>
        <w:t>conditioning (RAC) equipment. Other refrigerants used in the country include HFCs (R-410A, HFC</w:t>
      </w:r>
      <w:r w:rsidRPr="00C22111">
        <w:rPr>
          <w:lang w:val="en-CA"/>
        </w:rPr>
        <w:noBreakHyphen/>
        <w:t xml:space="preserve">134a, </w:t>
      </w:r>
      <w:proofErr w:type="gramStart"/>
      <w:r w:rsidRPr="00C22111">
        <w:rPr>
          <w:lang w:val="en-CA"/>
        </w:rPr>
        <w:t>R</w:t>
      </w:r>
      <w:proofErr w:type="gramEnd"/>
      <w:r w:rsidRPr="00C22111">
        <w:rPr>
          <w:lang w:val="en-CA"/>
        </w:rPr>
        <w:t>-404A) and hydrocarbons (HC-600a). The HCFC consumption data is shown in Table 1.</w:t>
      </w:r>
    </w:p>
    <w:p w:rsidR="00BB2BF6" w:rsidRPr="00C22111" w:rsidRDefault="007101D2" w:rsidP="00634590">
      <w:pPr>
        <w:pStyle w:val="Heading1"/>
        <w:numPr>
          <w:ilvl w:val="0"/>
          <w:numId w:val="0"/>
        </w:numPr>
        <w:spacing w:after="0"/>
        <w:rPr>
          <w:b/>
        </w:rPr>
      </w:pPr>
      <w:proofErr w:type="gramStart"/>
      <w:r w:rsidRPr="00C22111">
        <w:rPr>
          <w:b/>
        </w:rPr>
        <w:t>Table 1.</w:t>
      </w:r>
      <w:proofErr w:type="gramEnd"/>
      <w:r w:rsidRPr="00C22111">
        <w:rPr>
          <w:b/>
        </w:rPr>
        <w:t xml:space="preserve"> HCFC consumption in South Sudan (2009-2015 Article 7 data)</w:t>
      </w:r>
    </w:p>
    <w:tbl>
      <w:tblPr>
        <w:tblW w:w="5000" w:type="pct"/>
        <w:tblLook w:val="04A0" w:firstRow="1" w:lastRow="0" w:firstColumn="1" w:lastColumn="0" w:noHBand="0" w:noVBand="1"/>
      </w:tblPr>
      <w:tblGrid>
        <w:gridCol w:w="2534"/>
        <w:gridCol w:w="904"/>
        <w:gridCol w:w="905"/>
        <w:gridCol w:w="826"/>
        <w:gridCol w:w="748"/>
        <w:gridCol w:w="805"/>
        <w:gridCol w:w="831"/>
        <w:gridCol w:w="959"/>
        <w:gridCol w:w="999"/>
      </w:tblGrid>
      <w:tr w:rsidR="00BB2BF6">
        <w:trPr>
          <w:tblHeader/>
        </w:trPr>
        <w:tc>
          <w:tcPr>
            <w:tcW w:w="133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2BF6" w:rsidRDefault="007101D2" w:rsidP="00634590">
            <w:pPr>
              <w:widowControl w:val="0"/>
              <w:jc w:val="left"/>
              <w:rPr>
                <w:b/>
                <w:bCs/>
                <w:color w:val="000000"/>
              </w:rPr>
            </w:pPr>
            <w:r>
              <w:rPr>
                <w:b/>
                <w:bCs/>
                <w:color w:val="000000"/>
              </w:rPr>
              <w:t>HCFC-22</w:t>
            </w:r>
          </w:p>
        </w:tc>
        <w:tc>
          <w:tcPr>
            <w:tcW w:w="475" w:type="pct"/>
            <w:tcBorders>
              <w:top w:val="single" w:sz="4" w:space="0" w:color="auto"/>
              <w:left w:val="nil"/>
              <w:bottom w:val="single" w:sz="4" w:space="0" w:color="auto"/>
              <w:right w:val="single" w:sz="4" w:space="0" w:color="auto"/>
            </w:tcBorders>
            <w:vAlign w:val="center"/>
          </w:tcPr>
          <w:p w:rsidR="00BB2BF6" w:rsidRDefault="007101D2" w:rsidP="00634590">
            <w:pPr>
              <w:jc w:val="right"/>
              <w:rPr>
                <w:b/>
                <w:color w:val="000000"/>
                <w:sz w:val="24"/>
                <w:szCs w:val="24"/>
              </w:rPr>
            </w:pPr>
            <w:r>
              <w:rPr>
                <w:b/>
                <w:color w:val="000000"/>
              </w:rPr>
              <w:t>2009</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BF6" w:rsidRDefault="007101D2" w:rsidP="00634590">
            <w:pPr>
              <w:jc w:val="right"/>
              <w:rPr>
                <w:b/>
                <w:color w:val="000000"/>
                <w:sz w:val="24"/>
                <w:szCs w:val="24"/>
              </w:rPr>
            </w:pPr>
            <w:r>
              <w:rPr>
                <w:b/>
                <w:color w:val="000000"/>
              </w:rPr>
              <w:t>2010</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B2BF6" w:rsidRDefault="007101D2" w:rsidP="00634590">
            <w:pPr>
              <w:jc w:val="right"/>
              <w:rPr>
                <w:b/>
                <w:color w:val="000000"/>
                <w:sz w:val="24"/>
                <w:szCs w:val="24"/>
              </w:rPr>
            </w:pPr>
            <w:r>
              <w:rPr>
                <w:b/>
                <w:color w:val="000000"/>
              </w:rPr>
              <w:t>2011</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BB2BF6" w:rsidRDefault="007101D2" w:rsidP="00634590">
            <w:pPr>
              <w:jc w:val="right"/>
              <w:rPr>
                <w:b/>
                <w:color w:val="000000"/>
                <w:sz w:val="24"/>
                <w:szCs w:val="24"/>
              </w:rPr>
            </w:pPr>
            <w:r>
              <w:rPr>
                <w:b/>
                <w:color w:val="000000"/>
              </w:rPr>
              <w:t>2012</w:t>
            </w:r>
          </w:p>
        </w:tc>
        <w:tc>
          <w:tcPr>
            <w:tcW w:w="423" w:type="pct"/>
            <w:tcBorders>
              <w:top w:val="single" w:sz="4" w:space="0" w:color="auto"/>
              <w:left w:val="nil"/>
              <w:bottom w:val="single" w:sz="4" w:space="0" w:color="auto"/>
              <w:right w:val="single" w:sz="4" w:space="0" w:color="auto"/>
            </w:tcBorders>
            <w:vAlign w:val="center"/>
          </w:tcPr>
          <w:p w:rsidR="00BB2BF6" w:rsidRDefault="007101D2" w:rsidP="00634590">
            <w:pPr>
              <w:jc w:val="right"/>
              <w:rPr>
                <w:b/>
                <w:color w:val="000000"/>
                <w:sz w:val="24"/>
                <w:szCs w:val="24"/>
              </w:rPr>
            </w:pPr>
            <w:r>
              <w:rPr>
                <w:b/>
                <w:color w:val="000000"/>
              </w:rPr>
              <w:t>2013</w:t>
            </w:r>
          </w:p>
        </w:tc>
        <w:tc>
          <w:tcPr>
            <w:tcW w:w="437" w:type="pct"/>
            <w:tcBorders>
              <w:top w:val="single" w:sz="4" w:space="0" w:color="auto"/>
              <w:left w:val="single" w:sz="4" w:space="0" w:color="auto"/>
              <w:bottom w:val="single" w:sz="4" w:space="0" w:color="auto"/>
              <w:right w:val="single" w:sz="4" w:space="0" w:color="auto"/>
            </w:tcBorders>
            <w:vAlign w:val="center"/>
          </w:tcPr>
          <w:p w:rsidR="00BB2BF6" w:rsidRDefault="007101D2" w:rsidP="00634590">
            <w:pPr>
              <w:jc w:val="right"/>
              <w:rPr>
                <w:b/>
                <w:color w:val="000000"/>
                <w:sz w:val="24"/>
                <w:szCs w:val="24"/>
              </w:rPr>
            </w:pPr>
            <w:r>
              <w:rPr>
                <w:b/>
                <w:color w:val="000000"/>
              </w:rPr>
              <w:t>2014</w:t>
            </w:r>
          </w:p>
        </w:tc>
        <w:tc>
          <w:tcPr>
            <w:tcW w:w="504" w:type="pct"/>
            <w:tcBorders>
              <w:top w:val="single" w:sz="4" w:space="0" w:color="auto"/>
              <w:left w:val="single" w:sz="4" w:space="0" w:color="auto"/>
              <w:bottom w:val="single" w:sz="4" w:space="0" w:color="auto"/>
              <w:right w:val="single" w:sz="4" w:space="0" w:color="auto"/>
            </w:tcBorders>
            <w:vAlign w:val="center"/>
          </w:tcPr>
          <w:p w:rsidR="00BB2BF6" w:rsidRDefault="007101D2" w:rsidP="00634590">
            <w:pPr>
              <w:jc w:val="right"/>
              <w:rPr>
                <w:b/>
                <w:color w:val="000000"/>
                <w:sz w:val="24"/>
                <w:szCs w:val="24"/>
              </w:rPr>
            </w:pPr>
            <w:r w:rsidRPr="00594B94">
              <w:rPr>
                <w:b/>
                <w:color w:val="000000"/>
              </w:rPr>
              <w:t>2015</w:t>
            </w:r>
          </w:p>
        </w:tc>
        <w:tc>
          <w:tcPr>
            <w:tcW w:w="5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BF6" w:rsidRDefault="007101D2" w:rsidP="00634590">
            <w:pPr>
              <w:widowControl w:val="0"/>
              <w:jc w:val="center"/>
              <w:rPr>
                <w:b/>
                <w:bCs/>
                <w:color w:val="000000"/>
              </w:rPr>
            </w:pPr>
            <w:r>
              <w:rPr>
                <w:b/>
                <w:bCs/>
                <w:color w:val="000000"/>
              </w:rPr>
              <w:t>Baseline</w:t>
            </w:r>
          </w:p>
        </w:tc>
      </w:tr>
      <w:tr w:rsidR="00BB2BF6">
        <w:tc>
          <w:tcPr>
            <w:tcW w:w="133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2BF6" w:rsidRDefault="007101D2" w:rsidP="00634590">
            <w:pPr>
              <w:widowControl w:val="0"/>
              <w:jc w:val="left"/>
              <w:rPr>
                <w:b/>
                <w:bCs/>
                <w:color w:val="000000"/>
              </w:rPr>
            </w:pPr>
            <w:r>
              <w:rPr>
                <w:b/>
                <w:bCs/>
                <w:color w:val="000000"/>
              </w:rPr>
              <w:t>Metric tonnes</w:t>
            </w:r>
          </w:p>
        </w:tc>
        <w:tc>
          <w:tcPr>
            <w:tcW w:w="475" w:type="pct"/>
            <w:tcBorders>
              <w:top w:val="single" w:sz="4" w:space="0" w:color="auto"/>
              <w:left w:val="nil"/>
              <w:bottom w:val="single" w:sz="4" w:space="0" w:color="auto"/>
              <w:right w:val="single" w:sz="4" w:space="0" w:color="auto"/>
            </w:tcBorders>
            <w:vAlign w:val="center"/>
          </w:tcPr>
          <w:p w:rsidR="00BB2BF6" w:rsidRDefault="007101D2" w:rsidP="00634590">
            <w:pPr>
              <w:jc w:val="right"/>
              <w:rPr>
                <w:color w:val="000000"/>
              </w:rPr>
            </w:pPr>
            <w:r>
              <w:rPr>
                <w:color w:val="000000"/>
              </w:rPr>
              <w:t>74.54</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BF6" w:rsidRDefault="007101D2" w:rsidP="00634590">
            <w:pPr>
              <w:jc w:val="right"/>
              <w:rPr>
                <w:color w:val="000000"/>
              </w:rPr>
            </w:pPr>
            <w:r>
              <w:rPr>
                <w:color w:val="000000"/>
              </w:rPr>
              <w:t>74.54</w:t>
            </w:r>
          </w:p>
        </w:tc>
        <w:tc>
          <w:tcPr>
            <w:tcW w:w="434" w:type="pct"/>
            <w:tcBorders>
              <w:top w:val="nil"/>
              <w:left w:val="nil"/>
              <w:bottom w:val="single" w:sz="4" w:space="0" w:color="auto"/>
              <w:right w:val="single" w:sz="4" w:space="0" w:color="auto"/>
            </w:tcBorders>
            <w:shd w:val="clear" w:color="auto" w:fill="auto"/>
            <w:noWrap/>
            <w:vAlign w:val="center"/>
            <w:hideMark/>
          </w:tcPr>
          <w:p w:rsidR="00BB2BF6" w:rsidRDefault="007101D2" w:rsidP="00634590">
            <w:pPr>
              <w:jc w:val="right"/>
              <w:rPr>
                <w:color w:val="000000"/>
                <w:sz w:val="24"/>
                <w:szCs w:val="24"/>
              </w:rPr>
            </w:pPr>
            <w:r>
              <w:rPr>
                <w:color w:val="000000"/>
              </w:rPr>
              <w:t>78.18</w:t>
            </w:r>
          </w:p>
        </w:tc>
        <w:tc>
          <w:tcPr>
            <w:tcW w:w="393" w:type="pct"/>
            <w:tcBorders>
              <w:top w:val="nil"/>
              <w:left w:val="nil"/>
              <w:bottom w:val="single" w:sz="4" w:space="0" w:color="auto"/>
              <w:right w:val="single" w:sz="4" w:space="0" w:color="auto"/>
            </w:tcBorders>
            <w:shd w:val="clear" w:color="auto" w:fill="auto"/>
            <w:noWrap/>
            <w:vAlign w:val="center"/>
          </w:tcPr>
          <w:p w:rsidR="00BB2BF6" w:rsidRDefault="007101D2" w:rsidP="00634590">
            <w:pPr>
              <w:jc w:val="right"/>
              <w:rPr>
                <w:color w:val="000000"/>
                <w:sz w:val="24"/>
                <w:szCs w:val="24"/>
              </w:rPr>
            </w:pPr>
            <w:r>
              <w:rPr>
                <w:color w:val="000000"/>
              </w:rPr>
              <w:t>84.36</w:t>
            </w:r>
          </w:p>
        </w:tc>
        <w:tc>
          <w:tcPr>
            <w:tcW w:w="423" w:type="pct"/>
            <w:tcBorders>
              <w:top w:val="single" w:sz="4" w:space="0" w:color="auto"/>
              <w:left w:val="nil"/>
              <w:bottom w:val="single" w:sz="4" w:space="0" w:color="auto"/>
              <w:right w:val="single" w:sz="4" w:space="0" w:color="auto"/>
            </w:tcBorders>
            <w:vAlign w:val="center"/>
          </w:tcPr>
          <w:p w:rsidR="00BB2BF6" w:rsidRDefault="007101D2" w:rsidP="00634590">
            <w:pPr>
              <w:jc w:val="right"/>
              <w:rPr>
                <w:color w:val="000000"/>
                <w:sz w:val="24"/>
                <w:szCs w:val="24"/>
              </w:rPr>
            </w:pPr>
            <w:r>
              <w:rPr>
                <w:color w:val="000000"/>
              </w:rPr>
              <w:t>42</w:t>
            </w:r>
            <w:r w:rsidR="0016636B">
              <w:rPr>
                <w:color w:val="000000"/>
              </w:rPr>
              <w:t>.00</w:t>
            </w:r>
          </w:p>
        </w:tc>
        <w:tc>
          <w:tcPr>
            <w:tcW w:w="437" w:type="pct"/>
            <w:tcBorders>
              <w:top w:val="nil"/>
              <w:left w:val="single" w:sz="4" w:space="0" w:color="auto"/>
              <w:bottom w:val="single" w:sz="4" w:space="0" w:color="auto"/>
              <w:right w:val="single" w:sz="4" w:space="0" w:color="auto"/>
            </w:tcBorders>
            <w:shd w:val="clear" w:color="auto" w:fill="auto"/>
            <w:vAlign w:val="center"/>
          </w:tcPr>
          <w:p w:rsidR="00BB2BF6" w:rsidRDefault="007101D2" w:rsidP="00634590">
            <w:pPr>
              <w:jc w:val="right"/>
              <w:rPr>
                <w:color w:val="000000"/>
                <w:sz w:val="24"/>
                <w:szCs w:val="24"/>
              </w:rPr>
            </w:pPr>
            <w:r>
              <w:rPr>
                <w:color w:val="000000"/>
              </w:rPr>
              <w:t>58.91</w:t>
            </w:r>
          </w:p>
        </w:tc>
        <w:tc>
          <w:tcPr>
            <w:tcW w:w="504" w:type="pct"/>
            <w:tcBorders>
              <w:top w:val="nil"/>
              <w:left w:val="single" w:sz="4" w:space="0" w:color="auto"/>
              <w:bottom w:val="single" w:sz="4" w:space="0" w:color="auto"/>
              <w:right w:val="single" w:sz="4" w:space="0" w:color="auto"/>
            </w:tcBorders>
            <w:vAlign w:val="center"/>
          </w:tcPr>
          <w:p w:rsidR="00BB2BF6" w:rsidRDefault="007101D2" w:rsidP="00634590">
            <w:pPr>
              <w:jc w:val="right"/>
              <w:rPr>
                <w:color w:val="000000"/>
                <w:sz w:val="24"/>
                <w:szCs w:val="24"/>
              </w:rPr>
            </w:pPr>
            <w:r>
              <w:rPr>
                <w:color w:val="000000"/>
              </w:rPr>
              <w:t>61.00</w:t>
            </w:r>
          </w:p>
        </w:tc>
        <w:tc>
          <w:tcPr>
            <w:tcW w:w="525" w:type="pct"/>
            <w:tcBorders>
              <w:top w:val="nil"/>
              <w:left w:val="single" w:sz="4" w:space="0" w:color="auto"/>
              <w:bottom w:val="single" w:sz="4" w:space="0" w:color="auto"/>
              <w:right w:val="single" w:sz="4" w:space="0" w:color="auto"/>
            </w:tcBorders>
            <w:shd w:val="clear" w:color="auto" w:fill="auto"/>
            <w:noWrap/>
          </w:tcPr>
          <w:p w:rsidR="00BB2BF6" w:rsidRDefault="007101D2" w:rsidP="00634590">
            <w:pPr>
              <w:keepNext/>
              <w:jc w:val="right"/>
              <w:rPr>
                <w:lang w:val="en-CA" w:eastAsia="en-CA"/>
              </w:rPr>
            </w:pPr>
            <w:r>
              <w:rPr>
                <w:lang w:val="en-CA" w:eastAsia="en-CA"/>
              </w:rPr>
              <w:t>74.54</w:t>
            </w:r>
          </w:p>
        </w:tc>
      </w:tr>
      <w:tr w:rsidR="00BB2BF6" w:rsidTr="0016636B">
        <w:tc>
          <w:tcPr>
            <w:tcW w:w="133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2BF6" w:rsidRDefault="007101D2" w:rsidP="00634590">
            <w:pPr>
              <w:widowControl w:val="0"/>
              <w:jc w:val="left"/>
              <w:rPr>
                <w:b/>
                <w:bCs/>
                <w:color w:val="000000"/>
              </w:rPr>
            </w:pPr>
            <w:r>
              <w:rPr>
                <w:b/>
                <w:bCs/>
                <w:color w:val="000000"/>
              </w:rPr>
              <w:t>ODP tonnes</w:t>
            </w:r>
          </w:p>
        </w:tc>
        <w:tc>
          <w:tcPr>
            <w:tcW w:w="475" w:type="pct"/>
            <w:tcBorders>
              <w:top w:val="single" w:sz="4" w:space="0" w:color="auto"/>
              <w:left w:val="nil"/>
              <w:bottom w:val="single" w:sz="4" w:space="0" w:color="auto"/>
              <w:right w:val="single" w:sz="4" w:space="0" w:color="auto"/>
            </w:tcBorders>
            <w:vAlign w:val="center"/>
          </w:tcPr>
          <w:p w:rsidR="00BB2BF6" w:rsidRDefault="007101D2" w:rsidP="00634590">
            <w:pPr>
              <w:jc w:val="right"/>
              <w:rPr>
                <w:color w:val="000000"/>
              </w:rPr>
            </w:pPr>
            <w:r>
              <w:rPr>
                <w:color w:val="000000"/>
              </w:rPr>
              <w:t>4.10</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BF6" w:rsidRDefault="007101D2" w:rsidP="00634590">
            <w:pPr>
              <w:jc w:val="right"/>
              <w:rPr>
                <w:color w:val="000000"/>
              </w:rPr>
            </w:pPr>
            <w:r>
              <w:rPr>
                <w:color w:val="000000"/>
              </w:rPr>
              <w:t>4.10</w:t>
            </w:r>
          </w:p>
        </w:tc>
        <w:tc>
          <w:tcPr>
            <w:tcW w:w="434" w:type="pct"/>
            <w:tcBorders>
              <w:top w:val="nil"/>
              <w:left w:val="nil"/>
              <w:bottom w:val="single" w:sz="4" w:space="0" w:color="auto"/>
              <w:right w:val="single" w:sz="4" w:space="0" w:color="auto"/>
            </w:tcBorders>
            <w:shd w:val="clear" w:color="auto" w:fill="auto"/>
            <w:noWrap/>
            <w:vAlign w:val="center"/>
          </w:tcPr>
          <w:p w:rsidR="00BB2BF6" w:rsidRDefault="007101D2" w:rsidP="00634590">
            <w:pPr>
              <w:jc w:val="right"/>
              <w:rPr>
                <w:color w:val="000000"/>
              </w:rPr>
            </w:pPr>
            <w:r>
              <w:rPr>
                <w:color w:val="000000"/>
              </w:rPr>
              <w:t>4.30</w:t>
            </w:r>
          </w:p>
        </w:tc>
        <w:tc>
          <w:tcPr>
            <w:tcW w:w="393" w:type="pct"/>
            <w:tcBorders>
              <w:top w:val="nil"/>
              <w:left w:val="nil"/>
              <w:bottom w:val="single" w:sz="4" w:space="0" w:color="auto"/>
              <w:right w:val="single" w:sz="4" w:space="0" w:color="auto"/>
            </w:tcBorders>
            <w:shd w:val="clear" w:color="auto" w:fill="auto"/>
            <w:noWrap/>
            <w:vAlign w:val="center"/>
          </w:tcPr>
          <w:p w:rsidR="00BB2BF6" w:rsidRDefault="007101D2" w:rsidP="00634590">
            <w:pPr>
              <w:jc w:val="right"/>
              <w:rPr>
                <w:color w:val="000000"/>
              </w:rPr>
            </w:pPr>
            <w:r>
              <w:rPr>
                <w:color w:val="000000"/>
              </w:rPr>
              <w:t>4.64</w:t>
            </w:r>
          </w:p>
        </w:tc>
        <w:tc>
          <w:tcPr>
            <w:tcW w:w="423" w:type="pct"/>
            <w:tcBorders>
              <w:top w:val="single" w:sz="4" w:space="0" w:color="auto"/>
              <w:left w:val="nil"/>
              <w:bottom w:val="single" w:sz="4" w:space="0" w:color="auto"/>
              <w:right w:val="single" w:sz="4" w:space="0" w:color="auto"/>
            </w:tcBorders>
            <w:vAlign w:val="center"/>
          </w:tcPr>
          <w:p w:rsidR="00BB2BF6" w:rsidRDefault="007101D2" w:rsidP="00634590">
            <w:pPr>
              <w:jc w:val="right"/>
              <w:rPr>
                <w:color w:val="000000"/>
              </w:rPr>
            </w:pPr>
            <w:r>
              <w:rPr>
                <w:color w:val="000000"/>
              </w:rPr>
              <w:t>2.31</w:t>
            </w:r>
          </w:p>
        </w:tc>
        <w:tc>
          <w:tcPr>
            <w:tcW w:w="437" w:type="pct"/>
            <w:tcBorders>
              <w:top w:val="nil"/>
              <w:left w:val="single" w:sz="4" w:space="0" w:color="auto"/>
              <w:bottom w:val="single" w:sz="4" w:space="0" w:color="auto"/>
              <w:right w:val="single" w:sz="4" w:space="0" w:color="auto"/>
            </w:tcBorders>
            <w:vAlign w:val="center"/>
          </w:tcPr>
          <w:p w:rsidR="00BB2BF6" w:rsidRDefault="007101D2" w:rsidP="00634590">
            <w:pPr>
              <w:jc w:val="right"/>
              <w:rPr>
                <w:color w:val="000000"/>
              </w:rPr>
            </w:pPr>
            <w:r>
              <w:rPr>
                <w:color w:val="000000"/>
              </w:rPr>
              <w:t>3.24</w:t>
            </w:r>
          </w:p>
        </w:tc>
        <w:tc>
          <w:tcPr>
            <w:tcW w:w="504" w:type="pct"/>
            <w:tcBorders>
              <w:top w:val="nil"/>
              <w:left w:val="single" w:sz="4" w:space="0" w:color="auto"/>
              <w:bottom w:val="single" w:sz="4" w:space="0" w:color="auto"/>
              <w:right w:val="single" w:sz="4" w:space="0" w:color="auto"/>
            </w:tcBorders>
            <w:vAlign w:val="center"/>
          </w:tcPr>
          <w:p w:rsidR="00BB2BF6" w:rsidRDefault="007101D2" w:rsidP="00634590">
            <w:pPr>
              <w:jc w:val="right"/>
              <w:rPr>
                <w:color w:val="000000"/>
              </w:rPr>
            </w:pPr>
            <w:r>
              <w:rPr>
                <w:color w:val="000000"/>
              </w:rPr>
              <w:t>3.36</w:t>
            </w:r>
          </w:p>
        </w:tc>
        <w:tc>
          <w:tcPr>
            <w:tcW w:w="525" w:type="pct"/>
            <w:tcBorders>
              <w:top w:val="nil"/>
              <w:left w:val="single" w:sz="4" w:space="0" w:color="auto"/>
              <w:bottom w:val="single" w:sz="4" w:space="0" w:color="auto"/>
              <w:right w:val="single" w:sz="4" w:space="0" w:color="auto"/>
            </w:tcBorders>
            <w:shd w:val="clear" w:color="auto" w:fill="auto"/>
            <w:noWrap/>
            <w:vAlign w:val="center"/>
            <w:hideMark/>
          </w:tcPr>
          <w:p w:rsidR="00BB2BF6" w:rsidRDefault="007101D2" w:rsidP="00634590">
            <w:pPr>
              <w:jc w:val="right"/>
              <w:rPr>
                <w:color w:val="000000"/>
              </w:rPr>
            </w:pPr>
            <w:r>
              <w:rPr>
                <w:color w:val="000000"/>
              </w:rPr>
              <w:t>4.10</w:t>
            </w:r>
          </w:p>
        </w:tc>
      </w:tr>
    </w:tbl>
    <w:p w:rsidR="00BB2BF6" w:rsidRPr="00C22111" w:rsidRDefault="00BB2BF6" w:rsidP="00634590">
      <w:pPr>
        <w:widowControl w:val="0"/>
        <w:jc w:val="left"/>
        <w:rPr>
          <w:b/>
          <w:bCs/>
          <w:color w:val="000000"/>
          <w:lang w:eastAsia="en-CA"/>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CA"/>
        </w:rPr>
      </w:pPr>
      <w:r w:rsidRPr="00C22111">
        <w:rPr>
          <w:lang w:val="en-CA"/>
        </w:rPr>
        <w:t>There are approximately 40,000 units of RAC equipment installed in the country, of which approximately 90 per cent use HCFC-22. The distribution of equipment is presented in Table 2.</w:t>
      </w:r>
    </w:p>
    <w:p w:rsidR="00BB2BF6" w:rsidRDefault="007101D2" w:rsidP="00634590">
      <w:pPr>
        <w:keepNext/>
        <w:rPr>
          <w:b/>
        </w:rPr>
      </w:pPr>
      <w:r>
        <w:rPr>
          <w:b/>
        </w:rPr>
        <w:lastRenderedPageBreak/>
        <w:t>Table 2: HCFC-22 consumption by sector based on the survey</w:t>
      </w:r>
    </w:p>
    <w:tbl>
      <w:tblPr>
        <w:tblW w:w="5000" w:type="pct"/>
        <w:tblLook w:val="04A0" w:firstRow="1" w:lastRow="0" w:firstColumn="1" w:lastColumn="0" w:noHBand="0" w:noVBand="1"/>
      </w:tblPr>
      <w:tblGrid>
        <w:gridCol w:w="2429"/>
        <w:gridCol w:w="991"/>
        <w:gridCol w:w="990"/>
        <w:gridCol w:w="1643"/>
        <w:gridCol w:w="988"/>
        <w:gridCol w:w="988"/>
        <w:gridCol w:w="1547"/>
      </w:tblGrid>
      <w:tr w:rsidR="00BB2BF6" w:rsidRPr="00C22111" w:rsidTr="0016636B">
        <w:trPr>
          <w:trHeight w:val="341"/>
        </w:trPr>
        <w:tc>
          <w:tcPr>
            <w:tcW w:w="12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Type of equipment</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Number of units</w:t>
            </w:r>
          </w:p>
        </w:tc>
        <w:tc>
          <w:tcPr>
            <w:tcW w:w="517" w:type="pct"/>
            <w:tcBorders>
              <w:top w:val="single" w:sz="4" w:space="0" w:color="auto"/>
              <w:left w:val="nil"/>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Average charge</w:t>
            </w:r>
          </w:p>
        </w:tc>
        <w:tc>
          <w:tcPr>
            <w:tcW w:w="858" w:type="pct"/>
            <w:tcBorders>
              <w:top w:val="single" w:sz="4" w:space="0" w:color="auto"/>
              <w:left w:val="nil"/>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Total installed refrigerant</w:t>
            </w:r>
          </w:p>
        </w:tc>
        <w:tc>
          <w:tcPr>
            <w:tcW w:w="516" w:type="pct"/>
            <w:tcBorders>
              <w:top w:val="single" w:sz="4" w:space="0" w:color="auto"/>
              <w:left w:val="nil"/>
              <w:bottom w:val="single" w:sz="4" w:space="0" w:color="auto"/>
              <w:right w:val="single" w:sz="4" w:space="0" w:color="auto"/>
            </w:tcBorders>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Leakage rate</w:t>
            </w:r>
          </w:p>
        </w:tc>
        <w:tc>
          <w:tcPr>
            <w:tcW w:w="1324" w:type="pct"/>
            <w:gridSpan w:val="2"/>
            <w:tcBorders>
              <w:top w:val="single" w:sz="4" w:space="0" w:color="auto"/>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Estimated servicing needs</w:t>
            </w:r>
          </w:p>
        </w:tc>
      </w:tr>
      <w:tr w:rsidR="00BB2BF6" w:rsidRPr="00C22111" w:rsidTr="0016636B">
        <w:trPr>
          <w:trHeight w:val="45"/>
        </w:trPr>
        <w:tc>
          <w:tcPr>
            <w:tcW w:w="1268" w:type="pct"/>
            <w:vMerge/>
            <w:tcBorders>
              <w:top w:val="single" w:sz="4" w:space="0" w:color="auto"/>
              <w:left w:val="single" w:sz="4" w:space="0" w:color="auto"/>
              <w:bottom w:val="single" w:sz="4" w:space="0" w:color="auto"/>
              <w:right w:val="single" w:sz="4" w:space="0" w:color="auto"/>
            </w:tcBorders>
            <w:hideMark/>
          </w:tcPr>
          <w:p w:rsidR="00BB2BF6" w:rsidRPr="00C22111" w:rsidRDefault="00BB2BF6" w:rsidP="00634590">
            <w:pPr>
              <w:keepNext/>
              <w:jc w:val="center"/>
              <w:rPr>
                <w:b/>
                <w:bCs/>
                <w:color w:val="000000"/>
                <w:sz w:val="20"/>
                <w:szCs w:val="20"/>
                <w:lang w:eastAsia="zh-CN"/>
              </w:rPr>
            </w:pPr>
          </w:p>
        </w:tc>
        <w:tc>
          <w:tcPr>
            <w:tcW w:w="517" w:type="pct"/>
            <w:vMerge/>
            <w:tcBorders>
              <w:top w:val="single" w:sz="4" w:space="0" w:color="auto"/>
              <w:left w:val="single" w:sz="4" w:space="0" w:color="auto"/>
              <w:bottom w:val="single" w:sz="4" w:space="0" w:color="auto"/>
              <w:right w:val="single" w:sz="4" w:space="0" w:color="auto"/>
            </w:tcBorders>
            <w:hideMark/>
          </w:tcPr>
          <w:p w:rsidR="00BB2BF6" w:rsidRPr="00C22111" w:rsidRDefault="00BB2BF6" w:rsidP="00634590">
            <w:pPr>
              <w:keepNext/>
              <w:jc w:val="center"/>
              <w:rPr>
                <w:b/>
                <w:bCs/>
                <w:color w:val="000000"/>
                <w:sz w:val="20"/>
                <w:szCs w:val="20"/>
                <w:lang w:eastAsia="zh-CN"/>
              </w:rPr>
            </w:pPr>
          </w:p>
        </w:tc>
        <w:tc>
          <w:tcPr>
            <w:tcW w:w="517" w:type="pct"/>
            <w:tcBorders>
              <w:top w:val="nil"/>
              <w:left w:val="nil"/>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(kg/unit)</w:t>
            </w:r>
          </w:p>
        </w:tc>
        <w:tc>
          <w:tcPr>
            <w:tcW w:w="858" w:type="pct"/>
            <w:tcBorders>
              <w:top w:val="nil"/>
              <w:left w:val="nil"/>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(mt)</w:t>
            </w:r>
          </w:p>
        </w:tc>
        <w:tc>
          <w:tcPr>
            <w:tcW w:w="516" w:type="pct"/>
            <w:tcBorders>
              <w:top w:val="single" w:sz="4" w:space="0" w:color="auto"/>
              <w:left w:val="nil"/>
              <w:bottom w:val="single" w:sz="4" w:space="0" w:color="auto"/>
              <w:right w:val="single" w:sz="4" w:space="0" w:color="auto"/>
            </w:tcBorders>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w:t>
            </w:r>
          </w:p>
        </w:tc>
        <w:tc>
          <w:tcPr>
            <w:tcW w:w="516" w:type="pct"/>
            <w:tcBorders>
              <w:top w:val="nil"/>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(mt)</w:t>
            </w:r>
          </w:p>
        </w:tc>
        <w:tc>
          <w:tcPr>
            <w:tcW w:w="808" w:type="pct"/>
            <w:tcBorders>
              <w:top w:val="nil"/>
              <w:left w:val="nil"/>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(ODP tonnes)</w:t>
            </w:r>
          </w:p>
        </w:tc>
      </w:tr>
      <w:tr w:rsidR="00BB2BF6" w:rsidRPr="00C22111" w:rsidTr="0016636B">
        <w:trPr>
          <w:trHeight w:val="44"/>
        </w:trPr>
        <w:tc>
          <w:tcPr>
            <w:tcW w:w="1268" w:type="pct"/>
            <w:tcBorders>
              <w:top w:val="nil"/>
              <w:left w:val="single" w:sz="4" w:space="0" w:color="auto"/>
              <w:bottom w:val="nil"/>
              <w:right w:val="single" w:sz="4" w:space="0" w:color="auto"/>
            </w:tcBorders>
            <w:shd w:val="clear" w:color="auto" w:fill="auto"/>
            <w:hideMark/>
          </w:tcPr>
          <w:p w:rsidR="00BB2BF6" w:rsidRPr="00C22111" w:rsidRDefault="007101D2" w:rsidP="00634590">
            <w:pPr>
              <w:keepNext/>
              <w:jc w:val="left"/>
              <w:rPr>
                <w:color w:val="000000"/>
                <w:sz w:val="20"/>
                <w:szCs w:val="20"/>
                <w:lang w:eastAsia="zh-CN"/>
              </w:rPr>
            </w:pPr>
            <w:r w:rsidRPr="00C22111">
              <w:rPr>
                <w:color w:val="000000"/>
                <w:sz w:val="20"/>
                <w:szCs w:val="20"/>
                <w:lang w:eastAsia="zh-CN"/>
              </w:rPr>
              <w:t>Commercial refrigerators, display cabinet, chest freezers</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8,000</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2</w:t>
            </w:r>
            <w:r w:rsidR="0016636B" w:rsidRPr="00C22111">
              <w:rPr>
                <w:color w:val="000000"/>
                <w:sz w:val="20"/>
                <w:szCs w:val="20"/>
                <w:lang w:eastAsia="zh-CN"/>
              </w:rPr>
              <w:t>.0</w:t>
            </w:r>
          </w:p>
        </w:tc>
        <w:tc>
          <w:tcPr>
            <w:tcW w:w="85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16.00</w:t>
            </w:r>
          </w:p>
        </w:tc>
        <w:tc>
          <w:tcPr>
            <w:tcW w:w="516" w:type="pct"/>
            <w:tcBorders>
              <w:top w:val="single" w:sz="4" w:space="0" w:color="auto"/>
              <w:left w:val="nil"/>
              <w:bottom w:val="single" w:sz="4" w:space="0" w:color="auto"/>
              <w:right w:val="single" w:sz="4" w:space="0" w:color="auto"/>
            </w:tcBorders>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20</w:t>
            </w:r>
          </w:p>
        </w:tc>
        <w:tc>
          <w:tcPr>
            <w:tcW w:w="516" w:type="pct"/>
            <w:tcBorders>
              <w:top w:val="nil"/>
              <w:left w:val="single" w:sz="4" w:space="0" w:color="auto"/>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3.20</w:t>
            </w:r>
          </w:p>
        </w:tc>
        <w:tc>
          <w:tcPr>
            <w:tcW w:w="80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0.18</w:t>
            </w:r>
          </w:p>
        </w:tc>
      </w:tr>
      <w:tr w:rsidR="00BB2BF6" w:rsidRPr="00C22111" w:rsidTr="0016636B">
        <w:trPr>
          <w:trHeight w:val="42"/>
        </w:trPr>
        <w:tc>
          <w:tcPr>
            <w:tcW w:w="1268" w:type="pct"/>
            <w:tcBorders>
              <w:top w:val="single" w:sz="4" w:space="0" w:color="auto"/>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left"/>
              <w:rPr>
                <w:color w:val="000000"/>
                <w:sz w:val="20"/>
                <w:szCs w:val="20"/>
                <w:lang w:eastAsia="zh-CN"/>
              </w:rPr>
            </w:pPr>
            <w:r w:rsidRPr="00C22111">
              <w:rPr>
                <w:color w:val="000000"/>
                <w:sz w:val="20"/>
                <w:szCs w:val="20"/>
                <w:lang w:eastAsia="zh-CN"/>
              </w:rPr>
              <w:t>Cold stores and bice making</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10</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6</w:t>
            </w:r>
            <w:r w:rsidR="0016636B" w:rsidRPr="00C22111">
              <w:rPr>
                <w:color w:val="000000"/>
                <w:sz w:val="20"/>
                <w:szCs w:val="20"/>
                <w:lang w:eastAsia="zh-CN"/>
              </w:rPr>
              <w:t>.0</w:t>
            </w:r>
          </w:p>
        </w:tc>
        <w:tc>
          <w:tcPr>
            <w:tcW w:w="85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0.06</w:t>
            </w:r>
          </w:p>
        </w:tc>
        <w:tc>
          <w:tcPr>
            <w:tcW w:w="516" w:type="pct"/>
            <w:tcBorders>
              <w:top w:val="single" w:sz="4" w:space="0" w:color="auto"/>
              <w:left w:val="single" w:sz="4" w:space="0" w:color="auto"/>
              <w:bottom w:val="single" w:sz="4" w:space="0" w:color="auto"/>
              <w:right w:val="single" w:sz="4" w:space="0" w:color="auto"/>
            </w:tcBorders>
          </w:tcPr>
          <w:p w:rsidR="00BB2BF6" w:rsidRPr="00C22111" w:rsidRDefault="0016636B" w:rsidP="00634590">
            <w:pPr>
              <w:keepNext/>
              <w:jc w:val="center"/>
              <w:rPr>
                <w:color w:val="000000"/>
                <w:sz w:val="20"/>
                <w:szCs w:val="20"/>
                <w:lang w:eastAsia="zh-CN"/>
              </w:rPr>
            </w:pPr>
            <w:r w:rsidRPr="00C22111">
              <w:rPr>
                <w:color w:val="000000"/>
                <w:sz w:val="20"/>
                <w:szCs w:val="20"/>
                <w:lang w:eastAsia="zh-CN"/>
              </w:rPr>
              <w:t>85</w:t>
            </w:r>
          </w:p>
        </w:tc>
        <w:tc>
          <w:tcPr>
            <w:tcW w:w="516" w:type="pct"/>
            <w:tcBorders>
              <w:top w:val="nil"/>
              <w:left w:val="single" w:sz="4" w:space="0" w:color="auto"/>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0.05</w:t>
            </w:r>
          </w:p>
        </w:tc>
        <w:tc>
          <w:tcPr>
            <w:tcW w:w="80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0.00</w:t>
            </w:r>
          </w:p>
        </w:tc>
      </w:tr>
      <w:tr w:rsidR="00BB2BF6" w:rsidRPr="00C22111" w:rsidTr="0016636B">
        <w:trPr>
          <w:trHeight w:val="42"/>
        </w:trPr>
        <w:tc>
          <w:tcPr>
            <w:tcW w:w="1268" w:type="pct"/>
            <w:tcBorders>
              <w:top w:val="nil"/>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left"/>
              <w:rPr>
                <w:color w:val="000000"/>
                <w:sz w:val="20"/>
                <w:szCs w:val="20"/>
                <w:lang w:eastAsia="zh-CN"/>
              </w:rPr>
            </w:pPr>
            <w:r w:rsidRPr="00C22111">
              <w:rPr>
                <w:color w:val="000000"/>
                <w:sz w:val="20"/>
                <w:szCs w:val="20"/>
                <w:lang w:eastAsia="zh-CN"/>
              </w:rPr>
              <w:t>Window AC</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7,000</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2.0</w:t>
            </w:r>
          </w:p>
        </w:tc>
        <w:tc>
          <w:tcPr>
            <w:tcW w:w="85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14.00</w:t>
            </w:r>
          </w:p>
        </w:tc>
        <w:tc>
          <w:tcPr>
            <w:tcW w:w="516" w:type="pct"/>
            <w:tcBorders>
              <w:top w:val="single" w:sz="4" w:space="0" w:color="auto"/>
              <w:left w:val="nil"/>
              <w:bottom w:val="single" w:sz="4" w:space="0" w:color="auto"/>
              <w:right w:val="single" w:sz="4" w:space="0" w:color="auto"/>
            </w:tcBorders>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10</w:t>
            </w:r>
          </w:p>
        </w:tc>
        <w:tc>
          <w:tcPr>
            <w:tcW w:w="516" w:type="pct"/>
            <w:tcBorders>
              <w:top w:val="nil"/>
              <w:left w:val="single" w:sz="4" w:space="0" w:color="auto"/>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1.40</w:t>
            </w:r>
          </w:p>
        </w:tc>
        <w:tc>
          <w:tcPr>
            <w:tcW w:w="80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0.08</w:t>
            </w:r>
          </w:p>
        </w:tc>
      </w:tr>
      <w:tr w:rsidR="00BB2BF6" w:rsidRPr="00C22111" w:rsidTr="0016636B">
        <w:trPr>
          <w:trHeight w:val="42"/>
        </w:trPr>
        <w:tc>
          <w:tcPr>
            <w:tcW w:w="1268" w:type="pct"/>
            <w:tcBorders>
              <w:top w:val="nil"/>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left"/>
              <w:rPr>
                <w:color w:val="000000"/>
                <w:sz w:val="20"/>
                <w:szCs w:val="20"/>
                <w:lang w:eastAsia="zh-CN"/>
              </w:rPr>
            </w:pPr>
            <w:r w:rsidRPr="00C22111">
              <w:rPr>
                <w:color w:val="000000"/>
                <w:sz w:val="20"/>
                <w:szCs w:val="20"/>
                <w:lang w:eastAsia="zh-CN"/>
              </w:rPr>
              <w:t>Split AC</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21,000</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1.2</w:t>
            </w:r>
          </w:p>
        </w:tc>
        <w:tc>
          <w:tcPr>
            <w:tcW w:w="85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25.20</w:t>
            </w:r>
          </w:p>
        </w:tc>
        <w:tc>
          <w:tcPr>
            <w:tcW w:w="516" w:type="pct"/>
            <w:tcBorders>
              <w:top w:val="single" w:sz="4" w:space="0" w:color="auto"/>
              <w:left w:val="nil"/>
              <w:bottom w:val="single" w:sz="4" w:space="0" w:color="auto"/>
              <w:right w:val="single" w:sz="4" w:space="0" w:color="auto"/>
            </w:tcBorders>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25</w:t>
            </w:r>
            <w:r w:rsidR="0016636B" w:rsidRPr="00C22111">
              <w:rPr>
                <w:color w:val="000000"/>
                <w:sz w:val="20"/>
                <w:szCs w:val="20"/>
                <w:lang w:eastAsia="zh-CN"/>
              </w:rPr>
              <w:t>0</w:t>
            </w:r>
          </w:p>
        </w:tc>
        <w:tc>
          <w:tcPr>
            <w:tcW w:w="516" w:type="pct"/>
            <w:tcBorders>
              <w:top w:val="nil"/>
              <w:left w:val="single" w:sz="4" w:space="0" w:color="auto"/>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63.75</w:t>
            </w:r>
          </w:p>
        </w:tc>
        <w:tc>
          <w:tcPr>
            <w:tcW w:w="80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3.51</w:t>
            </w:r>
          </w:p>
        </w:tc>
      </w:tr>
      <w:tr w:rsidR="00BB2BF6" w:rsidRPr="00C22111" w:rsidTr="0016636B">
        <w:trPr>
          <w:trHeight w:val="42"/>
        </w:trPr>
        <w:tc>
          <w:tcPr>
            <w:tcW w:w="1268" w:type="pct"/>
            <w:tcBorders>
              <w:top w:val="nil"/>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left"/>
              <w:rPr>
                <w:color w:val="000000"/>
                <w:sz w:val="20"/>
                <w:szCs w:val="20"/>
                <w:lang w:eastAsia="zh-CN"/>
              </w:rPr>
            </w:pPr>
            <w:r w:rsidRPr="00C22111">
              <w:rPr>
                <w:color w:val="000000"/>
                <w:sz w:val="20"/>
                <w:szCs w:val="20"/>
                <w:lang w:eastAsia="zh-CN"/>
              </w:rPr>
              <w:t>Central AC system/chillers</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12</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8</w:t>
            </w:r>
            <w:r w:rsidR="0016636B" w:rsidRPr="00C22111">
              <w:rPr>
                <w:color w:val="000000"/>
                <w:sz w:val="20"/>
                <w:szCs w:val="20"/>
                <w:lang w:eastAsia="zh-CN"/>
              </w:rPr>
              <w:t>.0</w:t>
            </w:r>
          </w:p>
        </w:tc>
        <w:tc>
          <w:tcPr>
            <w:tcW w:w="85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0.096</w:t>
            </w:r>
          </w:p>
        </w:tc>
        <w:tc>
          <w:tcPr>
            <w:tcW w:w="516" w:type="pct"/>
            <w:tcBorders>
              <w:top w:val="single" w:sz="4" w:space="0" w:color="auto"/>
              <w:left w:val="nil"/>
              <w:bottom w:val="single" w:sz="4" w:space="0" w:color="auto"/>
              <w:right w:val="single" w:sz="4" w:space="0" w:color="auto"/>
            </w:tcBorders>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5</w:t>
            </w:r>
            <w:r w:rsidR="0016636B" w:rsidRPr="00C22111">
              <w:rPr>
                <w:color w:val="000000"/>
                <w:sz w:val="20"/>
                <w:szCs w:val="20"/>
                <w:lang w:eastAsia="zh-CN"/>
              </w:rPr>
              <w:t>0</w:t>
            </w:r>
          </w:p>
        </w:tc>
        <w:tc>
          <w:tcPr>
            <w:tcW w:w="516" w:type="pct"/>
            <w:tcBorders>
              <w:top w:val="nil"/>
              <w:left w:val="single" w:sz="4" w:space="0" w:color="auto"/>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0.05</w:t>
            </w:r>
          </w:p>
        </w:tc>
        <w:tc>
          <w:tcPr>
            <w:tcW w:w="80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0.00</w:t>
            </w:r>
          </w:p>
        </w:tc>
      </w:tr>
      <w:tr w:rsidR="00BB2BF6" w:rsidRPr="00C22111" w:rsidTr="0016636B">
        <w:trPr>
          <w:trHeight w:val="42"/>
        </w:trPr>
        <w:tc>
          <w:tcPr>
            <w:tcW w:w="1268" w:type="pct"/>
            <w:tcBorders>
              <w:top w:val="nil"/>
              <w:left w:val="single" w:sz="4" w:space="0" w:color="auto"/>
              <w:bottom w:val="single" w:sz="4" w:space="0" w:color="auto"/>
              <w:right w:val="single" w:sz="4" w:space="0" w:color="auto"/>
            </w:tcBorders>
            <w:shd w:val="clear" w:color="auto" w:fill="auto"/>
            <w:hideMark/>
          </w:tcPr>
          <w:p w:rsidR="00BB2BF6" w:rsidRPr="00C22111" w:rsidRDefault="007101D2" w:rsidP="00634590">
            <w:pPr>
              <w:keepNext/>
              <w:jc w:val="center"/>
              <w:rPr>
                <w:b/>
                <w:bCs/>
                <w:color w:val="000000"/>
                <w:sz w:val="20"/>
                <w:szCs w:val="20"/>
                <w:lang w:eastAsia="zh-CN"/>
              </w:rPr>
            </w:pPr>
            <w:r w:rsidRPr="00C22111">
              <w:rPr>
                <w:b/>
                <w:bCs/>
                <w:color w:val="000000"/>
                <w:sz w:val="20"/>
                <w:szCs w:val="20"/>
                <w:lang w:eastAsia="zh-CN"/>
              </w:rPr>
              <w:t>Total</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36,022</w:t>
            </w:r>
          </w:p>
        </w:tc>
        <w:tc>
          <w:tcPr>
            <w:tcW w:w="517" w:type="pct"/>
            <w:tcBorders>
              <w:top w:val="nil"/>
              <w:left w:val="nil"/>
              <w:bottom w:val="single" w:sz="4" w:space="0" w:color="auto"/>
              <w:right w:val="single" w:sz="4" w:space="0" w:color="auto"/>
            </w:tcBorders>
            <w:shd w:val="clear" w:color="auto" w:fill="auto"/>
            <w:noWrap/>
            <w:hideMark/>
          </w:tcPr>
          <w:p w:rsidR="00BB2BF6" w:rsidRPr="00C22111" w:rsidRDefault="00BB2BF6" w:rsidP="00634590">
            <w:pPr>
              <w:keepNext/>
              <w:jc w:val="center"/>
              <w:rPr>
                <w:color w:val="000000"/>
                <w:sz w:val="20"/>
                <w:szCs w:val="20"/>
                <w:lang w:eastAsia="zh-CN"/>
              </w:rPr>
            </w:pPr>
          </w:p>
        </w:tc>
        <w:tc>
          <w:tcPr>
            <w:tcW w:w="85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55.36</w:t>
            </w:r>
          </w:p>
        </w:tc>
        <w:tc>
          <w:tcPr>
            <w:tcW w:w="516" w:type="pct"/>
            <w:tcBorders>
              <w:top w:val="single" w:sz="4" w:space="0" w:color="auto"/>
              <w:left w:val="nil"/>
              <w:bottom w:val="single" w:sz="4" w:space="0" w:color="auto"/>
              <w:right w:val="single" w:sz="4" w:space="0" w:color="auto"/>
            </w:tcBorders>
          </w:tcPr>
          <w:p w:rsidR="00BB2BF6" w:rsidRPr="00C22111" w:rsidRDefault="00BB2BF6" w:rsidP="00634590">
            <w:pPr>
              <w:keepNext/>
              <w:jc w:val="center"/>
              <w:rPr>
                <w:color w:val="000000"/>
                <w:sz w:val="20"/>
                <w:szCs w:val="20"/>
                <w:lang w:eastAsia="zh-CN"/>
              </w:rPr>
            </w:pPr>
          </w:p>
        </w:tc>
        <w:tc>
          <w:tcPr>
            <w:tcW w:w="516" w:type="pct"/>
            <w:tcBorders>
              <w:top w:val="nil"/>
              <w:left w:val="single" w:sz="4" w:space="0" w:color="auto"/>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68.45</w:t>
            </w:r>
          </w:p>
        </w:tc>
        <w:tc>
          <w:tcPr>
            <w:tcW w:w="808" w:type="pct"/>
            <w:tcBorders>
              <w:top w:val="nil"/>
              <w:left w:val="nil"/>
              <w:bottom w:val="single" w:sz="4" w:space="0" w:color="auto"/>
              <w:right w:val="single" w:sz="4" w:space="0" w:color="auto"/>
            </w:tcBorders>
            <w:shd w:val="clear" w:color="auto" w:fill="auto"/>
            <w:noWrap/>
            <w:hideMark/>
          </w:tcPr>
          <w:p w:rsidR="00BB2BF6" w:rsidRPr="00C22111" w:rsidRDefault="007101D2" w:rsidP="00634590">
            <w:pPr>
              <w:keepNext/>
              <w:jc w:val="center"/>
              <w:rPr>
                <w:color w:val="000000"/>
                <w:sz w:val="20"/>
                <w:szCs w:val="20"/>
                <w:lang w:eastAsia="zh-CN"/>
              </w:rPr>
            </w:pPr>
            <w:r w:rsidRPr="00C22111">
              <w:rPr>
                <w:color w:val="000000"/>
                <w:sz w:val="20"/>
                <w:szCs w:val="20"/>
                <w:lang w:eastAsia="zh-CN"/>
              </w:rPr>
              <w:t>3.77</w:t>
            </w:r>
          </w:p>
        </w:tc>
      </w:tr>
    </w:tbl>
    <w:p w:rsidR="00BB2BF6" w:rsidRPr="00C22111" w:rsidRDefault="00BB2BF6" w:rsidP="00634590">
      <w:pPr>
        <w:rPr>
          <w:b/>
        </w:rPr>
      </w:pPr>
    </w:p>
    <w:p w:rsidR="00BB2BF6" w:rsidRDefault="007101D2" w:rsidP="00634590">
      <w:pPr>
        <w:keepNext/>
        <w:rPr>
          <w:u w:val="single"/>
        </w:rPr>
      </w:pPr>
      <w:r w:rsidRPr="00C22111">
        <w:rPr>
          <w:u w:val="single"/>
        </w:rPr>
        <w:t>Forecast of HCFC consumption</w:t>
      </w:r>
    </w:p>
    <w:p w:rsidR="00634590" w:rsidRPr="00C22111" w:rsidRDefault="00634590" w:rsidP="00634590">
      <w:pPr>
        <w:keepNext/>
        <w:rPr>
          <w:u w:val="single"/>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eastAsia="en-CA"/>
        </w:rPr>
      </w:pPr>
      <w:r w:rsidRPr="00C22111">
        <w:t xml:space="preserve">Economic development has been uneven in South Sudan since its independence due to the civil conflicts affecting oil production. If the stability continues and oil production recovers, the economy is expected to grow rapidly, with forecast growth of 8 per cent in HCFC consumption under the unconstrained scenario based on the need for servicing RAC equipment. </w:t>
      </w:r>
    </w:p>
    <w:p w:rsidR="00BB2BF6" w:rsidRDefault="007101D2" w:rsidP="00634590">
      <w:pPr>
        <w:keepNext/>
        <w:rPr>
          <w:u w:val="single"/>
          <w:lang w:val="en-CA"/>
        </w:rPr>
      </w:pPr>
      <w:r w:rsidRPr="00C22111">
        <w:rPr>
          <w:u w:val="single"/>
          <w:lang w:val="en-CA"/>
        </w:rPr>
        <w:t>HCFC phase-out strategy</w:t>
      </w:r>
    </w:p>
    <w:p w:rsidR="00634590" w:rsidRPr="00C22111" w:rsidRDefault="00634590" w:rsidP="00634590">
      <w:pPr>
        <w:keepNext/>
        <w:rPr>
          <w:u w:val="single"/>
          <w:lang w:val="en-CA"/>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CA"/>
        </w:rPr>
      </w:pPr>
      <w:r w:rsidRPr="00C22111">
        <w:rPr>
          <w:lang w:val="en-CA"/>
        </w:rPr>
        <w:t xml:space="preserve">The Government of South Sudan will follow the Montreal Protocol reduction schedule and adopt a staged approach to phase out HCFCs. The Government proposes to achieve compliance with the Montreal Protocol control targets up to 2020 through the implementation of stage I of the HPMP, and will focus on activities in the RAC servicing sector. </w:t>
      </w: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 xml:space="preserve">During stage I, the Government will further strengthen the legal framework through the development of regulations to provide stronger support for the implementation of the licensing and quota system. </w:t>
      </w:r>
      <w:r w:rsidR="0016636B" w:rsidRPr="00C22111">
        <w:t>A</w:t>
      </w:r>
      <w:r w:rsidRPr="00C22111">
        <w:t xml:space="preserve"> comprehensive database will be developed covering the HCFC importers, major HCFC equipment installed in the country,</w:t>
      </w:r>
      <w:r w:rsidR="0016636B" w:rsidRPr="00C22111">
        <w:t xml:space="preserve"> and</w:t>
      </w:r>
      <w:r w:rsidRPr="00C22111">
        <w:t xml:space="preserve"> service workshops and commercial users. Training of customs officers and provision of refrigerant identifiers will facilitate the detection of ODS and better monitoring of HCFC imports. Training of technicians and provision of servicing tools will enable good servicing practices and reducing the demand for HCFCs. The Government will also train technicians in servicing equipment with low-</w:t>
      </w:r>
      <w:r w:rsidR="007002A6" w:rsidRPr="00C22111">
        <w:t>global warming potential (</w:t>
      </w:r>
      <w:r w:rsidRPr="00C22111">
        <w:t>GWP</w:t>
      </w:r>
      <w:r w:rsidR="007002A6" w:rsidRPr="00C22111">
        <w:t>)</w:t>
      </w:r>
      <w:r w:rsidRPr="00C22111">
        <w:t xml:space="preserve"> alternatives.</w:t>
      </w:r>
    </w:p>
    <w:p w:rsidR="00BB2BF6" w:rsidRDefault="007101D2" w:rsidP="00634590">
      <w:pPr>
        <w:keepNext/>
        <w:keepLines/>
        <w:rPr>
          <w:u w:val="single"/>
        </w:rPr>
      </w:pPr>
      <w:r w:rsidRPr="00C22111">
        <w:rPr>
          <w:u w:val="single"/>
        </w:rPr>
        <w:t>Monitoring and coordination</w:t>
      </w:r>
    </w:p>
    <w:p w:rsidR="00634590" w:rsidRPr="00C22111" w:rsidRDefault="00634590" w:rsidP="00634590">
      <w:pPr>
        <w:keepNext/>
        <w:keepLines/>
        <w:rPr>
          <w:u w:val="single"/>
        </w:rPr>
      </w:pPr>
    </w:p>
    <w:p w:rsidR="00BB2BF6" w:rsidRPr="00C22111" w:rsidRDefault="007101D2" w:rsidP="00634590">
      <w:pPr>
        <w:pStyle w:val="Heading1"/>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The NOU, with the assistance of UNEP, will be responsible for coordinating, monitoring and reporting the progress of HPMP implementation.</w:t>
      </w:r>
    </w:p>
    <w:p w:rsidR="00BB2BF6" w:rsidRDefault="007101D2" w:rsidP="00634590">
      <w:pPr>
        <w:keepNext/>
        <w:rPr>
          <w:u w:val="single"/>
          <w:lang w:val="en-CA"/>
        </w:rPr>
      </w:pPr>
      <w:r w:rsidRPr="00C22111">
        <w:rPr>
          <w:u w:val="single"/>
          <w:lang w:val="en-CA"/>
        </w:rPr>
        <w:t>Overall cost of stage II of the HPMP</w:t>
      </w:r>
    </w:p>
    <w:p w:rsidR="00634590" w:rsidRPr="00C22111" w:rsidRDefault="00634590" w:rsidP="00634590">
      <w:pPr>
        <w:keepNext/>
        <w:rPr>
          <w:u w:val="single"/>
          <w:lang w:val="en-CA"/>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CA"/>
        </w:rPr>
      </w:pPr>
      <w:r w:rsidRPr="00C22111">
        <w:rPr>
          <w:lang w:val="en-CA"/>
        </w:rPr>
        <w:t>The total cost of stage I of the HPMP has been estimated at US $315,000 to achieve a 35 per cent reduction in HCFC consumption by 2020, as shown in Table 3. This will result in the phase-out of 26.09 mt (1.44 ODP tonnes) of HCFCs.</w:t>
      </w:r>
    </w:p>
    <w:p w:rsidR="00BB2BF6" w:rsidRDefault="007101D2" w:rsidP="00634590">
      <w:pPr>
        <w:pStyle w:val="Heading1"/>
        <w:keepNext/>
        <w:numPr>
          <w:ilvl w:val="0"/>
          <w:numId w:val="0"/>
        </w:numPr>
        <w:spacing w:after="0"/>
        <w:rPr>
          <w:b/>
          <w:lang w:val="en-CA"/>
        </w:rPr>
      </w:pPr>
      <w:r>
        <w:rPr>
          <w:b/>
          <w:lang w:val="en-CA"/>
        </w:rPr>
        <w:t xml:space="preserve">Table 3: </w:t>
      </w:r>
      <w:r>
        <w:rPr>
          <w:b/>
          <w:sz w:val="21"/>
          <w:szCs w:val="21"/>
        </w:rPr>
        <w:t>Overall cost of stage I of the HPMP for South Sudan</w:t>
      </w:r>
    </w:p>
    <w:tbl>
      <w:tblPr>
        <w:tblW w:w="9520" w:type="dxa"/>
        <w:tblInd w:w="103" w:type="dxa"/>
        <w:tblLayout w:type="fixed"/>
        <w:tblLook w:val="04A0" w:firstRow="1" w:lastRow="0" w:firstColumn="1" w:lastColumn="0" w:noHBand="0" w:noVBand="1"/>
      </w:tblPr>
      <w:tblGrid>
        <w:gridCol w:w="4955"/>
        <w:gridCol w:w="900"/>
        <w:gridCol w:w="900"/>
        <w:gridCol w:w="900"/>
        <w:gridCol w:w="905"/>
        <w:gridCol w:w="960"/>
      </w:tblGrid>
      <w:tr w:rsidR="00BB2BF6" w:rsidRPr="007002A6">
        <w:trPr>
          <w:trHeight w:val="300"/>
        </w:trPr>
        <w:tc>
          <w:tcPr>
            <w:tcW w:w="4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CA" w:eastAsia="zh-CN"/>
              </w:rPr>
              <w:t>Description of Activities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Agency</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2018</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 xml:space="preserve">Total </w:t>
            </w:r>
          </w:p>
        </w:tc>
      </w:tr>
      <w:tr w:rsidR="00BB2BF6" w:rsidRPr="007002A6">
        <w:trPr>
          <w:trHeight w:val="300"/>
        </w:trPr>
        <w:tc>
          <w:tcPr>
            <w:tcW w:w="4955" w:type="dxa"/>
            <w:vMerge/>
            <w:tcBorders>
              <w:top w:val="single" w:sz="4" w:space="0" w:color="auto"/>
              <w:left w:val="single" w:sz="4" w:space="0" w:color="auto"/>
              <w:bottom w:val="single" w:sz="4" w:space="0" w:color="auto"/>
              <w:right w:val="single" w:sz="4" w:space="0" w:color="auto"/>
            </w:tcBorders>
            <w:vAlign w:val="center"/>
            <w:hideMark/>
          </w:tcPr>
          <w:p w:rsidR="00BB2BF6" w:rsidRPr="007002A6" w:rsidRDefault="00BB2BF6" w:rsidP="00634590">
            <w:pPr>
              <w:keepNext/>
              <w:jc w:val="left"/>
              <w:rPr>
                <w:b/>
                <w:bCs/>
                <w:color w:val="000000"/>
                <w:sz w:val="20"/>
                <w:szCs w:val="20"/>
                <w:lang w:val="en-US" w:eastAsia="zh-C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B2BF6" w:rsidRPr="007002A6" w:rsidRDefault="00BB2BF6" w:rsidP="00634590">
            <w:pPr>
              <w:keepNext/>
              <w:jc w:val="left"/>
              <w:rPr>
                <w:b/>
                <w:bCs/>
                <w:color w:val="000000"/>
                <w:sz w:val="20"/>
                <w:szCs w:val="20"/>
                <w:lang w:val="en-US" w:eastAsia="zh-CN"/>
              </w:rPr>
            </w:pP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(US $)</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(US $)</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(US $)</w:t>
            </w: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US" w:eastAsia="zh-CN"/>
              </w:rPr>
              <w:t>(US $)</w:t>
            </w:r>
          </w:p>
        </w:tc>
      </w:tr>
      <w:tr w:rsidR="00BB2BF6" w:rsidRPr="007002A6">
        <w:trPr>
          <w:trHeight w:val="170"/>
        </w:trPr>
        <w:tc>
          <w:tcPr>
            <w:tcW w:w="4955" w:type="dxa"/>
            <w:tcBorders>
              <w:top w:val="nil"/>
              <w:left w:val="single" w:sz="4" w:space="0" w:color="auto"/>
              <w:bottom w:val="single" w:sz="4" w:space="0" w:color="auto"/>
              <w:right w:val="single" w:sz="4" w:space="0" w:color="auto"/>
            </w:tcBorders>
            <w:shd w:val="clear" w:color="auto" w:fill="auto"/>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CA" w:eastAsia="en-CA"/>
              </w:rPr>
              <w:t xml:space="preserve">Strengthening regulatory framework </w:t>
            </w:r>
          </w:p>
        </w:tc>
        <w:tc>
          <w:tcPr>
            <w:tcW w:w="900" w:type="dxa"/>
            <w:tcBorders>
              <w:top w:val="nil"/>
              <w:left w:val="nil"/>
              <w:bottom w:val="single" w:sz="4" w:space="0" w:color="auto"/>
              <w:right w:val="single" w:sz="4" w:space="0" w:color="auto"/>
            </w:tcBorders>
            <w:shd w:val="clear" w:color="auto" w:fill="auto"/>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US" w:eastAsia="zh-CN"/>
              </w:rPr>
              <w:t>UNEP</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30,000</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left"/>
              <w:rPr>
                <w:color w:val="000000"/>
                <w:sz w:val="20"/>
                <w:szCs w:val="20"/>
                <w:lang w:val="en-US" w:eastAsia="zh-CN"/>
              </w:rPr>
            </w:pPr>
            <w:r w:rsidRPr="007002A6">
              <w:rPr>
                <w:color w:val="000000"/>
                <w:sz w:val="20"/>
                <w:szCs w:val="20"/>
                <w:lang w:val="en-US" w:eastAsia="zh-CN"/>
              </w:rPr>
              <w:t> </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 </w:t>
            </w: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30,000</w:t>
            </w:r>
          </w:p>
        </w:tc>
      </w:tr>
      <w:tr w:rsidR="00BB2BF6" w:rsidRPr="007002A6">
        <w:trPr>
          <w:trHeight w:val="45"/>
        </w:trPr>
        <w:tc>
          <w:tcPr>
            <w:tcW w:w="4955" w:type="dxa"/>
            <w:tcBorders>
              <w:top w:val="nil"/>
              <w:left w:val="single" w:sz="4" w:space="0" w:color="auto"/>
              <w:bottom w:val="single" w:sz="4" w:space="0" w:color="auto"/>
              <w:right w:val="single" w:sz="4" w:space="0" w:color="auto"/>
            </w:tcBorders>
            <w:shd w:val="clear" w:color="000000" w:fill="FFFFFF"/>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US" w:eastAsia="zh-CN"/>
              </w:rPr>
              <w:t xml:space="preserve">Training of customs and law enforcement officers </w:t>
            </w:r>
          </w:p>
        </w:tc>
        <w:tc>
          <w:tcPr>
            <w:tcW w:w="900" w:type="dxa"/>
            <w:tcBorders>
              <w:top w:val="nil"/>
              <w:left w:val="nil"/>
              <w:bottom w:val="single" w:sz="4" w:space="0" w:color="auto"/>
              <w:right w:val="single" w:sz="4" w:space="0" w:color="auto"/>
            </w:tcBorders>
            <w:shd w:val="clear" w:color="000000" w:fill="FFFFFF"/>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US" w:eastAsia="zh-CN"/>
              </w:rPr>
              <w:t>UNEP</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35,000</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51,000</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BB2BF6" w:rsidP="00634590">
            <w:pPr>
              <w:keepNext/>
              <w:jc w:val="right"/>
              <w:rPr>
                <w:color w:val="000000"/>
                <w:sz w:val="20"/>
                <w:szCs w:val="20"/>
                <w:lang w:val="en-US" w:eastAsia="zh-CN"/>
              </w:rPr>
            </w:pP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50,000</w:t>
            </w:r>
          </w:p>
        </w:tc>
      </w:tr>
      <w:tr w:rsidR="00BB2BF6" w:rsidRPr="007002A6">
        <w:trPr>
          <w:trHeight w:val="45"/>
        </w:trPr>
        <w:tc>
          <w:tcPr>
            <w:tcW w:w="4955" w:type="dxa"/>
            <w:tcBorders>
              <w:top w:val="nil"/>
              <w:left w:val="single" w:sz="4" w:space="0" w:color="auto"/>
              <w:bottom w:val="single" w:sz="4" w:space="0" w:color="auto"/>
              <w:right w:val="single" w:sz="4" w:space="0" w:color="auto"/>
            </w:tcBorders>
            <w:shd w:val="clear" w:color="000000" w:fill="FFFFFF"/>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US" w:eastAsia="zh-CN"/>
              </w:rPr>
              <w:t>Training of refrigeration servicing technicians and establishment of an association for refrigeration technicians</w:t>
            </w:r>
          </w:p>
        </w:tc>
        <w:tc>
          <w:tcPr>
            <w:tcW w:w="900" w:type="dxa"/>
            <w:tcBorders>
              <w:top w:val="nil"/>
              <w:left w:val="nil"/>
              <w:bottom w:val="single" w:sz="4" w:space="0" w:color="auto"/>
              <w:right w:val="single" w:sz="4" w:space="0" w:color="auto"/>
            </w:tcBorders>
            <w:shd w:val="clear" w:color="000000" w:fill="FFFFFF"/>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US" w:eastAsia="zh-CN"/>
              </w:rPr>
              <w:t> UNEP</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15,000</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43,500</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21,500</w:t>
            </w: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80,000</w:t>
            </w:r>
          </w:p>
        </w:tc>
      </w:tr>
      <w:tr w:rsidR="00BB2BF6" w:rsidRPr="007002A6">
        <w:trPr>
          <w:trHeight w:val="45"/>
        </w:trPr>
        <w:tc>
          <w:tcPr>
            <w:tcW w:w="4955" w:type="dxa"/>
            <w:tcBorders>
              <w:top w:val="nil"/>
              <w:left w:val="single" w:sz="4" w:space="0" w:color="auto"/>
              <w:bottom w:val="single" w:sz="4" w:space="0" w:color="auto"/>
              <w:right w:val="single" w:sz="4" w:space="0" w:color="auto"/>
            </w:tcBorders>
            <w:shd w:val="clear" w:color="auto" w:fill="auto"/>
            <w:vAlign w:val="bottom"/>
            <w:hideMark/>
          </w:tcPr>
          <w:p w:rsidR="00BB2BF6" w:rsidRPr="007002A6" w:rsidRDefault="007101D2" w:rsidP="00634590">
            <w:pPr>
              <w:keepNext/>
              <w:jc w:val="left"/>
              <w:rPr>
                <w:color w:val="000000"/>
                <w:sz w:val="20"/>
                <w:szCs w:val="20"/>
                <w:lang w:val="en-US" w:eastAsia="zh-CN"/>
              </w:rPr>
            </w:pPr>
            <w:r w:rsidRPr="007002A6">
              <w:rPr>
                <w:color w:val="000000"/>
                <w:sz w:val="20"/>
                <w:szCs w:val="20"/>
                <w:lang w:val="en-US" w:eastAsia="zh-CN"/>
              </w:rPr>
              <w:t>Tools and equipment for technicians</w:t>
            </w:r>
          </w:p>
        </w:tc>
        <w:tc>
          <w:tcPr>
            <w:tcW w:w="900" w:type="dxa"/>
            <w:tcBorders>
              <w:top w:val="nil"/>
              <w:left w:val="nil"/>
              <w:bottom w:val="single" w:sz="4" w:space="0" w:color="auto"/>
              <w:right w:val="single" w:sz="4" w:space="0" w:color="auto"/>
            </w:tcBorders>
            <w:shd w:val="clear" w:color="000000" w:fill="FFFFFF"/>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val="en-US" w:eastAsia="zh-CN"/>
              </w:rPr>
              <w:t> UNDP</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70,000</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55,000</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BB2BF6" w:rsidP="00634590">
            <w:pPr>
              <w:keepNext/>
              <w:jc w:val="right"/>
              <w:rPr>
                <w:color w:val="000000"/>
                <w:sz w:val="20"/>
                <w:szCs w:val="20"/>
                <w:lang w:val="en-US" w:eastAsia="zh-CN"/>
              </w:rPr>
            </w:pP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125,000</w:t>
            </w:r>
          </w:p>
        </w:tc>
      </w:tr>
      <w:tr w:rsidR="00BB2BF6" w:rsidRPr="007002A6">
        <w:trPr>
          <w:trHeight w:val="45"/>
        </w:trPr>
        <w:tc>
          <w:tcPr>
            <w:tcW w:w="4955" w:type="dxa"/>
            <w:tcBorders>
              <w:top w:val="nil"/>
              <w:left w:val="single" w:sz="4" w:space="0" w:color="auto"/>
              <w:bottom w:val="single" w:sz="4" w:space="0" w:color="auto"/>
              <w:right w:val="single" w:sz="4" w:space="0" w:color="auto"/>
            </w:tcBorders>
            <w:shd w:val="clear" w:color="000000" w:fill="FFFFFF"/>
            <w:vAlign w:val="bottom"/>
            <w:hideMark/>
          </w:tcPr>
          <w:p w:rsidR="00BB2BF6" w:rsidRPr="007002A6" w:rsidRDefault="007101D2" w:rsidP="00634590">
            <w:pPr>
              <w:keepNext/>
              <w:rPr>
                <w:color w:val="000000"/>
                <w:sz w:val="20"/>
                <w:szCs w:val="20"/>
                <w:lang w:val="en-US" w:eastAsia="zh-CN"/>
              </w:rPr>
            </w:pPr>
            <w:r w:rsidRPr="007002A6">
              <w:rPr>
                <w:color w:val="000000"/>
                <w:sz w:val="20"/>
                <w:szCs w:val="20"/>
                <w:lang w:eastAsia="en-CA"/>
              </w:rPr>
              <w:t>Project management, monitoring and reporting</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left"/>
              <w:rPr>
                <w:color w:val="000000"/>
                <w:sz w:val="20"/>
                <w:szCs w:val="20"/>
                <w:lang w:val="en-US" w:eastAsia="zh-CN"/>
              </w:rPr>
            </w:pPr>
            <w:r w:rsidRPr="007002A6">
              <w:rPr>
                <w:color w:val="000000"/>
                <w:sz w:val="20"/>
                <w:szCs w:val="20"/>
                <w:lang w:val="en-US" w:eastAsia="zh-CN"/>
              </w:rPr>
              <w:t> UNEP</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10,000</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10,000</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color w:val="000000"/>
                <w:sz w:val="20"/>
                <w:szCs w:val="20"/>
                <w:lang w:val="en-US" w:eastAsia="zh-CN"/>
              </w:rPr>
            </w:pPr>
            <w:r w:rsidRPr="007002A6">
              <w:rPr>
                <w:color w:val="000000"/>
                <w:sz w:val="20"/>
                <w:szCs w:val="20"/>
                <w:lang w:val="en-US" w:eastAsia="zh-CN"/>
              </w:rPr>
              <w:t>30,000</w:t>
            </w:r>
          </w:p>
        </w:tc>
      </w:tr>
      <w:tr w:rsidR="00BB2BF6" w:rsidRPr="007002A6">
        <w:trPr>
          <w:trHeight w:val="45"/>
        </w:trPr>
        <w:tc>
          <w:tcPr>
            <w:tcW w:w="4955" w:type="dxa"/>
            <w:tcBorders>
              <w:top w:val="nil"/>
              <w:left w:val="single" w:sz="4" w:space="0" w:color="auto"/>
              <w:bottom w:val="single" w:sz="4" w:space="0" w:color="auto"/>
              <w:right w:val="single" w:sz="4" w:space="0" w:color="auto"/>
            </w:tcBorders>
            <w:shd w:val="clear" w:color="auto" w:fill="auto"/>
            <w:noWrap/>
            <w:vAlign w:val="bottom"/>
            <w:hideMark/>
          </w:tcPr>
          <w:p w:rsidR="00BB2BF6" w:rsidRPr="007002A6" w:rsidRDefault="007101D2" w:rsidP="00634590">
            <w:pPr>
              <w:keepNext/>
              <w:jc w:val="center"/>
              <w:rPr>
                <w:b/>
                <w:bCs/>
                <w:color w:val="000000"/>
                <w:sz w:val="20"/>
                <w:szCs w:val="20"/>
                <w:lang w:val="en-US" w:eastAsia="zh-CN"/>
              </w:rPr>
            </w:pPr>
            <w:r w:rsidRPr="007002A6">
              <w:rPr>
                <w:b/>
                <w:bCs/>
                <w:color w:val="000000"/>
                <w:sz w:val="20"/>
                <w:szCs w:val="20"/>
                <w:lang w:val="en-CA" w:eastAsia="zh-CN"/>
              </w:rPr>
              <w:t>Total</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left"/>
              <w:rPr>
                <w:b/>
                <w:bCs/>
                <w:color w:val="000000"/>
                <w:sz w:val="20"/>
                <w:szCs w:val="20"/>
                <w:lang w:val="en-US" w:eastAsia="zh-CN"/>
              </w:rPr>
            </w:pPr>
            <w:r w:rsidRPr="007002A6">
              <w:rPr>
                <w:b/>
                <w:bCs/>
                <w:color w:val="000000"/>
                <w:sz w:val="20"/>
                <w:szCs w:val="20"/>
                <w:lang w:val="en-US" w:eastAsia="zh-CN"/>
              </w:rPr>
              <w:t> </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b/>
                <w:bCs/>
                <w:color w:val="000000"/>
                <w:sz w:val="20"/>
                <w:szCs w:val="20"/>
                <w:lang w:val="en-US" w:eastAsia="zh-CN"/>
              </w:rPr>
            </w:pPr>
            <w:r w:rsidRPr="007002A6">
              <w:rPr>
                <w:b/>
                <w:bCs/>
                <w:color w:val="000000"/>
                <w:sz w:val="20"/>
                <w:szCs w:val="20"/>
                <w:lang w:val="en-US" w:eastAsia="zh-CN"/>
              </w:rPr>
              <w:t>160,000</w:t>
            </w:r>
          </w:p>
        </w:tc>
        <w:tc>
          <w:tcPr>
            <w:tcW w:w="90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b/>
                <w:bCs/>
                <w:color w:val="000000"/>
                <w:sz w:val="20"/>
                <w:szCs w:val="20"/>
                <w:lang w:val="en-US" w:eastAsia="zh-CN"/>
              </w:rPr>
            </w:pPr>
            <w:r w:rsidRPr="007002A6">
              <w:rPr>
                <w:b/>
                <w:bCs/>
                <w:color w:val="000000"/>
                <w:sz w:val="20"/>
                <w:szCs w:val="20"/>
                <w:lang w:val="en-US" w:eastAsia="zh-CN"/>
              </w:rPr>
              <w:t>123,500</w:t>
            </w:r>
          </w:p>
        </w:tc>
        <w:tc>
          <w:tcPr>
            <w:tcW w:w="905"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b/>
                <w:bCs/>
                <w:color w:val="000000"/>
                <w:sz w:val="20"/>
                <w:szCs w:val="20"/>
                <w:lang w:val="en-US" w:eastAsia="zh-CN"/>
              </w:rPr>
            </w:pPr>
            <w:r w:rsidRPr="007002A6">
              <w:rPr>
                <w:b/>
                <w:bCs/>
                <w:color w:val="000000"/>
                <w:sz w:val="20"/>
                <w:szCs w:val="20"/>
                <w:lang w:val="en-US" w:eastAsia="zh-CN"/>
              </w:rPr>
              <w:t>31,500</w:t>
            </w:r>
          </w:p>
        </w:tc>
        <w:tc>
          <w:tcPr>
            <w:tcW w:w="960" w:type="dxa"/>
            <w:tcBorders>
              <w:top w:val="nil"/>
              <w:left w:val="nil"/>
              <w:bottom w:val="single" w:sz="4" w:space="0" w:color="auto"/>
              <w:right w:val="single" w:sz="4" w:space="0" w:color="auto"/>
            </w:tcBorders>
            <w:shd w:val="clear" w:color="auto" w:fill="auto"/>
            <w:noWrap/>
            <w:vAlign w:val="bottom"/>
            <w:hideMark/>
          </w:tcPr>
          <w:p w:rsidR="00BB2BF6" w:rsidRPr="007002A6" w:rsidRDefault="007101D2" w:rsidP="00634590">
            <w:pPr>
              <w:keepNext/>
              <w:jc w:val="right"/>
              <w:rPr>
                <w:b/>
                <w:bCs/>
                <w:color w:val="000000"/>
                <w:sz w:val="20"/>
                <w:szCs w:val="20"/>
                <w:lang w:val="en-US" w:eastAsia="zh-CN"/>
              </w:rPr>
            </w:pPr>
            <w:r w:rsidRPr="007002A6">
              <w:rPr>
                <w:b/>
                <w:bCs/>
                <w:color w:val="000000"/>
                <w:sz w:val="20"/>
                <w:szCs w:val="20"/>
                <w:lang w:val="en-US" w:eastAsia="zh-CN"/>
              </w:rPr>
              <w:t>315,000</w:t>
            </w:r>
          </w:p>
        </w:tc>
      </w:tr>
    </w:tbl>
    <w:p w:rsidR="00BB2BF6" w:rsidRDefault="00BB2BF6" w:rsidP="00634590">
      <w:pPr>
        <w:rPr>
          <w:lang w:val="en-CA"/>
        </w:rPr>
      </w:pPr>
    </w:p>
    <w:p w:rsidR="00BB2BF6" w:rsidRDefault="007101D2" w:rsidP="00634590">
      <w:pPr>
        <w:rPr>
          <w:u w:val="single"/>
          <w:lang w:val="en-CA"/>
        </w:rPr>
      </w:pPr>
      <w:r w:rsidRPr="00C22111">
        <w:rPr>
          <w:u w:val="single"/>
          <w:lang w:val="en-CA"/>
        </w:rPr>
        <w:t>Activities planned for the first tranche</w:t>
      </w:r>
    </w:p>
    <w:p w:rsidR="00634590" w:rsidRPr="00C22111" w:rsidRDefault="00634590" w:rsidP="00634590">
      <w:pPr>
        <w:rPr>
          <w:u w:val="single"/>
          <w:lang w:val="en-CA"/>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CA"/>
        </w:rPr>
      </w:pPr>
      <w:r w:rsidRPr="00C22111">
        <w:rPr>
          <w:lang w:val="en-CA"/>
        </w:rPr>
        <w:t xml:space="preserve">Activities planned for the first tranche include national consultation and legal service for policy development; developing training material, training 10 trainers for </w:t>
      </w:r>
      <w:r w:rsidR="007002A6" w:rsidRPr="00C22111">
        <w:rPr>
          <w:lang w:val="en-CA"/>
        </w:rPr>
        <w:t>C</w:t>
      </w:r>
      <w:r w:rsidRPr="00C22111">
        <w:rPr>
          <w:lang w:val="en-CA"/>
        </w:rPr>
        <w:t>ustoms and providing two refrigerant identifiers; training 10 trainers in good servicing practices and assisting establishment of refrigeration association; provision of tools and equipment for good practices, refrigerant recovery and retrofitting; and monitoring and reporting.</w:t>
      </w:r>
    </w:p>
    <w:p w:rsidR="00BB2BF6" w:rsidRPr="00C22111" w:rsidRDefault="007101D2" w:rsidP="00634590">
      <w:pPr>
        <w:jc w:val="center"/>
        <w:rPr>
          <w:b/>
          <w:lang w:val="en-CA"/>
        </w:rPr>
      </w:pPr>
      <w:r w:rsidRPr="00C22111">
        <w:rPr>
          <w:b/>
          <w:lang w:val="en-CA"/>
        </w:rPr>
        <w:t>SECRETARIAT’S COMMENTS AND RECOMMENDATION</w:t>
      </w:r>
    </w:p>
    <w:p w:rsidR="00BB2BF6" w:rsidRPr="00C22111" w:rsidRDefault="00BB2BF6" w:rsidP="00634590"/>
    <w:p w:rsidR="00BB2BF6" w:rsidRDefault="007101D2" w:rsidP="00634590">
      <w:pPr>
        <w:rPr>
          <w:b/>
        </w:rPr>
      </w:pPr>
      <w:r w:rsidRPr="00C22111">
        <w:rPr>
          <w:b/>
        </w:rPr>
        <w:t>COMMENTS</w:t>
      </w:r>
    </w:p>
    <w:p w:rsidR="00634590" w:rsidRPr="00C22111" w:rsidRDefault="00634590" w:rsidP="00634590">
      <w:pPr>
        <w:rPr>
          <w:b/>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The Secretariat reviewed the HPMP for South Sudan in the context of the guidelines for the preparation of HPMPs (decision 54/39), the criteria for funding stage I of HCFC phase-out in the consumption sector agreed at the 60</w:t>
      </w:r>
      <w:r w:rsidRPr="00C22111">
        <w:rPr>
          <w:vertAlign w:val="superscript"/>
        </w:rPr>
        <w:t>th</w:t>
      </w:r>
      <w:r w:rsidRPr="00C22111">
        <w:t> meeting (decision 60/44); subsequent decisions on HPMPs; and the 2016-2018 business plan of the Multilateral Fund.</w:t>
      </w:r>
    </w:p>
    <w:p w:rsidR="00BB2BF6" w:rsidRDefault="007101D2" w:rsidP="00634590">
      <w:pPr>
        <w:rPr>
          <w:u w:val="single"/>
        </w:rPr>
      </w:pPr>
      <w:r w:rsidRPr="00C22111">
        <w:rPr>
          <w:u w:val="single"/>
        </w:rPr>
        <w:t>Operational licensing system</w:t>
      </w:r>
    </w:p>
    <w:p w:rsidR="00634590" w:rsidRPr="00C22111" w:rsidRDefault="00634590" w:rsidP="00634590">
      <w:pPr>
        <w:rPr>
          <w:u w:val="single"/>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 xml:space="preserve">In line with decision 63/17, the Government of South Sudan has reaffirmed its commitment to comply with the Montreal Protocol control targets through the implementation and enforcement of the licensing and quota system. The Government has also developed draft regulations for managing ODS, setting out detailed procedures for issuing licenses and monitoring imports. The quotas for 2017 will be set at 1.48 ODP tonnes.  </w:t>
      </w:r>
    </w:p>
    <w:p w:rsidR="00BB2BF6" w:rsidRDefault="007101D2" w:rsidP="00634590">
      <w:pPr>
        <w:keepNext/>
        <w:rPr>
          <w:u w:val="single"/>
        </w:rPr>
      </w:pPr>
      <w:r w:rsidRPr="00C22111">
        <w:rPr>
          <w:u w:val="single"/>
        </w:rPr>
        <w:t>Starting point for aggregate reduction in HCFC consumption</w:t>
      </w:r>
    </w:p>
    <w:p w:rsidR="00634590" w:rsidRPr="00C22111" w:rsidRDefault="00634590" w:rsidP="00634590">
      <w:pPr>
        <w:keepNext/>
        <w:rPr>
          <w:u w:val="single"/>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The reporting of HCFC consumption by South Sudan only started in 2012, after the country ratified the Montreal Protocol. The baseline was estimated based on the survey conducted during the preparation of the HPMP. In reviewing the HPMP, the Secretariat noted that the consumption of HCFC</w:t>
      </w:r>
      <w:r w:rsidR="00425989">
        <w:noBreakHyphen/>
      </w:r>
      <w:r w:rsidRPr="00C22111">
        <w:t xml:space="preserve">22 reported by the Government was based on the estimated servicing needs of the 36,000 </w:t>
      </w:r>
      <w:r w:rsidR="007002A6" w:rsidRPr="00C22111">
        <w:t>RAC</w:t>
      </w:r>
      <w:r w:rsidRPr="00C22111">
        <w:t xml:space="preserve"> units in operation (as shown in Table 2). The HCFC consumption for servicing the 21,000 split </w:t>
      </w:r>
      <w:r w:rsidR="007002A6" w:rsidRPr="00C22111">
        <w:t>AC</w:t>
      </w:r>
      <w:r w:rsidRPr="00C22111">
        <w:t xml:space="preserve"> equipment was estimated at 63.75 mt, representing a leakage rate of 25</w:t>
      </w:r>
      <w:r w:rsidR="007929AD" w:rsidRPr="00C22111">
        <w:t>0</w:t>
      </w:r>
      <w:r w:rsidRPr="00C22111">
        <w:t xml:space="preserve"> per cent. After further discussions with UNEP, it was agreed to consider a lower leakage rate resulting in an annual consumption of 25.20 </w:t>
      </w:r>
      <w:proofErr w:type="spellStart"/>
      <w:r w:rsidRPr="00C22111">
        <w:t>mt.</w:t>
      </w:r>
      <w:proofErr w:type="spellEnd"/>
      <w:r w:rsidRPr="00C22111">
        <w:t xml:space="preserve"> On this basis, the overall consumption was estimated at 29.90 mt (1.64 ODP tonnes, instead of 68.45 mt or 3.76 ODP tonnes). UNEP will discuss with the Government to </w:t>
      </w:r>
      <w:r w:rsidR="007929AD" w:rsidRPr="00C22111">
        <w:t>reduce</w:t>
      </w:r>
      <w:r w:rsidRPr="00C22111">
        <w:t xml:space="preserve"> the baseline based on the adjusted survey data.</w:t>
      </w:r>
    </w:p>
    <w:p w:rsidR="00BB2BF6" w:rsidRDefault="007101D2" w:rsidP="00634590">
      <w:pPr>
        <w:keepNext/>
        <w:rPr>
          <w:u w:val="single"/>
        </w:rPr>
      </w:pPr>
      <w:r w:rsidRPr="00C22111">
        <w:rPr>
          <w:u w:val="single"/>
        </w:rPr>
        <w:t>Cost-related issues</w:t>
      </w:r>
    </w:p>
    <w:p w:rsidR="00634590" w:rsidRPr="00C22111" w:rsidRDefault="00634590" w:rsidP="00634590">
      <w:pPr>
        <w:keepNext/>
        <w:rPr>
          <w:u w:val="single"/>
        </w:rPr>
      </w:pPr>
    </w:p>
    <w:p w:rsidR="00BB2BF6" w:rsidRPr="00C22111" w:rsidRDefault="007101D2" w:rsidP="00634590">
      <w:pPr>
        <w:pStyle w:val="Heading1"/>
        <w:keepNext/>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Based on the starting point of 29.90 mt (1.64 ODP tonnes), the eligible funding for South Sudan to achieve a 35 per cent reduction in HCFC consumption by 2020 would be US $210,000. The revised costs and activities are shown in Table 4.</w:t>
      </w:r>
    </w:p>
    <w:p w:rsidR="00BB2BF6" w:rsidRPr="00C22111" w:rsidRDefault="007101D2" w:rsidP="00634590">
      <w:pPr>
        <w:rPr>
          <w:b/>
        </w:rPr>
      </w:pPr>
      <w:r w:rsidRPr="00C22111">
        <w:rPr>
          <w:b/>
        </w:rPr>
        <w:t xml:space="preserve">Table 4: </w:t>
      </w:r>
      <w:r w:rsidR="007929AD" w:rsidRPr="00C22111">
        <w:rPr>
          <w:b/>
        </w:rPr>
        <w:t>Agreed</w:t>
      </w:r>
      <w:r w:rsidRPr="00C22111">
        <w:rPr>
          <w:b/>
        </w:rPr>
        <w:t xml:space="preserve"> overall cost of stage I of the HPMP for South Sudan</w:t>
      </w:r>
    </w:p>
    <w:tbl>
      <w:tblPr>
        <w:tblW w:w="5000" w:type="pct"/>
        <w:tblLook w:val="04A0" w:firstRow="1" w:lastRow="0" w:firstColumn="1" w:lastColumn="0" w:noHBand="0" w:noVBand="1"/>
      </w:tblPr>
      <w:tblGrid>
        <w:gridCol w:w="4741"/>
        <w:gridCol w:w="974"/>
        <w:gridCol w:w="993"/>
        <w:gridCol w:w="938"/>
        <w:gridCol w:w="938"/>
        <w:gridCol w:w="992"/>
      </w:tblGrid>
      <w:tr w:rsidR="00BB2BF6" w:rsidRPr="00634590">
        <w:trPr>
          <w:trHeight w:val="45"/>
        </w:trPr>
        <w:tc>
          <w:tcPr>
            <w:tcW w:w="247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Description of Activities</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Agency</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2016</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2018</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2020</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 xml:space="preserve">Total </w:t>
            </w:r>
          </w:p>
        </w:tc>
      </w:tr>
      <w:tr w:rsidR="00BB2BF6" w:rsidRPr="00634590">
        <w:trPr>
          <w:trHeight w:val="89"/>
        </w:trPr>
        <w:tc>
          <w:tcPr>
            <w:tcW w:w="2475" w:type="pct"/>
            <w:vMerge/>
            <w:tcBorders>
              <w:top w:val="single" w:sz="4" w:space="0" w:color="auto"/>
              <w:left w:val="single" w:sz="4" w:space="0" w:color="auto"/>
              <w:bottom w:val="single" w:sz="4" w:space="0" w:color="auto"/>
              <w:right w:val="single" w:sz="4" w:space="0" w:color="auto"/>
            </w:tcBorders>
            <w:vAlign w:val="center"/>
            <w:hideMark/>
          </w:tcPr>
          <w:p w:rsidR="00BB2BF6" w:rsidRPr="00634590" w:rsidRDefault="00BB2BF6" w:rsidP="00634590">
            <w:pPr>
              <w:jc w:val="left"/>
              <w:rPr>
                <w:b/>
                <w:bCs/>
                <w:color w:val="000000"/>
                <w:sz w:val="20"/>
                <w:szCs w:val="20"/>
                <w:lang w:val="en-US" w:eastAsia="zh-CN"/>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BB2BF6" w:rsidRPr="00634590" w:rsidRDefault="00BB2BF6" w:rsidP="00634590">
            <w:pPr>
              <w:jc w:val="left"/>
              <w:rPr>
                <w:b/>
                <w:bCs/>
                <w:color w:val="000000"/>
                <w:sz w:val="20"/>
                <w:szCs w:val="20"/>
                <w:lang w:val="en-US" w:eastAsia="zh-CN"/>
              </w:rPr>
            </w:pP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(US $)</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(US $)</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(US $)</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634590" w:rsidRDefault="007101D2" w:rsidP="00634590">
            <w:pPr>
              <w:jc w:val="center"/>
              <w:rPr>
                <w:b/>
                <w:bCs/>
                <w:color w:val="000000"/>
                <w:sz w:val="20"/>
                <w:szCs w:val="20"/>
                <w:lang w:val="en-US" w:eastAsia="zh-CN"/>
              </w:rPr>
            </w:pPr>
            <w:r w:rsidRPr="00634590">
              <w:rPr>
                <w:b/>
                <w:bCs/>
                <w:color w:val="000000"/>
                <w:sz w:val="20"/>
                <w:szCs w:val="20"/>
                <w:lang w:val="en-US" w:eastAsia="zh-CN"/>
              </w:rPr>
              <w:t>(US $)</w:t>
            </w:r>
          </w:p>
        </w:tc>
      </w:tr>
      <w:tr w:rsidR="00BB2BF6" w:rsidRPr="00634590">
        <w:trPr>
          <w:trHeight w:val="45"/>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 xml:space="preserve">Strengthen regulatory framework </w:t>
            </w:r>
          </w:p>
        </w:tc>
        <w:tc>
          <w:tcPr>
            <w:tcW w:w="508" w:type="pct"/>
            <w:tcBorders>
              <w:top w:val="nil"/>
              <w:left w:val="nil"/>
              <w:bottom w:val="single" w:sz="4" w:space="0" w:color="auto"/>
              <w:right w:val="single" w:sz="4" w:space="0" w:color="auto"/>
            </w:tcBorders>
            <w:shd w:val="clear" w:color="auto" w:fill="auto"/>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UNEP</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20,000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 </w:t>
            </w:r>
            <w:r w:rsidR="007929AD" w:rsidRPr="00140E9B">
              <w:rPr>
                <w:color w:val="000000"/>
                <w:sz w:val="20"/>
                <w:szCs w:val="20"/>
                <w:lang w:val="en-US" w:eastAsia="zh-CN"/>
              </w:rPr>
              <w:t>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 </w:t>
            </w:r>
            <w:r w:rsidR="007929AD" w:rsidRPr="00140E9B">
              <w:rPr>
                <w:color w:val="000000"/>
                <w:sz w:val="20"/>
                <w:szCs w:val="20"/>
                <w:lang w:val="en-US" w:eastAsia="zh-CN"/>
              </w:rPr>
              <w:t>0</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20,000</w:t>
            </w:r>
          </w:p>
        </w:tc>
      </w:tr>
      <w:tr w:rsidR="00BB2BF6" w:rsidRPr="00634590">
        <w:trPr>
          <w:trHeight w:val="45"/>
        </w:trPr>
        <w:tc>
          <w:tcPr>
            <w:tcW w:w="2475" w:type="pct"/>
            <w:tcBorders>
              <w:top w:val="nil"/>
              <w:left w:val="single" w:sz="4" w:space="0" w:color="auto"/>
              <w:bottom w:val="single" w:sz="4" w:space="0" w:color="auto"/>
              <w:right w:val="single" w:sz="4" w:space="0" w:color="auto"/>
            </w:tcBorders>
            <w:shd w:val="clear" w:color="000000" w:fill="FFFFFF"/>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 xml:space="preserve">Training of customs and law enforcement officers </w:t>
            </w:r>
          </w:p>
        </w:tc>
        <w:tc>
          <w:tcPr>
            <w:tcW w:w="508" w:type="pct"/>
            <w:tcBorders>
              <w:top w:val="nil"/>
              <w:left w:val="nil"/>
              <w:bottom w:val="single" w:sz="4" w:space="0" w:color="auto"/>
              <w:right w:val="single" w:sz="4" w:space="0" w:color="auto"/>
            </w:tcBorders>
            <w:shd w:val="clear" w:color="000000" w:fill="FFFFFF"/>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UNEP</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30,000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10,000</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40,000</w:t>
            </w:r>
          </w:p>
        </w:tc>
      </w:tr>
      <w:tr w:rsidR="00BB2BF6" w:rsidRPr="00634590">
        <w:trPr>
          <w:trHeight w:val="512"/>
        </w:trPr>
        <w:tc>
          <w:tcPr>
            <w:tcW w:w="2475" w:type="pct"/>
            <w:tcBorders>
              <w:top w:val="nil"/>
              <w:left w:val="single" w:sz="4" w:space="0" w:color="auto"/>
              <w:bottom w:val="single" w:sz="4" w:space="0" w:color="auto"/>
              <w:right w:val="single" w:sz="4" w:space="0" w:color="auto"/>
            </w:tcBorders>
            <w:shd w:val="clear" w:color="000000" w:fill="FFFFFF"/>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Training of refrigeration servicing technicians and establishment of an association for refrigeration technicians</w:t>
            </w:r>
          </w:p>
        </w:tc>
        <w:tc>
          <w:tcPr>
            <w:tcW w:w="508" w:type="pct"/>
            <w:tcBorders>
              <w:top w:val="nil"/>
              <w:left w:val="nil"/>
              <w:bottom w:val="single" w:sz="4" w:space="0" w:color="auto"/>
              <w:right w:val="single" w:sz="4" w:space="0" w:color="auto"/>
            </w:tcBorders>
            <w:shd w:val="clear" w:color="000000" w:fill="FFFFFF"/>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UNEP</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33,000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12,000</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45,000</w:t>
            </w:r>
          </w:p>
        </w:tc>
      </w:tr>
      <w:tr w:rsidR="00BB2BF6" w:rsidRPr="00634590">
        <w:trPr>
          <w:trHeight w:val="45"/>
        </w:trPr>
        <w:tc>
          <w:tcPr>
            <w:tcW w:w="2475" w:type="pct"/>
            <w:tcBorders>
              <w:top w:val="nil"/>
              <w:left w:val="single" w:sz="4" w:space="0" w:color="auto"/>
              <w:bottom w:val="single" w:sz="4" w:space="0" w:color="auto"/>
              <w:right w:val="single" w:sz="4" w:space="0" w:color="auto"/>
            </w:tcBorders>
            <w:shd w:val="clear" w:color="auto" w:fill="auto"/>
            <w:vAlign w:val="bottom"/>
          </w:tcPr>
          <w:p w:rsidR="00BB2BF6" w:rsidRPr="00634590" w:rsidRDefault="007101D2" w:rsidP="00634590">
            <w:pPr>
              <w:jc w:val="left"/>
              <w:rPr>
                <w:color w:val="000000"/>
                <w:sz w:val="20"/>
                <w:szCs w:val="20"/>
                <w:lang w:val="en-US" w:eastAsia="zh-CN"/>
              </w:rPr>
            </w:pPr>
            <w:r w:rsidRPr="00634590">
              <w:rPr>
                <w:color w:val="000000"/>
                <w:sz w:val="20"/>
                <w:szCs w:val="20"/>
                <w:lang w:val="en-US" w:eastAsia="zh-CN"/>
              </w:rPr>
              <w:t xml:space="preserve">Tools and equipment for technicians </w:t>
            </w:r>
          </w:p>
        </w:tc>
        <w:tc>
          <w:tcPr>
            <w:tcW w:w="508" w:type="pct"/>
            <w:tcBorders>
              <w:top w:val="nil"/>
              <w:left w:val="nil"/>
              <w:bottom w:val="single" w:sz="4" w:space="0" w:color="auto"/>
              <w:right w:val="single" w:sz="4" w:space="0" w:color="auto"/>
            </w:tcBorders>
            <w:shd w:val="clear" w:color="000000" w:fill="FFFFFF"/>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UNDP</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50,000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40,000</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90,000</w:t>
            </w:r>
          </w:p>
        </w:tc>
      </w:tr>
      <w:tr w:rsidR="00BB2BF6" w:rsidRPr="00634590">
        <w:trPr>
          <w:trHeight w:val="45"/>
        </w:trPr>
        <w:tc>
          <w:tcPr>
            <w:tcW w:w="2475" w:type="pct"/>
            <w:tcBorders>
              <w:top w:val="nil"/>
              <w:left w:val="single" w:sz="4" w:space="0" w:color="auto"/>
              <w:bottom w:val="single" w:sz="4" w:space="0" w:color="auto"/>
              <w:right w:val="single" w:sz="4" w:space="0" w:color="auto"/>
            </w:tcBorders>
            <w:shd w:val="clear" w:color="000000" w:fill="FFFFFF"/>
            <w:vAlign w:val="bottom"/>
            <w:hideMark/>
          </w:tcPr>
          <w:p w:rsidR="00BB2BF6" w:rsidRPr="00634590" w:rsidRDefault="007101D2" w:rsidP="00634590">
            <w:pPr>
              <w:rPr>
                <w:color w:val="000000"/>
                <w:sz w:val="20"/>
                <w:szCs w:val="20"/>
                <w:lang w:val="en-US" w:eastAsia="zh-CN"/>
              </w:rPr>
            </w:pPr>
            <w:r w:rsidRPr="00634590">
              <w:rPr>
                <w:color w:val="000000"/>
                <w:sz w:val="20"/>
                <w:szCs w:val="20"/>
                <w:lang w:val="en-US" w:eastAsia="zh-CN"/>
              </w:rPr>
              <w:t>Project management, monitoring and reporting</w:t>
            </w:r>
          </w:p>
        </w:tc>
        <w:tc>
          <w:tcPr>
            <w:tcW w:w="508" w:type="pct"/>
            <w:tcBorders>
              <w:top w:val="nil"/>
              <w:left w:val="nil"/>
              <w:bottom w:val="single" w:sz="4" w:space="0" w:color="auto"/>
              <w:right w:val="single" w:sz="4" w:space="0" w:color="auto"/>
            </w:tcBorders>
            <w:shd w:val="clear" w:color="auto" w:fill="auto"/>
            <w:noWrap/>
            <w:vAlign w:val="bottom"/>
            <w:hideMark/>
          </w:tcPr>
          <w:p w:rsidR="00BB2BF6" w:rsidRPr="00634590" w:rsidRDefault="007101D2" w:rsidP="00634590">
            <w:pPr>
              <w:jc w:val="left"/>
              <w:rPr>
                <w:color w:val="000000"/>
                <w:sz w:val="20"/>
                <w:szCs w:val="20"/>
                <w:lang w:val="en-US" w:eastAsia="zh-CN"/>
              </w:rPr>
            </w:pPr>
            <w:r w:rsidRPr="00634590">
              <w:rPr>
                <w:color w:val="000000"/>
                <w:sz w:val="20"/>
                <w:szCs w:val="20"/>
                <w:lang w:val="en-US" w:eastAsia="zh-CN"/>
              </w:rPr>
              <w:t>UNEP</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7,500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7,500</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color w:val="000000"/>
                <w:sz w:val="20"/>
                <w:szCs w:val="20"/>
                <w:lang w:val="en-US" w:eastAsia="zh-CN"/>
              </w:rPr>
            </w:pPr>
            <w:r w:rsidRPr="00140E9B">
              <w:rPr>
                <w:color w:val="000000"/>
                <w:sz w:val="20"/>
                <w:szCs w:val="20"/>
                <w:lang w:val="en-US" w:eastAsia="zh-CN"/>
              </w:rPr>
              <w:t>15,000</w:t>
            </w:r>
          </w:p>
        </w:tc>
      </w:tr>
      <w:tr w:rsidR="00BB2BF6" w:rsidRPr="00634590">
        <w:trPr>
          <w:trHeight w:val="45"/>
        </w:trPr>
        <w:tc>
          <w:tcPr>
            <w:tcW w:w="2475" w:type="pct"/>
            <w:tcBorders>
              <w:top w:val="nil"/>
              <w:left w:val="single" w:sz="4" w:space="0" w:color="auto"/>
              <w:bottom w:val="single" w:sz="4" w:space="0" w:color="auto"/>
              <w:right w:val="single" w:sz="4" w:space="0" w:color="auto"/>
            </w:tcBorders>
            <w:shd w:val="clear" w:color="auto" w:fill="auto"/>
            <w:noWrap/>
            <w:vAlign w:val="bottom"/>
            <w:hideMark/>
          </w:tcPr>
          <w:p w:rsidR="00BB2BF6" w:rsidRPr="00634590" w:rsidRDefault="007101D2" w:rsidP="00634590">
            <w:pPr>
              <w:jc w:val="left"/>
              <w:rPr>
                <w:b/>
                <w:bCs/>
                <w:color w:val="000000"/>
                <w:sz w:val="20"/>
                <w:szCs w:val="20"/>
                <w:lang w:val="en-US" w:eastAsia="zh-CN"/>
              </w:rPr>
            </w:pPr>
            <w:r w:rsidRPr="00634590">
              <w:rPr>
                <w:b/>
                <w:bCs/>
                <w:color w:val="000000"/>
                <w:sz w:val="20"/>
                <w:szCs w:val="20"/>
                <w:lang w:val="en-US" w:eastAsia="zh-CN"/>
              </w:rPr>
              <w:t>Total</w:t>
            </w:r>
          </w:p>
        </w:tc>
        <w:tc>
          <w:tcPr>
            <w:tcW w:w="508" w:type="pct"/>
            <w:tcBorders>
              <w:top w:val="nil"/>
              <w:left w:val="nil"/>
              <w:bottom w:val="single" w:sz="4" w:space="0" w:color="auto"/>
              <w:right w:val="single" w:sz="4" w:space="0" w:color="auto"/>
            </w:tcBorders>
            <w:shd w:val="clear" w:color="auto" w:fill="auto"/>
            <w:noWrap/>
            <w:vAlign w:val="bottom"/>
            <w:hideMark/>
          </w:tcPr>
          <w:p w:rsidR="00BB2BF6" w:rsidRPr="00634590" w:rsidRDefault="007101D2" w:rsidP="00634590">
            <w:pPr>
              <w:jc w:val="left"/>
              <w:rPr>
                <w:b/>
                <w:bCs/>
                <w:color w:val="000000"/>
                <w:sz w:val="20"/>
                <w:szCs w:val="20"/>
                <w:lang w:val="en-US" w:eastAsia="zh-CN"/>
              </w:rPr>
            </w:pPr>
            <w:r w:rsidRPr="00634590">
              <w:rPr>
                <w:b/>
                <w:bCs/>
                <w:color w:val="000000"/>
                <w:sz w:val="20"/>
                <w:szCs w:val="20"/>
                <w:lang w:val="en-US" w:eastAsia="zh-CN"/>
              </w:rPr>
              <w:t> </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b/>
                <w:bCs/>
                <w:color w:val="000000"/>
                <w:sz w:val="20"/>
                <w:szCs w:val="20"/>
                <w:lang w:val="en-US" w:eastAsia="zh-CN"/>
              </w:rPr>
            </w:pPr>
            <w:r w:rsidRPr="00140E9B">
              <w:rPr>
                <w:b/>
                <w:bCs/>
                <w:color w:val="000000"/>
                <w:sz w:val="20"/>
                <w:szCs w:val="20"/>
                <w:lang w:val="en-US" w:eastAsia="zh-CN"/>
              </w:rPr>
              <w:t>20,000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b/>
                <w:bCs/>
                <w:color w:val="000000"/>
                <w:sz w:val="20"/>
                <w:szCs w:val="20"/>
                <w:lang w:val="en-US" w:eastAsia="zh-CN"/>
              </w:rPr>
            </w:pPr>
            <w:r w:rsidRPr="00140E9B">
              <w:rPr>
                <w:b/>
                <w:bCs/>
                <w:color w:val="000000"/>
                <w:sz w:val="20"/>
                <w:szCs w:val="20"/>
                <w:lang w:val="en-US" w:eastAsia="zh-CN"/>
              </w:rPr>
              <w:t>120,500</w:t>
            </w:r>
          </w:p>
        </w:tc>
        <w:tc>
          <w:tcPr>
            <w:tcW w:w="490"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b/>
                <w:bCs/>
                <w:color w:val="000000"/>
                <w:sz w:val="20"/>
                <w:szCs w:val="20"/>
                <w:lang w:val="en-US" w:eastAsia="zh-CN"/>
              </w:rPr>
            </w:pPr>
            <w:r w:rsidRPr="00140E9B">
              <w:rPr>
                <w:b/>
                <w:bCs/>
                <w:color w:val="000000"/>
                <w:sz w:val="20"/>
                <w:szCs w:val="20"/>
                <w:lang w:val="en-US" w:eastAsia="zh-CN"/>
              </w:rPr>
              <w:t>69,500</w:t>
            </w:r>
          </w:p>
        </w:tc>
        <w:tc>
          <w:tcPr>
            <w:tcW w:w="518" w:type="pct"/>
            <w:tcBorders>
              <w:top w:val="nil"/>
              <w:left w:val="nil"/>
              <w:bottom w:val="single" w:sz="4" w:space="0" w:color="auto"/>
              <w:right w:val="single" w:sz="4" w:space="0" w:color="auto"/>
            </w:tcBorders>
            <w:shd w:val="clear" w:color="auto" w:fill="auto"/>
            <w:noWrap/>
            <w:vAlign w:val="bottom"/>
            <w:hideMark/>
          </w:tcPr>
          <w:p w:rsidR="00BB2BF6" w:rsidRPr="00140E9B" w:rsidRDefault="007101D2" w:rsidP="00634590">
            <w:pPr>
              <w:jc w:val="right"/>
              <w:rPr>
                <w:b/>
                <w:bCs/>
                <w:color w:val="000000"/>
                <w:sz w:val="20"/>
                <w:szCs w:val="20"/>
                <w:lang w:val="en-US" w:eastAsia="zh-CN"/>
              </w:rPr>
            </w:pPr>
            <w:r w:rsidRPr="00140E9B">
              <w:rPr>
                <w:b/>
                <w:bCs/>
                <w:color w:val="000000"/>
                <w:sz w:val="20"/>
                <w:szCs w:val="20"/>
                <w:lang w:val="en-US" w:eastAsia="zh-CN"/>
              </w:rPr>
              <w:t>210,000</w:t>
            </w:r>
          </w:p>
        </w:tc>
      </w:tr>
    </w:tbl>
    <w:p w:rsidR="00BB2BF6" w:rsidRPr="00C22111" w:rsidRDefault="00BB2BF6" w:rsidP="00634590">
      <w:pPr>
        <w:rPr>
          <w:lang w:val="en-US"/>
        </w:rPr>
      </w:pPr>
    </w:p>
    <w:p w:rsidR="00BB2BF6" w:rsidRDefault="007101D2" w:rsidP="00634590">
      <w:pPr>
        <w:keepNext/>
        <w:rPr>
          <w:u w:val="single"/>
        </w:rPr>
      </w:pPr>
      <w:r w:rsidRPr="00C22111">
        <w:rPr>
          <w:u w:val="single"/>
        </w:rPr>
        <w:t>Technical issues</w:t>
      </w:r>
    </w:p>
    <w:p w:rsidR="00634590" w:rsidRPr="00C22111" w:rsidRDefault="00634590" w:rsidP="00634590">
      <w:pPr>
        <w:keepNext/>
        <w:rPr>
          <w:lang w:val="en-US"/>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US"/>
        </w:rPr>
      </w:pPr>
      <w:r w:rsidRPr="00C22111">
        <w:t>Other issues, including the introduction of flammable refrigerants, reducing HCFC growth, and implementation modalities were discussed and satisfactorily addressed. South Sudan will promote natural refrigerants through the introduction of new equipment only. Training of technicians in safe handling of flammable and toxic refrigerants (</w:t>
      </w:r>
      <w:r w:rsidR="003B114C" w:rsidRPr="00C22111">
        <w:t>e.g.,</w:t>
      </w:r>
      <w:r w:rsidR="007929AD" w:rsidRPr="00C22111">
        <w:t xml:space="preserve"> </w:t>
      </w:r>
      <w:r w:rsidRPr="00C22111">
        <w:t>hydrocarbon, CO</w:t>
      </w:r>
      <w:r w:rsidRPr="00C22111">
        <w:rPr>
          <w:vertAlign w:val="subscript"/>
        </w:rPr>
        <w:t>2</w:t>
      </w:r>
      <w:r w:rsidRPr="00C22111">
        <w:t xml:space="preserve"> and NH</w:t>
      </w:r>
      <w:r w:rsidRPr="00C22111">
        <w:rPr>
          <w:vertAlign w:val="subscript"/>
        </w:rPr>
        <w:t>3</w:t>
      </w:r>
      <w:r w:rsidRPr="00C22111">
        <w:t>), and the development of safety standards planned for stage I will address the safety concerns linked to using flammable and toxic refrigerants. Through information dissemination, the Government will promote the use of non</w:t>
      </w:r>
      <w:r w:rsidRPr="00C22111">
        <w:noBreakHyphen/>
        <w:t xml:space="preserve">ODS alternatives to reduce the growth of HCFC consumption in future years. </w:t>
      </w: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US"/>
        </w:rPr>
      </w:pPr>
      <w:r w:rsidRPr="00C22111">
        <w:t xml:space="preserve">South Sudan had been experiencing civil unrest and conflict in recent years. The Secretariat was concerned about whether an enabling environment for HPMP implementation already existed and how the activities would be delivered on the ground. Although the capital city, Juba, is relatively safe and other agencies are still visiting the country, given the current security situation, it might be challenging to mobilize international resources to deliver training activities within the country. After </w:t>
      </w:r>
      <w:r w:rsidR="005D3099" w:rsidRPr="00C22111">
        <w:t xml:space="preserve">discussing with UNEP </w:t>
      </w:r>
      <w:r w:rsidRPr="00C22111">
        <w:t>and consultation with the</w:t>
      </w:r>
      <w:r w:rsidR="005D3099" w:rsidRPr="00C22111">
        <w:t xml:space="preserve"> Government</w:t>
      </w:r>
      <w:r w:rsidRPr="00C22111">
        <w:t>, it was agreed t</w:t>
      </w:r>
      <w:r w:rsidR="004F3C75" w:rsidRPr="00C22111">
        <w:t>hat the first tranche will only plan for minimum funding of US</w:t>
      </w:r>
      <w:r w:rsidR="005D3099" w:rsidRPr="00C22111">
        <w:t> </w:t>
      </w:r>
      <w:r w:rsidR="004F3C75" w:rsidRPr="00C22111">
        <w:t xml:space="preserve">$20,000 </w:t>
      </w:r>
      <w:r w:rsidRPr="00C22111">
        <w:t>focus</w:t>
      </w:r>
      <w:r w:rsidR="004F3C75" w:rsidRPr="00C22111">
        <w:t>ing</w:t>
      </w:r>
      <w:r w:rsidRPr="00C22111">
        <w:t xml:space="preserve"> on </w:t>
      </w:r>
      <w:r w:rsidR="004F3C75" w:rsidRPr="00C22111">
        <w:t>strengthening</w:t>
      </w:r>
      <w:r w:rsidRPr="00C22111">
        <w:t xml:space="preserve"> </w:t>
      </w:r>
      <w:r w:rsidR="004F3C75" w:rsidRPr="00C22111">
        <w:t xml:space="preserve">institutional and regulatory framework, establishing the communication channel within the Government and the procedures for implementing the licensing and quota system for HCFCs. If the first tranche implementation goes well, more funding could be requested in the second tranche to </w:t>
      </w:r>
      <w:r w:rsidR="005D3099" w:rsidRPr="00C22111">
        <w:t xml:space="preserve">facilitate </w:t>
      </w:r>
      <w:r w:rsidR="004F3C75" w:rsidRPr="00C22111">
        <w:t xml:space="preserve">further </w:t>
      </w:r>
      <w:r w:rsidR="005D3099" w:rsidRPr="00C22111">
        <w:t xml:space="preserve">capacity </w:t>
      </w:r>
      <w:r w:rsidR="004F3C75" w:rsidRPr="00C22111">
        <w:t>develop</w:t>
      </w:r>
      <w:r w:rsidR="005D3099" w:rsidRPr="00C22111">
        <w:t>ment</w:t>
      </w:r>
      <w:r w:rsidR="004F3C75" w:rsidRPr="00C22111">
        <w:t xml:space="preserve"> in </w:t>
      </w:r>
      <w:r w:rsidR="005D3099" w:rsidRPr="00C22111">
        <w:t xml:space="preserve">the </w:t>
      </w:r>
      <w:r w:rsidR="004F3C75" w:rsidRPr="00C22111">
        <w:t>servicing sector</w:t>
      </w:r>
      <w:r w:rsidR="005D3099" w:rsidRPr="00C22111">
        <w:t>.</w:t>
      </w:r>
    </w:p>
    <w:p w:rsidR="00BB2BF6" w:rsidRDefault="007101D2" w:rsidP="00634590">
      <w:pPr>
        <w:pStyle w:val="Heading1"/>
        <w:numPr>
          <w:ilvl w:val="0"/>
          <w:numId w:val="0"/>
        </w:numPr>
        <w:spacing w:after="0"/>
        <w:rPr>
          <w:u w:val="single"/>
        </w:rPr>
      </w:pPr>
      <w:r w:rsidRPr="00C22111">
        <w:rPr>
          <w:u w:val="single"/>
        </w:rPr>
        <w:t>Impact on the climate</w:t>
      </w:r>
    </w:p>
    <w:p w:rsidR="00634590" w:rsidRPr="00634590" w:rsidRDefault="00634590" w:rsidP="00634590"/>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u w:val="single"/>
        </w:rPr>
      </w:pPr>
      <w:r w:rsidRPr="00C22111">
        <w:t>The proposed technical assistance activities in the HPMP, which include the introduction of better servicing practices, enforcement of HCFC import controls, more frequent preventive servicing of equipment and replacement of HCFC-based with non-HCFC equipment, will reduce the amount of HCFC-22 used for refrigeration servicing. The Government of South Sudan is also proposing to introduce low-GWP alternatives which will contribute to further reductions in CO</w:t>
      </w:r>
      <w:r w:rsidRPr="00C22111">
        <w:rPr>
          <w:vertAlign w:val="subscript"/>
        </w:rPr>
        <w:t>2 </w:t>
      </w:r>
      <w:r w:rsidRPr="00C22111">
        <w:t>emissions. Each kilogramme of HCFC-22 not emitted due to better refrigeration practices results in savings of approximately 1.8 </w:t>
      </w:r>
      <w:r w:rsidRPr="00140E9B">
        <w:t>CO</w:t>
      </w:r>
      <w:r w:rsidRPr="00140E9B">
        <w:rPr>
          <w:vertAlign w:val="subscript"/>
        </w:rPr>
        <w:t>2</w:t>
      </w:r>
      <w:r w:rsidR="00140E9B">
        <w:noBreakHyphen/>
      </w:r>
      <w:r w:rsidRPr="00140E9B">
        <w:t>equivalent</w:t>
      </w:r>
      <w:r w:rsidRPr="00C22111">
        <w:t xml:space="preserve"> tonnes. It is difficult to provide reliable data on climate impact since the HCFC alternatives that will be used are not clearly identified at this stage. At this time, the Secretariat is not in a position to quantitatively estimate the impact of the HPMP on the climate.</w:t>
      </w:r>
    </w:p>
    <w:p w:rsidR="00BB2BF6" w:rsidRDefault="007101D2" w:rsidP="00634590">
      <w:pPr>
        <w:keepNext/>
        <w:keepLines/>
        <w:widowControl w:val="0"/>
        <w:rPr>
          <w:u w:val="single"/>
        </w:rPr>
      </w:pPr>
      <w:r w:rsidRPr="00C22111">
        <w:rPr>
          <w:u w:val="single"/>
        </w:rPr>
        <w:t>Co-financing</w:t>
      </w:r>
    </w:p>
    <w:p w:rsidR="00634590" w:rsidRPr="00C22111" w:rsidRDefault="00634590" w:rsidP="00634590">
      <w:pPr>
        <w:keepNext/>
        <w:keepLines/>
        <w:widowControl w:val="0"/>
        <w:rPr>
          <w:u w:val="single"/>
        </w:rPr>
      </w:pPr>
    </w:p>
    <w:p w:rsidR="00BB2BF6" w:rsidRPr="00C22111" w:rsidRDefault="007101D2" w:rsidP="00634590">
      <w:pPr>
        <w:pStyle w:val="Heading1"/>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In response to decision 54/39(h)</w:t>
      </w:r>
      <w:r w:rsidRPr="00C22111">
        <w:rPr>
          <w:rStyle w:val="FootnoteReference"/>
        </w:rPr>
        <w:footnoteReference w:id="3"/>
      </w:r>
      <w:r w:rsidRPr="00C22111">
        <w:t xml:space="preserve">, </w:t>
      </w:r>
      <w:r w:rsidRPr="00C22111">
        <w:rPr>
          <w:lang w:val="en-CA"/>
        </w:rPr>
        <w:t>UNEP informed the Secretariat that the Government of South Sudan is exploring the opportunity for co-funding. This might occur during implementation of stage I of the HPMP.</w:t>
      </w:r>
    </w:p>
    <w:p w:rsidR="00BB2BF6" w:rsidRDefault="007101D2" w:rsidP="00634590">
      <w:pPr>
        <w:keepNext/>
        <w:rPr>
          <w:u w:val="single"/>
        </w:rPr>
      </w:pPr>
      <w:r w:rsidRPr="00C22111">
        <w:rPr>
          <w:u w:val="single"/>
        </w:rPr>
        <w:t>2016-2018 business plan of the Multilateral Fund</w:t>
      </w:r>
    </w:p>
    <w:p w:rsidR="00634590" w:rsidRPr="00C22111" w:rsidRDefault="00634590" w:rsidP="00634590">
      <w:pPr>
        <w:keepNext/>
        <w:rPr>
          <w:u w:val="single"/>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UNEP and UNDP are requesting US $210,000, plus agency support costs, for the implementation of stage I of the HPMP (2016</w:t>
      </w:r>
      <w:r w:rsidRPr="00C22111">
        <w:noBreakHyphen/>
        <w:t>2020). Of this amount, US $</w:t>
      </w:r>
      <w:r w:rsidR="003B114C" w:rsidRPr="00C22111">
        <w:t>156,765</w:t>
      </w:r>
      <w:r w:rsidRPr="00C22111">
        <w:t xml:space="preserve"> is requested for the 2016</w:t>
      </w:r>
      <w:r w:rsidRPr="00C22111">
        <w:noBreakHyphen/>
        <w:t>2018 triennium, which is US $</w:t>
      </w:r>
      <w:r w:rsidR="003B114C" w:rsidRPr="00C22111">
        <w:t>26,205</w:t>
      </w:r>
      <w:r w:rsidRPr="00C22111">
        <w:t xml:space="preserve"> above the total amount in the business plan for these years.</w:t>
      </w:r>
    </w:p>
    <w:p w:rsidR="00BB2BF6" w:rsidRDefault="007101D2" w:rsidP="00634590">
      <w:pPr>
        <w:rPr>
          <w:u w:val="single"/>
        </w:rPr>
      </w:pPr>
      <w:r w:rsidRPr="00C22111">
        <w:rPr>
          <w:u w:val="single"/>
        </w:rPr>
        <w:t>Draft Agreement</w:t>
      </w:r>
    </w:p>
    <w:p w:rsidR="00634590" w:rsidRPr="00C22111" w:rsidRDefault="00634590" w:rsidP="00634590">
      <w:pPr>
        <w:rPr>
          <w:u w:val="single"/>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pPr>
      <w:r w:rsidRPr="00C22111">
        <w:t>A draft Agreement between the Government of South Sudan and the Executive Committee for HCFC phase-out is contained in Annex I to the present document.</w:t>
      </w:r>
    </w:p>
    <w:p w:rsidR="00BB2BF6" w:rsidRDefault="007101D2" w:rsidP="00634590">
      <w:pPr>
        <w:rPr>
          <w:b/>
        </w:rPr>
      </w:pPr>
      <w:r w:rsidRPr="00C22111">
        <w:rPr>
          <w:b/>
        </w:rPr>
        <w:t>RECOMMENDATION</w:t>
      </w:r>
    </w:p>
    <w:p w:rsidR="00634590" w:rsidRPr="00C22111" w:rsidRDefault="00634590" w:rsidP="00634590">
      <w:pPr>
        <w:rPr>
          <w:b/>
        </w:rPr>
      </w:pPr>
    </w:p>
    <w:p w:rsidR="00BB2BF6" w:rsidRPr="00C22111" w:rsidRDefault="007101D2" w:rsidP="00634590">
      <w:pPr>
        <w:pStyle w:val="Heading1"/>
        <w:tabs>
          <w:tab w:val="left" w:pos="-1440"/>
          <w:tab w:val="left" w:pos="0"/>
          <w:tab w:val="left" w:pos="720"/>
          <w:tab w:val="left" w:pos="1440"/>
          <w:tab w:val="left" w:pos="2160"/>
          <w:tab w:val="left" w:pos="2880"/>
          <w:tab w:val="left" w:pos="3600"/>
          <w:tab w:val="left" w:pos="4320"/>
          <w:tab w:val="left" w:pos="5040"/>
          <w:tab w:val="left" w:pos="5760"/>
          <w:tab w:val="left" w:pos="6480"/>
          <w:tab w:val="decimal" w:pos="7200"/>
        </w:tabs>
        <w:rPr>
          <w:lang w:val="en-US"/>
        </w:rPr>
      </w:pPr>
      <w:r w:rsidRPr="00C22111">
        <w:rPr>
          <w:lang w:val="en-US"/>
        </w:rPr>
        <w:t>The Executive Committee may wish to consider:</w:t>
      </w:r>
    </w:p>
    <w:p w:rsidR="00BB2BF6" w:rsidRPr="00C22111" w:rsidRDefault="007101D2" w:rsidP="00634590">
      <w:pPr>
        <w:pStyle w:val="Heading2"/>
        <w:numPr>
          <w:ilvl w:val="1"/>
          <w:numId w:val="1"/>
        </w:numPr>
      </w:pPr>
      <w:r w:rsidRPr="00C22111">
        <w:rPr>
          <w:lang w:val="en-US"/>
        </w:rPr>
        <w:t xml:space="preserve">Approving, in principle, stage I of the HCFC phase-out management plan (HPMP) for South Sudan for the period 2016 to 2020 </w:t>
      </w:r>
      <w:r w:rsidRPr="00C22111">
        <w:t xml:space="preserve">to reduce HCFC consumption by 35 per cent of the baseline, at the amount of </w:t>
      </w:r>
      <w:r w:rsidRPr="00C22111">
        <w:rPr>
          <w:lang w:val="en-US"/>
        </w:rPr>
        <w:t xml:space="preserve">US $233,700, </w:t>
      </w:r>
      <w:r w:rsidRPr="00C22111">
        <w:t>consisting of US $120,000, plus agency support costs of US $15,600 for UNEP, and US $90,000, plus agency support costs of US $8,100 for UNDP;</w:t>
      </w:r>
    </w:p>
    <w:p w:rsidR="00BB2BF6" w:rsidRPr="00C22111" w:rsidRDefault="007101D2" w:rsidP="00634590">
      <w:pPr>
        <w:pStyle w:val="Heading2"/>
        <w:numPr>
          <w:ilvl w:val="1"/>
          <w:numId w:val="1"/>
        </w:numPr>
      </w:pPr>
      <w:r w:rsidRPr="00C22111">
        <w:rPr>
          <w:lang w:val="en-US"/>
        </w:rPr>
        <w:t xml:space="preserve">Noting that the Government of South Sudan had agreed to establish as its starting point for sustained aggregate reduction in HCFC consumption </w:t>
      </w:r>
      <w:r w:rsidR="003B114C" w:rsidRPr="00C22111">
        <w:rPr>
          <w:lang w:val="en-US"/>
        </w:rPr>
        <w:t xml:space="preserve">at </w:t>
      </w:r>
      <w:r w:rsidRPr="00C22111">
        <w:rPr>
          <w:lang w:val="en-US"/>
        </w:rPr>
        <w:t xml:space="preserve">1.64 ODP tonnes, </w:t>
      </w:r>
      <w:r w:rsidRPr="00C22111">
        <w:t xml:space="preserve">based on </w:t>
      </w:r>
      <w:r w:rsidR="003B114C" w:rsidRPr="00C22111">
        <w:t xml:space="preserve">the </w:t>
      </w:r>
      <w:r w:rsidRPr="00C22111">
        <w:t xml:space="preserve">data </w:t>
      </w:r>
      <w:r w:rsidR="003B114C" w:rsidRPr="00C22111">
        <w:t xml:space="preserve">collected </w:t>
      </w:r>
      <w:r w:rsidRPr="00C22111">
        <w:t>from</w:t>
      </w:r>
      <w:r w:rsidR="003B114C" w:rsidRPr="00C22111">
        <w:t xml:space="preserve"> the</w:t>
      </w:r>
      <w:r w:rsidRPr="00C22111">
        <w:t xml:space="preserve"> survey</w:t>
      </w:r>
      <w:r w:rsidR="003B114C" w:rsidRPr="00C22111">
        <w:t xml:space="preserve"> during preparation for stage I of the HPMP</w:t>
      </w:r>
      <w:r w:rsidRPr="00C22111">
        <w:t>;</w:t>
      </w:r>
    </w:p>
    <w:p w:rsidR="00BB2BF6" w:rsidRPr="00C22111" w:rsidRDefault="005D3099" w:rsidP="00634590">
      <w:pPr>
        <w:pStyle w:val="Heading2"/>
        <w:numPr>
          <w:ilvl w:val="1"/>
          <w:numId w:val="1"/>
        </w:numPr>
      </w:pPr>
      <w:r w:rsidRPr="00C22111">
        <w:t>Deducting 0.57</w:t>
      </w:r>
      <w:r w:rsidR="007101D2" w:rsidRPr="00C22111">
        <w:t xml:space="preserve"> ODP tonnes of HCFCs from the starting point for sustained aggregate reduction in HCFC consumption;</w:t>
      </w:r>
    </w:p>
    <w:p w:rsidR="00BB2BF6" w:rsidRPr="00C22111" w:rsidRDefault="007101D2" w:rsidP="00634590">
      <w:pPr>
        <w:pStyle w:val="Heading2"/>
        <w:numPr>
          <w:ilvl w:val="1"/>
          <w:numId w:val="1"/>
        </w:numPr>
        <w:rPr>
          <w:lang w:val="en-US"/>
        </w:rPr>
      </w:pPr>
      <w:r w:rsidRPr="00C22111">
        <w:rPr>
          <w:lang w:val="en-US"/>
        </w:rPr>
        <w:t>Approving the draft Agreement between the Government of South Sudan and the Executive Committee for the reduction in consumption of HCFCs, as contained in Annex I to the present document; and</w:t>
      </w:r>
    </w:p>
    <w:p w:rsidR="00BB2BF6" w:rsidRPr="00C22111" w:rsidRDefault="007101D2" w:rsidP="00634590">
      <w:pPr>
        <w:pStyle w:val="Heading2"/>
        <w:numPr>
          <w:ilvl w:val="1"/>
          <w:numId w:val="1"/>
        </w:numPr>
      </w:pPr>
      <w:proofErr w:type="gramStart"/>
      <w:r w:rsidRPr="00C22111">
        <w:t>Approving the first tranche of stage I of the HPMP for South Sudan and the corresponding implementation plan, at the amount of US $</w:t>
      </w:r>
      <w:r w:rsidR="005D3099" w:rsidRPr="00C22111">
        <w:t>20,000</w:t>
      </w:r>
      <w:r w:rsidRPr="00C22111">
        <w:t>, plus agency support costs of US $</w:t>
      </w:r>
      <w:r w:rsidR="005D3099" w:rsidRPr="00C22111">
        <w:t>2,600</w:t>
      </w:r>
      <w:r w:rsidRPr="00C22111">
        <w:t xml:space="preserve"> for UNEP.</w:t>
      </w:r>
      <w:proofErr w:type="gramEnd"/>
    </w:p>
    <w:p w:rsidR="00B45460" w:rsidRDefault="00B45460" w:rsidP="00634590">
      <w:pPr>
        <w:jc w:val="center"/>
        <w:rPr>
          <w:sz w:val="28"/>
          <w:szCs w:val="28"/>
        </w:rPr>
        <w:sectPr w:rsidR="00B45460">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B45460" w:rsidRPr="00D515B1" w:rsidRDefault="00B45460" w:rsidP="00B45460">
      <w:pPr>
        <w:jc w:val="center"/>
        <w:rPr>
          <w:b/>
        </w:rPr>
      </w:pPr>
      <w:r w:rsidRPr="00D515B1">
        <w:rPr>
          <w:b/>
        </w:rPr>
        <w:t>Annex I</w:t>
      </w:r>
    </w:p>
    <w:p w:rsidR="00B45460" w:rsidRPr="00D515B1" w:rsidRDefault="00B45460" w:rsidP="00B45460"/>
    <w:p w:rsidR="00B45460" w:rsidRPr="00D515B1" w:rsidRDefault="00B45460" w:rsidP="00B45460">
      <w:pPr>
        <w:jc w:val="center"/>
        <w:rPr>
          <w:b/>
        </w:rPr>
      </w:pPr>
      <w:r w:rsidRPr="00D515B1">
        <w:rPr>
          <w:b/>
        </w:rPr>
        <w:t>DRAFT AGREEMENT BETWEEN THE GOVERNMENT OF SOUTH SUDAN AND THE EXECUTIVE COMMITTEE OF THE MULTILATERAL FUND FOR THE REDUCTION IN CONSUMPTION OF HYDROCHLOROFLUOROCARBONS</w:t>
      </w:r>
    </w:p>
    <w:p w:rsidR="00B45460" w:rsidRPr="00D515B1" w:rsidRDefault="00B45460" w:rsidP="00B45460">
      <w:pPr>
        <w:jc w:val="center"/>
        <w:rPr>
          <w:b/>
        </w:rPr>
      </w:pPr>
    </w:p>
    <w:p w:rsidR="00B45460" w:rsidRPr="00D515B1" w:rsidRDefault="00B45460" w:rsidP="001863C2">
      <w:pPr>
        <w:pStyle w:val="Heading1"/>
        <w:numPr>
          <w:ilvl w:val="0"/>
          <w:numId w:val="48"/>
        </w:numPr>
      </w:pPr>
      <w:r w:rsidRPr="00D515B1">
        <w:t>This Agreement represents the understanding of the Government of South Sudan (the “Country”) and the Executive Committee with respect to the reduction of controlled use of the ozone</w:t>
      </w:r>
      <w:r w:rsidRPr="00D515B1">
        <w:noBreakHyphen/>
        <w:t xml:space="preserve">depleting substances (ODS) set out in Appendix 1-A (“The Substances”) to a sustained level of 1.07 ODP tonnes by 1 January 2020 in compliance with Montreal Protocol schedules. </w:t>
      </w:r>
    </w:p>
    <w:p w:rsidR="00B45460" w:rsidRPr="00D515B1" w:rsidRDefault="00B45460" w:rsidP="00B45460">
      <w:pPr>
        <w:pStyle w:val="Heading1"/>
      </w:pPr>
      <w:r w:rsidRPr="00D515B1">
        <w:t>The Country agrees to meet the annual consumption limits of the Substances as set out in row 1.2 of Appendix 2-A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 4.1.3 (remaining eligible consumption).</w:t>
      </w:r>
    </w:p>
    <w:p w:rsidR="00B45460" w:rsidRPr="00D515B1" w:rsidRDefault="00B45460" w:rsidP="00B45460">
      <w:pPr>
        <w:pStyle w:val="Heading1"/>
      </w:pPr>
      <w:r w:rsidRPr="00D515B1">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rsidR="00B45460" w:rsidRPr="00D515B1" w:rsidRDefault="00B45460" w:rsidP="00B45460">
      <w:pPr>
        <w:pStyle w:val="Heading1"/>
      </w:pPr>
      <w:r w:rsidRPr="00D515B1">
        <w:t>The Country agrees to implement this Agreement in accordance with the HCFC phase-out sector plans submitted.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rsidR="00B45460" w:rsidRPr="00D515B1" w:rsidRDefault="00B45460" w:rsidP="00B45460">
      <w:pPr>
        <w:pStyle w:val="Heading1"/>
      </w:pPr>
      <w:r w:rsidRPr="00D515B1">
        <w:t>The Executive Committee will not provide the Funding in accordance with the Funding Approval Schedule unless the Country satisfies the following conditions at least eight weeks in advance of the applicable Executive Committee meeting set out in the Funding Approval Schedule:</w:t>
      </w:r>
    </w:p>
    <w:p w:rsidR="00B45460" w:rsidRPr="00D515B1" w:rsidRDefault="00B45460" w:rsidP="00B45460">
      <w:pPr>
        <w:pStyle w:val="Heading2"/>
        <w:numPr>
          <w:ilvl w:val="1"/>
          <w:numId w:val="1"/>
        </w:numPr>
      </w:pPr>
      <w:r w:rsidRPr="00D515B1">
        <w:t>That the Country had met the Targets set out in row 1.2 of Appendix 2</w:t>
      </w:r>
      <w:r w:rsidRPr="00D515B1">
        <w:noBreakHyphen/>
        <w:t xml:space="preserve">A for all relevant years. Relevant years are all years since the year in which this Agreement was approved. Years for which no obligation for reporting of country programme data exists at the date of the Executive Committee meeting at which the funding request is being presented are exempted; </w:t>
      </w:r>
    </w:p>
    <w:p w:rsidR="00B45460" w:rsidRPr="00D515B1" w:rsidRDefault="00B45460" w:rsidP="00B45460">
      <w:pPr>
        <w:pStyle w:val="Heading2"/>
        <w:numPr>
          <w:ilvl w:val="1"/>
          <w:numId w:val="1"/>
        </w:numPr>
      </w:pPr>
      <w:r w:rsidRPr="00D515B1">
        <w:t>That the meeting of these Targets has been independently verified, unless the Executive Committee decided that such verification would not be required;</w:t>
      </w:r>
    </w:p>
    <w:p w:rsidR="00B45460" w:rsidRPr="00D515B1" w:rsidRDefault="00B45460" w:rsidP="00B45460">
      <w:pPr>
        <w:pStyle w:val="Heading2"/>
        <w:numPr>
          <w:ilvl w:val="1"/>
          <w:numId w:val="1"/>
        </w:numPr>
      </w:pPr>
      <w:r w:rsidRPr="00D515B1">
        <w:t>That the Country had submitted annual implementation reports in the form of Appendix 4-A (“Format of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rsidR="00B45460" w:rsidRPr="00D515B1" w:rsidRDefault="00B45460" w:rsidP="00B45460">
      <w:pPr>
        <w:pStyle w:val="Heading2"/>
        <w:numPr>
          <w:ilvl w:val="1"/>
          <w:numId w:val="1"/>
        </w:numPr>
      </w:pPr>
      <w:r w:rsidRPr="00D515B1">
        <w:t>That the Country has submitted an annual implementation plan in the form of Appendix 4</w:t>
      </w:r>
      <w:r>
        <w:t>-</w:t>
      </w:r>
      <w:r w:rsidRPr="00D515B1">
        <w:t>A covering each calendar year until and including the year for which the funding schedule foresees the submission of the next tranche or, in case of the final tranche, until completion of all activities foreseen.</w:t>
      </w:r>
    </w:p>
    <w:p w:rsidR="00B45460" w:rsidRPr="00D515B1" w:rsidRDefault="00B45460" w:rsidP="00B45460">
      <w:pPr>
        <w:pStyle w:val="Heading1"/>
      </w:pPr>
      <w:r w:rsidRPr="00D515B1">
        <w:t>The Country will ensure that it conducts accurate monitoring of its activities under this Agreement. The institutions set out in Appendix 5-A (“Monitoring Institutions and Roles”) will monitor and report on implementation of the activities in the previous annual implementation plans in accordance with their roles and responsibilities set out in Appendix 5-A. This monitoring will also be subject to independent verification as described in paragraph 4 above.</w:t>
      </w:r>
    </w:p>
    <w:p w:rsidR="00B45460" w:rsidRPr="00D515B1" w:rsidRDefault="00B45460" w:rsidP="00B45460">
      <w:pPr>
        <w:pStyle w:val="Heading1"/>
      </w:pPr>
      <w:r w:rsidRPr="00D515B1">
        <w:t>The Executive Committee agrees that the Country may have the flexibility to reallocate the approved funds, or part of the funds, according to the evolving circumstances to achieve the smoothest reduction of consumption and phase-out of the Substances specified in Appendix 1-A:</w:t>
      </w:r>
    </w:p>
    <w:p w:rsidR="00B45460" w:rsidRPr="00D515B1" w:rsidRDefault="00B45460" w:rsidP="00B45460">
      <w:pPr>
        <w:pStyle w:val="Heading2"/>
        <w:numPr>
          <w:ilvl w:val="1"/>
          <w:numId w:val="1"/>
        </w:numPr>
      </w:pPr>
      <w:r w:rsidRPr="00D515B1">
        <w:t>Reallocations categorized as major changes must be documented in advance either in an annual implementation plan submitted as foreseen in sub</w:t>
      </w:r>
      <w:r w:rsidRPr="00D515B1">
        <w:noBreakHyphen/>
        <w:t>paragraph 5(d) above, or as a revision to an existing annual implementation plan to be submitted eight weeks prior to any meeting of the Executive Committee, for its approval. Major changes would relate to:</w:t>
      </w:r>
    </w:p>
    <w:p w:rsidR="00B45460" w:rsidRPr="00D515B1" w:rsidRDefault="00B45460" w:rsidP="00B45460">
      <w:pPr>
        <w:pStyle w:val="Heading3"/>
        <w:numPr>
          <w:ilvl w:val="2"/>
          <w:numId w:val="1"/>
        </w:numPr>
      </w:pPr>
      <w:r w:rsidRPr="00D515B1">
        <w:t xml:space="preserve">Issues potentially concerning the rules and policies of the Multilateral Fund; </w:t>
      </w:r>
    </w:p>
    <w:p w:rsidR="00B45460" w:rsidRPr="00D515B1" w:rsidRDefault="00B45460" w:rsidP="00B45460">
      <w:pPr>
        <w:pStyle w:val="Heading3"/>
        <w:numPr>
          <w:ilvl w:val="2"/>
          <w:numId w:val="1"/>
        </w:numPr>
      </w:pPr>
      <w:r w:rsidRPr="00D515B1">
        <w:t xml:space="preserve">Changes which would modify any clause of this Agreement; </w:t>
      </w:r>
    </w:p>
    <w:p w:rsidR="00B45460" w:rsidRPr="00D515B1" w:rsidRDefault="00B45460" w:rsidP="00B45460">
      <w:pPr>
        <w:pStyle w:val="Heading3"/>
        <w:numPr>
          <w:ilvl w:val="2"/>
          <w:numId w:val="1"/>
        </w:numPr>
      </w:pPr>
      <w:r w:rsidRPr="00D515B1">
        <w:t>Changes in the annual levels of funding allocated to individual bilateral or implementing agencies for the different tranches; and</w:t>
      </w:r>
    </w:p>
    <w:p w:rsidR="00B45460" w:rsidRPr="00D515B1" w:rsidRDefault="00B45460" w:rsidP="00B45460">
      <w:pPr>
        <w:pStyle w:val="Heading3"/>
        <w:numPr>
          <w:ilvl w:val="2"/>
          <w:numId w:val="1"/>
        </w:numPr>
      </w:pPr>
      <w:r w:rsidRPr="00D515B1">
        <w:t>Provision of funding for programmes or activities not included in the current endorsed annual implementation plan, or removal of an activity in the annual implementation plan, with a cost greater than 30 per cent of the total cost of the last approved tranche;</w:t>
      </w:r>
    </w:p>
    <w:p w:rsidR="00B45460" w:rsidRPr="00D515B1" w:rsidRDefault="00B45460" w:rsidP="00B45460">
      <w:pPr>
        <w:pStyle w:val="Heading2"/>
        <w:numPr>
          <w:ilvl w:val="1"/>
          <w:numId w:val="1"/>
        </w:numPr>
      </w:pPr>
      <w:r w:rsidRPr="00D515B1">
        <w:t>Reallocations not categorized as major changes may be incorporated in the approved annual implementation plan, under implementation at the time, and reported to the Executive Committee in the subsequent annual implementation report; and</w:t>
      </w:r>
    </w:p>
    <w:p w:rsidR="00B45460" w:rsidRPr="00D515B1" w:rsidRDefault="00B45460" w:rsidP="00B45460">
      <w:pPr>
        <w:pStyle w:val="Heading2"/>
        <w:numPr>
          <w:ilvl w:val="1"/>
          <w:numId w:val="1"/>
        </w:numPr>
      </w:pPr>
      <w:r w:rsidRPr="00D515B1">
        <w:t xml:space="preserve">Any remaining funds will be returned to the Multilateral Fund upon completion of the last tranche foreseen under this Agreement. </w:t>
      </w:r>
    </w:p>
    <w:p w:rsidR="00B45460" w:rsidRPr="00D515B1" w:rsidRDefault="00B45460" w:rsidP="00B45460">
      <w:pPr>
        <w:pStyle w:val="Heading1"/>
      </w:pPr>
      <w:r w:rsidRPr="00D515B1">
        <w:t>Specific attention will be paid to the execution of the activities in the refrigeration servicing sub</w:t>
      </w:r>
      <w:r w:rsidRPr="00D515B1">
        <w:noBreakHyphen/>
        <w:t>sector, in particular:</w:t>
      </w:r>
    </w:p>
    <w:p w:rsidR="00B45460" w:rsidRPr="00D515B1" w:rsidRDefault="00B45460" w:rsidP="00B45460">
      <w:pPr>
        <w:pStyle w:val="Heading2"/>
        <w:numPr>
          <w:ilvl w:val="1"/>
          <w:numId w:val="1"/>
        </w:numPr>
      </w:pPr>
      <w:r w:rsidRPr="00D515B1">
        <w:t>The Country would use the flexibility available under this Agreement to address specific needs that might arise during project implementation; and</w:t>
      </w:r>
    </w:p>
    <w:p w:rsidR="00B45460" w:rsidRPr="00D515B1" w:rsidRDefault="00B45460" w:rsidP="00B45460">
      <w:pPr>
        <w:pStyle w:val="Heading2"/>
        <w:numPr>
          <w:ilvl w:val="1"/>
          <w:numId w:val="1"/>
        </w:numPr>
      </w:pPr>
      <w:r w:rsidRPr="00D515B1">
        <w:t>The Country and the bilateral and implementing agencies involved will take full account of the requirements of decisions 41/100 and 49/6 during the implementation of the plan.</w:t>
      </w:r>
    </w:p>
    <w:p w:rsidR="00B45460" w:rsidRPr="00D515B1" w:rsidRDefault="00B45460" w:rsidP="00B45460">
      <w:pPr>
        <w:pStyle w:val="Heading1"/>
      </w:pPr>
      <w:r w:rsidRPr="00D515B1">
        <w:t>The Country agrees to assume overall responsibility for the management and implementation of this Agreement and of all activities undertaken by it or on its behalf to fulfil the obligations under this Agreement. UNEP has agreed to be the lead implementing agency (the “Lead IA”) and UNDP has agreed to be the cooperating implementing agency (the “Cooperating IA”) under the lead of the Lead IA in respect of the Country’s activities under this Agreement. The Country agrees to evaluations, which might be carried out under the monitoring and evaluation work programmes of the Multilateral Fund or under the evaluation programme of any of the agencies taking part in this Agreement.</w:t>
      </w:r>
    </w:p>
    <w:p w:rsidR="00B45460" w:rsidRPr="00D515B1" w:rsidRDefault="00B45460" w:rsidP="00B45460">
      <w:pPr>
        <w:pStyle w:val="Heading1"/>
      </w:pPr>
      <w:r w:rsidRPr="00D515B1">
        <w:t>The Lead IA will be responsible for ensuring co-ordinated planning, implementation and reporting of all activities under this Agreement, including but not limited to independent verification as per sub</w:t>
      </w:r>
      <w:r w:rsidRPr="00D515B1">
        <w:noBreakHyphen/>
        <w:t>paragraph 5(b). This responsibility includes the necessity to co-ordinate with the Cooperating IA to ensure appropriate timing and sequence of activities in the implementation. The Cooperating IA will support the Lead IA by implementing the activities listed in Appendix 6-B under the overall co-ordination of the Lead IA. The Lead IA and Cooperating IA have reached consensus on the arrangements regarding inter</w:t>
      </w:r>
      <w:r w:rsidRPr="00D515B1">
        <w:noBreakHyphen/>
        <w:t>agency planning, reporting and responsibilities under this Agreement to facilitate a co-ordinated implementation of the Plan, including regular co-ordination meetings. The Executive Committee agrees, in principle, to provide the Lead IA and the Cooperating IA with the fees set out in rows 2.2 and 2.4 of Appendix 2-A.</w:t>
      </w:r>
    </w:p>
    <w:p w:rsidR="00B45460" w:rsidRPr="00D515B1" w:rsidRDefault="00B45460" w:rsidP="00B45460">
      <w:pPr>
        <w:pStyle w:val="Heading1"/>
      </w:pPr>
      <w:r w:rsidRPr="00D515B1">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these decisions are taken, this specific case will not be an impediment for future tranches as per paragraph 5 above.</w:t>
      </w:r>
    </w:p>
    <w:p w:rsidR="00B45460" w:rsidRPr="00D515B1" w:rsidRDefault="00B45460" w:rsidP="00B45460">
      <w:pPr>
        <w:pStyle w:val="Heading1"/>
      </w:pPr>
      <w:r w:rsidRPr="00D515B1">
        <w:t>The Funding of this Agreement will not be modified on the basis of any future Executive Committee decision that may affect the funding of any other consumption sector projects or any other related activities in the Country.</w:t>
      </w:r>
    </w:p>
    <w:p w:rsidR="00B45460" w:rsidRPr="00D515B1" w:rsidRDefault="00B45460" w:rsidP="00B45460">
      <w:pPr>
        <w:pStyle w:val="Heading1"/>
      </w:pPr>
      <w:r w:rsidRPr="00D515B1">
        <w:t>The Country will comply with any reasonable request of the Executive Committee, the Lead IA and the Cooperating IA to facilitate implementation of this Agreement. In particular, it will provide the Lead IA and the Cooperating IA with access to the information necessary to verify compliance with this Agreement.</w:t>
      </w:r>
    </w:p>
    <w:p w:rsidR="00B45460" w:rsidRPr="00D515B1" w:rsidRDefault="00B45460" w:rsidP="00B45460">
      <w:pPr>
        <w:pStyle w:val="Heading1"/>
      </w:pPr>
      <w:r w:rsidRPr="00D515B1">
        <w:t>The completion of stage I of the HPMP and the associated Agreement will take place at the end of the year following the last year for which a maximum allowable total consumption level has been specified in Appendix 2-A. Should there at that time still be activities that are outstanding, and which were foreseen in the Plan and its subsequent revisions as per sub-paragraph 5(d) and paragraph 7, the completion will be delayed until the end of the year following the implementation of the remaining activities. The reporting requirements as per sub-paragraphs 1(a), 1(b), 1(d), and 1(e) of Appendix 4-A will continue until the time of the completion unless otherwise specified by the Executive Committee.</w:t>
      </w:r>
    </w:p>
    <w:p w:rsidR="00B45460" w:rsidRPr="00D515B1" w:rsidRDefault="00B45460" w:rsidP="00B45460">
      <w:pPr>
        <w:pStyle w:val="Heading1"/>
      </w:pPr>
      <w:r w:rsidRPr="00D515B1">
        <w:t xml:space="preserve">All of the conditions set out in this Agreement are undertaken solely within the context of the Montreal Protocol and as specified in this Agreement. All terms used in this Agreement have the meaning ascribed to them in the Montreal Protocol unless otherwise defined herein. </w:t>
      </w:r>
    </w:p>
    <w:p w:rsidR="00B45460" w:rsidRPr="00D515B1" w:rsidRDefault="00B45460" w:rsidP="00B45460"/>
    <w:p w:rsidR="00B45460" w:rsidRPr="00D515B1" w:rsidRDefault="00B45460" w:rsidP="00B45460">
      <w:pPr>
        <w:keepNext/>
        <w:rPr>
          <w:b/>
        </w:rPr>
      </w:pPr>
      <w:r w:rsidRPr="00D515B1">
        <w:rPr>
          <w:b/>
        </w:rPr>
        <w:t xml:space="preserve">APPENDICES </w:t>
      </w:r>
    </w:p>
    <w:p w:rsidR="00B45460" w:rsidRPr="00D515B1" w:rsidRDefault="00B45460" w:rsidP="00B45460">
      <w:pPr>
        <w:keepNext/>
        <w:rPr>
          <w:b/>
        </w:rPr>
      </w:pPr>
    </w:p>
    <w:p w:rsidR="00B45460" w:rsidRPr="00D515B1" w:rsidRDefault="00B45460" w:rsidP="00B45460">
      <w:pPr>
        <w:keepNext/>
        <w:rPr>
          <w:b/>
        </w:rPr>
      </w:pPr>
      <w:r w:rsidRPr="00D515B1">
        <w:rPr>
          <w:b/>
        </w:rPr>
        <w:t>APPENDIX 1-A: THE SUBSTANCES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00"/>
        <w:gridCol w:w="900"/>
        <w:gridCol w:w="5209"/>
      </w:tblGrid>
      <w:tr w:rsidR="00B45460" w:rsidRPr="007679FD" w:rsidTr="005B49B5">
        <w:tc>
          <w:tcPr>
            <w:tcW w:w="2880" w:type="dxa"/>
          </w:tcPr>
          <w:p w:rsidR="00B45460" w:rsidRPr="007679FD" w:rsidRDefault="00B45460" w:rsidP="005B49B5">
            <w:pPr>
              <w:keepNext/>
              <w:rPr>
                <w:sz w:val="20"/>
                <w:szCs w:val="20"/>
              </w:rPr>
            </w:pPr>
            <w:r w:rsidRPr="007679FD">
              <w:rPr>
                <w:sz w:val="20"/>
                <w:szCs w:val="20"/>
              </w:rPr>
              <w:t>Substance</w:t>
            </w:r>
          </w:p>
        </w:tc>
        <w:tc>
          <w:tcPr>
            <w:tcW w:w="900" w:type="dxa"/>
          </w:tcPr>
          <w:p w:rsidR="00B45460" w:rsidRPr="007679FD" w:rsidRDefault="00B45460" w:rsidP="005B49B5">
            <w:pPr>
              <w:keepNext/>
              <w:rPr>
                <w:sz w:val="20"/>
                <w:szCs w:val="20"/>
              </w:rPr>
            </w:pPr>
            <w:r w:rsidRPr="007679FD">
              <w:rPr>
                <w:sz w:val="20"/>
                <w:szCs w:val="20"/>
              </w:rPr>
              <w:t>Annex</w:t>
            </w:r>
          </w:p>
        </w:tc>
        <w:tc>
          <w:tcPr>
            <w:tcW w:w="900" w:type="dxa"/>
          </w:tcPr>
          <w:p w:rsidR="00B45460" w:rsidRPr="007679FD" w:rsidRDefault="00B45460" w:rsidP="005B49B5">
            <w:pPr>
              <w:keepNext/>
              <w:rPr>
                <w:sz w:val="20"/>
                <w:szCs w:val="20"/>
              </w:rPr>
            </w:pPr>
            <w:r w:rsidRPr="007679FD">
              <w:rPr>
                <w:sz w:val="20"/>
                <w:szCs w:val="20"/>
              </w:rPr>
              <w:t>Group</w:t>
            </w:r>
          </w:p>
        </w:tc>
        <w:tc>
          <w:tcPr>
            <w:tcW w:w="5209" w:type="dxa"/>
          </w:tcPr>
          <w:p w:rsidR="00B45460" w:rsidRPr="007679FD" w:rsidRDefault="00B45460" w:rsidP="005B49B5">
            <w:pPr>
              <w:keepNext/>
              <w:jc w:val="center"/>
              <w:rPr>
                <w:sz w:val="20"/>
                <w:szCs w:val="20"/>
              </w:rPr>
            </w:pPr>
            <w:r w:rsidRPr="007679FD">
              <w:rPr>
                <w:sz w:val="20"/>
                <w:szCs w:val="20"/>
              </w:rPr>
              <w:t>Starting point for aggregate reductions in consumption</w:t>
            </w:r>
          </w:p>
          <w:p w:rsidR="00B45460" w:rsidRPr="007679FD" w:rsidRDefault="00B45460" w:rsidP="005B49B5">
            <w:pPr>
              <w:keepNext/>
              <w:jc w:val="center"/>
              <w:rPr>
                <w:sz w:val="20"/>
                <w:szCs w:val="20"/>
              </w:rPr>
            </w:pPr>
            <w:r w:rsidRPr="007679FD">
              <w:rPr>
                <w:sz w:val="20"/>
                <w:szCs w:val="20"/>
              </w:rPr>
              <w:t>(ODP tonnes)</w:t>
            </w:r>
          </w:p>
        </w:tc>
      </w:tr>
      <w:tr w:rsidR="00B45460" w:rsidRPr="007679FD" w:rsidTr="005B49B5">
        <w:tc>
          <w:tcPr>
            <w:tcW w:w="2880" w:type="dxa"/>
          </w:tcPr>
          <w:p w:rsidR="00B45460" w:rsidRPr="007679FD" w:rsidRDefault="00B45460" w:rsidP="005B49B5">
            <w:pPr>
              <w:keepNext/>
              <w:rPr>
                <w:sz w:val="20"/>
                <w:szCs w:val="20"/>
              </w:rPr>
            </w:pPr>
            <w:r w:rsidRPr="007679FD">
              <w:rPr>
                <w:sz w:val="20"/>
                <w:szCs w:val="20"/>
              </w:rPr>
              <w:t>HCFC-22</w:t>
            </w:r>
          </w:p>
        </w:tc>
        <w:tc>
          <w:tcPr>
            <w:tcW w:w="900" w:type="dxa"/>
          </w:tcPr>
          <w:p w:rsidR="00B45460" w:rsidRPr="007679FD" w:rsidRDefault="00B45460" w:rsidP="005B49B5">
            <w:pPr>
              <w:keepNext/>
              <w:rPr>
                <w:sz w:val="20"/>
                <w:szCs w:val="20"/>
              </w:rPr>
            </w:pPr>
            <w:r w:rsidRPr="007679FD">
              <w:rPr>
                <w:sz w:val="20"/>
                <w:szCs w:val="20"/>
              </w:rPr>
              <w:t>C</w:t>
            </w:r>
          </w:p>
        </w:tc>
        <w:tc>
          <w:tcPr>
            <w:tcW w:w="900" w:type="dxa"/>
          </w:tcPr>
          <w:p w:rsidR="00B45460" w:rsidRPr="007679FD" w:rsidRDefault="00B45460" w:rsidP="005B49B5">
            <w:pPr>
              <w:keepNext/>
              <w:autoSpaceDE w:val="0"/>
              <w:autoSpaceDN w:val="0"/>
              <w:adjustRightInd w:val="0"/>
              <w:rPr>
                <w:sz w:val="20"/>
                <w:szCs w:val="20"/>
              </w:rPr>
            </w:pPr>
            <w:r w:rsidRPr="007679FD">
              <w:rPr>
                <w:sz w:val="20"/>
                <w:szCs w:val="20"/>
              </w:rPr>
              <w:t xml:space="preserve">I </w:t>
            </w:r>
          </w:p>
        </w:tc>
        <w:tc>
          <w:tcPr>
            <w:tcW w:w="5209" w:type="dxa"/>
            <w:vAlign w:val="center"/>
          </w:tcPr>
          <w:p w:rsidR="00B45460" w:rsidRPr="007679FD" w:rsidRDefault="00B45460" w:rsidP="005B49B5">
            <w:pPr>
              <w:pStyle w:val="Default"/>
              <w:keepNext/>
              <w:widowControl/>
              <w:jc w:val="right"/>
              <w:rPr>
                <w:sz w:val="20"/>
                <w:szCs w:val="20"/>
                <w:lang w:val="en-GB"/>
              </w:rPr>
            </w:pPr>
            <w:r w:rsidRPr="007679FD">
              <w:rPr>
                <w:sz w:val="20"/>
                <w:szCs w:val="20"/>
                <w:lang w:val="en-GB"/>
              </w:rPr>
              <w:t>1.64</w:t>
            </w:r>
          </w:p>
        </w:tc>
      </w:tr>
    </w:tbl>
    <w:p w:rsidR="00B45460" w:rsidRPr="00D515B1" w:rsidRDefault="00B45460" w:rsidP="00B45460">
      <w:pPr>
        <w:keepNext/>
        <w:keepLines/>
        <w:rPr>
          <w:b/>
        </w:rPr>
      </w:pPr>
    </w:p>
    <w:p w:rsidR="00B45460" w:rsidRPr="00D515B1" w:rsidRDefault="00B45460" w:rsidP="00B45460">
      <w:pPr>
        <w:keepNext/>
        <w:keepLines/>
        <w:rPr>
          <w:b/>
        </w:rPr>
      </w:pPr>
      <w:r w:rsidRPr="00D515B1">
        <w:rPr>
          <w:b/>
        </w:rPr>
        <w:t>APPENDIX 2-A: THE TARGETS, AND FUNDING</w:t>
      </w:r>
    </w:p>
    <w:tbl>
      <w:tblPr>
        <w:tblW w:w="5000" w:type="pct"/>
        <w:tblLook w:val="04A0" w:firstRow="1" w:lastRow="0" w:firstColumn="1" w:lastColumn="0" w:noHBand="0" w:noVBand="1"/>
      </w:tblPr>
      <w:tblGrid>
        <w:gridCol w:w="652"/>
        <w:gridCol w:w="3963"/>
        <w:gridCol w:w="843"/>
        <w:gridCol w:w="653"/>
        <w:gridCol w:w="923"/>
        <w:gridCol w:w="711"/>
        <w:gridCol w:w="870"/>
        <w:gridCol w:w="961"/>
      </w:tblGrid>
      <w:tr w:rsidR="00B45460" w:rsidRPr="007679FD" w:rsidTr="005B49B5">
        <w:trPr>
          <w:trHeight w:val="30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Row</w:t>
            </w:r>
          </w:p>
        </w:tc>
        <w:tc>
          <w:tcPr>
            <w:tcW w:w="2069"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Particulars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2016</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2017</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2018</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2019</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2020</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B45460" w:rsidRPr="007679FD" w:rsidRDefault="00B45460" w:rsidP="005B49B5">
            <w:pPr>
              <w:jc w:val="center"/>
              <w:rPr>
                <w:b/>
                <w:bCs/>
                <w:color w:val="000000"/>
                <w:sz w:val="20"/>
                <w:szCs w:val="20"/>
                <w:lang w:val="en-US" w:eastAsia="zh-CN"/>
              </w:rPr>
            </w:pPr>
            <w:r w:rsidRPr="007679FD">
              <w:rPr>
                <w:b/>
                <w:bCs/>
                <w:color w:val="000000"/>
                <w:sz w:val="20"/>
                <w:szCs w:val="20"/>
                <w:lang w:val="en-US" w:eastAsia="zh-CN"/>
              </w:rPr>
              <w:t>Total</w:t>
            </w:r>
          </w:p>
        </w:tc>
      </w:tr>
      <w:tr w:rsidR="00B45460" w:rsidRPr="007679FD" w:rsidTr="005B49B5">
        <w:trPr>
          <w:trHeight w:val="16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1.1</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Montreal Protocol reduction schedule of Annex C, Group I substances (ODP tonnes) </w:t>
            </w:r>
          </w:p>
        </w:tc>
        <w:tc>
          <w:tcPr>
            <w:tcW w:w="440"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sz w:val="20"/>
                <w:szCs w:val="20"/>
              </w:rPr>
            </w:pPr>
            <w:r w:rsidRPr="007679FD">
              <w:rPr>
                <w:color w:val="000000"/>
                <w:sz w:val="20"/>
                <w:szCs w:val="20"/>
                <w:lang w:eastAsia="zh-CN"/>
              </w:rPr>
              <w:t>3.69</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sz w:val="20"/>
                <w:szCs w:val="20"/>
              </w:rPr>
            </w:pPr>
            <w:r w:rsidRPr="007679FD">
              <w:rPr>
                <w:color w:val="000000"/>
                <w:sz w:val="20"/>
                <w:szCs w:val="20"/>
                <w:lang w:eastAsia="zh-CN"/>
              </w:rPr>
              <w:t>3.69</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sz w:val="20"/>
                <w:szCs w:val="20"/>
              </w:rPr>
            </w:pPr>
            <w:r w:rsidRPr="007679FD">
              <w:rPr>
                <w:color w:val="000000"/>
                <w:sz w:val="20"/>
                <w:szCs w:val="20"/>
                <w:lang w:eastAsia="zh-CN"/>
              </w:rPr>
              <w:t>3.69</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sz w:val="20"/>
                <w:szCs w:val="20"/>
              </w:rPr>
            </w:pPr>
            <w:r w:rsidRPr="007679FD">
              <w:rPr>
                <w:color w:val="000000"/>
                <w:sz w:val="20"/>
                <w:szCs w:val="20"/>
                <w:lang w:eastAsia="zh-CN"/>
              </w:rPr>
              <w:t>3.69</w:t>
            </w:r>
          </w:p>
        </w:tc>
        <w:tc>
          <w:tcPr>
            <w:tcW w:w="454"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color w:val="000000"/>
                <w:sz w:val="20"/>
                <w:szCs w:val="20"/>
                <w:lang w:val="en-US" w:eastAsia="zh-CN"/>
              </w:rPr>
            </w:pPr>
            <w:r w:rsidRPr="007679FD">
              <w:rPr>
                <w:color w:val="000000"/>
                <w:sz w:val="20"/>
                <w:szCs w:val="20"/>
                <w:lang w:eastAsia="zh-CN"/>
              </w:rPr>
              <w:t>2.67</w:t>
            </w:r>
          </w:p>
        </w:tc>
        <w:tc>
          <w:tcPr>
            <w:tcW w:w="502"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color w:val="000000"/>
                <w:sz w:val="20"/>
                <w:szCs w:val="20"/>
                <w:lang w:val="en-US" w:eastAsia="zh-CN"/>
              </w:rPr>
            </w:pPr>
            <w:r w:rsidRPr="007679FD">
              <w:rPr>
                <w:color w:val="000000"/>
                <w:sz w:val="20"/>
                <w:szCs w:val="20"/>
                <w:lang w:eastAsia="zh-CN"/>
              </w:rPr>
              <w:t>n/a</w:t>
            </w:r>
          </w:p>
        </w:tc>
      </w:tr>
      <w:tr w:rsidR="00B45460" w:rsidRPr="007679FD" w:rsidTr="005B49B5">
        <w:trPr>
          <w:trHeight w:val="244"/>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1.2</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Maximum allowable total consumption of Annex C, Group I substances (ODP tonnes) </w:t>
            </w:r>
          </w:p>
        </w:tc>
        <w:tc>
          <w:tcPr>
            <w:tcW w:w="440"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sz w:val="20"/>
                <w:szCs w:val="20"/>
              </w:rPr>
            </w:pPr>
            <w:r w:rsidRPr="007679FD">
              <w:rPr>
                <w:color w:val="000000"/>
                <w:sz w:val="20"/>
                <w:szCs w:val="20"/>
                <w:lang w:eastAsia="zh-CN"/>
              </w:rPr>
              <w:t>1.48</w:t>
            </w:r>
          </w:p>
        </w:tc>
        <w:tc>
          <w:tcPr>
            <w:tcW w:w="341"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sz w:val="20"/>
                <w:szCs w:val="20"/>
              </w:rPr>
            </w:pPr>
            <w:r w:rsidRPr="007679FD">
              <w:rPr>
                <w:color w:val="000000"/>
                <w:sz w:val="20"/>
                <w:szCs w:val="20"/>
                <w:lang w:eastAsia="zh-CN"/>
              </w:rPr>
              <w:t>1.48</w:t>
            </w:r>
          </w:p>
        </w:tc>
        <w:tc>
          <w:tcPr>
            <w:tcW w:w="482"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sz w:val="20"/>
                <w:szCs w:val="20"/>
              </w:rPr>
            </w:pPr>
            <w:r w:rsidRPr="007679FD">
              <w:rPr>
                <w:color w:val="000000"/>
                <w:sz w:val="20"/>
                <w:szCs w:val="20"/>
                <w:lang w:eastAsia="zh-CN"/>
              </w:rPr>
              <w:t>1.48</w:t>
            </w:r>
          </w:p>
        </w:tc>
        <w:tc>
          <w:tcPr>
            <w:tcW w:w="371"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sz w:val="20"/>
                <w:szCs w:val="20"/>
              </w:rPr>
            </w:pPr>
            <w:r w:rsidRPr="007679FD">
              <w:rPr>
                <w:color w:val="000000"/>
                <w:sz w:val="20"/>
                <w:szCs w:val="20"/>
                <w:lang w:eastAsia="zh-CN"/>
              </w:rPr>
              <w:t>1.48</w:t>
            </w:r>
          </w:p>
        </w:tc>
        <w:tc>
          <w:tcPr>
            <w:tcW w:w="454"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color w:val="000000"/>
                <w:sz w:val="20"/>
                <w:szCs w:val="20"/>
                <w:lang w:val="en-US" w:eastAsia="zh-CN"/>
              </w:rPr>
            </w:pPr>
            <w:r w:rsidRPr="007679FD">
              <w:rPr>
                <w:color w:val="000000"/>
                <w:sz w:val="20"/>
                <w:szCs w:val="20"/>
                <w:lang w:eastAsia="zh-CN"/>
              </w:rPr>
              <w:t>1.07</w:t>
            </w:r>
          </w:p>
        </w:tc>
        <w:tc>
          <w:tcPr>
            <w:tcW w:w="502" w:type="pct"/>
            <w:tcBorders>
              <w:top w:val="nil"/>
              <w:left w:val="nil"/>
              <w:bottom w:val="single" w:sz="4" w:space="0" w:color="auto"/>
              <w:right w:val="single" w:sz="4" w:space="0" w:color="auto"/>
            </w:tcBorders>
            <w:shd w:val="clear" w:color="auto" w:fill="auto"/>
            <w:vAlign w:val="center"/>
            <w:hideMark/>
          </w:tcPr>
          <w:p w:rsidR="00B45460" w:rsidRPr="007679FD" w:rsidRDefault="00B45460" w:rsidP="005B49B5">
            <w:pPr>
              <w:jc w:val="right"/>
              <w:rPr>
                <w:color w:val="000000"/>
                <w:sz w:val="20"/>
                <w:szCs w:val="20"/>
                <w:lang w:val="en-US" w:eastAsia="zh-CN"/>
              </w:rPr>
            </w:pPr>
            <w:r w:rsidRPr="007679FD">
              <w:rPr>
                <w:color w:val="000000"/>
                <w:sz w:val="20"/>
                <w:szCs w:val="20"/>
                <w:lang w:eastAsia="zh-CN"/>
              </w:rPr>
              <w:t>n/a</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2.1</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Lead IA (UNEP) agreed funding (US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20,000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70,500</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29,500</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120,000</w:t>
            </w:r>
          </w:p>
        </w:tc>
      </w:tr>
      <w:tr w:rsidR="00B45460" w:rsidRPr="007679FD" w:rsidTr="005B49B5">
        <w:trPr>
          <w:trHeight w:val="91"/>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2.2</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Support costs for Lead IA (US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2,600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eastAsia="zh-CN"/>
              </w:rPr>
            </w:pPr>
            <w:r>
              <w:rPr>
                <w:color w:val="000000"/>
                <w:sz w:val="20"/>
                <w:szCs w:val="20"/>
                <w:lang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9,165</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3,835</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15,600</w:t>
            </w:r>
          </w:p>
        </w:tc>
      </w:tr>
      <w:tr w:rsidR="00B45460" w:rsidRPr="007679FD" w:rsidTr="005B49B5">
        <w:trPr>
          <w:trHeight w:val="136"/>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2.3</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Cooperating IA (UNDP) agreed funding (US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50,000</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40,000</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90,000</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2.4</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Support costs for Cooperating IA (US $)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4,500</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3,600</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8,100</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3.1</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Total agreed funding (US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20,000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120,500</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69,500</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210,000</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3.2</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Total support costs (US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2,600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13,665</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7,435</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23,700</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3.3</w:t>
            </w:r>
          </w:p>
        </w:tc>
        <w:tc>
          <w:tcPr>
            <w:tcW w:w="2069"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Total agreed costs (US $)</w:t>
            </w:r>
          </w:p>
        </w:tc>
        <w:tc>
          <w:tcPr>
            <w:tcW w:w="440"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22,600</w:t>
            </w:r>
          </w:p>
        </w:tc>
        <w:tc>
          <w:tcPr>
            <w:tcW w:w="34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8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134,165</w:t>
            </w:r>
          </w:p>
        </w:tc>
        <w:tc>
          <w:tcPr>
            <w:tcW w:w="371"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Pr>
                <w:color w:val="000000"/>
                <w:sz w:val="20"/>
                <w:szCs w:val="20"/>
                <w:lang w:val="en-US" w:eastAsia="zh-CN"/>
              </w:rPr>
              <w:t>0</w:t>
            </w:r>
          </w:p>
        </w:tc>
        <w:tc>
          <w:tcPr>
            <w:tcW w:w="454"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76,935</w:t>
            </w:r>
          </w:p>
        </w:tc>
        <w:tc>
          <w:tcPr>
            <w:tcW w:w="502" w:type="pct"/>
            <w:tcBorders>
              <w:top w:val="nil"/>
              <w:left w:val="nil"/>
              <w:bottom w:val="single" w:sz="4" w:space="0" w:color="auto"/>
              <w:right w:val="single" w:sz="4" w:space="0" w:color="auto"/>
            </w:tcBorders>
            <w:shd w:val="clear" w:color="auto" w:fill="auto"/>
            <w:vAlign w:val="center"/>
          </w:tcPr>
          <w:p w:rsidR="00B45460" w:rsidRPr="007679FD" w:rsidRDefault="00B45460" w:rsidP="005B49B5">
            <w:pPr>
              <w:jc w:val="right"/>
              <w:rPr>
                <w:color w:val="000000"/>
                <w:sz w:val="20"/>
                <w:szCs w:val="20"/>
                <w:lang w:val="en-US" w:eastAsia="zh-CN"/>
              </w:rPr>
            </w:pPr>
            <w:r w:rsidRPr="007679FD">
              <w:rPr>
                <w:color w:val="000000"/>
                <w:sz w:val="20"/>
                <w:szCs w:val="20"/>
                <w:lang w:val="en-US" w:eastAsia="zh-CN"/>
              </w:rPr>
              <w:t>233,700</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4.1.1</w:t>
            </w:r>
          </w:p>
        </w:tc>
        <w:tc>
          <w:tcPr>
            <w:tcW w:w="4157" w:type="pct"/>
            <w:gridSpan w:val="6"/>
            <w:tcBorders>
              <w:top w:val="single" w:sz="4" w:space="0" w:color="auto"/>
              <w:left w:val="nil"/>
              <w:bottom w:val="single" w:sz="4" w:space="0" w:color="auto"/>
              <w:right w:val="single" w:sz="4" w:space="0" w:color="000000"/>
            </w:tcBorders>
            <w:shd w:val="clear" w:color="auto" w:fill="auto"/>
            <w:hideMark/>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Total phase-out of HCFC</w:t>
            </w:r>
            <w:r w:rsidRPr="007679FD">
              <w:rPr>
                <w:color w:val="000000"/>
                <w:sz w:val="20"/>
                <w:szCs w:val="20"/>
                <w:lang w:val="en-US" w:eastAsia="zh-CN"/>
              </w:rPr>
              <w:noBreakHyphen/>
              <w:t>22 agreed to be achieved under this Agreement (ODP tonnes)</w:t>
            </w:r>
          </w:p>
        </w:tc>
        <w:tc>
          <w:tcPr>
            <w:tcW w:w="502" w:type="pct"/>
            <w:tcBorders>
              <w:top w:val="nil"/>
              <w:left w:val="nil"/>
              <w:bottom w:val="single" w:sz="4" w:space="0" w:color="auto"/>
              <w:right w:val="single" w:sz="4" w:space="0" w:color="auto"/>
            </w:tcBorders>
            <w:shd w:val="clear" w:color="auto" w:fill="auto"/>
            <w:hideMark/>
          </w:tcPr>
          <w:p w:rsidR="00B45460" w:rsidRPr="007679FD" w:rsidRDefault="00B45460" w:rsidP="005B49B5">
            <w:pPr>
              <w:jc w:val="right"/>
              <w:rPr>
                <w:bCs/>
                <w:color w:val="000000"/>
                <w:sz w:val="20"/>
                <w:szCs w:val="20"/>
                <w:lang w:val="en-US" w:eastAsia="zh-CN"/>
              </w:rPr>
            </w:pPr>
            <w:r w:rsidRPr="007679FD">
              <w:rPr>
                <w:bCs/>
                <w:color w:val="000000"/>
                <w:sz w:val="20"/>
                <w:szCs w:val="20"/>
                <w:lang w:eastAsia="zh-CN"/>
              </w:rPr>
              <w:t>0.57</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4.1.2</w:t>
            </w:r>
          </w:p>
        </w:tc>
        <w:tc>
          <w:tcPr>
            <w:tcW w:w="4157" w:type="pct"/>
            <w:gridSpan w:val="6"/>
            <w:tcBorders>
              <w:top w:val="single" w:sz="4" w:space="0" w:color="auto"/>
              <w:left w:val="nil"/>
              <w:bottom w:val="single" w:sz="4" w:space="0" w:color="auto"/>
              <w:right w:val="single" w:sz="4" w:space="0" w:color="000000"/>
            </w:tcBorders>
            <w:shd w:val="clear" w:color="auto" w:fill="auto"/>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Phase-out of HCFC</w:t>
            </w:r>
            <w:r w:rsidRPr="007679FD">
              <w:rPr>
                <w:color w:val="000000"/>
                <w:sz w:val="20"/>
                <w:szCs w:val="20"/>
                <w:lang w:val="en-US" w:eastAsia="zh-CN"/>
              </w:rPr>
              <w:noBreakHyphen/>
              <w:t>22 to be achieved in previously approved projects (ODP tonnes)</w:t>
            </w:r>
          </w:p>
        </w:tc>
        <w:tc>
          <w:tcPr>
            <w:tcW w:w="502" w:type="pct"/>
            <w:tcBorders>
              <w:top w:val="nil"/>
              <w:left w:val="nil"/>
              <w:bottom w:val="single" w:sz="4" w:space="0" w:color="auto"/>
              <w:right w:val="single" w:sz="4" w:space="0" w:color="auto"/>
            </w:tcBorders>
            <w:shd w:val="clear" w:color="auto" w:fill="auto"/>
          </w:tcPr>
          <w:p w:rsidR="00B45460" w:rsidRPr="007679FD" w:rsidRDefault="00B45460" w:rsidP="005B49B5">
            <w:pPr>
              <w:jc w:val="right"/>
              <w:rPr>
                <w:bCs/>
                <w:color w:val="000000"/>
                <w:sz w:val="20"/>
                <w:szCs w:val="20"/>
                <w:lang w:eastAsia="zh-CN"/>
              </w:rPr>
            </w:pPr>
            <w:r w:rsidRPr="007679FD">
              <w:rPr>
                <w:bCs/>
                <w:color w:val="000000"/>
                <w:sz w:val="20"/>
                <w:szCs w:val="20"/>
                <w:lang w:eastAsia="zh-CN"/>
              </w:rPr>
              <w:t>0</w:t>
            </w:r>
          </w:p>
        </w:tc>
      </w:tr>
      <w:tr w:rsidR="00B45460" w:rsidRPr="007679FD" w:rsidTr="005B49B5">
        <w:trPr>
          <w:trHeight w:val="53"/>
        </w:trPr>
        <w:tc>
          <w:tcPr>
            <w:tcW w:w="341" w:type="pct"/>
            <w:tcBorders>
              <w:top w:val="nil"/>
              <w:left w:val="single" w:sz="4" w:space="0" w:color="auto"/>
              <w:bottom w:val="single" w:sz="4" w:space="0" w:color="auto"/>
              <w:right w:val="single" w:sz="4" w:space="0" w:color="auto"/>
            </w:tcBorders>
            <w:shd w:val="clear" w:color="auto" w:fill="auto"/>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4.1.3</w:t>
            </w:r>
          </w:p>
        </w:tc>
        <w:tc>
          <w:tcPr>
            <w:tcW w:w="4157" w:type="pct"/>
            <w:gridSpan w:val="6"/>
            <w:tcBorders>
              <w:top w:val="single" w:sz="4" w:space="0" w:color="auto"/>
              <w:left w:val="nil"/>
              <w:bottom w:val="single" w:sz="4" w:space="0" w:color="auto"/>
              <w:right w:val="single" w:sz="4" w:space="0" w:color="000000"/>
            </w:tcBorders>
            <w:shd w:val="clear" w:color="auto" w:fill="auto"/>
          </w:tcPr>
          <w:p w:rsidR="00B45460" w:rsidRPr="007679FD" w:rsidRDefault="00B45460" w:rsidP="005B49B5">
            <w:pPr>
              <w:jc w:val="left"/>
              <w:rPr>
                <w:color w:val="000000"/>
                <w:sz w:val="20"/>
                <w:szCs w:val="20"/>
                <w:lang w:val="en-US" w:eastAsia="zh-CN"/>
              </w:rPr>
            </w:pPr>
            <w:r w:rsidRPr="007679FD">
              <w:rPr>
                <w:color w:val="000000"/>
                <w:sz w:val="20"/>
                <w:szCs w:val="20"/>
                <w:lang w:val="en-US" w:eastAsia="zh-CN"/>
              </w:rPr>
              <w:t>Remaining eligible consumption for HCFC-22 (ODP tonnes)</w:t>
            </w:r>
          </w:p>
        </w:tc>
        <w:tc>
          <w:tcPr>
            <w:tcW w:w="502" w:type="pct"/>
            <w:tcBorders>
              <w:top w:val="nil"/>
              <w:left w:val="nil"/>
              <w:bottom w:val="single" w:sz="4" w:space="0" w:color="auto"/>
              <w:right w:val="single" w:sz="4" w:space="0" w:color="auto"/>
            </w:tcBorders>
            <w:shd w:val="clear" w:color="auto" w:fill="auto"/>
          </w:tcPr>
          <w:p w:rsidR="00B45460" w:rsidRPr="007679FD" w:rsidRDefault="00B45460" w:rsidP="005B49B5">
            <w:pPr>
              <w:jc w:val="right"/>
              <w:rPr>
                <w:bCs/>
                <w:color w:val="000000"/>
                <w:sz w:val="20"/>
                <w:szCs w:val="20"/>
                <w:lang w:eastAsia="zh-CN"/>
              </w:rPr>
            </w:pPr>
            <w:r w:rsidRPr="007679FD">
              <w:rPr>
                <w:bCs/>
                <w:color w:val="000000"/>
                <w:sz w:val="20"/>
                <w:szCs w:val="20"/>
                <w:lang w:eastAsia="zh-CN"/>
              </w:rPr>
              <w:t>1.07</w:t>
            </w:r>
          </w:p>
        </w:tc>
      </w:tr>
    </w:tbl>
    <w:p w:rsidR="00B45460" w:rsidRPr="00D515B1" w:rsidRDefault="00B45460" w:rsidP="00B45460"/>
    <w:p w:rsidR="00B45460" w:rsidRPr="00D515B1" w:rsidRDefault="00B45460" w:rsidP="00B45460"/>
    <w:p w:rsidR="00B45460" w:rsidRPr="00D515B1" w:rsidRDefault="00B45460" w:rsidP="00B45460">
      <w:pPr>
        <w:rPr>
          <w:b/>
        </w:rPr>
      </w:pPr>
      <w:r w:rsidRPr="00D515B1">
        <w:rPr>
          <w:b/>
        </w:rPr>
        <w:t>APPENDIX 3-A: FUNDING APPROVAL SCHEDULE</w:t>
      </w:r>
    </w:p>
    <w:p w:rsidR="00B45460" w:rsidRPr="00D515B1" w:rsidRDefault="00B45460" w:rsidP="00B45460"/>
    <w:p w:rsidR="00B45460" w:rsidRPr="00D515B1" w:rsidRDefault="00B45460" w:rsidP="00B45460">
      <w:pPr>
        <w:pStyle w:val="Heading1"/>
        <w:numPr>
          <w:ilvl w:val="0"/>
          <w:numId w:val="43"/>
        </w:numPr>
      </w:pPr>
      <w:r w:rsidRPr="00D515B1">
        <w:t>Funding for the future tranches will be considered for approval at the last meeting of the year specified in Appendix 2-A.</w:t>
      </w:r>
    </w:p>
    <w:p w:rsidR="00B45460" w:rsidRPr="00D515B1" w:rsidRDefault="00B45460" w:rsidP="00B45460"/>
    <w:p w:rsidR="00B45460" w:rsidRPr="00D515B1" w:rsidRDefault="00B45460" w:rsidP="00B45460">
      <w:pPr>
        <w:rPr>
          <w:b/>
        </w:rPr>
      </w:pPr>
      <w:r w:rsidRPr="00D515B1">
        <w:rPr>
          <w:b/>
        </w:rPr>
        <w:t>APPENDIX 4-A: FORMAT OF IMPLEMENTATION REPORTS AND PLANS</w:t>
      </w:r>
    </w:p>
    <w:p w:rsidR="00B45460" w:rsidRPr="00D515B1" w:rsidRDefault="00B45460" w:rsidP="00B45460"/>
    <w:p w:rsidR="00B45460" w:rsidRPr="00D515B1" w:rsidRDefault="00B45460" w:rsidP="00B45460">
      <w:pPr>
        <w:pStyle w:val="Heading1"/>
        <w:numPr>
          <w:ilvl w:val="0"/>
          <w:numId w:val="47"/>
        </w:numPr>
      </w:pPr>
      <w:r w:rsidRPr="00D515B1">
        <w:t>The submission of the Implementation Report and Plan for each tranche request will consist of five parts:</w:t>
      </w:r>
    </w:p>
    <w:p w:rsidR="00B45460" w:rsidRPr="00D515B1" w:rsidRDefault="00B45460" w:rsidP="00B45460">
      <w:pPr>
        <w:pStyle w:val="Heading2"/>
        <w:numPr>
          <w:ilvl w:val="1"/>
          <w:numId w:val="1"/>
        </w:numPr>
      </w:pPr>
      <w:r w:rsidRPr="00D515B1">
        <w:t xml:space="preserve">A narrative report, with data provided by calendar year, regarding the progress since the year prior to the previous report, reflecting the situation of the Country in regard to phase-out of the Substances, how the different activities contribute to it, and how they relate to each other. The report should include ODS phase-out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Annual Implementation Plan(s), such as delays, uses of the flexibility for reallocation of funds during implementation of a tranche, as provided for in paragraph 7 of this Agreement, or other changes. The narrative report will cover all relevant years specified in sub-paragraph 5(a) of the Agreement and can in addition also include information on activities in the current year; </w:t>
      </w:r>
    </w:p>
    <w:p w:rsidR="00B45460" w:rsidRPr="00D515B1" w:rsidRDefault="00B45460" w:rsidP="00B45460">
      <w:pPr>
        <w:pStyle w:val="Heading2"/>
        <w:numPr>
          <w:ilvl w:val="1"/>
          <w:numId w:val="1"/>
        </w:numPr>
      </w:pPr>
      <w:r w:rsidRPr="00D515B1">
        <w:t>A verification report of the HPMP results and the consumption of the Substances mentioned in Appendix 1-A,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rsidR="00B45460" w:rsidRPr="00D515B1" w:rsidRDefault="00B45460" w:rsidP="00B45460">
      <w:pPr>
        <w:pStyle w:val="Heading2"/>
        <w:numPr>
          <w:ilvl w:val="1"/>
          <w:numId w:val="1"/>
        </w:numPr>
      </w:pPr>
      <w:r w:rsidRPr="00D515B1">
        <w:t>A written description of the activities to be undertaken until and including the year of the planned submission of the next tranche request, highlighting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cover the years specified in sub-paragraph 5(d) of the Agreement. The description should also specify and explain in detail such changes to the overall plan. This description of future activities can be submitted as a part of the same document as the narrative report under sub</w:t>
      </w:r>
      <w:r w:rsidRPr="00D515B1">
        <w:noBreakHyphen/>
        <w:t xml:space="preserve">paragraph (b) above; </w:t>
      </w:r>
    </w:p>
    <w:p w:rsidR="00B45460" w:rsidRPr="00D515B1" w:rsidRDefault="00B45460" w:rsidP="00B45460">
      <w:pPr>
        <w:pStyle w:val="Heading2"/>
        <w:numPr>
          <w:ilvl w:val="1"/>
          <w:numId w:val="1"/>
        </w:numPr>
      </w:pPr>
      <w:proofErr w:type="gramStart"/>
      <w:r w:rsidRPr="00D515B1">
        <w:t>A set of quantitative information for all annual implementation reports and annual implementation plans, submitted through an online database.</w:t>
      </w:r>
      <w:proofErr w:type="gramEnd"/>
      <w:r w:rsidRPr="00D515B1">
        <w:t xml:space="preserve"> This quantitative information, to be submitted by calendar year with each tranche request, will be amending the narratives and description for the report (see sub-paragraph 1(a) above) and the plan (see sub</w:t>
      </w:r>
      <w:r w:rsidRPr="00D515B1">
        <w:noBreakHyphen/>
        <w:t>paragraph 1(c) above), the annual implementation plan and any changes to the overall plan, and will cover the same time periods and activities; and</w:t>
      </w:r>
    </w:p>
    <w:p w:rsidR="00B45460" w:rsidRDefault="00B45460" w:rsidP="00B45460">
      <w:pPr>
        <w:pStyle w:val="Heading2"/>
        <w:numPr>
          <w:ilvl w:val="1"/>
          <w:numId w:val="1"/>
        </w:numPr>
      </w:pPr>
      <w:r w:rsidRPr="00D515B1">
        <w:t>An Executive Summary of about five paragraphs, summarizing the information of the above sub-paragraphs 1(a) to 1(d).</w:t>
      </w:r>
    </w:p>
    <w:p w:rsidR="00B45460" w:rsidRPr="008306C9" w:rsidRDefault="00B45460" w:rsidP="00B45460">
      <w:pPr>
        <w:keepNext/>
        <w:keepLines/>
        <w:rPr>
          <w:b/>
        </w:rPr>
      </w:pPr>
      <w:r w:rsidRPr="008306C9">
        <w:rPr>
          <w:b/>
        </w:rPr>
        <w:t xml:space="preserve">APPENDIX 5-A: MONITORING INSTITUTIONS AND ROLES </w:t>
      </w:r>
    </w:p>
    <w:p w:rsidR="00B45460" w:rsidRDefault="00B45460" w:rsidP="00B45460"/>
    <w:p w:rsidR="00B45460" w:rsidRDefault="00B45460" w:rsidP="00B45460">
      <w:r>
        <w:t>1.</w:t>
      </w:r>
      <w:r>
        <w:tab/>
        <w:t>The National Ozone Unit (NOU) will be monitoring the implementation of the project activities and will prepare a quarterly progress report for the project. The monitoring programme will therefore ensure effectiveness of all the proposed projects within the HPMP through constant monitoring and periodic review of the performance of individual projects. Independent verification will be conducted by a consultant arranged by the Lead IA.</w:t>
      </w:r>
    </w:p>
    <w:p w:rsidR="00B45460" w:rsidRDefault="00B45460" w:rsidP="00B45460"/>
    <w:p w:rsidR="00B45460" w:rsidRDefault="00B45460" w:rsidP="00221733">
      <w:pPr>
        <w:pStyle w:val="Heading1"/>
      </w:pPr>
      <w:r>
        <w:t xml:space="preserve">The Lead IA will have a particularly prominent role in the monitoring arrangements because of its mandate to monitor ODS imports, whose records will be used as a crosschecking reference in all the monitoring programmes for the different projects within the HPMP. The Lead IA, along with the cooperating IA will also undertake the challenging task of monitoring illegal </w:t>
      </w:r>
      <w:proofErr w:type="gramStart"/>
      <w:r>
        <w:t>ODS</w:t>
      </w:r>
      <w:proofErr w:type="gramEnd"/>
      <w:r>
        <w:t xml:space="preserve"> imports and exports and advise the appropriate national agencies through the NOU.</w:t>
      </w:r>
    </w:p>
    <w:p w:rsidR="00B45460" w:rsidRDefault="00B45460" w:rsidP="00B45460">
      <w:pPr>
        <w:keepNext/>
        <w:keepLines/>
        <w:rPr>
          <w:b/>
        </w:rPr>
      </w:pPr>
      <w:r w:rsidRPr="00D515B1">
        <w:rPr>
          <w:b/>
        </w:rPr>
        <w:t xml:space="preserve">APPENDIX 6-A: ROLE OF THE LEAD IMPLEMENTING AGENCY </w:t>
      </w:r>
    </w:p>
    <w:p w:rsidR="00B45460" w:rsidRPr="00D515B1" w:rsidRDefault="00B45460" w:rsidP="00B45460">
      <w:pPr>
        <w:keepNext/>
        <w:keepLines/>
        <w:rPr>
          <w:b/>
        </w:rPr>
      </w:pPr>
    </w:p>
    <w:p w:rsidR="00B45460" w:rsidRPr="00D515B1" w:rsidRDefault="00B45460" w:rsidP="00B45460">
      <w:pPr>
        <w:pStyle w:val="Heading1"/>
        <w:keepNext/>
        <w:keepLines/>
        <w:numPr>
          <w:ilvl w:val="0"/>
          <w:numId w:val="46"/>
        </w:numPr>
      </w:pPr>
      <w:r w:rsidRPr="00D515B1">
        <w:t>The Lead IA will be responsible for a range of activities, including at least the following:</w:t>
      </w:r>
    </w:p>
    <w:p w:rsidR="00B45460" w:rsidRPr="00D515B1" w:rsidRDefault="00B45460" w:rsidP="00B45460">
      <w:pPr>
        <w:pStyle w:val="Heading2"/>
        <w:keepNext/>
        <w:keepLines/>
        <w:numPr>
          <w:ilvl w:val="1"/>
          <w:numId w:val="1"/>
        </w:numPr>
      </w:pPr>
      <w:r w:rsidRPr="00D515B1">
        <w:t>Ensuring performance and financial verification in accordance with this Agreement and with its specific internal procedures and requirements as set out in the Country’s HPMP;</w:t>
      </w:r>
    </w:p>
    <w:p w:rsidR="00B45460" w:rsidRPr="00D515B1" w:rsidRDefault="00B45460" w:rsidP="00B45460">
      <w:pPr>
        <w:pStyle w:val="Heading2"/>
        <w:keepNext/>
        <w:widowControl/>
        <w:numPr>
          <w:ilvl w:val="1"/>
          <w:numId w:val="1"/>
        </w:numPr>
      </w:pPr>
      <w:r w:rsidRPr="00D515B1">
        <w:t>Assisting the Country in preparation of the Implementation Plans and subsequent reports as per Appendix 4-A;</w:t>
      </w:r>
    </w:p>
    <w:p w:rsidR="00B45460" w:rsidRPr="00D515B1" w:rsidRDefault="00B45460" w:rsidP="00B45460">
      <w:pPr>
        <w:pStyle w:val="Heading2"/>
        <w:numPr>
          <w:ilvl w:val="1"/>
          <w:numId w:val="1"/>
        </w:numPr>
      </w:pPr>
      <w:r w:rsidRPr="00D515B1">
        <w:t xml:space="preserve">Providing independent verification to the Executive Committee that the Targets have been met and associated annual activities have been completed as indicated in the Implementation Plan consistent with Appendix 4-A; </w:t>
      </w:r>
    </w:p>
    <w:p w:rsidR="00B45460" w:rsidRPr="00D515B1" w:rsidRDefault="00B45460" w:rsidP="00B45460">
      <w:pPr>
        <w:pStyle w:val="Heading2"/>
        <w:numPr>
          <w:ilvl w:val="1"/>
          <w:numId w:val="1"/>
        </w:numPr>
      </w:pPr>
      <w:r w:rsidRPr="00D515B1">
        <w:t>Ensuring that the experiences and progress is reflected in updates of the overall plan and in future annual implementation plans consistent with sub-paragraphs 1(c) and 1(d) of Appendix 4-A;</w:t>
      </w:r>
    </w:p>
    <w:p w:rsidR="00B45460" w:rsidRPr="00D515B1" w:rsidRDefault="00B45460" w:rsidP="00B45460">
      <w:pPr>
        <w:pStyle w:val="Heading2"/>
        <w:numPr>
          <w:ilvl w:val="1"/>
          <w:numId w:val="1"/>
        </w:numPr>
      </w:pPr>
      <w:r w:rsidRPr="00D515B1">
        <w:t>Fulfilling the reporting requirements for the annual implementation reports, annual implementation plans and the overall plan as specified in Appendix 4-A for submission to the Executive Committee. The reporting requirements include the reporting about activities undertaken by the Cooperating IA;</w:t>
      </w:r>
    </w:p>
    <w:p w:rsidR="00B45460" w:rsidRPr="00D515B1" w:rsidRDefault="00B45460" w:rsidP="00B45460">
      <w:pPr>
        <w:pStyle w:val="Heading2"/>
        <w:numPr>
          <w:ilvl w:val="1"/>
          <w:numId w:val="1"/>
        </w:numPr>
      </w:pPr>
      <w:r w:rsidRPr="00D515B1">
        <w:t>Ensuring that appropriate independent technical experts carry out the technical reviews;</w:t>
      </w:r>
    </w:p>
    <w:p w:rsidR="00B45460" w:rsidRPr="00D515B1" w:rsidRDefault="00B45460" w:rsidP="00B45460">
      <w:pPr>
        <w:pStyle w:val="Heading2"/>
        <w:numPr>
          <w:ilvl w:val="1"/>
          <w:numId w:val="1"/>
        </w:numPr>
      </w:pPr>
      <w:r w:rsidRPr="00D515B1">
        <w:t>Carrying out required supervision missions;</w:t>
      </w:r>
    </w:p>
    <w:p w:rsidR="00B45460" w:rsidRPr="00D515B1" w:rsidRDefault="00B45460" w:rsidP="00B45460">
      <w:pPr>
        <w:pStyle w:val="Heading2"/>
        <w:numPr>
          <w:ilvl w:val="1"/>
          <w:numId w:val="1"/>
        </w:numPr>
      </w:pPr>
      <w:r w:rsidRPr="00D515B1">
        <w:t>Ensuring the presence of an operating mechanism to allow effective, transparent implementation of the Implementation Plan and accurate data reporting;</w:t>
      </w:r>
    </w:p>
    <w:p w:rsidR="00B45460" w:rsidRPr="00D515B1" w:rsidRDefault="00B45460" w:rsidP="00B45460">
      <w:pPr>
        <w:pStyle w:val="Heading2"/>
        <w:numPr>
          <w:ilvl w:val="1"/>
          <w:numId w:val="1"/>
        </w:numPr>
      </w:pPr>
      <w:r w:rsidRPr="00D515B1">
        <w:t xml:space="preserve">Co-ordinating the activities of the Cooperating IA, and ensuring appropriate sequence of activities; </w:t>
      </w:r>
    </w:p>
    <w:p w:rsidR="00B45460" w:rsidRPr="00D515B1" w:rsidRDefault="00B45460" w:rsidP="00B45460">
      <w:pPr>
        <w:pStyle w:val="Heading2"/>
        <w:numPr>
          <w:ilvl w:val="1"/>
          <w:numId w:val="1"/>
        </w:numPr>
      </w:pPr>
      <w:r w:rsidRPr="00D515B1">
        <w:t xml:space="preserve">In case of reductions in funding for failure to comply in accordance with paragraph 11 of the Agreement, to determine, in consultation with the Country and the Cooperating IA, the allocation of the reductions to the different budget items and to the funding of each implementing or bilateral agency involved; </w:t>
      </w:r>
    </w:p>
    <w:p w:rsidR="00B45460" w:rsidRPr="00D515B1" w:rsidRDefault="00B45460" w:rsidP="00B45460">
      <w:pPr>
        <w:pStyle w:val="Heading2"/>
        <w:keepNext/>
        <w:widowControl/>
        <w:numPr>
          <w:ilvl w:val="1"/>
          <w:numId w:val="1"/>
        </w:numPr>
      </w:pPr>
      <w:r w:rsidRPr="00D515B1">
        <w:t>Ensuring that disbursements made to the Country are based on the use of the indicators; and</w:t>
      </w:r>
    </w:p>
    <w:p w:rsidR="00B45460" w:rsidRPr="00D515B1" w:rsidRDefault="00B45460" w:rsidP="00B45460">
      <w:pPr>
        <w:pStyle w:val="Heading2"/>
        <w:numPr>
          <w:ilvl w:val="1"/>
          <w:numId w:val="1"/>
        </w:numPr>
      </w:pPr>
      <w:proofErr w:type="gramStart"/>
      <w:r w:rsidRPr="00D515B1">
        <w:t>Providing assistance with policy, management and technical support when required.</w:t>
      </w:r>
      <w:proofErr w:type="gramEnd"/>
    </w:p>
    <w:p w:rsidR="00B45460" w:rsidRPr="00D515B1" w:rsidRDefault="00B45460" w:rsidP="00B45460">
      <w:pPr>
        <w:pStyle w:val="Heading1"/>
      </w:pPr>
      <w:r w:rsidRPr="00D515B1">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rsidR="00B45460" w:rsidRDefault="00B45460" w:rsidP="00B45460">
      <w:pPr>
        <w:keepNext/>
        <w:keepLines/>
        <w:rPr>
          <w:b/>
        </w:rPr>
      </w:pPr>
      <w:r w:rsidRPr="00D515B1">
        <w:rPr>
          <w:b/>
        </w:rPr>
        <w:t>APPENDIX 6-B: ROLE OF THE COOPERATING IMPLEMENTING AGENCY</w:t>
      </w:r>
    </w:p>
    <w:p w:rsidR="00B45460" w:rsidRPr="00D515B1" w:rsidRDefault="00B45460" w:rsidP="00B45460">
      <w:pPr>
        <w:keepNext/>
        <w:keepLines/>
        <w:rPr>
          <w:b/>
        </w:rPr>
      </w:pPr>
    </w:p>
    <w:p w:rsidR="00B45460" w:rsidRPr="00D515B1" w:rsidRDefault="00B45460" w:rsidP="00B45460">
      <w:pPr>
        <w:pStyle w:val="Heading1"/>
        <w:keepNext/>
        <w:keepLines/>
        <w:numPr>
          <w:ilvl w:val="0"/>
          <w:numId w:val="45"/>
        </w:numPr>
      </w:pPr>
      <w:r w:rsidRPr="00D515B1">
        <w:t xml:space="preserve">The Cooperating IA will be responsible for a range of activities. These activities are specified in the overall plan, including at least the following: </w:t>
      </w:r>
    </w:p>
    <w:p w:rsidR="00B45460" w:rsidRPr="00D515B1" w:rsidRDefault="00B45460" w:rsidP="00B45460">
      <w:pPr>
        <w:pStyle w:val="Heading2"/>
        <w:numPr>
          <w:ilvl w:val="1"/>
          <w:numId w:val="1"/>
        </w:numPr>
      </w:pPr>
      <w:r w:rsidRPr="00D515B1">
        <w:t xml:space="preserve">Providing assistance for policy development when required; </w:t>
      </w:r>
    </w:p>
    <w:p w:rsidR="00B45460" w:rsidRPr="00D515B1" w:rsidRDefault="00B45460" w:rsidP="00B45460">
      <w:pPr>
        <w:pStyle w:val="Heading2"/>
        <w:numPr>
          <w:ilvl w:val="1"/>
          <w:numId w:val="1"/>
        </w:numPr>
      </w:pPr>
      <w:r w:rsidRPr="00D515B1">
        <w:t>Assisting the Country in the implementation and assessment of the activities funded by the Cooperating IA, and refer to the Lead IA to ensure a co-ordinated sequence in the activities; and</w:t>
      </w:r>
    </w:p>
    <w:p w:rsidR="00B45460" w:rsidRPr="00D515B1" w:rsidRDefault="00B45460" w:rsidP="00B45460">
      <w:pPr>
        <w:pStyle w:val="Heading2"/>
        <w:keepNext/>
        <w:widowControl/>
        <w:numPr>
          <w:ilvl w:val="1"/>
          <w:numId w:val="1"/>
        </w:numPr>
      </w:pPr>
      <w:r w:rsidRPr="00D515B1">
        <w:t xml:space="preserve">Providing reports to the Lead IA on these activities, for inclusion in the consolidated reports as per Appendix 4-A.  </w:t>
      </w:r>
    </w:p>
    <w:p w:rsidR="00B45460" w:rsidRPr="00D515B1" w:rsidRDefault="00B45460" w:rsidP="00B45460">
      <w:pPr>
        <w:keepNext/>
        <w:rPr>
          <w:b/>
        </w:rPr>
      </w:pPr>
      <w:r w:rsidRPr="00D515B1">
        <w:rPr>
          <w:b/>
        </w:rPr>
        <w:t>APPENDIX 7-A: REDUCTIONS IN FUNDING FOR FAILURE TO COMPLY</w:t>
      </w:r>
    </w:p>
    <w:p w:rsidR="00B45460" w:rsidRPr="00D515B1" w:rsidRDefault="00B45460" w:rsidP="00B45460">
      <w:pPr>
        <w:keepNext/>
      </w:pPr>
    </w:p>
    <w:p w:rsidR="00B45460" w:rsidRPr="00D515B1" w:rsidRDefault="00B45460" w:rsidP="00B45460">
      <w:pPr>
        <w:pStyle w:val="Heading1"/>
        <w:keepNext/>
        <w:numPr>
          <w:ilvl w:val="0"/>
          <w:numId w:val="44"/>
        </w:numPr>
      </w:pPr>
      <w:r w:rsidRPr="00D515B1">
        <w:t xml:space="preserve">In accordance with paragraph 11 of the Agreement, the amount of funding provided may be reduced by US $180 per ODP kg of consumption beyond the level defined in row 1.2 of Appendix 2-A for each year in which the target specified in row 1.2 of Appendix 2-A has not been met. </w:t>
      </w:r>
    </w:p>
    <w:p w:rsidR="00B45460" w:rsidRDefault="00B45460" w:rsidP="00B454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6"/>
        <w:gridCol w:w="1916"/>
        <w:gridCol w:w="1916"/>
      </w:tblGrid>
      <w:tr w:rsidR="00B45460" w:rsidTr="005B49B5">
        <w:tc>
          <w:tcPr>
            <w:tcW w:w="1969" w:type="dxa"/>
          </w:tcPr>
          <w:p w:rsidR="00B45460" w:rsidRDefault="00B45460" w:rsidP="005B49B5"/>
        </w:tc>
        <w:tc>
          <w:tcPr>
            <w:tcW w:w="1969" w:type="dxa"/>
          </w:tcPr>
          <w:p w:rsidR="00B45460" w:rsidRDefault="00B45460" w:rsidP="005B49B5"/>
        </w:tc>
        <w:tc>
          <w:tcPr>
            <w:tcW w:w="1970" w:type="dxa"/>
            <w:tcBorders>
              <w:bottom w:val="single" w:sz="4" w:space="0" w:color="auto"/>
            </w:tcBorders>
          </w:tcPr>
          <w:p w:rsidR="00B45460" w:rsidRDefault="00B45460" w:rsidP="005B49B5"/>
        </w:tc>
        <w:tc>
          <w:tcPr>
            <w:tcW w:w="1970" w:type="dxa"/>
          </w:tcPr>
          <w:p w:rsidR="00B45460" w:rsidRDefault="00B45460" w:rsidP="005B49B5"/>
        </w:tc>
        <w:tc>
          <w:tcPr>
            <w:tcW w:w="1970" w:type="dxa"/>
          </w:tcPr>
          <w:p w:rsidR="00B45460" w:rsidRDefault="00B45460" w:rsidP="005B49B5"/>
        </w:tc>
      </w:tr>
    </w:tbl>
    <w:p w:rsidR="00B45460" w:rsidRDefault="00B45460">
      <w:pPr>
        <w:jc w:val="left"/>
        <w:rPr>
          <w:sz w:val="28"/>
          <w:szCs w:val="28"/>
        </w:rPr>
      </w:pPr>
    </w:p>
    <w:p w:rsidR="00BB2BF6" w:rsidRPr="005D3099" w:rsidRDefault="00BB2BF6" w:rsidP="00634590">
      <w:pPr>
        <w:jc w:val="center"/>
        <w:rPr>
          <w:sz w:val="28"/>
          <w:szCs w:val="28"/>
        </w:rPr>
      </w:pPr>
    </w:p>
    <w:sectPr w:rsidR="00BB2BF6" w:rsidRPr="005D3099" w:rsidSect="00B45460">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6B" w:rsidRDefault="0016636B">
      <w:r>
        <w:separator/>
      </w:r>
    </w:p>
  </w:endnote>
  <w:endnote w:type="continuationSeparator" w:id="0">
    <w:p w:rsidR="0016636B" w:rsidRDefault="0016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6B" w:rsidRDefault="0016636B">
    <w:pPr>
      <w:jc w:val="center"/>
    </w:pPr>
    <w:r>
      <w:fldChar w:fldCharType="begin"/>
    </w:r>
    <w:r>
      <w:instrText xml:space="preserve"> PAGE </w:instrText>
    </w:r>
    <w:r>
      <w:fldChar w:fldCharType="separate"/>
    </w:r>
    <w:r w:rsidR="008E28BD">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6B" w:rsidRDefault="0016636B">
    <w:pPr>
      <w:jc w:val="center"/>
    </w:pPr>
    <w:r>
      <w:fldChar w:fldCharType="begin"/>
    </w:r>
    <w:r>
      <w:instrText xml:space="preserve"> PAGE </w:instrText>
    </w:r>
    <w:r>
      <w:fldChar w:fldCharType="separate"/>
    </w:r>
    <w:r w:rsidR="008E28BD">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6B" w:rsidRDefault="0016636B">
    <w:pPr>
      <w:pBdr>
        <w:top w:val="single" w:sz="4" w:space="1" w:color="auto"/>
        <w:left w:val="single" w:sz="4" w:space="4" w:color="auto"/>
        <w:bottom w:val="single" w:sz="4" w:space="1" w:color="auto"/>
        <w:right w:val="single" w:sz="4" w:space="4" w:color="auto"/>
      </w:pBdr>
      <w:jc w:val="center"/>
      <w:rPr>
        <w:sz w:val="18"/>
        <w:szCs w:val="18"/>
      </w:rPr>
    </w:pPr>
    <w:r>
      <w:rPr>
        <w:sz w:val="18"/>
        <w:szCs w:val="18"/>
      </w:rPr>
      <w:t>Pre-session documents of the Executive Committee of the Multilateral Fund for the Implementation of the Montreal Protocol are without prejudice to any decision that the Executive Committee might take following issuance of the document.</w:t>
    </w:r>
  </w:p>
  <w:p w:rsidR="0016636B" w:rsidRDefault="0016636B">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1094"/>
      <w:docPartObj>
        <w:docPartGallery w:val="Page Numbers (Bottom of Page)"/>
        <w:docPartUnique/>
      </w:docPartObj>
    </w:sdtPr>
    <w:sdtEndPr>
      <w:rPr>
        <w:noProof/>
      </w:rPr>
    </w:sdtEndPr>
    <w:sdtContent>
      <w:p w:rsidR="00B45460" w:rsidRDefault="00B45460">
        <w:pPr>
          <w:pStyle w:val="Footer"/>
          <w:jc w:val="center"/>
        </w:pPr>
        <w:r>
          <w:fldChar w:fldCharType="begin"/>
        </w:r>
        <w:r>
          <w:instrText xml:space="preserve"> PAGE   \* MERGEFORMAT </w:instrText>
        </w:r>
        <w:r>
          <w:fldChar w:fldCharType="separate"/>
        </w:r>
        <w:r w:rsidR="008E28BD">
          <w:rPr>
            <w:noProof/>
          </w:rPr>
          <w:t>1</w:t>
        </w:r>
        <w:r>
          <w:rPr>
            <w:noProof/>
          </w:rPr>
          <w:fldChar w:fldCharType="end"/>
        </w:r>
      </w:p>
    </w:sdtContent>
  </w:sdt>
  <w:p w:rsidR="00B45460" w:rsidRDefault="00B45460" w:rsidP="00B45460">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6B" w:rsidRDefault="0016636B">
      <w:r>
        <w:separator/>
      </w:r>
    </w:p>
  </w:footnote>
  <w:footnote w:type="continuationSeparator" w:id="0">
    <w:p w:rsidR="0016636B" w:rsidRDefault="0016636B">
      <w:r>
        <w:continuationSeparator/>
      </w:r>
    </w:p>
  </w:footnote>
  <w:footnote w:id="1">
    <w:p w:rsidR="0016636B" w:rsidRPr="0016636B" w:rsidRDefault="0016636B">
      <w:pPr>
        <w:pStyle w:val="FootnoteText"/>
        <w:rPr>
          <w:lang w:val="en-CA"/>
        </w:rPr>
      </w:pPr>
      <w:r w:rsidRPr="0016636B">
        <w:rPr>
          <w:rStyle w:val="FootnoteReference"/>
        </w:rPr>
        <w:footnoteRef/>
      </w:r>
      <w:r w:rsidRPr="0016636B">
        <w:t xml:space="preserve"> </w:t>
      </w:r>
      <w:proofErr w:type="gramStart"/>
      <w:r w:rsidRPr="0016636B">
        <w:t xml:space="preserve">As per the letter of </w:t>
      </w:r>
      <w:r>
        <w:t>25</w:t>
      </w:r>
      <w:r w:rsidRPr="0016636B">
        <w:t xml:space="preserve"> </w:t>
      </w:r>
      <w:r>
        <w:t>August</w:t>
      </w:r>
      <w:r w:rsidRPr="0016636B">
        <w:t xml:space="preserve"> 2016 from the Ministry of </w:t>
      </w:r>
      <w:r>
        <w:t>Environment</w:t>
      </w:r>
      <w:r w:rsidRPr="0016636B">
        <w:t xml:space="preserve"> of </w:t>
      </w:r>
      <w:r>
        <w:t>the Republic of South Sudan</w:t>
      </w:r>
      <w:r w:rsidRPr="0016636B">
        <w:t xml:space="preserve"> to </w:t>
      </w:r>
      <w:r>
        <w:t>the Secretariat</w:t>
      </w:r>
      <w:r w:rsidRPr="0016636B">
        <w:t>.</w:t>
      </w:r>
      <w:proofErr w:type="gramEnd"/>
    </w:p>
  </w:footnote>
  <w:footnote w:id="2">
    <w:p w:rsidR="0016636B" w:rsidRDefault="0016636B">
      <w:pPr>
        <w:pStyle w:val="FootnoteText"/>
      </w:pPr>
      <w:r w:rsidRPr="0016636B">
        <w:rPr>
          <w:rStyle w:val="FootnoteReference"/>
        </w:rPr>
        <w:footnoteRef/>
      </w:r>
      <w:r w:rsidRPr="0016636B">
        <w:t xml:space="preserve"> At the </w:t>
      </w:r>
      <w:r w:rsidRPr="0016636B">
        <w:rPr>
          <w:bCs/>
          <w:color w:val="000000"/>
        </w:rPr>
        <w:t>56</w:t>
      </w:r>
      <w:r w:rsidRPr="0016636B">
        <w:rPr>
          <w:bCs/>
          <w:color w:val="000000"/>
          <w:vertAlign w:val="superscript"/>
        </w:rPr>
        <w:t>th</w:t>
      </w:r>
      <w:r w:rsidRPr="0016636B">
        <w:rPr>
          <w:bCs/>
          <w:color w:val="000000"/>
        </w:rPr>
        <w:t xml:space="preserve"> meeting of the Implementation Committee, the Government of South Sudan reported the establishment and operation of a licensing system (</w:t>
      </w:r>
      <w:r w:rsidRPr="0016636B">
        <w:t xml:space="preserve">Recommendation </w:t>
      </w:r>
      <w:r w:rsidRPr="0016636B">
        <w:rPr>
          <w:bCs/>
          <w:color w:val="000000"/>
        </w:rPr>
        <w:t>56/8 of document UNEP/</w:t>
      </w:r>
      <w:proofErr w:type="spellStart"/>
      <w:r w:rsidRPr="0016636B">
        <w:rPr>
          <w:bCs/>
          <w:color w:val="000000"/>
        </w:rPr>
        <w:t>OzL.Pro</w:t>
      </w:r>
      <w:proofErr w:type="spellEnd"/>
      <w:r w:rsidRPr="0016636B">
        <w:rPr>
          <w:bCs/>
          <w:color w:val="000000"/>
        </w:rPr>
        <w:t>/</w:t>
      </w:r>
      <w:proofErr w:type="spellStart"/>
      <w:r w:rsidRPr="0016636B">
        <w:rPr>
          <w:bCs/>
          <w:color w:val="000000"/>
        </w:rPr>
        <w:t>ImpCom</w:t>
      </w:r>
      <w:proofErr w:type="spellEnd"/>
      <w:r w:rsidRPr="0016636B">
        <w:rPr>
          <w:bCs/>
          <w:color w:val="000000"/>
        </w:rPr>
        <w:t>/56/4).</w:t>
      </w:r>
    </w:p>
  </w:footnote>
  <w:footnote w:id="3">
    <w:p w:rsidR="0016636B" w:rsidRDefault="0016636B">
      <w:pPr>
        <w:pStyle w:val="FootnoteText"/>
        <w:rPr>
          <w:lang w:val="en-CA"/>
        </w:rPr>
      </w:pPr>
      <w:r>
        <w:rPr>
          <w:rStyle w:val="FootnoteReference"/>
        </w:rPr>
        <w:footnoteRef/>
      </w:r>
      <w:r>
        <w:t xml:space="preserve"> </w:t>
      </w:r>
      <w:proofErr w:type="gramStart"/>
      <w:r>
        <w:t>Potential financial incentives and opportunities for additional resources to maximize the environmental benefits from HPMPs pursuant to paragraph 11(b) of decision XIX/6.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6B" w:rsidRDefault="0016636B">
    <w:r w:rsidRPr="00D07760">
      <w:t>UNEP/</w:t>
    </w:r>
    <w:proofErr w:type="spellStart"/>
    <w:r w:rsidRPr="00D07760">
      <w:t>OzL.Pro</w:t>
    </w:r>
    <w:proofErr w:type="spellEnd"/>
    <w:r w:rsidRPr="00D07760">
      <w:t>/ExCom/77/</w:t>
    </w:r>
    <w:r>
      <w:t>63</w:t>
    </w:r>
  </w:p>
  <w:p w:rsidR="0016636B" w:rsidRDefault="0016636B"/>
  <w:p w:rsidR="0016636B" w:rsidRDefault="001663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6B" w:rsidRDefault="0016636B" w:rsidP="00D07760">
    <w:pPr>
      <w:jc w:val="right"/>
    </w:pPr>
    <w:r w:rsidRPr="00D07760">
      <w:t>UNEP/</w:t>
    </w:r>
    <w:proofErr w:type="spellStart"/>
    <w:r w:rsidRPr="00D07760">
      <w:t>OzL.Pro</w:t>
    </w:r>
    <w:proofErr w:type="spellEnd"/>
    <w:r w:rsidRPr="00D07760">
      <w:t>/ExCom/77/</w:t>
    </w:r>
    <w:r>
      <w:t>63</w:t>
    </w:r>
  </w:p>
  <w:p w:rsidR="0016636B" w:rsidRDefault="0016636B" w:rsidP="00D07760">
    <w:pPr>
      <w:jc w:val="right"/>
    </w:pPr>
  </w:p>
  <w:p w:rsidR="0016636B" w:rsidRDefault="0016636B" w:rsidP="00D0776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60" w:rsidRDefault="00B45460">
    <w:r w:rsidRPr="00D07760">
      <w:t>UNEP/</w:t>
    </w:r>
    <w:proofErr w:type="spellStart"/>
    <w:r w:rsidRPr="00D07760">
      <w:t>OzL.Pro</w:t>
    </w:r>
    <w:proofErr w:type="spellEnd"/>
    <w:r w:rsidRPr="00D07760">
      <w:t>/ExCom/77/</w:t>
    </w:r>
    <w:r>
      <w:t>63</w:t>
    </w:r>
  </w:p>
  <w:p w:rsidR="00B45460" w:rsidRDefault="00B45460">
    <w:r>
      <w:t>Annex I</w:t>
    </w:r>
  </w:p>
  <w:p w:rsidR="00B45460" w:rsidRDefault="00B4546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60" w:rsidRDefault="00B45460" w:rsidP="00D07760">
    <w:pPr>
      <w:jc w:val="right"/>
    </w:pPr>
    <w:r w:rsidRPr="00D07760">
      <w:t>UNEP/</w:t>
    </w:r>
    <w:proofErr w:type="spellStart"/>
    <w:r w:rsidRPr="00D07760">
      <w:t>OzL.Pro</w:t>
    </w:r>
    <w:proofErr w:type="spellEnd"/>
    <w:r w:rsidRPr="00D07760">
      <w:t>/ExCom/77/</w:t>
    </w:r>
    <w:r>
      <w:t>63</w:t>
    </w:r>
  </w:p>
  <w:p w:rsidR="00B45460" w:rsidRDefault="00B45460" w:rsidP="00D07760">
    <w:pPr>
      <w:jc w:val="right"/>
    </w:pPr>
    <w:r>
      <w:t>Annex I</w:t>
    </w:r>
  </w:p>
  <w:p w:rsidR="00B45460" w:rsidRDefault="00B45460" w:rsidP="00D0776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460" w:rsidRDefault="00B45460" w:rsidP="00B45460">
    <w:pPr>
      <w:jc w:val="right"/>
    </w:pPr>
    <w:r w:rsidRPr="00D07760">
      <w:t>UNEP/</w:t>
    </w:r>
    <w:proofErr w:type="spellStart"/>
    <w:r w:rsidRPr="00D07760">
      <w:t>OzL.Pro</w:t>
    </w:r>
    <w:proofErr w:type="spellEnd"/>
    <w:r w:rsidRPr="00D07760">
      <w:t>/ExCom/77/</w:t>
    </w:r>
    <w:r>
      <w:t>63</w:t>
    </w:r>
  </w:p>
  <w:p w:rsidR="00B45460" w:rsidRDefault="00B45460" w:rsidP="00B45460">
    <w:pPr>
      <w:jc w:val="right"/>
    </w:pPr>
    <w:r>
      <w:t>Annex I</w:t>
    </w:r>
  </w:p>
  <w:p w:rsidR="00B45460" w:rsidRDefault="00B45460" w:rsidP="00B454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6"/>
    <w:rsid w:val="00140E9B"/>
    <w:rsid w:val="0016636B"/>
    <w:rsid w:val="001863C2"/>
    <w:rsid w:val="00221733"/>
    <w:rsid w:val="003B114C"/>
    <w:rsid w:val="00425989"/>
    <w:rsid w:val="004F3C75"/>
    <w:rsid w:val="00594B94"/>
    <w:rsid w:val="005D3099"/>
    <w:rsid w:val="00634590"/>
    <w:rsid w:val="006633D7"/>
    <w:rsid w:val="007002A6"/>
    <w:rsid w:val="007101D2"/>
    <w:rsid w:val="007929AD"/>
    <w:rsid w:val="0087548F"/>
    <w:rsid w:val="008E28BD"/>
    <w:rsid w:val="00976C33"/>
    <w:rsid w:val="00AF6212"/>
    <w:rsid w:val="00B45460"/>
    <w:rsid w:val="00BB2BF6"/>
    <w:rsid w:val="00C22111"/>
    <w:rsid w:val="00C24872"/>
    <w:rsid w:val="00D07760"/>
    <w:rsid w:val="00ED22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Pr>
      <w:sz w:val="22"/>
      <w:szCs w:val="22"/>
      <w:lang w:val="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GB"/>
    </w:rPr>
  </w:style>
  <w:style w:type="character" w:styleId="FootnoteReference">
    <w:name w:val="footnote reference"/>
    <w:basedOn w:val="DefaultParagraphFont"/>
    <w:uiPriority w:val="99"/>
    <w:semiHidden/>
    <w:unhideWhenUsed/>
    <w:rPr>
      <w:vertAlign w:val="superscript"/>
    </w:rPr>
  </w:style>
  <w:style w:type="character" w:customStyle="1" w:styleId="FooterChar">
    <w:name w:val="Footer Char"/>
    <w:basedOn w:val="DefaultParagraphFont"/>
    <w:link w:val="Footer"/>
    <w:uiPriority w:val="99"/>
    <w:rsid w:val="00B45460"/>
    <w:rPr>
      <w:sz w:val="22"/>
      <w:szCs w:val="22"/>
      <w:lang w:val="en-GB"/>
    </w:rPr>
  </w:style>
  <w:style w:type="paragraph" w:customStyle="1" w:styleId="Default">
    <w:name w:val="Default"/>
    <w:rsid w:val="00B45460"/>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Pr>
      <w:sz w:val="22"/>
      <w:szCs w:val="22"/>
      <w:lang w:val="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GB"/>
    </w:rPr>
  </w:style>
  <w:style w:type="character" w:styleId="FootnoteReference">
    <w:name w:val="footnote reference"/>
    <w:basedOn w:val="DefaultParagraphFont"/>
    <w:uiPriority w:val="99"/>
    <w:semiHidden/>
    <w:unhideWhenUsed/>
    <w:rPr>
      <w:vertAlign w:val="superscript"/>
    </w:rPr>
  </w:style>
  <w:style w:type="character" w:customStyle="1" w:styleId="FooterChar">
    <w:name w:val="Footer Char"/>
    <w:basedOn w:val="DefaultParagraphFont"/>
    <w:link w:val="Footer"/>
    <w:uiPriority w:val="99"/>
    <w:rsid w:val="00B45460"/>
    <w:rPr>
      <w:sz w:val="22"/>
      <w:szCs w:val="22"/>
      <w:lang w:val="en-GB"/>
    </w:rPr>
  </w:style>
  <w:style w:type="paragraph" w:customStyle="1" w:styleId="Default">
    <w:name w:val="Default"/>
    <w:rsid w:val="00B4546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812">
      <w:bodyDiv w:val="1"/>
      <w:marLeft w:val="0"/>
      <w:marRight w:val="0"/>
      <w:marTop w:val="0"/>
      <w:marBottom w:val="0"/>
      <w:divBdr>
        <w:top w:val="none" w:sz="0" w:space="0" w:color="auto"/>
        <w:left w:val="none" w:sz="0" w:space="0" w:color="auto"/>
        <w:bottom w:val="none" w:sz="0" w:space="0" w:color="auto"/>
        <w:right w:val="none" w:sz="0" w:space="0" w:color="auto"/>
      </w:divBdr>
    </w:div>
    <w:div w:id="388113081">
      <w:bodyDiv w:val="1"/>
      <w:marLeft w:val="0"/>
      <w:marRight w:val="0"/>
      <w:marTop w:val="0"/>
      <w:marBottom w:val="0"/>
      <w:divBdr>
        <w:top w:val="none" w:sz="0" w:space="0" w:color="auto"/>
        <w:left w:val="none" w:sz="0" w:space="0" w:color="auto"/>
        <w:bottom w:val="none" w:sz="0" w:space="0" w:color="auto"/>
        <w:right w:val="none" w:sz="0" w:space="0" w:color="auto"/>
      </w:divBdr>
    </w:div>
    <w:div w:id="1330596163">
      <w:bodyDiv w:val="1"/>
      <w:marLeft w:val="0"/>
      <w:marRight w:val="0"/>
      <w:marTop w:val="0"/>
      <w:marBottom w:val="0"/>
      <w:divBdr>
        <w:top w:val="none" w:sz="0" w:space="0" w:color="auto"/>
        <w:left w:val="none" w:sz="0" w:space="0" w:color="auto"/>
        <w:bottom w:val="none" w:sz="0" w:space="0" w:color="auto"/>
        <w:right w:val="none" w:sz="0" w:space="0" w:color="auto"/>
      </w:divBdr>
    </w:div>
    <w:div w:id="1441334173">
      <w:bodyDiv w:val="1"/>
      <w:marLeft w:val="0"/>
      <w:marRight w:val="0"/>
      <w:marTop w:val="0"/>
      <w:marBottom w:val="0"/>
      <w:divBdr>
        <w:top w:val="none" w:sz="0" w:space="0" w:color="auto"/>
        <w:left w:val="none" w:sz="0" w:space="0" w:color="auto"/>
        <w:bottom w:val="none" w:sz="0" w:space="0" w:color="auto"/>
        <w:right w:val="none" w:sz="0" w:space="0" w:color="auto"/>
      </w:divBdr>
    </w:div>
    <w:div w:id="155060395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9F5B17BF82F4083D32896D3516BC1" ma:contentTypeVersion="5" ma:contentTypeDescription="Create a new document." ma:contentTypeScope="" ma:versionID="9f63a1ae771723600515f0cbb06b691e">
  <xsd:schema xmlns:xsd="http://www.w3.org/2001/XMLSchema" xmlns:p="http://schemas.microsoft.com/office/2006/metadata/properties" xmlns:ns2="6b03d5a6-c642-4a08-93b6-965b66bfac2e" xmlns:ns3="64e33b30-101d-41de-b951-961aab25ea29" xmlns:ns4="c784fa88-afe8-45ea-98cb-6e454791397f" targetNamespace="http://schemas.microsoft.com/office/2006/metadata/properties" ma:root="true" ma:fieldsID="f8fc196be62d1ae30cc7684257f0f14d" ns2:_="" ns3:_="" ns4:_="">
    <xsd:import namespace="6b03d5a6-c642-4a08-93b6-965b66bfac2e"/>
    <xsd:import namespace="64e33b30-101d-41de-b951-961aab25ea29"/>
    <xsd:import namespace="c784fa88-afe8-45ea-98cb-6e454791397f"/>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c784fa88-afe8-45ea-98cb-6e454791397f"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Word"/>
          <xsd:enumeration value="PDF"/>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ormat xmlns="c784fa88-afe8-45ea-98cb-6e454791397f">Word</Format>
    <Document_x0020_Number xmlns="6b03d5a6-c642-4a08-93b6-965b66bfac2e">UNEP/OzL.Pro/ExCom/77/63</Document_x0020_Number>
    <DocumentType xmlns="64e33b30-101d-41de-b951-961aab25ea29">Pre-session</DocumentType>
  </documentManagement>
</p:properties>
</file>

<file path=customXml/itemProps1.xml><?xml version="1.0" encoding="utf-8"?>
<ds:datastoreItem xmlns:ds="http://schemas.openxmlformats.org/officeDocument/2006/customXml" ds:itemID="{776FA83F-69F3-4BE9-82C1-CA9F7D760536}"/>
</file>

<file path=customXml/itemProps2.xml><?xml version="1.0" encoding="utf-8"?>
<ds:datastoreItem xmlns:ds="http://schemas.openxmlformats.org/officeDocument/2006/customXml" ds:itemID="{1B6A6D32-558D-47C5-BFC6-EC9267F81FCD}"/>
</file>

<file path=customXml/itemProps3.xml><?xml version="1.0" encoding="utf-8"?>
<ds:datastoreItem xmlns:ds="http://schemas.openxmlformats.org/officeDocument/2006/customXml" ds:itemID="{EE660F05-1229-4001-928B-16C0FA6CA37A}"/>
</file>

<file path=customXml/itemProps4.xml><?xml version="1.0" encoding="utf-8"?>
<ds:datastoreItem xmlns:ds="http://schemas.openxmlformats.org/officeDocument/2006/customXml" ds:itemID="{B00B3984-6737-447D-8F09-7E1A26D2F673}"/>
</file>

<file path=docProps/app.xml><?xml version="1.0" encoding="utf-8"?>
<Properties xmlns="http://schemas.openxmlformats.org/officeDocument/2006/extended-properties" xmlns:vt="http://schemas.openxmlformats.org/officeDocument/2006/docPropsVTypes">
  <Template>Normal</Template>
  <TotalTime>7</TotalTime>
  <Pages>15</Pages>
  <Words>5520</Words>
  <Characters>29771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South Sudan</dc:title>
  <dc:creator>Xiaojuan Wang</dc:creator>
  <cp:lastModifiedBy>Nanette Guerin</cp:lastModifiedBy>
  <cp:revision>5</cp:revision>
  <cp:lastPrinted>2016-11-02T20:08:00Z</cp:lastPrinted>
  <dcterms:created xsi:type="dcterms:W3CDTF">2016-11-02T19:54:00Z</dcterms:created>
  <dcterms:modified xsi:type="dcterms:W3CDTF">2016-11-02T20:10:00Z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UNEP/OzL.Pro/ExCom/77/x</vt:lpwstr>
  </property>
  <property fmtid="{D5CDD505-2E9C-101B-9397-08002B2CF9AE}" pid="3" name="Revision date">
    <vt:lpwstr>09/26/2016</vt:lpwstr>
  </property>
  <property fmtid="{D5CDD505-2E9C-101B-9397-08002B2CF9AE}" pid="4" name="ContentTypeId">
    <vt:lpwstr>0x010100F409F5B17BF82F4083D32896D3516BC1</vt:lpwstr>
  </property>
</Properties>
</file>