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FA688C" w:rsidRPr="00FA688C" w14:paraId="05A1983C" w14:textId="77777777" w:rsidTr="005B3589">
        <w:trPr>
          <w:trHeight w:val="720"/>
        </w:trPr>
        <w:tc>
          <w:tcPr>
            <w:tcW w:w="5490" w:type="dxa"/>
            <w:gridSpan w:val="2"/>
            <w:tcBorders>
              <w:bottom w:val="single" w:sz="18" w:space="0" w:color="auto"/>
            </w:tcBorders>
          </w:tcPr>
          <w:p w14:paraId="72F49C6C" w14:textId="77777777" w:rsidR="00C15867" w:rsidRPr="00FA688C" w:rsidRDefault="00A9148C" w:rsidP="00FA688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color w:val="000000" w:themeColor="text1"/>
                <w:sz w:val="28"/>
                <w:szCs w:val="28"/>
                <w:lang w:val="en-CA"/>
              </w:rPr>
            </w:pPr>
            <w:r w:rsidRPr="00FA688C">
              <w:rPr>
                <w:rFonts w:ascii="Univers" w:hAnsi="Univers"/>
                <w:b/>
                <w:color w:val="000000" w:themeColor="text1"/>
                <w:sz w:val="28"/>
                <w:szCs w:val="28"/>
                <w:lang w:val="en-CA"/>
              </w:rPr>
              <w:t xml:space="preserve"> </w:t>
            </w:r>
            <w:r w:rsidR="00C15867" w:rsidRPr="00FA688C">
              <w:rPr>
                <w:rFonts w:ascii="Univers" w:hAnsi="Univers"/>
                <w:b/>
                <w:color w:val="000000" w:themeColor="text1"/>
                <w:sz w:val="28"/>
                <w:szCs w:val="28"/>
                <w:lang w:val="en-CA"/>
              </w:rPr>
              <w:t>UNITED</w:t>
            </w:r>
            <w:r w:rsidR="00C15867" w:rsidRPr="00FA688C">
              <w:rPr>
                <w:rFonts w:ascii="Univers" w:hAnsi="Univers"/>
                <w:b/>
                <w:color w:val="000000" w:themeColor="text1"/>
                <w:sz w:val="28"/>
                <w:szCs w:val="28"/>
                <w:lang w:val="en-CA"/>
              </w:rPr>
              <w:br/>
              <w:t>NATIONS</w:t>
            </w:r>
          </w:p>
        </w:tc>
        <w:tc>
          <w:tcPr>
            <w:tcW w:w="4590" w:type="dxa"/>
            <w:tcBorders>
              <w:bottom w:val="single" w:sz="18" w:space="0" w:color="auto"/>
            </w:tcBorders>
          </w:tcPr>
          <w:p w14:paraId="2D21D2D2" w14:textId="77777777" w:rsidR="00C15867" w:rsidRPr="00FA688C" w:rsidRDefault="00C15867" w:rsidP="00FA688C">
            <w:pPr>
              <w:jc w:val="right"/>
              <w:rPr>
                <w:color w:val="000000" w:themeColor="text1"/>
                <w:sz w:val="52"/>
                <w:szCs w:val="52"/>
                <w:lang w:val="en-CA"/>
              </w:rPr>
            </w:pPr>
            <w:r w:rsidRPr="00FA688C">
              <w:rPr>
                <w:rFonts w:ascii="Univers Bold" w:hAnsi="Univers Bold"/>
                <w:b/>
                <w:color w:val="000000" w:themeColor="text1"/>
                <w:sz w:val="72"/>
                <w:lang w:val="en-CA"/>
              </w:rPr>
              <w:t>EP</w:t>
            </w:r>
          </w:p>
        </w:tc>
      </w:tr>
      <w:tr w:rsidR="00FA688C" w:rsidRPr="00FA688C" w14:paraId="2C18B62C" w14:textId="77777777" w:rsidTr="005B3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359F663" w14:textId="77777777" w:rsidR="00C15867" w:rsidRPr="00FA688C" w:rsidRDefault="00C15867" w:rsidP="00FA688C">
            <w:pPr>
              <w:spacing w:before="120"/>
              <w:rPr>
                <w:color w:val="000000" w:themeColor="text1"/>
                <w:lang w:val="en-CA"/>
              </w:rPr>
            </w:pPr>
            <w:r w:rsidRPr="00FA688C">
              <w:rPr>
                <w:noProof/>
                <w:color w:val="000000" w:themeColor="text1"/>
                <w:lang w:val="en-CA" w:eastAsia="en-CA"/>
              </w:rPr>
              <w:drawing>
                <wp:anchor distT="0" distB="0" distL="114300" distR="114300" simplePos="0" relativeHeight="251657216" behindDoc="0" locked="0" layoutInCell="1" allowOverlap="1" wp14:anchorId="478245C3" wp14:editId="4D6AB4F3">
                  <wp:simplePos x="0" y="0"/>
                  <wp:positionH relativeFrom="column">
                    <wp:posOffset>20955</wp:posOffset>
                  </wp:positionH>
                  <wp:positionV relativeFrom="paragraph">
                    <wp:posOffset>868680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FA688C">
              <w:rPr>
                <w:noProof/>
                <w:color w:val="000000" w:themeColor="text1"/>
                <w:lang w:val="en-CA" w:eastAsia="en-CA"/>
              </w:rPr>
              <w:drawing>
                <wp:anchor distT="0" distB="0" distL="114300" distR="114300" simplePos="0" relativeHeight="251660288" behindDoc="1" locked="0" layoutInCell="0" allowOverlap="1" wp14:anchorId="04C2027B" wp14:editId="21E5EE25">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4D4DFD78" w14:textId="77777777" w:rsidR="00C15867" w:rsidRPr="00FA688C" w:rsidRDefault="00C15867" w:rsidP="00FA688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color w:val="000000" w:themeColor="text1"/>
                <w:sz w:val="32"/>
                <w:lang w:val="en-CA"/>
              </w:rPr>
            </w:pPr>
            <w:r w:rsidRPr="00FA688C">
              <w:rPr>
                <w:rFonts w:ascii="Univers" w:hAnsi="Univers"/>
                <w:b/>
                <w:color w:val="000000" w:themeColor="text1"/>
                <w:sz w:val="32"/>
                <w:lang w:val="en-CA"/>
              </w:rPr>
              <w:t>United Nations</w:t>
            </w:r>
          </w:p>
          <w:p w14:paraId="4401C5B3" w14:textId="77777777" w:rsidR="00C15867" w:rsidRPr="00FA688C" w:rsidRDefault="00C15867" w:rsidP="00FA688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color w:val="000000" w:themeColor="text1"/>
                <w:lang w:val="en-CA"/>
              </w:rPr>
            </w:pPr>
            <w:r w:rsidRPr="00FA688C">
              <w:rPr>
                <w:rFonts w:ascii="Univers" w:hAnsi="Univers"/>
                <w:b/>
                <w:color w:val="000000" w:themeColor="text1"/>
                <w:sz w:val="32"/>
                <w:lang w:val="en-CA"/>
              </w:rPr>
              <w:t>Environment</w:t>
            </w:r>
          </w:p>
          <w:p w14:paraId="130A4D74" w14:textId="77777777" w:rsidR="00C15867" w:rsidRPr="00FA688C" w:rsidRDefault="00C15867" w:rsidP="00FA688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color w:val="000000" w:themeColor="text1"/>
                <w:sz w:val="32"/>
                <w:lang w:val="en-CA"/>
              </w:rPr>
            </w:pPr>
            <w:r w:rsidRPr="00FA688C">
              <w:rPr>
                <w:rFonts w:ascii="Univers" w:hAnsi="Univers"/>
                <w:b/>
                <w:color w:val="000000" w:themeColor="text1"/>
                <w:sz w:val="32"/>
                <w:lang w:val="en-CA"/>
              </w:rPr>
              <w:t>Programme</w:t>
            </w:r>
          </w:p>
          <w:p w14:paraId="0D4A246D" w14:textId="77777777" w:rsidR="00C15867" w:rsidRPr="00FA688C" w:rsidRDefault="00C15867" w:rsidP="00FA688C">
            <w:pPr>
              <w:spacing w:before="720"/>
              <w:ind w:left="158"/>
              <w:rPr>
                <w:color w:val="000000" w:themeColor="text1"/>
                <w:lang w:val="en-CA"/>
              </w:rPr>
            </w:pPr>
          </w:p>
        </w:tc>
        <w:tc>
          <w:tcPr>
            <w:tcW w:w="4590" w:type="dxa"/>
            <w:tcBorders>
              <w:top w:val="nil"/>
              <w:left w:val="nil"/>
              <w:bottom w:val="single" w:sz="36" w:space="0" w:color="auto"/>
              <w:right w:val="nil"/>
            </w:tcBorders>
          </w:tcPr>
          <w:p w14:paraId="70640F6F" w14:textId="77777777" w:rsidR="00C15867" w:rsidRPr="00FA688C" w:rsidRDefault="00C15867" w:rsidP="00FA688C">
            <w:pPr>
              <w:rPr>
                <w:color w:val="000000" w:themeColor="text1"/>
                <w:lang w:val="en-CA"/>
              </w:rPr>
            </w:pPr>
            <w:r w:rsidRPr="00FA688C">
              <w:rPr>
                <w:color w:val="000000" w:themeColor="text1"/>
                <w:lang w:val="en-CA"/>
              </w:rPr>
              <w:t>Distr.</w:t>
            </w:r>
          </w:p>
          <w:p w14:paraId="49B10B1C" w14:textId="77777777" w:rsidR="00923540" w:rsidRPr="00FA688C" w:rsidRDefault="00923540" w:rsidP="00FA688C">
            <w:pPr>
              <w:rPr>
                <w:color w:val="000000" w:themeColor="text1"/>
                <w:lang w:val="en-CA"/>
              </w:rPr>
            </w:pPr>
            <w:r w:rsidRPr="00FA688C">
              <w:rPr>
                <w:color w:val="000000" w:themeColor="text1"/>
                <w:lang w:val="en-CA"/>
              </w:rPr>
              <w:t>GENERAL</w:t>
            </w:r>
          </w:p>
          <w:p w14:paraId="28041FB1" w14:textId="77777777" w:rsidR="00C15867" w:rsidRPr="00FA688C" w:rsidRDefault="00C15867" w:rsidP="00FA688C">
            <w:pPr>
              <w:rPr>
                <w:color w:val="000000" w:themeColor="text1"/>
                <w:lang w:val="en-CA"/>
              </w:rPr>
            </w:pPr>
          </w:p>
          <w:p w14:paraId="4140A011" w14:textId="77777777" w:rsidR="00C15867" w:rsidRPr="00FA688C" w:rsidRDefault="00C15867" w:rsidP="00FA688C">
            <w:pPr>
              <w:rPr>
                <w:color w:val="000000" w:themeColor="text1"/>
                <w:lang w:val="en-CA"/>
              </w:rPr>
            </w:pPr>
          </w:p>
          <w:p w14:paraId="6749930D" w14:textId="438266E6" w:rsidR="00C15867" w:rsidRPr="00FA688C" w:rsidRDefault="001804EA" w:rsidP="00FA688C">
            <w:pPr>
              <w:rPr>
                <w:color w:val="000000" w:themeColor="text1"/>
                <w:lang w:val="en-CA"/>
              </w:rPr>
            </w:pPr>
            <w:r w:rsidRPr="00FA688C">
              <w:rPr>
                <w:color w:val="000000" w:themeColor="text1"/>
                <w:lang w:val="en-CA"/>
              </w:rPr>
              <w:fldChar w:fldCharType="begin"/>
            </w:r>
            <w:r w:rsidRPr="00FA688C">
              <w:rPr>
                <w:color w:val="000000" w:themeColor="text1"/>
                <w:lang w:val="en-CA"/>
              </w:rPr>
              <w:instrText xml:space="preserve"> DOCPROPERTY "Document number"  \* MERGEFORMAT </w:instrText>
            </w:r>
            <w:r w:rsidRPr="00FA688C">
              <w:rPr>
                <w:color w:val="000000" w:themeColor="text1"/>
                <w:lang w:val="en-CA"/>
              </w:rPr>
              <w:fldChar w:fldCharType="separate"/>
            </w:r>
            <w:r w:rsidR="005B3589" w:rsidRPr="00FA688C">
              <w:rPr>
                <w:color w:val="000000" w:themeColor="text1"/>
                <w:lang w:val="en-CA"/>
              </w:rPr>
              <w:t>UNEP/</w:t>
            </w:r>
            <w:proofErr w:type="spellStart"/>
            <w:r w:rsidR="005B3589" w:rsidRPr="00FA688C">
              <w:rPr>
                <w:color w:val="000000" w:themeColor="text1"/>
                <w:lang w:val="en-CA"/>
              </w:rPr>
              <w:t>OzL.Pro</w:t>
            </w:r>
            <w:proofErr w:type="spellEnd"/>
            <w:r w:rsidR="005B3589" w:rsidRPr="00FA688C">
              <w:rPr>
                <w:color w:val="000000" w:themeColor="text1"/>
                <w:lang w:val="en-CA"/>
              </w:rPr>
              <w:t>/</w:t>
            </w:r>
            <w:proofErr w:type="spellStart"/>
            <w:r w:rsidR="005B3589" w:rsidRPr="00FA688C">
              <w:rPr>
                <w:color w:val="000000" w:themeColor="text1"/>
                <w:lang w:val="en-CA"/>
              </w:rPr>
              <w:t>ExCom</w:t>
            </w:r>
            <w:proofErr w:type="spellEnd"/>
            <w:r w:rsidR="005B3589" w:rsidRPr="00FA688C">
              <w:rPr>
                <w:color w:val="000000" w:themeColor="text1"/>
                <w:lang w:val="en-CA"/>
              </w:rPr>
              <w:t>/81/12</w:t>
            </w:r>
            <w:r w:rsidRPr="00FA688C">
              <w:rPr>
                <w:color w:val="000000" w:themeColor="text1"/>
                <w:lang w:val="en-CA"/>
              </w:rPr>
              <w:fldChar w:fldCharType="end"/>
            </w:r>
          </w:p>
          <w:p w14:paraId="0C9B42A0" w14:textId="17ED0A32" w:rsidR="00C15867" w:rsidRPr="00FA688C" w:rsidRDefault="00BC2495" w:rsidP="00FA688C">
            <w:pPr>
              <w:rPr>
                <w:color w:val="000000" w:themeColor="text1"/>
                <w:lang w:val="en-CA"/>
              </w:rPr>
            </w:pPr>
            <w:r w:rsidRPr="00FA688C">
              <w:rPr>
                <w:color w:val="000000" w:themeColor="text1"/>
                <w:lang w:val="en-CA"/>
              </w:rPr>
              <w:fldChar w:fldCharType="begin"/>
            </w:r>
            <w:r w:rsidR="00851352" w:rsidRPr="00FA688C">
              <w:rPr>
                <w:color w:val="000000" w:themeColor="text1"/>
                <w:lang w:val="en-CA"/>
              </w:rPr>
              <w:instrText xml:space="preserve"> DOCPROPERTY "Revision date" \@ "d MMMM YYYY"  \* MERGEFORMAT </w:instrText>
            </w:r>
            <w:r w:rsidRPr="00FA688C">
              <w:rPr>
                <w:color w:val="000000" w:themeColor="text1"/>
                <w:lang w:val="en-CA"/>
              </w:rPr>
              <w:fldChar w:fldCharType="separate"/>
            </w:r>
            <w:r w:rsidR="00795719">
              <w:rPr>
                <w:color w:val="000000" w:themeColor="text1"/>
                <w:lang w:val="en-CA"/>
              </w:rPr>
              <w:t>4 June 2018</w:t>
            </w:r>
            <w:r w:rsidRPr="00FA688C">
              <w:rPr>
                <w:color w:val="000000" w:themeColor="text1"/>
                <w:lang w:val="en-CA"/>
              </w:rPr>
              <w:fldChar w:fldCharType="end"/>
            </w:r>
          </w:p>
          <w:p w14:paraId="3B57B2FE" w14:textId="77777777" w:rsidR="00C15867" w:rsidRPr="00FA688C" w:rsidRDefault="00C15867" w:rsidP="00FA688C">
            <w:pPr>
              <w:rPr>
                <w:caps/>
                <w:color w:val="000000" w:themeColor="text1"/>
                <w:lang w:val="en-CA"/>
              </w:rPr>
            </w:pPr>
          </w:p>
          <w:p w14:paraId="2E7A7CF6" w14:textId="77777777" w:rsidR="00C15867" w:rsidRPr="00FA688C" w:rsidRDefault="00C15867" w:rsidP="00FA688C">
            <w:pPr>
              <w:rPr>
                <w:color w:val="000000" w:themeColor="text1"/>
                <w:lang w:val="en-CA"/>
              </w:rPr>
            </w:pPr>
            <w:r w:rsidRPr="00FA688C">
              <w:rPr>
                <w:color w:val="000000" w:themeColor="text1"/>
                <w:lang w:val="en-CA"/>
              </w:rPr>
              <w:t>ORIGINAL: ENGLISH</w:t>
            </w:r>
          </w:p>
        </w:tc>
      </w:tr>
    </w:tbl>
    <w:p w14:paraId="70D7C7EF" w14:textId="77777777" w:rsidR="005B3589" w:rsidRPr="00FA688C" w:rsidRDefault="005B3589" w:rsidP="00FA688C">
      <w:pPr>
        <w:jc w:val="left"/>
        <w:rPr>
          <w:color w:val="000000" w:themeColor="text1"/>
        </w:rPr>
      </w:pPr>
      <w:r w:rsidRPr="00FA688C">
        <w:rPr>
          <w:color w:val="000000" w:themeColor="text1"/>
        </w:rPr>
        <w:t>EXECUTIVE COMMITTEE OF</w:t>
      </w:r>
      <w:r w:rsidRPr="00FA688C">
        <w:rPr>
          <w:color w:val="000000" w:themeColor="text1"/>
        </w:rPr>
        <w:br/>
        <w:t xml:space="preserve"> THE MULTILATERAL FUND FOR THE</w:t>
      </w:r>
      <w:r w:rsidRPr="00FA688C">
        <w:rPr>
          <w:color w:val="000000" w:themeColor="text1"/>
        </w:rPr>
        <w:br/>
        <w:t xml:space="preserve"> IMPLEMENTATION OF THE MONTREAL PROTOCOL</w:t>
      </w:r>
      <w:r w:rsidRPr="00FA688C">
        <w:rPr>
          <w:color w:val="000000" w:themeColor="text1"/>
        </w:rPr>
        <w:br/>
      </w:r>
      <w:r w:rsidRPr="00FA688C">
        <w:rPr>
          <w:color w:val="000000" w:themeColor="text1"/>
          <w:lang w:val="en-CA"/>
        </w:rPr>
        <w:t xml:space="preserve">Eighty-first </w:t>
      </w:r>
      <w:r w:rsidRPr="00FA688C">
        <w:rPr>
          <w:color w:val="000000" w:themeColor="text1"/>
        </w:rPr>
        <w:t>Meeting</w:t>
      </w:r>
    </w:p>
    <w:p w14:paraId="211E0ED7" w14:textId="77777777" w:rsidR="005B3589" w:rsidRPr="00FA688C" w:rsidRDefault="005B3589" w:rsidP="00FA688C">
      <w:pPr>
        <w:jc w:val="left"/>
        <w:rPr>
          <w:color w:val="000000" w:themeColor="text1"/>
          <w:lang w:val="en-CA"/>
        </w:rPr>
      </w:pPr>
      <w:r w:rsidRPr="00FA688C">
        <w:rPr>
          <w:color w:val="000000" w:themeColor="text1"/>
          <w:lang w:val="en-CA"/>
        </w:rPr>
        <w:t xml:space="preserve">Montreal, </w:t>
      </w:r>
      <w:r w:rsidRPr="00FA688C">
        <w:rPr>
          <w:color w:val="000000" w:themeColor="text1"/>
        </w:rPr>
        <w:t>18-22 June 2018</w:t>
      </w:r>
    </w:p>
    <w:p w14:paraId="2DFAF05B" w14:textId="77777777" w:rsidR="00C15867" w:rsidRPr="00FA688C" w:rsidRDefault="00C15867" w:rsidP="00FA688C">
      <w:pPr>
        <w:jc w:val="left"/>
        <w:rPr>
          <w:color w:val="000000" w:themeColor="text1"/>
          <w:lang w:val="en-CA"/>
        </w:rPr>
      </w:pPr>
    </w:p>
    <w:p w14:paraId="73D46153" w14:textId="77777777" w:rsidR="004E7F9C" w:rsidRPr="00FA688C" w:rsidRDefault="004E7F9C" w:rsidP="00FA688C">
      <w:pPr>
        <w:pStyle w:val="Title1"/>
        <w:rPr>
          <w:color w:val="000000" w:themeColor="text1"/>
          <w:lang w:val="en-CA"/>
        </w:rPr>
      </w:pPr>
    </w:p>
    <w:p w14:paraId="35A6A38A" w14:textId="596528C7" w:rsidR="006852D7" w:rsidRPr="00FA688C" w:rsidRDefault="00704F3B" w:rsidP="00FA688C">
      <w:pPr>
        <w:jc w:val="center"/>
        <w:rPr>
          <w:b/>
          <w:bCs/>
          <w:caps/>
          <w:color w:val="000000" w:themeColor="text1"/>
          <w:lang w:val="en-CA"/>
        </w:rPr>
      </w:pPr>
      <w:r w:rsidRPr="00FA688C">
        <w:rPr>
          <w:b/>
          <w:bCs/>
          <w:color w:val="000000" w:themeColor="text1"/>
          <w:lang w:val="en-CA"/>
        </w:rPr>
        <w:t>UPDATE ON THE IMPLEMENTATION OF THE 201</w:t>
      </w:r>
      <w:r w:rsidR="00261D3C" w:rsidRPr="00FA688C">
        <w:rPr>
          <w:b/>
          <w:bCs/>
          <w:color w:val="000000" w:themeColor="text1"/>
          <w:lang w:val="en-CA"/>
        </w:rPr>
        <w:t>8</w:t>
      </w:r>
      <w:r w:rsidRPr="00FA688C">
        <w:rPr>
          <w:b/>
          <w:bCs/>
          <w:color w:val="000000" w:themeColor="text1"/>
          <w:lang w:val="en-CA"/>
        </w:rPr>
        <w:t>-20</w:t>
      </w:r>
      <w:r w:rsidR="00261D3C" w:rsidRPr="00FA688C">
        <w:rPr>
          <w:b/>
          <w:bCs/>
          <w:color w:val="000000" w:themeColor="text1"/>
          <w:lang w:val="en-CA"/>
        </w:rPr>
        <w:t>20</w:t>
      </w:r>
      <w:r w:rsidRPr="00FA688C">
        <w:rPr>
          <w:b/>
          <w:bCs/>
          <w:color w:val="000000" w:themeColor="text1"/>
          <w:lang w:val="en-CA"/>
        </w:rPr>
        <w:t xml:space="preserve"> BUSINESS PLANS AND </w:t>
      </w:r>
      <w:r w:rsidRPr="00FA688C">
        <w:rPr>
          <w:b/>
          <w:color w:val="000000" w:themeColor="text1"/>
          <w:lang w:val="en-CA"/>
        </w:rPr>
        <w:t>FINANCIAL PLANNING FOR THE TRIENNIUM 201</w:t>
      </w:r>
      <w:r w:rsidR="00261D3C" w:rsidRPr="00FA688C">
        <w:rPr>
          <w:b/>
          <w:color w:val="000000" w:themeColor="text1"/>
          <w:lang w:val="en-CA"/>
        </w:rPr>
        <w:t>8</w:t>
      </w:r>
      <w:r w:rsidRPr="00FA688C">
        <w:rPr>
          <w:b/>
          <w:color w:val="000000" w:themeColor="text1"/>
          <w:lang w:val="en-CA"/>
        </w:rPr>
        <w:t>-20</w:t>
      </w:r>
      <w:r w:rsidR="00261D3C" w:rsidRPr="00FA688C">
        <w:rPr>
          <w:b/>
          <w:color w:val="000000" w:themeColor="text1"/>
          <w:lang w:val="en-CA"/>
        </w:rPr>
        <w:t>20</w:t>
      </w:r>
    </w:p>
    <w:p w14:paraId="54DCBEAC" w14:textId="77777777" w:rsidR="006852D7" w:rsidRPr="00FA688C" w:rsidRDefault="006852D7" w:rsidP="00FA688C">
      <w:pPr>
        <w:pStyle w:val="StyleHeader4Para4Left0Firstline0"/>
        <w:numPr>
          <w:ilvl w:val="0"/>
          <w:numId w:val="0"/>
        </w:numPr>
        <w:spacing w:after="0"/>
        <w:rPr>
          <w:b/>
          <w:bCs/>
          <w:color w:val="000000" w:themeColor="text1"/>
          <w:lang w:val="en-CA"/>
        </w:rPr>
      </w:pPr>
    </w:p>
    <w:p w14:paraId="0FD1ABD1" w14:textId="77777777" w:rsidR="006852D7" w:rsidRPr="00FA688C" w:rsidRDefault="006852D7" w:rsidP="00FA688C">
      <w:pPr>
        <w:pStyle w:val="StyleHeader4Para4Left0Firstline0"/>
        <w:numPr>
          <w:ilvl w:val="0"/>
          <w:numId w:val="0"/>
        </w:numPr>
        <w:spacing w:after="0"/>
        <w:rPr>
          <w:b/>
          <w:bCs/>
          <w:color w:val="000000" w:themeColor="text1"/>
          <w:sz w:val="22"/>
          <w:lang w:val="en-CA"/>
        </w:rPr>
      </w:pPr>
      <w:r w:rsidRPr="00FA688C">
        <w:rPr>
          <w:b/>
          <w:bCs/>
          <w:color w:val="000000" w:themeColor="text1"/>
          <w:sz w:val="22"/>
          <w:lang w:val="en-CA"/>
        </w:rPr>
        <w:t>Introduction</w:t>
      </w:r>
    </w:p>
    <w:p w14:paraId="79B93DA6" w14:textId="77777777" w:rsidR="006852D7" w:rsidRPr="00FA688C" w:rsidRDefault="006852D7" w:rsidP="00FA688C">
      <w:pPr>
        <w:pStyle w:val="StyleHeader4Para4Left0Firstline0"/>
        <w:numPr>
          <w:ilvl w:val="0"/>
          <w:numId w:val="0"/>
        </w:numPr>
        <w:spacing w:after="0"/>
        <w:rPr>
          <w:color w:val="000000" w:themeColor="text1"/>
          <w:sz w:val="22"/>
          <w:lang w:val="en-CA"/>
        </w:rPr>
      </w:pPr>
    </w:p>
    <w:p w14:paraId="527F0982" w14:textId="77777777" w:rsidR="006852D7" w:rsidRPr="00FA688C" w:rsidRDefault="006852D7" w:rsidP="00FA688C">
      <w:pPr>
        <w:pStyle w:val="Heading1"/>
        <w:rPr>
          <w:color w:val="000000" w:themeColor="text1"/>
          <w:lang w:val="en-CA"/>
        </w:rPr>
      </w:pPr>
      <w:r w:rsidRPr="00FA688C">
        <w:rPr>
          <w:color w:val="000000" w:themeColor="text1"/>
          <w:lang w:val="en-CA"/>
        </w:rPr>
        <w:t>This document consists of:</w:t>
      </w:r>
    </w:p>
    <w:p w14:paraId="6E9C91F9" w14:textId="7E0A35B4" w:rsidR="006852D7" w:rsidRPr="00FA688C" w:rsidRDefault="006852D7" w:rsidP="00FA688C">
      <w:pPr>
        <w:pStyle w:val="Heading2"/>
        <w:numPr>
          <w:ilvl w:val="0"/>
          <w:numId w:val="0"/>
        </w:numPr>
        <w:spacing w:after="0"/>
        <w:ind w:left="720"/>
        <w:rPr>
          <w:color w:val="000000" w:themeColor="text1"/>
          <w:lang w:val="en-CA"/>
        </w:rPr>
      </w:pPr>
      <w:r w:rsidRPr="00FA688C">
        <w:rPr>
          <w:color w:val="000000" w:themeColor="text1"/>
          <w:lang w:val="en-CA"/>
        </w:rPr>
        <w:t>Part I:</w:t>
      </w:r>
      <w:r w:rsidRPr="00FA688C">
        <w:rPr>
          <w:color w:val="000000" w:themeColor="text1"/>
          <w:lang w:val="en-CA"/>
        </w:rPr>
        <w:tab/>
        <w:t>An update on the status o</w:t>
      </w:r>
      <w:r w:rsidR="000A25FB" w:rsidRPr="00FA688C">
        <w:rPr>
          <w:color w:val="000000" w:themeColor="text1"/>
          <w:lang w:val="en-CA"/>
        </w:rPr>
        <w:t>f</w:t>
      </w:r>
      <w:r w:rsidRPr="00FA688C">
        <w:rPr>
          <w:color w:val="000000" w:themeColor="text1"/>
          <w:lang w:val="en-CA"/>
        </w:rPr>
        <w:t xml:space="preserve"> the implementation of the 201</w:t>
      </w:r>
      <w:r w:rsidR="00261D3C" w:rsidRPr="00FA688C">
        <w:rPr>
          <w:color w:val="000000" w:themeColor="text1"/>
          <w:lang w:val="en-CA"/>
        </w:rPr>
        <w:t>8</w:t>
      </w:r>
      <w:r w:rsidRPr="00FA688C">
        <w:rPr>
          <w:color w:val="000000" w:themeColor="text1"/>
          <w:lang w:val="en-CA"/>
        </w:rPr>
        <w:t>-20</w:t>
      </w:r>
      <w:r w:rsidR="00261D3C" w:rsidRPr="00FA688C">
        <w:rPr>
          <w:color w:val="000000" w:themeColor="text1"/>
          <w:lang w:val="en-CA"/>
        </w:rPr>
        <w:t>20</w:t>
      </w:r>
      <w:r w:rsidRPr="00FA688C">
        <w:rPr>
          <w:color w:val="000000" w:themeColor="text1"/>
          <w:lang w:val="en-CA"/>
        </w:rPr>
        <w:t xml:space="preserve"> business plans</w:t>
      </w:r>
    </w:p>
    <w:p w14:paraId="0798DDD2" w14:textId="77777777" w:rsidR="006852D7" w:rsidRPr="00FA688C" w:rsidRDefault="006852D7" w:rsidP="00FA688C">
      <w:pPr>
        <w:rPr>
          <w:color w:val="000000" w:themeColor="text1"/>
          <w:lang w:val="en-CA"/>
        </w:rPr>
      </w:pPr>
    </w:p>
    <w:p w14:paraId="0E82652F" w14:textId="70CF2378" w:rsidR="006852D7" w:rsidRPr="00FA688C" w:rsidRDefault="006852D7" w:rsidP="00FA688C">
      <w:pPr>
        <w:pStyle w:val="Heading2"/>
        <w:numPr>
          <w:ilvl w:val="0"/>
          <w:numId w:val="0"/>
        </w:numPr>
        <w:spacing w:after="0"/>
        <w:ind w:left="1440" w:hanging="720"/>
        <w:rPr>
          <w:color w:val="000000" w:themeColor="text1"/>
          <w:lang w:val="en-CA"/>
        </w:rPr>
      </w:pPr>
      <w:r w:rsidRPr="00FA688C">
        <w:rPr>
          <w:color w:val="000000" w:themeColor="text1"/>
          <w:lang w:val="en-CA"/>
        </w:rPr>
        <w:t>Part II:</w:t>
      </w:r>
      <w:r w:rsidRPr="00FA688C">
        <w:rPr>
          <w:color w:val="000000" w:themeColor="text1"/>
          <w:lang w:val="en-CA"/>
        </w:rPr>
        <w:tab/>
        <w:t>Financial planning for the triennium 201</w:t>
      </w:r>
      <w:r w:rsidR="00261D3C" w:rsidRPr="00FA688C">
        <w:rPr>
          <w:color w:val="000000" w:themeColor="text1"/>
          <w:lang w:val="en-CA"/>
        </w:rPr>
        <w:t>8</w:t>
      </w:r>
      <w:r w:rsidRPr="00FA688C">
        <w:rPr>
          <w:color w:val="000000" w:themeColor="text1"/>
          <w:lang w:val="en-CA"/>
        </w:rPr>
        <w:t>-20</w:t>
      </w:r>
      <w:r w:rsidR="00261D3C" w:rsidRPr="00FA688C">
        <w:rPr>
          <w:color w:val="000000" w:themeColor="text1"/>
          <w:lang w:val="en-CA"/>
        </w:rPr>
        <w:t>20</w:t>
      </w:r>
    </w:p>
    <w:p w14:paraId="3B706FC6" w14:textId="77777777" w:rsidR="006852D7" w:rsidRPr="00FA688C" w:rsidRDefault="006852D7" w:rsidP="00FA688C">
      <w:pPr>
        <w:rPr>
          <w:color w:val="000000" w:themeColor="text1"/>
          <w:lang w:val="en-CA"/>
        </w:rPr>
      </w:pPr>
    </w:p>
    <w:p w14:paraId="6231ABFD" w14:textId="2ED835B6" w:rsidR="00072F4E" w:rsidRPr="00FA688C" w:rsidRDefault="006852D7" w:rsidP="00FA688C">
      <w:pPr>
        <w:rPr>
          <w:color w:val="000000" w:themeColor="text1"/>
          <w:lang w:val="en-CA"/>
        </w:rPr>
      </w:pPr>
      <w:r w:rsidRPr="00FA688C">
        <w:rPr>
          <w:color w:val="000000" w:themeColor="text1"/>
          <w:lang w:val="en-CA"/>
        </w:rPr>
        <w:tab/>
        <w:t xml:space="preserve">Part III: </w:t>
      </w:r>
      <w:r w:rsidR="006F54CF" w:rsidRPr="00FA688C">
        <w:rPr>
          <w:color w:val="000000" w:themeColor="text1"/>
          <w:lang w:val="en-CA"/>
        </w:rPr>
        <w:t>Canada</w:t>
      </w:r>
      <w:r w:rsidR="001B1618">
        <w:rPr>
          <w:color w:val="000000" w:themeColor="text1"/>
          <w:lang w:val="en-CA"/>
        </w:rPr>
        <w:t>’s</w:t>
      </w:r>
      <w:r w:rsidR="0072122F" w:rsidRPr="00FA688C">
        <w:rPr>
          <w:color w:val="000000" w:themeColor="text1"/>
          <w:lang w:val="en-CA"/>
        </w:rPr>
        <w:t xml:space="preserve"> and Germany</w:t>
      </w:r>
      <w:r w:rsidR="006F54CF" w:rsidRPr="00FA688C">
        <w:rPr>
          <w:color w:val="000000" w:themeColor="text1"/>
          <w:lang w:val="en-CA"/>
        </w:rPr>
        <w:t>’s 2018-2020 bilateral business plan</w:t>
      </w:r>
      <w:r w:rsidR="006A3718">
        <w:rPr>
          <w:color w:val="000000" w:themeColor="text1"/>
          <w:lang w:val="en-CA"/>
        </w:rPr>
        <w:t>s</w:t>
      </w:r>
    </w:p>
    <w:p w14:paraId="5F37EC82" w14:textId="77777777" w:rsidR="00072F4E" w:rsidRPr="00FA688C" w:rsidRDefault="00072F4E" w:rsidP="00FA688C">
      <w:pPr>
        <w:rPr>
          <w:color w:val="000000" w:themeColor="text1"/>
          <w:lang w:val="en-CA"/>
        </w:rPr>
      </w:pPr>
    </w:p>
    <w:p w14:paraId="6E678F68" w14:textId="6D256FB3" w:rsidR="0038125E" w:rsidRPr="00FA688C" w:rsidRDefault="006852D7" w:rsidP="00FA688C">
      <w:pPr>
        <w:rPr>
          <w:color w:val="000000" w:themeColor="text1"/>
          <w:lang w:val="en-CA"/>
        </w:rPr>
      </w:pPr>
      <w:r w:rsidRPr="00FA688C">
        <w:rPr>
          <w:color w:val="000000" w:themeColor="text1"/>
          <w:lang w:val="en-CA"/>
        </w:rPr>
        <w:tab/>
      </w:r>
      <w:r w:rsidR="0038125E" w:rsidRPr="00FA688C">
        <w:rPr>
          <w:color w:val="000000" w:themeColor="text1"/>
          <w:lang w:val="en-CA"/>
        </w:rPr>
        <w:t>Recommendations</w:t>
      </w:r>
      <w:r w:rsidR="00E34426" w:rsidRPr="00FA688C">
        <w:rPr>
          <w:color w:val="000000" w:themeColor="text1"/>
          <w:lang w:val="en-CA"/>
        </w:rPr>
        <w:t>.</w:t>
      </w:r>
    </w:p>
    <w:p w14:paraId="15F57D39" w14:textId="77777777" w:rsidR="006852D7" w:rsidRPr="00FA688C" w:rsidRDefault="006852D7" w:rsidP="00FA688C">
      <w:pPr>
        <w:rPr>
          <w:color w:val="000000" w:themeColor="text1"/>
          <w:lang w:val="en-CA"/>
        </w:rPr>
      </w:pPr>
    </w:p>
    <w:p w14:paraId="5899F5A4" w14:textId="42FE1B7B" w:rsidR="006852D7" w:rsidRPr="00FA688C" w:rsidRDefault="006852D7" w:rsidP="00FA688C">
      <w:pPr>
        <w:pStyle w:val="Heading2"/>
        <w:numPr>
          <w:ilvl w:val="0"/>
          <w:numId w:val="0"/>
        </w:numPr>
        <w:spacing w:after="0"/>
        <w:rPr>
          <w:b/>
          <w:color w:val="000000" w:themeColor="text1"/>
          <w:lang w:val="en-CA"/>
        </w:rPr>
      </w:pPr>
      <w:r w:rsidRPr="00FA688C">
        <w:rPr>
          <w:b/>
          <w:color w:val="000000" w:themeColor="text1"/>
          <w:lang w:val="en-CA"/>
        </w:rPr>
        <w:t xml:space="preserve">PART I: </w:t>
      </w:r>
      <w:r w:rsidR="000A25FB" w:rsidRPr="00FA688C">
        <w:rPr>
          <w:b/>
          <w:color w:val="000000" w:themeColor="text1"/>
          <w:lang w:val="en-CA"/>
        </w:rPr>
        <w:t xml:space="preserve">UPDATE ON THE </w:t>
      </w:r>
      <w:r w:rsidRPr="00FA688C">
        <w:rPr>
          <w:b/>
          <w:color w:val="000000" w:themeColor="text1"/>
          <w:lang w:val="en-CA"/>
        </w:rPr>
        <w:t>STATUS O</w:t>
      </w:r>
      <w:r w:rsidR="000A25FB" w:rsidRPr="00FA688C">
        <w:rPr>
          <w:b/>
          <w:color w:val="000000" w:themeColor="text1"/>
          <w:lang w:val="en-CA"/>
        </w:rPr>
        <w:t>F</w:t>
      </w:r>
      <w:r w:rsidRPr="00FA688C">
        <w:rPr>
          <w:b/>
          <w:color w:val="000000" w:themeColor="text1"/>
          <w:lang w:val="en-CA"/>
        </w:rPr>
        <w:t xml:space="preserve"> THE IMPLEMENTATION OF THE </w:t>
      </w:r>
      <w:r w:rsidRPr="00FA688C">
        <w:rPr>
          <w:b/>
          <w:bCs/>
          <w:color w:val="000000" w:themeColor="text1"/>
          <w:lang w:val="en-CA"/>
        </w:rPr>
        <w:t>201</w:t>
      </w:r>
      <w:r w:rsidR="005E4A17" w:rsidRPr="00FA688C">
        <w:rPr>
          <w:b/>
          <w:bCs/>
          <w:color w:val="000000" w:themeColor="text1"/>
          <w:lang w:val="en-CA"/>
        </w:rPr>
        <w:t>8</w:t>
      </w:r>
      <w:r w:rsidRPr="00FA688C">
        <w:rPr>
          <w:b/>
          <w:bCs/>
          <w:color w:val="000000" w:themeColor="text1"/>
          <w:lang w:val="en-CA"/>
        </w:rPr>
        <w:t>-20</w:t>
      </w:r>
      <w:r w:rsidR="005E4A17" w:rsidRPr="00FA688C">
        <w:rPr>
          <w:b/>
          <w:bCs/>
          <w:color w:val="000000" w:themeColor="text1"/>
          <w:lang w:val="en-CA"/>
        </w:rPr>
        <w:t>20</w:t>
      </w:r>
      <w:r w:rsidRPr="00FA688C">
        <w:rPr>
          <w:b/>
          <w:bCs/>
          <w:color w:val="000000" w:themeColor="text1"/>
          <w:lang w:val="en-CA"/>
        </w:rPr>
        <w:t xml:space="preserve"> </w:t>
      </w:r>
      <w:r w:rsidRPr="00FA688C">
        <w:rPr>
          <w:b/>
          <w:color w:val="000000" w:themeColor="text1"/>
          <w:lang w:val="en-CA"/>
        </w:rPr>
        <w:t>BUSINESS PLANS</w:t>
      </w:r>
    </w:p>
    <w:p w14:paraId="29711E31" w14:textId="73A015D7" w:rsidR="00A3176E" w:rsidRPr="00FA688C" w:rsidRDefault="00A3176E" w:rsidP="00FA688C">
      <w:pPr>
        <w:rPr>
          <w:color w:val="000000" w:themeColor="text1"/>
          <w:lang w:val="en-CA"/>
        </w:rPr>
      </w:pPr>
    </w:p>
    <w:p w14:paraId="1E853700" w14:textId="6FD160EC" w:rsidR="002F1D51" w:rsidRPr="00FA688C" w:rsidRDefault="002F1D51" w:rsidP="00FA688C">
      <w:pPr>
        <w:pStyle w:val="Heading1"/>
        <w:rPr>
          <w:color w:val="000000" w:themeColor="text1"/>
          <w:lang w:val="en-CA"/>
        </w:rPr>
      </w:pPr>
      <w:r w:rsidRPr="00FA688C">
        <w:rPr>
          <w:color w:val="000000" w:themeColor="text1"/>
          <w:lang w:val="en-CA"/>
        </w:rPr>
        <w:t>At its 80</w:t>
      </w:r>
      <w:r w:rsidRPr="00FA688C">
        <w:rPr>
          <w:color w:val="000000" w:themeColor="text1"/>
          <w:vertAlign w:val="superscript"/>
          <w:lang w:val="en-CA"/>
        </w:rPr>
        <w:t>th</w:t>
      </w:r>
      <w:r w:rsidRPr="00FA688C">
        <w:rPr>
          <w:color w:val="000000" w:themeColor="text1"/>
          <w:lang w:val="en-CA"/>
        </w:rPr>
        <w:t xml:space="preserve"> meeting, the Executive Committee adjusted the consolidated business plan in line with decision 80/34(b) and (c)(i)-(iv). The adjusted consolidated 2018-2020 business plan, amounted to </w:t>
      </w:r>
      <w:r w:rsidR="00FA688C" w:rsidRPr="00FA688C">
        <w:rPr>
          <w:color w:val="000000" w:themeColor="text1"/>
          <w:lang w:val="en-CA"/>
        </w:rPr>
        <w:t>US $</w:t>
      </w:r>
      <w:r w:rsidRPr="00FA688C">
        <w:rPr>
          <w:color w:val="000000" w:themeColor="text1"/>
          <w:lang w:val="en-CA"/>
        </w:rPr>
        <w:t>638,466,537.</w:t>
      </w:r>
      <w:r w:rsidR="007E72D7" w:rsidRPr="00FA688C">
        <w:rPr>
          <w:color w:val="000000" w:themeColor="text1"/>
          <w:lang w:val="en-CA"/>
        </w:rPr>
        <w:t xml:space="preserve"> At the 81</w:t>
      </w:r>
      <w:r w:rsidR="007E72D7" w:rsidRPr="00FA688C">
        <w:rPr>
          <w:color w:val="000000" w:themeColor="text1"/>
          <w:vertAlign w:val="superscript"/>
          <w:lang w:val="en-CA"/>
        </w:rPr>
        <w:t>st</w:t>
      </w:r>
      <w:r w:rsidR="007E72D7" w:rsidRPr="00FA688C">
        <w:rPr>
          <w:color w:val="000000" w:themeColor="text1"/>
          <w:lang w:val="en-CA"/>
        </w:rPr>
        <w:t xml:space="preserve"> meeting, Canada has submitted its </w:t>
      </w:r>
      <w:r w:rsidR="00EC7B51" w:rsidRPr="00FA688C">
        <w:rPr>
          <w:color w:val="000000" w:themeColor="text1"/>
          <w:lang w:val="en-CA"/>
        </w:rPr>
        <w:t xml:space="preserve">2018-2020 </w:t>
      </w:r>
      <w:r w:rsidR="007E72D7" w:rsidRPr="00FA688C">
        <w:rPr>
          <w:color w:val="000000" w:themeColor="text1"/>
          <w:lang w:val="en-CA"/>
        </w:rPr>
        <w:t xml:space="preserve">business plan </w:t>
      </w:r>
      <w:r w:rsidR="00EC7B51" w:rsidRPr="00FA688C">
        <w:rPr>
          <w:color w:val="000000" w:themeColor="text1"/>
          <w:lang w:val="en-CA"/>
        </w:rPr>
        <w:t>for the first time and Germany has submitted a revised business plan pursuant to decision 80/35(b).</w:t>
      </w:r>
      <w:r w:rsidR="00FA688C" w:rsidRPr="00FA688C">
        <w:rPr>
          <w:color w:val="000000" w:themeColor="text1"/>
          <w:lang w:val="en-CA"/>
        </w:rPr>
        <w:t xml:space="preserve"> </w:t>
      </w:r>
      <w:r w:rsidR="00EC7B51" w:rsidRPr="00FA688C">
        <w:rPr>
          <w:color w:val="000000" w:themeColor="text1"/>
          <w:lang w:val="en-CA"/>
        </w:rPr>
        <w:t>Taking into account Canada</w:t>
      </w:r>
      <w:r w:rsidR="001B1618">
        <w:rPr>
          <w:color w:val="000000" w:themeColor="text1"/>
          <w:lang w:val="en-CA"/>
        </w:rPr>
        <w:t>’s</w:t>
      </w:r>
      <w:r w:rsidR="00EC7B51" w:rsidRPr="00FA688C">
        <w:rPr>
          <w:color w:val="000000" w:themeColor="text1"/>
          <w:lang w:val="en-CA"/>
        </w:rPr>
        <w:t xml:space="preserve"> and Germany’s 2018-2020 business plans, the adjusted consolidated business plan amounted to </w:t>
      </w:r>
      <w:r w:rsidR="00FA688C" w:rsidRPr="00FA688C">
        <w:rPr>
          <w:color w:val="000000" w:themeColor="text1"/>
          <w:lang w:val="en-CA"/>
        </w:rPr>
        <w:t>US $</w:t>
      </w:r>
      <w:r w:rsidR="00EC7B51" w:rsidRPr="00FA688C">
        <w:rPr>
          <w:color w:val="000000" w:themeColor="text1"/>
          <w:lang w:val="en-CA"/>
        </w:rPr>
        <w:t>637,762,844.</w:t>
      </w:r>
    </w:p>
    <w:p w14:paraId="22E96D18" w14:textId="428CEFEC" w:rsidR="002F1D51" w:rsidRDefault="002F1D51" w:rsidP="00FA688C">
      <w:pPr>
        <w:pStyle w:val="Heading1"/>
        <w:rPr>
          <w:color w:val="000000" w:themeColor="text1"/>
          <w:lang w:val="en-CA"/>
        </w:rPr>
      </w:pPr>
      <w:r w:rsidRPr="00FA688C">
        <w:rPr>
          <w:color w:val="000000" w:themeColor="text1"/>
          <w:lang w:val="en-CA"/>
        </w:rPr>
        <w:t>At the 80</w:t>
      </w:r>
      <w:r w:rsidRPr="00FA688C">
        <w:rPr>
          <w:color w:val="000000" w:themeColor="text1"/>
          <w:vertAlign w:val="superscript"/>
          <w:lang w:val="en-CA"/>
        </w:rPr>
        <w:t>th</w:t>
      </w:r>
      <w:r w:rsidRPr="00FA688C">
        <w:rPr>
          <w:color w:val="000000" w:themeColor="text1"/>
          <w:lang w:val="en-CA"/>
        </w:rPr>
        <w:t xml:space="preserve"> meeting, the Executive Committee also decided to further adjust the consolidated 2018</w:t>
      </w:r>
      <w:r w:rsidRPr="00FA688C">
        <w:rPr>
          <w:color w:val="000000" w:themeColor="text1"/>
          <w:lang w:val="en-CA"/>
        </w:rPr>
        <w:noBreakHyphen/>
        <w:t>2020 business plan by prorating, pursuant to any decision taken by the Twenty-Ninth Meeting of the Parties on the level of replenishment of the Multilateral Fund for the 2018–2020 triennium, new HCFC and HFC activities in order to reach the total budget for the 2018–2020 business plan (decision 80/34(c)(v)).</w:t>
      </w:r>
      <w:r w:rsidR="00B54114" w:rsidRPr="00FA688C">
        <w:rPr>
          <w:color w:val="000000" w:themeColor="text1"/>
          <w:lang w:val="en-CA"/>
        </w:rPr>
        <w:t xml:space="preserve"> </w:t>
      </w:r>
    </w:p>
    <w:p w14:paraId="368D0D7E" w14:textId="57B3D919" w:rsidR="00D67E49" w:rsidRPr="00725CBD" w:rsidRDefault="00D67E49" w:rsidP="00D67E49">
      <w:pPr>
        <w:pStyle w:val="Heading1"/>
        <w:rPr>
          <w:color w:val="000000" w:themeColor="text1"/>
          <w:lang w:val="en-CA"/>
        </w:rPr>
      </w:pPr>
      <w:r w:rsidRPr="00725CBD">
        <w:rPr>
          <w:lang w:val="en-CA"/>
        </w:rPr>
        <w:t xml:space="preserve">At the Twenty-Ninth Meeting, the Parties </w:t>
      </w:r>
      <w:r w:rsidRPr="00725CBD">
        <w:rPr>
          <w:i/>
          <w:lang w:val="en-CA"/>
        </w:rPr>
        <w:t xml:space="preserve">inter alia </w:t>
      </w:r>
      <w:r w:rsidRPr="00725CBD">
        <w:rPr>
          <w:lang w:val="en-CA"/>
        </w:rPr>
        <w:t xml:space="preserve">adopted </w:t>
      </w:r>
      <w:r w:rsidRPr="00725CBD">
        <w:t xml:space="preserve">a budget of US $540,000,000, on the understanding that US $34,000,000 will be provided from anticipated contributions due to the Fund and other </w:t>
      </w:r>
      <w:r w:rsidRPr="00725CBD">
        <w:lastRenderedPageBreak/>
        <w:t>sources for the triennium 2015–2017, and that US $6,000,000 will be provided from interest accruing to the Fund during the triennium 2018–2020. The Parties a</w:t>
      </w:r>
      <w:r w:rsidRPr="00725CBD">
        <w:rPr>
          <w:color w:val="000000" w:themeColor="text1"/>
        </w:rPr>
        <w:t xml:space="preserve">lso </w:t>
      </w:r>
      <w:r w:rsidR="006B786E">
        <w:rPr>
          <w:color w:val="000000" w:themeColor="text1"/>
        </w:rPr>
        <w:t>adopted</w:t>
      </w:r>
      <w:r w:rsidRPr="00725CBD">
        <w:rPr>
          <w:color w:val="000000" w:themeColor="text1"/>
        </w:rPr>
        <w:t xml:space="preserve"> the scale of contributions for the Fund based on a replenishment of US $166,666,667 for each year of the triennium; and decided that the Executive Committee should take action to ensure, to the extent possible, that the entire budget is committed by the end of 2020 </w:t>
      </w:r>
      <w:r w:rsidRPr="00725CBD">
        <w:rPr>
          <w:color w:val="000000" w:themeColor="text1"/>
          <w:lang w:val="en-CA"/>
        </w:rPr>
        <w:t>(decision</w:t>
      </w:r>
      <w:r w:rsidRPr="00725CBD">
        <w:rPr>
          <w:color w:val="000000" w:themeColor="text1"/>
        </w:rPr>
        <w:t xml:space="preserve"> </w:t>
      </w:r>
      <w:r w:rsidRPr="00725CBD">
        <w:rPr>
          <w:color w:val="000000" w:themeColor="text1"/>
          <w:lang w:val="en-CA"/>
        </w:rPr>
        <w:t>XXIX/1).</w:t>
      </w:r>
    </w:p>
    <w:p w14:paraId="254DD2E4" w14:textId="15FFF92A" w:rsidR="00531801" w:rsidRPr="00FA688C" w:rsidRDefault="002F1D51" w:rsidP="00FA688C">
      <w:pPr>
        <w:pStyle w:val="Heading1"/>
        <w:rPr>
          <w:color w:val="000000" w:themeColor="text1"/>
          <w:lang w:val="en-CA"/>
        </w:rPr>
      </w:pPr>
      <w:r w:rsidRPr="00FA688C">
        <w:rPr>
          <w:color w:val="000000" w:themeColor="text1"/>
          <w:lang w:val="en-CA"/>
        </w:rPr>
        <w:t xml:space="preserve">Based on the budget adopted by the Parties, the adjusted consolidated business plan amounting to </w:t>
      </w:r>
      <w:r w:rsidR="00FA688C" w:rsidRPr="00FA688C">
        <w:rPr>
          <w:color w:val="000000" w:themeColor="text1"/>
          <w:lang w:val="en-CA"/>
        </w:rPr>
        <w:t>US $</w:t>
      </w:r>
      <w:r w:rsidR="00B375DC" w:rsidRPr="00FA688C">
        <w:rPr>
          <w:color w:val="000000" w:themeColor="text1"/>
          <w:lang w:val="en-CA"/>
        </w:rPr>
        <w:t xml:space="preserve">637,762,844 </w:t>
      </w:r>
      <w:r w:rsidRPr="00FA688C">
        <w:rPr>
          <w:color w:val="000000" w:themeColor="text1"/>
          <w:lang w:val="en-CA"/>
        </w:rPr>
        <w:t xml:space="preserve">exceeded the replenishment level by </w:t>
      </w:r>
      <w:r w:rsidR="00FA688C" w:rsidRPr="00FA688C">
        <w:rPr>
          <w:color w:val="000000" w:themeColor="text1"/>
          <w:lang w:val="en-CA"/>
        </w:rPr>
        <w:t>US $</w:t>
      </w:r>
      <w:r w:rsidR="00B375DC" w:rsidRPr="00FA688C">
        <w:rPr>
          <w:color w:val="000000" w:themeColor="text1"/>
          <w:lang w:val="en-CA"/>
        </w:rPr>
        <w:t>97,762,844</w:t>
      </w:r>
      <w:r w:rsidRPr="00FA688C">
        <w:rPr>
          <w:color w:val="000000" w:themeColor="text1"/>
          <w:lang w:val="en-CA"/>
        </w:rPr>
        <w:t xml:space="preserve">. </w:t>
      </w:r>
      <w:r w:rsidR="00531801" w:rsidRPr="00FA688C">
        <w:rPr>
          <w:color w:val="000000" w:themeColor="text1"/>
          <w:lang w:val="en-CA"/>
        </w:rPr>
        <w:t xml:space="preserve">The values of new activities </w:t>
      </w:r>
      <w:r w:rsidR="00B375DC" w:rsidRPr="00FA688C">
        <w:rPr>
          <w:color w:val="000000" w:themeColor="text1"/>
          <w:lang w:val="en-CA"/>
        </w:rPr>
        <w:t xml:space="preserve">amounting to </w:t>
      </w:r>
      <w:r w:rsidR="00FA688C" w:rsidRPr="00FA688C">
        <w:rPr>
          <w:color w:val="000000" w:themeColor="text1"/>
          <w:lang w:val="en-CA"/>
        </w:rPr>
        <w:t>US $</w:t>
      </w:r>
      <w:r w:rsidR="00B375DC" w:rsidRPr="00FA688C">
        <w:rPr>
          <w:color w:val="000000" w:themeColor="text1"/>
          <w:lang w:val="en-CA"/>
        </w:rPr>
        <w:t xml:space="preserve">157,531,383 </w:t>
      </w:r>
      <w:r w:rsidR="00531801" w:rsidRPr="00FA688C">
        <w:rPr>
          <w:color w:val="000000" w:themeColor="text1"/>
          <w:lang w:val="en-CA"/>
        </w:rPr>
        <w:t xml:space="preserve">have therefore been pro-rated to </w:t>
      </w:r>
      <w:r w:rsidR="00FA688C" w:rsidRPr="00FA688C">
        <w:rPr>
          <w:color w:val="000000" w:themeColor="text1"/>
          <w:lang w:val="en-CA"/>
        </w:rPr>
        <w:t>US $</w:t>
      </w:r>
      <w:bookmarkStart w:id="0" w:name="OLE_LINK1"/>
      <w:r w:rsidR="00B375DC" w:rsidRPr="00FA688C">
        <w:rPr>
          <w:color w:val="000000" w:themeColor="text1"/>
          <w:lang w:val="en-CA"/>
        </w:rPr>
        <w:t>59,768,539</w:t>
      </w:r>
      <w:bookmarkEnd w:id="0"/>
      <w:r w:rsidR="00531801" w:rsidRPr="00FA688C">
        <w:rPr>
          <w:color w:val="000000" w:themeColor="text1"/>
          <w:lang w:val="en-CA"/>
        </w:rPr>
        <w:t>. These new activities include: new proposals for stage I and stage II of HPMPs for non-LVC countries; HCFC technical assistance; stage II of the HCFC phase-out production plan (HPPMP) for China; and HFC investment and demonstration activities.</w:t>
      </w:r>
    </w:p>
    <w:p w14:paraId="5D75D78F" w14:textId="27CF85DB" w:rsidR="00531801" w:rsidRPr="00FA688C" w:rsidRDefault="00531801" w:rsidP="00FA688C">
      <w:pPr>
        <w:pStyle w:val="Heading1"/>
        <w:rPr>
          <w:color w:val="000000" w:themeColor="text1"/>
          <w:lang w:val="en-CA"/>
        </w:rPr>
      </w:pPr>
      <w:r w:rsidRPr="00FA688C">
        <w:rPr>
          <w:color w:val="000000" w:themeColor="text1"/>
          <w:lang w:val="en-CA"/>
        </w:rPr>
        <w:t xml:space="preserve">Based on the adjusted consolidated business plan and the further adjustments to consider the budget of the 2018-2020 replenishment of the Fund agreed by the Parties, the resource allocation of the pro-rated consolidated 2018-2020 business plan of the Multilateral Fund is shown in Table 1. </w:t>
      </w:r>
    </w:p>
    <w:p w14:paraId="04436B5E" w14:textId="56F447C1" w:rsidR="00A658DE" w:rsidRPr="00FA688C" w:rsidRDefault="00A658DE" w:rsidP="00FA688C">
      <w:pPr>
        <w:keepNext/>
        <w:keepLines/>
        <w:tabs>
          <w:tab w:val="left" w:pos="142"/>
          <w:tab w:val="left" w:pos="720"/>
          <w:tab w:val="left" w:pos="1440"/>
          <w:tab w:val="left" w:pos="2160"/>
          <w:tab w:val="left" w:pos="2880"/>
          <w:tab w:val="left" w:pos="3600"/>
        </w:tabs>
        <w:rPr>
          <w:b/>
          <w:bCs/>
          <w:color w:val="000000" w:themeColor="text1"/>
          <w:lang w:val="en-CA"/>
        </w:rPr>
      </w:pPr>
      <w:r w:rsidRPr="00FA688C">
        <w:rPr>
          <w:b/>
          <w:color w:val="000000" w:themeColor="text1"/>
          <w:lang w:val="en-CA"/>
        </w:rPr>
        <w:t>Table 1. R</w:t>
      </w:r>
      <w:r w:rsidRPr="00FA688C">
        <w:rPr>
          <w:b/>
          <w:bCs/>
          <w:color w:val="000000" w:themeColor="text1"/>
          <w:lang w:val="en-CA"/>
        </w:rPr>
        <w:t xml:space="preserve">esource allocation of </w:t>
      </w:r>
      <w:r w:rsidRPr="00FA688C">
        <w:rPr>
          <w:b/>
          <w:color w:val="000000" w:themeColor="text1"/>
          <w:lang w:val="en-CA"/>
        </w:rPr>
        <w:t>the pro-rated consolidated 2018-2020 business plan of</w:t>
      </w:r>
      <w:r w:rsidRPr="00FA688C">
        <w:rPr>
          <w:b/>
          <w:bCs/>
          <w:color w:val="000000" w:themeColor="text1"/>
          <w:lang w:val="en-CA"/>
        </w:rPr>
        <w:t xml:space="preserve"> the Multilateral Fund (</w:t>
      </w:r>
      <w:r w:rsidR="00FA688C" w:rsidRPr="00FA688C">
        <w:rPr>
          <w:b/>
          <w:bCs/>
          <w:color w:val="000000" w:themeColor="text1"/>
          <w:lang w:val="en-CA"/>
        </w:rPr>
        <w:t>US $</w:t>
      </w:r>
      <w:r w:rsidRPr="00FA688C">
        <w:rPr>
          <w:b/>
          <w:bCs/>
          <w:color w:val="000000" w:themeColor="text1"/>
          <w:lang w:val="en-CA"/>
        </w:rPr>
        <w:t>)</w:t>
      </w:r>
    </w:p>
    <w:tbl>
      <w:tblPr>
        <w:tblW w:w="5000" w:type="pct"/>
        <w:tblLook w:val="04A0" w:firstRow="1" w:lastRow="0" w:firstColumn="1" w:lastColumn="0" w:noHBand="0" w:noVBand="1"/>
      </w:tblPr>
      <w:tblGrid>
        <w:gridCol w:w="4230"/>
        <w:gridCol w:w="1309"/>
        <w:gridCol w:w="1308"/>
        <w:gridCol w:w="1308"/>
        <w:gridCol w:w="1310"/>
      </w:tblGrid>
      <w:tr w:rsidR="00FA688C" w:rsidRPr="00A420FD" w14:paraId="7B1ADBB1" w14:textId="77777777" w:rsidTr="00A420FD">
        <w:trPr>
          <w:tblHeader/>
        </w:trPr>
        <w:tc>
          <w:tcPr>
            <w:tcW w:w="2234" w:type="pct"/>
            <w:tcBorders>
              <w:top w:val="single" w:sz="4" w:space="0" w:color="auto"/>
              <w:left w:val="single" w:sz="4" w:space="0" w:color="auto"/>
              <w:bottom w:val="single" w:sz="4" w:space="0" w:color="auto"/>
              <w:right w:val="single" w:sz="4" w:space="0" w:color="auto"/>
            </w:tcBorders>
            <w:shd w:val="clear" w:color="auto" w:fill="auto"/>
            <w:hideMark/>
          </w:tcPr>
          <w:p w14:paraId="50302CE2"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Item</w:t>
            </w:r>
          </w:p>
        </w:tc>
        <w:tc>
          <w:tcPr>
            <w:tcW w:w="691" w:type="pct"/>
            <w:tcBorders>
              <w:top w:val="single" w:sz="4" w:space="0" w:color="auto"/>
              <w:left w:val="nil"/>
              <w:bottom w:val="single" w:sz="4" w:space="0" w:color="auto"/>
              <w:right w:val="single" w:sz="4" w:space="0" w:color="auto"/>
            </w:tcBorders>
            <w:shd w:val="clear" w:color="auto" w:fill="auto"/>
            <w:hideMark/>
          </w:tcPr>
          <w:p w14:paraId="6336AAA6" w14:textId="77777777" w:rsidR="00983186" w:rsidRPr="00A420FD" w:rsidRDefault="00983186" w:rsidP="00FA688C">
            <w:pPr>
              <w:jc w:val="center"/>
              <w:rPr>
                <w:b/>
                <w:bCs/>
                <w:color w:val="000000" w:themeColor="text1"/>
                <w:sz w:val="20"/>
                <w:szCs w:val="20"/>
                <w:lang w:val="en-CA" w:eastAsia="en-CA"/>
              </w:rPr>
            </w:pPr>
            <w:r w:rsidRPr="00A420FD">
              <w:rPr>
                <w:b/>
                <w:bCs/>
                <w:color w:val="000000" w:themeColor="text1"/>
                <w:sz w:val="20"/>
                <w:szCs w:val="20"/>
                <w:lang w:val="en-CA" w:eastAsia="en-CA"/>
              </w:rPr>
              <w:t>2018</w:t>
            </w:r>
          </w:p>
        </w:tc>
        <w:tc>
          <w:tcPr>
            <w:tcW w:w="691" w:type="pct"/>
            <w:tcBorders>
              <w:top w:val="single" w:sz="4" w:space="0" w:color="auto"/>
              <w:left w:val="nil"/>
              <w:bottom w:val="single" w:sz="4" w:space="0" w:color="auto"/>
              <w:right w:val="single" w:sz="4" w:space="0" w:color="auto"/>
            </w:tcBorders>
            <w:shd w:val="clear" w:color="auto" w:fill="auto"/>
            <w:hideMark/>
          </w:tcPr>
          <w:p w14:paraId="433D8642" w14:textId="77777777" w:rsidR="00983186" w:rsidRPr="00A420FD" w:rsidRDefault="00983186" w:rsidP="00FA688C">
            <w:pPr>
              <w:jc w:val="center"/>
              <w:rPr>
                <w:b/>
                <w:bCs/>
                <w:color w:val="000000" w:themeColor="text1"/>
                <w:sz w:val="20"/>
                <w:szCs w:val="20"/>
                <w:lang w:val="en-CA" w:eastAsia="en-CA"/>
              </w:rPr>
            </w:pPr>
            <w:r w:rsidRPr="00A420FD">
              <w:rPr>
                <w:b/>
                <w:bCs/>
                <w:color w:val="000000" w:themeColor="text1"/>
                <w:sz w:val="20"/>
                <w:szCs w:val="20"/>
                <w:lang w:val="en-CA" w:eastAsia="en-CA"/>
              </w:rPr>
              <w:t>2019</w:t>
            </w:r>
          </w:p>
        </w:tc>
        <w:tc>
          <w:tcPr>
            <w:tcW w:w="691" w:type="pct"/>
            <w:tcBorders>
              <w:top w:val="single" w:sz="4" w:space="0" w:color="auto"/>
              <w:left w:val="nil"/>
              <w:bottom w:val="single" w:sz="4" w:space="0" w:color="auto"/>
              <w:right w:val="single" w:sz="4" w:space="0" w:color="auto"/>
            </w:tcBorders>
            <w:shd w:val="clear" w:color="auto" w:fill="auto"/>
            <w:hideMark/>
          </w:tcPr>
          <w:p w14:paraId="2A5477A8" w14:textId="77777777" w:rsidR="00983186" w:rsidRPr="00A420FD" w:rsidRDefault="00983186" w:rsidP="00FA688C">
            <w:pPr>
              <w:jc w:val="center"/>
              <w:rPr>
                <w:b/>
                <w:bCs/>
                <w:color w:val="000000" w:themeColor="text1"/>
                <w:sz w:val="20"/>
                <w:szCs w:val="20"/>
                <w:lang w:val="en-CA" w:eastAsia="en-CA"/>
              </w:rPr>
            </w:pPr>
            <w:r w:rsidRPr="00A420FD">
              <w:rPr>
                <w:b/>
                <w:bCs/>
                <w:color w:val="000000" w:themeColor="text1"/>
                <w:sz w:val="20"/>
                <w:szCs w:val="20"/>
                <w:lang w:val="en-CA" w:eastAsia="en-CA"/>
              </w:rPr>
              <w:t>2020</w:t>
            </w:r>
          </w:p>
        </w:tc>
        <w:tc>
          <w:tcPr>
            <w:tcW w:w="692" w:type="pct"/>
            <w:tcBorders>
              <w:top w:val="single" w:sz="4" w:space="0" w:color="auto"/>
              <w:left w:val="nil"/>
              <w:bottom w:val="single" w:sz="4" w:space="0" w:color="auto"/>
              <w:right w:val="single" w:sz="4" w:space="0" w:color="auto"/>
            </w:tcBorders>
            <w:shd w:val="clear" w:color="auto" w:fill="auto"/>
            <w:hideMark/>
          </w:tcPr>
          <w:p w14:paraId="057F2E2B" w14:textId="5A5D1640" w:rsidR="00983186" w:rsidRPr="00A420FD" w:rsidRDefault="00983186" w:rsidP="00FA688C">
            <w:pPr>
              <w:jc w:val="center"/>
              <w:rPr>
                <w:b/>
                <w:bCs/>
                <w:color w:val="000000" w:themeColor="text1"/>
                <w:sz w:val="20"/>
                <w:szCs w:val="20"/>
                <w:lang w:val="en-CA" w:eastAsia="en-CA"/>
              </w:rPr>
            </w:pPr>
            <w:r w:rsidRPr="00A420FD">
              <w:rPr>
                <w:b/>
                <w:bCs/>
                <w:color w:val="000000" w:themeColor="text1"/>
                <w:sz w:val="20"/>
                <w:szCs w:val="20"/>
                <w:lang w:val="en-CA" w:eastAsia="en-CA"/>
              </w:rPr>
              <w:t>Total</w:t>
            </w:r>
          </w:p>
        </w:tc>
      </w:tr>
      <w:tr w:rsidR="00FA688C" w:rsidRPr="00A420FD" w14:paraId="295B6DAA"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506B1EB8"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Required for compliance</w:t>
            </w:r>
          </w:p>
        </w:tc>
        <w:tc>
          <w:tcPr>
            <w:tcW w:w="691" w:type="pct"/>
            <w:tcBorders>
              <w:top w:val="nil"/>
              <w:left w:val="nil"/>
              <w:bottom w:val="single" w:sz="4" w:space="0" w:color="auto"/>
              <w:right w:val="single" w:sz="4" w:space="0" w:color="auto"/>
            </w:tcBorders>
            <w:shd w:val="clear" w:color="auto" w:fill="auto"/>
            <w:hideMark/>
          </w:tcPr>
          <w:p w14:paraId="388657C7"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14E24C74"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489BCBD7" w14:textId="77777777" w:rsidR="00983186" w:rsidRPr="00A420FD" w:rsidRDefault="00983186" w:rsidP="00FA688C">
            <w:pPr>
              <w:tabs>
                <w:tab w:val="left" w:pos="1200"/>
              </w:tabs>
              <w:jc w:val="left"/>
              <w:rPr>
                <w:b/>
                <w:bCs/>
                <w:color w:val="000000" w:themeColor="text1"/>
                <w:sz w:val="20"/>
                <w:szCs w:val="20"/>
                <w:lang w:val="en-CA" w:eastAsia="en-CA"/>
              </w:rPr>
            </w:pPr>
            <w:r w:rsidRPr="00A420FD">
              <w:rPr>
                <w:b/>
                <w:bCs/>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1BE7DECF"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 </w:t>
            </w:r>
          </w:p>
        </w:tc>
      </w:tr>
      <w:tr w:rsidR="00FA688C" w:rsidRPr="00A420FD" w14:paraId="26C2F609"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338ACAA8"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Approved HPMPs</w:t>
            </w:r>
          </w:p>
        </w:tc>
        <w:tc>
          <w:tcPr>
            <w:tcW w:w="691" w:type="pct"/>
            <w:tcBorders>
              <w:top w:val="nil"/>
              <w:left w:val="nil"/>
              <w:bottom w:val="single" w:sz="4" w:space="0" w:color="auto"/>
              <w:right w:val="single" w:sz="4" w:space="0" w:color="auto"/>
            </w:tcBorders>
            <w:shd w:val="clear" w:color="auto" w:fill="auto"/>
            <w:hideMark/>
          </w:tcPr>
          <w:p w14:paraId="6E8D55D6"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158,869,875</w:t>
            </w:r>
          </w:p>
        </w:tc>
        <w:tc>
          <w:tcPr>
            <w:tcW w:w="691" w:type="pct"/>
            <w:tcBorders>
              <w:top w:val="nil"/>
              <w:left w:val="nil"/>
              <w:bottom w:val="single" w:sz="4" w:space="0" w:color="auto"/>
              <w:right w:val="single" w:sz="4" w:space="0" w:color="auto"/>
            </w:tcBorders>
            <w:shd w:val="clear" w:color="auto" w:fill="auto"/>
            <w:hideMark/>
          </w:tcPr>
          <w:p w14:paraId="3F22E58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86,592,901</w:t>
            </w:r>
          </w:p>
        </w:tc>
        <w:tc>
          <w:tcPr>
            <w:tcW w:w="691" w:type="pct"/>
            <w:tcBorders>
              <w:top w:val="nil"/>
              <w:left w:val="nil"/>
              <w:bottom w:val="single" w:sz="4" w:space="0" w:color="auto"/>
              <w:right w:val="single" w:sz="4" w:space="0" w:color="auto"/>
            </w:tcBorders>
            <w:shd w:val="clear" w:color="auto" w:fill="auto"/>
            <w:hideMark/>
          </w:tcPr>
          <w:p w14:paraId="38CC76BC"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101,279,996</w:t>
            </w:r>
          </w:p>
        </w:tc>
        <w:tc>
          <w:tcPr>
            <w:tcW w:w="692" w:type="pct"/>
            <w:tcBorders>
              <w:top w:val="nil"/>
              <w:left w:val="nil"/>
              <w:bottom w:val="single" w:sz="4" w:space="0" w:color="auto"/>
              <w:right w:val="single" w:sz="4" w:space="0" w:color="auto"/>
            </w:tcBorders>
            <w:shd w:val="clear" w:color="auto" w:fill="auto"/>
            <w:hideMark/>
          </w:tcPr>
          <w:p w14:paraId="16F3EC75"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346,742,772</w:t>
            </w:r>
          </w:p>
        </w:tc>
      </w:tr>
      <w:tr w:rsidR="00FA688C" w:rsidRPr="00A420FD" w14:paraId="14317F87"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20656D38"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HCFC production – stage II</w:t>
            </w:r>
          </w:p>
        </w:tc>
        <w:tc>
          <w:tcPr>
            <w:tcW w:w="691" w:type="pct"/>
            <w:tcBorders>
              <w:top w:val="nil"/>
              <w:left w:val="nil"/>
              <w:bottom w:val="single" w:sz="4" w:space="0" w:color="auto"/>
              <w:right w:val="single" w:sz="4" w:space="0" w:color="auto"/>
            </w:tcBorders>
            <w:shd w:val="clear" w:color="auto" w:fill="auto"/>
            <w:hideMark/>
          </w:tcPr>
          <w:p w14:paraId="6E1BCECA"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8,937,666</w:t>
            </w:r>
          </w:p>
        </w:tc>
        <w:tc>
          <w:tcPr>
            <w:tcW w:w="691" w:type="pct"/>
            <w:tcBorders>
              <w:top w:val="nil"/>
              <w:left w:val="nil"/>
              <w:bottom w:val="single" w:sz="4" w:space="0" w:color="auto"/>
              <w:right w:val="single" w:sz="4" w:space="0" w:color="auto"/>
            </w:tcBorders>
            <w:shd w:val="clear" w:color="auto" w:fill="auto"/>
            <w:hideMark/>
          </w:tcPr>
          <w:p w14:paraId="3BD9063B"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8,937,666</w:t>
            </w:r>
          </w:p>
        </w:tc>
        <w:tc>
          <w:tcPr>
            <w:tcW w:w="691" w:type="pct"/>
            <w:tcBorders>
              <w:top w:val="nil"/>
              <w:left w:val="nil"/>
              <w:bottom w:val="single" w:sz="4" w:space="0" w:color="auto"/>
              <w:right w:val="single" w:sz="4" w:space="0" w:color="auto"/>
            </w:tcBorders>
            <w:shd w:val="clear" w:color="auto" w:fill="auto"/>
            <w:hideMark/>
          </w:tcPr>
          <w:p w14:paraId="0FD0E02D"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8,937,666</w:t>
            </w:r>
          </w:p>
        </w:tc>
        <w:tc>
          <w:tcPr>
            <w:tcW w:w="692" w:type="pct"/>
            <w:tcBorders>
              <w:top w:val="nil"/>
              <w:left w:val="nil"/>
              <w:bottom w:val="single" w:sz="4" w:space="0" w:color="auto"/>
              <w:right w:val="single" w:sz="4" w:space="0" w:color="auto"/>
            </w:tcBorders>
            <w:shd w:val="clear" w:color="auto" w:fill="auto"/>
            <w:hideMark/>
          </w:tcPr>
          <w:p w14:paraId="5B34D08C"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26,812,998</w:t>
            </w:r>
          </w:p>
        </w:tc>
      </w:tr>
      <w:tr w:rsidR="00FA688C" w:rsidRPr="00A420FD" w14:paraId="3707D8F4"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49F60A66"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HPMP stage I</w:t>
            </w:r>
          </w:p>
        </w:tc>
        <w:tc>
          <w:tcPr>
            <w:tcW w:w="691" w:type="pct"/>
            <w:tcBorders>
              <w:top w:val="nil"/>
              <w:left w:val="nil"/>
              <w:bottom w:val="single" w:sz="4" w:space="0" w:color="auto"/>
              <w:right w:val="single" w:sz="4" w:space="0" w:color="auto"/>
            </w:tcBorders>
            <w:shd w:val="clear" w:color="auto" w:fill="auto"/>
            <w:hideMark/>
          </w:tcPr>
          <w:p w14:paraId="7EF9D945"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521133B0"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262,777</w:t>
            </w:r>
          </w:p>
        </w:tc>
        <w:tc>
          <w:tcPr>
            <w:tcW w:w="691" w:type="pct"/>
            <w:tcBorders>
              <w:top w:val="nil"/>
              <w:left w:val="nil"/>
              <w:bottom w:val="single" w:sz="4" w:space="0" w:color="auto"/>
              <w:right w:val="single" w:sz="4" w:space="0" w:color="auto"/>
            </w:tcBorders>
            <w:shd w:val="clear" w:color="auto" w:fill="auto"/>
            <w:hideMark/>
          </w:tcPr>
          <w:p w14:paraId="78F8B815"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78BAF2F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262,777</w:t>
            </w:r>
          </w:p>
        </w:tc>
      </w:tr>
      <w:tr w:rsidR="00FA688C" w:rsidRPr="00A420FD" w14:paraId="2610F623"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431ADFC8"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HPMP stage I – additional funding</w:t>
            </w:r>
          </w:p>
        </w:tc>
        <w:tc>
          <w:tcPr>
            <w:tcW w:w="691" w:type="pct"/>
            <w:tcBorders>
              <w:top w:val="nil"/>
              <w:left w:val="nil"/>
              <w:bottom w:val="single" w:sz="4" w:space="0" w:color="auto"/>
              <w:right w:val="single" w:sz="4" w:space="0" w:color="auto"/>
            </w:tcBorders>
            <w:shd w:val="clear" w:color="auto" w:fill="auto"/>
            <w:hideMark/>
          </w:tcPr>
          <w:p w14:paraId="7907DF0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183,939</w:t>
            </w:r>
          </w:p>
        </w:tc>
        <w:tc>
          <w:tcPr>
            <w:tcW w:w="691" w:type="pct"/>
            <w:tcBorders>
              <w:top w:val="nil"/>
              <w:left w:val="nil"/>
              <w:bottom w:val="single" w:sz="4" w:space="0" w:color="auto"/>
              <w:right w:val="single" w:sz="4" w:space="0" w:color="auto"/>
            </w:tcBorders>
            <w:shd w:val="clear" w:color="auto" w:fill="auto"/>
            <w:hideMark/>
          </w:tcPr>
          <w:p w14:paraId="3E034A6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465,566</w:t>
            </w:r>
          </w:p>
        </w:tc>
        <w:tc>
          <w:tcPr>
            <w:tcW w:w="691" w:type="pct"/>
            <w:tcBorders>
              <w:top w:val="nil"/>
              <w:left w:val="nil"/>
              <w:bottom w:val="single" w:sz="4" w:space="0" w:color="auto"/>
              <w:right w:val="single" w:sz="4" w:space="0" w:color="auto"/>
            </w:tcBorders>
            <w:shd w:val="clear" w:color="auto" w:fill="auto"/>
            <w:hideMark/>
          </w:tcPr>
          <w:p w14:paraId="1F4978C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60AB48B3"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649,506</w:t>
            </w:r>
          </w:p>
        </w:tc>
      </w:tr>
      <w:tr w:rsidR="00FA688C" w:rsidRPr="00A420FD" w14:paraId="0B0BC6B6"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73BF60E6"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HPMP PRP – stage II - LVC</w:t>
            </w:r>
          </w:p>
        </w:tc>
        <w:tc>
          <w:tcPr>
            <w:tcW w:w="691" w:type="pct"/>
            <w:tcBorders>
              <w:top w:val="nil"/>
              <w:left w:val="nil"/>
              <w:bottom w:val="single" w:sz="4" w:space="0" w:color="auto"/>
              <w:right w:val="single" w:sz="4" w:space="0" w:color="auto"/>
            </w:tcBorders>
            <w:shd w:val="clear" w:color="auto" w:fill="auto"/>
            <w:hideMark/>
          </w:tcPr>
          <w:p w14:paraId="0FF53CA3"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2,218,408</w:t>
            </w:r>
          </w:p>
        </w:tc>
        <w:tc>
          <w:tcPr>
            <w:tcW w:w="691" w:type="pct"/>
            <w:tcBorders>
              <w:top w:val="nil"/>
              <w:left w:val="nil"/>
              <w:bottom w:val="single" w:sz="4" w:space="0" w:color="auto"/>
              <w:right w:val="single" w:sz="4" w:space="0" w:color="auto"/>
            </w:tcBorders>
            <w:shd w:val="clear" w:color="auto" w:fill="auto"/>
            <w:hideMark/>
          </w:tcPr>
          <w:p w14:paraId="4E23EE0A"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518,850</w:t>
            </w:r>
          </w:p>
        </w:tc>
        <w:tc>
          <w:tcPr>
            <w:tcW w:w="691" w:type="pct"/>
            <w:tcBorders>
              <w:top w:val="nil"/>
              <w:left w:val="nil"/>
              <w:bottom w:val="single" w:sz="4" w:space="0" w:color="auto"/>
              <w:right w:val="single" w:sz="4" w:space="0" w:color="auto"/>
            </w:tcBorders>
            <w:shd w:val="clear" w:color="auto" w:fill="auto"/>
            <w:hideMark/>
          </w:tcPr>
          <w:p w14:paraId="536FD1A5"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44,300</w:t>
            </w:r>
          </w:p>
        </w:tc>
        <w:tc>
          <w:tcPr>
            <w:tcW w:w="692" w:type="pct"/>
            <w:tcBorders>
              <w:top w:val="nil"/>
              <w:left w:val="nil"/>
              <w:bottom w:val="single" w:sz="4" w:space="0" w:color="auto"/>
              <w:right w:val="single" w:sz="4" w:space="0" w:color="auto"/>
            </w:tcBorders>
            <w:shd w:val="clear" w:color="auto" w:fill="auto"/>
            <w:hideMark/>
          </w:tcPr>
          <w:p w14:paraId="03CA82E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2,781,558</w:t>
            </w:r>
          </w:p>
        </w:tc>
      </w:tr>
      <w:tr w:rsidR="00FA688C" w:rsidRPr="00A420FD" w14:paraId="3747C98D"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5DD2E6D8"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HPMP PRP – stage II - Non-LVC</w:t>
            </w:r>
          </w:p>
        </w:tc>
        <w:tc>
          <w:tcPr>
            <w:tcW w:w="691" w:type="pct"/>
            <w:tcBorders>
              <w:top w:val="nil"/>
              <w:left w:val="nil"/>
              <w:bottom w:val="single" w:sz="4" w:space="0" w:color="auto"/>
              <w:right w:val="single" w:sz="4" w:space="0" w:color="auto"/>
            </w:tcBorders>
            <w:shd w:val="clear" w:color="auto" w:fill="auto"/>
            <w:hideMark/>
          </w:tcPr>
          <w:p w14:paraId="7EEEC52E"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1,072,336</w:t>
            </w:r>
          </w:p>
        </w:tc>
        <w:tc>
          <w:tcPr>
            <w:tcW w:w="691" w:type="pct"/>
            <w:tcBorders>
              <w:top w:val="nil"/>
              <w:left w:val="nil"/>
              <w:bottom w:val="single" w:sz="4" w:space="0" w:color="auto"/>
              <w:right w:val="single" w:sz="4" w:space="0" w:color="auto"/>
            </w:tcBorders>
            <w:shd w:val="clear" w:color="auto" w:fill="auto"/>
            <w:hideMark/>
          </w:tcPr>
          <w:p w14:paraId="290F7850"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890,450</w:t>
            </w:r>
          </w:p>
        </w:tc>
        <w:tc>
          <w:tcPr>
            <w:tcW w:w="691" w:type="pct"/>
            <w:tcBorders>
              <w:top w:val="nil"/>
              <w:left w:val="nil"/>
              <w:bottom w:val="single" w:sz="4" w:space="0" w:color="auto"/>
              <w:right w:val="single" w:sz="4" w:space="0" w:color="auto"/>
            </w:tcBorders>
            <w:shd w:val="clear" w:color="auto" w:fill="auto"/>
            <w:hideMark/>
          </w:tcPr>
          <w:p w14:paraId="51875F9E"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516BFFF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1,962,786</w:t>
            </w:r>
          </w:p>
        </w:tc>
      </w:tr>
      <w:tr w:rsidR="00FA688C" w:rsidRPr="00A420FD" w14:paraId="17124CF3"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580BF4BF"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HPMP stage II - LVC</w:t>
            </w:r>
          </w:p>
        </w:tc>
        <w:tc>
          <w:tcPr>
            <w:tcW w:w="691" w:type="pct"/>
            <w:tcBorders>
              <w:top w:val="nil"/>
              <w:left w:val="nil"/>
              <w:bottom w:val="single" w:sz="4" w:space="0" w:color="auto"/>
              <w:right w:val="single" w:sz="4" w:space="0" w:color="auto"/>
            </w:tcBorders>
            <w:shd w:val="clear" w:color="auto" w:fill="auto"/>
            <w:hideMark/>
          </w:tcPr>
          <w:p w14:paraId="5DB92B03"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81,798</w:t>
            </w:r>
          </w:p>
        </w:tc>
        <w:tc>
          <w:tcPr>
            <w:tcW w:w="691" w:type="pct"/>
            <w:tcBorders>
              <w:top w:val="nil"/>
              <w:left w:val="nil"/>
              <w:bottom w:val="single" w:sz="4" w:space="0" w:color="auto"/>
              <w:right w:val="single" w:sz="4" w:space="0" w:color="auto"/>
            </w:tcBorders>
            <w:shd w:val="clear" w:color="auto" w:fill="auto"/>
            <w:hideMark/>
          </w:tcPr>
          <w:p w14:paraId="23B3F3F3"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268,545</w:t>
            </w:r>
          </w:p>
        </w:tc>
        <w:tc>
          <w:tcPr>
            <w:tcW w:w="691" w:type="pct"/>
            <w:tcBorders>
              <w:top w:val="nil"/>
              <w:left w:val="nil"/>
              <w:bottom w:val="single" w:sz="4" w:space="0" w:color="auto"/>
              <w:right w:val="single" w:sz="4" w:space="0" w:color="auto"/>
            </w:tcBorders>
            <w:shd w:val="clear" w:color="auto" w:fill="auto"/>
            <w:hideMark/>
          </w:tcPr>
          <w:p w14:paraId="49A26D4B"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9,067,642</w:t>
            </w:r>
          </w:p>
        </w:tc>
        <w:tc>
          <w:tcPr>
            <w:tcW w:w="692" w:type="pct"/>
            <w:tcBorders>
              <w:top w:val="nil"/>
              <w:left w:val="nil"/>
              <w:bottom w:val="single" w:sz="4" w:space="0" w:color="auto"/>
              <w:right w:val="single" w:sz="4" w:space="0" w:color="auto"/>
            </w:tcBorders>
            <w:shd w:val="clear" w:color="auto" w:fill="auto"/>
            <w:hideMark/>
          </w:tcPr>
          <w:p w14:paraId="7747C30A"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9,417,984</w:t>
            </w:r>
          </w:p>
        </w:tc>
      </w:tr>
      <w:tr w:rsidR="00FA688C" w:rsidRPr="00A420FD" w14:paraId="4A0C91A9"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341EB290"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HPMP stage II - Non-LVC</w:t>
            </w:r>
          </w:p>
        </w:tc>
        <w:tc>
          <w:tcPr>
            <w:tcW w:w="691" w:type="pct"/>
            <w:tcBorders>
              <w:top w:val="nil"/>
              <w:left w:val="nil"/>
              <w:bottom w:val="single" w:sz="4" w:space="0" w:color="auto"/>
              <w:right w:val="single" w:sz="4" w:space="0" w:color="auto"/>
            </w:tcBorders>
            <w:shd w:val="clear" w:color="auto" w:fill="auto"/>
            <w:hideMark/>
          </w:tcPr>
          <w:p w14:paraId="18B4FF34"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5,490,635</w:t>
            </w:r>
          </w:p>
        </w:tc>
        <w:tc>
          <w:tcPr>
            <w:tcW w:w="691" w:type="pct"/>
            <w:tcBorders>
              <w:top w:val="nil"/>
              <w:left w:val="nil"/>
              <w:bottom w:val="single" w:sz="4" w:space="0" w:color="auto"/>
              <w:right w:val="single" w:sz="4" w:space="0" w:color="auto"/>
            </w:tcBorders>
            <w:shd w:val="clear" w:color="auto" w:fill="auto"/>
            <w:hideMark/>
          </w:tcPr>
          <w:p w14:paraId="72AF2CE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5,816,106</w:t>
            </w:r>
          </w:p>
        </w:tc>
        <w:tc>
          <w:tcPr>
            <w:tcW w:w="691" w:type="pct"/>
            <w:tcBorders>
              <w:top w:val="nil"/>
              <w:left w:val="nil"/>
              <w:bottom w:val="single" w:sz="4" w:space="0" w:color="auto"/>
              <w:right w:val="single" w:sz="4" w:space="0" w:color="auto"/>
            </w:tcBorders>
            <w:shd w:val="clear" w:color="auto" w:fill="auto"/>
            <w:hideMark/>
          </w:tcPr>
          <w:p w14:paraId="455A90E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11,276,719</w:t>
            </w:r>
          </w:p>
        </w:tc>
        <w:tc>
          <w:tcPr>
            <w:tcW w:w="692" w:type="pct"/>
            <w:tcBorders>
              <w:top w:val="nil"/>
              <w:left w:val="nil"/>
              <w:bottom w:val="single" w:sz="4" w:space="0" w:color="auto"/>
              <w:right w:val="single" w:sz="4" w:space="0" w:color="auto"/>
            </w:tcBorders>
            <w:shd w:val="clear" w:color="auto" w:fill="auto"/>
            <w:hideMark/>
          </w:tcPr>
          <w:p w14:paraId="3E75D8D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22,583,461</w:t>
            </w:r>
          </w:p>
        </w:tc>
      </w:tr>
      <w:tr w:rsidR="00FA688C" w:rsidRPr="00A420FD" w14:paraId="1F3A3088"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5F3CED44" w14:textId="79FBE10E"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HPMP verification*</w:t>
            </w:r>
          </w:p>
        </w:tc>
        <w:tc>
          <w:tcPr>
            <w:tcW w:w="691" w:type="pct"/>
            <w:tcBorders>
              <w:top w:val="nil"/>
              <w:left w:val="nil"/>
              <w:bottom w:val="single" w:sz="4" w:space="0" w:color="auto"/>
              <w:right w:val="single" w:sz="4" w:space="0" w:color="auto"/>
            </w:tcBorders>
            <w:shd w:val="clear" w:color="auto" w:fill="auto"/>
            <w:hideMark/>
          </w:tcPr>
          <w:p w14:paraId="3F67209F"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588,600</w:t>
            </w:r>
          </w:p>
        </w:tc>
        <w:tc>
          <w:tcPr>
            <w:tcW w:w="691" w:type="pct"/>
            <w:tcBorders>
              <w:top w:val="nil"/>
              <w:left w:val="nil"/>
              <w:bottom w:val="single" w:sz="4" w:space="0" w:color="auto"/>
              <w:right w:val="single" w:sz="4" w:space="0" w:color="auto"/>
            </w:tcBorders>
            <w:shd w:val="clear" w:color="auto" w:fill="auto"/>
            <w:hideMark/>
          </w:tcPr>
          <w:p w14:paraId="725B4235"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588,600</w:t>
            </w:r>
          </w:p>
        </w:tc>
        <w:tc>
          <w:tcPr>
            <w:tcW w:w="691" w:type="pct"/>
            <w:tcBorders>
              <w:top w:val="nil"/>
              <w:left w:val="nil"/>
              <w:bottom w:val="single" w:sz="4" w:space="0" w:color="auto"/>
              <w:right w:val="single" w:sz="4" w:space="0" w:color="auto"/>
            </w:tcBorders>
            <w:shd w:val="clear" w:color="auto" w:fill="auto"/>
            <w:hideMark/>
          </w:tcPr>
          <w:p w14:paraId="3207F24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588,600</w:t>
            </w:r>
          </w:p>
        </w:tc>
        <w:tc>
          <w:tcPr>
            <w:tcW w:w="692" w:type="pct"/>
            <w:tcBorders>
              <w:top w:val="nil"/>
              <w:left w:val="nil"/>
              <w:bottom w:val="single" w:sz="4" w:space="0" w:color="auto"/>
              <w:right w:val="single" w:sz="4" w:space="0" w:color="auto"/>
            </w:tcBorders>
            <w:shd w:val="clear" w:color="auto" w:fill="auto"/>
            <w:hideMark/>
          </w:tcPr>
          <w:p w14:paraId="75E64D8E"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1,765,800</w:t>
            </w:r>
          </w:p>
        </w:tc>
      </w:tr>
      <w:tr w:rsidR="00FA688C" w:rsidRPr="00A420FD" w14:paraId="6A4F2044"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16649345"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HCFC technical assistance</w:t>
            </w:r>
          </w:p>
        </w:tc>
        <w:tc>
          <w:tcPr>
            <w:tcW w:w="691" w:type="pct"/>
            <w:tcBorders>
              <w:top w:val="nil"/>
              <w:left w:val="nil"/>
              <w:bottom w:val="single" w:sz="4" w:space="0" w:color="auto"/>
              <w:right w:val="single" w:sz="4" w:space="0" w:color="auto"/>
            </w:tcBorders>
            <w:shd w:val="clear" w:color="auto" w:fill="auto"/>
            <w:hideMark/>
          </w:tcPr>
          <w:p w14:paraId="2B728AF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151,763</w:t>
            </w:r>
          </w:p>
        </w:tc>
        <w:tc>
          <w:tcPr>
            <w:tcW w:w="691" w:type="pct"/>
            <w:tcBorders>
              <w:top w:val="nil"/>
              <w:left w:val="nil"/>
              <w:bottom w:val="single" w:sz="4" w:space="0" w:color="auto"/>
              <w:right w:val="single" w:sz="4" w:space="0" w:color="auto"/>
            </w:tcBorders>
            <w:shd w:val="clear" w:color="auto" w:fill="auto"/>
            <w:hideMark/>
          </w:tcPr>
          <w:p w14:paraId="64492753"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65768AF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0FBD400E"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151,763</w:t>
            </w:r>
          </w:p>
        </w:tc>
      </w:tr>
      <w:tr w:rsidR="00FA688C" w:rsidRPr="00A420FD" w14:paraId="00E1AAEF"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7895BFF8" w14:textId="22606478" w:rsidR="00983186" w:rsidRPr="00A420FD" w:rsidRDefault="00FA688C" w:rsidP="00FA688C">
            <w:pPr>
              <w:jc w:val="left"/>
              <w:rPr>
                <w:b/>
                <w:bCs/>
                <w:color w:val="000000" w:themeColor="text1"/>
                <w:sz w:val="20"/>
                <w:szCs w:val="20"/>
                <w:lang w:val="en-CA" w:eastAsia="en-CA"/>
              </w:rPr>
            </w:pPr>
            <w:r w:rsidRPr="00A420FD">
              <w:rPr>
                <w:b/>
                <w:bCs/>
                <w:color w:val="000000" w:themeColor="text1"/>
                <w:sz w:val="20"/>
                <w:szCs w:val="20"/>
                <w:lang w:val="en-CA" w:eastAsia="en-CA"/>
              </w:rPr>
              <w:t xml:space="preserve"> </w:t>
            </w:r>
            <w:r w:rsidR="00983186" w:rsidRPr="00A420FD">
              <w:rPr>
                <w:b/>
                <w:bCs/>
                <w:color w:val="000000" w:themeColor="text1"/>
                <w:sz w:val="20"/>
                <w:szCs w:val="20"/>
                <w:lang w:val="en-CA" w:eastAsia="en-CA"/>
              </w:rPr>
              <w:t>Required for compliance subtotal</w:t>
            </w:r>
          </w:p>
        </w:tc>
        <w:tc>
          <w:tcPr>
            <w:tcW w:w="691" w:type="pct"/>
            <w:tcBorders>
              <w:top w:val="nil"/>
              <w:left w:val="nil"/>
              <w:bottom w:val="single" w:sz="4" w:space="0" w:color="auto"/>
              <w:right w:val="single" w:sz="4" w:space="0" w:color="auto"/>
            </w:tcBorders>
            <w:shd w:val="clear" w:color="auto" w:fill="auto"/>
            <w:hideMark/>
          </w:tcPr>
          <w:p w14:paraId="23F2832F"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177,595,020</w:t>
            </w:r>
          </w:p>
        </w:tc>
        <w:tc>
          <w:tcPr>
            <w:tcW w:w="691" w:type="pct"/>
            <w:tcBorders>
              <w:top w:val="nil"/>
              <w:left w:val="nil"/>
              <w:bottom w:val="single" w:sz="4" w:space="0" w:color="auto"/>
              <w:right w:val="single" w:sz="4" w:space="0" w:color="auto"/>
            </w:tcBorders>
            <w:shd w:val="clear" w:color="auto" w:fill="auto"/>
            <w:hideMark/>
          </w:tcPr>
          <w:p w14:paraId="299F5FBE"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104,341,462</w:t>
            </w:r>
          </w:p>
        </w:tc>
        <w:tc>
          <w:tcPr>
            <w:tcW w:w="691" w:type="pct"/>
            <w:tcBorders>
              <w:top w:val="nil"/>
              <w:left w:val="nil"/>
              <w:bottom w:val="single" w:sz="4" w:space="0" w:color="auto"/>
              <w:right w:val="single" w:sz="4" w:space="0" w:color="auto"/>
            </w:tcBorders>
            <w:shd w:val="clear" w:color="auto" w:fill="auto"/>
            <w:hideMark/>
          </w:tcPr>
          <w:p w14:paraId="6228C24E"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131,194,923</w:t>
            </w:r>
          </w:p>
        </w:tc>
        <w:tc>
          <w:tcPr>
            <w:tcW w:w="692" w:type="pct"/>
            <w:tcBorders>
              <w:top w:val="nil"/>
              <w:left w:val="nil"/>
              <w:bottom w:val="single" w:sz="4" w:space="0" w:color="auto"/>
              <w:right w:val="single" w:sz="4" w:space="0" w:color="auto"/>
            </w:tcBorders>
            <w:shd w:val="clear" w:color="auto" w:fill="auto"/>
            <w:hideMark/>
          </w:tcPr>
          <w:p w14:paraId="50B312B6"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413,131,405</w:t>
            </w:r>
          </w:p>
        </w:tc>
      </w:tr>
      <w:tr w:rsidR="00FA688C" w:rsidRPr="00A420FD" w14:paraId="020B72B3"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13F31055"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HFC activities</w:t>
            </w:r>
          </w:p>
        </w:tc>
        <w:tc>
          <w:tcPr>
            <w:tcW w:w="691" w:type="pct"/>
            <w:tcBorders>
              <w:top w:val="nil"/>
              <w:left w:val="nil"/>
              <w:bottom w:val="single" w:sz="4" w:space="0" w:color="auto"/>
              <w:right w:val="single" w:sz="4" w:space="0" w:color="auto"/>
            </w:tcBorders>
            <w:shd w:val="clear" w:color="auto" w:fill="auto"/>
            <w:hideMark/>
          </w:tcPr>
          <w:p w14:paraId="6EC64A7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4823C345"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1F071AA4"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6E95C09E"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r>
      <w:tr w:rsidR="00FA688C" w:rsidRPr="00A420FD" w14:paraId="223639FE"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0C3BF5E7"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HFC - demonstration</w:t>
            </w:r>
          </w:p>
        </w:tc>
        <w:tc>
          <w:tcPr>
            <w:tcW w:w="691" w:type="pct"/>
            <w:tcBorders>
              <w:top w:val="nil"/>
              <w:left w:val="nil"/>
              <w:bottom w:val="single" w:sz="4" w:space="0" w:color="auto"/>
              <w:right w:val="single" w:sz="4" w:space="0" w:color="auto"/>
            </w:tcBorders>
            <w:shd w:val="clear" w:color="auto" w:fill="auto"/>
            <w:hideMark/>
          </w:tcPr>
          <w:p w14:paraId="73554D3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3,295,151</w:t>
            </w:r>
          </w:p>
        </w:tc>
        <w:tc>
          <w:tcPr>
            <w:tcW w:w="691" w:type="pct"/>
            <w:tcBorders>
              <w:top w:val="nil"/>
              <w:left w:val="nil"/>
              <w:bottom w:val="single" w:sz="4" w:space="0" w:color="auto"/>
              <w:right w:val="single" w:sz="4" w:space="0" w:color="auto"/>
            </w:tcBorders>
            <w:shd w:val="clear" w:color="auto" w:fill="auto"/>
            <w:hideMark/>
          </w:tcPr>
          <w:p w14:paraId="2A807E4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1E79612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3190FC9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3,295,151</w:t>
            </w:r>
          </w:p>
        </w:tc>
      </w:tr>
      <w:tr w:rsidR="00FA688C" w:rsidRPr="00A420FD" w14:paraId="09AAA9A8"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155B8DA8"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HFC - enabling activities</w:t>
            </w:r>
          </w:p>
        </w:tc>
        <w:tc>
          <w:tcPr>
            <w:tcW w:w="691" w:type="pct"/>
            <w:tcBorders>
              <w:top w:val="nil"/>
              <w:left w:val="nil"/>
              <w:bottom w:val="single" w:sz="4" w:space="0" w:color="auto"/>
              <w:right w:val="single" w:sz="4" w:space="0" w:color="auto"/>
            </w:tcBorders>
            <w:shd w:val="clear" w:color="auto" w:fill="auto"/>
            <w:hideMark/>
          </w:tcPr>
          <w:p w14:paraId="74562B56"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9,095,000</w:t>
            </w:r>
          </w:p>
        </w:tc>
        <w:tc>
          <w:tcPr>
            <w:tcW w:w="691" w:type="pct"/>
            <w:tcBorders>
              <w:top w:val="nil"/>
              <w:left w:val="nil"/>
              <w:bottom w:val="single" w:sz="4" w:space="0" w:color="auto"/>
              <w:right w:val="single" w:sz="4" w:space="0" w:color="auto"/>
            </w:tcBorders>
            <w:shd w:val="clear" w:color="auto" w:fill="auto"/>
            <w:hideMark/>
          </w:tcPr>
          <w:p w14:paraId="28C9831F"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55B7FFEC"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0EE1DB6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9,095,000</w:t>
            </w:r>
          </w:p>
        </w:tc>
      </w:tr>
      <w:tr w:rsidR="00FA688C" w:rsidRPr="00A420FD" w14:paraId="566336D2"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733B3E16"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HFC - investment</w:t>
            </w:r>
          </w:p>
        </w:tc>
        <w:tc>
          <w:tcPr>
            <w:tcW w:w="691" w:type="pct"/>
            <w:tcBorders>
              <w:top w:val="nil"/>
              <w:left w:val="nil"/>
              <w:bottom w:val="single" w:sz="4" w:space="0" w:color="auto"/>
              <w:right w:val="single" w:sz="4" w:space="0" w:color="auto"/>
            </w:tcBorders>
            <w:shd w:val="clear" w:color="auto" w:fill="auto"/>
            <w:hideMark/>
          </w:tcPr>
          <w:p w14:paraId="42C9CAB4"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2,277,999</w:t>
            </w:r>
          </w:p>
        </w:tc>
        <w:tc>
          <w:tcPr>
            <w:tcW w:w="691" w:type="pct"/>
            <w:tcBorders>
              <w:top w:val="nil"/>
              <w:left w:val="nil"/>
              <w:bottom w:val="single" w:sz="4" w:space="0" w:color="auto"/>
              <w:right w:val="single" w:sz="4" w:space="0" w:color="auto"/>
            </w:tcBorders>
            <w:shd w:val="clear" w:color="auto" w:fill="auto"/>
            <w:hideMark/>
          </w:tcPr>
          <w:p w14:paraId="527226D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2,922,953</w:t>
            </w:r>
          </w:p>
        </w:tc>
        <w:tc>
          <w:tcPr>
            <w:tcW w:w="691" w:type="pct"/>
            <w:tcBorders>
              <w:top w:val="nil"/>
              <w:left w:val="nil"/>
              <w:bottom w:val="single" w:sz="4" w:space="0" w:color="auto"/>
              <w:right w:val="single" w:sz="4" w:space="0" w:color="auto"/>
            </w:tcBorders>
            <w:shd w:val="clear" w:color="auto" w:fill="auto"/>
            <w:hideMark/>
          </w:tcPr>
          <w:p w14:paraId="004902F1"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811,931</w:t>
            </w:r>
          </w:p>
        </w:tc>
        <w:tc>
          <w:tcPr>
            <w:tcW w:w="692" w:type="pct"/>
            <w:tcBorders>
              <w:top w:val="nil"/>
              <w:left w:val="nil"/>
              <w:bottom w:val="single" w:sz="4" w:space="0" w:color="auto"/>
              <w:right w:val="single" w:sz="4" w:space="0" w:color="auto"/>
            </w:tcBorders>
            <w:shd w:val="clear" w:color="auto" w:fill="auto"/>
            <w:hideMark/>
          </w:tcPr>
          <w:p w14:paraId="0C027C3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6,012,883</w:t>
            </w:r>
          </w:p>
        </w:tc>
      </w:tr>
      <w:tr w:rsidR="00FA688C" w:rsidRPr="00A420FD" w14:paraId="22DC7E02"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373B0865"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HFC - investment PRP</w:t>
            </w:r>
          </w:p>
        </w:tc>
        <w:tc>
          <w:tcPr>
            <w:tcW w:w="691" w:type="pct"/>
            <w:tcBorders>
              <w:top w:val="nil"/>
              <w:left w:val="nil"/>
              <w:bottom w:val="single" w:sz="4" w:space="0" w:color="auto"/>
              <w:right w:val="single" w:sz="4" w:space="0" w:color="auto"/>
            </w:tcBorders>
            <w:shd w:val="clear" w:color="auto" w:fill="auto"/>
            <w:hideMark/>
          </w:tcPr>
          <w:p w14:paraId="6EBDEDBE"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32,100</w:t>
            </w:r>
          </w:p>
        </w:tc>
        <w:tc>
          <w:tcPr>
            <w:tcW w:w="691" w:type="pct"/>
            <w:tcBorders>
              <w:top w:val="nil"/>
              <w:left w:val="nil"/>
              <w:bottom w:val="single" w:sz="4" w:space="0" w:color="auto"/>
              <w:right w:val="single" w:sz="4" w:space="0" w:color="auto"/>
            </w:tcBorders>
            <w:shd w:val="clear" w:color="auto" w:fill="auto"/>
            <w:hideMark/>
          </w:tcPr>
          <w:p w14:paraId="0756972D"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1FF2444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2C325B1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32,100</w:t>
            </w:r>
          </w:p>
        </w:tc>
      </w:tr>
      <w:tr w:rsidR="00FA688C" w:rsidRPr="00A420FD" w14:paraId="6288185F"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7FDADC9A" w14:textId="479790DD" w:rsidR="00983186" w:rsidRPr="00A420FD" w:rsidRDefault="00FA688C" w:rsidP="00FA688C">
            <w:pPr>
              <w:jc w:val="left"/>
              <w:rPr>
                <w:b/>
                <w:bCs/>
                <w:color w:val="000000" w:themeColor="text1"/>
                <w:sz w:val="20"/>
                <w:szCs w:val="20"/>
                <w:lang w:val="en-CA" w:eastAsia="en-CA"/>
              </w:rPr>
            </w:pPr>
            <w:r w:rsidRPr="00A420FD">
              <w:rPr>
                <w:b/>
                <w:bCs/>
                <w:color w:val="000000" w:themeColor="text1"/>
                <w:sz w:val="20"/>
                <w:szCs w:val="20"/>
                <w:lang w:val="en-CA" w:eastAsia="en-CA"/>
              </w:rPr>
              <w:t xml:space="preserve"> </w:t>
            </w:r>
            <w:r w:rsidR="00983186" w:rsidRPr="00A420FD">
              <w:rPr>
                <w:b/>
                <w:bCs/>
                <w:color w:val="000000" w:themeColor="text1"/>
                <w:sz w:val="20"/>
                <w:szCs w:val="20"/>
                <w:lang w:val="en-CA" w:eastAsia="en-CA"/>
              </w:rPr>
              <w:t>HFC activities subtotal</w:t>
            </w:r>
          </w:p>
        </w:tc>
        <w:tc>
          <w:tcPr>
            <w:tcW w:w="691" w:type="pct"/>
            <w:tcBorders>
              <w:top w:val="nil"/>
              <w:left w:val="nil"/>
              <w:bottom w:val="single" w:sz="4" w:space="0" w:color="auto"/>
              <w:right w:val="single" w:sz="4" w:space="0" w:color="auto"/>
            </w:tcBorders>
            <w:shd w:val="clear" w:color="auto" w:fill="auto"/>
            <w:hideMark/>
          </w:tcPr>
          <w:p w14:paraId="0A4E03E6"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14,700,250</w:t>
            </w:r>
          </w:p>
        </w:tc>
        <w:tc>
          <w:tcPr>
            <w:tcW w:w="691" w:type="pct"/>
            <w:tcBorders>
              <w:top w:val="nil"/>
              <w:left w:val="nil"/>
              <w:bottom w:val="single" w:sz="4" w:space="0" w:color="auto"/>
              <w:right w:val="single" w:sz="4" w:space="0" w:color="auto"/>
            </w:tcBorders>
            <w:shd w:val="clear" w:color="auto" w:fill="auto"/>
            <w:hideMark/>
          </w:tcPr>
          <w:p w14:paraId="6DF83D15"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2,922,953</w:t>
            </w:r>
          </w:p>
        </w:tc>
        <w:tc>
          <w:tcPr>
            <w:tcW w:w="691" w:type="pct"/>
            <w:tcBorders>
              <w:top w:val="nil"/>
              <w:left w:val="nil"/>
              <w:bottom w:val="single" w:sz="4" w:space="0" w:color="auto"/>
              <w:right w:val="single" w:sz="4" w:space="0" w:color="auto"/>
            </w:tcBorders>
            <w:shd w:val="clear" w:color="auto" w:fill="auto"/>
            <w:hideMark/>
          </w:tcPr>
          <w:p w14:paraId="674C471D"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811,931</w:t>
            </w:r>
          </w:p>
        </w:tc>
        <w:tc>
          <w:tcPr>
            <w:tcW w:w="692" w:type="pct"/>
            <w:tcBorders>
              <w:top w:val="nil"/>
              <w:left w:val="nil"/>
              <w:bottom w:val="single" w:sz="4" w:space="0" w:color="auto"/>
              <w:right w:val="single" w:sz="4" w:space="0" w:color="auto"/>
            </w:tcBorders>
            <w:shd w:val="clear" w:color="auto" w:fill="auto"/>
            <w:hideMark/>
          </w:tcPr>
          <w:p w14:paraId="7451005E"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18,435,134</w:t>
            </w:r>
          </w:p>
        </w:tc>
      </w:tr>
      <w:tr w:rsidR="00FA688C" w:rsidRPr="00A420FD" w14:paraId="0EB1899D"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65D365E4" w14:textId="2FA75782"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Standard activities</w:t>
            </w:r>
          </w:p>
        </w:tc>
        <w:tc>
          <w:tcPr>
            <w:tcW w:w="691" w:type="pct"/>
            <w:tcBorders>
              <w:top w:val="nil"/>
              <w:left w:val="nil"/>
              <w:bottom w:val="single" w:sz="4" w:space="0" w:color="auto"/>
              <w:right w:val="single" w:sz="4" w:space="0" w:color="auto"/>
            </w:tcBorders>
            <w:shd w:val="clear" w:color="auto" w:fill="auto"/>
            <w:hideMark/>
          </w:tcPr>
          <w:p w14:paraId="79F8C34D"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57695B41"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7FDEB73C"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1E2864D9"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 </w:t>
            </w:r>
          </w:p>
        </w:tc>
      </w:tr>
      <w:tr w:rsidR="00FA688C" w:rsidRPr="00A420FD" w14:paraId="6749E666"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4BF90907"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Compliance Assistance Programme (CAP)</w:t>
            </w:r>
          </w:p>
        </w:tc>
        <w:tc>
          <w:tcPr>
            <w:tcW w:w="691" w:type="pct"/>
            <w:tcBorders>
              <w:top w:val="nil"/>
              <w:left w:val="nil"/>
              <w:bottom w:val="single" w:sz="4" w:space="0" w:color="auto"/>
              <w:right w:val="single" w:sz="4" w:space="0" w:color="auto"/>
            </w:tcBorders>
            <w:shd w:val="clear" w:color="auto" w:fill="auto"/>
            <w:hideMark/>
          </w:tcPr>
          <w:p w14:paraId="2BDC25D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10,971,601</w:t>
            </w:r>
          </w:p>
        </w:tc>
        <w:tc>
          <w:tcPr>
            <w:tcW w:w="691" w:type="pct"/>
            <w:tcBorders>
              <w:top w:val="nil"/>
              <w:left w:val="nil"/>
              <w:bottom w:val="single" w:sz="4" w:space="0" w:color="auto"/>
              <w:right w:val="single" w:sz="4" w:space="0" w:color="auto"/>
            </w:tcBorders>
            <w:shd w:val="clear" w:color="auto" w:fill="auto"/>
            <w:hideMark/>
          </w:tcPr>
          <w:p w14:paraId="37A469D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11,300,749</w:t>
            </w:r>
          </w:p>
        </w:tc>
        <w:tc>
          <w:tcPr>
            <w:tcW w:w="691" w:type="pct"/>
            <w:tcBorders>
              <w:top w:val="nil"/>
              <w:left w:val="nil"/>
              <w:bottom w:val="single" w:sz="4" w:space="0" w:color="auto"/>
              <w:right w:val="single" w:sz="4" w:space="0" w:color="auto"/>
            </w:tcBorders>
            <w:shd w:val="clear" w:color="auto" w:fill="auto"/>
            <w:hideMark/>
          </w:tcPr>
          <w:p w14:paraId="397D5AE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11,639,772</w:t>
            </w:r>
          </w:p>
        </w:tc>
        <w:tc>
          <w:tcPr>
            <w:tcW w:w="692" w:type="pct"/>
            <w:tcBorders>
              <w:top w:val="nil"/>
              <w:left w:val="nil"/>
              <w:bottom w:val="single" w:sz="4" w:space="0" w:color="auto"/>
              <w:right w:val="single" w:sz="4" w:space="0" w:color="auto"/>
            </w:tcBorders>
            <w:shd w:val="clear" w:color="auto" w:fill="auto"/>
            <w:hideMark/>
          </w:tcPr>
          <w:p w14:paraId="19157583"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33,912,122</w:t>
            </w:r>
          </w:p>
        </w:tc>
      </w:tr>
      <w:tr w:rsidR="00FA688C" w:rsidRPr="00A420FD" w14:paraId="52776194"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1918BFA8"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Core unit</w:t>
            </w:r>
          </w:p>
        </w:tc>
        <w:tc>
          <w:tcPr>
            <w:tcW w:w="691" w:type="pct"/>
            <w:tcBorders>
              <w:top w:val="nil"/>
              <w:left w:val="nil"/>
              <w:bottom w:val="single" w:sz="4" w:space="0" w:color="auto"/>
              <w:right w:val="single" w:sz="4" w:space="0" w:color="auto"/>
            </w:tcBorders>
            <w:shd w:val="clear" w:color="auto" w:fill="auto"/>
            <w:hideMark/>
          </w:tcPr>
          <w:p w14:paraId="657D596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5,902,741</w:t>
            </w:r>
          </w:p>
        </w:tc>
        <w:tc>
          <w:tcPr>
            <w:tcW w:w="691" w:type="pct"/>
            <w:tcBorders>
              <w:top w:val="nil"/>
              <w:left w:val="nil"/>
              <w:bottom w:val="single" w:sz="4" w:space="0" w:color="auto"/>
              <w:right w:val="single" w:sz="4" w:space="0" w:color="auto"/>
            </w:tcBorders>
            <w:shd w:val="clear" w:color="auto" w:fill="auto"/>
            <w:hideMark/>
          </w:tcPr>
          <w:p w14:paraId="14DAFE23"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5,931,915</w:t>
            </w:r>
          </w:p>
        </w:tc>
        <w:tc>
          <w:tcPr>
            <w:tcW w:w="691" w:type="pct"/>
            <w:tcBorders>
              <w:top w:val="nil"/>
              <w:left w:val="nil"/>
              <w:bottom w:val="single" w:sz="4" w:space="0" w:color="auto"/>
              <w:right w:val="single" w:sz="4" w:space="0" w:color="auto"/>
            </w:tcBorders>
            <w:shd w:val="clear" w:color="auto" w:fill="auto"/>
            <w:hideMark/>
          </w:tcPr>
          <w:p w14:paraId="30545005"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5,961,294</w:t>
            </w:r>
          </w:p>
        </w:tc>
        <w:tc>
          <w:tcPr>
            <w:tcW w:w="692" w:type="pct"/>
            <w:tcBorders>
              <w:top w:val="nil"/>
              <w:left w:val="nil"/>
              <w:bottom w:val="single" w:sz="4" w:space="0" w:color="auto"/>
              <w:right w:val="single" w:sz="4" w:space="0" w:color="auto"/>
            </w:tcBorders>
            <w:shd w:val="clear" w:color="auto" w:fill="auto"/>
            <w:hideMark/>
          </w:tcPr>
          <w:p w14:paraId="2D8E985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17,795,949</w:t>
            </w:r>
          </w:p>
        </w:tc>
      </w:tr>
      <w:tr w:rsidR="00FA688C" w:rsidRPr="00A420FD" w14:paraId="1DD9E71A"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48E73D09"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Institutional strengthening (IS)</w:t>
            </w:r>
          </w:p>
        </w:tc>
        <w:tc>
          <w:tcPr>
            <w:tcW w:w="691" w:type="pct"/>
            <w:tcBorders>
              <w:top w:val="nil"/>
              <w:left w:val="nil"/>
              <w:bottom w:val="single" w:sz="4" w:space="0" w:color="auto"/>
              <w:right w:val="single" w:sz="4" w:space="0" w:color="auto"/>
            </w:tcBorders>
            <w:shd w:val="clear" w:color="auto" w:fill="auto"/>
            <w:hideMark/>
          </w:tcPr>
          <w:p w14:paraId="6A1D6D0A"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13,847,453</w:t>
            </w:r>
          </w:p>
        </w:tc>
        <w:tc>
          <w:tcPr>
            <w:tcW w:w="691" w:type="pct"/>
            <w:tcBorders>
              <w:top w:val="nil"/>
              <w:left w:val="nil"/>
              <w:bottom w:val="single" w:sz="4" w:space="0" w:color="auto"/>
              <w:right w:val="single" w:sz="4" w:space="0" w:color="auto"/>
            </w:tcBorders>
            <w:shd w:val="clear" w:color="auto" w:fill="auto"/>
            <w:hideMark/>
          </w:tcPr>
          <w:p w14:paraId="05ED129F"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7,128,429</w:t>
            </w:r>
          </w:p>
        </w:tc>
        <w:tc>
          <w:tcPr>
            <w:tcW w:w="691" w:type="pct"/>
            <w:tcBorders>
              <w:top w:val="nil"/>
              <w:left w:val="nil"/>
              <w:bottom w:val="single" w:sz="4" w:space="0" w:color="auto"/>
              <w:right w:val="single" w:sz="4" w:space="0" w:color="auto"/>
            </w:tcBorders>
            <w:shd w:val="clear" w:color="auto" w:fill="auto"/>
            <w:hideMark/>
          </w:tcPr>
          <w:p w14:paraId="72F00625"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13,847,292</w:t>
            </w:r>
          </w:p>
        </w:tc>
        <w:tc>
          <w:tcPr>
            <w:tcW w:w="692" w:type="pct"/>
            <w:tcBorders>
              <w:top w:val="nil"/>
              <w:left w:val="nil"/>
              <w:bottom w:val="single" w:sz="4" w:space="0" w:color="auto"/>
              <w:right w:val="single" w:sz="4" w:space="0" w:color="auto"/>
            </w:tcBorders>
            <w:shd w:val="clear" w:color="auto" w:fill="auto"/>
            <w:hideMark/>
          </w:tcPr>
          <w:p w14:paraId="7D28B5F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34,823,174</w:t>
            </w:r>
          </w:p>
        </w:tc>
      </w:tr>
      <w:tr w:rsidR="00FA688C" w:rsidRPr="00A420FD" w14:paraId="4FA0FD00"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4B839B99"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Secretariat, Executive Committee, and Monitoring and Evaluation costs minus Canadian counterpart</w:t>
            </w:r>
          </w:p>
        </w:tc>
        <w:tc>
          <w:tcPr>
            <w:tcW w:w="691" w:type="pct"/>
            <w:tcBorders>
              <w:top w:val="nil"/>
              <w:left w:val="nil"/>
              <w:bottom w:val="single" w:sz="4" w:space="0" w:color="auto"/>
              <w:right w:val="single" w:sz="4" w:space="0" w:color="auto"/>
            </w:tcBorders>
            <w:shd w:val="clear" w:color="auto" w:fill="auto"/>
            <w:hideMark/>
          </w:tcPr>
          <w:p w14:paraId="12F51D8B"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6,648,670</w:t>
            </w:r>
          </w:p>
        </w:tc>
        <w:tc>
          <w:tcPr>
            <w:tcW w:w="691" w:type="pct"/>
            <w:tcBorders>
              <w:top w:val="nil"/>
              <w:left w:val="nil"/>
              <w:bottom w:val="single" w:sz="4" w:space="0" w:color="auto"/>
              <w:right w:val="single" w:sz="4" w:space="0" w:color="auto"/>
            </w:tcBorders>
            <w:shd w:val="clear" w:color="auto" w:fill="auto"/>
            <w:hideMark/>
          </w:tcPr>
          <w:p w14:paraId="607B129E"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6,799,233</w:t>
            </w:r>
          </w:p>
        </w:tc>
        <w:tc>
          <w:tcPr>
            <w:tcW w:w="691" w:type="pct"/>
            <w:tcBorders>
              <w:top w:val="nil"/>
              <w:left w:val="nil"/>
              <w:bottom w:val="single" w:sz="4" w:space="0" w:color="auto"/>
              <w:right w:val="single" w:sz="4" w:space="0" w:color="auto"/>
            </w:tcBorders>
            <w:shd w:val="clear" w:color="auto" w:fill="auto"/>
            <w:hideMark/>
          </w:tcPr>
          <w:p w14:paraId="6C862F4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6,954,313</w:t>
            </w:r>
          </w:p>
        </w:tc>
        <w:tc>
          <w:tcPr>
            <w:tcW w:w="692" w:type="pct"/>
            <w:tcBorders>
              <w:top w:val="nil"/>
              <w:left w:val="nil"/>
              <w:bottom w:val="single" w:sz="4" w:space="0" w:color="auto"/>
              <w:right w:val="single" w:sz="4" w:space="0" w:color="auto"/>
            </w:tcBorders>
            <w:shd w:val="clear" w:color="auto" w:fill="auto"/>
            <w:hideMark/>
          </w:tcPr>
          <w:p w14:paraId="72D0CEF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20,402,216</w:t>
            </w:r>
          </w:p>
        </w:tc>
      </w:tr>
      <w:tr w:rsidR="00FA688C" w:rsidRPr="00A420FD" w14:paraId="0FFA1614"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6E16BB0B"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Treasurer</w:t>
            </w:r>
          </w:p>
        </w:tc>
        <w:tc>
          <w:tcPr>
            <w:tcW w:w="691" w:type="pct"/>
            <w:tcBorders>
              <w:top w:val="nil"/>
              <w:left w:val="nil"/>
              <w:bottom w:val="single" w:sz="4" w:space="0" w:color="auto"/>
              <w:right w:val="single" w:sz="4" w:space="0" w:color="auto"/>
            </w:tcBorders>
            <w:shd w:val="clear" w:color="auto" w:fill="auto"/>
            <w:hideMark/>
          </w:tcPr>
          <w:p w14:paraId="7912913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500,000</w:t>
            </w:r>
          </w:p>
        </w:tc>
        <w:tc>
          <w:tcPr>
            <w:tcW w:w="691" w:type="pct"/>
            <w:tcBorders>
              <w:top w:val="nil"/>
              <w:left w:val="nil"/>
              <w:bottom w:val="single" w:sz="4" w:space="0" w:color="auto"/>
              <w:right w:val="single" w:sz="4" w:space="0" w:color="auto"/>
            </w:tcBorders>
            <w:shd w:val="clear" w:color="auto" w:fill="auto"/>
            <w:hideMark/>
          </w:tcPr>
          <w:p w14:paraId="585A3E34"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500,000</w:t>
            </w:r>
          </w:p>
        </w:tc>
        <w:tc>
          <w:tcPr>
            <w:tcW w:w="691" w:type="pct"/>
            <w:tcBorders>
              <w:top w:val="nil"/>
              <w:left w:val="nil"/>
              <w:bottom w:val="single" w:sz="4" w:space="0" w:color="auto"/>
              <w:right w:val="single" w:sz="4" w:space="0" w:color="auto"/>
            </w:tcBorders>
            <w:shd w:val="clear" w:color="auto" w:fill="auto"/>
            <w:hideMark/>
          </w:tcPr>
          <w:p w14:paraId="19112C8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500,000</w:t>
            </w:r>
          </w:p>
        </w:tc>
        <w:tc>
          <w:tcPr>
            <w:tcW w:w="692" w:type="pct"/>
            <w:tcBorders>
              <w:top w:val="nil"/>
              <w:left w:val="nil"/>
              <w:bottom w:val="single" w:sz="4" w:space="0" w:color="auto"/>
              <w:right w:val="single" w:sz="4" w:space="0" w:color="auto"/>
            </w:tcBorders>
            <w:shd w:val="clear" w:color="auto" w:fill="auto"/>
            <w:hideMark/>
          </w:tcPr>
          <w:p w14:paraId="42E61680"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1,500,000</w:t>
            </w:r>
          </w:p>
        </w:tc>
      </w:tr>
      <w:tr w:rsidR="00FA688C" w:rsidRPr="00A420FD" w14:paraId="769FD70C"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082DAE1F" w14:textId="5B296B2C" w:rsidR="00983186" w:rsidRPr="00A420FD" w:rsidRDefault="00FA688C" w:rsidP="00FA688C">
            <w:pPr>
              <w:jc w:val="left"/>
              <w:rPr>
                <w:b/>
                <w:bCs/>
                <w:color w:val="000000" w:themeColor="text1"/>
                <w:sz w:val="20"/>
                <w:szCs w:val="20"/>
                <w:lang w:val="en-CA" w:eastAsia="en-CA"/>
              </w:rPr>
            </w:pPr>
            <w:r w:rsidRPr="00A420FD">
              <w:rPr>
                <w:b/>
                <w:bCs/>
                <w:color w:val="000000" w:themeColor="text1"/>
                <w:sz w:val="20"/>
                <w:szCs w:val="20"/>
                <w:lang w:val="en-CA" w:eastAsia="en-CA"/>
              </w:rPr>
              <w:t xml:space="preserve"> </w:t>
            </w:r>
            <w:r w:rsidR="00983186" w:rsidRPr="00A420FD">
              <w:rPr>
                <w:b/>
                <w:bCs/>
                <w:color w:val="000000" w:themeColor="text1"/>
                <w:sz w:val="20"/>
                <w:szCs w:val="20"/>
                <w:lang w:val="en-CA" w:eastAsia="en-CA"/>
              </w:rPr>
              <w:t>Standard activities subtotal</w:t>
            </w:r>
          </w:p>
        </w:tc>
        <w:tc>
          <w:tcPr>
            <w:tcW w:w="691" w:type="pct"/>
            <w:tcBorders>
              <w:top w:val="nil"/>
              <w:left w:val="nil"/>
              <w:bottom w:val="single" w:sz="4" w:space="0" w:color="auto"/>
              <w:right w:val="single" w:sz="4" w:space="0" w:color="auto"/>
            </w:tcBorders>
            <w:shd w:val="clear" w:color="auto" w:fill="auto"/>
            <w:hideMark/>
          </w:tcPr>
          <w:p w14:paraId="5B7D9F38"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37,870,465</w:t>
            </w:r>
          </w:p>
        </w:tc>
        <w:tc>
          <w:tcPr>
            <w:tcW w:w="691" w:type="pct"/>
            <w:tcBorders>
              <w:top w:val="nil"/>
              <w:left w:val="nil"/>
              <w:bottom w:val="single" w:sz="4" w:space="0" w:color="auto"/>
              <w:right w:val="single" w:sz="4" w:space="0" w:color="auto"/>
            </w:tcBorders>
            <w:shd w:val="clear" w:color="auto" w:fill="auto"/>
            <w:hideMark/>
          </w:tcPr>
          <w:p w14:paraId="7D521DE0"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31,660,326</w:t>
            </w:r>
          </w:p>
        </w:tc>
        <w:tc>
          <w:tcPr>
            <w:tcW w:w="691" w:type="pct"/>
            <w:tcBorders>
              <w:top w:val="nil"/>
              <w:left w:val="nil"/>
              <w:bottom w:val="single" w:sz="4" w:space="0" w:color="auto"/>
              <w:right w:val="single" w:sz="4" w:space="0" w:color="auto"/>
            </w:tcBorders>
            <w:shd w:val="clear" w:color="auto" w:fill="auto"/>
            <w:hideMark/>
          </w:tcPr>
          <w:p w14:paraId="52512837"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38,902,670</w:t>
            </w:r>
          </w:p>
        </w:tc>
        <w:tc>
          <w:tcPr>
            <w:tcW w:w="692" w:type="pct"/>
            <w:tcBorders>
              <w:top w:val="nil"/>
              <w:left w:val="nil"/>
              <w:bottom w:val="single" w:sz="4" w:space="0" w:color="auto"/>
              <w:right w:val="single" w:sz="4" w:space="0" w:color="auto"/>
            </w:tcBorders>
            <w:shd w:val="clear" w:color="auto" w:fill="auto"/>
            <w:hideMark/>
          </w:tcPr>
          <w:p w14:paraId="0E8099FA"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108,433,461</w:t>
            </w:r>
          </w:p>
        </w:tc>
      </w:tr>
      <w:tr w:rsidR="00FA688C" w:rsidRPr="00A420FD" w14:paraId="7C96C775"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74838D89"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Grand total</w:t>
            </w:r>
          </w:p>
        </w:tc>
        <w:tc>
          <w:tcPr>
            <w:tcW w:w="691" w:type="pct"/>
            <w:tcBorders>
              <w:top w:val="nil"/>
              <w:left w:val="nil"/>
              <w:bottom w:val="single" w:sz="4" w:space="0" w:color="auto"/>
              <w:right w:val="single" w:sz="4" w:space="0" w:color="auto"/>
            </w:tcBorders>
            <w:shd w:val="clear" w:color="auto" w:fill="auto"/>
            <w:hideMark/>
          </w:tcPr>
          <w:p w14:paraId="75D9C444"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230,165,735</w:t>
            </w:r>
          </w:p>
        </w:tc>
        <w:tc>
          <w:tcPr>
            <w:tcW w:w="691" w:type="pct"/>
            <w:tcBorders>
              <w:top w:val="nil"/>
              <w:left w:val="nil"/>
              <w:bottom w:val="single" w:sz="4" w:space="0" w:color="auto"/>
              <w:right w:val="single" w:sz="4" w:space="0" w:color="auto"/>
            </w:tcBorders>
            <w:shd w:val="clear" w:color="auto" w:fill="auto"/>
            <w:hideMark/>
          </w:tcPr>
          <w:p w14:paraId="3E4B5C84"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138,924,741</w:t>
            </w:r>
          </w:p>
        </w:tc>
        <w:tc>
          <w:tcPr>
            <w:tcW w:w="691" w:type="pct"/>
            <w:tcBorders>
              <w:top w:val="nil"/>
              <w:left w:val="nil"/>
              <w:bottom w:val="single" w:sz="4" w:space="0" w:color="auto"/>
              <w:right w:val="single" w:sz="4" w:space="0" w:color="auto"/>
            </w:tcBorders>
            <w:shd w:val="clear" w:color="auto" w:fill="auto"/>
            <w:hideMark/>
          </w:tcPr>
          <w:p w14:paraId="6C28F883"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170,909,524</w:t>
            </w:r>
          </w:p>
        </w:tc>
        <w:tc>
          <w:tcPr>
            <w:tcW w:w="692" w:type="pct"/>
            <w:tcBorders>
              <w:top w:val="nil"/>
              <w:left w:val="nil"/>
              <w:bottom w:val="single" w:sz="4" w:space="0" w:color="auto"/>
              <w:right w:val="single" w:sz="4" w:space="0" w:color="auto"/>
            </w:tcBorders>
            <w:shd w:val="clear" w:color="auto" w:fill="auto"/>
            <w:hideMark/>
          </w:tcPr>
          <w:p w14:paraId="7AD29B25" w14:textId="77777777" w:rsidR="00983186" w:rsidRPr="00A420FD" w:rsidRDefault="00983186" w:rsidP="00FA688C">
            <w:pPr>
              <w:jc w:val="right"/>
              <w:rPr>
                <w:b/>
                <w:bCs/>
                <w:color w:val="000000" w:themeColor="text1"/>
                <w:sz w:val="20"/>
                <w:szCs w:val="20"/>
                <w:lang w:val="en-CA" w:eastAsia="en-CA"/>
              </w:rPr>
            </w:pPr>
            <w:r w:rsidRPr="00A420FD">
              <w:rPr>
                <w:b/>
                <w:bCs/>
                <w:color w:val="000000" w:themeColor="text1"/>
                <w:sz w:val="20"/>
                <w:szCs w:val="20"/>
                <w:lang w:val="en-CA" w:eastAsia="en-CA"/>
              </w:rPr>
              <w:t>540,000,000</w:t>
            </w:r>
          </w:p>
        </w:tc>
      </w:tr>
      <w:tr w:rsidR="00FA688C" w:rsidRPr="00A420FD" w14:paraId="201FE7A0"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13171EB1" w14:textId="77777777" w:rsidR="00983186" w:rsidRPr="00A420FD" w:rsidRDefault="00983186" w:rsidP="00FA688C">
            <w:pPr>
              <w:jc w:val="left"/>
              <w:rPr>
                <w:b/>
                <w:bCs/>
                <w:color w:val="000000" w:themeColor="text1"/>
                <w:sz w:val="20"/>
                <w:szCs w:val="20"/>
                <w:lang w:val="en-CA" w:eastAsia="en-CA"/>
              </w:rPr>
            </w:pPr>
            <w:r w:rsidRPr="00A420FD">
              <w:rPr>
                <w:b/>
                <w:bCs/>
                <w:color w:val="000000" w:themeColor="text1"/>
                <w:sz w:val="20"/>
                <w:szCs w:val="20"/>
                <w:lang w:val="en-CA" w:eastAsia="en-CA"/>
              </w:rPr>
              <w:t>By agency</w:t>
            </w:r>
          </w:p>
        </w:tc>
        <w:tc>
          <w:tcPr>
            <w:tcW w:w="691" w:type="pct"/>
            <w:tcBorders>
              <w:top w:val="nil"/>
              <w:left w:val="nil"/>
              <w:bottom w:val="single" w:sz="4" w:space="0" w:color="auto"/>
              <w:right w:val="single" w:sz="4" w:space="0" w:color="auto"/>
            </w:tcBorders>
            <w:shd w:val="clear" w:color="auto" w:fill="auto"/>
            <w:hideMark/>
          </w:tcPr>
          <w:p w14:paraId="79011F06"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3B102842"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75E54836"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78103075"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 </w:t>
            </w:r>
          </w:p>
        </w:tc>
      </w:tr>
      <w:tr w:rsidR="00FA688C" w:rsidRPr="00A420FD" w14:paraId="15A09CDC"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0305A6FE"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Canada</w:t>
            </w:r>
          </w:p>
        </w:tc>
        <w:tc>
          <w:tcPr>
            <w:tcW w:w="691" w:type="pct"/>
            <w:tcBorders>
              <w:top w:val="nil"/>
              <w:left w:val="nil"/>
              <w:bottom w:val="single" w:sz="4" w:space="0" w:color="auto"/>
              <w:right w:val="single" w:sz="4" w:space="0" w:color="auto"/>
            </w:tcBorders>
            <w:shd w:val="clear" w:color="auto" w:fill="auto"/>
            <w:hideMark/>
          </w:tcPr>
          <w:p w14:paraId="0AE404CA"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560,530</w:t>
            </w:r>
          </w:p>
        </w:tc>
        <w:tc>
          <w:tcPr>
            <w:tcW w:w="691" w:type="pct"/>
            <w:tcBorders>
              <w:top w:val="nil"/>
              <w:left w:val="nil"/>
              <w:bottom w:val="single" w:sz="4" w:space="0" w:color="auto"/>
              <w:right w:val="single" w:sz="4" w:space="0" w:color="auto"/>
            </w:tcBorders>
            <w:shd w:val="clear" w:color="auto" w:fill="auto"/>
            <w:hideMark/>
          </w:tcPr>
          <w:p w14:paraId="68987ACC"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3CABC48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249F7D8F"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560,530</w:t>
            </w:r>
          </w:p>
        </w:tc>
      </w:tr>
      <w:tr w:rsidR="00FA688C" w:rsidRPr="00A420FD" w14:paraId="458AC2E3"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4DAE6974"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France</w:t>
            </w:r>
          </w:p>
        </w:tc>
        <w:tc>
          <w:tcPr>
            <w:tcW w:w="691" w:type="pct"/>
            <w:tcBorders>
              <w:top w:val="nil"/>
              <w:left w:val="nil"/>
              <w:bottom w:val="single" w:sz="4" w:space="0" w:color="auto"/>
              <w:right w:val="single" w:sz="4" w:space="0" w:color="auto"/>
            </w:tcBorders>
            <w:shd w:val="clear" w:color="auto" w:fill="auto"/>
            <w:hideMark/>
          </w:tcPr>
          <w:p w14:paraId="3710768F"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78,769</w:t>
            </w:r>
          </w:p>
        </w:tc>
        <w:tc>
          <w:tcPr>
            <w:tcW w:w="691" w:type="pct"/>
            <w:tcBorders>
              <w:top w:val="nil"/>
              <w:left w:val="nil"/>
              <w:bottom w:val="single" w:sz="4" w:space="0" w:color="auto"/>
              <w:right w:val="single" w:sz="4" w:space="0" w:color="auto"/>
            </w:tcBorders>
            <w:shd w:val="clear" w:color="auto" w:fill="auto"/>
            <w:hideMark/>
          </w:tcPr>
          <w:p w14:paraId="0DA1299D"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7AC62175"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692,895</w:t>
            </w:r>
          </w:p>
        </w:tc>
        <w:tc>
          <w:tcPr>
            <w:tcW w:w="692" w:type="pct"/>
            <w:tcBorders>
              <w:top w:val="nil"/>
              <w:left w:val="nil"/>
              <w:bottom w:val="single" w:sz="4" w:space="0" w:color="auto"/>
              <w:right w:val="single" w:sz="4" w:space="0" w:color="auto"/>
            </w:tcBorders>
            <w:shd w:val="clear" w:color="auto" w:fill="auto"/>
            <w:hideMark/>
          </w:tcPr>
          <w:p w14:paraId="1DFE72E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771,664</w:t>
            </w:r>
          </w:p>
        </w:tc>
      </w:tr>
      <w:tr w:rsidR="00FA688C" w:rsidRPr="00A420FD" w14:paraId="1D81C4C2"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7763566D"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Germany</w:t>
            </w:r>
          </w:p>
        </w:tc>
        <w:tc>
          <w:tcPr>
            <w:tcW w:w="691" w:type="pct"/>
            <w:tcBorders>
              <w:top w:val="nil"/>
              <w:left w:val="nil"/>
              <w:bottom w:val="single" w:sz="4" w:space="0" w:color="auto"/>
              <w:right w:val="single" w:sz="4" w:space="0" w:color="auto"/>
            </w:tcBorders>
            <w:shd w:val="clear" w:color="auto" w:fill="auto"/>
            <w:hideMark/>
          </w:tcPr>
          <w:p w14:paraId="38F79D3E"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6,488,870</w:t>
            </w:r>
          </w:p>
        </w:tc>
        <w:tc>
          <w:tcPr>
            <w:tcW w:w="691" w:type="pct"/>
            <w:tcBorders>
              <w:top w:val="nil"/>
              <w:left w:val="nil"/>
              <w:bottom w:val="single" w:sz="4" w:space="0" w:color="auto"/>
              <w:right w:val="single" w:sz="4" w:space="0" w:color="auto"/>
            </w:tcBorders>
            <w:shd w:val="clear" w:color="auto" w:fill="auto"/>
            <w:hideMark/>
          </w:tcPr>
          <w:p w14:paraId="0E5820ED"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1,038,050</w:t>
            </w:r>
          </w:p>
        </w:tc>
        <w:tc>
          <w:tcPr>
            <w:tcW w:w="691" w:type="pct"/>
            <w:tcBorders>
              <w:top w:val="nil"/>
              <w:left w:val="nil"/>
              <w:bottom w:val="single" w:sz="4" w:space="0" w:color="auto"/>
              <w:right w:val="single" w:sz="4" w:space="0" w:color="auto"/>
            </w:tcBorders>
            <w:shd w:val="clear" w:color="auto" w:fill="auto"/>
            <w:hideMark/>
          </w:tcPr>
          <w:p w14:paraId="65F3EFEC"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1,988,661</w:t>
            </w:r>
          </w:p>
        </w:tc>
        <w:tc>
          <w:tcPr>
            <w:tcW w:w="692" w:type="pct"/>
            <w:tcBorders>
              <w:top w:val="nil"/>
              <w:left w:val="nil"/>
              <w:bottom w:val="single" w:sz="4" w:space="0" w:color="auto"/>
              <w:right w:val="single" w:sz="4" w:space="0" w:color="auto"/>
            </w:tcBorders>
            <w:shd w:val="clear" w:color="auto" w:fill="auto"/>
            <w:hideMark/>
          </w:tcPr>
          <w:p w14:paraId="5A482A0B"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9,515,581</w:t>
            </w:r>
          </w:p>
        </w:tc>
      </w:tr>
      <w:tr w:rsidR="00FA688C" w:rsidRPr="00A420FD" w14:paraId="77541C2A"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16661B60"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Italy</w:t>
            </w:r>
          </w:p>
        </w:tc>
        <w:tc>
          <w:tcPr>
            <w:tcW w:w="691" w:type="pct"/>
            <w:tcBorders>
              <w:top w:val="nil"/>
              <w:left w:val="nil"/>
              <w:bottom w:val="single" w:sz="4" w:space="0" w:color="auto"/>
              <w:right w:val="single" w:sz="4" w:space="0" w:color="auto"/>
            </w:tcBorders>
            <w:shd w:val="clear" w:color="auto" w:fill="auto"/>
            <w:hideMark/>
          </w:tcPr>
          <w:p w14:paraId="6634DDA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748,139</w:t>
            </w:r>
          </w:p>
        </w:tc>
        <w:tc>
          <w:tcPr>
            <w:tcW w:w="691" w:type="pct"/>
            <w:tcBorders>
              <w:top w:val="nil"/>
              <w:left w:val="nil"/>
              <w:bottom w:val="single" w:sz="4" w:space="0" w:color="auto"/>
              <w:right w:val="single" w:sz="4" w:space="0" w:color="auto"/>
            </w:tcBorders>
            <w:shd w:val="clear" w:color="auto" w:fill="auto"/>
            <w:hideMark/>
          </w:tcPr>
          <w:p w14:paraId="15276CB1"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248177CD"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100,494</w:t>
            </w:r>
          </w:p>
        </w:tc>
        <w:tc>
          <w:tcPr>
            <w:tcW w:w="692" w:type="pct"/>
            <w:tcBorders>
              <w:top w:val="nil"/>
              <w:left w:val="nil"/>
              <w:bottom w:val="single" w:sz="4" w:space="0" w:color="auto"/>
              <w:right w:val="single" w:sz="4" w:space="0" w:color="auto"/>
            </w:tcBorders>
            <w:shd w:val="clear" w:color="auto" w:fill="auto"/>
            <w:hideMark/>
          </w:tcPr>
          <w:p w14:paraId="15DDC17A"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848,633</w:t>
            </w:r>
          </w:p>
        </w:tc>
      </w:tr>
      <w:tr w:rsidR="00FA688C" w:rsidRPr="00A420FD" w14:paraId="34076C74"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70C975F5"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Japan</w:t>
            </w:r>
          </w:p>
        </w:tc>
        <w:tc>
          <w:tcPr>
            <w:tcW w:w="691" w:type="pct"/>
            <w:tcBorders>
              <w:top w:val="nil"/>
              <w:left w:val="nil"/>
              <w:bottom w:val="single" w:sz="4" w:space="0" w:color="auto"/>
              <w:right w:val="single" w:sz="4" w:space="0" w:color="auto"/>
            </w:tcBorders>
            <w:shd w:val="clear" w:color="auto" w:fill="auto"/>
            <w:hideMark/>
          </w:tcPr>
          <w:p w14:paraId="7BBF3E3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366,097</w:t>
            </w:r>
          </w:p>
        </w:tc>
        <w:tc>
          <w:tcPr>
            <w:tcW w:w="691" w:type="pct"/>
            <w:tcBorders>
              <w:top w:val="nil"/>
              <w:left w:val="nil"/>
              <w:bottom w:val="single" w:sz="4" w:space="0" w:color="auto"/>
              <w:right w:val="single" w:sz="4" w:space="0" w:color="auto"/>
            </w:tcBorders>
            <w:shd w:val="clear" w:color="auto" w:fill="auto"/>
            <w:hideMark/>
          </w:tcPr>
          <w:p w14:paraId="72C210A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120,232</w:t>
            </w:r>
          </w:p>
        </w:tc>
        <w:tc>
          <w:tcPr>
            <w:tcW w:w="691" w:type="pct"/>
            <w:tcBorders>
              <w:top w:val="nil"/>
              <w:left w:val="nil"/>
              <w:bottom w:val="single" w:sz="4" w:space="0" w:color="auto"/>
              <w:right w:val="single" w:sz="4" w:space="0" w:color="auto"/>
            </w:tcBorders>
            <w:shd w:val="clear" w:color="auto" w:fill="auto"/>
            <w:hideMark/>
          </w:tcPr>
          <w:p w14:paraId="1A05C6B0"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90,400</w:t>
            </w:r>
          </w:p>
        </w:tc>
        <w:tc>
          <w:tcPr>
            <w:tcW w:w="692" w:type="pct"/>
            <w:tcBorders>
              <w:top w:val="nil"/>
              <w:left w:val="nil"/>
              <w:bottom w:val="single" w:sz="4" w:space="0" w:color="auto"/>
              <w:right w:val="single" w:sz="4" w:space="0" w:color="auto"/>
            </w:tcBorders>
            <w:shd w:val="clear" w:color="auto" w:fill="auto"/>
            <w:hideMark/>
          </w:tcPr>
          <w:p w14:paraId="6AA416B1"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576,729</w:t>
            </w:r>
          </w:p>
        </w:tc>
      </w:tr>
      <w:tr w:rsidR="00FA688C" w:rsidRPr="00A420FD" w14:paraId="2A37D744"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1BD8640D"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Spain</w:t>
            </w:r>
          </w:p>
        </w:tc>
        <w:tc>
          <w:tcPr>
            <w:tcW w:w="691" w:type="pct"/>
            <w:tcBorders>
              <w:top w:val="nil"/>
              <w:left w:val="nil"/>
              <w:bottom w:val="single" w:sz="4" w:space="0" w:color="auto"/>
              <w:right w:val="single" w:sz="4" w:space="0" w:color="auto"/>
            </w:tcBorders>
            <w:shd w:val="clear" w:color="auto" w:fill="auto"/>
            <w:hideMark/>
          </w:tcPr>
          <w:p w14:paraId="57830C41"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1,192,731</w:t>
            </w:r>
          </w:p>
        </w:tc>
        <w:tc>
          <w:tcPr>
            <w:tcW w:w="691" w:type="pct"/>
            <w:tcBorders>
              <w:top w:val="nil"/>
              <w:left w:val="nil"/>
              <w:bottom w:val="single" w:sz="4" w:space="0" w:color="auto"/>
              <w:right w:val="single" w:sz="4" w:space="0" w:color="auto"/>
            </w:tcBorders>
            <w:shd w:val="clear" w:color="auto" w:fill="auto"/>
            <w:hideMark/>
          </w:tcPr>
          <w:p w14:paraId="597A090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1" w:type="pct"/>
            <w:tcBorders>
              <w:top w:val="nil"/>
              <w:left w:val="nil"/>
              <w:bottom w:val="single" w:sz="4" w:space="0" w:color="auto"/>
              <w:right w:val="single" w:sz="4" w:space="0" w:color="auto"/>
            </w:tcBorders>
            <w:shd w:val="clear" w:color="auto" w:fill="auto"/>
            <w:hideMark/>
          </w:tcPr>
          <w:p w14:paraId="39B95591"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692" w:type="pct"/>
            <w:tcBorders>
              <w:top w:val="nil"/>
              <w:left w:val="nil"/>
              <w:bottom w:val="single" w:sz="4" w:space="0" w:color="auto"/>
              <w:right w:val="single" w:sz="4" w:space="0" w:color="auto"/>
            </w:tcBorders>
            <w:shd w:val="clear" w:color="auto" w:fill="auto"/>
            <w:hideMark/>
          </w:tcPr>
          <w:p w14:paraId="1614777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1,192,731</w:t>
            </w:r>
          </w:p>
        </w:tc>
      </w:tr>
      <w:tr w:rsidR="00FA688C" w:rsidRPr="00A420FD" w14:paraId="7F791D3B"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3B4A06AC"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lastRenderedPageBreak/>
              <w:t>UNDP</w:t>
            </w:r>
          </w:p>
        </w:tc>
        <w:tc>
          <w:tcPr>
            <w:tcW w:w="691" w:type="pct"/>
            <w:tcBorders>
              <w:top w:val="nil"/>
              <w:left w:val="nil"/>
              <w:bottom w:val="single" w:sz="4" w:space="0" w:color="auto"/>
              <w:right w:val="single" w:sz="4" w:space="0" w:color="auto"/>
            </w:tcBorders>
            <w:shd w:val="clear" w:color="auto" w:fill="auto"/>
            <w:hideMark/>
          </w:tcPr>
          <w:p w14:paraId="21EECC74"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60,176,215</w:t>
            </w:r>
          </w:p>
        </w:tc>
        <w:tc>
          <w:tcPr>
            <w:tcW w:w="691" w:type="pct"/>
            <w:tcBorders>
              <w:top w:val="nil"/>
              <w:left w:val="nil"/>
              <w:bottom w:val="single" w:sz="4" w:space="0" w:color="auto"/>
              <w:right w:val="single" w:sz="4" w:space="0" w:color="auto"/>
            </w:tcBorders>
            <w:shd w:val="clear" w:color="auto" w:fill="auto"/>
            <w:hideMark/>
          </w:tcPr>
          <w:p w14:paraId="61263B0E"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33,552,616</w:t>
            </w:r>
          </w:p>
        </w:tc>
        <w:tc>
          <w:tcPr>
            <w:tcW w:w="691" w:type="pct"/>
            <w:tcBorders>
              <w:top w:val="nil"/>
              <w:left w:val="nil"/>
              <w:bottom w:val="single" w:sz="4" w:space="0" w:color="auto"/>
              <w:right w:val="single" w:sz="4" w:space="0" w:color="auto"/>
            </w:tcBorders>
            <w:shd w:val="clear" w:color="auto" w:fill="auto"/>
            <w:hideMark/>
          </w:tcPr>
          <w:p w14:paraId="12B47BC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52,091,504</w:t>
            </w:r>
          </w:p>
        </w:tc>
        <w:tc>
          <w:tcPr>
            <w:tcW w:w="692" w:type="pct"/>
            <w:tcBorders>
              <w:top w:val="nil"/>
              <w:left w:val="nil"/>
              <w:bottom w:val="single" w:sz="4" w:space="0" w:color="auto"/>
              <w:right w:val="single" w:sz="4" w:space="0" w:color="auto"/>
            </w:tcBorders>
            <w:shd w:val="clear" w:color="auto" w:fill="auto"/>
            <w:hideMark/>
          </w:tcPr>
          <w:p w14:paraId="30FD462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145,820,336</w:t>
            </w:r>
          </w:p>
        </w:tc>
      </w:tr>
      <w:tr w:rsidR="00FA688C" w:rsidRPr="00A420FD" w14:paraId="7E56B9F6"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6463632E"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UNEP</w:t>
            </w:r>
          </w:p>
        </w:tc>
        <w:tc>
          <w:tcPr>
            <w:tcW w:w="691" w:type="pct"/>
            <w:tcBorders>
              <w:top w:val="nil"/>
              <w:left w:val="nil"/>
              <w:bottom w:val="single" w:sz="4" w:space="0" w:color="auto"/>
              <w:right w:val="single" w:sz="4" w:space="0" w:color="auto"/>
            </w:tcBorders>
            <w:shd w:val="clear" w:color="auto" w:fill="auto"/>
            <w:hideMark/>
          </w:tcPr>
          <w:p w14:paraId="53E0DA90"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38,992,522</w:t>
            </w:r>
          </w:p>
        </w:tc>
        <w:tc>
          <w:tcPr>
            <w:tcW w:w="691" w:type="pct"/>
            <w:tcBorders>
              <w:top w:val="nil"/>
              <w:left w:val="nil"/>
              <w:bottom w:val="single" w:sz="4" w:space="0" w:color="auto"/>
              <w:right w:val="single" w:sz="4" w:space="0" w:color="auto"/>
            </w:tcBorders>
            <w:shd w:val="clear" w:color="auto" w:fill="auto"/>
            <w:hideMark/>
          </w:tcPr>
          <w:p w14:paraId="742DB401"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21,023,944</w:t>
            </w:r>
          </w:p>
        </w:tc>
        <w:tc>
          <w:tcPr>
            <w:tcW w:w="691" w:type="pct"/>
            <w:tcBorders>
              <w:top w:val="nil"/>
              <w:left w:val="nil"/>
              <w:bottom w:val="single" w:sz="4" w:space="0" w:color="auto"/>
              <w:right w:val="single" w:sz="4" w:space="0" w:color="auto"/>
            </w:tcBorders>
            <w:shd w:val="clear" w:color="auto" w:fill="auto"/>
            <w:hideMark/>
          </w:tcPr>
          <w:p w14:paraId="185F879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32,509,741</w:t>
            </w:r>
          </w:p>
        </w:tc>
        <w:tc>
          <w:tcPr>
            <w:tcW w:w="692" w:type="pct"/>
            <w:tcBorders>
              <w:top w:val="nil"/>
              <w:left w:val="nil"/>
              <w:bottom w:val="single" w:sz="4" w:space="0" w:color="auto"/>
              <w:right w:val="single" w:sz="4" w:space="0" w:color="auto"/>
            </w:tcBorders>
            <w:shd w:val="clear" w:color="auto" w:fill="auto"/>
            <w:hideMark/>
          </w:tcPr>
          <w:p w14:paraId="23E0B39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92,526,206</w:t>
            </w:r>
          </w:p>
        </w:tc>
      </w:tr>
      <w:tr w:rsidR="00FA688C" w:rsidRPr="00A420FD" w14:paraId="1DA0DDFF"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60291A36"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UNIDO</w:t>
            </w:r>
          </w:p>
        </w:tc>
        <w:tc>
          <w:tcPr>
            <w:tcW w:w="691" w:type="pct"/>
            <w:tcBorders>
              <w:top w:val="nil"/>
              <w:left w:val="nil"/>
              <w:bottom w:val="single" w:sz="4" w:space="0" w:color="auto"/>
              <w:right w:val="single" w:sz="4" w:space="0" w:color="auto"/>
            </w:tcBorders>
            <w:shd w:val="clear" w:color="auto" w:fill="auto"/>
            <w:hideMark/>
          </w:tcPr>
          <w:p w14:paraId="23DF6F9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71,612,541</w:t>
            </w:r>
          </w:p>
        </w:tc>
        <w:tc>
          <w:tcPr>
            <w:tcW w:w="691" w:type="pct"/>
            <w:tcBorders>
              <w:top w:val="nil"/>
              <w:left w:val="nil"/>
              <w:bottom w:val="single" w:sz="4" w:space="0" w:color="auto"/>
              <w:right w:val="single" w:sz="4" w:space="0" w:color="auto"/>
            </w:tcBorders>
            <w:shd w:val="clear" w:color="auto" w:fill="auto"/>
            <w:hideMark/>
          </w:tcPr>
          <w:p w14:paraId="4DC8FC3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43,523,604</w:t>
            </w:r>
          </w:p>
        </w:tc>
        <w:tc>
          <w:tcPr>
            <w:tcW w:w="691" w:type="pct"/>
            <w:tcBorders>
              <w:top w:val="nil"/>
              <w:left w:val="nil"/>
              <w:bottom w:val="single" w:sz="4" w:space="0" w:color="auto"/>
              <w:right w:val="single" w:sz="4" w:space="0" w:color="auto"/>
            </w:tcBorders>
            <w:shd w:val="clear" w:color="auto" w:fill="auto"/>
            <w:hideMark/>
          </w:tcPr>
          <w:p w14:paraId="3281070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43,834,354</w:t>
            </w:r>
          </w:p>
        </w:tc>
        <w:tc>
          <w:tcPr>
            <w:tcW w:w="692" w:type="pct"/>
            <w:tcBorders>
              <w:top w:val="nil"/>
              <w:left w:val="nil"/>
              <w:bottom w:val="single" w:sz="4" w:space="0" w:color="auto"/>
              <w:right w:val="single" w:sz="4" w:space="0" w:color="auto"/>
            </w:tcBorders>
            <w:shd w:val="clear" w:color="auto" w:fill="auto"/>
            <w:hideMark/>
          </w:tcPr>
          <w:p w14:paraId="1AF755BC"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158,970,499</w:t>
            </w:r>
          </w:p>
        </w:tc>
      </w:tr>
      <w:tr w:rsidR="00FA688C" w:rsidRPr="00A420FD" w14:paraId="7A2E4B99"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3F714B2A"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World Bank</w:t>
            </w:r>
          </w:p>
        </w:tc>
        <w:tc>
          <w:tcPr>
            <w:tcW w:w="691" w:type="pct"/>
            <w:tcBorders>
              <w:top w:val="nil"/>
              <w:left w:val="nil"/>
              <w:bottom w:val="single" w:sz="4" w:space="0" w:color="auto"/>
              <w:right w:val="single" w:sz="4" w:space="0" w:color="auto"/>
            </w:tcBorders>
            <w:shd w:val="clear" w:color="auto" w:fill="auto"/>
            <w:hideMark/>
          </w:tcPr>
          <w:p w14:paraId="785D67B1"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42,212,051</w:t>
            </w:r>
          </w:p>
        </w:tc>
        <w:tc>
          <w:tcPr>
            <w:tcW w:w="691" w:type="pct"/>
            <w:tcBorders>
              <w:top w:val="nil"/>
              <w:left w:val="nil"/>
              <w:bottom w:val="single" w:sz="4" w:space="0" w:color="auto"/>
              <w:right w:val="single" w:sz="4" w:space="0" w:color="auto"/>
            </w:tcBorders>
            <w:shd w:val="clear" w:color="auto" w:fill="auto"/>
            <w:hideMark/>
          </w:tcPr>
          <w:p w14:paraId="325FDE8C"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31,778,462</w:t>
            </w:r>
          </w:p>
        </w:tc>
        <w:tc>
          <w:tcPr>
            <w:tcW w:w="691" w:type="pct"/>
            <w:tcBorders>
              <w:top w:val="nil"/>
              <w:left w:val="nil"/>
              <w:bottom w:val="single" w:sz="4" w:space="0" w:color="auto"/>
              <w:right w:val="single" w:sz="4" w:space="0" w:color="auto"/>
            </w:tcBorders>
            <w:shd w:val="clear" w:color="auto" w:fill="auto"/>
            <w:hideMark/>
          </w:tcPr>
          <w:p w14:paraId="22E9746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31,558,562</w:t>
            </w:r>
          </w:p>
        </w:tc>
        <w:tc>
          <w:tcPr>
            <w:tcW w:w="692" w:type="pct"/>
            <w:tcBorders>
              <w:top w:val="nil"/>
              <w:left w:val="nil"/>
              <w:bottom w:val="single" w:sz="4" w:space="0" w:color="auto"/>
              <w:right w:val="single" w:sz="4" w:space="0" w:color="auto"/>
            </w:tcBorders>
            <w:shd w:val="clear" w:color="auto" w:fill="auto"/>
            <w:hideMark/>
          </w:tcPr>
          <w:p w14:paraId="7123818F"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105,549,074</w:t>
            </w:r>
          </w:p>
        </w:tc>
      </w:tr>
      <w:tr w:rsidR="00FA688C" w:rsidRPr="00A420FD" w14:paraId="082EAA43"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5D172823" w14:textId="17F58239"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HPMP verification*</w:t>
            </w:r>
          </w:p>
        </w:tc>
        <w:tc>
          <w:tcPr>
            <w:tcW w:w="691" w:type="pct"/>
            <w:tcBorders>
              <w:top w:val="nil"/>
              <w:left w:val="nil"/>
              <w:bottom w:val="single" w:sz="4" w:space="0" w:color="auto"/>
              <w:right w:val="single" w:sz="4" w:space="0" w:color="auto"/>
            </w:tcBorders>
            <w:shd w:val="clear" w:color="auto" w:fill="auto"/>
            <w:hideMark/>
          </w:tcPr>
          <w:p w14:paraId="5C6BB4C8"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588,600</w:t>
            </w:r>
          </w:p>
        </w:tc>
        <w:tc>
          <w:tcPr>
            <w:tcW w:w="691" w:type="pct"/>
            <w:tcBorders>
              <w:top w:val="nil"/>
              <w:left w:val="nil"/>
              <w:bottom w:val="single" w:sz="4" w:space="0" w:color="auto"/>
              <w:right w:val="single" w:sz="4" w:space="0" w:color="auto"/>
            </w:tcBorders>
            <w:shd w:val="clear" w:color="auto" w:fill="auto"/>
            <w:hideMark/>
          </w:tcPr>
          <w:p w14:paraId="2B035657"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588,600</w:t>
            </w:r>
          </w:p>
        </w:tc>
        <w:tc>
          <w:tcPr>
            <w:tcW w:w="691" w:type="pct"/>
            <w:tcBorders>
              <w:top w:val="nil"/>
              <w:left w:val="nil"/>
              <w:bottom w:val="single" w:sz="4" w:space="0" w:color="auto"/>
              <w:right w:val="single" w:sz="4" w:space="0" w:color="auto"/>
            </w:tcBorders>
            <w:shd w:val="clear" w:color="auto" w:fill="auto"/>
            <w:hideMark/>
          </w:tcPr>
          <w:p w14:paraId="3A1420D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588,600</w:t>
            </w:r>
          </w:p>
        </w:tc>
        <w:tc>
          <w:tcPr>
            <w:tcW w:w="692" w:type="pct"/>
            <w:tcBorders>
              <w:top w:val="nil"/>
              <w:left w:val="nil"/>
              <w:bottom w:val="single" w:sz="4" w:space="0" w:color="auto"/>
              <w:right w:val="single" w:sz="4" w:space="0" w:color="auto"/>
            </w:tcBorders>
            <w:shd w:val="clear" w:color="auto" w:fill="auto"/>
            <w:hideMark/>
          </w:tcPr>
          <w:p w14:paraId="313CE51F"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1,765,800</w:t>
            </w:r>
          </w:p>
        </w:tc>
      </w:tr>
      <w:tr w:rsidR="00FA688C" w:rsidRPr="00A420FD" w14:paraId="34FBCC4C"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01467135" w14:textId="77777777" w:rsidR="00983186" w:rsidRPr="00A420FD" w:rsidRDefault="00983186" w:rsidP="00FA688C">
            <w:pPr>
              <w:ind w:right="-168"/>
              <w:jc w:val="left"/>
              <w:rPr>
                <w:color w:val="000000" w:themeColor="text1"/>
                <w:sz w:val="20"/>
                <w:szCs w:val="20"/>
                <w:lang w:val="en-CA" w:eastAsia="en-CA"/>
              </w:rPr>
            </w:pPr>
            <w:r w:rsidRPr="00A420FD">
              <w:rPr>
                <w:color w:val="000000" w:themeColor="text1"/>
                <w:sz w:val="20"/>
                <w:szCs w:val="20"/>
                <w:lang w:val="en-CA" w:eastAsia="en-CA"/>
              </w:rPr>
              <w:t>Secretariat, Executive Committee, and Monitoring and Evaluation costs minus Canadian counterpart</w:t>
            </w:r>
          </w:p>
        </w:tc>
        <w:tc>
          <w:tcPr>
            <w:tcW w:w="691" w:type="pct"/>
            <w:tcBorders>
              <w:top w:val="nil"/>
              <w:left w:val="nil"/>
              <w:bottom w:val="single" w:sz="4" w:space="0" w:color="auto"/>
              <w:right w:val="single" w:sz="4" w:space="0" w:color="auto"/>
            </w:tcBorders>
            <w:shd w:val="clear" w:color="auto" w:fill="auto"/>
            <w:hideMark/>
          </w:tcPr>
          <w:p w14:paraId="0671BFD2"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6,648,670</w:t>
            </w:r>
          </w:p>
        </w:tc>
        <w:tc>
          <w:tcPr>
            <w:tcW w:w="691" w:type="pct"/>
            <w:tcBorders>
              <w:top w:val="nil"/>
              <w:left w:val="nil"/>
              <w:bottom w:val="single" w:sz="4" w:space="0" w:color="auto"/>
              <w:right w:val="single" w:sz="4" w:space="0" w:color="auto"/>
            </w:tcBorders>
            <w:shd w:val="clear" w:color="auto" w:fill="auto"/>
            <w:hideMark/>
          </w:tcPr>
          <w:p w14:paraId="54D88C4B"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6,799,233</w:t>
            </w:r>
          </w:p>
        </w:tc>
        <w:tc>
          <w:tcPr>
            <w:tcW w:w="691" w:type="pct"/>
            <w:tcBorders>
              <w:top w:val="nil"/>
              <w:left w:val="nil"/>
              <w:bottom w:val="single" w:sz="4" w:space="0" w:color="auto"/>
              <w:right w:val="single" w:sz="4" w:space="0" w:color="auto"/>
            </w:tcBorders>
            <w:shd w:val="clear" w:color="auto" w:fill="auto"/>
            <w:hideMark/>
          </w:tcPr>
          <w:p w14:paraId="128AF6A5"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6,954,313</w:t>
            </w:r>
          </w:p>
        </w:tc>
        <w:tc>
          <w:tcPr>
            <w:tcW w:w="692" w:type="pct"/>
            <w:tcBorders>
              <w:top w:val="nil"/>
              <w:left w:val="nil"/>
              <w:bottom w:val="single" w:sz="4" w:space="0" w:color="auto"/>
              <w:right w:val="single" w:sz="4" w:space="0" w:color="auto"/>
            </w:tcBorders>
            <w:shd w:val="clear" w:color="auto" w:fill="auto"/>
            <w:hideMark/>
          </w:tcPr>
          <w:p w14:paraId="7824C08D"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20,402,216</w:t>
            </w:r>
          </w:p>
        </w:tc>
      </w:tr>
      <w:tr w:rsidR="00FA688C" w:rsidRPr="00A420FD" w14:paraId="2CC0333E" w14:textId="77777777" w:rsidTr="00A420FD">
        <w:tc>
          <w:tcPr>
            <w:tcW w:w="2234" w:type="pct"/>
            <w:tcBorders>
              <w:top w:val="nil"/>
              <w:left w:val="single" w:sz="4" w:space="0" w:color="auto"/>
              <w:bottom w:val="single" w:sz="4" w:space="0" w:color="auto"/>
              <w:right w:val="single" w:sz="4" w:space="0" w:color="auto"/>
            </w:tcBorders>
            <w:shd w:val="clear" w:color="auto" w:fill="auto"/>
            <w:hideMark/>
          </w:tcPr>
          <w:p w14:paraId="3AD948D1" w14:textId="77777777" w:rsidR="00983186" w:rsidRPr="00A420FD" w:rsidRDefault="00983186" w:rsidP="00FA688C">
            <w:pPr>
              <w:jc w:val="left"/>
              <w:rPr>
                <w:color w:val="000000" w:themeColor="text1"/>
                <w:sz w:val="20"/>
                <w:szCs w:val="20"/>
                <w:lang w:val="en-CA" w:eastAsia="en-CA"/>
              </w:rPr>
            </w:pPr>
            <w:r w:rsidRPr="00A420FD">
              <w:rPr>
                <w:color w:val="000000" w:themeColor="text1"/>
                <w:sz w:val="20"/>
                <w:szCs w:val="20"/>
                <w:lang w:val="en-CA" w:eastAsia="en-CA"/>
              </w:rPr>
              <w:t>Treasurer</w:t>
            </w:r>
          </w:p>
        </w:tc>
        <w:tc>
          <w:tcPr>
            <w:tcW w:w="691" w:type="pct"/>
            <w:tcBorders>
              <w:top w:val="nil"/>
              <w:left w:val="nil"/>
              <w:bottom w:val="single" w:sz="4" w:space="0" w:color="auto"/>
              <w:right w:val="single" w:sz="4" w:space="0" w:color="auto"/>
            </w:tcBorders>
            <w:shd w:val="clear" w:color="auto" w:fill="auto"/>
            <w:hideMark/>
          </w:tcPr>
          <w:p w14:paraId="3CCB3F29"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500,000</w:t>
            </w:r>
          </w:p>
        </w:tc>
        <w:tc>
          <w:tcPr>
            <w:tcW w:w="691" w:type="pct"/>
            <w:tcBorders>
              <w:top w:val="nil"/>
              <w:left w:val="nil"/>
              <w:bottom w:val="single" w:sz="4" w:space="0" w:color="auto"/>
              <w:right w:val="single" w:sz="4" w:space="0" w:color="auto"/>
            </w:tcBorders>
            <w:shd w:val="clear" w:color="auto" w:fill="auto"/>
            <w:hideMark/>
          </w:tcPr>
          <w:p w14:paraId="5C42DB70"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500,000</w:t>
            </w:r>
          </w:p>
        </w:tc>
        <w:tc>
          <w:tcPr>
            <w:tcW w:w="691" w:type="pct"/>
            <w:tcBorders>
              <w:top w:val="nil"/>
              <w:left w:val="nil"/>
              <w:bottom w:val="single" w:sz="4" w:space="0" w:color="auto"/>
              <w:right w:val="single" w:sz="4" w:space="0" w:color="auto"/>
            </w:tcBorders>
            <w:shd w:val="clear" w:color="auto" w:fill="auto"/>
            <w:hideMark/>
          </w:tcPr>
          <w:p w14:paraId="0BE945D6"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500,000</w:t>
            </w:r>
          </w:p>
        </w:tc>
        <w:tc>
          <w:tcPr>
            <w:tcW w:w="692" w:type="pct"/>
            <w:tcBorders>
              <w:top w:val="nil"/>
              <w:left w:val="nil"/>
              <w:bottom w:val="single" w:sz="4" w:space="0" w:color="auto"/>
              <w:right w:val="single" w:sz="4" w:space="0" w:color="auto"/>
            </w:tcBorders>
            <w:shd w:val="clear" w:color="auto" w:fill="auto"/>
            <w:hideMark/>
          </w:tcPr>
          <w:p w14:paraId="0F28D6AC" w14:textId="77777777" w:rsidR="00983186" w:rsidRPr="00A420FD" w:rsidRDefault="00983186" w:rsidP="00FA688C">
            <w:pPr>
              <w:jc w:val="right"/>
              <w:rPr>
                <w:color w:val="000000" w:themeColor="text1"/>
                <w:sz w:val="20"/>
                <w:szCs w:val="20"/>
                <w:lang w:val="en-CA" w:eastAsia="en-CA"/>
              </w:rPr>
            </w:pPr>
            <w:r w:rsidRPr="00A420FD">
              <w:rPr>
                <w:color w:val="000000" w:themeColor="text1"/>
                <w:sz w:val="20"/>
                <w:szCs w:val="20"/>
                <w:lang w:val="en-CA" w:eastAsia="en-CA"/>
              </w:rPr>
              <w:t>1,500,000</w:t>
            </w:r>
          </w:p>
        </w:tc>
      </w:tr>
    </w:tbl>
    <w:p w14:paraId="3E22D630" w14:textId="58710227" w:rsidR="00983186" w:rsidRDefault="00983186" w:rsidP="00FA688C">
      <w:pPr>
        <w:widowControl w:val="0"/>
        <w:tabs>
          <w:tab w:val="left" w:pos="142"/>
          <w:tab w:val="left" w:pos="720"/>
          <w:tab w:val="left" w:pos="1440"/>
          <w:tab w:val="left" w:pos="2160"/>
          <w:tab w:val="left" w:pos="2880"/>
          <w:tab w:val="left" w:pos="3600"/>
        </w:tabs>
        <w:rPr>
          <w:bCs/>
          <w:color w:val="000000" w:themeColor="text1"/>
          <w:sz w:val="19"/>
          <w:szCs w:val="19"/>
          <w:lang w:val="en-CA"/>
        </w:rPr>
      </w:pPr>
      <w:r w:rsidRPr="00FA688C">
        <w:rPr>
          <w:bCs/>
          <w:color w:val="000000" w:themeColor="text1"/>
          <w:sz w:val="19"/>
          <w:szCs w:val="19"/>
          <w:lang w:val="en-CA"/>
        </w:rPr>
        <w:t>* Funding for the preparation of HPMP verification reports for low-volume-consuming countries is approved by the Executive Committee on an annual basis.</w:t>
      </w:r>
    </w:p>
    <w:p w14:paraId="026C8689" w14:textId="77777777" w:rsidR="00D67E49" w:rsidRPr="00D67E49" w:rsidRDefault="00D67E49" w:rsidP="00FA688C">
      <w:pPr>
        <w:widowControl w:val="0"/>
        <w:tabs>
          <w:tab w:val="left" w:pos="142"/>
          <w:tab w:val="left" w:pos="720"/>
          <w:tab w:val="left" w:pos="1440"/>
          <w:tab w:val="left" w:pos="2160"/>
          <w:tab w:val="left" w:pos="2880"/>
          <w:tab w:val="left" w:pos="3600"/>
        </w:tabs>
        <w:rPr>
          <w:bCs/>
          <w:color w:val="000000" w:themeColor="text1"/>
          <w:lang w:val="en-CA"/>
        </w:rPr>
      </w:pPr>
    </w:p>
    <w:p w14:paraId="7FFDF28E" w14:textId="0768EFF7" w:rsidR="00A3176E" w:rsidRPr="00FA688C" w:rsidRDefault="00A3176E" w:rsidP="00FA688C">
      <w:pPr>
        <w:widowControl w:val="0"/>
        <w:spacing w:after="240"/>
        <w:rPr>
          <w:b/>
          <w:color w:val="000000" w:themeColor="text1"/>
          <w:lang w:val="en-CA"/>
        </w:rPr>
      </w:pPr>
      <w:r w:rsidRPr="00FA688C">
        <w:rPr>
          <w:b/>
          <w:color w:val="000000" w:themeColor="text1"/>
          <w:lang w:val="en-CA"/>
        </w:rPr>
        <w:t>Status of implementation of the 2018 business plans</w:t>
      </w:r>
    </w:p>
    <w:p w14:paraId="00EBFB2F" w14:textId="6D814061" w:rsidR="00BC2638" w:rsidRPr="00FA688C" w:rsidRDefault="00BC2638" w:rsidP="00FA688C">
      <w:pPr>
        <w:pStyle w:val="Heading1"/>
        <w:widowControl w:val="0"/>
        <w:rPr>
          <w:color w:val="000000" w:themeColor="text1"/>
          <w:lang w:val="en-CA"/>
        </w:rPr>
      </w:pPr>
      <w:r w:rsidRPr="00FA688C">
        <w:rPr>
          <w:color w:val="000000" w:themeColor="text1"/>
          <w:lang w:val="en-CA"/>
        </w:rPr>
        <w:t xml:space="preserve">The total funding available for 2018 amounts to </w:t>
      </w:r>
      <w:r w:rsidR="00FA688C" w:rsidRPr="00FA688C">
        <w:rPr>
          <w:color w:val="000000" w:themeColor="text1"/>
          <w:lang w:val="en-CA"/>
        </w:rPr>
        <w:t>US $</w:t>
      </w:r>
      <w:r w:rsidRPr="00FA688C">
        <w:rPr>
          <w:color w:val="000000" w:themeColor="text1"/>
          <w:lang w:val="en-CA"/>
        </w:rPr>
        <w:t>230,165,735. Funding requests submitted to the 81</w:t>
      </w:r>
      <w:r w:rsidRPr="00FA688C">
        <w:rPr>
          <w:color w:val="000000" w:themeColor="text1"/>
          <w:vertAlign w:val="superscript"/>
          <w:lang w:val="en-CA"/>
        </w:rPr>
        <w:t>st</w:t>
      </w:r>
      <w:r w:rsidRPr="00FA688C">
        <w:rPr>
          <w:color w:val="000000" w:themeColor="text1"/>
          <w:lang w:val="en-CA"/>
        </w:rPr>
        <w:t xml:space="preserve"> meeting amounts to</w:t>
      </w:r>
      <w:r w:rsidR="0015268C" w:rsidRPr="00FA688C">
        <w:rPr>
          <w:color w:val="000000" w:themeColor="text1"/>
          <w:lang w:val="en-CA"/>
        </w:rPr>
        <w:t xml:space="preserve"> </w:t>
      </w:r>
      <w:r w:rsidR="00FA688C" w:rsidRPr="00FA688C">
        <w:rPr>
          <w:color w:val="000000" w:themeColor="text1"/>
          <w:lang w:val="en-CA"/>
        </w:rPr>
        <w:t>US $</w:t>
      </w:r>
      <w:r w:rsidR="0015268C" w:rsidRPr="00FA688C">
        <w:rPr>
          <w:color w:val="000000" w:themeColor="text1"/>
          <w:lang w:val="en-CA"/>
        </w:rPr>
        <w:t>94,120,556</w:t>
      </w:r>
      <w:r w:rsidRPr="00FA688C">
        <w:rPr>
          <w:color w:val="000000" w:themeColor="text1"/>
          <w:lang w:val="en-CA"/>
        </w:rPr>
        <w:t xml:space="preserve">. If funding requests for all project proposals submitted are approved, a balance of </w:t>
      </w:r>
      <w:r w:rsidR="00FA688C" w:rsidRPr="00FA688C">
        <w:rPr>
          <w:color w:val="000000" w:themeColor="text1"/>
          <w:lang w:val="en-CA"/>
        </w:rPr>
        <w:t>US $</w:t>
      </w:r>
      <w:r w:rsidR="00EB0F45" w:rsidRPr="00FA688C">
        <w:rPr>
          <w:color w:val="000000" w:themeColor="text1"/>
          <w:lang w:val="en-CA"/>
        </w:rPr>
        <w:t xml:space="preserve">136,045,179 </w:t>
      </w:r>
      <w:r w:rsidRPr="00FA688C">
        <w:rPr>
          <w:color w:val="000000" w:themeColor="text1"/>
          <w:lang w:val="en-CA"/>
        </w:rPr>
        <w:t>would be available from the 2018 business plan, as shown in Table 2.</w:t>
      </w:r>
    </w:p>
    <w:p w14:paraId="1507E634" w14:textId="54D7F5EE" w:rsidR="00A3176E" w:rsidRPr="00FA688C" w:rsidRDefault="00A3176E" w:rsidP="00FA688C">
      <w:pPr>
        <w:keepNext/>
        <w:rPr>
          <w:b/>
          <w:bCs/>
          <w:color w:val="000000" w:themeColor="text1"/>
          <w:lang w:val="en-CA"/>
        </w:rPr>
      </w:pPr>
      <w:r w:rsidRPr="00FA688C">
        <w:rPr>
          <w:b/>
          <w:color w:val="000000" w:themeColor="text1"/>
          <w:lang w:val="en-CA"/>
        </w:rPr>
        <w:t xml:space="preserve">Table 2. </w:t>
      </w:r>
      <w:r w:rsidRPr="00FA688C">
        <w:rPr>
          <w:b/>
          <w:bCs/>
          <w:color w:val="000000" w:themeColor="text1"/>
          <w:lang w:val="en-CA"/>
        </w:rPr>
        <w:t>201</w:t>
      </w:r>
      <w:r w:rsidR="009C15A3" w:rsidRPr="00FA688C">
        <w:rPr>
          <w:b/>
          <w:bCs/>
          <w:color w:val="000000" w:themeColor="text1"/>
          <w:lang w:val="en-CA"/>
        </w:rPr>
        <w:t>8</w:t>
      </w:r>
      <w:r w:rsidRPr="00FA688C">
        <w:rPr>
          <w:b/>
          <w:bCs/>
          <w:color w:val="000000" w:themeColor="text1"/>
          <w:lang w:val="en-CA"/>
        </w:rPr>
        <w:t xml:space="preserve"> consolidated business plan, submissions to the </w:t>
      </w:r>
      <w:r w:rsidR="005B2B0B" w:rsidRPr="00FA688C">
        <w:rPr>
          <w:b/>
          <w:bCs/>
          <w:color w:val="000000" w:themeColor="text1"/>
          <w:lang w:val="en-CA"/>
        </w:rPr>
        <w:t>81</w:t>
      </w:r>
      <w:r w:rsidR="005B2B0B" w:rsidRPr="00FA688C">
        <w:rPr>
          <w:b/>
          <w:bCs/>
          <w:color w:val="000000" w:themeColor="text1"/>
          <w:vertAlign w:val="superscript"/>
          <w:lang w:val="en-CA"/>
        </w:rPr>
        <w:t>st</w:t>
      </w:r>
      <w:r w:rsidR="005B2B0B" w:rsidRPr="00FA688C">
        <w:rPr>
          <w:b/>
          <w:bCs/>
          <w:color w:val="000000" w:themeColor="text1"/>
          <w:lang w:val="en-CA"/>
        </w:rPr>
        <w:t xml:space="preserve"> </w:t>
      </w:r>
      <w:r w:rsidRPr="00FA688C">
        <w:rPr>
          <w:b/>
          <w:bCs/>
          <w:color w:val="000000" w:themeColor="text1"/>
          <w:lang w:val="en-CA"/>
        </w:rPr>
        <w:t>meeting, and balance (</w:t>
      </w:r>
      <w:r w:rsidR="00FA688C" w:rsidRPr="00FA688C">
        <w:rPr>
          <w:b/>
          <w:bCs/>
          <w:color w:val="000000" w:themeColor="text1"/>
          <w:lang w:val="en-CA"/>
        </w:rPr>
        <w:t>US </w:t>
      </w:r>
      <w:proofErr w:type="gramStart"/>
      <w:r w:rsidR="007A17B1">
        <w:rPr>
          <w:b/>
          <w:bCs/>
          <w:color w:val="000000" w:themeColor="text1"/>
          <w:lang w:val="en-CA"/>
        </w:rPr>
        <w:t>$)</w:t>
      </w:r>
      <w:r w:rsidR="00A420FD" w:rsidRPr="00FA688C">
        <w:rPr>
          <w:b/>
          <w:bCs/>
          <w:color w:val="000000" w:themeColor="text1"/>
          <w:lang w:val="en-CA"/>
        </w:rPr>
        <w:t>*</w:t>
      </w:r>
      <w:proofErr w:type="gramEnd"/>
    </w:p>
    <w:tbl>
      <w:tblPr>
        <w:tblW w:w="5000" w:type="pct"/>
        <w:tblLook w:val="04A0" w:firstRow="1" w:lastRow="0" w:firstColumn="1" w:lastColumn="0" w:noHBand="0" w:noVBand="1"/>
      </w:tblPr>
      <w:tblGrid>
        <w:gridCol w:w="3246"/>
        <w:gridCol w:w="2073"/>
        <w:gridCol w:w="2073"/>
        <w:gridCol w:w="2073"/>
      </w:tblGrid>
      <w:tr w:rsidR="00FA688C" w:rsidRPr="00A420FD" w14:paraId="53588F3E" w14:textId="77777777" w:rsidTr="00A420FD">
        <w:trPr>
          <w:tblHeader/>
        </w:trPr>
        <w:tc>
          <w:tcPr>
            <w:tcW w:w="1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70818" w14:textId="77777777" w:rsidR="00A3176E" w:rsidRPr="00A420FD" w:rsidRDefault="00A3176E" w:rsidP="00F75B05">
            <w:pPr>
              <w:jc w:val="left"/>
              <w:rPr>
                <w:b/>
                <w:bCs/>
                <w:color w:val="000000" w:themeColor="text1"/>
                <w:sz w:val="20"/>
                <w:szCs w:val="20"/>
                <w:lang w:val="en-CA"/>
              </w:rPr>
            </w:pPr>
            <w:r w:rsidRPr="00A420FD">
              <w:rPr>
                <w:b/>
                <w:bCs/>
                <w:color w:val="000000" w:themeColor="text1"/>
                <w:sz w:val="20"/>
                <w:szCs w:val="20"/>
                <w:lang w:val="en-CA" w:eastAsia="en-CA"/>
              </w:rPr>
              <w:t>Budget items</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14:paraId="6D9E6B30" w14:textId="77777777" w:rsidR="00A3176E" w:rsidRPr="00A420FD" w:rsidRDefault="00A3176E" w:rsidP="00F75B05">
            <w:pPr>
              <w:jc w:val="center"/>
              <w:rPr>
                <w:b/>
                <w:bCs/>
                <w:color w:val="000000" w:themeColor="text1"/>
                <w:sz w:val="20"/>
                <w:szCs w:val="20"/>
                <w:lang w:val="en-CA"/>
              </w:rPr>
            </w:pPr>
            <w:r w:rsidRPr="00A420FD">
              <w:rPr>
                <w:b/>
                <w:bCs/>
                <w:color w:val="000000" w:themeColor="text1"/>
                <w:sz w:val="20"/>
                <w:szCs w:val="20"/>
                <w:lang w:val="en-CA" w:eastAsia="en-CA"/>
              </w:rPr>
              <w:t>Total value in business plan</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14:paraId="718314FC" w14:textId="7633BB4B" w:rsidR="00A3176E" w:rsidRPr="00A420FD" w:rsidRDefault="005B2B0B" w:rsidP="00F75B05">
            <w:pPr>
              <w:jc w:val="center"/>
              <w:rPr>
                <w:b/>
                <w:bCs/>
                <w:color w:val="000000" w:themeColor="text1"/>
                <w:sz w:val="20"/>
                <w:szCs w:val="20"/>
                <w:lang w:val="en-CA"/>
              </w:rPr>
            </w:pPr>
            <w:r w:rsidRPr="00A420FD">
              <w:rPr>
                <w:b/>
                <w:bCs/>
                <w:color w:val="000000" w:themeColor="text1"/>
                <w:sz w:val="20"/>
                <w:szCs w:val="20"/>
                <w:lang w:val="en-CA" w:eastAsia="en-CA"/>
              </w:rPr>
              <w:t>81</w:t>
            </w:r>
            <w:r w:rsidRPr="00A420FD">
              <w:rPr>
                <w:b/>
                <w:bCs/>
                <w:color w:val="000000" w:themeColor="text1"/>
                <w:sz w:val="20"/>
                <w:szCs w:val="20"/>
                <w:vertAlign w:val="superscript"/>
                <w:lang w:val="en-CA" w:eastAsia="en-CA"/>
              </w:rPr>
              <w:t>st</w:t>
            </w:r>
            <w:r w:rsidRPr="00A420FD">
              <w:rPr>
                <w:b/>
                <w:bCs/>
                <w:color w:val="000000" w:themeColor="text1"/>
                <w:sz w:val="20"/>
                <w:szCs w:val="20"/>
                <w:lang w:val="en-CA" w:eastAsia="en-CA"/>
              </w:rPr>
              <w:t xml:space="preserve"> </w:t>
            </w:r>
            <w:r w:rsidR="00A3176E" w:rsidRPr="00A420FD">
              <w:rPr>
                <w:b/>
                <w:bCs/>
                <w:color w:val="000000" w:themeColor="text1"/>
                <w:sz w:val="20"/>
                <w:szCs w:val="20"/>
                <w:lang w:val="en-CA" w:eastAsia="en-CA"/>
              </w:rPr>
              <w:t>meeting submissions</w:t>
            </w:r>
            <w:r w:rsidR="00725CBD" w:rsidRPr="00A420FD">
              <w:rPr>
                <w:b/>
                <w:bCs/>
                <w:color w:val="000000" w:themeColor="text1"/>
                <w:sz w:val="20"/>
                <w:szCs w:val="20"/>
                <w:lang w:val="en-CA" w:eastAsia="en-CA"/>
              </w:rPr>
              <w:t>**</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14:paraId="4CC8EDD3" w14:textId="77777777" w:rsidR="00A3176E" w:rsidRPr="00A420FD" w:rsidRDefault="00A3176E" w:rsidP="00F75B05">
            <w:pPr>
              <w:ind w:left="-108" w:right="-48"/>
              <w:jc w:val="center"/>
              <w:rPr>
                <w:b/>
                <w:bCs/>
                <w:color w:val="000000" w:themeColor="text1"/>
                <w:sz w:val="20"/>
                <w:szCs w:val="20"/>
                <w:lang w:val="en-CA"/>
              </w:rPr>
            </w:pPr>
            <w:r w:rsidRPr="00A420FD">
              <w:rPr>
                <w:b/>
                <w:bCs/>
                <w:color w:val="000000" w:themeColor="text1"/>
                <w:sz w:val="20"/>
                <w:szCs w:val="20"/>
                <w:lang w:val="en-CA" w:eastAsia="en-CA"/>
              </w:rPr>
              <w:t>Balance (above)/below business plan levels</w:t>
            </w:r>
          </w:p>
        </w:tc>
      </w:tr>
      <w:tr w:rsidR="00FA688C" w:rsidRPr="00A420FD" w14:paraId="76DB5775" w14:textId="77777777" w:rsidTr="00A420FD">
        <w:tc>
          <w:tcPr>
            <w:tcW w:w="1714" w:type="pct"/>
            <w:tcBorders>
              <w:top w:val="nil"/>
              <w:left w:val="single" w:sz="4" w:space="0" w:color="auto"/>
              <w:bottom w:val="single" w:sz="4" w:space="0" w:color="auto"/>
              <w:right w:val="single" w:sz="4" w:space="0" w:color="auto"/>
            </w:tcBorders>
            <w:shd w:val="clear" w:color="auto" w:fill="auto"/>
            <w:vAlign w:val="center"/>
            <w:hideMark/>
          </w:tcPr>
          <w:p w14:paraId="077C2454" w14:textId="77777777" w:rsidR="00EB0F45" w:rsidRPr="00A420FD" w:rsidRDefault="00EB0F45" w:rsidP="00FA688C">
            <w:pPr>
              <w:rPr>
                <w:color w:val="000000" w:themeColor="text1"/>
                <w:sz w:val="20"/>
                <w:szCs w:val="20"/>
                <w:lang w:val="en-CA"/>
              </w:rPr>
            </w:pPr>
            <w:r w:rsidRPr="00A420FD">
              <w:rPr>
                <w:color w:val="000000" w:themeColor="text1"/>
                <w:sz w:val="20"/>
                <w:szCs w:val="20"/>
                <w:lang w:val="en-CA" w:eastAsia="en-CA"/>
              </w:rPr>
              <w:t>Bilateral agencies</w:t>
            </w:r>
          </w:p>
        </w:tc>
        <w:tc>
          <w:tcPr>
            <w:tcW w:w="1095" w:type="pct"/>
            <w:tcBorders>
              <w:top w:val="nil"/>
              <w:left w:val="nil"/>
              <w:bottom w:val="single" w:sz="4" w:space="0" w:color="auto"/>
              <w:right w:val="single" w:sz="4" w:space="0" w:color="auto"/>
            </w:tcBorders>
            <w:shd w:val="clear" w:color="auto" w:fill="auto"/>
            <w:vAlign w:val="center"/>
          </w:tcPr>
          <w:p w14:paraId="408A6615" w14:textId="78FA314F" w:rsidR="00EB0F45" w:rsidRPr="00A420FD" w:rsidRDefault="00EB0F45" w:rsidP="00FA688C">
            <w:pPr>
              <w:jc w:val="right"/>
              <w:rPr>
                <w:color w:val="000000" w:themeColor="text1"/>
                <w:sz w:val="20"/>
                <w:szCs w:val="20"/>
                <w:lang w:val="en-CA" w:eastAsia="en-CA"/>
              </w:rPr>
            </w:pPr>
            <w:r w:rsidRPr="00A420FD">
              <w:rPr>
                <w:color w:val="000000" w:themeColor="text1"/>
                <w:sz w:val="20"/>
                <w:szCs w:val="20"/>
                <w:lang w:val="en-CA" w:eastAsia="en-CA"/>
              </w:rPr>
              <w:t>9,435,137</w:t>
            </w:r>
          </w:p>
        </w:tc>
        <w:tc>
          <w:tcPr>
            <w:tcW w:w="1095" w:type="pct"/>
            <w:tcBorders>
              <w:top w:val="nil"/>
              <w:left w:val="nil"/>
              <w:bottom w:val="single" w:sz="4" w:space="0" w:color="auto"/>
              <w:right w:val="single" w:sz="4" w:space="0" w:color="auto"/>
            </w:tcBorders>
            <w:shd w:val="clear" w:color="auto" w:fill="auto"/>
            <w:vAlign w:val="center"/>
          </w:tcPr>
          <w:p w14:paraId="187B1CFB" w14:textId="084A9337" w:rsidR="00EB0F45" w:rsidRPr="00A420FD" w:rsidRDefault="00EB0F45" w:rsidP="00FA688C">
            <w:pPr>
              <w:jc w:val="right"/>
              <w:rPr>
                <w:color w:val="000000" w:themeColor="text1"/>
                <w:sz w:val="20"/>
                <w:szCs w:val="20"/>
                <w:lang w:val="en-CA"/>
              </w:rPr>
            </w:pPr>
            <w:r w:rsidRPr="00A420FD">
              <w:rPr>
                <w:color w:val="000000" w:themeColor="text1"/>
                <w:sz w:val="20"/>
                <w:szCs w:val="20"/>
                <w:lang w:val="en-CA"/>
              </w:rPr>
              <w:t>2,894,312</w:t>
            </w:r>
          </w:p>
        </w:tc>
        <w:tc>
          <w:tcPr>
            <w:tcW w:w="1095" w:type="pct"/>
            <w:tcBorders>
              <w:top w:val="nil"/>
              <w:left w:val="nil"/>
              <w:bottom w:val="single" w:sz="4" w:space="0" w:color="auto"/>
              <w:right w:val="single" w:sz="4" w:space="0" w:color="auto"/>
            </w:tcBorders>
            <w:shd w:val="clear" w:color="auto" w:fill="auto"/>
            <w:vAlign w:val="center"/>
          </w:tcPr>
          <w:p w14:paraId="46138B7F" w14:textId="6216A731" w:rsidR="00EB0F45" w:rsidRPr="00A420FD" w:rsidRDefault="00EB0F45" w:rsidP="00FA688C">
            <w:pPr>
              <w:jc w:val="right"/>
              <w:rPr>
                <w:color w:val="000000" w:themeColor="text1"/>
                <w:sz w:val="20"/>
                <w:szCs w:val="20"/>
                <w:lang w:val="en-CA"/>
              </w:rPr>
            </w:pPr>
            <w:r w:rsidRPr="00A420FD">
              <w:rPr>
                <w:color w:val="000000" w:themeColor="text1"/>
                <w:sz w:val="20"/>
                <w:szCs w:val="20"/>
              </w:rPr>
              <w:t>6,540,825</w:t>
            </w:r>
          </w:p>
        </w:tc>
      </w:tr>
      <w:tr w:rsidR="00FA688C" w:rsidRPr="00A420FD" w14:paraId="7E297388" w14:textId="77777777" w:rsidTr="00A420FD">
        <w:tc>
          <w:tcPr>
            <w:tcW w:w="1714" w:type="pct"/>
            <w:tcBorders>
              <w:top w:val="nil"/>
              <w:left w:val="single" w:sz="4" w:space="0" w:color="auto"/>
              <w:bottom w:val="single" w:sz="4" w:space="0" w:color="auto"/>
              <w:right w:val="single" w:sz="4" w:space="0" w:color="auto"/>
            </w:tcBorders>
            <w:shd w:val="clear" w:color="auto" w:fill="auto"/>
            <w:vAlign w:val="center"/>
            <w:hideMark/>
          </w:tcPr>
          <w:p w14:paraId="57B718EA" w14:textId="77777777" w:rsidR="00EB0F45" w:rsidRPr="00A420FD" w:rsidRDefault="00EB0F45" w:rsidP="00FA688C">
            <w:pPr>
              <w:rPr>
                <w:color w:val="000000" w:themeColor="text1"/>
                <w:sz w:val="20"/>
                <w:szCs w:val="20"/>
                <w:lang w:val="en-CA"/>
              </w:rPr>
            </w:pPr>
            <w:r w:rsidRPr="00A420FD">
              <w:rPr>
                <w:color w:val="000000" w:themeColor="text1"/>
                <w:sz w:val="20"/>
                <w:szCs w:val="20"/>
                <w:lang w:val="en-CA" w:eastAsia="en-CA"/>
              </w:rPr>
              <w:t>UNDP</w:t>
            </w:r>
          </w:p>
        </w:tc>
        <w:tc>
          <w:tcPr>
            <w:tcW w:w="1095" w:type="pct"/>
            <w:tcBorders>
              <w:top w:val="nil"/>
              <w:left w:val="nil"/>
              <w:bottom w:val="single" w:sz="4" w:space="0" w:color="auto"/>
              <w:right w:val="single" w:sz="4" w:space="0" w:color="auto"/>
            </w:tcBorders>
            <w:shd w:val="clear" w:color="auto" w:fill="auto"/>
          </w:tcPr>
          <w:p w14:paraId="2643BB20" w14:textId="31429DD5" w:rsidR="00EB0F45" w:rsidRPr="00A420FD" w:rsidRDefault="00EB0F45" w:rsidP="00FA688C">
            <w:pPr>
              <w:jc w:val="right"/>
              <w:rPr>
                <w:color w:val="000000" w:themeColor="text1"/>
                <w:sz w:val="20"/>
                <w:szCs w:val="20"/>
                <w:lang w:val="en-CA" w:eastAsia="en-CA"/>
              </w:rPr>
            </w:pPr>
            <w:r w:rsidRPr="00A420FD">
              <w:rPr>
                <w:color w:val="000000" w:themeColor="text1"/>
                <w:sz w:val="20"/>
                <w:szCs w:val="20"/>
              </w:rPr>
              <w:t>60,176,215</w:t>
            </w:r>
          </w:p>
        </w:tc>
        <w:tc>
          <w:tcPr>
            <w:tcW w:w="1095" w:type="pct"/>
            <w:tcBorders>
              <w:top w:val="nil"/>
              <w:left w:val="nil"/>
              <w:bottom w:val="single" w:sz="4" w:space="0" w:color="auto"/>
              <w:right w:val="single" w:sz="4" w:space="0" w:color="auto"/>
            </w:tcBorders>
            <w:shd w:val="clear" w:color="auto" w:fill="auto"/>
          </w:tcPr>
          <w:p w14:paraId="0F6E869B" w14:textId="30BE6EE4" w:rsidR="00EB0F45" w:rsidRPr="00A420FD" w:rsidRDefault="00EB0F45" w:rsidP="00FA688C">
            <w:pPr>
              <w:jc w:val="right"/>
              <w:rPr>
                <w:color w:val="000000" w:themeColor="text1"/>
                <w:sz w:val="20"/>
                <w:szCs w:val="20"/>
                <w:lang w:val="en-CA"/>
              </w:rPr>
            </w:pPr>
            <w:r w:rsidRPr="00A420FD">
              <w:rPr>
                <w:color w:val="000000" w:themeColor="text1"/>
                <w:sz w:val="20"/>
                <w:szCs w:val="20"/>
              </w:rPr>
              <w:t>16,571,264</w:t>
            </w:r>
          </w:p>
        </w:tc>
        <w:tc>
          <w:tcPr>
            <w:tcW w:w="1095" w:type="pct"/>
            <w:tcBorders>
              <w:top w:val="nil"/>
              <w:left w:val="nil"/>
              <w:bottom w:val="single" w:sz="4" w:space="0" w:color="auto"/>
              <w:right w:val="single" w:sz="4" w:space="0" w:color="auto"/>
            </w:tcBorders>
            <w:shd w:val="clear" w:color="auto" w:fill="auto"/>
            <w:vAlign w:val="center"/>
          </w:tcPr>
          <w:p w14:paraId="1E2EA2D4" w14:textId="4936B5D5" w:rsidR="00EB0F45" w:rsidRPr="00A420FD" w:rsidRDefault="00EB0F45" w:rsidP="00FA688C">
            <w:pPr>
              <w:jc w:val="right"/>
              <w:rPr>
                <w:color w:val="000000" w:themeColor="text1"/>
                <w:sz w:val="20"/>
                <w:szCs w:val="20"/>
                <w:lang w:val="en-CA"/>
              </w:rPr>
            </w:pPr>
            <w:r w:rsidRPr="00A420FD">
              <w:rPr>
                <w:color w:val="000000" w:themeColor="text1"/>
                <w:sz w:val="20"/>
                <w:szCs w:val="20"/>
              </w:rPr>
              <w:t>43,604,951</w:t>
            </w:r>
          </w:p>
        </w:tc>
      </w:tr>
      <w:tr w:rsidR="00FA688C" w:rsidRPr="00A420FD" w14:paraId="4D4B6D99" w14:textId="77777777" w:rsidTr="00A420FD">
        <w:tc>
          <w:tcPr>
            <w:tcW w:w="1714" w:type="pct"/>
            <w:tcBorders>
              <w:top w:val="nil"/>
              <w:left w:val="single" w:sz="4" w:space="0" w:color="auto"/>
              <w:bottom w:val="single" w:sz="4" w:space="0" w:color="auto"/>
              <w:right w:val="single" w:sz="4" w:space="0" w:color="auto"/>
            </w:tcBorders>
            <w:shd w:val="clear" w:color="auto" w:fill="auto"/>
            <w:vAlign w:val="center"/>
            <w:hideMark/>
          </w:tcPr>
          <w:p w14:paraId="1742246A" w14:textId="63ADD137" w:rsidR="00EB0F45" w:rsidRPr="00A420FD" w:rsidRDefault="00EB0F45" w:rsidP="00FA688C">
            <w:pPr>
              <w:rPr>
                <w:color w:val="000000" w:themeColor="text1"/>
                <w:sz w:val="20"/>
                <w:szCs w:val="20"/>
                <w:lang w:val="en-CA"/>
              </w:rPr>
            </w:pPr>
            <w:r w:rsidRPr="00A420FD">
              <w:rPr>
                <w:color w:val="000000" w:themeColor="text1"/>
                <w:sz w:val="20"/>
                <w:szCs w:val="20"/>
                <w:lang w:val="en-CA" w:eastAsia="en-CA"/>
              </w:rPr>
              <w:t>UNEP</w:t>
            </w:r>
          </w:p>
        </w:tc>
        <w:tc>
          <w:tcPr>
            <w:tcW w:w="1095" w:type="pct"/>
            <w:tcBorders>
              <w:top w:val="nil"/>
              <w:left w:val="nil"/>
              <w:bottom w:val="single" w:sz="4" w:space="0" w:color="auto"/>
              <w:right w:val="single" w:sz="4" w:space="0" w:color="auto"/>
            </w:tcBorders>
            <w:shd w:val="clear" w:color="auto" w:fill="auto"/>
          </w:tcPr>
          <w:p w14:paraId="5F7BC1A9" w14:textId="19535A79" w:rsidR="00EB0F45" w:rsidRPr="00A420FD" w:rsidRDefault="00EB0F45" w:rsidP="00FA688C">
            <w:pPr>
              <w:jc w:val="right"/>
              <w:rPr>
                <w:color w:val="000000" w:themeColor="text1"/>
                <w:sz w:val="20"/>
                <w:szCs w:val="20"/>
                <w:lang w:val="en-CA" w:eastAsia="en-CA"/>
              </w:rPr>
            </w:pPr>
            <w:r w:rsidRPr="00A420FD">
              <w:rPr>
                <w:color w:val="000000" w:themeColor="text1"/>
                <w:sz w:val="20"/>
                <w:szCs w:val="20"/>
              </w:rPr>
              <w:t>38,992,522</w:t>
            </w:r>
          </w:p>
        </w:tc>
        <w:tc>
          <w:tcPr>
            <w:tcW w:w="1095" w:type="pct"/>
            <w:tcBorders>
              <w:top w:val="nil"/>
              <w:left w:val="nil"/>
              <w:bottom w:val="single" w:sz="4" w:space="0" w:color="auto"/>
              <w:right w:val="single" w:sz="4" w:space="0" w:color="auto"/>
            </w:tcBorders>
            <w:shd w:val="clear" w:color="auto" w:fill="auto"/>
          </w:tcPr>
          <w:p w14:paraId="29C1515A" w14:textId="656A99D5" w:rsidR="00EB0F45" w:rsidRPr="00A420FD" w:rsidRDefault="00EB0F45" w:rsidP="00FA688C">
            <w:pPr>
              <w:jc w:val="right"/>
              <w:rPr>
                <w:color w:val="000000" w:themeColor="text1"/>
                <w:sz w:val="20"/>
                <w:szCs w:val="20"/>
                <w:lang w:val="en-CA"/>
              </w:rPr>
            </w:pPr>
            <w:r w:rsidRPr="00A420FD">
              <w:rPr>
                <w:color w:val="000000" w:themeColor="text1"/>
                <w:sz w:val="20"/>
                <w:szCs w:val="20"/>
              </w:rPr>
              <w:t>13,005,060</w:t>
            </w:r>
          </w:p>
        </w:tc>
        <w:tc>
          <w:tcPr>
            <w:tcW w:w="1095" w:type="pct"/>
            <w:tcBorders>
              <w:top w:val="nil"/>
              <w:left w:val="nil"/>
              <w:bottom w:val="single" w:sz="4" w:space="0" w:color="auto"/>
              <w:right w:val="single" w:sz="4" w:space="0" w:color="auto"/>
            </w:tcBorders>
            <w:shd w:val="clear" w:color="auto" w:fill="auto"/>
            <w:vAlign w:val="center"/>
          </w:tcPr>
          <w:p w14:paraId="785AC52E" w14:textId="0B6815CB" w:rsidR="00EB0F45" w:rsidRPr="00A420FD" w:rsidRDefault="00EB0F45" w:rsidP="00FA688C">
            <w:pPr>
              <w:jc w:val="right"/>
              <w:rPr>
                <w:color w:val="000000" w:themeColor="text1"/>
                <w:sz w:val="20"/>
                <w:szCs w:val="20"/>
                <w:lang w:val="en-CA"/>
              </w:rPr>
            </w:pPr>
            <w:r w:rsidRPr="00A420FD">
              <w:rPr>
                <w:color w:val="000000" w:themeColor="text1"/>
                <w:sz w:val="20"/>
                <w:szCs w:val="20"/>
              </w:rPr>
              <w:t>25,987,462</w:t>
            </w:r>
          </w:p>
        </w:tc>
      </w:tr>
      <w:tr w:rsidR="00FA688C" w:rsidRPr="00A420FD" w14:paraId="0187D3E6" w14:textId="77777777" w:rsidTr="00A420FD">
        <w:tc>
          <w:tcPr>
            <w:tcW w:w="1714" w:type="pct"/>
            <w:tcBorders>
              <w:top w:val="nil"/>
              <w:left w:val="single" w:sz="4" w:space="0" w:color="auto"/>
              <w:bottom w:val="single" w:sz="4" w:space="0" w:color="auto"/>
              <w:right w:val="single" w:sz="4" w:space="0" w:color="auto"/>
            </w:tcBorders>
            <w:shd w:val="clear" w:color="auto" w:fill="auto"/>
            <w:vAlign w:val="center"/>
            <w:hideMark/>
          </w:tcPr>
          <w:p w14:paraId="61B85208" w14:textId="77777777" w:rsidR="00EB0F45" w:rsidRPr="00A420FD" w:rsidRDefault="00EB0F45" w:rsidP="00FA688C">
            <w:pPr>
              <w:rPr>
                <w:color w:val="000000" w:themeColor="text1"/>
                <w:sz w:val="20"/>
                <w:szCs w:val="20"/>
                <w:lang w:val="en-CA"/>
              </w:rPr>
            </w:pPr>
            <w:r w:rsidRPr="00A420FD">
              <w:rPr>
                <w:color w:val="000000" w:themeColor="text1"/>
                <w:sz w:val="20"/>
                <w:szCs w:val="20"/>
                <w:lang w:val="en-CA" w:eastAsia="en-CA"/>
              </w:rPr>
              <w:t>UNIDO</w:t>
            </w:r>
          </w:p>
        </w:tc>
        <w:tc>
          <w:tcPr>
            <w:tcW w:w="1095" w:type="pct"/>
            <w:tcBorders>
              <w:top w:val="nil"/>
              <w:left w:val="nil"/>
              <w:bottom w:val="single" w:sz="4" w:space="0" w:color="auto"/>
              <w:right w:val="single" w:sz="4" w:space="0" w:color="auto"/>
            </w:tcBorders>
            <w:shd w:val="clear" w:color="auto" w:fill="auto"/>
          </w:tcPr>
          <w:p w14:paraId="772FF9BC" w14:textId="2DC28ACE" w:rsidR="00EB0F45" w:rsidRPr="00A420FD" w:rsidRDefault="00EB0F45" w:rsidP="00FA688C">
            <w:pPr>
              <w:jc w:val="right"/>
              <w:rPr>
                <w:color w:val="000000" w:themeColor="text1"/>
                <w:sz w:val="20"/>
                <w:szCs w:val="20"/>
                <w:lang w:val="en-CA" w:eastAsia="en-CA"/>
              </w:rPr>
            </w:pPr>
            <w:r w:rsidRPr="00A420FD">
              <w:rPr>
                <w:color w:val="000000" w:themeColor="text1"/>
                <w:sz w:val="20"/>
                <w:szCs w:val="20"/>
              </w:rPr>
              <w:t>71,612,541</w:t>
            </w:r>
          </w:p>
        </w:tc>
        <w:tc>
          <w:tcPr>
            <w:tcW w:w="1095" w:type="pct"/>
            <w:tcBorders>
              <w:top w:val="nil"/>
              <w:left w:val="nil"/>
              <w:bottom w:val="single" w:sz="4" w:space="0" w:color="auto"/>
              <w:right w:val="single" w:sz="4" w:space="0" w:color="auto"/>
            </w:tcBorders>
            <w:shd w:val="clear" w:color="auto" w:fill="auto"/>
          </w:tcPr>
          <w:p w14:paraId="068C92AB" w14:textId="1E5CD88E" w:rsidR="00EB0F45" w:rsidRPr="00A420FD" w:rsidRDefault="00EB0F45" w:rsidP="00FA688C">
            <w:pPr>
              <w:jc w:val="right"/>
              <w:rPr>
                <w:color w:val="000000" w:themeColor="text1"/>
                <w:sz w:val="20"/>
                <w:szCs w:val="20"/>
                <w:lang w:val="en-CA"/>
              </w:rPr>
            </w:pPr>
            <w:r w:rsidRPr="00A420FD">
              <w:rPr>
                <w:color w:val="000000" w:themeColor="text1"/>
                <w:sz w:val="20"/>
                <w:szCs w:val="20"/>
              </w:rPr>
              <w:t>31,429,225</w:t>
            </w:r>
          </w:p>
        </w:tc>
        <w:tc>
          <w:tcPr>
            <w:tcW w:w="1095" w:type="pct"/>
            <w:tcBorders>
              <w:top w:val="nil"/>
              <w:left w:val="nil"/>
              <w:bottom w:val="single" w:sz="4" w:space="0" w:color="auto"/>
              <w:right w:val="single" w:sz="4" w:space="0" w:color="auto"/>
            </w:tcBorders>
            <w:shd w:val="clear" w:color="auto" w:fill="auto"/>
            <w:vAlign w:val="center"/>
          </w:tcPr>
          <w:p w14:paraId="59E356DA" w14:textId="589010FF" w:rsidR="00EB0F45" w:rsidRPr="00A420FD" w:rsidRDefault="00EB0F45" w:rsidP="00FA688C">
            <w:pPr>
              <w:jc w:val="right"/>
              <w:rPr>
                <w:color w:val="000000" w:themeColor="text1"/>
                <w:sz w:val="20"/>
                <w:szCs w:val="20"/>
                <w:lang w:val="en-CA"/>
              </w:rPr>
            </w:pPr>
            <w:r w:rsidRPr="00A420FD">
              <w:rPr>
                <w:color w:val="000000" w:themeColor="text1"/>
                <w:sz w:val="20"/>
                <w:szCs w:val="20"/>
              </w:rPr>
              <w:t>40,183,316</w:t>
            </w:r>
          </w:p>
        </w:tc>
      </w:tr>
      <w:tr w:rsidR="00FA688C" w:rsidRPr="00A420FD" w14:paraId="5E5A378F" w14:textId="77777777" w:rsidTr="00A420FD">
        <w:tc>
          <w:tcPr>
            <w:tcW w:w="1714" w:type="pct"/>
            <w:tcBorders>
              <w:top w:val="nil"/>
              <w:left w:val="single" w:sz="4" w:space="0" w:color="auto"/>
              <w:bottom w:val="single" w:sz="4" w:space="0" w:color="auto"/>
              <w:right w:val="single" w:sz="4" w:space="0" w:color="auto"/>
            </w:tcBorders>
            <w:shd w:val="clear" w:color="auto" w:fill="auto"/>
            <w:vAlign w:val="center"/>
            <w:hideMark/>
          </w:tcPr>
          <w:p w14:paraId="52D8C4D8" w14:textId="77777777" w:rsidR="00EB0F45" w:rsidRPr="00A420FD" w:rsidRDefault="00EB0F45" w:rsidP="00FA688C">
            <w:pPr>
              <w:rPr>
                <w:color w:val="000000" w:themeColor="text1"/>
                <w:sz w:val="20"/>
                <w:szCs w:val="20"/>
                <w:lang w:val="en-CA"/>
              </w:rPr>
            </w:pPr>
            <w:r w:rsidRPr="00A420FD">
              <w:rPr>
                <w:color w:val="000000" w:themeColor="text1"/>
                <w:sz w:val="20"/>
                <w:szCs w:val="20"/>
                <w:lang w:val="en-CA" w:eastAsia="en-CA"/>
              </w:rPr>
              <w:t>World Bank</w:t>
            </w:r>
          </w:p>
        </w:tc>
        <w:tc>
          <w:tcPr>
            <w:tcW w:w="1095" w:type="pct"/>
            <w:tcBorders>
              <w:top w:val="nil"/>
              <w:left w:val="nil"/>
              <w:bottom w:val="single" w:sz="4" w:space="0" w:color="auto"/>
              <w:right w:val="single" w:sz="4" w:space="0" w:color="auto"/>
            </w:tcBorders>
            <w:shd w:val="clear" w:color="auto" w:fill="auto"/>
            <w:vAlign w:val="center"/>
          </w:tcPr>
          <w:p w14:paraId="61046557" w14:textId="1B53D92E" w:rsidR="00EB0F45" w:rsidRPr="00A420FD" w:rsidRDefault="00EB0F45" w:rsidP="00FA688C">
            <w:pPr>
              <w:jc w:val="right"/>
              <w:rPr>
                <w:color w:val="000000" w:themeColor="text1"/>
                <w:sz w:val="20"/>
                <w:szCs w:val="20"/>
                <w:lang w:val="en-CA" w:eastAsia="en-CA"/>
              </w:rPr>
            </w:pPr>
            <w:r w:rsidRPr="00A420FD">
              <w:rPr>
                <w:color w:val="000000" w:themeColor="text1"/>
                <w:sz w:val="20"/>
                <w:szCs w:val="20"/>
                <w:lang w:val="en-CA" w:eastAsia="en-CA"/>
              </w:rPr>
              <w:t>42,212,051</w:t>
            </w:r>
          </w:p>
        </w:tc>
        <w:tc>
          <w:tcPr>
            <w:tcW w:w="1095" w:type="pct"/>
            <w:tcBorders>
              <w:top w:val="nil"/>
              <w:left w:val="nil"/>
              <w:bottom w:val="single" w:sz="4" w:space="0" w:color="auto"/>
              <w:right w:val="single" w:sz="4" w:space="0" w:color="auto"/>
            </w:tcBorders>
            <w:shd w:val="clear" w:color="auto" w:fill="auto"/>
            <w:vAlign w:val="center"/>
          </w:tcPr>
          <w:p w14:paraId="00B09BDE" w14:textId="579B123A" w:rsidR="00EB0F45" w:rsidRPr="00A420FD" w:rsidRDefault="00EB0F45" w:rsidP="00FA688C">
            <w:pPr>
              <w:jc w:val="right"/>
              <w:rPr>
                <w:color w:val="000000" w:themeColor="text1"/>
                <w:sz w:val="20"/>
                <w:szCs w:val="20"/>
                <w:lang w:val="en-CA"/>
              </w:rPr>
            </w:pPr>
            <w:r w:rsidRPr="00A420FD">
              <w:rPr>
                <w:color w:val="000000" w:themeColor="text1"/>
                <w:sz w:val="20"/>
                <w:szCs w:val="20"/>
                <w:lang w:val="en-CA"/>
              </w:rPr>
              <w:t>30,220,695</w:t>
            </w:r>
          </w:p>
        </w:tc>
        <w:tc>
          <w:tcPr>
            <w:tcW w:w="1095" w:type="pct"/>
            <w:tcBorders>
              <w:top w:val="nil"/>
              <w:left w:val="nil"/>
              <w:bottom w:val="single" w:sz="4" w:space="0" w:color="auto"/>
              <w:right w:val="single" w:sz="4" w:space="0" w:color="auto"/>
            </w:tcBorders>
            <w:shd w:val="clear" w:color="auto" w:fill="auto"/>
            <w:vAlign w:val="center"/>
          </w:tcPr>
          <w:p w14:paraId="12583E49" w14:textId="690C168E" w:rsidR="00EB0F45" w:rsidRPr="00A420FD" w:rsidRDefault="00EB0F45" w:rsidP="00FA688C">
            <w:pPr>
              <w:jc w:val="right"/>
              <w:rPr>
                <w:color w:val="000000" w:themeColor="text1"/>
                <w:sz w:val="20"/>
                <w:szCs w:val="20"/>
                <w:lang w:val="en-CA"/>
              </w:rPr>
            </w:pPr>
            <w:r w:rsidRPr="00A420FD">
              <w:rPr>
                <w:color w:val="000000" w:themeColor="text1"/>
                <w:sz w:val="20"/>
                <w:szCs w:val="20"/>
              </w:rPr>
              <w:t>11,991,356</w:t>
            </w:r>
          </w:p>
        </w:tc>
      </w:tr>
      <w:tr w:rsidR="00FA688C" w:rsidRPr="00A420FD" w14:paraId="2362B364" w14:textId="77777777" w:rsidTr="00A420FD">
        <w:tc>
          <w:tcPr>
            <w:tcW w:w="1714" w:type="pct"/>
            <w:tcBorders>
              <w:top w:val="nil"/>
              <w:left w:val="single" w:sz="4" w:space="0" w:color="auto"/>
              <w:bottom w:val="single" w:sz="4" w:space="0" w:color="auto"/>
              <w:right w:val="single" w:sz="4" w:space="0" w:color="auto"/>
            </w:tcBorders>
            <w:shd w:val="clear" w:color="auto" w:fill="auto"/>
            <w:vAlign w:val="center"/>
            <w:hideMark/>
          </w:tcPr>
          <w:p w14:paraId="46124167" w14:textId="77777777" w:rsidR="00EB0F45" w:rsidRPr="00A420FD" w:rsidRDefault="00EB0F45" w:rsidP="00FA688C">
            <w:pPr>
              <w:rPr>
                <w:color w:val="000000" w:themeColor="text1"/>
                <w:sz w:val="20"/>
                <w:szCs w:val="20"/>
                <w:lang w:val="en-CA"/>
              </w:rPr>
            </w:pPr>
            <w:r w:rsidRPr="00A420FD">
              <w:rPr>
                <w:color w:val="000000" w:themeColor="text1"/>
                <w:sz w:val="20"/>
                <w:szCs w:val="20"/>
                <w:lang w:val="en-CA" w:eastAsia="en-CA"/>
              </w:rPr>
              <w:t>HPMP verification reports</w:t>
            </w:r>
          </w:p>
        </w:tc>
        <w:tc>
          <w:tcPr>
            <w:tcW w:w="1095" w:type="pct"/>
            <w:tcBorders>
              <w:top w:val="nil"/>
              <w:left w:val="nil"/>
              <w:bottom w:val="single" w:sz="4" w:space="0" w:color="auto"/>
              <w:right w:val="single" w:sz="4" w:space="0" w:color="auto"/>
            </w:tcBorders>
            <w:shd w:val="clear" w:color="auto" w:fill="auto"/>
            <w:vAlign w:val="center"/>
          </w:tcPr>
          <w:p w14:paraId="4563E37C" w14:textId="7ABF731A" w:rsidR="00EB0F45" w:rsidRPr="00A420FD" w:rsidRDefault="00EB0F45" w:rsidP="00FA688C">
            <w:pPr>
              <w:jc w:val="right"/>
              <w:rPr>
                <w:color w:val="000000" w:themeColor="text1"/>
                <w:sz w:val="20"/>
                <w:szCs w:val="20"/>
                <w:lang w:val="en-CA" w:eastAsia="en-CA"/>
              </w:rPr>
            </w:pPr>
            <w:r w:rsidRPr="00A420FD">
              <w:rPr>
                <w:color w:val="000000" w:themeColor="text1"/>
                <w:sz w:val="20"/>
                <w:szCs w:val="20"/>
                <w:lang w:val="en-CA" w:eastAsia="en-CA"/>
              </w:rPr>
              <w:t>588,600</w:t>
            </w:r>
          </w:p>
        </w:tc>
        <w:tc>
          <w:tcPr>
            <w:tcW w:w="1095" w:type="pct"/>
            <w:tcBorders>
              <w:top w:val="nil"/>
              <w:left w:val="nil"/>
              <w:bottom w:val="single" w:sz="4" w:space="0" w:color="auto"/>
              <w:right w:val="single" w:sz="4" w:space="0" w:color="auto"/>
            </w:tcBorders>
            <w:shd w:val="clear" w:color="auto" w:fill="auto"/>
            <w:vAlign w:val="center"/>
          </w:tcPr>
          <w:p w14:paraId="241AE86F" w14:textId="00DB3EEB" w:rsidR="00EB0F45" w:rsidRPr="00A420FD" w:rsidRDefault="00EB0F45" w:rsidP="00FA688C">
            <w:pPr>
              <w:jc w:val="right"/>
              <w:rPr>
                <w:color w:val="000000" w:themeColor="text1"/>
                <w:sz w:val="20"/>
                <w:szCs w:val="20"/>
                <w:lang w:val="en-CA"/>
              </w:rPr>
            </w:pPr>
          </w:p>
        </w:tc>
        <w:tc>
          <w:tcPr>
            <w:tcW w:w="1095" w:type="pct"/>
            <w:tcBorders>
              <w:top w:val="nil"/>
              <w:left w:val="nil"/>
              <w:bottom w:val="single" w:sz="4" w:space="0" w:color="auto"/>
              <w:right w:val="single" w:sz="4" w:space="0" w:color="auto"/>
            </w:tcBorders>
            <w:shd w:val="clear" w:color="auto" w:fill="auto"/>
            <w:vAlign w:val="center"/>
          </w:tcPr>
          <w:p w14:paraId="3753C2BE" w14:textId="0FCA34B5" w:rsidR="00EB0F45" w:rsidRPr="00A420FD" w:rsidRDefault="00EB0F45" w:rsidP="00FA688C">
            <w:pPr>
              <w:jc w:val="right"/>
              <w:rPr>
                <w:color w:val="000000" w:themeColor="text1"/>
                <w:sz w:val="20"/>
                <w:szCs w:val="20"/>
                <w:lang w:val="en-CA"/>
              </w:rPr>
            </w:pPr>
            <w:r w:rsidRPr="00A420FD">
              <w:rPr>
                <w:color w:val="000000" w:themeColor="text1"/>
                <w:sz w:val="20"/>
                <w:szCs w:val="20"/>
              </w:rPr>
              <w:t>588,600</w:t>
            </w:r>
          </w:p>
        </w:tc>
      </w:tr>
      <w:tr w:rsidR="00FA688C" w:rsidRPr="00A420FD" w14:paraId="61AB0D69" w14:textId="77777777" w:rsidTr="00A420FD">
        <w:tc>
          <w:tcPr>
            <w:tcW w:w="1714" w:type="pct"/>
            <w:tcBorders>
              <w:top w:val="nil"/>
              <w:left w:val="single" w:sz="4" w:space="0" w:color="auto"/>
              <w:bottom w:val="single" w:sz="4" w:space="0" w:color="auto"/>
              <w:right w:val="single" w:sz="4" w:space="0" w:color="auto"/>
            </w:tcBorders>
            <w:shd w:val="clear" w:color="auto" w:fill="auto"/>
            <w:vAlign w:val="center"/>
            <w:hideMark/>
          </w:tcPr>
          <w:p w14:paraId="1C88B7EE" w14:textId="77777777" w:rsidR="00EB0F45" w:rsidRPr="00A420FD" w:rsidRDefault="00EB0F45" w:rsidP="00FA688C">
            <w:pPr>
              <w:rPr>
                <w:b/>
                <w:bCs/>
                <w:color w:val="000000" w:themeColor="text1"/>
                <w:sz w:val="20"/>
                <w:szCs w:val="20"/>
                <w:lang w:val="en-CA"/>
              </w:rPr>
            </w:pPr>
            <w:r w:rsidRPr="00A420FD">
              <w:rPr>
                <w:b/>
                <w:bCs/>
                <w:color w:val="000000" w:themeColor="text1"/>
                <w:sz w:val="20"/>
                <w:szCs w:val="20"/>
                <w:lang w:val="en-CA" w:eastAsia="en-CA"/>
              </w:rPr>
              <w:t>Sub-total (agencies)</w:t>
            </w:r>
          </w:p>
        </w:tc>
        <w:tc>
          <w:tcPr>
            <w:tcW w:w="1095" w:type="pct"/>
            <w:tcBorders>
              <w:top w:val="nil"/>
              <w:left w:val="nil"/>
              <w:bottom w:val="single" w:sz="4" w:space="0" w:color="auto"/>
              <w:right w:val="single" w:sz="4" w:space="0" w:color="auto"/>
            </w:tcBorders>
            <w:shd w:val="clear" w:color="auto" w:fill="auto"/>
            <w:vAlign w:val="center"/>
          </w:tcPr>
          <w:p w14:paraId="4404EC91" w14:textId="1DAFB1E5" w:rsidR="00EB0F45" w:rsidRPr="00A420FD" w:rsidRDefault="00EB0F45" w:rsidP="00FA688C">
            <w:pPr>
              <w:jc w:val="right"/>
              <w:rPr>
                <w:b/>
                <w:bCs/>
                <w:color w:val="000000" w:themeColor="text1"/>
                <w:sz w:val="20"/>
                <w:szCs w:val="20"/>
                <w:lang w:val="en-CA"/>
              </w:rPr>
            </w:pPr>
            <w:r w:rsidRPr="00A420FD">
              <w:rPr>
                <w:b/>
                <w:bCs/>
                <w:color w:val="000000" w:themeColor="text1"/>
                <w:sz w:val="20"/>
                <w:szCs w:val="20"/>
                <w:lang w:val="en-CA"/>
              </w:rPr>
              <w:t>223,017,065</w:t>
            </w:r>
          </w:p>
        </w:tc>
        <w:tc>
          <w:tcPr>
            <w:tcW w:w="1095" w:type="pct"/>
            <w:tcBorders>
              <w:top w:val="nil"/>
              <w:left w:val="nil"/>
              <w:bottom w:val="single" w:sz="4" w:space="0" w:color="auto"/>
              <w:right w:val="single" w:sz="4" w:space="0" w:color="auto"/>
            </w:tcBorders>
            <w:shd w:val="clear" w:color="auto" w:fill="auto"/>
            <w:vAlign w:val="center"/>
          </w:tcPr>
          <w:p w14:paraId="0BF45EFB" w14:textId="6E5BAF9B" w:rsidR="00EB0F45" w:rsidRPr="00A420FD" w:rsidRDefault="00EB0F45" w:rsidP="00FA688C">
            <w:pPr>
              <w:jc w:val="right"/>
              <w:rPr>
                <w:b/>
                <w:bCs/>
                <w:color w:val="000000" w:themeColor="text1"/>
                <w:sz w:val="20"/>
                <w:szCs w:val="20"/>
                <w:lang w:val="en-CA"/>
              </w:rPr>
            </w:pPr>
            <w:r w:rsidRPr="00A420FD">
              <w:rPr>
                <w:b/>
                <w:bCs/>
                <w:color w:val="000000" w:themeColor="text1"/>
                <w:sz w:val="20"/>
                <w:szCs w:val="20"/>
                <w:lang w:val="en-CA"/>
              </w:rPr>
              <w:t>94,120,556</w:t>
            </w:r>
          </w:p>
        </w:tc>
        <w:tc>
          <w:tcPr>
            <w:tcW w:w="1095" w:type="pct"/>
            <w:tcBorders>
              <w:top w:val="nil"/>
              <w:left w:val="nil"/>
              <w:bottom w:val="single" w:sz="4" w:space="0" w:color="auto"/>
              <w:right w:val="single" w:sz="4" w:space="0" w:color="auto"/>
            </w:tcBorders>
            <w:shd w:val="clear" w:color="auto" w:fill="auto"/>
            <w:vAlign w:val="center"/>
          </w:tcPr>
          <w:p w14:paraId="38EC70AA" w14:textId="5E2B2B67" w:rsidR="00EB0F45" w:rsidRPr="00A420FD" w:rsidRDefault="00EB0F45" w:rsidP="00FA688C">
            <w:pPr>
              <w:jc w:val="right"/>
              <w:rPr>
                <w:b/>
                <w:bCs/>
                <w:color w:val="000000" w:themeColor="text1"/>
                <w:sz w:val="20"/>
                <w:szCs w:val="20"/>
                <w:lang w:val="en-CA"/>
              </w:rPr>
            </w:pPr>
            <w:r w:rsidRPr="00A420FD">
              <w:rPr>
                <w:b/>
                <w:color w:val="000000" w:themeColor="text1"/>
                <w:sz w:val="20"/>
                <w:szCs w:val="20"/>
              </w:rPr>
              <w:t>128,896,509</w:t>
            </w:r>
          </w:p>
        </w:tc>
      </w:tr>
      <w:tr w:rsidR="00FA688C" w:rsidRPr="00A420FD" w14:paraId="59992CE2" w14:textId="77777777" w:rsidTr="00A420FD">
        <w:tc>
          <w:tcPr>
            <w:tcW w:w="1714" w:type="pct"/>
            <w:tcBorders>
              <w:top w:val="nil"/>
              <w:left w:val="single" w:sz="4" w:space="0" w:color="auto"/>
              <w:bottom w:val="single" w:sz="4" w:space="0" w:color="auto"/>
              <w:right w:val="single" w:sz="4" w:space="0" w:color="auto"/>
            </w:tcBorders>
            <w:shd w:val="clear" w:color="auto" w:fill="auto"/>
            <w:vAlign w:val="center"/>
            <w:hideMark/>
          </w:tcPr>
          <w:p w14:paraId="7A2E654F" w14:textId="77777777" w:rsidR="00EB0F45" w:rsidRPr="00A420FD" w:rsidRDefault="00EB0F45" w:rsidP="00FA688C">
            <w:pPr>
              <w:keepNext/>
              <w:ind w:right="-108"/>
              <w:jc w:val="left"/>
              <w:rPr>
                <w:color w:val="000000" w:themeColor="text1"/>
                <w:sz w:val="20"/>
                <w:szCs w:val="20"/>
                <w:lang w:val="en-CA" w:eastAsia="en-CA"/>
              </w:rPr>
            </w:pPr>
            <w:r w:rsidRPr="00A420FD">
              <w:rPr>
                <w:color w:val="000000" w:themeColor="text1"/>
                <w:sz w:val="20"/>
                <w:szCs w:val="20"/>
                <w:lang w:val="en-CA" w:eastAsia="en-CA"/>
              </w:rPr>
              <w:t>Secretariat/Executive Committee/</w:t>
            </w:r>
          </w:p>
          <w:p w14:paraId="60F184AE" w14:textId="77777777" w:rsidR="00EB0F45" w:rsidRPr="00A420FD" w:rsidRDefault="00EB0F45" w:rsidP="00FA688C">
            <w:pPr>
              <w:keepNext/>
              <w:ind w:right="-108"/>
              <w:jc w:val="left"/>
              <w:rPr>
                <w:color w:val="000000" w:themeColor="text1"/>
                <w:sz w:val="20"/>
                <w:szCs w:val="20"/>
                <w:lang w:val="en-CA" w:eastAsia="en-CA"/>
              </w:rPr>
            </w:pPr>
            <w:r w:rsidRPr="00A420FD">
              <w:rPr>
                <w:color w:val="000000" w:themeColor="text1"/>
                <w:sz w:val="20"/>
                <w:szCs w:val="20"/>
                <w:lang w:val="en-CA" w:eastAsia="en-CA"/>
              </w:rPr>
              <w:t xml:space="preserve">Monitoring and Evaluation costs </w:t>
            </w:r>
          </w:p>
          <w:p w14:paraId="2C7BE027" w14:textId="77777777" w:rsidR="00EB0F45" w:rsidRPr="00A420FD" w:rsidRDefault="00EB0F45" w:rsidP="00FA688C">
            <w:pPr>
              <w:keepNext/>
              <w:ind w:right="-108"/>
              <w:jc w:val="left"/>
              <w:rPr>
                <w:color w:val="000000" w:themeColor="text1"/>
                <w:sz w:val="20"/>
                <w:szCs w:val="20"/>
                <w:lang w:val="en-CA"/>
              </w:rPr>
            </w:pPr>
            <w:r w:rsidRPr="00A420FD">
              <w:rPr>
                <w:color w:val="000000" w:themeColor="text1"/>
                <w:sz w:val="20"/>
                <w:szCs w:val="20"/>
                <w:lang w:val="en-CA" w:eastAsia="en-CA"/>
              </w:rPr>
              <w:t>(excluding Canadian counterpart)</w:t>
            </w:r>
          </w:p>
        </w:tc>
        <w:tc>
          <w:tcPr>
            <w:tcW w:w="1095" w:type="pct"/>
            <w:tcBorders>
              <w:top w:val="nil"/>
              <w:left w:val="nil"/>
              <w:bottom w:val="single" w:sz="4" w:space="0" w:color="auto"/>
              <w:right w:val="single" w:sz="4" w:space="0" w:color="auto"/>
            </w:tcBorders>
            <w:shd w:val="clear" w:color="auto" w:fill="auto"/>
          </w:tcPr>
          <w:p w14:paraId="275302F3" w14:textId="784864FF" w:rsidR="00EB0F45" w:rsidRPr="00A420FD" w:rsidRDefault="00EB0F45" w:rsidP="00FA688C">
            <w:pPr>
              <w:jc w:val="right"/>
              <w:rPr>
                <w:color w:val="000000" w:themeColor="text1"/>
                <w:sz w:val="20"/>
                <w:szCs w:val="20"/>
                <w:lang w:val="en-CA" w:eastAsia="en-CA"/>
              </w:rPr>
            </w:pPr>
            <w:r w:rsidRPr="00A420FD">
              <w:rPr>
                <w:color w:val="000000" w:themeColor="text1"/>
                <w:sz w:val="20"/>
                <w:szCs w:val="20"/>
              </w:rPr>
              <w:t>6,648,670</w:t>
            </w:r>
          </w:p>
        </w:tc>
        <w:tc>
          <w:tcPr>
            <w:tcW w:w="1095" w:type="pct"/>
            <w:tcBorders>
              <w:top w:val="nil"/>
              <w:left w:val="nil"/>
              <w:bottom w:val="single" w:sz="4" w:space="0" w:color="auto"/>
              <w:right w:val="single" w:sz="4" w:space="0" w:color="auto"/>
            </w:tcBorders>
            <w:shd w:val="clear" w:color="auto" w:fill="auto"/>
          </w:tcPr>
          <w:p w14:paraId="36A4E265" w14:textId="77777777" w:rsidR="00EB0F45" w:rsidRPr="00A420FD" w:rsidRDefault="00EB0F45" w:rsidP="00FA688C">
            <w:pPr>
              <w:keepNext/>
              <w:jc w:val="right"/>
              <w:rPr>
                <w:color w:val="000000" w:themeColor="text1"/>
                <w:sz w:val="20"/>
                <w:szCs w:val="20"/>
                <w:lang w:val="en-CA"/>
              </w:rPr>
            </w:pPr>
          </w:p>
        </w:tc>
        <w:tc>
          <w:tcPr>
            <w:tcW w:w="1095" w:type="pct"/>
            <w:tcBorders>
              <w:top w:val="nil"/>
              <w:left w:val="nil"/>
              <w:bottom w:val="single" w:sz="4" w:space="0" w:color="auto"/>
              <w:right w:val="single" w:sz="4" w:space="0" w:color="auto"/>
            </w:tcBorders>
            <w:shd w:val="clear" w:color="auto" w:fill="auto"/>
          </w:tcPr>
          <w:p w14:paraId="6E8E066B" w14:textId="0CE3591A" w:rsidR="00EB0F45" w:rsidRPr="00A420FD" w:rsidRDefault="00EB0F45" w:rsidP="00FA688C">
            <w:pPr>
              <w:jc w:val="right"/>
              <w:rPr>
                <w:color w:val="000000" w:themeColor="text1"/>
                <w:sz w:val="20"/>
                <w:szCs w:val="20"/>
                <w:lang w:val="en-CA" w:eastAsia="en-CA"/>
              </w:rPr>
            </w:pPr>
            <w:r w:rsidRPr="00A420FD">
              <w:rPr>
                <w:color w:val="000000" w:themeColor="text1"/>
                <w:sz w:val="20"/>
                <w:szCs w:val="20"/>
              </w:rPr>
              <w:t>6,648,670</w:t>
            </w:r>
          </w:p>
        </w:tc>
      </w:tr>
      <w:tr w:rsidR="00FA688C" w:rsidRPr="00A420FD" w14:paraId="26DD31B0" w14:textId="77777777" w:rsidTr="00A420FD">
        <w:tc>
          <w:tcPr>
            <w:tcW w:w="1714" w:type="pct"/>
            <w:tcBorders>
              <w:top w:val="nil"/>
              <w:left w:val="single" w:sz="4" w:space="0" w:color="auto"/>
              <w:bottom w:val="single" w:sz="4" w:space="0" w:color="auto"/>
              <w:right w:val="single" w:sz="4" w:space="0" w:color="auto"/>
            </w:tcBorders>
            <w:shd w:val="clear" w:color="auto" w:fill="auto"/>
            <w:vAlign w:val="center"/>
            <w:hideMark/>
          </w:tcPr>
          <w:p w14:paraId="645BB73C" w14:textId="77777777" w:rsidR="00EB0F45" w:rsidRPr="00A420FD" w:rsidRDefault="00EB0F45" w:rsidP="00FA688C">
            <w:pPr>
              <w:keepNext/>
              <w:rPr>
                <w:color w:val="000000" w:themeColor="text1"/>
                <w:sz w:val="20"/>
                <w:szCs w:val="20"/>
                <w:lang w:val="en-CA"/>
              </w:rPr>
            </w:pPr>
            <w:r w:rsidRPr="00A420FD">
              <w:rPr>
                <w:color w:val="000000" w:themeColor="text1"/>
                <w:sz w:val="20"/>
                <w:szCs w:val="20"/>
                <w:lang w:val="en-CA" w:eastAsia="en-CA"/>
              </w:rPr>
              <w:t>Treasurer</w:t>
            </w:r>
          </w:p>
        </w:tc>
        <w:tc>
          <w:tcPr>
            <w:tcW w:w="1095" w:type="pct"/>
            <w:tcBorders>
              <w:top w:val="nil"/>
              <w:left w:val="nil"/>
              <w:bottom w:val="single" w:sz="4" w:space="0" w:color="auto"/>
              <w:right w:val="single" w:sz="4" w:space="0" w:color="auto"/>
            </w:tcBorders>
            <w:shd w:val="clear" w:color="auto" w:fill="auto"/>
          </w:tcPr>
          <w:p w14:paraId="2D917089" w14:textId="1373A2EE" w:rsidR="00EB0F45" w:rsidRPr="00A420FD" w:rsidRDefault="00EB0F45" w:rsidP="00FA688C">
            <w:pPr>
              <w:jc w:val="right"/>
              <w:rPr>
                <w:color w:val="000000" w:themeColor="text1"/>
                <w:sz w:val="20"/>
                <w:szCs w:val="20"/>
                <w:lang w:val="en-CA" w:eastAsia="en-CA"/>
              </w:rPr>
            </w:pPr>
            <w:r w:rsidRPr="00A420FD">
              <w:rPr>
                <w:color w:val="000000" w:themeColor="text1"/>
                <w:sz w:val="20"/>
                <w:szCs w:val="20"/>
              </w:rPr>
              <w:t>500,000</w:t>
            </w:r>
          </w:p>
        </w:tc>
        <w:tc>
          <w:tcPr>
            <w:tcW w:w="1095" w:type="pct"/>
            <w:tcBorders>
              <w:top w:val="nil"/>
              <w:left w:val="nil"/>
              <w:bottom w:val="single" w:sz="4" w:space="0" w:color="auto"/>
              <w:right w:val="single" w:sz="4" w:space="0" w:color="auto"/>
            </w:tcBorders>
            <w:shd w:val="clear" w:color="auto" w:fill="auto"/>
            <w:vAlign w:val="center"/>
          </w:tcPr>
          <w:p w14:paraId="3F96F549" w14:textId="77777777" w:rsidR="00EB0F45" w:rsidRPr="00A420FD" w:rsidRDefault="00EB0F45" w:rsidP="00FA688C">
            <w:pPr>
              <w:keepNext/>
              <w:jc w:val="right"/>
              <w:rPr>
                <w:color w:val="000000" w:themeColor="text1"/>
                <w:sz w:val="20"/>
                <w:szCs w:val="20"/>
                <w:lang w:val="en-CA"/>
              </w:rPr>
            </w:pPr>
          </w:p>
        </w:tc>
        <w:tc>
          <w:tcPr>
            <w:tcW w:w="1095" w:type="pct"/>
            <w:tcBorders>
              <w:top w:val="nil"/>
              <w:left w:val="nil"/>
              <w:bottom w:val="single" w:sz="4" w:space="0" w:color="auto"/>
              <w:right w:val="single" w:sz="4" w:space="0" w:color="auto"/>
            </w:tcBorders>
            <w:shd w:val="clear" w:color="auto" w:fill="auto"/>
          </w:tcPr>
          <w:p w14:paraId="1D4CD03B" w14:textId="43B2B747" w:rsidR="00EB0F45" w:rsidRPr="00A420FD" w:rsidRDefault="00EB0F45" w:rsidP="00FA688C">
            <w:pPr>
              <w:jc w:val="right"/>
              <w:rPr>
                <w:color w:val="000000" w:themeColor="text1"/>
                <w:sz w:val="20"/>
                <w:szCs w:val="20"/>
                <w:lang w:val="en-CA" w:eastAsia="en-CA"/>
              </w:rPr>
            </w:pPr>
            <w:r w:rsidRPr="00A420FD">
              <w:rPr>
                <w:color w:val="000000" w:themeColor="text1"/>
                <w:sz w:val="20"/>
                <w:szCs w:val="20"/>
              </w:rPr>
              <w:t>500,000</w:t>
            </w:r>
          </w:p>
        </w:tc>
      </w:tr>
      <w:tr w:rsidR="00FA688C" w:rsidRPr="00A420FD" w14:paraId="249E6E46" w14:textId="77777777" w:rsidTr="00A420FD">
        <w:tc>
          <w:tcPr>
            <w:tcW w:w="1714" w:type="pct"/>
            <w:tcBorders>
              <w:top w:val="nil"/>
              <w:left w:val="single" w:sz="4" w:space="0" w:color="auto"/>
              <w:bottom w:val="single" w:sz="4" w:space="0" w:color="auto"/>
              <w:right w:val="single" w:sz="4" w:space="0" w:color="auto"/>
            </w:tcBorders>
            <w:shd w:val="clear" w:color="auto" w:fill="auto"/>
            <w:vAlign w:val="center"/>
            <w:hideMark/>
          </w:tcPr>
          <w:p w14:paraId="0EC80701" w14:textId="77777777" w:rsidR="00EB0F45" w:rsidRPr="00A420FD" w:rsidRDefault="00EB0F45" w:rsidP="00FA688C">
            <w:pPr>
              <w:rPr>
                <w:b/>
                <w:bCs/>
                <w:color w:val="000000" w:themeColor="text1"/>
                <w:sz w:val="20"/>
                <w:szCs w:val="20"/>
                <w:lang w:val="en-CA"/>
              </w:rPr>
            </w:pPr>
            <w:r w:rsidRPr="00A420FD">
              <w:rPr>
                <w:b/>
                <w:bCs/>
                <w:color w:val="000000" w:themeColor="text1"/>
                <w:sz w:val="20"/>
                <w:szCs w:val="20"/>
                <w:lang w:val="en-CA" w:eastAsia="en-CA"/>
              </w:rPr>
              <w:t>Sub-total (standard costs)</w:t>
            </w:r>
          </w:p>
        </w:tc>
        <w:tc>
          <w:tcPr>
            <w:tcW w:w="1095" w:type="pct"/>
            <w:tcBorders>
              <w:top w:val="nil"/>
              <w:left w:val="nil"/>
              <w:bottom w:val="single" w:sz="4" w:space="0" w:color="auto"/>
              <w:right w:val="single" w:sz="4" w:space="0" w:color="auto"/>
            </w:tcBorders>
            <w:shd w:val="clear" w:color="auto" w:fill="auto"/>
            <w:vAlign w:val="center"/>
          </w:tcPr>
          <w:p w14:paraId="2AC17194" w14:textId="2D33D581" w:rsidR="00EB0F45" w:rsidRPr="00A420FD" w:rsidRDefault="00EB0F45" w:rsidP="00FA688C">
            <w:pPr>
              <w:jc w:val="right"/>
              <w:rPr>
                <w:b/>
                <w:bCs/>
                <w:color w:val="000000" w:themeColor="text1"/>
                <w:sz w:val="20"/>
                <w:szCs w:val="20"/>
                <w:lang w:val="en-CA"/>
              </w:rPr>
            </w:pPr>
            <w:r w:rsidRPr="00A420FD">
              <w:rPr>
                <w:b/>
                <w:bCs/>
                <w:color w:val="000000" w:themeColor="text1"/>
                <w:sz w:val="20"/>
                <w:szCs w:val="20"/>
                <w:lang w:val="en-CA"/>
              </w:rPr>
              <w:t>7,148,670</w:t>
            </w:r>
          </w:p>
        </w:tc>
        <w:tc>
          <w:tcPr>
            <w:tcW w:w="1095" w:type="pct"/>
            <w:tcBorders>
              <w:top w:val="nil"/>
              <w:left w:val="nil"/>
              <w:bottom w:val="single" w:sz="4" w:space="0" w:color="auto"/>
              <w:right w:val="single" w:sz="4" w:space="0" w:color="auto"/>
            </w:tcBorders>
            <w:shd w:val="clear" w:color="auto" w:fill="auto"/>
            <w:vAlign w:val="center"/>
          </w:tcPr>
          <w:p w14:paraId="5A2F07CA" w14:textId="77777777" w:rsidR="00EB0F45" w:rsidRPr="00A420FD" w:rsidRDefault="00EB0F45" w:rsidP="00FA688C">
            <w:pPr>
              <w:jc w:val="right"/>
              <w:rPr>
                <w:b/>
                <w:bCs/>
                <w:color w:val="000000" w:themeColor="text1"/>
                <w:sz w:val="20"/>
                <w:szCs w:val="20"/>
                <w:lang w:val="en-CA"/>
              </w:rPr>
            </w:pPr>
            <w:r w:rsidRPr="00A420FD">
              <w:rPr>
                <w:b/>
                <w:bCs/>
                <w:color w:val="000000" w:themeColor="text1"/>
                <w:sz w:val="20"/>
                <w:szCs w:val="20"/>
                <w:lang w:val="en-CA"/>
              </w:rPr>
              <w:t>0</w:t>
            </w:r>
          </w:p>
        </w:tc>
        <w:tc>
          <w:tcPr>
            <w:tcW w:w="1095" w:type="pct"/>
            <w:tcBorders>
              <w:top w:val="nil"/>
              <w:left w:val="nil"/>
              <w:bottom w:val="single" w:sz="4" w:space="0" w:color="auto"/>
              <w:right w:val="single" w:sz="4" w:space="0" w:color="auto"/>
            </w:tcBorders>
            <w:shd w:val="clear" w:color="auto" w:fill="auto"/>
            <w:vAlign w:val="center"/>
          </w:tcPr>
          <w:p w14:paraId="594AC618" w14:textId="129F39E5" w:rsidR="00EB0F45" w:rsidRPr="00A420FD" w:rsidRDefault="00EB0F45" w:rsidP="00FA688C">
            <w:pPr>
              <w:jc w:val="right"/>
              <w:rPr>
                <w:b/>
                <w:bCs/>
                <w:color w:val="000000" w:themeColor="text1"/>
                <w:sz w:val="20"/>
                <w:szCs w:val="20"/>
                <w:lang w:val="en-CA"/>
              </w:rPr>
            </w:pPr>
            <w:r w:rsidRPr="00A420FD">
              <w:rPr>
                <w:b/>
                <w:bCs/>
                <w:color w:val="000000" w:themeColor="text1"/>
                <w:sz w:val="20"/>
                <w:szCs w:val="20"/>
                <w:lang w:val="en-CA"/>
              </w:rPr>
              <w:t>7,148,670</w:t>
            </w:r>
          </w:p>
        </w:tc>
      </w:tr>
      <w:tr w:rsidR="00FA688C" w:rsidRPr="00A420FD" w14:paraId="4430316C" w14:textId="77777777" w:rsidTr="00A420FD">
        <w:tc>
          <w:tcPr>
            <w:tcW w:w="1714" w:type="pct"/>
            <w:tcBorders>
              <w:top w:val="nil"/>
              <w:left w:val="single" w:sz="4" w:space="0" w:color="auto"/>
              <w:bottom w:val="single" w:sz="4" w:space="0" w:color="auto"/>
              <w:right w:val="single" w:sz="4" w:space="0" w:color="auto"/>
            </w:tcBorders>
            <w:shd w:val="clear" w:color="auto" w:fill="auto"/>
            <w:vAlign w:val="center"/>
            <w:hideMark/>
          </w:tcPr>
          <w:p w14:paraId="6CF927F4" w14:textId="77777777" w:rsidR="00A3176E" w:rsidRPr="00A420FD" w:rsidRDefault="00A3176E" w:rsidP="00FA688C">
            <w:pPr>
              <w:rPr>
                <w:b/>
                <w:bCs/>
                <w:color w:val="000000" w:themeColor="text1"/>
                <w:sz w:val="20"/>
                <w:szCs w:val="20"/>
                <w:lang w:val="en-CA"/>
              </w:rPr>
            </w:pPr>
            <w:r w:rsidRPr="00A420FD">
              <w:rPr>
                <w:b/>
                <w:bCs/>
                <w:color w:val="000000" w:themeColor="text1"/>
                <w:sz w:val="20"/>
                <w:szCs w:val="20"/>
                <w:lang w:val="en-CA" w:eastAsia="en-CA"/>
              </w:rPr>
              <w:t>Total</w:t>
            </w:r>
          </w:p>
        </w:tc>
        <w:tc>
          <w:tcPr>
            <w:tcW w:w="1095" w:type="pct"/>
            <w:tcBorders>
              <w:top w:val="nil"/>
              <w:left w:val="nil"/>
              <w:bottom w:val="single" w:sz="4" w:space="0" w:color="auto"/>
              <w:right w:val="single" w:sz="4" w:space="0" w:color="auto"/>
            </w:tcBorders>
            <w:shd w:val="clear" w:color="auto" w:fill="auto"/>
            <w:vAlign w:val="center"/>
          </w:tcPr>
          <w:p w14:paraId="2D7EA225" w14:textId="3892922D" w:rsidR="00A3176E" w:rsidRPr="00A420FD" w:rsidRDefault="009C15A3" w:rsidP="00FA688C">
            <w:pPr>
              <w:jc w:val="right"/>
              <w:rPr>
                <w:b/>
                <w:bCs/>
                <w:color w:val="000000" w:themeColor="text1"/>
                <w:sz w:val="20"/>
                <w:szCs w:val="20"/>
                <w:lang w:val="en-CA"/>
              </w:rPr>
            </w:pPr>
            <w:r w:rsidRPr="00A420FD">
              <w:rPr>
                <w:b/>
                <w:bCs/>
                <w:color w:val="000000" w:themeColor="text1"/>
                <w:sz w:val="20"/>
                <w:szCs w:val="20"/>
                <w:lang w:val="en-CA"/>
              </w:rPr>
              <w:t>230,165,735</w:t>
            </w:r>
          </w:p>
        </w:tc>
        <w:tc>
          <w:tcPr>
            <w:tcW w:w="1095" w:type="pct"/>
            <w:tcBorders>
              <w:top w:val="nil"/>
              <w:left w:val="nil"/>
              <w:bottom w:val="single" w:sz="4" w:space="0" w:color="auto"/>
              <w:right w:val="single" w:sz="4" w:space="0" w:color="auto"/>
            </w:tcBorders>
            <w:shd w:val="clear" w:color="auto" w:fill="auto"/>
            <w:vAlign w:val="center"/>
          </w:tcPr>
          <w:p w14:paraId="6E1F2B7F" w14:textId="32BD4A6A" w:rsidR="00A3176E" w:rsidRPr="00A420FD" w:rsidRDefault="00EB0F45" w:rsidP="00FA688C">
            <w:pPr>
              <w:jc w:val="right"/>
              <w:rPr>
                <w:b/>
                <w:bCs/>
                <w:color w:val="000000" w:themeColor="text1"/>
                <w:sz w:val="20"/>
                <w:szCs w:val="20"/>
                <w:lang w:val="en-CA"/>
              </w:rPr>
            </w:pPr>
            <w:r w:rsidRPr="00A420FD">
              <w:rPr>
                <w:b/>
                <w:bCs/>
                <w:color w:val="000000" w:themeColor="text1"/>
                <w:sz w:val="20"/>
                <w:szCs w:val="20"/>
                <w:lang w:val="en-CA"/>
              </w:rPr>
              <w:t>94,120,556</w:t>
            </w:r>
          </w:p>
        </w:tc>
        <w:tc>
          <w:tcPr>
            <w:tcW w:w="1095" w:type="pct"/>
            <w:tcBorders>
              <w:top w:val="nil"/>
              <w:left w:val="nil"/>
              <w:bottom w:val="single" w:sz="4" w:space="0" w:color="auto"/>
              <w:right w:val="single" w:sz="4" w:space="0" w:color="auto"/>
            </w:tcBorders>
            <w:shd w:val="clear" w:color="auto" w:fill="auto"/>
            <w:vAlign w:val="center"/>
          </w:tcPr>
          <w:p w14:paraId="3CD4A0F8" w14:textId="480169B1" w:rsidR="00A3176E" w:rsidRPr="00A420FD" w:rsidRDefault="00EB0F45" w:rsidP="00FA688C">
            <w:pPr>
              <w:jc w:val="right"/>
              <w:rPr>
                <w:b/>
                <w:bCs/>
                <w:color w:val="000000" w:themeColor="text1"/>
                <w:sz w:val="20"/>
                <w:szCs w:val="20"/>
                <w:lang w:val="en-CA"/>
              </w:rPr>
            </w:pPr>
            <w:r w:rsidRPr="00A420FD">
              <w:rPr>
                <w:b/>
                <w:bCs/>
                <w:color w:val="000000" w:themeColor="text1"/>
                <w:sz w:val="20"/>
                <w:szCs w:val="20"/>
                <w:lang w:val="en-CA"/>
              </w:rPr>
              <w:t>136,045,179</w:t>
            </w:r>
          </w:p>
        </w:tc>
      </w:tr>
    </w:tbl>
    <w:p w14:paraId="07E4C239" w14:textId="0A04D5A4" w:rsidR="00A3176E" w:rsidRDefault="00A3176E" w:rsidP="00FA688C">
      <w:pPr>
        <w:tabs>
          <w:tab w:val="left" w:pos="360"/>
        </w:tabs>
        <w:rPr>
          <w:color w:val="000000" w:themeColor="text1"/>
          <w:sz w:val="19"/>
          <w:szCs w:val="19"/>
          <w:lang w:val="en-CA"/>
        </w:rPr>
      </w:pPr>
      <w:r w:rsidRPr="00FA688C">
        <w:rPr>
          <w:color w:val="000000" w:themeColor="text1"/>
          <w:sz w:val="19"/>
          <w:szCs w:val="19"/>
          <w:lang w:val="en-CA"/>
        </w:rPr>
        <w:t>* Including core unit costs.</w:t>
      </w:r>
    </w:p>
    <w:p w14:paraId="7684A0EF" w14:textId="4C1D4067" w:rsidR="00725CBD" w:rsidRPr="00FA688C" w:rsidRDefault="00725CBD" w:rsidP="00FA688C">
      <w:pPr>
        <w:tabs>
          <w:tab w:val="left" w:pos="360"/>
        </w:tabs>
        <w:rPr>
          <w:color w:val="000000" w:themeColor="text1"/>
          <w:sz w:val="19"/>
          <w:szCs w:val="19"/>
          <w:lang w:val="en-CA"/>
        </w:rPr>
      </w:pPr>
      <w:r>
        <w:rPr>
          <w:color w:val="000000" w:themeColor="text1"/>
          <w:sz w:val="19"/>
          <w:szCs w:val="19"/>
          <w:lang w:val="en-CA"/>
        </w:rPr>
        <w:t>** As at 3 June 2018.</w:t>
      </w:r>
    </w:p>
    <w:p w14:paraId="3D396BBA" w14:textId="77777777" w:rsidR="0037741E" w:rsidRPr="00FA688C" w:rsidRDefault="0037741E" w:rsidP="00FA688C">
      <w:pPr>
        <w:tabs>
          <w:tab w:val="left" w:pos="360"/>
        </w:tabs>
        <w:rPr>
          <w:color w:val="000000" w:themeColor="text1"/>
          <w:sz w:val="19"/>
          <w:szCs w:val="19"/>
          <w:lang w:val="en-CA"/>
        </w:rPr>
      </w:pPr>
    </w:p>
    <w:p w14:paraId="0E040716" w14:textId="5FE36499" w:rsidR="0037741E" w:rsidRPr="00FA688C" w:rsidRDefault="0037741E" w:rsidP="00FA688C">
      <w:pPr>
        <w:pStyle w:val="Heading1"/>
        <w:rPr>
          <w:color w:val="000000" w:themeColor="text1"/>
          <w:lang w:val="en-CA"/>
        </w:rPr>
      </w:pPr>
      <w:r w:rsidRPr="00FA688C">
        <w:rPr>
          <w:color w:val="000000" w:themeColor="text1"/>
          <w:lang w:val="en-CA"/>
        </w:rPr>
        <w:t>The value of project proposals submitted to the 81</w:t>
      </w:r>
      <w:r w:rsidRPr="00FA688C">
        <w:rPr>
          <w:color w:val="000000" w:themeColor="text1"/>
          <w:vertAlign w:val="superscript"/>
          <w:lang w:val="en-CA"/>
        </w:rPr>
        <w:t>st</w:t>
      </w:r>
      <w:r w:rsidRPr="00FA688C">
        <w:rPr>
          <w:color w:val="000000" w:themeColor="text1"/>
          <w:lang w:val="en-CA"/>
        </w:rPr>
        <w:t xml:space="preserve"> meeting of </w:t>
      </w:r>
      <w:r w:rsidR="00FA688C" w:rsidRPr="00FA688C">
        <w:rPr>
          <w:color w:val="000000" w:themeColor="text1"/>
          <w:lang w:val="en-CA"/>
        </w:rPr>
        <w:t>US $</w:t>
      </w:r>
      <w:r w:rsidR="001B6100" w:rsidRPr="00FA688C">
        <w:rPr>
          <w:color w:val="000000" w:themeColor="text1"/>
          <w:lang w:val="en-CA"/>
        </w:rPr>
        <w:t>94,120,556</w:t>
      </w:r>
      <w:r w:rsidRPr="00FA688C">
        <w:rPr>
          <w:color w:val="000000" w:themeColor="text1"/>
          <w:lang w:val="en-CA"/>
        </w:rPr>
        <w:t>, is</w:t>
      </w:r>
      <w:r w:rsidR="00DB5929" w:rsidRPr="00FA688C">
        <w:rPr>
          <w:color w:val="000000" w:themeColor="text1"/>
          <w:lang w:val="en-CA"/>
        </w:rPr>
        <w:t xml:space="preserve"> </w:t>
      </w:r>
      <w:r w:rsidR="00FA688C" w:rsidRPr="00FA688C">
        <w:rPr>
          <w:color w:val="000000" w:themeColor="text1"/>
          <w:lang w:val="en-CA"/>
        </w:rPr>
        <w:t>US $</w:t>
      </w:r>
      <w:r w:rsidR="00DB5929" w:rsidRPr="00FA688C">
        <w:rPr>
          <w:color w:val="000000" w:themeColor="text1"/>
          <w:lang w:val="en-CA"/>
        </w:rPr>
        <w:t xml:space="preserve">37,261,524 </w:t>
      </w:r>
      <w:r w:rsidRPr="00FA688C">
        <w:rPr>
          <w:color w:val="000000" w:themeColor="text1"/>
          <w:lang w:val="en-CA"/>
        </w:rPr>
        <w:t>above the</w:t>
      </w:r>
      <w:r w:rsidR="006A3718">
        <w:rPr>
          <w:color w:val="000000" w:themeColor="text1"/>
          <w:lang w:val="en-CA"/>
        </w:rPr>
        <w:t>ir</w:t>
      </w:r>
      <w:r w:rsidRPr="00FA688C">
        <w:rPr>
          <w:color w:val="000000" w:themeColor="text1"/>
          <w:lang w:val="en-CA"/>
        </w:rPr>
        <w:t xml:space="preserve"> value in the 2018 business plan, and includes </w:t>
      </w:r>
      <w:r w:rsidR="00FA688C" w:rsidRPr="00FA688C">
        <w:rPr>
          <w:color w:val="000000" w:themeColor="text1"/>
          <w:lang w:val="en-CA"/>
        </w:rPr>
        <w:t>US $</w:t>
      </w:r>
      <w:r w:rsidR="001B6100" w:rsidRPr="00FA688C">
        <w:rPr>
          <w:color w:val="000000" w:themeColor="text1"/>
          <w:lang w:val="en-CA"/>
        </w:rPr>
        <w:t>11,324,707</w:t>
      </w:r>
      <w:r w:rsidRPr="00FA688C">
        <w:rPr>
          <w:color w:val="000000" w:themeColor="text1"/>
          <w:lang w:val="en-CA"/>
        </w:rPr>
        <w:t xml:space="preserve"> associated with project proposals not included in the 2018 business plan.</w:t>
      </w:r>
      <w:r w:rsidRPr="00FA688C">
        <w:rPr>
          <w:rStyle w:val="FootnoteReference"/>
          <w:color w:val="000000" w:themeColor="text1"/>
          <w:lang w:val="en-CA"/>
        </w:rPr>
        <w:footnoteReference w:id="2"/>
      </w:r>
      <w:r w:rsidRPr="00FA688C">
        <w:rPr>
          <w:color w:val="000000" w:themeColor="text1"/>
          <w:lang w:val="en-CA"/>
        </w:rPr>
        <w:t xml:space="preserve"> </w:t>
      </w:r>
    </w:p>
    <w:p w14:paraId="01A76552" w14:textId="1F400F4B" w:rsidR="00A3176E" w:rsidRPr="00FA688C" w:rsidRDefault="000F123E" w:rsidP="00FA688C">
      <w:pPr>
        <w:pStyle w:val="Heading1"/>
        <w:rPr>
          <w:color w:val="000000" w:themeColor="text1"/>
          <w:lang w:val="en-CA"/>
        </w:rPr>
      </w:pPr>
      <w:r w:rsidRPr="00FA688C">
        <w:rPr>
          <w:color w:val="000000" w:themeColor="text1"/>
          <w:lang w:val="en-CA"/>
        </w:rPr>
        <w:t xml:space="preserve">The value of HFC </w:t>
      </w:r>
      <w:r w:rsidR="00CB3960" w:rsidRPr="00FA688C">
        <w:rPr>
          <w:color w:val="000000" w:themeColor="text1"/>
          <w:lang w:val="en-CA"/>
        </w:rPr>
        <w:t>phase-down</w:t>
      </w:r>
      <w:r w:rsidRPr="00FA688C">
        <w:rPr>
          <w:color w:val="000000" w:themeColor="text1"/>
          <w:lang w:val="en-CA"/>
        </w:rPr>
        <w:t xml:space="preserve"> activities submitted to the 81</w:t>
      </w:r>
      <w:r w:rsidRPr="00FA688C">
        <w:rPr>
          <w:color w:val="000000" w:themeColor="text1"/>
          <w:vertAlign w:val="superscript"/>
          <w:lang w:val="en-CA"/>
        </w:rPr>
        <w:t>st</w:t>
      </w:r>
      <w:r w:rsidRPr="00FA688C">
        <w:rPr>
          <w:color w:val="000000" w:themeColor="text1"/>
          <w:lang w:val="en-CA"/>
        </w:rPr>
        <w:t xml:space="preserve"> meeting amounting </w:t>
      </w:r>
      <w:r w:rsidR="00FA688C" w:rsidRPr="00FA688C">
        <w:rPr>
          <w:color w:val="000000" w:themeColor="text1"/>
          <w:lang w:val="en-CA"/>
        </w:rPr>
        <w:t>US $</w:t>
      </w:r>
      <w:r w:rsidR="00A655A9" w:rsidRPr="00FA688C">
        <w:rPr>
          <w:color w:val="000000" w:themeColor="text1"/>
          <w:lang w:val="en-CA"/>
        </w:rPr>
        <w:t xml:space="preserve">21,912,004 of which </w:t>
      </w:r>
      <w:r w:rsidR="00FA688C" w:rsidRPr="00FA688C">
        <w:rPr>
          <w:color w:val="000000" w:themeColor="text1"/>
          <w:lang w:val="en-CA"/>
        </w:rPr>
        <w:t>US $</w:t>
      </w:r>
      <w:r w:rsidR="00A655A9" w:rsidRPr="00FA688C">
        <w:rPr>
          <w:color w:val="000000" w:themeColor="text1"/>
          <w:lang w:val="en-CA"/>
        </w:rPr>
        <w:t xml:space="preserve">11,290,807 </w:t>
      </w:r>
      <w:r w:rsidRPr="00FA688C">
        <w:rPr>
          <w:color w:val="000000" w:themeColor="text1"/>
          <w:lang w:val="en-CA"/>
        </w:rPr>
        <w:t>associated with project proposals not included in the 2018 business plan.</w:t>
      </w:r>
      <w:r w:rsidRPr="00FA688C" w:rsidDel="0037741E">
        <w:rPr>
          <w:color w:val="000000" w:themeColor="text1"/>
          <w:lang w:val="en-CA"/>
        </w:rPr>
        <w:t xml:space="preserve"> </w:t>
      </w:r>
      <w:r w:rsidR="00A3176E" w:rsidRPr="00FA688C">
        <w:rPr>
          <w:color w:val="000000" w:themeColor="text1"/>
          <w:lang w:val="en-CA"/>
        </w:rPr>
        <w:t>Annex I to the present document lists HFC</w:t>
      </w:r>
      <w:r w:rsidR="006A3718">
        <w:rPr>
          <w:color w:val="000000" w:themeColor="text1"/>
          <w:lang w:val="en-CA"/>
        </w:rPr>
        <w:t>-</w:t>
      </w:r>
      <w:r w:rsidR="00456C17" w:rsidRPr="00FA688C">
        <w:rPr>
          <w:color w:val="000000" w:themeColor="text1"/>
          <w:lang w:val="en-CA"/>
        </w:rPr>
        <w:t>related</w:t>
      </w:r>
      <w:r w:rsidR="00A3176E" w:rsidRPr="00FA688C">
        <w:rPr>
          <w:color w:val="000000" w:themeColor="text1"/>
          <w:lang w:val="en-CA"/>
        </w:rPr>
        <w:t xml:space="preserve"> projects submitted by the implementing agencies to the </w:t>
      </w:r>
      <w:r w:rsidR="00E76BC8" w:rsidRPr="00FA688C">
        <w:rPr>
          <w:color w:val="000000" w:themeColor="text1"/>
          <w:lang w:val="en-CA"/>
        </w:rPr>
        <w:t>81</w:t>
      </w:r>
      <w:r w:rsidR="00E76BC8" w:rsidRPr="00FA688C">
        <w:rPr>
          <w:color w:val="000000" w:themeColor="text1"/>
          <w:vertAlign w:val="superscript"/>
          <w:lang w:val="en-CA"/>
        </w:rPr>
        <w:t>st</w:t>
      </w:r>
      <w:r w:rsidR="00F75B05">
        <w:rPr>
          <w:color w:val="000000" w:themeColor="text1"/>
          <w:vertAlign w:val="superscript"/>
          <w:lang w:val="en-CA"/>
        </w:rPr>
        <w:t> </w:t>
      </w:r>
      <w:r w:rsidR="00F75B05">
        <w:rPr>
          <w:color w:val="000000" w:themeColor="text1"/>
          <w:lang w:val="en-CA"/>
        </w:rPr>
        <w:t>m</w:t>
      </w:r>
      <w:r w:rsidR="00A3176E" w:rsidRPr="00FA688C">
        <w:rPr>
          <w:color w:val="000000" w:themeColor="text1"/>
          <w:lang w:val="en-CA"/>
        </w:rPr>
        <w:t>eeting</w:t>
      </w:r>
      <w:r w:rsidR="00E76BC8" w:rsidRPr="00FA688C">
        <w:rPr>
          <w:color w:val="000000" w:themeColor="text1"/>
          <w:lang w:val="en-CA"/>
        </w:rPr>
        <w:t>.</w:t>
      </w:r>
      <w:r w:rsidR="00A3176E" w:rsidRPr="00FA688C">
        <w:rPr>
          <w:color w:val="000000" w:themeColor="text1"/>
          <w:lang w:val="en-CA"/>
        </w:rPr>
        <w:t xml:space="preserve"> </w:t>
      </w:r>
    </w:p>
    <w:p w14:paraId="0DE6BCE2" w14:textId="3315186C" w:rsidR="00A3176E" w:rsidRPr="00FA688C" w:rsidRDefault="00A3176E" w:rsidP="00FA688C">
      <w:pPr>
        <w:pStyle w:val="Heading1"/>
        <w:rPr>
          <w:color w:val="000000" w:themeColor="text1"/>
          <w:lang w:val="en-CA"/>
        </w:rPr>
      </w:pPr>
      <w:r w:rsidRPr="00FA688C">
        <w:rPr>
          <w:color w:val="000000" w:themeColor="text1"/>
          <w:lang w:val="en-CA"/>
        </w:rPr>
        <w:lastRenderedPageBreak/>
        <w:t>Table 3 presents the value for activities</w:t>
      </w:r>
      <w:r w:rsidRPr="00FA688C">
        <w:rPr>
          <w:rStyle w:val="FootnoteReference"/>
          <w:color w:val="000000" w:themeColor="text1"/>
          <w:lang w:val="en-CA"/>
        </w:rPr>
        <w:footnoteReference w:id="3"/>
      </w:r>
      <w:r w:rsidRPr="00FA688C">
        <w:rPr>
          <w:color w:val="000000" w:themeColor="text1"/>
          <w:lang w:val="en-CA"/>
        </w:rPr>
        <w:t xml:space="preserve"> included in the 201</w:t>
      </w:r>
      <w:r w:rsidR="00E76BC8" w:rsidRPr="00FA688C">
        <w:rPr>
          <w:color w:val="000000" w:themeColor="text1"/>
          <w:lang w:val="en-CA"/>
        </w:rPr>
        <w:t>8</w:t>
      </w:r>
      <w:r w:rsidRPr="00FA688C">
        <w:rPr>
          <w:color w:val="000000" w:themeColor="text1"/>
          <w:lang w:val="en-CA"/>
        </w:rPr>
        <w:t xml:space="preserve"> consolidated business plan but not submitted to the </w:t>
      </w:r>
      <w:r w:rsidR="00E76BC8" w:rsidRPr="00FA688C">
        <w:rPr>
          <w:color w:val="000000" w:themeColor="text1"/>
          <w:lang w:val="en-CA"/>
        </w:rPr>
        <w:t>81</w:t>
      </w:r>
      <w:r w:rsidR="00E76BC8" w:rsidRPr="00FA688C">
        <w:rPr>
          <w:color w:val="000000" w:themeColor="text1"/>
          <w:vertAlign w:val="superscript"/>
          <w:lang w:val="en-CA"/>
        </w:rPr>
        <w:t>st</w:t>
      </w:r>
      <w:r w:rsidR="00E76BC8" w:rsidRPr="00FA688C">
        <w:rPr>
          <w:color w:val="000000" w:themeColor="text1"/>
          <w:lang w:val="en-CA"/>
        </w:rPr>
        <w:t xml:space="preserve"> </w:t>
      </w:r>
      <w:r w:rsidRPr="00FA688C">
        <w:rPr>
          <w:color w:val="000000" w:themeColor="text1"/>
          <w:lang w:val="en-CA"/>
        </w:rPr>
        <w:t>meeting. The list of these activities is contained in Annex II to the present report.</w:t>
      </w:r>
    </w:p>
    <w:p w14:paraId="67E8D627" w14:textId="026F4D05" w:rsidR="00A3176E" w:rsidRPr="00FA688C" w:rsidRDefault="00A3176E" w:rsidP="00FA688C">
      <w:pPr>
        <w:pStyle w:val="Heading1"/>
        <w:keepNext/>
        <w:numPr>
          <w:ilvl w:val="0"/>
          <w:numId w:val="0"/>
        </w:numPr>
        <w:spacing w:after="0"/>
        <w:rPr>
          <w:b/>
          <w:bCs/>
          <w:color w:val="000000" w:themeColor="text1"/>
          <w:lang w:val="en-CA"/>
        </w:rPr>
      </w:pPr>
      <w:r w:rsidRPr="00FA688C">
        <w:rPr>
          <w:b/>
          <w:color w:val="000000" w:themeColor="text1"/>
          <w:lang w:val="en-CA"/>
        </w:rPr>
        <w:t>Table 3. A</w:t>
      </w:r>
      <w:r w:rsidRPr="00FA688C">
        <w:rPr>
          <w:b/>
          <w:bCs/>
          <w:color w:val="000000" w:themeColor="text1"/>
          <w:lang w:val="en-CA"/>
        </w:rPr>
        <w:t>ctivities in the 201</w:t>
      </w:r>
      <w:r w:rsidR="00E76BC8" w:rsidRPr="00FA688C">
        <w:rPr>
          <w:b/>
          <w:bCs/>
          <w:color w:val="000000" w:themeColor="text1"/>
          <w:lang w:val="en-CA"/>
        </w:rPr>
        <w:t>8</w:t>
      </w:r>
      <w:r w:rsidRPr="00FA688C">
        <w:rPr>
          <w:b/>
          <w:bCs/>
          <w:color w:val="000000" w:themeColor="text1"/>
          <w:lang w:val="en-CA"/>
        </w:rPr>
        <w:t xml:space="preserve"> consolidated business plan not yet submitted </w:t>
      </w:r>
    </w:p>
    <w:tbl>
      <w:tblPr>
        <w:tblW w:w="9450" w:type="dxa"/>
        <w:tblInd w:w="-5" w:type="dxa"/>
        <w:tblLayout w:type="fixed"/>
        <w:tblLook w:val="04A0" w:firstRow="1" w:lastRow="0" w:firstColumn="1" w:lastColumn="0" w:noHBand="0" w:noVBand="1"/>
      </w:tblPr>
      <w:tblGrid>
        <w:gridCol w:w="4725"/>
        <w:gridCol w:w="4725"/>
      </w:tblGrid>
      <w:tr w:rsidR="00FA688C" w:rsidRPr="00F75B05" w14:paraId="14C606C7" w14:textId="77777777" w:rsidTr="00F75B05">
        <w:trPr>
          <w:tblHeader/>
        </w:trPr>
        <w:tc>
          <w:tcPr>
            <w:tcW w:w="4725" w:type="dxa"/>
            <w:tcBorders>
              <w:top w:val="single" w:sz="4" w:space="0" w:color="auto"/>
              <w:left w:val="single" w:sz="4" w:space="0" w:color="auto"/>
              <w:bottom w:val="single" w:sz="4" w:space="0" w:color="auto"/>
              <w:right w:val="single" w:sz="4" w:space="0" w:color="auto"/>
            </w:tcBorders>
            <w:shd w:val="clear" w:color="auto" w:fill="auto"/>
            <w:hideMark/>
          </w:tcPr>
          <w:p w14:paraId="6A6C7BC0" w14:textId="77777777" w:rsidR="00A3176E" w:rsidRPr="00F75B05" w:rsidRDefault="00A3176E" w:rsidP="00FA688C">
            <w:pPr>
              <w:jc w:val="left"/>
              <w:rPr>
                <w:b/>
                <w:bCs/>
                <w:color w:val="000000" w:themeColor="text1"/>
                <w:sz w:val="21"/>
                <w:szCs w:val="21"/>
                <w:lang w:val="en-CA"/>
              </w:rPr>
            </w:pPr>
            <w:r w:rsidRPr="00F75B05">
              <w:rPr>
                <w:b/>
                <w:bCs/>
                <w:color w:val="000000" w:themeColor="text1"/>
                <w:sz w:val="21"/>
                <w:szCs w:val="21"/>
                <w:lang w:val="en-CA" w:eastAsia="en-CA"/>
              </w:rPr>
              <w:t xml:space="preserve">Agency </w:t>
            </w:r>
          </w:p>
        </w:tc>
        <w:tc>
          <w:tcPr>
            <w:tcW w:w="4725" w:type="dxa"/>
            <w:tcBorders>
              <w:top w:val="single" w:sz="4" w:space="0" w:color="auto"/>
              <w:left w:val="nil"/>
              <w:bottom w:val="single" w:sz="4" w:space="0" w:color="auto"/>
              <w:right w:val="single" w:sz="4" w:space="0" w:color="auto"/>
            </w:tcBorders>
            <w:shd w:val="clear" w:color="auto" w:fill="auto"/>
            <w:hideMark/>
          </w:tcPr>
          <w:p w14:paraId="5ED46225" w14:textId="7E8CFF88" w:rsidR="00A3176E" w:rsidRPr="00F75B05" w:rsidRDefault="00A3176E" w:rsidP="00FA688C">
            <w:pPr>
              <w:jc w:val="center"/>
              <w:rPr>
                <w:b/>
                <w:bCs/>
                <w:color w:val="000000" w:themeColor="text1"/>
                <w:sz w:val="21"/>
                <w:szCs w:val="21"/>
                <w:lang w:val="en-CA"/>
              </w:rPr>
            </w:pPr>
            <w:r w:rsidRPr="00F75B05">
              <w:rPr>
                <w:b/>
                <w:bCs/>
                <w:color w:val="000000" w:themeColor="text1"/>
                <w:sz w:val="21"/>
                <w:szCs w:val="21"/>
                <w:lang w:val="en-CA" w:eastAsia="en-CA"/>
              </w:rPr>
              <w:t>Value (</w:t>
            </w:r>
            <w:r w:rsidR="00FA688C" w:rsidRPr="00F75B05">
              <w:rPr>
                <w:b/>
                <w:bCs/>
                <w:color w:val="000000" w:themeColor="text1"/>
                <w:sz w:val="21"/>
                <w:szCs w:val="21"/>
                <w:lang w:val="en-CA" w:eastAsia="en-CA"/>
              </w:rPr>
              <w:t>US $</w:t>
            </w:r>
            <w:r w:rsidRPr="00F75B05">
              <w:rPr>
                <w:b/>
                <w:bCs/>
                <w:color w:val="000000" w:themeColor="text1"/>
                <w:sz w:val="21"/>
                <w:szCs w:val="21"/>
                <w:lang w:val="en-CA" w:eastAsia="en-CA"/>
              </w:rPr>
              <w:t>)</w:t>
            </w:r>
          </w:p>
        </w:tc>
      </w:tr>
      <w:tr w:rsidR="00FA688C" w:rsidRPr="00F75B05" w14:paraId="7FA2CC48" w14:textId="77777777" w:rsidTr="00F75B05">
        <w:tc>
          <w:tcPr>
            <w:tcW w:w="4725" w:type="dxa"/>
            <w:tcBorders>
              <w:top w:val="nil"/>
              <w:left w:val="single" w:sz="4" w:space="0" w:color="auto"/>
              <w:bottom w:val="single" w:sz="4" w:space="0" w:color="auto"/>
              <w:right w:val="single" w:sz="4" w:space="0" w:color="auto"/>
            </w:tcBorders>
            <w:shd w:val="clear" w:color="auto" w:fill="auto"/>
            <w:noWrap/>
            <w:hideMark/>
          </w:tcPr>
          <w:p w14:paraId="0BFEB1E6" w14:textId="77777777" w:rsidR="00A3176E" w:rsidRPr="00F75B05" w:rsidRDefault="00A3176E" w:rsidP="00FA688C">
            <w:pPr>
              <w:jc w:val="left"/>
              <w:rPr>
                <w:color w:val="000000" w:themeColor="text1"/>
                <w:sz w:val="21"/>
                <w:szCs w:val="21"/>
                <w:lang w:val="en-CA"/>
              </w:rPr>
            </w:pPr>
            <w:r w:rsidRPr="00F75B05">
              <w:rPr>
                <w:color w:val="000000" w:themeColor="text1"/>
                <w:sz w:val="21"/>
                <w:szCs w:val="21"/>
                <w:lang w:val="en-CA"/>
              </w:rPr>
              <w:t xml:space="preserve">Bilateral </w:t>
            </w:r>
          </w:p>
        </w:tc>
        <w:tc>
          <w:tcPr>
            <w:tcW w:w="4725" w:type="dxa"/>
            <w:tcBorders>
              <w:top w:val="nil"/>
              <w:left w:val="nil"/>
              <w:bottom w:val="single" w:sz="4" w:space="0" w:color="auto"/>
              <w:right w:val="single" w:sz="4" w:space="0" w:color="auto"/>
            </w:tcBorders>
            <w:shd w:val="clear" w:color="auto" w:fill="auto"/>
            <w:noWrap/>
            <w:tcMar>
              <w:left w:w="115" w:type="dxa"/>
              <w:right w:w="1152" w:type="dxa"/>
            </w:tcMar>
          </w:tcPr>
          <w:p w14:paraId="44FB8179" w14:textId="332DDD0D" w:rsidR="00A3176E" w:rsidRPr="00F75B05" w:rsidRDefault="00ED2303" w:rsidP="00FA688C">
            <w:pPr>
              <w:jc w:val="right"/>
              <w:rPr>
                <w:color w:val="000000" w:themeColor="text1"/>
                <w:sz w:val="21"/>
                <w:szCs w:val="21"/>
                <w:lang w:val="en-CA"/>
              </w:rPr>
            </w:pPr>
            <w:r w:rsidRPr="00F75B05">
              <w:rPr>
                <w:color w:val="000000" w:themeColor="text1"/>
                <w:sz w:val="21"/>
                <w:szCs w:val="21"/>
                <w:lang w:val="en-CA"/>
              </w:rPr>
              <w:t>7,220,054</w:t>
            </w:r>
          </w:p>
        </w:tc>
      </w:tr>
      <w:tr w:rsidR="00FA688C" w:rsidRPr="00F75B05" w14:paraId="27196598" w14:textId="77777777" w:rsidTr="00F75B05">
        <w:tc>
          <w:tcPr>
            <w:tcW w:w="4725" w:type="dxa"/>
            <w:tcBorders>
              <w:top w:val="nil"/>
              <w:left w:val="single" w:sz="4" w:space="0" w:color="auto"/>
              <w:bottom w:val="single" w:sz="4" w:space="0" w:color="auto"/>
              <w:right w:val="single" w:sz="4" w:space="0" w:color="auto"/>
            </w:tcBorders>
            <w:shd w:val="clear" w:color="auto" w:fill="auto"/>
            <w:noWrap/>
            <w:hideMark/>
          </w:tcPr>
          <w:p w14:paraId="2383D161" w14:textId="77777777" w:rsidR="00ED2303" w:rsidRPr="00F75B05" w:rsidRDefault="00ED2303" w:rsidP="00FA688C">
            <w:pPr>
              <w:jc w:val="left"/>
              <w:rPr>
                <w:color w:val="000000" w:themeColor="text1"/>
                <w:sz w:val="21"/>
                <w:szCs w:val="21"/>
                <w:lang w:val="en-CA"/>
              </w:rPr>
            </w:pPr>
            <w:r w:rsidRPr="00F75B05">
              <w:rPr>
                <w:color w:val="000000" w:themeColor="text1"/>
                <w:sz w:val="21"/>
                <w:szCs w:val="21"/>
                <w:lang w:val="en-CA"/>
              </w:rPr>
              <w:t>UNDP</w:t>
            </w:r>
          </w:p>
        </w:tc>
        <w:tc>
          <w:tcPr>
            <w:tcW w:w="4725" w:type="dxa"/>
            <w:tcBorders>
              <w:top w:val="nil"/>
              <w:left w:val="nil"/>
              <w:bottom w:val="single" w:sz="4" w:space="0" w:color="auto"/>
              <w:right w:val="single" w:sz="4" w:space="0" w:color="auto"/>
            </w:tcBorders>
            <w:shd w:val="clear" w:color="auto" w:fill="auto"/>
            <w:noWrap/>
            <w:tcMar>
              <w:left w:w="115" w:type="dxa"/>
              <w:right w:w="1152" w:type="dxa"/>
            </w:tcMar>
          </w:tcPr>
          <w:p w14:paraId="13044D62" w14:textId="0EEFAF37" w:rsidR="00ED2303" w:rsidRPr="00F75B05" w:rsidRDefault="00ED2303" w:rsidP="00FA688C">
            <w:pPr>
              <w:jc w:val="right"/>
              <w:rPr>
                <w:color w:val="000000" w:themeColor="text1"/>
                <w:sz w:val="21"/>
                <w:szCs w:val="21"/>
                <w:lang w:val="en-CA"/>
              </w:rPr>
            </w:pPr>
            <w:r w:rsidRPr="00F75B05">
              <w:rPr>
                <w:color w:val="000000" w:themeColor="text1"/>
                <w:sz w:val="21"/>
                <w:szCs w:val="21"/>
              </w:rPr>
              <w:t>52,094,556</w:t>
            </w:r>
          </w:p>
        </w:tc>
      </w:tr>
      <w:tr w:rsidR="00FA688C" w:rsidRPr="00F75B05" w14:paraId="60F371BE" w14:textId="77777777" w:rsidTr="00F75B05">
        <w:tc>
          <w:tcPr>
            <w:tcW w:w="4725" w:type="dxa"/>
            <w:tcBorders>
              <w:top w:val="nil"/>
              <w:left w:val="single" w:sz="4" w:space="0" w:color="auto"/>
              <w:bottom w:val="single" w:sz="4" w:space="0" w:color="auto"/>
              <w:right w:val="single" w:sz="4" w:space="0" w:color="auto"/>
            </w:tcBorders>
            <w:shd w:val="clear" w:color="auto" w:fill="auto"/>
            <w:noWrap/>
            <w:hideMark/>
          </w:tcPr>
          <w:p w14:paraId="145B4C84" w14:textId="2FBED866" w:rsidR="00ED2303" w:rsidRPr="00F75B05" w:rsidRDefault="00ED2303" w:rsidP="00FA688C">
            <w:pPr>
              <w:jc w:val="left"/>
              <w:rPr>
                <w:color w:val="000000" w:themeColor="text1"/>
                <w:sz w:val="21"/>
                <w:szCs w:val="21"/>
                <w:lang w:val="en-CA"/>
              </w:rPr>
            </w:pPr>
            <w:r w:rsidRPr="00F75B05">
              <w:rPr>
                <w:color w:val="000000" w:themeColor="text1"/>
                <w:sz w:val="21"/>
                <w:szCs w:val="21"/>
                <w:lang w:val="en-CA"/>
              </w:rPr>
              <w:t>UNEP</w:t>
            </w:r>
          </w:p>
        </w:tc>
        <w:tc>
          <w:tcPr>
            <w:tcW w:w="4725" w:type="dxa"/>
            <w:tcBorders>
              <w:top w:val="nil"/>
              <w:left w:val="nil"/>
              <w:bottom w:val="single" w:sz="4" w:space="0" w:color="auto"/>
              <w:right w:val="single" w:sz="4" w:space="0" w:color="auto"/>
            </w:tcBorders>
            <w:shd w:val="clear" w:color="auto" w:fill="auto"/>
            <w:noWrap/>
            <w:tcMar>
              <w:left w:w="115" w:type="dxa"/>
              <w:right w:w="1152" w:type="dxa"/>
            </w:tcMar>
          </w:tcPr>
          <w:p w14:paraId="0D9324B2" w14:textId="7D24F9FD" w:rsidR="00ED2303" w:rsidRPr="00D16C50" w:rsidRDefault="0043652A" w:rsidP="00FA688C">
            <w:pPr>
              <w:jc w:val="right"/>
              <w:rPr>
                <w:color w:val="000000" w:themeColor="text1"/>
                <w:sz w:val="21"/>
                <w:szCs w:val="21"/>
                <w:lang w:val="en-CA"/>
              </w:rPr>
            </w:pPr>
            <w:r w:rsidRPr="00D16C50">
              <w:rPr>
                <w:color w:val="000000" w:themeColor="text1"/>
                <w:sz w:val="21"/>
                <w:szCs w:val="21"/>
              </w:rPr>
              <w:t>27,026.438</w:t>
            </w:r>
          </w:p>
        </w:tc>
      </w:tr>
      <w:tr w:rsidR="00FA688C" w:rsidRPr="00F75B05" w14:paraId="6DCC99E3" w14:textId="77777777" w:rsidTr="00F75B05">
        <w:tc>
          <w:tcPr>
            <w:tcW w:w="4725" w:type="dxa"/>
            <w:tcBorders>
              <w:top w:val="nil"/>
              <w:left w:val="single" w:sz="4" w:space="0" w:color="auto"/>
              <w:bottom w:val="single" w:sz="4" w:space="0" w:color="auto"/>
              <w:right w:val="single" w:sz="4" w:space="0" w:color="auto"/>
            </w:tcBorders>
            <w:shd w:val="clear" w:color="auto" w:fill="auto"/>
            <w:noWrap/>
            <w:hideMark/>
          </w:tcPr>
          <w:p w14:paraId="765F5EE3" w14:textId="77777777" w:rsidR="00ED2303" w:rsidRPr="00F75B05" w:rsidRDefault="00ED2303" w:rsidP="00FA688C">
            <w:pPr>
              <w:jc w:val="left"/>
              <w:rPr>
                <w:color w:val="000000" w:themeColor="text1"/>
                <w:sz w:val="21"/>
                <w:szCs w:val="21"/>
                <w:lang w:val="en-CA"/>
              </w:rPr>
            </w:pPr>
            <w:r w:rsidRPr="00F75B05">
              <w:rPr>
                <w:color w:val="000000" w:themeColor="text1"/>
                <w:sz w:val="21"/>
                <w:szCs w:val="21"/>
                <w:lang w:val="en-CA"/>
              </w:rPr>
              <w:t>UNIDO</w:t>
            </w:r>
          </w:p>
        </w:tc>
        <w:tc>
          <w:tcPr>
            <w:tcW w:w="4725" w:type="dxa"/>
            <w:tcBorders>
              <w:top w:val="nil"/>
              <w:left w:val="nil"/>
              <w:bottom w:val="single" w:sz="4" w:space="0" w:color="auto"/>
              <w:right w:val="single" w:sz="4" w:space="0" w:color="auto"/>
            </w:tcBorders>
            <w:shd w:val="clear" w:color="auto" w:fill="auto"/>
            <w:noWrap/>
            <w:tcMar>
              <w:left w:w="115" w:type="dxa"/>
              <w:right w:w="1152" w:type="dxa"/>
            </w:tcMar>
          </w:tcPr>
          <w:p w14:paraId="43C814A3" w14:textId="2ECE68E4" w:rsidR="00ED2303" w:rsidRPr="00D16C50" w:rsidRDefault="00ED2303" w:rsidP="00FA688C">
            <w:pPr>
              <w:jc w:val="right"/>
              <w:rPr>
                <w:color w:val="000000" w:themeColor="text1"/>
                <w:sz w:val="21"/>
                <w:szCs w:val="21"/>
                <w:lang w:val="en-CA"/>
              </w:rPr>
            </w:pPr>
            <w:r w:rsidRPr="00D16C50">
              <w:rPr>
                <w:color w:val="000000" w:themeColor="text1"/>
                <w:sz w:val="21"/>
                <w:szCs w:val="21"/>
              </w:rPr>
              <w:t>47,427,667</w:t>
            </w:r>
          </w:p>
        </w:tc>
      </w:tr>
      <w:tr w:rsidR="00FA688C" w:rsidRPr="00F75B05" w14:paraId="195EEB06" w14:textId="77777777" w:rsidTr="00F75B05">
        <w:tc>
          <w:tcPr>
            <w:tcW w:w="4725" w:type="dxa"/>
            <w:tcBorders>
              <w:top w:val="nil"/>
              <w:left w:val="single" w:sz="4" w:space="0" w:color="auto"/>
              <w:bottom w:val="single" w:sz="4" w:space="0" w:color="auto"/>
              <w:right w:val="single" w:sz="4" w:space="0" w:color="auto"/>
            </w:tcBorders>
            <w:shd w:val="clear" w:color="auto" w:fill="auto"/>
            <w:noWrap/>
            <w:hideMark/>
          </w:tcPr>
          <w:p w14:paraId="5D389026" w14:textId="77777777" w:rsidR="00A3176E" w:rsidRPr="00F75B05" w:rsidRDefault="00A3176E" w:rsidP="00FA688C">
            <w:pPr>
              <w:jc w:val="left"/>
              <w:rPr>
                <w:color w:val="000000" w:themeColor="text1"/>
                <w:sz w:val="21"/>
                <w:szCs w:val="21"/>
                <w:lang w:val="en-CA"/>
              </w:rPr>
            </w:pPr>
            <w:r w:rsidRPr="00F75B05">
              <w:rPr>
                <w:color w:val="000000" w:themeColor="text1"/>
                <w:sz w:val="21"/>
                <w:szCs w:val="21"/>
                <w:lang w:val="en-CA"/>
              </w:rPr>
              <w:t>World Bank</w:t>
            </w:r>
          </w:p>
        </w:tc>
        <w:tc>
          <w:tcPr>
            <w:tcW w:w="4725" w:type="dxa"/>
            <w:tcBorders>
              <w:top w:val="nil"/>
              <w:left w:val="nil"/>
              <w:bottom w:val="single" w:sz="4" w:space="0" w:color="auto"/>
              <w:right w:val="single" w:sz="4" w:space="0" w:color="auto"/>
            </w:tcBorders>
            <w:shd w:val="clear" w:color="auto" w:fill="auto"/>
            <w:noWrap/>
            <w:tcMar>
              <w:left w:w="115" w:type="dxa"/>
              <w:right w:w="1152" w:type="dxa"/>
            </w:tcMar>
          </w:tcPr>
          <w:p w14:paraId="5DFEF737" w14:textId="3179A4A2" w:rsidR="00A3176E" w:rsidRPr="00D16C50" w:rsidRDefault="00ED2303" w:rsidP="00FA688C">
            <w:pPr>
              <w:jc w:val="right"/>
              <w:rPr>
                <w:color w:val="000000" w:themeColor="text1"/>
                <w:sz w:val="21"/>
                <w:szCs w:val="21"/>
                <w:lang w:val="en-CA"/>
              </w:rPr>
            </w:pPr>
            <w:r w:rsidRPr="00D16C50">
              <w:rPr>
                <w:color w:val="000000" w:themeColor="text1"/>
                <w:sz w:val="21"/>
                <w:szCs w:val="21"/>
                <w:lang w:val="en-CA"/>
              </w:rPr>
              <w:t>31,774,728</w:t>
            </w:r>
          </w:p>
        </w:tc>
      </w:tr>
      <w:tr w:rsidR="00FA688C" w:rsidRPr="00F75B05" w14:paraId="2E1A9B32" w14:textId="77777777" w:rsidTr="00F75B05">
        <w:tc>
          <w:tcPr>
            <w:tcW w:w="4725" w:type="dxa"/>
            <w:tcBorders>
              <w:top w:val="nil"/>
              <w:left w:val="single" w:sz="4" w:space="0" w:color="auto"/>
              <w:bottom w:val="single" w:sz="4" w:space="0" w:color="auto"/>
              <w:right w:val="single" w:sz="4" w:space="0" w:color="auto"/>
            </w:tcBorders>
            <w:shd w:val="clear" w:color="auto" w:fill="auto"/>
            <w:noWrap/>
          </w:tcPr>
          <w:p w14:paraId="696B0A30" w14:textId="77777777" w:rsidR="00A3176E" w:rsidRPr="00F75B05" w:rsidRDefault="00A3176E" w:rsidP="00FA688C">
            <w:pPr>
              <w:jc w:val="left"/>
              <w:rPr>
                <w:color w:val="000000" w:themeColor="text1"/>
                <w:sz w:val="21"/>
                <w:szCs w:val="21"/>
                <w:lang w:val="en-CA"/>
              </w:rPr>
            </w:pPr>
            <w:r w:rsidRPr="00F75B05">
              <w:rPr>
                <w:color w:val="000000" w:themeColor="text1"/>
                <w:sz w:val="21"/>
                <w:szCs w:val="21"/>
                <w:lang w:val="en-CA" w:eastAsia="en-CA"/>
              </w:rPr>
              <w:t>HPMP verification reports</w:t>
            </w:r>
          </w:p>
        </w:tc>
        <w:tc>
          <w:tcPr>
            <w:tcW w:w="4725" w:type="dxa"/>
            <w:tcBorders>
              <w:top w:val="nil"/>
              <w:left w:val="nil"/>
              <w:bottom w:val="single" w:sz="4" w:space="0" w:color="auto"/>
              <w:right w:val="single" w:sz="4" w:space="0" w:color="auto"/>
            </w:tcBorders>
            <w:shd w:val="clear" w:color="auto" w:fill="auto"/>
            <w:noWrap/>
            <w:tcMar>
              <w:left w:w="115" w:type="dxa"/>
              <w:right w:w="1152" w:type="dxa"/>
            </w:tcMar>
          </w:tcPr>
          <w:p w14:paraId="4A72B871" w14:textId="1333B421" w:rsidR="00A3176E" w:rsidRPr="00D16C50" w:rsidRDefault="00ED2303" w:rsidP="00FA688C">
            <w:pPr>
              <w:jc w:val="right"/>
              <w:rPr>
                <w:color w:val="000000" w:themeColor="text1"/>
                <w:sz w:val="21"/>
                <w:szCs w:val="21"/>
                <w:lang w:val="en-CA"/>
              </w:rPr>
            </w:pPr>
            <w:r w:rsidRPr="00D16C50">
              <w:rPr>
                <w:color w:val="000000" w:themeColor="text1"/>
                <w:sz w:val="21"/>
                <w:szCs w:val="21"/>
                <w:lang w:val="en-CA"/>
              </w:rPr>
              <w:t>588,600</w:t>
            </w:r>
          </w:p>
        </w:tc>
      </w:tr>
      <w:tr w:rsidR="00F75B05" w:rsidRPr="00F75B05" w14:paraId="5BA8B0A4" w14:textId="77777777" w:rsidTr="00F75B05">
        <w:tc>
          <w:tcPr>
            <w:tcW w:w="4725" w:type="dxa"/>
            <w:tcBorders>
              <w:top w:val="nil"/>
              <w:left w:val="single" w:sz="4" w:space="0" w:color="auto"/>
              <w:bottom w:val="single" w:sz="4" w:space="0" w:color="auto"/>
              <w:right w:val="single" w:sz="4" w:space="0" w:color="auto"/>
            </w:tcBorders>
            <w:shd w:val="clear" w:color="auto" w:fill="auto"/>
            <w:noWrap/>
            <w:hideMark/>
          </w:tcPr>
          <w:p w14:paraId="4DC0A654" w14:textId="77777777" w:rsidR="00A3176E" w:rsidRPr="00F75B05" w:rsidRDefault="00A3176E" w:rsidP="00FA688C">
            <w:pPr>
              <w:jc w:val="left"/>
              <w:rPr>
                <w:b/>
                <w:color w:val="000000" w:themeColor="text1"/>
                <w:sz w:val="21"/>
                <w:szCs w:val="21"/>
                <w:lang w:val="en-CA"/>
              </w:rPr>
            </w:pPr>
            <w:r w:rsidRPr="00F75B05">
              <w:rPr>
                <w:b/>
                <w:color w:val="000000" w:themeColor="text1"/>
                <w:sz w:val="21"/>
                <w:szCs w:val="21"/>
                <w:lang w:val="en-CA"/>
              </w:rPr>
              <w:t>Total</w:t>
            </w:r>
          </w:p>
        </w:tc>
        <w:tc>
          <w:tcPr>
            <w:tcW w:w="4725" w:type="dxa"/>
            <w:tcBorders>
              <w:top w:val="nil"/>
              <w:left w:val="nil"/>
              <w:bottom w:val="single" w:sz="4" w:space="0" w:color="auto"/>
              <w:right w:val="single" w:sz="4" w:space="0" w:color="auto"/>
            </w:tcBorders>
            <w:shd w:val="clear" w:color="auto" w:fill="auto"/>
            <w:noWrap/>
            <w:tcMar>
              <w:left w:w="115" w:type="dxa"/>
              <w:right w:w="1152" w:type="dxa"/>
            </w:tcMar>
          </w:tcPr>
          <w:p w14:paraId="72B9C432" w14:textId="65F6B3B9" w:rsidR="00A3176E" w:rsidRPr="00D16C50" w:rsidRDefault="0043652A" w:rsidP="00FA688C">
            <w:pPr>
              <w:jc w:val="right"/>
              <w:rPr>
                <w:b/>
                <w:color w:val="000000" w:themeColor="text1"/>
                <w:sz w:val="21"/>
                <w:szCs w:val="21"/>
                <w:lang w:val="en-CA"/>
              </w:rPr>
            </w:pPr>
            <w:r w:rsidRPr="00D16C50">
              <w:rPr>
                <w:b/>
                <w:color w:val="000000" w:themeColor="text1"/>
                <w:sz w:val="21"/>
                <w:szCs w:val="21"/>
                <w:lang w:val="en-CA"/>
              </w:rPr>
              <w:t>166,132.043</w:t>
            </w:r>
          </w:p>
        </w:tc>
      </w:tr>
    </w:tbl>
    <w:p w14:paraId="5F72C35A" w14:textId="77777777" w:rsidR="00A3176E" w:rsidRPr="00FA688C" w:rsidRDefault="00A3176E" w:rsidP="00FA688C">
      <w:pPr>
        <w:rPr>
          <w:color w:val="000000" w:themeColor="text1"/>
          <w:lang w:val="en-CA"/>
        </w:rPr>
      </w:pPr>
    </w:p>
    <w:p w14:paraId="3E579919" w14:textId="77777777" w:rsidR="006852D7" w:rsidRPr="00FA688C" w:rsidRDefault="006852D7" w:rsidP="00FA688C">
      <w:pPr>
        <w:pStyle w:val="Heading1"/>
        <w:numPr>
          <w:ilvl w:val="0"/>
          <w:numId w:val="0"/>
        </w:numPr>
        <w:spacing w:after="0"/>
        <w:rPr>
          <w:b/>
          <w:bCs/>
          <w:color w:val="000000" w:themeColor="text1"/>
          <w:lang w:val="en-CA"/>
        </w:rPr>
      </w:pPr>
      <w:r w:rsidRPr="00FA688C">
        <w:rPr>
          <w:b/>
          <w:bCs/>
          <w:color w:val="000000" w:themeColor="text1"/>
          <w:lang w:val="en-CA"/>
        </w:rPr>
        <w:t>Forward commitments</w:t>
      </w:r>
    </w:p>
    <w:p w14:paraId="4199339E" w14:textId="77777777" w:rsidR="006852D7" w:rsidRPr="00FA688C" w:rsidRDefault="006852D7" w:rsidP="00FA688C">
      <w:pPr>
        <w:rPr>
          <w:color w:val="000000" w:themeColor="text1"/>
          <w:lang w:val="en-CA"/>
        </w:rPr>
      </w:pPr>
    </w:p>
    <w:p w14:paraId="6A21C5B7" w14:textId="106A4322" w:rsidR="00DE7A53" w:rsidRPr="00FA688C" w:rsidRDefault="00DE7A53" w:rsidP="00FA688C">
      <w:pPr>
        <w:pStyle w:val="Heading1"/>
        <w:rPr>
          <w:color w:val="000000" w:themeColor="text1"/>
        </w:rPr>
      </w:pPr>
      <w:r w:rsidRPr="00FA688C">
        <w:rPr>
          <w:color w:val="000000" w:themeColor="text1"/>
        </w:rPr>
        <w:t>The total amount for existing forward commitments for MYAs for the period 201</w:t>
      </w:r>
      <w:r w:rsidR="00E76BC8" w:rsidRPr="00FA688C">
        <w:rPr>
          <w:color w:val="000000" w:themeColor="text1"/>
        </w:rPr>
        <w:t>8</w:t>
      </w:r>
      <w:r w:rsidRPr="00FA688C">
        <w:rPr>
          <w:color w:val="000000" w:themeColor="text1"/>
        </w:rPr>
        <w:t xml:space="preserve"> to 2031 is </w:t>
      </w:r>
      <w:r w:rsidR="00FA688C" w:rsidRPr="00FA688C">
        <w:rPr>
          <w:color w:val="000000" w:themeColor="text1"/>
        </w:rPr>
        <w:t>US $</w:t>
      </w:r>
      <w:r w:rsidR="002D15AB">
        <w:rPr>
          <w:color w:val="000000" w:themeColor="text1"/>
        </w:rPr>
        <w:t>892.17</w:t>
      </w:r>
      <w:r w:rsidRPr="00FA688C">
        <w:rPr>
          <w:color w:val="000000" w:themeColor="text1"/>
        </w:rPr>
        <w:t xml:space="preserve"> million, assuming that the funding requests of MYAs submitted to the </w:t>
      </w:r>
      <w:r w:rsidR="00E76BC8" w:rsidRPr="00FA688C">
        <w:rPr>
          <w:color w:val="000000" w:themeColor="text1"/>
        </w:rPr>
        <w:t>81</w:t>
      </w:r>
      <w:r w:rsidR="00E76BC8" w:rsidRPr="00FA688C">
        <w:rPr>
          <w:color w:val="000000" w:themeColor="text1"/>
          <w:vertAlign w:val="superscript"/>
        </w:rPr>
        <w:t>st</w:t>
      </w:r>
      <w:r w:rsidR="00E76BC8" w:rsidRPr="00FA688C">
        <w:rPr>
          <w:color w:val="000000" w:themeColor="text1"/>
        </w:rPr>
        <w:t xml:space="preserve"> </w:t>
      </w:r>
      <w:r w:rsidRPr="00FA688C">
        <w:rPr>
          <w:color w:val="000000" w:themeColor="text1"/>
        </w:rPr>
        <w:t>meeting will be approved i</w:t>
      </w:r>
      <w:r w:rsidR="00E96E8A" w:rsidRPr="00FA688C">
        <w:rPr>
          <w:color w:val="000000" w:themeColor="text1"/>
        </w:rPr>
        <w:t>n principle, as shown in Table 4</w:t>
      </w:r>
      <w:r w:rsidRPr="00FA688C">
        <w:rPr>
          <w:color w:val="000000" w:themeColor="text1"/>
        </w:rPr>
        <w:t>.</w:t>
      </w:r>
    </w:p>
    <w:p w14:paraId="2CAAF1EC" w14:textId="2A08352A" w:rsidR="00DE7A53" w:rsidRPr="00FA688C" w:rsidRDefault="00E96E8A" w:rsidP="00FA688C">
      <w:pPr>
        <w:keepNext/>
        <w:rPr>
          <w:b/>
          <w:bCs/>
          <w:color w:val="000000" w:themeColor="text1"/>
        </w:rPr>
      </w:pPr>
      <w:r w:rsidRPr="00FA688C">
        <w:rPr>
          <w:b/>
          <w:bCs/>
          <w:color w:val="000000" w:themeColor="text1"/>
        </w:rPr>
        <w:t>Table 4</w:t>
      </w:r>
      <w:r w:rsidR="00A05CC9" w:rsidRPr="00FA688C">
        <w:rPr>
          <w:b/>
          <w:bCs/>
          <w:color w:val="000000" w:themeColor="text1"/>
        </w:rPr>
        <w:t>. Forward commitments (2018</w:t>
      </w:r>
      <w:r w:rsidR="00DE7A53" w:rsidRPr="00FA688C">
        <w:rPr>
          <w:b/>
          <w:bCs/>
          <w:color w:val="000000" w:themeColor="text1"/>
        </w:rPr>
        <w:t>-2031) (</w:t>
      </w:r>
      <w:r w:rsidR="00FA688C" w:rsidRPr="00FA688C">
        <w:rPr>
          <w:b/>
          <w:bCs/>
          <w:color w:val="000000" w:themeColor="text1"/>
        </w:rPr>
        <w:t>US $</w:t>
      </w:r>
      <w:r w:rsidR="00DE7A53" w:rsidRPr="00FA688C">
        <w:rPr>
          <w:b/>
          <w:bCs/>
          <w:color w:val="000000" w:themeColor="text1"/>
        </w:rPr>
        <w:t>000)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51"/>
        <w:gridCol w:w="751"/>
        <w:gridCol w:w="751"/>
        <w:gridCol w:w="751"/>
        <w:gridCol w:w="651"/>
        <w:gridCol w:w="651"/>
        <w:gridCol w:w="651"/>
        <w:gridCol w:w="651"/>
        <w:gridCol w:w="651"/>
        <w:gridCol w:w="501"/>
        <w:gridCol w:w="501"/>
        <w:gridCol w:w="751"/>
      </w:tblGrid>
      <w:tr w:rsidR="00FA688C" w:rsidRPr="00FA688C" w14:paraId="2692EF8E" w14:textId="77777777" w:rsidTr="00A420FD">
        <w:trPr>
          <w:jc w:val="center"/>
        </w:trPr>
        <w:tc>
          <w:tcPr>
            <w:tcW w:w="847" w:type="pct"/>
            <w:shd w:val="clear" w:color="auto" w:fill="auto"/>
            <w:tcMar>
              <w:left w:w="29" w:type="dxa"/>
              <w:right w:w="29" w:type="dxa"/>
            </w:tcMar>
            <w:vAlign w:val="center"/>
            <w:hideMark/>
          </w:tcPr>
          <w:p w14:paraId="444B00A1"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Description</w:t>
            </w:r>
          </w:p>
        </w:tc>
        <w:tc>
          <w:tcPr>
            <w:tcW w:w="393" w:type="pct"/>
            <w:shd w:val="clear" w:color="auto" w:fill="auto"/>
            <w:tcMar>
              <w:left w:w="58" w:type="dxa"/>
              <w:right w:w="43" w:type="dxa"/>
            </w:tcMar>
            <w:vAlign w:val="center"/>
            <w:hideMark/>
          </w:tcPr>
          <w:p w14:paraId="0C640053"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2018</w:t>
            </w:r>
          </w:p>
        </w:tc>
        <w:tc>
          <w:tcPr>
            <w:tcW w:w="370" w:type="pct"/>
            <w:shd w:val="clear" w:color="auto" w:fill="auto"/>
            <w:tcMar>
              <w:left w:w="58" w:type="dxa"/>
              <w:right w:w="43" w:type="dxa"/>
            </w:tcMar>
            <w:vAlign w:val="center"/>
            <w:hideMark/>
          </w:tcPr>
          <w:p w14:paraId="736D2FD7"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2019</w:t>
            </w:r>
          </w:p>
        </w:tc>
        <w:tc>
          <w:tcPr>
            <w:tcW w:w="415" w:type="pct"/>
            <w:shd w:val="clear" w:color="auto" w:fill="auto"/>
            <w:tcMar>
              <w:left w:w="58" w:type="dxa"/>
              <w:right w:w="43" w:type="dxa"/>
            </w:tcMar>
            <w:vAlign w:val="center"/>
            <w:hideMark/>
          </w:tcPr>
          <w:p w14:paraId="3ED13415"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2020</w:t>
            </w:r>
          </w:p>
        </w:tc>
        <w:tc>
          <w:tcPr>
            <w:tcW w:w="362" w:type="pct"/>
            <w:shd w:val="clear" w:color="auto" w:fill="auto"/>
            <w:tcMar>
              <w:left w:w="58" w:type="dxa"/>
              <w:right w:w="43" w:type="dxa"/>
            </w:tcMar>
            <w:vAlign w:val="center"/>
            <w:hideMark/>
          </w:tcPr>
          <w:p w14:paraId="7AC7CF89"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2021</w:t>
            </w:r>
          </w:p>
        </w:tc>
        <w:tc>
          <w:tcPr>
            <w:tcW w:w="373" w:type="pct"/>
            <w:shd w:val="clear" w:color="auto" w:fill="auto"/>
            <w:tcMar>
              <w:left w:w="58" w:type="dxa"/>
              <w:right w:w="43" w:type="dxa"/>
            </w:tcMar>
            <w:vAlign w:val="center"/>
            <w:hideMark/>
          </w:tcPr>
          <w:p w14:paraId="5E71A6AA"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2022</w:t>
            </w:r>
          </w:p>
        </w:tc>
        <w:tc>
          <w:tcPr>
            <w:tcW w:w="324" w:type="pct"/>
            <w:shd w:val="clear" w:color="auto" w:fill="auto"/>
            <w:tcMar>
              <w:left w:w="58" w:type="dxa"/>
              <w:right w:w="43" w:type="dxa"/>
            </w:tcMar>
            <w:vAlign w:val="center"/>
            <w:hideMark/>
          </w:tcPr>
          <w:p w14:paraId="4913B72D"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2023</w:t>
            </w:r>
          </w:p>
        </w:tc>
        <w:tc>
          <w:tcPr>
            <w:tcW w:w="318" w:type="pct"/>
            <w:shd w:val="clear" w:color="auto" w:fill="auto"/>
            <w:tcMar>
              <w:left w:w="58" w:type="dxa"/>
              <w:right w:w="43" w:type="dxa"/>
            </w:tcMar>
            <w:vAlign w:val="center"/>
            <w:hideMark/>
          </w:tcPr>
          <w:p w14:paraId="14671703"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2024</w:t>
            </w:r>
          </w:p>
        </w:tc>
        <w:tc>
          <w:tcPr>
            <w:tcW w:w="314" w:type="pct"/>
            <w:shd w:val="clear" w:color="auto" w:fill="auto"/>
            <w:tcMar>
              <w:left w:w="58" w:type="dxa"/>
              <w:right w:w="43" w:type="dxa"/>
            </w:tcMar>
            <w:vAlign w:val="center"/>
            <w:hideMark/>
          </w:tcPr>
          <w:p w14:paraId="51EA8383"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2025</w:t>
            </w:r>
          </w:p>
        </w:tc>
        <w:tc>
          <w:tcPr>
            <w:tcW w:w="366" w:type="pct"/>
            <w:shd w:val="clear" w:color="auto" w:fill="auto"/>
            <w:tcMar>
              <w:left w:w="58" w:type="dxa"/>
              <w:right w:w="43" w:type="dxa"/>
            </w:tcMar>
            <w:vAlign w:val="center"/>
            <w:hideMark/>
          </w:tcPr>
          <w:p w14:paraId="2CC425FD"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2026</w:t>
            </w:r>
          </w:p>
        </w:tc>
        <w:tc>
          <w:tcPr>
            <w:tcW w:w="259" w:type="pct"/>
            <w:shd w:val="clear" w:color="auto" w:fill="auto"/>
            <w:tcMar>
              <w:left w:w="58" w:type="dxa"/>
              <w:right w:w="43" w:type="dxa"/>
            </w:tcMar>
            <w:vAlign w:val="center"/>
            <w:hideMark/>
          </w:tcPr>
          <w:p w14:paraId="7BF215E0"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2030</w:t>
            </w:r>
          </w:p>
        </w:tc>
        <w:tc>
          <w:tcPr>
            <w:tcW w:w="296" w:type="pct"/>
            <w:shd w:val="clear" w:color="auto" w:fill="auto"/>
            <w:tcMar>
              <w:left w:w="58" w:type="dxa"/>
              <w:right w:w="43" w:type="dxa"/>
            </w:tcMar>
            <w:vAlign w:val="center"/>
            <w:hideMark/>
          </w:tcPr>
          <w:p w14:paraId="113E30B5"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2031</w:t>
            </w:r>
          </w:p>
        </w:tc>
        <w:tc>
          <w:tcPr>
            <w:tcW w:w="362" w:type="pct"/>
            <w:shd w:val="clear" w:color="auto" w:fill="auto"/>
            <w:tcMar>
              <w:left w:w="58" w:type="dxa"/>
              <w:right w:w="43" w:type="dxa"/>
            </w:tcMar>
            <w:vAlign w:val="center"/>
            <w:hideMark/>
          </w:tcPr>
          <w:p w14:paraId="19DF4CD3" w14:textId="77777777" w:rsidR="00A4361D" w:rsidRPr="00FA688C" w:rsidRDefault="00A4361D" w:rsidP="00FA688C">
            <w:pPr>
              <w:jc w:val="center"/>
              <w:rPr>
                <w:b/>
                <w:bCs/>
                <w:color w:val="000000" w:themeColor="text1"/>
                <w:sz w:val="20"/>
                <w:szCs w:val="20"/>
                <w:lang w:val="en-US"/>
              </w:rPr>
            </w:pPr>
            <w:r w:rsidRPr="00FA688C">
              <w:rPr>
                <w:b/>
                <w:bCs/>
                <w:color w:val="000000" w:themeColor="text1"/>
                <w:sz w:val="20"/>
                <w:szCs w:val="20"/>
                <w:lang w:val="en-US"/>
              </w:rPr>
              <w:t>Total</w:t>
            </w:r>
          </w:p>
        </w:tc>
      </w:tr>
      <w:tr w:rsidR="002D15AB" w:rsidRPr="00FA688C" w14:paraId="47026563" w14:textId="77777777" w:rsidTr="00A420FD">
        <w:trPr>
          <w:jc w:val="center"/>
        </w:trPr>
        <w:tc>
          <w:tcPr>
            <w:tcW w:w="847" w:type="pct"/>
            <w:shd w:val="clear" w:color="auto" w:fill="auto"/>
            <w:tcMar>
              <w:left w:w="29" w:type="dxa"/>
              <w:right w:w="29" w:type="dxa"/>
            </w:tcMar>
            <w:vAlign w:val="center"/>
            <w:hideMark/>
          </w:tcPr>
          <w:p w14:paraId="6DFCD733" w14:textId="0705354B" w:rsidR="002D15AB" w:rsidRPr="00FA688C" w:rsidRDefault="00B62B40" w:rsidP="002D15AB">
            <w:pPr>
              <w:ind w:right="-58"/>
              <w:jc w:val="left"/>
              <w:rPr>
                <w:color w:val="000000" w:themeColor="text1"/>
                <w:sz w:val="20"/>
                <w:szCs w:val="20"/>
                <w:lang w:val="en-US"/>
              </w:rPr>
            </w:pPr>
            <w:r>
              <w:rPr>
                <w:color w:val="000000" w:themeColor="text1"/>
                <w:sz w:val="20"/>
                <w:szCs w:val="20"/>
                <w:lang w:val="en-US"/>
              </w:rPr>
              <w:t>A</w:t>
            </w:r>
            <w:r w:rsidR="002D15AB" w:rsidRPr="00FA688C">
              <w:rPr>
                <w:color w:val="000000" w:themeColor="text1"/>
                <w:sz w:val="20"/>
                <w:szCs w:val="20"/>
                <w:lang w:val="en-US"/>
              </w:rPr>
              <w:t xml:space="preserve">pproved </w:t>
            </w:r>
            <w:r>
              <w:rPr>
                <w:color w:val="000000" w:themeColor="text1"/>
                <w:sz w:val="20"/>
                <w:szCs w:val="20"/>
                <w:lang w:val="en-US"/>
              </w:rPr>
              <w:t>in principle</w:t>
            </w:r>
          </w:p>
        </w:tc>
        <w:tc>
          <w:tcPr>
            <w:tcW w:w="393" w:type="pct"/>
            <w:shd w:val="clear" w:color="auto" w:fill="auto"/>
            <w:tcMar>
              <w:left w:w="58" w:type="dxa"/>
              <w:right w:w="43" w:type="dxa"/>
            </w:tcMar>
            <w:hideMark/>
          </w:tcPr>
          <w:p w14:paraId="17D8BDB6" w14:textId="46F8A8F0" w:rsidR="002D15AB" w:rsidRPr="002D15AB" w:rsidRDefault="002D15AB" w:rsidP="002D15AB">
            <w:pPr>
              <w:jc w:val="right"/>
              <w:rPr>
                <w:color w:val="000000" w:themeColor="text1"/>
                <w:sz w:val="20"/>
                <w:szCs w:val="20"/>
                <w:lang w:val="en-US"/>
              </w:rPr>
            </w:pPr>
            <w:r w:rsidRPr="002D15AB">
              <w:rPr>
                <w:sz w:val="20"/>
                <w:szCs w:val="20"/>
              </w:rPr>
              <w:t>159,490</w:t>
            </w:r>
          </w:p>
        </w:tc>
        <w:tc>
          <w:tcPr>
            <w:tcW w:w="370" w:type="pct"/>
            <w:shd w:val="clear" w:color="auto" w:fill="auto"/>
            <w:tcMar>
              <w:left w:w="58" w:type="dxa"/>
              <w:right w:w="43" w:type="dxa"/>
            </w:tcMar>
            <w:hideMark/>
          </w:tcPr>
          <w:p w14:paraId="70F29E18" w14:textId="604A50C2" w:rsidR="002D15AB" w:rsidRPr="002D15AB" w:rsidRDefault="002D15AB" w:rsidP="002D15AB">
            <w:pPr>
              <w:jc w:val="right"/>
              <w:rPr>
                <w:color w:val="000000" w:themeColor="text1"/>
                <w:sz w:val="20"/>
                <w:szCs w:val="20"/>
                <w:lang w:val="en-US"/>
              </w:rPr>
            </w:pPr>
            <w:r w:rsidRPr="002D15AB">
              <w:rPr>
                <w:sz w:val="20"/>
                <w:szCs w:val="20"/>
              </w:rPr>
              <w:t>86,593</w:t>
            </w:r>
          </w:p>
        </w:tc>
        <w:tc>
          <w:tcPr>
            <w:tcW w:w="415" w:type="pct"/>
            <w:shd w:val="clear" w:color="auto" w:fill="auto"/>
            <w:tcMar>
              <w:left w:w="58" w:type="dxa"/>
              <w:right w:w="43" w:type="dxa"/>
            </w:tcMar>
            <w:hideMark/>
          </w:tcPr>
          <w:p w14:paraId="26A7FAA7" w14:textId="5976E497" w:rsidR="002D15AB" w:rsidRPr="002D15AB" w:rsidRDefault="002D15AB" w:rsidP="002D15AB">
            <w:pPr>
              <w:jc w:val="right"/>
              <w:rPr>
                <w:color w:val="000000" w:themeColor="text1"/>
                <w:sz w:val="20"/>
                <w:szCs w:val="20"/>
                <w:lang w:val="en-US"/>
              </w:rPr>
            </w:pPr>
            <w:r w:rsidRPr="002D15AB">
              <w:rPr>
                <w:sz w:val="20"/>
                <w:szCs w:val="20"/>
              </w:rPr>
              <w:t>102,854</w:t>
            </w:r>
          </w:p>
        </w:tc>
        <w:tc>
          <w:tcPr>
            <w:tcW w:w="362" w:type="pct"/>
            <w:shd w:val="clear" w:color="auto" w:fill="auto"/>
            <w:tcMar>
              <w:left w:w="58" w:type="dxa"/>
              <w:right w:w="43" w:type="dxa"/>
            </w:tcMar>
            <w:hideMark/>
          </w:tcPr>
          <w:p w14:paraId="15479CEE" w14:textId="5B2FFBB5" w:rsidR="002D15AB" w:rsidRPr="002D15AB" w:rsidRDefault="002D15AB" w:rsidP="002D15AB">
            <w:pPr>
              <w:jc w:val="right"/>
              <w:rPr>
                <w:color w:val="000000" w:themeColor="text1"/>
                <w:sz w:val="20"/>
                <w:szCs w:val="20"/>
                <w:lang w:val="en-US"/>
              </w:rPr>
            </w:pPr>
            <w:r w:rsidRPr="002D15AB">
              <w:rPr>
                <w:sz w:val="20"/>
                <w:szCs w:val="20"/>
              </w:rPr>
              <w:t>94,677</w:t>
            </w:r>
          </w:p>
        </w:tc>
        <w:tc>
          <w:tcPr>
            <w:tcW w:w="373" w:type="pct"/>
            <w:shd w:val="clear" w:color="auto" w:fill="auto"/>
            <w:tcMar>
              <w:left w:w="58" w:type="dxa"/>
              <w:right w:w="43" w:type="dxa"/>
            </w:tcMar>
            <w:hideMark/>
          </w:tcPr>
          <w:p w14:paraId="775C1C24" w14:textId="323DF985" w:rsidR="002D15AB" w:rsidRPr="002D15AB" w:rsidRDefault="002D15AB" w:rsidP="002D15AB">
            <w:pPr>
              <w:jc w:val="right"/>
              <w:rPr>
                <w:color w:val="000000" w:themeColor="text1"/>
                <w:sz w:val="20"/>
                <w:szCs w:val="20"/>
                <w:lang w:val="en-US"/>
              </w:rPr>
            </w:pPr>
            <w:r w:rsidRPr="002D15AB">
              <w:rPr>
                <w:sz w:val="20"/>
                <w:szCs w:val="20"/>
              </w:rPr>
              <w:t>46,347</w:t>
            </w:r>
          </w:p>
        </w:tc>
        <w:tc>
          <w:tcPr>
            <w:tcW w:w="324" w:type="pct"/>
            <w:shd w:val="clear" w:color="auto" w:fill="auto"/>
            <w:tcMar>
              <w:left w:w="58" w:type="dxa"/>
              <w:right w:w="43" w:type="dxa"/>
            </w:tcMar>
            <w:hideMark/>
          </w:tcPr>
          <w:p w14:paraId="23B08E6F" w14:textId="4D62A220" w:rsidR="002D15AB" w:rsidRPr="002D15AB" w:rsidRDefault="002D15AB" w:rsidP="002D15AB">
            <w:pPr>
              <w:jc w:val="right"/>
              <w:rPr>
                <w:color w:val="000000" w:themeColor="text1"/>
                <w:sz w:val="20"/>
                <w:szCs w:val="20"/>
                <w:lang w:val="en-US"/>
              </w:rPr>
            </w:pPr>
            <w:r w:rsidRPr="002D15AB">
              <w:rPr>
                <w:sz w:val="20"/>
                <w:szCs w:val="20"/>
              </w:rPr>
              <w:t>36,076</w:t>
            </w:r>
          </w:p>
        </w:tc>
        <w:tc>
          <w:tcPr>
            <w:tcW w:w="318" w:type="pct"/>
            <w:shd w:val="clear" w:color="auto" w:fill="auto"/>
            <w:tcMar>
              <w:left w:w="58" w:type="dxa"/>
              <w:right w:w="43" w:type="dxa"/>
            </w:tcMar>
            <w:hideMark/>
          </w:tcPr>
          <w:p w14:paraId="47550DD1" w14:textId="035E0F65" w:rsidR="002D15AB" w:rsidRPr="002D15AB" w:rsidRDefault="002D15AB" w:rsidP="002D15AB">
            <w:pPr>
              <w:jc w:val="right"/>
              <w:rPr>
                <w:color w:val="000000" w:themeColor="text1"/>
                <w:sz w:val="20"/>
                <w:szCs w:val="20"/>
                <w:lang w:val="en-US"/>
              </w:rPr>
            </w:pPr>
            <w:r w:rsidRPr="002D15AB">
              <w:rPr>
                <w:sz w:val="20"/>
                <w:szCs w:val="20"/>
              </w:rPr>
              <w:t>27,748</w:t>
            </w:r>
          </w:p>
        </w:tc>
        <w:tc>
          <w:tcPr>
            <w:tcW w:w="314" w:type="pct"/>
            <w:shd w:val="clear" w:color="auto" w:fill="auto"/>
            <w:tcMar>
              <w:left w:w="58" w:type="dxa"/>
              <w:right w:w="43" w:type="dxa"/>
            </w:tcMar>
            <w:hideMark/>
          </w:tcPr>
          <w:p w14:paraId="24FFEE6F" w14:textId="5CAFEA7D" w:rsidR="002D15AB" w:rsidRPr="002D15AB" w:rsidRDefault="002D15AB" w:rsidP="002D15AB">
            <w:pPr>
              <w:jc w:val="right"/>
              <w:rPr>
                <w:color w:val="000000" w:themeColor="text1"/>
                <w:sz w:val="20"/>
                <w:szCs w:val="20"/>
                <w:lang w:val="en-US"/>
              </w:rPr>
            </w:pPr>
            <w:r w:rsidRPr="002D15AB">
              <w:rPr>
                <w:sz w:val="20"/>
                <w:szCs w:val="20"/>
              </w:rPr>
              <w:t>28,407</w:t>
            </w:r>
          </w:p>
        </w:tc>
        <w:tc>
          <w:tcPr>
            <w:tcW w:w="366" w:type="pct"/>
            <w:shd w:val="clear" w:color="auto" w:fill="auto"/>
            <w:tcMar>
              <w:left w:w="58" w:type="dxa"/>
              <w:right w:w="43" w:type="dxa"/>
            </w:tcMar>
            <w:hideMark/>
          </w:tcPr>
          <w:p w14:paraId="096AD432" w14:textId="663CEDFE" w:rsidR="002D15AB" w:rsidRPr="002D15AB" w:rsidRDefault="002D15AB" w:rsidP="002D15AB">
            <w:pPr>
              <w:jc w:val="right"/>
              <w:rPr>
                <w:color w:val="000000" w:themeColor="text1"/>
                <w:sz w:val="20"/>
                <w:szCs w:val="20"/>
                <w:lang w:val="en-US"/>
              </w:rPr>
            </w:pPr>
            <w:r w:rsidRPr="002D15AB">
              <w:rPr>
                <w:sz w:val="20"/>
                <w:szCs w:val="20"/>
              </w:rPr>
              <w:t>32,043</w:t>
            </w:r>
          </w:p>
        </w:tc>
        <w:tc>
          <w:tcPr>
            <w:tcW w:w="259" w:type="pct"/>
            <w:shd w:val="clear" w:color="auto" w:fill="auto"/>
            <w:tcMar>
              <w:left w:w="58" w:type="dxa"/>
              <w:right w:w="43" w:type="dxa"/>
            </w:tcMar>
            <w:hideMark/>
          </w:tcPr>
          <w:p w14:paraId="625B3AA9" w14:textId="2037D468" w:rsidR="002D15AB" w:rsidRPr="002D15AB" w:rsidRDefault="002D15AB" w:rsidP="002D15AB">
            <w:pPr>
              <w:jc w:val="right"/>
              <w:rPr>
                <w:color w:val="000000" w:themeColor="text1"/>
                <w:sz w:val="20"/>
                <w:szCs w:val="20"/>
                <w:lang w:val="en-US"/>
              </w:rPr>
            </w:pPr>
            <w:r w:rsidRPr="002D15AB">
              <w:rPr>
                <w:sz w:val="20"/>
                <w:szCs w:val="20"/>
              </w:rPr>
              <w:t>212</w:t>
            </w:r>
          </w:p>
        </w:tc>
        <w:tc>
          <w:tcPr>
            <w:tcW w:w="296" w:type="pct"/>
            <w:shd w:val="clear" w:color="auto" w:fill="auto"/>
            <w:tcMar>
              <w:left w:w="58" w:type="dxa"/>
              <w:right w:w="43" w:type="dxa"/>
            </w:tcMar>
            <w:hideMark/>
          </w:tcPr>
          <w:p w14:paraId="60E63D95" w14:textId="5894F73D" w:rsidR="002D15AB" w:rsidRPr="002D15AB" w:rsidRDefault="002D15AB" w:rsidP="002D15AB">
            <w:pPr>
              <w:jc w:val="right"/>
              <w:rPr>
                <w:color w:val="000000" w:themeColor="text1"/>
                <w:sz w:val="20"/>
                <w:szCs w:val="20"/>
                <w:lang w:val="en-US"/>
              </w:rPr>
            </w:pPr>
            <w:r w:rsidRPr="002D15AB">
              <w:rPr>
                <w:sz w:val="20"/>
                <w:szCs w:val="20"/>
              </w:rPr>
              <w:t>57</w:t>
            </w:r>
          </w:p>
        </w:tc>
        <w:tc>
          <w:tcPr>
            <w:tcW w:w="362" w:type="pct"/>
            <w:shd w:val="clear" w:color="auto" w:fill="auto"/>
            <w:tcMar>
              <w:left w:w="58" w:type="dxa"/>
              <w:right w:w="43" w:type="dxa"/>
            </w:tcMar>
            <w:hideMark/>
          </w:tcPr>
          <w:p w14:paraId="7BD57550" w14:textId="09310298" w:rsidR="002D15AB" w:rsidRPr="002D15AB" w:rsidRDefault="002D15AB" w:rsidP="002D15AB">
            <w:pPr>
              <w:jc w:val="right"/>
              <w:rPr>
                <w:color w:val="000000" w:themeColor="text1"/>
                <w:sz w:val="20"/>
                <w:szCs w:val="20"/>
                <w:lang w:val="en-US"/>
              </w:rPr>
            </w:pPr>
            <w:r w:rsidRPr="002D15AB">
              <w:rPr>
                <w:sz w:val="20"/>
                <w:szCs w:val="20"/>
              </w:rPr>
              <w:t>614,503</w:t>
            </w:r>
          </w:p>
        </w:tc>
      </w:tr>
      <w:tr w:rsidR="002D15AB" w:rsidRPr="00FA688C" w14:paraId="3FF9B353" w14:textId="77777777" w:rsidTr="00A420FD">
        <w:trPr>
          <w:jc w:val="center"/>
        </w:trPr>
        <w:tc>
          <w:tcPr>
            <w:tcW w:w="847" w:type="pct"/>
            <w:shd w:val="clear" w:color="auto" w:fill="auto"/>
            <w:tcMar>
              <w:left w:w="29" w:type="dxa"/>
              <w:right w:w="29" w:type="dxa"/>
            </w:tcMar>
            <w:vAlign w:val="center"/>
            <w:hideMark/>
          </w:tcPr>
          <w:p w14:paraId="0E570DC6" w14:textId="77777777" w:rsidR="00B62B40" w:rsidRDefault="00B62B40" w:rsidP="00B62B40">
            <w:pPr>
              <w:jc w:val="left"/>
              <w:rPr>
                <w:color w:val="000000" w:themeColor="text1"/>
                <w:sz w:val="20"/>
                <w:szCs w:val="20"/>
                <w:lang w:val="en-US"/>
              </w:rPr>
            </w:pPr>
            <w:r>
              <w:rPr>
                <w:color w:val="000000" w:themeColor="text1"/>
                <w:sz w:val="20"/>
                <w:szCs w:val="20"/>
                <w:lang w:val="en-US"/>
              </w:rPr>
              <w:t>S</w:t>
            </w:r>
            <w:r w:rsidR="002D15AB" w:rsidRPr="00FA688C">
              <w:rPr>
                <w:color w:val="000000" w:themeColor="text1"/>
                <w:sz w:val="20"/>
                <w:szCs w:val="20"/>
                <w:lang w:val="en-US"/>
              </w:rPr>
              <w:t xml:space="preserve">ubmitted to </w:t>
            </w:r>
          </w:p>
          <w:p w14:paraId="41F87363" w14:textId="1987EB35" w:rsidR="002D15AB" w:rsidRPr="00FA688C" w:rsidRDefault="002D15AB" w:rsidP="00B62B40">
            <w:pPr>
              <w:jc w:val="left"/>
              <w:rPr>
                <w:color w:val="000000" w:themeColor="text1"/>
                <w:sz w:val="20"/>
                <w:szCs w:val="20"/>
                <w:lang w:val="en-US"/>
              </w:rPr>
            </w:pPr>
            <w:r w:rsidRPr="00B62B40">
              <w:rPr>
                <w:color w:val="000000" w:themeColor="text1"/>
                <w:sz w:val="20"/>
                <w:szCs w:val="20"/>
                <w:lang w:val="en-US"/>
              </w:rPr>
              <w:t>81</w:t>
            </w:r>
            <w:r w:rsidRPr="00B62B40">
              <w:rPr>
                <w:color w:val="000000" w:themeColor="text1"/>
                <w:sz w:val="20"/>
                <w:szCs w:val="20"/>
                <w:vertAlign w:val="superscript"/>
                <w:lang w:val="en-US"/>
              </w:rPr>
              <w:t>st</w:t>
            </w:r>
            <w:r w:rsidR="00B62B40">
              <w:rPr>
                <w:color w:val="000000" w:themeColor="text1"/>
                <w:sz w:val="20"/>
                <w:szCs w:val="20"/>
                <w:lang w:val="en-US"/>
              </w:rPr>
              <w:t xml:space="preserve"> </w:t>
            </w:r>
            <w:r w:rsidRPr="00B62B40">
              <w:rPr>
                <w:color w:val="000000" w:themeColor="text1"/>
                <w:sz w:val="20"/>
                <w:szCs w:val="20"/>
                <w:lang w:val="en-US"/>
              </w:rPr>
              <w:t>meeting</w:t>
            </w:r>
          </w:p>
        </w:tc>
        <w:tc>
          <w:tcPr>
            <w:tcW w:w="393" w:type="pct"/>
            <w:shd w:val="clear" w:color="auto" w:fill="auto"/>
            <w:tcMar>
              <w:left w:w="58" w:type="dxa"/>
              <w:right w:w="43" w:type="dxa"/>
            </w:tcMar>
            <w:hideMark/>
          </w:tcPr>
          <w:p w14:paraId="736F706F" w14:textId="1F35412D" w:rsidR="002D15AB" w:rsidRPr="002D15AB" w:rsidRDefault="002D15AB" w:rsidP="002D15AB">
            <w:pPr>
              <w:jc w:val="right"/>
              <w:rPr>
                <w:color w:val="000000" w:themeColor="text1"/>
                <w:sz w:val="20"/>
                <w:szCs w:val="20"/>
                <w:lang w:val="en-US"/>
              </w:rPr>
            </w:pPr>
            <w:r w:rsidRPr="002D15AB">
              <w:rPr>
                <w:sz w:val="20"/>
                <w:szCs w:val="20"/>
              </w:rPr>
              <w:t>35,638</w:t>
            </w:r>
          </w:p>
        </w:tc>
        <w:tc>
          <w:tcPr>
            <w:tcW w:w="370" w:type="pct"/>
            <w:shd w:val="clear" w:color="auto" w:fill="auto"/>
            <w:tcMar>
              <w:left w:w="58" w:type="dxa"/>
              <w:right w:w="43" w:type="dxa"/>
            </w:tcMar>
            <w:hideMark/>
          </w:tcPr>
          <w:p w14:paraId="15393981" w14:textId="24EF24E7" w:rsidR="002D15AB" w:rsidRPr="002D15AB" w:rsidRDefault="002D15AB" w:rsidP="002D15AB">
            <w:pPr>
              <w:jc w:val="right"/>
              <w:rPr>
                <w:color w:val="000000" w:themeColor="text1"/>
                <w:sz w:val="20"/>
                <w:szCs w:val="20"/>
                <w:lang w:val="en-US"/>
              </w:rPr>
            </w:pPr>
            <w:r w:rsidRPr="002D15AB">
              <w:rPr>
                <w:sz w:val="20"/>
                <w:szCs w:val="20"/>
              </w:rPr>
              <w:t>28,587</w:t>
            </w:r>
          </w:p>
        </w:tc>
        <w:tc>
          <w:tcPr>
            <w:tcW w:w="415" w:type="pct"/>
            <w:shd w:val="clear" w:color="auto" w:fill="auto"/>
            <w:tcMar>
              <w:left w:w="58" w:type="dxa"/>
              <w:right w:w="43" w:type="dxa"/>
            </w:tcMar>
            <w:hideMark/>
          </w:tcPr>
          <w:p w14:paraId="4F5FC1FC" w14:textId="6F4CCFF3" w:rsidR="002D15AB" w:rsidRPr="002D15AB" w:rsidRDefault="002D15AB" w:rsidP="002D15AB">
            <w:pPr>
              <w:jc w:val="right"/>
              <w:rPr>
                <w:color w:val="000000" w:themeColor="text1"/>
                <w:sz w:val="20"/>
                <w:szCs w:val="20"/>
                <w:lang w:val="en-US"/>
              </w:rPr>
            </w:pPr>
            <w:r w:rsidRPr="002D15AB">
              <w:rPr>
                <w:sz w:val="20"/>
                <w:szCs w:val="20"/>
              </w:rPr>
              <w:t>34,387</w:t>
            </w:r>
          </w:p>
        </w:tc>
        <w:tc>
          <w:tcPr>
            <w:tcW w:w="362" w:type="pct"/>
            <w:shd w:val="clear" w:color="auto" w:fill="auto"/>
            <w:tcMar>
              <w:left w:w="58" w:type="dxa"/>
              <w:right w:w="43" w:type="dxa"/>
            </w:tcMar>
            <w:hideMark/>
          </w:tcPr>
          <w:p w14:paraId="27A1BC43" w14:textId="58C58277" w:rsidR="002D15AB" w:rsidRPr="002D15AB" w:rsidRDefault="002D15AB" w:rsidP="002D15AB">
            <w:pPr>
              <w:jc w:val="right"/>
              <w:rPr>
                <w:color w:val="000000" w:themeColor="text1"/>
                <w:sz w:val="20"/>
                <w:szCs w:val="20"/>
                <w:lang w:val="en-US"/>
              </w:rPr>
            </w:pPr>
            <w:r w:rsidRPr="002D15AB">
              <w:rPr>
                <w:sz w:val="20"/>
                <w:szCs w:val="20"/>
              </w:rPr>
              <w:t>28,587</w:t>
            </w:r>
          </w:p>
        </w:tc>
        <w:tc>
          <w:tcPr>
            <w:tcW w:w="373" w:type="pct"/>
            <w:shd w:val="clear" w:color="auto" w:fill="auto"/>
            <w:tcMar>
              <w:left w:w="58" w:type="dxa"/>
              <w:right w:w="43" w:type="dxa"/>
            </w:tcMar>
            <w:hideMark/>
          </w:tcPr>
          <w:p w14:paraId="02C01668" w14:textId="05BAA386" w:rsidR="002D15AB" w:rsidRPr="002D15AB" w:rsidRDefault="002D15AB" w:rsidP="002D15AB">
            <w:pPr>
              <w:jc w:val="right"/>
              <w:rPr>
                <w:color w:val="000000" w:themeColor="text1"/>
                <w:sz w:val="20"/>
                <w:szCs w:val="20"/>
                <w:lang w:val="en-US"/>
              </w:rPr>
            </w:pPr>
            <w:r w:rsidRPr="002D15AB">
              <w:rPr>
                <w:sz w:val="20"/>
                <w:szCs w:val="20"/>
              </w:rPr>
              <w:t>34,103</w:t>
            </w:r>
          </w:p>
        </w:tc>
        <w:tc>
          <w:tcPr>
            <w:tcW w:w="324" w:type="pct"/>
            <w:shd w:val="clear" w:color="auto" w:fill="auto"/>
            <w:tcMar>
              <w:left w:w="58" w:type="dxa"/>
              <w:right w:w="43" w:type="dxa"/>
            </w:tcMar>
            <w:hideMark/>
          </w:tcPr>
          <w:p w14:paraId="1E2852E0" w14:textId="3C0DA1E0" w:rsidR="002D15AB" w:rsidRPr="002D15AB" w:rsidRDefault="002D15AB" w:rsidP="002D15AB">
            <w:pPr>
              <w:jc w:val="right"/>
              <w:rPr>
                <w:color w:val="000000" w:themeColor="text1"/>
                <w:sz w:val="20"/>
                <w:szCs w:val="20"/>
                <w:lang w:val="en-US"/>
              </w:rPr>
            </w:pPr>
            <w:r w:rsidRPr="002D15AB">
              <w:rPr>
                <w:sz w:val="20"/>
                <w:szCs w:val="20"/>
              </w:rPr>
              <w:t>28,587</w:t>
            </w:r>
          </w:p>
        </w:tc>
        <w:tc>
          <w:tcPr>
            <w:tcW w:w="318" w:type="pct"/>
            <w:shd w:val="clear" w:color="auto" w:fill="auto"/>
            <w:tcMar>
              <w:left w:w="58" w:type="dxa"/>
              <w:right w:w="43" w:type="dxa"/>
            </w:tcMar>
            <w:hideMark/>
          </w:tcPr>
          <w:p w14:paraId="0C000C9C" w14:textId="320E728E" w:rsidR="002D15AB" w:rsidRPr="002D15AB" w:rsidRDefault="002D15AB" w:rsidP="002D15AB">
            <w:pPr>
              <w:jc w:val="right"/>
              <w:rPr>
                <w:color w:val="000000" w:themeColor="text1"/>
                <w:sz w:val="20"/>
                <w:szCs w:val="20"/>
                <w:lang w:val="en-US"/>
              </w:rPr>
            </w:pPr>
            <w:r w:rsidRPr="002D15AB">
              <w:rPr>
                <w:sz w:val="20"/>
                <w:szCs w:val="20"/>
              </w:rPr>
              <w:t>29,805</w:t>
            </w:r>
          </w:p>
        </w:tc>
        <w:tc>
          <w:tcPr>
            <w:tcW w:w="314" w:type="pct"/>
            <w:shd w:val="clear" w:color="auto" w:fill="auto"/>
            <w:tcMar>
              <w:left w:w="58" w:type="dxa"/>
              <w:right w:w="43" w:type="dxa"/>
            </w:tcMar>
            <w:hideMark/>
          </w:tcPr>
          <w:p w14:paraId="78F06DBF" w14:textId="0919523E" w:rsidR="002D15AB" w:rsidRPr="002D15AB" w:rsidRDefault="002D15AB" w:rsidP="002D15AB">
            <w:pPr>
              <w:jc w:val="right"/>
              <w:rPr>
                <w:color w:val="000000" w:themeColor="text1"/>
                <w:sz w:val="20"/>
                <w:szCs w:val="20"/>
                <w:lang w:val="en-US"/>
              </w:rPr>
            </w:pPr>
            <w:r w:rsidRPr="002D15AB">
              <w:rPr>
                <w:sz w:val="20"/>
                <w:szCs w:val="20"/>
              </w:rPr>
              <w:t>29,384</w:t>
            </w:r>
          </w:p>
        </w:tc>
        <w:tc>
          <w:tcPr>
            <w:tcW w:w="366" w:type="pct"/>
            <w:shd w:val="clear" w:color="auto" w:fill="auto"/>
            <w:tcMar>
              <w:left w:w="58" w:type="dxa"/>
              <w:right w:w="43" w:type="dxa"/>
            </w:tcMar>
            <w:hideMark/>
          </w:tcPr>
          <w:p w14:paraId="3AAF379E" w14:textId="3D205788" w:rsidR="002D15AB" w:rsidRPr="002D15AB" w:rsidRDefault="002D15AB" w:rsidP="002D15AB">
            <w:pPr>
              <w:jc w:val="right"/>
              <w:rPr>
                <w:color w:val="000000" w:themeColor="text1"/>
                <w:sz w:val="20"/>
                <w:szCs w:val="20"/>
                <w:lang w:val="en-US"/>
              </w:rPr>
            </w:pPr>
            <w:r w:rsidRPr="002D15AB">
              <w:rPr>
                <w:sz w:val="20"/>
                <w:szCs w:val="20"/>
              </w:rPr>
              <w:t>28,587</w:t>
            </w:r>
          </w:p>
        </w:tc>
        <w:tc>
          <w:tcPr>
            <w:tcW w:w="259" w:type="pct"/>
            <w:shd w:val="clear" w:color="auto" w:fill="auto"/>
            <w:tcMar>
              <w:left w:w="58" w:type="dxa"/>
              <w:right w:w="43" w:type="dxa"/>
            </w:tcMar>
            <w:hideMark/>
          </w:tcPr>
          <w:p w14:paraId="6EF56C5B" w14:textId="2A67D922" w:rsidR="002D15AB" w:rsidRPr="002D15AB" w:rsidRDefault="002D15AB" w:rsidP="002D15AB">
            <w:pPr>
              <w:jc w:val="right"/>
              <w:rPr>
                <w:color w:val="000000" w:themeColor="text1"/>
                <w:sz w:val="20"/>
                <w:szCs w:val="20"/>
                <w:lang w:val="en-US"/>
              </w:rPr>
            </w:pPr>
            <w:r w:rsidRPr="002D15AB">
              <w:rPr>
                <w:sz w:val="20"/>
                <w:szCs w:val="20"/>
              </w:rPr>
              <w:t>0</w:t>
            </w:r>
          </w:p>
        </w:tc>
        <w:tc>
          <w:tcPr>
            <w:tcW w:w="296" w:type="pct"/>
            <w:shd w:val="clear" w:color="auto" w:fill="auto"/>
            <w:tcMar>
              <w:left w:w="58" w:type="dxa"/>
              <w:right w:w="43" w:type="dxa"/>
            </w:tcMar>
            <w:hideMark/>
          </w:tcPr>
          <w:p w14:paraId="584AD598" w14:textId="74CE1C4D" w:rsidR="002D15AB" w:rsidRPr="002D15AB" w:rsidRDefault="002D15AB" w:rsidP="002D15AB">
            <w:pPr>
              <w:jc w:val="right"/>
              <w:rPr>
                <w:color w:val="000000" w:themeColor="text1"/>
                <w:sz w:val="20"/>
                <w:szCs w:val="20"/>
                <w:lang w:val="en-US"/>
              </w:rPr>
            </w:pPr>
            <w:r w:rsidRPr="002D15AB">
              <w:rPr>
                <w:sz w:val="20"/>
                <w:szCs w:val="20"/>
              </w:rPr>
              <w:t>0</w:t>
            </w:r>
          </w:p>
        </w:tc>
        <w:tc>
          <w:tcPr>
            <w:tcW w:w="362" w:type="pct"/>
            <w:shd w:val="clear" w:color="auto" w:fill="auto"/>
            <w:tcMar>
              <w:left w:w="58" w:type="dxa"/>
              <w:right w:w="43" w:type="dxa"/>
            </w:tcMar>
            <w:hideMark/>
          </w:tcPr>
          <w:p w14:paraId="49F10FD8" w14:textId="5C6CA8EC" w:rsidR="002D15AB" w:rsidRPr="002D15AB" w:rsidRDefault="002D15AB" w:rsidP="002D15AB">
            <w:pPr>
              <w:jc w:val="right"/>
              <w:rPr>
                <w:color w:val="000000" w:themeColor="text1"/>
                <w:sz w:val="20"/>
                <w:szCs w:val="20"/>
                <w:lang w:val="en-US"/>
              </w:rPr>
            </w:pPr>
            <w:r w:rsidRPr="002D15AB">
              <w:rPr>
                <w:sz w:val="20"/>
                <w:szCs w:val="20"/>
              </w:rPr>
              <w:t>277,665</w:t>
            </w:r>
          </w:p>
        </w:tc>
      </w:tr>
      <w:tr w:rsidR="002D15AB" w:rsidRPr="00FA688C" w14:paraId="53C57173" w14:textId="77777777" w:rsidTr="00A420FD">
        <w:trPr>
          <w:jc w:val="center"/>
        </w:trPr>
        <w:tc>
          <w:tcPr>
            <w:tcW w:w="847" w:type="pct"/>
            <w:shd w:val="clear" w:color="auto" w:fill="auto"/>
            <w:tcMar>
              <w:left w:w="29" w:type="dxa"/>
              <w:right w:w="29" w:type="dxa"/>
            </w:tcMar>
            <w:vAlign w:val="center"/>
            <w:hideMark/>
          </w:tcPr>
          <w:p w14:paraId="69615988" w14:textId="77777777" w:rsidR="002D15AB" w:rsidRPr="002D15AB" w:rsidRDefault="002D15AB" w:rsidP="002D15AB">
            <w:pPr>
              <w:jc w:val="left"/>
              <w:rPr>
                <w:b/>
                <w:color w:val="000000" w:themeColor="text1"/>
                <w:sz w:val="20"/>
                <w:szCs w:val="20"/>
                <w:lang w:val="en-US"/>
              </w:rPr>
            </w:pPr>
            <w:r w:rsidRPr="002D15AB">
              <w:rPr>
                <w:b/>
                <w:color w:val="000000" w:themeColor="text1"/>
                <w:sz w:val="20"/>
                <w:szCs w:val="20"/>
                <w:lang w:val="en-US"/>
              </w:rPr>
              <w:t xml:space="preserve">Total </w:t>
            </w:r>
          </w:p>
        </w:tc>
        <w:tc>
          <w:tcPr>
            <w:tcW w:w="393" w:type="pct"/>
            <w:shd w:val="clear" w:color="auto" w:fill="auto"/>
            <w:tcMar>
              <w:left w:w="58" w:type="dxa"/>
              <w:right w:w="43" w:type="dxa"/>
            </w:tcMar>
            <w:hideMark/>
          </w:tcPr>
          <w:p w14:paraId="56B4A333" w14:textId="446DE47B" w:rsidR="002D15AB" w:rsidRPr="002D15AB" w:rsidRDefault="002D15AB" w:rsidP="002D15AB">
            <w:pPr>
              <w:jc w:val="right"/>
              <w:rPr>
                <w:b/>
                <w:bCs/>
                <w:color w:val="000000" w:themeColor="text1"/>
                <w:sz w:val="20"/>
                <w:szCs w:val="20"/>
                <w:lang w:val="en-US"/>
              </w:rPr>
            </w:pPr>
            <w:r w:rsidRPr="002D15AB">
              <w:rPr>
                <w:b/>
                <w:sz w:val="20"/>
                <w:szCs w:val="20"/>
              </w:rPr>
              <w:t>195,128</w:t>
            </w:r>
          </w:p>
        </w:tc>
        <w:tc>
          <w:tcPr>
            <w:tcW w:w="370" w:type="pct"/>
            <w:shd w:val="clear" w:color="auto" w:fill="auto"/>
            <w:tcMar>
              <w:left w:w="58" w:type="dxa"/>
              <w:right w:w="43" w:type="dxa"/>
            </w:tcMar>
            <w:hideMark/>
          </w:tcPr>
          <w:p w14:paraId="6AE5D1D6" w14:textId="119EF44B" w:rsidR="002D15AB" w:rsidRPr="002D15AB" w:rsidRDefault="002D15AB" w:rsidP="002D15AB">
            <w:pPr>
              <w:jc w:val="right"/>
              <w:rPr>
                <w:b/>
                <w:bCs/>
                <w:color w:val="000000" w:themeColor="text1"/>
                <w:sz w:val="20"/>
                <w:szCs w:val="20"/>
                <w:lang w:val="en-US"/>
              </w:rPr>
            </w:pPr>
            <w:r w:rsidRPr="002D15AB">
              <w:rPr>
                <w:b/>
                <w:sz w:val="20"/>
                <w:szCs w:val="20"/>
              </w:rPr>
              <w:t>115,180</w:t>
            </w:r>
          </w:p>
        </w:tc>
        <w:tc>
          <w:tcPr>
            <w:tcW w:w="415" w:type="pct"/>
            <w:shd w:val="clear" w:color="auto" w:fill="auto"/>
            <w:tcMar>
              <w:left w:w="58" w:type="dxa"/>
              <w:right w:w="43" w:type="dxa"/>
            </w:tcMar>
            <w:hideMark/>
          </w:tcPr>
          <w:p w14:paraId="0DAFF7AE" w14:textId="3FDEC72D" w:rsidR="002D15AB" w:rsidRPr="002D15AB" w:rsidRDefault="002D15AB" w:rsidP="002D15AB">
            <w:pPr>
              <w:jc w:val="right"/>
              <w:rPr>
                <w:b/>
                <w:bCs/>
                <w:color w:val="000000" w:themeColor="text1"/>
                <w:sz w:val="20"/>
                <w:szCs w:val="20"/>
                <w:lang w:val="en-US"/>
              </w:rPr>
            </w:pPr>
            <w:r w:rsidRPr="002D15AB">
              <w:rPr>
                <w:b/>
                <w:sz w:val="20"/>
                <w:szCs w:val="20"/>
              </w:rPr>
              <w:t>137,241</w:t>
            </w:r>
          </w:p>
        </w:tc>
        <w:tc>
          <w:tcPr>
            <w:tcW w:w="362" w:type="pct"/>
            <w:shd w:val="clear" w:color="auto" w:fill="auto"/>
            <w:tcMar>
              <w:left w:w="58" w:type="dxa"/>
              <w:right w:w="43" w:type="dxa"/>
            </w:tcMar>
            <w:hideMark/>
          </w:tcPr>
          <w:p w14:paraId="32BD8848" w14:textId="71A5D976" w:rsidR="002D15AB" w:rsidRPr="002D15AB" w:rsidRDefault="002D15AB" w:rsidP="002D15AB">
            <w:pPr>
              <w:jc w:val="right"/>
              <w:rPr>
                <w:b/>
                <w:bCs/>
                <w:color w:val="000000" w:themeColor="text1"/>
                <w:sz w:val="20"/>
                <w:szCs w:val="20"/>
                <w:lang w:val="en-US"/>
              </w:rPr>
            </w:pPr>
            <w:r w:rsidRPr="002D15AB">
              <w:rPr>
                <w:b/>
                <w:sz w:val="20"/>
                <w:szCs w:val="20"/>
              </w:rPr>
              <w:t>123,264</w:t>
            </w:r>
          </w:p>
        </w:tc>
        <w:tc>
          <w:tcPr>
            <w:tcW w:w="373" w:type="pct"/>
            <w:shd w:val="clear" w:color="auto" w:fill="auto"/>
            <w:tcMar>
              <w:left w:w="58" w:type="dxa"/>
              <w:right w:w="43" w:type="dxa"/>
            </w:tcMar>
            <w:hideMark/>
          </w:tcPr>
          <w:p w14:paraId="2C22033B" w14:textId="1373BCB4" w:rsidR="002D15AB" w:rsidRPr="002D15AB" w:rsidRDefault="002D15AB" w:rsidP="002D15AB">
            <w:pPr>
              <w:jc w:val="right"/>
              <w:rPr>
                <w:b/>
                <w:bCs/>
                <w:color w:val="000000" w:themeColor="text1"/>
                <w:sz w:val="20"/>
                <w:szCs w:val="20"/>
                <w:lang w:val="en-US"/>
              </w:rPr>
            </w:pPr>
            <w:r w:rsidRPr="002D15AB">
              <w:rPr>
                <w:b/>
                <w:sz w:val="20"/>
                <w:szCs w:val="20"/>
              </w:rPr>
              <w:t>80,449</w:t>
            </w:r>
          </w:p>
        </w:tc>
        <w:tc>
          <w:tcPr>
            <w:tcW w:w="324" w:type="pct"/>
            <w:shd w:val="clear" w:color="auto" w:fill="auto"/>
            <w:tcMar>
              <w:left w:w="58" w:type="dxa"/>
              <w:right w:w="43" w:type="dxa"/>
            </w:tcMar>
            <w:hideMark/>
          </w:tcPr>
          <w:p w14:paraId="2FE2B671" w14:textId="5AE0C1C2" w:rsidR="002D15AB" w:rsidRPr="002D15AB" w:rsidRDefault="002D15AB" w:rsidP="002D15AB">
            <w:pPr>
              <w:jc w:val="right"/>
              <w:rPr>
                <w:b/>
                <w:bCs/>
                <w:color w:val="000000" w:themeColor="text1"/>
                <w:sz w:val="20"/>
                <w:szCs w:val="20"/>
                <w:lang w:val="en-US"/>
              </w:rPr>
            </w:pPr>
            <w:r w:rsidRPr="002D15AB">
              <w:rPr>
                <w:b/>
                <w:sz w:val="20"/>
                <w:szCs w:val="20"/>
              </w:rPr>
              <w:t>64,663</w:t>
            </w:r>
          </w:p>
        </w:tc>
        <w:tc>
          <w:tcPr>
            <w:tcW w:w="318" w:type="pct"/>
            <w:shd w:val="clear" w:color="auto" w:fill="auto"/>
            <w:tcMar>
              <w:left w:w="58" w:type="dxa"/>
              <w:right w:w="43" w:type="dxa"/>
            </w:tcMar>
            <w:hideMark/>
          </w:tcPr>
          <w:p w14:paraId="277DD5E2" w14:textId="7B86AC21" w:rsidR="002D15AB" w:rsidRPr="002D15AB" w:rsidRDefault="002D15AB" w:rsidP="002D15AB">
            <w:pPr>
              <w:jc w:val="right"/>
              <w:rPr>
                <w:b/>
                <w:bCs/>
                <w:color w:val="000000" w:themeColor="text1"/>
                <w:sz w:val="20"/>
                <w:szCs w:val="20"/>
                <w:lang w:val="en-US"/>
              </w:rPr>
            </w:pPr>
            <w:r w:rsidRPr="002D15AB">
              <w:rPr>
                <w:b/>
                <w:sz w:val="20"/>
                <w:szCs w:val="20"/>
              </w:rPr>
              <w:t>57,554</w:t>
            </w:r>
          </w:p>
        </w:tc>
        <w:tc>
          <w:tcPr>
            <w:tcW w:w="314" w:type="pct"/>
            <w:shd w:val="clear" w:color="auto" w:fill="auto"/>
            <w:tcMar>
              <w:left w:w="58" w:type="dxa"/>
              <w:right w:w="43" w:type="dxa"/>
            </w:tcMar>
            <w:hideMark/>
          </w:tcPr>
          <w:p w14:paraId="218307DC" w14:textId="54BD47E5" w:rsidR="002D15AB" w:rsidRPr="002D15AB" w:rsidRDefault="002D15AB" w:rsidP="002D15AB">
            <w:pPr>
              <w:jc w:val="right"/>
              <w:rPr>
                <w:b/>
                <w:bCs/>
                <w:color w:val="000000" w:themeColor="text1"/>
                <w:sz w:val="20"/>
                <w:szCs w:val="20"/>
                <w:lang w:val="en-US"/>
              </w:rPr>
            </w:pPr>
            <w:r w:rsidRPr="002D15AB">
              <w:rPr>
                <w:b/>
                <w:sz w:val="20"/>
                <w:szCs w:val="20"/>
              </w:rPr>
              <w:t>57,791</w:t>
            </w:r>
          </w:p>
        </w:tc>
        <w:tc>
          <w:tcPr>
            <w:tcW w:w="366" w:type="pct"/>
            <w:shd w:val="clear" w:color="auto" w:fill="auto"/>
            <w:tcMar>
              <w:left w:w="58" w:type="dxa"/>
              <w:right w:w="43" w:type="dxa"/>
            </w:tcMar>
            <w:hideMark/>
          </w:tcPr>
          <w:p w14:paraId="3AD144B6" w14:textId="3E8E350E" w:rsidR="002D15AB" w:rsidRPr="002D15AB" w:rsidRDefault="002D15AB" w:rsidP="002D15AB">
            <w:pPr>
              <w:jc w:val="right"/>
              <w:rPr>
                <w:b/>
                <w:bCs/>
                <w:color w:val="000000" w:themeColor="text1"/>
                <w:sz w:val="20"/>
                <w:szCs w:val="20"/>
                <w:lang w:val="en-US"/>
              </w:rPr>
            </w:pPr>
            <w:r w:rsidRPr="002D15AB">
              <w:rPr>
                <w:b/>
                <w:sz w:val="20"/>
                <w:szCs w:val="20"/>
              </w:rPr>
              <w:t>60,630</w:t>
            </w:r>
          </w:p>
        </w:tc>
        <w:tc>
          <w:tcPr>
            <w:tcW w:w="259" w:type="pct"/>
            <w:shd w:val="clear" w:color="auto" w:fill="auto"/>
            <w:tcMar>
              <w:left w:w="58" w:type="dxa"/>
              <w:right w:w="43" w:type="dxa"/>
            </w:tcMar>
            <w:hideMark/>
          </w:tcPr>
          <w:p w14:paraId="0945C007" w14:textId="4E5B50DF" w:rsidR="002D15AB" w:rsidRPr="002D15AB" w:rsidRDefault="002D15AB" w:rsidP="002D15AB">
            <w:pPr>
              <w:jc w:val="right"/>
              <w:rPr>
                <w:b/>
                <w:bCs/>
                <w:color w:val="000000" w:themeColor="text1"/>
                <w:sz w:val="20"/>
                <w:szCs w:val="20"/>
                <w:lang w:val="en-US"/>
              </w:rPr>
            </w:pPr>
            <w:r w:rsidRPr="002D15AB">
              <w:rPr>
                <w:b/>
                <w:sz w:val="20"/>
                <w:szCs w:val="20"/>
              </w:rPr>
              <w:t>212</w:t>
            </w:r>
          </w:p>
        </w:tc>
        <w:tc>
          <w:tcPr>
            <w:tcW w:w="296" w:type="pct"/>
            <w:shd w:val="clear" w:color="auto" w:fill="auto"/>
            <w:tcMar>
              <w:left w:w="58" w:type="dxa"/>
              <w:right w:w="43" w:type="dxa"/>
            </w:tcMar>
            <w:hideMark/>
          </w:tcPr>
          <w:p w14:paraId="53E49213" w14:textId="7976F99F" w:rsidR="002D15AB" w:rsidRPr="002D15AB" w:rsidRDefault="002D15AB" w:rsidP="002D15AB">
            <w:pPr>
              <w:jc w:val="right"/>
              <w:rPr>
                <w:b/>
                <w:bCs/>
                <w:color w:val="000000" w:themeColor="text1"/>
                <w:sz w:val="20"/>
                <w:szCs w:val="20"/>
                <w:lang w:val="en-US"/>
              </w:rPr>
            </w:pPr>
            <w:r w:rsidRPr="002D15AB">
              <w:rPr>
                <w:b/>
                <w:sz w:val="20"/>
                <w:szCs w:val="20"/>
              </w:rPr>
              <w:t>57</w:t>
            </w:r>
          </w:p>
        </w:tc>
        <w:tc>
          <w:tcPr>
            <w:tcW w:w="362" w:type="pct"/>
            <w:shd w:val="clear" w:color="auto" w:fill="auto"/>
            <w:tcMar>
              <w:left w:w="58" w:type="dxa"/>
              <w:right w:w="43" w:type="dxa"/>
            </w:tcMar>
            <w:hideMark/>
          </w:tcPr>
          <w:p w14:paraId="02C4D253" w14:textId="69FABF49" w:rsidR="002D15AB" w:rsidRPr="002D15AB" w:rsidRDefault="002D15AB" w:rsidP="002D15AB">
            <w:pPr>
              <w:jc w:val="right"/>
              <w:rPr>
                <w:b/>
                <w:bCs/>
                <w:color w:val="000000" w:themeColor="text1"/>
                <w:sz w:val="20"/>
                <w:szCs w:val="20"/>
                <w:lang w:val="en-US"/>
              </w:rPr>
            </w:pPr>
            <w:r w:rsidRPr="002D15AB">
              <w:rPr>
                <w:b/>
                <w:sz w:val="20"/>
                <w:szCs w:val="20"/>
              </w:rPr>
              <w:t>892,168</w:t>
            </w:r>
          </w:p>
        </w:tc>
      </w:tr>
    </w:tbl>
    <w:p w14:paraId="2806A717" w14:textId="77777777" w:rsidR="00A4361D" w:rsidRPr="00FA688C" w:rsidRDefault="00A4361D" w:rsidP="00FA688C">
      <w:pPr>
        <w:keepNext/>
        <w:rPr>
          <w:b/>
          <w:bCs/>
          <w:color w:val="000000" w:themeColor="text1"/>
        </w:rPr>
      </w:pPr>
    </w:p>
    <w:p w14:paraId="09FC46DD" w14:textId="19090A4E" w:rsidR="006852D7" w:rsidRPr="00FA688C" w:rsidRDefault="006852D7" w:rsidP="00FA688C">
      <w:pPr>
        <w:pStyle w:val="Heading1"/>
        <w:keepNext/>
        <w:numPr>
          <w:ilvl w:val="0"/>
          <w:numId w:val="0"/>
        </w:numPr>
        <w:spacing w:after="0"/>
        <w:rPr>
          <w:b/>
          <w:color w:val="000000" w:themeColor="text1"/>
          <w:lang w:val="en-CA"/>
        </w:rPr>
      </w:pPr>
      <w:r w:rsidRPr="00FA688C">
        <w:rPr>
          <w:b/>
          <w:color w:val="000000" w:themeColor="text1"/>
          <w:lang w:val="en-CA"/>
        </w:rPr>
        <w:t>PART II: FINANCIAL PLANNING FOR THE TRIENNIUM 201</w:t>
      </w:r>
      <w:r w:rsidR="00A3176E" w:rsidRPr="00FA688C">
        <w:rPr>
          <w:b/>
          <w:color w:val="000000" w:themeColor="text1"/>
          <w:lang w:val="en-CA"/>
        </w:rPr>
        <w:t>8</w:t>
      </w:r>
      <w:r w:rsidRPr="00FA688C">
        <w:rPr>
          <w:b/>
          <w:color w:val="000000" w:themeColor="text1"/>
          <w:lang w:val="en-CA"/>
        </w:rPr>
        <w:t>-20</w:t>
      </w:r>
      <w:r w:rsidR="00A3176E" w:rsidRPr="00FA688C">
        <w:rPr>
          <w:b/>
          <w:color w:val="000000" w:themeColor="text1"/>
          <w:lang w:val="en-CA"/>
        </w:rPr>
        <w:t>20</w:t>
      </w:r>
    </w:p>
    <w:p w14:paraId="2E37509F" w14:textId="11668631" w:rsidR="006852D7" w:rsidRPr="00FA688C" w:rsidRDefault="006852D7" w:rsidP="00FA688C">
      <w:pPr>
        <w:rPr>
          <w:color w:val="000000" w:themeColor="text1"/>
          <w:lang w:val="en-CA"/>
        </w:rPr>
      </w:pPr>
    </w:p>
    <w:p w14:paraId="020806EC" w14:textId="481CA559" w:rsidR="0058374B" w:rsidRPr="004A5AE7" w:rsidRDefault="00A07792" w:rsidP="00FA688C">
      <w:pPr>
        <w:pStyle w:val="Heading1"/>
        <w:rPr>
          <w:color w:val="000000" w:themeColor="text1"/>
        </w:rPr>
      </w:pPr>
      <w:r w:rsidRPr="004A5AE7">
        <w:rPr>
          <w:color w:val="000000" w:themeColor="text1"/>
        </w:rPr>
        <w:t xml:space="preserve">The Secretariat has prepared </w:t>
      </w:r>
      <w:r w:rsidR="00D67E49" w:rsidRPr="004A5AE7">
        <w:rPr>
          <w:color w:val="000000" w:themeColor="text1"/>
        </w:rPr>
        <w:t xml:space="preserve">the financial planning for the triennium 2018-2020 taking into consideration </w:t>
      </w:r>
      <w:r w:rsidRPr="004A5AE7">
        <w:rPr>
          <w:color w:val="000000" w:themeColor="text1"/>
        </w:rPr>
        <w:t>decision XXIX/1</w:t>
      </w:r>
      <w:r w:rsidR="00D67E49" w:rsidRPr="004A5AE7">
        <w:rPr>
          <w:color w:val="000000" w:themeColor="text1"/>
        </w:rPr>
        <w:t xml:space="preserve"> on the level of replenishment of the Fund, and </w:t>
      </w:r>
      <w:r w:rsidR="0058374B" w:rsidRPr="004A5AE7">
        <w:rPr>
          <w:color w:val="000000" w:themeColor="text1"/>
        </w:rPr>
        <w:t>the commitments</w:t>
      </w:r>
      <w:r w:rsidR="00F17956" w:rsidRPr="004A5AE7">
        <w:rPr>
          <w:color w:val="000000" w:themeColor="text1"/>
        </w:rPr>
        <w:t xml:space="preserve"> </w:t>
      </w:r>
      <w:r w:rsidR="0058374B" w:rsidRPr="004A5AE7">
        <w:rPr>
          <w:color w:val="000000" w:themeColor="text1"/>
        </w:rPr>
        <w:t>and resource availability in the light of expected cash flow during the triennium.</w:t>
      </w:r>
    </w:p>
    <w:p w14:paraId="63FC3167" w14:textId="1395A8B5" w:rsidR="0038705B" w:rsidRPr="00FA688C" w:rsidRDefault="00EF0894" w:rsidP="00FA688C">
      <w:pPr>
        <w:keepNext/>
        <w:tabs>
          <w:tab w:val="num" w:pos="0"/>
        </w:tabs>
        <w:rPr>
          <w:b/>
          <w:color w:val="000000" w:themeColor="text1"/>
        </w:rPr>
      </w:pPr>
      <w:r w:rsidRPr="00FA688C">
        <w:rPr>
          <w:b/>
          <w:color w:val="000000" w:themeColor="text1"/>
        </w:rPr>
        <w:t>C</w:t>
      </w:r>
      <w:r w:rsidR="0038705B" w:rsidRPr="00FA688C">
        <w:rPr>
          <w:b/>
          <w:color w:val="000000" w:themeColor="text1"/>
        </w:rPr>
        <w:t>ommitments and resources available during 2018–2020</w:t>
      </w:r>
    </w:p>
    <w:p w14:paraId="5D0037AC" w14:textId="77777777" w:rsidR="0038705B" w:rsidRPr="00FA688C" w:rsidRDefault="0038705B" w:rsidP="00FA688C">
      <w:pPr>
        <w:keepNext/>
        <w:tabs>
          <w:tab w:val="num" w:pos="0"/>
        </w:tabs>
        <w:rPr>
          <w:color w:val="000000" w:themeColor="text1"/>
        </w:rPr>
      </w:pPr>
    </w:p>
    <w:p w14:paraId="6C64B9F7" w14:textId="41C231A1" w:rsidR="0038705B" w:rsidRPr="004A5AE7" w:rsidRDefault="0038705B" w:rsidP="00FA688C">
      <w:pPr>
        <w:pStyle w:val="Heading1"/>
        <w:rPr>
          <w:color w:val="000000" w:themeColor="text1"/>
        </w:rPr>
      </w:pPr>
      <w:r w:rsidRPr="004A5AE7">
        <w:rPr>
          <w:color w:val="000000" w:themeColor="text1"/>
        </w:rPr>
        <w:t xml:space="preserve">The Multilateral Fund is entering the 2018–2020 triennium with </w:t>
      </w:r>
      <w:r w:rsidR="00987D78" w:rsidRPr="004A5AE7">
        <w:rPr>
          <w:color w:val="000000" w:themeColor="text1"/>
        </w:rPr>
        <w:t xml:space="preserve">the following </w:t>
      </w:r>
      <w:r w:rsidRPr="004A5AE7">
        <w:rPr>
          <w:color w:val="000000" w:themeColor="text1"/>
        </w:rPr>
        <w:t>commitments made in the previous triennia</w:t>
      </w:r>
      <w:r w:rsidR="00987D78" w:rsidRPr="004A5AE7">
        <w:rPr>
          <w:color w:val="000000" w:themeColor="text1"/>
        </w:rPr>
        <w:t xml:space="preserve">: </w:t>
      </w:r>
      <w:r w:rsidRPr="004A5AE7">
        <w:rPr>
          <w:color w:val="000000" w:themeColor="text1"/>
        </w:rPr>
        <w:t xml:space="preserve">multi-year agreements (MYAs) </w:t>
      </w:r>
      <w:r w:rsidR="00987D78" w:rsidRPr="004A5AE7">
        <w:rPr>
          <w:color w:val="000000" w:themeColor="text1"/>
        </w:rPr>
        <w:t xml:space="preserve">at a funding level of US $346.74 million, </w:t>
      </w:r>
      <w:r w:rsidRPr="004A5AE7">
        <w:rPr>
          <w:color w:val="000000" w:themeColor="text1"/>
        </w:rPr>
        <w:t xml:space="preserve">and standard activities </w:t>
      </w:r>
      <w:r w:rsidR="00987D78" w:rsidRPr="004A5AE7">
        <w:rPr>
          <w:color w:val="000000" w:themeColor="text1"/>
        </w:rPr>
        <w:t xml:space="preserve">at a funding level of US $108.43 million </w:t>
      </w:r>
      <w:r w:rsidRPr="004A5AE7">
        <w:rPr>
          <w:color w:val="000000" w:themeColor="text1"/>
        </w:rPr>
        <w:t xml:space="preserve">(such as institutional strengthening, Executive Committee </w:t>
      </w:r>
      <w:r w:rsidR="007549DD" w:rsidRPr="004A5AE7">
        <w:rPr>
          <w:color w:val="000000" w:themeColor="text1"/>
        </w:rPr>
        <w:t xml:space="preserve">meetings </w:t>
      </w:r>
      <w:r w:rsidRPr="004A5AE7">
        <w:rPr>
          <w:color w:val="000000" w:themeColor="text1"/>
        </w:rPr>
        <w:t>and the Fund Secretariat</w:t>
      </w:r>
      <w:r w:rsidR="007549DD" w:rsidRPr="004A5AE7">
        <w:rPr>
          <w:color w:val="000000" w:themeColor="text1"/>
        </w:rPr>
        <w:t>’s operational costs</w:t>
      </w:r>
      <w:r w:rsidRPr="004A5AE7">
        <w:rPr>
          <w:color w:val="000000" w:themeColor="text1"/>
        </w:rPr>
        <w:t xml:space="preserve"> including </w:t>
      </w:r>
      <w:r w:rsidR="007549DD" w:rsidRPr="004A5AE7">
        <w:rPr>
          <w:color w:val="000000" w:themeColor="text1"/>
        </w:rPr>
        <w:t xml:space="preserve">for </w:t>
      </w:r>
      <w:r w:rsidRPr="004A5AE7">
        <w:rPr>
          <w:color w:val="000000" w:themeColor="text1"/>
        </w:rPr>
        <w:t xml:space="preserve">monitoring and evaluation activities, </w:t>
      </w:r>
      <w:r w:rsidR="00987D78" w:rsidRPr="004A5AE7">
        <w:rPr>
          <w:color w:val="000000" w:themeColor="text1"/>
        </w:rPr>
        <w:t xml:space="preserve">Treasurer costs, </w:t>
      </w:r>
      <w:r w:rsidRPr="004A5AE7">
        <w:rPr>
          <w:color w:val="000000" w:themeColor="text1"/>
        </w:rPr>
        <w:t xml:space="preserve">UNEP’s Compliance Assistance Programme (CAP), and the core unit costs for UNDP, UNIDO and the World Bank). </w:t>
      </w:r>
      <w:r w:rsidR="00987D78" w:rsidRPr="004A5AE7">
        <w:rPr>
          <w:color w:val="000000" w:themeColor="text1"/>
        </w:rPr>
        <w:t xml:space="preserve">After taking into account previous commitments, </w:t>
      </w:r>
      <w:r w:rsidR="007549DD" w:rsidRPr="004A5AE7">
        <w:rPr>
          <w:color w:val="000000" w:themeColor="text1"/>
        </w:rPr>
        <w:t xml:space="preserve">a balance of </w:t>
      </w:r>
      <w:r w:rsidR="00FA688C" w:rsidRPr="004A5AE7">
        <w:rPr>
          <w:color w:val="000000" w:themeColor="text1"/>
        </w:rPr>
        <w:t>US $</w:t>
      </w:r>
      <w:r w:rsidR="0065029D" w:rsidRPr="004A5AE7">
        <w:rPr>
          <w:color w:val="000000" w:themeColor="text1"/>
        </w:rPr>
        <w:t>8</w:t>
      </w:r>
      <w:r w:rsidR="0088437E" w:rsidRPr="004A5AE7">
        <w:rPr>
          <w:color w:val="000000" w:themeColor="text1"/>
        </w:rPr>
        <w:t xml:space="preserve">4.82 </w:t>
      </w:r>
      <w:r w:rsidRPr="004A5AE7">
        <w:rPr>
          <w:color w:val="000000" w:themeColor="text1"/>
        </w:rPr>
        <w:t xml:space="preserve">million </w:t>
      </w:r>
      <w:r w:rsidR="00987D78" w:rsidRPr="004A5AE7">
        <w:rPr>
          <w:color w:val="000000" w:themeColor="text1"/>
        </w:rPr>
        <w:t xml:space="preserve">is available </w:t>
      </w:r>
      <w:r w:rsidRPr="004A5AE7">
        <w:rPr>
          <w:color w:val="000000" w:themeColor="text1"/>
        </w:rPr>
        <w:t>for new activities</w:t>
      </w:r>
      <w:r w:rsidR="00987D78" w:rsidRPr="004A5AE7">
        <w:rPr>
          <w:color w:val="000000" w:themeColor="text1"/>
        </w:rPr>
        <w:t>,</w:t>
      </w:r>
      <w:r w:rsidRPr="004A5AE7">
        <w:rPr>
          <w:color w:val="000000" w:themeColor="text1"/>
        </w:rPr>
        <w:t xml:space="preserve"> </w:t>
      </w:r>
      <w:r w:rsidR="00987D78" w:rsidRPr="004A5AE7">
        <w:rPr>
          <w:color w:val="000000" w:themeColor="text1"/>
        </w:rPr>
        <w:t xml:space="preserve">as shown in </w:t>
      </w:r>
      <w:r w:rsidRPr="004A5AE7">
        <w:rPr>
          <w:color w:val="000000" w:themeColor="text1"/>
        </w:rPr>
        <w:t xml:space="preserve">Table </w:t>
      </w:r>
      <w:r w:rsidR="00E96E8A" w:rsidRPr="004A5AE7">
        <w:rPr>
          <w:color w:val="000000" w:themeColor="text1"/>
        </w:rPr>
        <w:t>5</w:t>
      </w:r>
      <w:r w:rsidRPr="004A5AE7">
        <w:rPr>
          <w:color w:val="000000" w:themeColor="text1"/>
        </w:rPr>
        <w:t>.</w:t>
      </w:r>
    </w:p>
    <w:p w14:paraId="4E54CD75" w14:textId="31808946" w:rsidR="0038705B" w:rsidRPr="00FA688C" w:rsidRDefault="005A50E2" w:rsidP="00FA688C">
      <w:pPr>
        <w:rPr>
          <w:b/>
          <w:color w:val="000000" w:themeColor="text1"/>
        </w:rPr>
      </w:pPr>
      <w:r w:rsidRPr="00FA688C">
        <w:rPr>
          <w:b/>
          <w:color w:val="000000" w:themeColor="text1"/>
        </w:rPr>
        <w:t xml:space="preserve">Table </w:t>
      </w:r>
      <w:r w:rsidR="00E96E8A" w:rsidRPr="00FA688C">
        <w:rPr>
          <w:b/>
          <w:color w:val="000000" w:themeColor="text1"/>
        </w:rPr>
        <w:t>5</w:t>
      </w:r>
      <w:r w:rsidRPr="00FA688C">
        <w:rPr>
          <w:b/>
          <w:color w:val="000000" w:themeColor="text1"/>
        </w:rPr>
        <w:t>. Commitments and resources available for new activities during 2018-2020</w:t>
      </w:r>
    </w:p>
    <w:tbl>
      <w:tblPr>
        <w:tblW w:w="9492" w:type="dxa"/>
        <w:tblInd w:w="-5" w:type="dxa"/>
        <w:tblLayout w:type="fixed"/>
        <w:tblLook w:val="04A0" w:firstRow="1" w:lastRow="0" w:firstColumn="1" w:lastColumn="0" w:noHBand="0" w:noVBand="1"/>
      </w:tblPr>
      <w:tblGrid>
        <w:gridCol w:w="4500"/>
        <w:gridCol w:w="1248"/>
        <w:gridCol w:w="1248"/>
        <w:gridCol w:w="1248"/>
        <w:gridCol w:w="1248"/>
      </w:tblGrid>
      <w:tr w:rsidR="00FA688C" w:rsidRPr="00A420FD" w14:paraId="612E67EF" w14:textId="77777777" w:rsidTr="00CA3904">
        <w:trPr>
          <w:tblHeader/>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6AEE25ED" w14:textId="77777777" w:rsidR="00A65855" w:rsidRPr="00A420FD" w:rsidRDefault="00A65855" w:rsidP="00FA688C">
            <w:pPr>
              <w:rPr>
                <w:b/>
                <w:bCs/>
                <w:color w:val="000000" w:themeColor="text1"/>
                <w:sz w:val="20"/>
                <w:szCs w:val="20"/>
                <w:lang w:val="en-CA" w:eastAsia="en-CA"/>
              </w:rPr>
            </w:pPr>
            <w:r w:rsidRPr="00A420FD">
              <w:rPr>
                <w:b/>
                <w:bCs/>
                <w:color w:val="000000" w:themeColor="text1"/>
                <w:sz w:val="20"/>
                <w:szCs w:val="20"/>
                <w:lang w:val="en-CA" w:eastAsia="en-CA"/>
              </w:rPr>
              <w:t>Description</w:t>
            </w:r>
          </w:p>
        </w:tc>
        <w:tc>
          <w:tcPr>
            <w:tcW w:w="1248" w:type="dxa"/>
            <w:tcBorders>
              <w:top w:val="single" w:sz="4" w:space="0" w:color="auto"/>
              <w:left w:val="nil"/>
              <w:bottom w:val="single" w:sz="4" w:space="0" w:color="auto"/>
              <w:right w:val="single" w:sz="4" w:space="0" w:color="auto"/>
            </w:tcBorders>
            <w:shd w:val="clear" w:color="auto" w:fill="auto"/>
            <w:hideMark/>
          </w:tcPr>
          <w:p w14:paraId="4D31F41A" w14:textId="77777777" w:rsidR="00A65855" w:rsidRPr="00A420FD" w:rsidRDefault="00A65855" w:rsidP="00FA688C">
            <w:pPr>
              <w:jc w:val="center"/>
              <w:rPr>
                <w:b/>
                <w:bCs/>
                <w:color w:val="000000" w:themeColor="text1"/>
                <w:sz w:val="20"/>
                <w:szCs w:val="20"/>
                <w:lang w:val="en-CA" w:eastAsia="en-CA"/>
              </w:rPr>
            </w:pPr>
            <w:r w:rsidRPr="00A420FD">
              <w:rPr>
                <w:b/>
                <w:bCs/>
                <w:color w:val="000000" w:themeColor="text1"/>
                <w:sz w:val="20"/>
                <w:szCs w:val="20"/>
                <w:lang w:val="en-CA" w:eastAsia="en-CA"/>
              </w:rPr>
              <w:t>2018</w:t>
            </w:r>
          </w:p>
        </w:tc>
        <w:tc>
          <w:tcPr>
            <w:tcW w:w="1248" w:type="dxa"/>
            <w:tcBorders>
              <w:top w:val="single" w:sz="4" w:space="0" w:color="auto"/>
              <w:left w:val="nil"/>
              <w:bottom w:val="single" w:sz="4" w:space="0" w:color="auto"/>
              <w:right w:val="single" w:sz="4" w:space="0" w:color="auto"/>
            </w:tcBorders>
            <w:shd w:val="clear" w:color="auto" w:fill="auto"/>
            <w:hideMark/>
          </w:tcPr>
          <w:p w14:paraId="106E5ECB" w14:textId="77777777" w:rsidR="00A65855" w:rsidRPr="00A420FD" w:rsidRDefault="00A65855" w:rsidP="00FA688C">
            <w:pPr>
              <w:jc w:val="center"/>
              <w:rPr>
                <w:b/>
                <w:bCs/>
                <w:color w:val="000000" w:themeColor="text1"/>
                <w:sz w:val="20"/>
                <w:szCs w:val="20"/>
                <w:lang w:val="en-CA" w:eastAsia="en-CA"/>
              </w:rPr>
            </w:pPr>
            <w:r w:rsidRPr="00A420FD">
              <w:rPr>
                <w:b/>
                <w:bCs/>
                <w:color w:val="000000" w:themeColor="text1"/>
                <w:sz w:val="20"/>
                <w:szCs w:val="20"/>
                <w:lang w:val="en-CA" w:eastAsia="en-CA"/>
              </w:rPr>
              <w:t>2019</w:t>
            </w:r>
          </w:p>
        </w:tc>
        <w:tc>
          <w:tcPr>
            <w:tcW w:w="1248" w:type="dxa"/>
            <w:tcBorders>
              <w:top w:val="single" w:sz="4" w:space="0" w:color="auto"/>
              <w:left w:val="nil"/>
              <w:bottom w:val="single" w:sz="4" w:space="0" w:color="auto"/>
              <w:right w:val="single" w:sz="4" w:space="0" w:color="auto"/>
            </w:tcBorders>
            <w:shd w:val="clear" w:color="auto" w:fill="auto"/>
            <w:hideMark/>
          </w:tcPr>
          <w:p w14:paraId="753740F3" w14:textId="77777777" w:rsidR="00A65855" w:rsidRPr="00A420FD" w:rsidRDefault="00A65855" w:rsidP="00FA688C">
            <w:pPr>
              <w:jc w:val="center"/>
              <w:rPr>
                <w:b/>
                <w:bCs/>
                <w:color w:val="000000" w:themeColor="text1"/>
                <w:sz w:val="20"/>
                <w:szCs w:val="20"/>
                <w:lang w:val="en-CA" w:eastAsia="en-CA"/>
              </w:rPr>
            </w:pPr>
            <w:r w:rsidRPr="00A420FD">
              <w:rPr>
                <w:b/>
                <w:bCs/>
                <w:color w:val="000000" w:themeColor="text1"/>
                <w:sz w:val="20"/>
                <w:szCs w:val="20"/>
                <w:lang w:val="en-CA" w:eastAsia="en-CA"/>
              </w:rPr>
              <w:t>2020</w:t>
            </w:r>
          </w:p>
        </w:tc>
        <w:tc>
          <w:tcPr>
            <w:tcW w:w="1248" w:type="dxa"/>
            <w:tcBorders>
              <w:top w:val="single" w:sz="4" w:space="0" w:color="auto"/>
              <w:left w:val="nil"/>
              <w:bottom w:val="single" w:sz="4" w:space="0" w:color="auto"/>
              <w:right w:val="single" w:sz="4" w:space="0" w:color="auto"/>
            </w:tcBorders>
            <w:shd w:val="clear" w:color="auto" w:fill="auto"/>
            <w:hideMark/>
          </w:tcPr>
          <w:p w14:paraId="63C394C0" w14:textId="77777777" w:rsidR="00A65855" w:rsidRPr="00A420FD" w:rsidRDefault="00A65855" w:rsidP="00FA688C">
            <w:pPr>
              <w:jc w:val="center"/>
              <w:rPr>
                <w:b/>
                <w:bCs/>
                <w:color w:val="000000" w:themeColor="text1"/>
                <w:sz w:val="20"/>
                <w:szCs w:val="20"/>
                <w:lang w:val="en-CA" w:eastAsia="en-CA"/>
              </w:rPr>
            </w:pPr>
            <w:r w:rsidRPr="00A420FD">
              <w:rPr>
                <w:b/>
                <w:bCs/>
                <w:color w:val="000000" w:themeColor="text1"/>
                <w:sz w:val="20"/>
                <w:szCs w:val="20"/>
                <w:lang w:val="en-CA" w:eastAsia="en-CA"/>
              </w:rPr>
              <w:t xml:space="preserve">Total </w:t>
            </w:r>
          </w:p>
        </w:tc>
      </w:tr>
      <w:tr w:rsidR="00FA688C" w:rsidRPr="00A420FD" w14:paraId="4E6BFAF3"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4C562207" w14:textId="77777777" w:rsidR="00A65855" w:rsidRPr="00A420FD" w:rsidRDefault="00A65855" w:rsidP="00FA688C">
            <w:pPr>
              <w:rPr>
                <w:b/>
                <w:bCs/>
                <w:color w:val="000000" w:themeColor="text1"/>
                <w:sz w:val="20"/>
                <w:szCs w:val="20"/>
                <w:lang w:val="en-CA" w:eastAsia="en-CA"/>
              </w:rPr>
            </w:pPr>
            <w:r w:rsidRPr="00A420FD">
              <w:rPr>
                <w:b/>
                <w:bCs/>
                <w:color w:val="000000" w:themeColor="text1"/>
                <w:sz w:val="20"/>
                <w:szCs w:val="20"/>
                <w:lang w:val="en-CA" w:eastAsia="en-CA"/>
              </w:rPr>
              <w:t>INCOME (A)</w:t>
            </w:r>
          </w:p>
        </w:tc>
        <w:tc>
          <w:tcPr>
            <w:tcW w:w="1248" w:type="dxa"/>
            <w:tcBorders>
              <w:top w:val="nil"/>
              <w:left w:val="nil"/>
              <w:bottom w:val="single" w:sz="4" w:space="0" w:color="auto"/>
              <w:right w:val="single" w:sz="4" w:space="0" w:color="auto"/>
            </w:tcBorders>
            <w:shd w:val="clear" w:color="auto" w:fill="auto"/>
            <w:hideMark/>
          </w:tcPr>
          <w:p w14:paraId="1F643718"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180,000,000</w:t>
            </w:r>
          </w:p>
        </w:tc>
        <w:tc>
          <w:tcPr>
            <w:tcW w:w="1248" w:type="dxa"/>
            <w:tcBorders>
              <w:top w:val="nil"/>
              <w:left w:val="nil"/>
              <w:bottom w:val="single" w:sz="4" w:space="0" w:color="auto"/>
              <w:right w:val="single" w:sz="4" w:space="0" w:color="auto"/>
            </w:tcBorders>
            <w:shd w:val="clear" w:color="auto" w:fill="auto"/>
            <w:hideMark/>
          </w:tcPr>
          <w:p w14:paraId="62A2514F"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180,000,000</w:t>
            </w:r>
          </w:p>
        </w:tc>
        <w:tc>
          <w:tcPr>
            <w:tcW w:w="1248" w:type="dxa"/>
            <w:tcBorders>
              <w:top w:val="nil"/>
              <w:left w:val="nil"/>
              <w:bottom w:val="single" w:sz="4" w:space="0" w:color="auto"/>
              <w:right w:val="single" w:sz="4" w:space="0" w:color="auto"/>
            </w:tcBorders>
            <w:shd w:val="clear" w:color="auto" w:fill="auto"/>
            <w:hideMark/>
          </w:tcPr>
          <w:p w14:paraId="08162961"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180,000,000</w:t>
            </w:r>
          </w:p>
        </w:tc>
        <w:tc>
          <w:tcPr>
            <w:tcW w:w="1248" w:type="dxa"/>
            <w:tcBorders>
              <w:top w:val="nil"/>
              <w:left w:val="nil"/>
              <w:bottom w:val="single" w:sz="4" w:space="0" w:color="auto"/>
              <w:right w:val="single" w:sz="4" w:space="0" w:color="auto"/>
            </w:tcBorders>
            <w:shd w:val="clear" w:color="auto" w:fill="auto"/>
            <w:hideMark/>
          </w:tcPr>
          <w:p w14:paraId="553E345F"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540,000,000</w:t>
            </w:r>
          </w:p>
        </w:tc>
      </w:tr>
      <w:tr w:rsidR="00FA688C" w:rsidRPr="00A420FD" w14:paraId="312F9C46"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1F871F56" w14:textId="77777777" w:rsidR="00A65855" w:rsidRPr="00A420FD" w:rsidRDefault="00A65855" w:rsidP="00FA688C">
            <w:pPr>
              <w:rPr>
                <w:b/>
                <w:bCs/>
                <w:color w:val="000000" w:themeColor="text1"/>
                <w:sz w:val="20"/>
                <w:szCs w:val="20"/>
                <w:lang w:val="en-CA" w:eastAsia="en-CA"/>
              </w:rPr>
            </w:pPr>
            <w:r w:rsidRPr="00A420FD">
              <w:rPr>
                <w:b/>
                <w:bCs/>
                <w:color w:val="000000" w:themeColor="text1"/>
                <w:sz w:val="20"/>
                <w:szCs w:val="20"/>
                <w:lang w:val="en-CA" w:eastAsia="en-CA"/>
              </w:rPr>
              <w:t>PRIOR COMMITMENTS</w:t>
            </w:r>
          </w:p>
        </w:tc>
        <w:tc>
          <w:tcPr>
            <w:tcW w:w="1248" w:type="dxa"/>
            <w:tcBorders>
              <w:top w:val="nil"/>
              <w:left w:val="nil"/>
              <w:bottom w:val="single" w:sz="4" w:space="0" w:color="auto"/>
              <w:right w:val="single" w:sz="4" w:space="0" w:color="auto"/>
            </w:tcBorders>
            <w:shd w:val="clear" w:color="auto" w:fill="auto"/>
            <w:hideMark/>
          </w:tcPr>
          <w:p w14:paraId="1DC9DEAA"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1248" w:type="dxa"/>
            <w:tcBorders>
              <w:top w:val="nil"/>
              <w:left w:val="nil"/>
              <w:bottom w:val="single" w:sz="4" w:space="0" w:color="auto"/>
              <w:right w:val="single" w:sz="4" w:space="0" w:color="auto"/>
            </w:tcBorders>
            <w:shd w:val="clear" w:color="auto" w:fill="auto"/>
            <w:hideMark/>
          </w:tcPr>
          <w:p w14:paraId="646FF0FA"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1248" w:type="dxa"/>
            <w:tcBorders>
              <w:top w:val="nil"/>
              <w:left w:val="nil"/>
              <w:bottom w:val="single" w:sz="4" w:space="0" w:color="auto"/>
              <w:right w:val="single" w:sz="4" w:space="0" w:color="auto"/>
            </w:tcBorders>
            <w:shd w:val="clear" w:color="auto" w:fill="auto"/>
            <w:hideMark/>
          </w:tcPr>
          <w:p w14:paraId="357CA321"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1248" w:type="dxa"/>
            <w:tcBorders>
              <w:top w:val="nil"/>
              <w:left w:val="nil"/>
              <w:bottom w:val="single" w:sz="4" w:space="0" w:color="auto"/>
              <w:right w:val="single" w:sz="4" w:space="0" w:color="auto"/>
            </w:tcBorders>
            <w:shd w:val="clear" w:color="auto" w:fill="auto"/>
            <w:hideMark/>
          </w:tcPr>
          <w:p w14:paraId="098AE995"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r>
      <w:tr w:rsidR="00FA688C" w:rsidRPr="00A420FD" w14:paraId="169431B7"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0A8AE42D" w14:textId="77777777" w:rsidR="00A65855" w:rsidRPr="00A420FD" w:rsidRDefault="00A65855" w:rsidP="00FA688C">
            <w:pPr>
              <w:rPr>
                <w:color w:val="000000" w:themeColor="text1"/>
                <w:sz w:val="20"/>
                <w:szCs w:val="20"/>
                <w:lang w:val="en-CA" w:eastAsia="en-CA"/>
              </w:rPr>
            </w:pPr>
            <w:r w:rsidRPr="00A420FD">
              <w:rPr>
                <w:color w:val="000000" w:themeColor="text1"/>
                <w:sz w:val="20"/>
                <w:szCs w:val="20"/>
                <w:lang w:val="en-CA" w:eastAsia="en-CA"/>
              </w:rPr>
              <w:t>Annual tranches of approved multi-year agreements</w:t>
            </w:r>
          </w:p>
        </w:tc>
        <w:tc>
          <w:tcPr>
            <w:tcW w:w="1248" w:type="dxa"/>
            <w:tcBorders>
              <w:top w:val="nil"/>
              <w:left w:val="nil"/>
              <w:bottom w:val="single" w:sz="4" w:space="0" w:color="auto"/>
              <w:right w:val="single" w:sz="4" w:space="0" w:color="auto"/>
            </w:tcBorders>
            <w:shd w:val="clear" w:color="auto" w:fill="auto"/>
            <w:hideMark/>
          </w:tcPr>
          <w:p w14:paraId="0D605569"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158,869,875</w:t>
            </w:r>
          </w:p>
        </w:tc>
        <w:tc>
          <w:tcPr>
            <w:tcW w:w="1248" w:type="dxa"/>
            <w:tcBorders>
              <w:top w:val="nil"/>
              <w:left w:val="nil"/>
              <w:bottom w:val="single" w:sz="4" w:space="0" w:color="auto"/>
              <w:right w:val="single" w:sz="4" w:space="0" w:color="auto"/>
            </w:tcBorders>
            <w:shd w:val="clear" w:color="auto" w:fill="auto"/>
            <w:hideMark/>
          </w:tcPr>
          <w:p w14:paraId="43B9666D"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86,592,901</w:t>
            </w:r>
          </w:p>
        </w:tc>
        <w:tc>
          <w:tcPr>
            <w:tcW w:w="1248" w:type="dxa"/>
            <w:tcBorders>
              <w:top w:val="nil"/>
              <w:left w:val="nil"/>
              <w:bottom w:val="single" w:sz="4" w:space="0" w:color="auto"/>
              <w:right w:val="single" w:sz="4" w:space="0" w:color="auto"/>
            </w:tcBorders>
            <w:shd w:val="clear" w:color="auto" w:fill="auto"/>
            <w:hideMark/>
          </w:tcPr>
          <w:p w14:paraId="3A9B2FCD"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101,279,996</w:t>
            </w:r>
          </w:p>
        </w:tc>
        <w:tc>
          <w:tcPr>
            <w:tcW w:w="1248" w:type="dxa"/>
            <w:tcBorders>
              <w:top w:val="nil"/>
              <w:left w:val="nil"/>
              <w:bottom w:val="single" w:sz="4" w:space="0" w:color="auto"/>
              <w:right w:val="single" w:sz="4" w:space="0" w:color="auto"/>
            </w:tcBorders>
            <w:shd w:val="clear" w:color="auto" w:fill="auto"/>
            <w:hideMark/>
          </w:tcPr>
          <w:p w14:paraId="6E859AE5"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346,742,772</w:t>
            </w:r>
          </w:p>
        </w:tc>
      </w:tr>
      <w:tr w:rsidR="00FA688C" w:rsidRPr="00A420FD" w14:paraId="27CDCB91"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4E43E9F5" w14:textId="77777777" w:rsidR="00A65855" w:rsidRPr="00A420FD" w:rsidRDefault="00A65855" w:rsidP="00FA688C">
            <w:pPr>
              <w:rPr>
                <w:b/>
                <w:bCs/>
                <w:color w:val="000000" w:themeColor="text1"/>
                <w:sz w:val="20"/>
                <w:szCs w:val="20"/>
                <w:lang w:val="en-CA" w:eastAsia="en-CA"/>
              </w:rPr>
            </w:pPr>
            <w:r w:rsidRPr="00A420FD">
              <w:rPr>
                <w:b/>
                <w:bCs/>
                <w:color w:val="000000" w:themeColor="text1"/>
                <w:sz w:val="20"/>
                <w:szCs w:val="20"/>
                <w:lang w:val="en-CA" w:eastAsia="en-CA"/>
              </w:rPr>
              <w:t>Other funding commitments</w:t>
            </w:r>
          </w:p>
        </w:tc>
        <w:tc>
          <w:tcPr>
            <w:tcW w:w="1248" w:type="dxa"/>
            <w:tcBorders>
              <w:top w:val="nil"/>
              <w:left w:val="nil"/>
              <w:bottom w:val="single" w:sz="4" w:space="0" w:color="auto"/>
              <w:right w:val="single" w:sz="4" w:space="0" w:color="auto"/>
            </w:tcBorders>
            <w:shd w:val="clear" w:color="auto" w:fill="auto"/>
            <w:hideMark/>
          </w:tcPr>
          <w:p w14:paraId="1E7349DA"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1248" w:type="dxa"/>
            <w:tcBorders>
              <w:top w:val="nil"/>
              <w:left w:val="nil"/>
              <w:bottom w:val="single" w:sz="4" w:space="0" w:color="auto"/>
              <w:right w:val="single" w:sz="4" w:space="0" w:color="auto"/>
            </w:tcBorders>
            <w:shd w:val="clear" w:color="auto" w:fill="auto"/>
            <w:hideMark/>
          </w:tcPr>
          <w:p w14:paraId="47E4EE9C"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1248" w:type="dxa"/>
            <w:tcBorders>
              <w:top w:val="nil"/>
              <w:left w:val="nil"/>
              <w:bottom w:val="single" w:sz="4" w:space="0" w:color="auto"/>
              <w:right w:val="single" w:sz="4" w:space="0" w:color="auto"/>
            </w:tcBorders>
            <w:shd w:val="clear" w:color="auto" w:fill="auto"/>
            <w:hideMark/>
          </w:tcPr>
          <w:p w14:paraId="34A2BC47"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1248" w:type="dxa"/>
            <w:tcBorders>
              <w:top w:val="nil"/>
              <w:left w:val="nil"/>
              <w:bottom w:val="single" w:sz="4" w:space="0" w:color="auto"/>
              <w:right w:val="single" w:sz="4" w:space="0" w:color="auto"/>
            </w:tcBorders>
            <w:shd w:val="clear" w:color="auto" w:fill="auto"/>
            <w:hideMark/>
          </w:tcPr>
          <w:p w14:paraId="621DAEF5"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r>
      <w:tr w:rsidR="00FA688C" w:rsidRPr="00A420FD" w14:paraId="78CE3D11"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1D0735FF" w14:textId="77777777" w:rsidR="00A65855" w:rsidRPr="00A420FD" w:rsidRDefault="00A65855" w:rsidP="00FA688C">
            <w:pPr>
              <w:rPr>
                <w:color w:val="000000" w:themeColor="text1"/>
                <w:sz w:val="20"/>
                <w:szCs w:val="20"/>
                <w:lang w:val="en-CA" w:eastAsia="en-CA"/>
              </w:rPr>
            </w:pPr>
            <w:r w:rsidRPr="00A420FD">
              <w:rPr>
                <w:color w:val="000000" w:themeColor="text1"/>
                <w:sz w:val="20"/>
                <w:szCs w:val="20"/>
                <w:lang w:val="en-CA" w:eastAsia="en-CA"/>
              </w:rPr>
              <w:t>Institutional strengthening</w:t>
            </w:r>
          </w:p>
        </w:tc>
        <w:tc>
          <w:tcPr>
            <w:tcW w:w="1248" w:type="dxa"/>
            <w:tcBorders>
              <w:top w:val="nil"/>
              <w:left w:val="nil"/>
              <w:bottom w:val="single" w:sz="4" w:space="0" w:color="auto"/>
              <w:right w:val="single" w:sz="4" w:space="0" w:color="auto"/>
            </w:tcBorders>
            <w:shd w:val="clear" w:color="auto" w:fill="auto"/>
            <w:hideMark/>
          </w:tcPr>
          <w:p w14:paraId="38AF3395"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13,847,453</w:t>
            </w:r>
          </w:p>
        </w:tc>
        <w:tc>
          <w:tcPr>
            <w:tcW w:w="1248" w:type="dxa"/>
            <w:tcBorders>
              <w:top w:val="nil"/>
              <w:left w:val="nil"/>
              <w:bottom w:val="single" w:sz="4" w:space="0" w:color="auto"/>
              <w:right w:val="single" w:sz="4" w:space="0" w:color="auto"/>
            </w:tcBorders>
            <w:shd w:val="clear" w:color="auto" w:fill="auto"/>
            <w:hideMark/>
          </w:tcPr>
          <w:p w14:paraId="345A9A98"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7,128,429</w:t>
            </w:r>
          </w:p>
        </w:tc>
        <w:tc>
          <w:tcPr>
            <w:tcW w:w="1248" w:type="dxa"/>
            <w:tcBorders>
              <w:top w:val="nil"/>
              <w:left w:val="nil"/>
              <w:bottom w:val="single" w:sz="4" w:space="0" w:color="auto"/>
              <w:right w:val="single" w:sz="4" w:space="0" w:color="auto"/>
            </w:tcBorders>
            <w:shd w:val="clear" w:color="auto" w:fill="auto"/>
            <w:hideMark/>
          </w:tcPr>
          <w:p w14:paraId="12E98D4B"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13,847,292</w:t>
            </w:r>
          </w:p>
        </w:tc>
        <w:tc>
          <w:tcPr>
            <w:tcW w:w="1248" w:type="dxa"/>
            <w:tcBorders>
              <w:top w:val="nil"/>
              <w:left w:val="nil"/>
              <w:bottom w:val="single" w:sz="4" w:space="0" w:color="auto"/>
              <w:right w:val="single" w:sz="4" w:space="0" w:color="auto"/>
            </w:tcBorders>
            <w:shd w:val="clear" w:color="auto" w:fill="auto"/>
            <w:hideMark/>
          </w:tcPr>
          <w:p w14:paraId="24DE2215"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34,823,174</w:t>
            </w:r>
          </w:p>
        </w:tc>
      </w:tr>
      <w:tr w:rsidR="00FA688C" w:rsidRPr="00A420FD" w14:paraId="0AEBA1CC"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1B09B348" w14:textId="77777777" w:rsidR="00A65855" w:rsidRPr="00A420FD" w:rsidRDefault="00A65855" w:rsidP="00FA688C">
            <w:pPr>
              <w:rPr>
                <w:color w:val="000000" w:themeColor="text1"/>
                <w:sz w:val="20"/>
                <w:szCs w:val="20"/>
                <w:lang w:val="en-CA" w:eastAsia="en-CA"/>
              </w:rPr>
            </w:pPr>
            <w:r w:rsidRPr="00A420FD">
              <w:rPr>
                <w:color w:val="000000" w:themeColor="text1"/>
                <w:sz w:val="20"/>
                <w:szCs w:val="20"/>
                <w:lang w:val="en-CA" w:eastAsia="en-CA"/>
              </w:rPr>
              <w:lastRenderedPageBreak/>
              <w:t>UNEP Compliance assistance programme (CAP)</w:t>
            </w:r>
          </w:p>
        </w:tc>
        <w:tc>
          <w:tcPr>
            <w:tcW w:w="1248" w:type="dxa"/>
            <w:tcBorders>
              <w:top w:val="nil"/>
              <w:left w:val="nil"/>
              <w:bottom w:val="single" w:sz="4" w:space="0" w:color="auto"/>
              <w:right w:val="single" w:sz="4" w:space="0" w:color="auto"/>
            </w:tcBorders>
            <w:shd w:val="clear" w:color="auto" w:fill="auto"/>
            <w:hideMark/>
          </w:tcPr>
          <w:p w14:paraId="5E2F9F9B"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10,971,601</w:t>
            </w:r>
          </w:p>
        </w:tc>
        <w:tc>
          <w:tcPr>
            <w:tcW w:w="1248" w:type="dxa"/>
            <w:tcBorders>
              <w:top w:val="nil"/>
              <w:left w:val="nil"/>
              <w:bottom w:val="single" w:sz="4" w:space="0" w:color="auto"/>
              <w:right w:val="single" w:sz="4" w:space="0" w:color="auto"/>
            </w:tcBorders>
            <w:shd w:val="clear" w:color="auto" w:fill="auto"/>
            <w:hideMark/>
          </w:tcPr>
          <w:p w14:paraId="640ADDF7"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11,300,749</w:t>
            </w:r>
          </w:p>
        </w:tc>
        <w:tc>
          <w:tcPr>
            <w:tcW w:w="1248" w:type="dxa"/>
            <w:tcBorders>
              <w:top w:val="nil"/>
              <w:left w:val="nil"/>
              <w:bottom w:val="single" w:sz="4" w:space="0" w:color="auto"/>
              <w:right w:val="single" w:sz="4" w:space="0" w:color="auto"/>
            </w:tcBorders>
            <w:shd w:val="clear" w:color="auto" w:fill="auto"/>
            <w:hideMark/>
          </w:tcPr>
          <w:p w14:paraId="0FF232B6"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11,639,772</w:t>
            </w:r>
          </w:p>
        </w:tc>
        <w:tc>
          <w:tcPr>
            <w:tcW w:w="1248" w:type="dxa"/>
            <w:tcBorders>
              <w:top w:val="nil"/>
              <w:left w:val="nil"/>
              <w:bottom w:val="single" w:sz="4" w:space="0" w:color="auto"/>
              <w:right w:val="single" w:sz="4" w:space="0" w:color="auto"/>
            </w:tcBorders>
            <w:shd w:val="clear" w:color="auto" w:fill="auto"/>
            <w:hideMark/>
          </w:tcPr>
          <w:p w14:paraId="59902BC2"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33,912,122</w:t>
            </w:r>
          </w:p>
        </w:tc>
      </w:tr>
      <w:tr w:rsidR="00FA688C" w:rsidRPr="00A420FD" w14:paraId="476BA17E"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0CAACD4E" w14:textId="76426F7E" w:rsidR="00A65855" w:rsidRPr="00A420FD" w:rsidRDefault="00A65855" w:rsidP="00CA3904">
            <w:pPr>
              <w:rPr>
                <w:color w:val="000000" w:themeColor="text1"/>
                <w:sz w:val="20"/>
                <w:szCs w:val="20"/>
                <w:lang w:val="en-CA" w:eastAsia="en-CA"/>
              </w:rPr>
            </w:pPr>
            <w:r w:rsidRPr="00A420FD">
              <w:rPr>
                <w:color w:val="000000" w:themeColor="text1"/>
                <w:sz w:val="20"/>
                <w:szCs w:val="20"/>
                <w:lang w:val="en-CA" w:eastAsia="en-CA"/>
              </w:rPr>
              <w:t>Agencies core unit (UNDP, UNIDO</w:t>
            </w:r>
            <w:r w:rsidR="00CA3904" w:rsidRPr="00A420FD">
              <w:rPr>
                <w:color w:val="000000" w:themeColor="text1"/>
                <w:sz w:val="20"/>
                <w:szCs w:val="20"/>
                <w:lang w:val="en-CA" w:eastAsia="en-CA"/>
              </w:rPr>
              <w:t xml:space="preserve">, </w:t>
            </w:r>
            <w:r w:rsidRPr="00A420FD">
              <w:rPr>
                <w:color w:val="000000" w:themeColor="text1"/>
                <w:sz w:val="20"/>
                <w:szCs w:val="20"/>
                <w:lang w:val="en-CA" w:eastAsia="en-CA"/>
              </w:rPr>
              <w:t>World Bank)</w:t>
            </w:r>
          </w:p>
        </w:tc>
        <w:tc>
          <w:tcPr>
            <w:tcW w:w="1248" w:type="dxa"/>
            <w:tcBorders>
              <w:top w:val="nil"/>
              <w:left w:val="nil"/>
              <w:bottom w:val="single" w:sz="4" w:space="0" w:color="auto"/>
              <w:right w:val="single" w:sz="4" w:space="0" w:color="auto"/>
            </w:tcBorders>
            <w:shd w:val="clear" w:color="auto" w:fill="auto"/>
            <w:hideMark/>
          </w:tcPr>
          <w:p w14:paraId="0F92D3AC"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5,902,741</w:t>
            </w:r>
          </w:p>
        </w:tc>
        <w:tc>
          <w:tcPr>
            <w:tcW w:w="1248" w:type="dxa"/>
            <w:tcBorders>
              <w:top w:val="nil"/>
              <w:left w:val="nil"/>
              <w:bottom w:val="single" w:sz="4" w:space="0" w:color="auto"/>
              <w:right w:val="single" w:sz="4" w:space="0" w:color="auto"/>
            </w:tcBorders>
            <w:shd w:val="clear" w:color="auto" w:fill="auto"/>
            <w:hideMark/>
          </w:tcPr>
          <w:p w14:paraId="0ECF3904"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5,931,915</w:t>
            </w:r>
          </w:p>
        </w:tc>
        <w:tc>
          <w:tcPr>
            <w:tcW w:w="1248" w:type="dxa"/>
            <w:tcBorders>
              <w:top w:val="nil"/>
              <w:left w:val="nil"/>
              <w:bottom w:val="single" w:sz="4" w:space="0" w:color="auto"/>
              <w:right w:val="single" w:sz="4" w:space="0" w:color="auto"/>
            </w:tcBorders>
            <w:shd w:val="clear" w:color="auto" w:fill="auto"/>
            <w:hideMark/>
          </w:tcPr>
          <w:p w14:paraId="3ECB0587"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5,961,294</w:t>
            </w:r>
          </w:p>
        </w:tc>
        <w:tc>
          <w:tcPr>
            <w:tcW w:w="1248" w:type="dxa"/>
            <w:tcBorders>
              <w:top w:val="nil"/>
              <w:left w:val="nil"/>
              <w:bottom w:val="single" w:sz="4" w:space="0" w:color="auto"/>
              <w:right w:val="single" w:sz="4" w:space="0" w:color="auto"/>
            </w:tcBorders>
            <w:shd w:val="clear" w:color="auto" w:fill="auto"/>
            <w:hideMark/>
          </w:tcPr>
          <w:p w14:paraId="0D9FD2EE"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17,795,949</w:t>
            </w:r>
          </w:p>
        </w:tc>
      </w:tr>
      <w:tr w:rsidR="00FA688C" w:rsidRPr="00A420FD" w14:paraId="4480E166"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071F3EFC" w14:textId="77777777" w:rsidR="00A65855" w:rsidRPr="00A420FD" w:rsidRDefault="00A65855" w:rsidP="00FA688C">
            <w:pPr>
              <w:rPr>
                <w:color w:val="000000" w:themeColor="text1"/>
                <w:sz w:val="20"/>
                <w:szCs w:val="20"/>
                <w:lang w:val="en-CA" w:eastAsia="en-CA"/>
              </w:rPr>
            </w:pPr>
            <w:r w:rsidRPr="00A420FD">
              <w:rPr>
                <w:color w:val="000000" w:themeColor="text1"/>
                <w:sz w:val="20"/>
                <w:szCs w:val="20"/>
                <w:lang w:val="en-CA" w:eastAsia="en-CA"/>
              </w:rPr>
              <w:t>Secretariat /Executive Committee costs</w:t>
            </w:r>
          </w:p>
        </w:tc>
        <w:tc>
          <w:tcPr>
            <w:tcW w:w="1248" w:type="dxa"/>
            <w:tcBorders>
              <w:top w:val="nil"/>
              <w:left w:val="nil"/>
              <w:bottom w:val="single" w:sz="4" w:space="0" w:color="auto"/>
              <w:right w:val="single" w:sz="4" w:space="0" w:color="auto"/>
            </w:tcBorders>
            <w:shd w:val="clear" w:color="auto" w:fill="auto"/>
            <w:hideMark/>
          </w:tcPr>
          <w:p w14:paraId="54C005B7"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6,648,670</w:t>
            </w:r>
          </w:p>
        </w:tc>
        <w:tc>
          <w:tcPr>
            <w:tcW w:w="1248" w:type="dxa"/>
            <w:tcBorders>
              <w:top w:val="nil"/>
              <w:left w:val="nil"/>
              <w:bottom w:val="single" w:sz="4" w:space="0" w:color="auto"/>
              <w:right w:val="single" w:sz="4" w:space="0" w:color="auto"/>
            </w:tcBorders>
            <w:shd w:val="clear" w:color="auto" w:fill="auto"/>
            <w:hideMark/>
          </w:tcPr>
          <w:p w14:paraId="65A811D9"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6,799,233</w:t>
            </w:r>
          </w:p>
        </w:tc>
        <w:tc>
          <w:tcPr>
            <w:tcW w:w="1248" w:type="dxa"/>
            <w:tcBorders>
              <w:top w:val="nil"/>
              <w:left w:val="nil"/>
              <w:bottom w:val="single" w:sz="4" w:space="0" w:color="auto"/>
              <w:right w:val="single" w:sz="4" w:space="0" w:color="auto"/>
            </w:tcBorders>
            <w:shd w:val="clear" w:color="auto" w:fill="auto"/>
            <w:hideMark/>
          </w:tcPr>
          <w:p w14:paraId="7BC19FE6"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6,954,313</w:t>
            </w:r>
          </w:p>
        </w:tc>
        <w:tc>
          <w:tcPr>
            <w:tcW w:w="1248" w:type="dxa"/>
            <w:tcBorders>
              <w:top w:val="nil"/>
              <w:left w:val="nil"/>
              <w:bottom w:val="single" w:sz="4" w:space="0" w:color="auto"/>
              <w:right w:val="single" w:sz="4" w:space="0" w:color="auto"/>
            </w:tcBorders>
            <w:shd w:val="clear" w:color="auto" w:fill="auto"/>
            <w:hideMark/>
          </w:tcPr>
          <w:p w14:paraId="4E20343D"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20,402,216</w:t>
            </w:r>
          </w:p>
        </w:tc>
      </w:tr>
      <w:tr w:rsidR="00FA688C" w:rsidRPr="00A420FD" w14:paraId="25631929"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1F53ECB5" w14:textId="77777777" w:rsidR="00A65855" w:rsidRPr="00A420FD" w:rsidRDefault="00A65855" w:rsidP="00FA688C">
            <w:pPr>
              <w:rPr>
                <w:color w:val="000000" w:themeColor="text1"/>
                <w:sz w:val="20"/>
                <w:szCs w:val="20"/>
                <w:lang w:val="en-CA" w:eastAsia="en-CA"/>
              </w:rPr>
            </w:pPr>
            <w:r w:rsidRPr="00A420FD">
              <w:rPr>
                <w:color w:val="000000" w:themeColor="text1"/>
                <w:sz w:val="20"/>
                <w:szCs w:val="20"/>
                <w:lang w:val="en-CA" w:eastAsia="en-CA"/>
              </w:rPr>
              <w:t>Treasurer</w:t>
            </w:r>
          </w:p>
        </w:tc>
        <w:tc>
          <w:tcPr>
            <w:tcW w:w="1248" w:type="dxa"/>
            <w:tcBorders>
              <w:top w:val="nil"/>
              <w:left w:val="nil"/>
              <w:bottom w:val="single" w:sz="4" w:space="0" w:color="auto"/>
              <w:right w:val="single" w:sz="4" w:space="0" w:color="auto"/>
            </w:tcBorders>
            <w:shd w:val="clear" w:color="auto" w:fill="auto"/>
            <w:hideMark/>
          </w:tcPr>
          <w:p w14:paraId="71ACAFBF"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500,000</w:t>
            </w:r>
          </w:p>
        </w:tc>
        <w:tc>
          <w:tcPr>
            <w:tcW w:w="1248" w:type="dxa"/>
            <w:tcBorders>
              <w:top w:val="nil"/>
              <w:left w:val="nil"/>
              <w:bottom w:val="single" w:sz="4" w:space="0" w:color="auto"/>
              <w:right w:val="single" w:sz="4" w:space="0" w:color="auto"/>
            </w:tcBorders>
            <w:shd w:val="clear" w:color="auto" w:fill="auto"/>
            <w:hideMark/>
          </w:tcPr>
          <w:p w14:paraId="08DF23FB"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500,000</w:t>
            </w:r>
          </w:p>
        </w:tc>
        <w:tc>
          <w:tcPr>
            <w:tcW w:w="1248" w:type="dxa"/>
            <w:tcBorders>
              <w:top w:val="nil"/>
              <w:left w:val="nil"/>
              <w:bottom w:val="single" w:sz="4" w:space="0" w:color="auto"/>
              <w:right w:val="single" w:sz="4" w:space="0" w:color="auto"/>
            </w:tcBorders>
            <w:shd w:val="clear" w:color="auto" w:fill="auto"/>
            <w:hideMark/>
          </w:tcPr>
          <w:p w14:paraId="737415BE"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500,000</w:t>
            </w:r>
          </w:p>
        </w:tc>
        <w:tc>
          <w:tcPr>
            <w:tcW w:w="1248" w:type="dxa"/>
            <w:tcBorders>
              <w:top w:val="nil"/>
              <w:left w:val="nil"/>
              <w:bottom w:val="single" w:sz="4" w:space="0" w:color="auto"/>
              <w:right w:val="single" w:sz="4" w:space="0" w:color="auto"/>
            </w:tcBorders>
            <w:shd w:val="clear" w:color="auto" w:fill="auto"/>
            <w:hideMark/>
          </w:tcPr>
          <w:p w14:paraId="477317C1"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1,500,000</w:t>
            </w:r>
          </w:p>
        </w:tc>
      </w:tr>
      <w:tr w:rsidR="00FA688C" w:rsidRPr="00A420FD" w14:paraId="6B9D7002"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65C90FC3" w14:textId="77777777" w:rsidR="00A65855" w:rsidRPr="00A420FD" w:rsidRDefault="00A65855" w:rsidP="00FA688C">
            <w:pPr>
              <w:rPr>
                <w:b/>
                <w:bCs/>
                <w:color w:val="000000" w:themeColor="text1"/>
                <w:sz w:val="20"/>
                <w:szCs w:val="20"/>
                <w:lang w:val="en-CA" w:eastAsia="en-CA"/>
              </w:rPr>
            </w:pPr>
            <w:r w:rsidRPr="00A420FD">
              <w:rPr>
                <w:b/>
                <w:bCs/>
                <w:color w:val="000000" w:themeColor="text1"/>
                <w:sz w:val="20"/>
                <w:szCs w:val="20"/>
                <w:lang w:val="en-CA" w:eastAsia="en-CA"/>
              </w:rPr>
              <w:t>Total commitments (B)</w:t>
            </w:r>
          </w:p>
        </w:tc>
        <w:tc>
          <w:tcPr>
            <w:tcW w:w="1248" w:type="dxa"/>
            <w:tcBorders>
              <w:top w:val="nil"/>
              <w:left w:val="nil"/>
              <w:bottom w:val="single" w:sz="4" w:space="0" w:color="auto"/>
              <w:right w:val="single" w:sz="4" w:space="0" w:color="auto"/>
            </w:tcBorders>
            <w:shd w:val="clear" w:color="auto" w:fill="auto"/>
            <w:hideMark/>
          </w:tcPr>
          <w:p w14:paraId="6D6E8BD2"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196,740,340</w:t>
            </w:r>
          </w:p>
        </w:tc>
        <w:tc>
          <w:tcPr>
            <w:tcW w:w="1248" w:type="dxa"/>
            <w:tcBorders>
              <w:top w:val="nil"/>
              <w:left w:val="nil"/>
              <w:bottom w:val="single" w:sz="4" w:space="0" w:color="auto"/>
              <w:right w:val="single" w:sz="4" w:space="0" w:color="auto"/>
            </w:tcBorders>
            <w:shd w:val="clear" w:color="auto" w:fill="auto"/>
            <w:hideMark/>
          </w:tcPr>
          <w:p w14:paraId="44F6EB47"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118,253,227</w:t>
            </w:r>
          </w:p>
        </w:tc>
        <w:tc>
          <w:tcPr>
            <w:tcW w:w="1248" w:type="dxa"/>
            <w:tcBorders>
              <w:top w:val="nil"/>
              <w:left w:val="nil"/>
              <w:bottom w:val="single" w:sz="4" w:space="0" w:color="auto"/>
              <w:right w:val="single" w:sz="4" w:space="0" w:color="auto"/>
            </w:tcBorders>
            <w:shd w:val="clear" w:color="auto" w:fill="auto"/>
            <w:hideMark/>
          </w:tcPr>
          <w:p w14:paraId="4FACE386"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140,182,666</w:t>
            </w:r>
          </w:p>
        </w:tc>
        <w:tc>
          <w:tcPr>
            <w:tcW w:w="1248" w:type="dxa"/>
            <w:tcBorders>
              <w:top w:val="nil"/>
              <w:left w:val="nil"/>
              <w:bottom w:val="single" w:sz="4" w:space="0" w:color="auto"/>
              <w:right w:val="single" w:sz="4" w:space="0" w:color="auto"/>
            </w:tcBorders>
            <w:shd w:val="clear" w:color="auto" w:fill="auto"/>
            <w:hideMark/>
          </w:tcPr>
          <w:p w14:paraId="36A178A0"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455,176,233</w:t>
            </w:r>
          </w:p>
        </w:tc>
      </w:tr>
      <w:tr w:rsidR="00FA688C" w:rsidRPr="00A420FD" w14:paraId="779ECBB4" w14:textId="77777777" w:rsidTr="00CA3904">
        <w:tc>
          <w:tcPr>
            <w:tcW w:w="4500" w:type="dxa"/>
            <w:tcBorders>
              <w:top w:val="nil"/>
              <w:left w:val="single" w:sz="4" w:space="0" w:color="auto"/>
              <w:bottom w:val="single" w:sz="4" w:space="0" w:color="auto"/>
              <w:right w:val="single" w:sz="4" w:space="0" w:color="auto"/>
            </w:tcBorders>
            <w:shd w:val="clear" w:color="auto" w:fill="auto"/>
            <w:noWrap/>
            <w:hideMark/>
          </w:tcPr>
          <w:p w14:paraId="11DEED6C" w14:textId="77777777" w:rsidR="00A65855" w:rsidRPr="00A420FD" w:rsidRDefault="00A65855" w:rsidP="00FA688C">
            <w:pPr>
              <w:jc w:val="left"/>
              <w:rPr>
                <w:b/>
                <w:bCs/>
                <w:color w:val="000000" w:themeColor="text1"/>
                <w:sz w:val="20"/>
                <w:szCs w:val="20"/>
                <w:lang w:val="en-CA" w:eastAsia="en-CA"/>
              </w:rPr>
            </w:pPr>
            <w:r w:rsidRPr="00A420FD">
              <w:rPr>
                <w:b/>
                <w:bCs/>
                <w:color w:val="000000" w:themeColor="text1"/>
                <w:sz w:val="20"/>
                <w:szCs w:val="20"/>
                <w:lang w:val="en-CA" w:eastAsia="en-CA"/>
              </w:rPr>
              <w:t>Resources AVAILABLE FOR NEW ACTIVITIES (C=A-B)</w:t>
            </w:r>
          </w:p>
        </w:tc>
        <w:tc>
          <w:tcPr>
            <w:tcW w:w="1248" w:type="dxa"/>
            <w:tcBorders>
              <w:top w:val="nil"/>
              <w:left w:val="nil"/>
              <w:bottom w:val="single" w:sz="4" w:space="0" w:color="auto"/>
              <w:right w:val="single" w:sz="4" w:space="0" w:color="auto"/>
            </w:tcBorders>
            <w:shd w:val="clear" w:color="auto" w:fill="auto"/>
            <w:noWrap/>
            <w:hideMark/>
          </w:tcPr>
          <w:p w14:paraId="304702E8"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-16,740,340</w:t>
            </w:r>
          </w:p>
        </w:tc>
        <w:tc>
          <w:tcPr>
            <w:tcW w:w="1248" w:type="dxa"/>
            <w:tcBorders>
              <w:top w:val="nil"/>
              <w:left w:val="nil"/>
              <w:bottom w:val="single" w:sz="4" w:space="0" w:color="auto"/>
              <w:right w:val="single" w:sz="4" w:space="0" w:color="auto"/>
            </w:tcBorders>
            <w:shd w:val="clear" w:color="auto" w:fill="auto"/>
            <w:noWrap/>
            <w:hideMark/>
          </w:tcPr>
          <w:p w14:paraId="2F473A60"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61,746,773</w:t>
            </w:r>
          </w:p>
        </w:tc>
        <w:tc>
          <w:tcPr>
            <w:tcW w:w="1248" w:type="dxa"/>
            <w:tcBorders>
              <w:top w:val="nil"/>
              <w:left w:val="nil"/>
              <w:bottom w:val="single" w:sz="4" w:space="0" w:color="auto"/>
              <w:right w:val="single" w:sz="4" w:space="0" w:color="auto"/>
            </w:tcBorders>
            <w:shd w:val="clear" w:color="auto" w:fill="auto"/>
            <w:noWrap/>
            <w:hideMark/>
          </w:tcPr>
          <w:p w14:paraId="5A974246"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39,817,334</w:t>
            </w:r>
          </w:p>
        </w:tc>
        <w:tc>
          <w:tcPr>
            <w:tcW w:w="1248" w:type="dxa"/>
            <w:tcBorders>
              <w:top w:val="nil"/>
              <w:left w:val="nil"/>
              <w:bottom w:val="single" w:sz="4" w:space="0" w:color="auto"/>
              <w:right w:val="single" w:sz="4" w:space="0" w:color="auto"/>
            </w:tcBorders>
            <w:shd w:val="clear" w:color="auto" w:fill="auto"/>
            <w:noWrap/>
            <w:hideMark/>
          </w:tcPr>
          <w:p w14:paraId="77D6699E"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84,823,767</w:t>
            </w:r>
          </w:p>
        </w:tc>
      </w:tr>
      <w:tr w:rsidR="00FA688C" w:rsidRPr="00A420FD" w14:paraId="1B06C55A"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21F9BB98" w14:textId="7AC82E3E" w:rsidR="00A65855" w:rsidRPr="00A420FD" w:rsidRDefault="00A65855" w:rsidP="00CA3904">
            <w:pPr>
              <w:rPr>
                <w:b/>
                <w:bCs/>
                <w:color w:val="000000" w:themeColor="text1"/>
                <w:sz w:val="20"/>
                <w:szCs w:val="20"/>
                <w:lang w:val="en-CA" w:eastAsia="en-CA"/>
              </w:rPr>
            </w:pPr>
            <w:r w:rsidRPr="00A420FD">
              <w:rPr>
                <w:b/>
                <w:bCs/>
                <w:color w:val="000000" w:themeColor="text1"/>
                <w:sz w:val="20"/>
                <w:szCs w:val="20"/>
                <w:lang w:val="en-CA" w:eastAsia="en-CA"/>
              </w:rPr>
              <w:t>New activities</w:t>
            </w:r>
            <w:r w:rsidR="00CA3904" w:rsidRPr="00A420FD">
              <w:rPr>
                <w:b/>
                <w:bCs/>
                <w:color w:val="000000" w:themeColor="text1"/>
                <w:sz w:val="20"/>
                <w:szCs w:val="20"/>
                <w:lang w:val="en-CA" w:eastAsia="en-CA"/>
              </w:rPr>
              <w:t>,</w:t>
            </w:r>
            <w:r w:rsidRPr="00A420FD">
              <w:rPr>
                <w:b/>
                <w:bCs/>
                <w:color w:val="000000" w:themeColor="text1"/>
                <w:sz w:val="20"/>
                <w:szCs w:val="20"/>
                <w:lang w:val="en-CA" w:eastAsia="en-CA"/>
              </w:rPr>
              <w:t xml:space="preserve"> 2018-2020 pro-rated business plan</w:t>
            </w:r>
          </w:p>
        </w:tc>
        <w:tc>
          <w:tcPr>
            <w:tcW w:w="1248" w:type="dxa"/>
            <w:tcBorders>
              <w:top w:val="nil"/>
              <w:left w:val="nil"/>
              <w:bottom w:val="single" w:sz="4" w:space="0" w:color="auto"/>
              <w:right w:val="single" w:sz="4" w:space="0" w:color="auto"/>
            </w:tcBorders>
            <w:shd w:val="clear" w:color="auto" w:fill="auto"/>
            <w:hideMark/>
          </w:tcPr>
          <w:p w14:paraId="049E6BCC"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1248" w:type="dxa"/>
            <w:tcBorders>
              <w:top w:val="nil"/>
              <w:left w:val="nil"/>
              <w:bottom w:val="single" w:sz="4" w:space="0" w:color="auto"/>
              <w:right w:val="single" w:sz="4" w:space="0" w:color="auto"/>
            </w:tcBorders>
            <w:shd w:val="clear" w:color="auto" w:fill="auto"/>
            <w:hideMark/>
          </w:tcPr>
          <w:p w14:paraId="4C9A1FB7"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1248" w:type="dxa"/>
            <w:tcBorders>
              <w:top w:val="nil"/>
              <w:left w:val="nil"/>
              <w:bottom w:val="single" w:sz="4" w:space="0" w:color="auto"/>
              <w:right w:val="single" w:sz="4" w:space="0" w:color="auto"/>
            </w:tcBorders>
            <w:shd w:val="clear" w:color="auto" w:fill="auto"/>
            <w:hideMark/>
          </w:tcPr>
          <w:p w14:paraId="4FBF8892"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c>
          <w:tcPr>
            <w:tcW w:w="1248" w:type="dxa"/>
            <w:tcBorders>
              <w:top w:val="nil"/>
              <w:left w:val="nil"/>
              <w:bottom w:val="single" w:sz="4" w:space="0" w:color="auto"/>
              <w:right w:val="single" w:sz="4" w:space="0" w:color="auto"/>
            </w:tcBorders>
            <w:shd w:val="clear" w:color="auto" w:fill="auto"/>
            <w:hideMark/>
          </w:tcPr>
          <w:p w14:paraId="01E721C2"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 </w:t>
            </w:r>
          </w:p>
        </w:tc>
      </w:tr>
      <w:tr w:rsidR="00FA688C" w:rsidRPr="00A420FD" w14:paraId="5C209D4C"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6DCDD82D" w14:textId="77777777" w:rsidR="00A65855" w:rsidRPr="00A420FD" w:rsidRDefault="00A65855" w:rsidP="00FA688C">
            <w:pPr>
              <w:rPr>
                <w:color w:val="000000" w:themeColor="text1"/>
                <w:sz w:val="20"/>
                <w:szCs w:val="20"/>
                <w:lang w:val="en-CA" w:eastAsia="en-CA"/>
              </w:rPr>
            </w:pPr>
            <w:r w:rsidRPr="00A420FD">
              <w:rPr>
                <w:color w:val="000000" w:themeColor="text1"/>
                <w:sz w:val="20"/>
                <w:szCs w:val="20"/>
                <w:lang w:val="en-CA" w:eastAsia="en-CA"/>
              </w:rPr>
              <w:t>HCFC</w:t>
            </w:r>
          </w:p>
        </w:tc>
        <w:tc>
          <w:tcPr>
            <w:tcW w:w="1248" w:type="dxa"/>
            <w:tcBorders>
              <w:top w:val="nil"/>
              <w:left w:val="nil"/>
              <w:bottom w:val="single" w:sz="4" w:space="0" w:color="auto"/>
              <w:right w:val="single" w:sz="4" w:space="0" w:color="auto"/>
            </w:tcBorders>
            <w:shd w:val="clear" w:color="auto" w:fill="auto"/>
            <w:hideMark/>
          </w:tcPr>
          <w:p w14:paraId="0CEB15F6"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18,725,145</w:t>
            </w:r>
          </w:p>
        </w:tc>
        <w:tc>
          <w:tcPr>
            <w:tcW w:w="1248" w:type="dxa"/>
            <w:tcBorders>
              <w:top w:val="nil"/>
              <w:left w:val="nil"/>
              <w:bottom w:val="single" w:sz="4" w:space="0" w:color="auto"/>
              <w:right w:val="single" w:sz="4" w:space="0" w:color="auto"/>
            </w:tcBorders>
            <w:shd w:val="clear" w:color="auto" w:fill="auto"/>
            <w:hideMark/>
          </w:tcPr>
          <w:p w14:paraId="31B62927"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17,748,561</w:t>
            </w:r>
          </w:p>
        </w:tc>
        <w:tc>
          <w:tcPr>
            <w:tcW w:w="1248" w:type="dxa"/>
            <w:tcBorders>
              <w:top w:val="nil"/>
              <w:left w:val="nil"/>
              <w:bottom w:val="single" w:sz="4" w:space="0" w:color="auto"/>
              <w:right w:val="single" w:sz="4" w:space="0" w:color="auto"/>
            </w:tcBorders>
            <w:shd w:val="clear" w:color="auto" w:fill="auto"/>
            <w:hideMark/>
          </w:tcPr>
          <w:p w14:paraId="34558C25"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29,914,927</w:t>
            </w:r>
          </w:p>
        </w:tc>
        <w:tc>
          <w:tcPr>
            <w:tcW w:w="1248" w:type="dxa"/>
            <w:tcBorders>
              <w:top w:val="nil"/>
              <w:left w:val="nil"/>
              <w:bottom w:val="single" w:sz="4" w:space="0" w:color="auto"/>
              <w:right w:val="single" w:sz="4" w:space="0" w:color="auto"/>
            </w:tcBorders>
            <w:shd w:val="clear" w:color="auto" w:fill="auto"/>
            <w:hideMark/>
          </w:tcPr>
          <w:p w14:paraId="50EE2C26"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66,388,633</w:t>
            </w:r>
          </w:p>
        </w:tc>
      </w:tr>
      <w:tr w:rsidR="00FA688C" w:rsidRPr="00A420FD" w14:paraId="005C4400"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6A3F513C" w14:textId="77777777" w:rsidR="00A65855" w:rsidRPr="00A420FD" w:rsidRDefault="00A65855" w:rsidP="00FA688C">
            <w:pPr>
              <w:rPr>
                <w:color w:val="000000" w:themeColor="text1"/>
                <w:sz w:val="20"/>
                <w:szCs w:val="20"/>
                <w:lang w:val="en-CA" w:eastAsia="en-CA"/>
              </w:rPr>
            </w:pPr>
            <w:r w:rsidRPr="00A420FD">
              <w:rPr>
                <w:color w:val="000000" w:themeColor="text1"/>
                <w:sz w:val="20"/>
                <w:szCs w:val="20"/>
                <w:lang w:val="en-CA" w:eastAsia="en-CA"/>
              </w:rPr>
              <w:t>HFC - Group I</w:t>
            </w:r>
          </w:p>
        </w:tc>
        <w:tc>
          <w:tcPr>
            <w:tcW w:w="1248" w:type="dxa"/>
            <w:tcBorders>
              <w:top w:val="nil"/>
              <w:left w:val="nil"/>
              <w:bottom w:val="single" w:sz="4" w:space="0" w:color="auto"/>
              <w:right w:val="single" w:sz="4" w:space="0" w:color="auto"/>
            </w:tcBorders>
            <w:shd w:val="clear" w:color="auto" w:fill="auto"/>
            <w:hideMark/>
          </w:tcPr>
          <w:p w14:paraId="1A1C68D4"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13,309,250</w:t>
            </w:r>
          </w:p>
        </w:tc>
        <w:tc>
          <w:tcPr>
            <w:tcW w:w="1248" w:type="dxa"/>
            <w:tcBorders>
              <w:top w:val="nil"/>
              <w:left w:val="nil"/>
              <w:bottom w:val="single" w:sz="4" w:space="0" w:color="auto"/>
              <w:right w:val="single" w:sz="4" w:space="0" w:color="auto"/>
            </w:tcBorders>
            <w:shd w:val="clear" w:color="auto" w:fill="auto"/>
            <w:hideMark/>
          </w:tcPr>
          <w:p w14:paraId="4EEE546C"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2,922,953</w:t>
            </w:r>
          </w:p>
        </w:tc>
        <w:tc>
          <w:tcPr>
            <w:tcW w:w="1248" w:type="dxa"/>
            <w:tcBorders>
              <w:top w:val="nil"/>
              <w:left w:val="nil"/>
              <w:bottom w:val="single" w:sz="4" w:space="0" w:color="auto"/>
              <w:right w:val="single" w:sz="4" w:space="0" w:color="auto"/>
            </w:tcBorders>
            <w:shd w:val="clear" w:color="auto" w:fill="auto"/>
            <w:hideMark/>
          </w:tcPr>
          <w:p w14:paraId="2829910C"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811,931</w:t>
            </w:r>
          </w:p>
        </w:tc>
        <w:tc>
          <w:tcPr>
            <w:tcW w:w="1248" w:type="dxa"/>
            <w:tcBorders>
              <w:top w:val="nil"/>
              <w:left w:val="nil"/>
              <w:bottom w:val="single" w:sz="4" w:space="0" w:color="auto"/>
              <w:right w:val="single" w:sz="4" w:space="0" w:color="auto"/>
            </w:tcBorders>
            <w:shd w:val="clear" w:color="auto" w:fill="auto"/>
            <w:hideMark/>
          </w:tcPr>
          <w:p w14:paraId="5DAE3CB8"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17,044,134</w:t>
            </w:r>
          </w:p>
        </w:tc>
      </w:tr>
      <w:tr w:rsidR="00FA688C" w:rsidRPr="00A420FD" w14:paraId="0A8DA97C"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6EA96FB7" w14:textId="77777777" w:rsidR="00A65855" w:rsidRPr="00A420FD" w:rsidRDefault="00A65855" w:rsidP="00FA688C">
            <w:pPr>
              <w:rPr>
                <w:color w:val="000000" w:themeColor="text1"/>
                <w:sz w:val="20"/>
                <w:szCs w:val="20"/>
                <w:lang w:val="en-CA" w:eastAsia="en-CA"/>
              </w:rPr>
            </w:pPr>
            <w:r w:rsidRPr="00A420FD">
              <w:rPr>
                <w:color w:val="000000" w:themeColor="text1"/>
                <w:sz w:val="20"/>
                <w:szCs w:val="20"/>
                <w:lang w:val="en-CA" w:eastAsia="en-CA"/>
              </w:rPr>
              <w:t>HFC - Group II</w:t>
            </w:r>
          </w:p>
        </w:tc>
        <w:tc>
          <w:tcPr>
            <w:tcW w:w="1248" w:type="dxa"/>
            <w:tcBorders>
              <w:top w:val="nil"/>
              <w:left w:val="nil"/>
              <w:bottom w:val="single" w:sz="4" w:space="0" w:color="auto"/>
              <w:right w:val="single" w:sz="4" w:space="0" w:color="auto"/>
            </w:tcBorders>
            <w:shd w:val="clear" w:color="auto" w:fill="auto"/>
            <w:hideMark/>
          </w:tcPr>
          <w:p w14:paraId="752FB6C4"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1,391,000</w:t>
            </w:r>
          </w:p>
        </w:tc>
        <w:tc>
          <w:tcPr>
            <w:tcW w:w="1248" w:type="dxa"/>
            <w:tcBorders>
              <w:top w:val="nil"/>
              <w:left w:val="nil"/>
              <w:bottom w:val="single" w:sz="4" w:space="0" w:color="auto"/>
              <w:right w:val="single" w:sz="4" w:space="0" w:color="auto"/>
            </w:tcBorders>
            <w:shd w:val="clear" w:color="auto" w:fill="auto"/>
            <w:hideMark/>
          </w:tcPr>
          <w:p w14:paraId="42836C06"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0</w:t>
            </w:r>
          </w:p>
        </w:tc>
        <w:tc>
          <w:tcPr>
            <w:tcW w:w="1248" w:type="dxa"/>
            <w:tcBorders>
              <w:top w:val="nil"/>
              <w:left w:val="nil"/>
              <w:bottom w:val="single" w:sz="4" w:space="0" w:color="auto"/>
              <w:right w:val="single" w:sz="4" w:space="0" w:color="auto"/>
            </w:tcBorders>
            <w:shd w:val="clear" w:color="auto" w:fill="auto"/>
            <w:hideMark/>
          </w:tcPr>
          <w:p w14:paraId="46D3EE88"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0</w:t>
            </w:r>
          </w:p>
        </w:tc>
        <w:tc>
          <w:tcPr>
            <w:tcW w:w="1248" w:type="dxa"/>
            <w:tcBorders>
              <w:top w:val="nil"/>
              <w:left w:val="nil"/>
              <w:bottom w:val="single" w:sz="4" w:space="0" w:color="auto"/>
              <w:right w:val="single" w:sz="4" w:space="0" w:color="auto"/>
            </w:tcBorders>
            <w:shd w:val="clear" w:color="auto" w:fill="auto"/>
            <w:hideMark/>
          </w:tcPr>
          <w:p w14:paraId="4B72B4C4" w14:textId="77777777" w:rsidR="00A65855" w:rsidRPr="00A420FD" w:rsidRDefault="00A65855" w:rsidP="00FA688C">
            <w:pPr>
              <w:jc w:val="right"/>
              <w:rPr>
                <w:color w:val="000000" w:themeColor="text1"/>
                <w:sz w:val="20"/>
                <w:szCs w:val="20"/>
                <w:lang w:val="en-CA" w:eastAsia="en-CA"/>
              </w:rPr>
            </w:pPr>
            <w:r w:rsidRPr="00A420FD">
              <w:rPr>
                <w:color w:val="000000" w:themeColor="text1"/>
                <w:sz w:val="20"/>
                <w:szCs w:val="20"/>
                <w:lang w:val="en-CA" w:eastAsia="en-CA"/>
              </w:rPr>
              <w:t>1,391,000</w:t>
            </w:r>
          </w:p>
        </w:tc>
      </w:tr>
      <w:tr w:rsidR="00FA688C" w:rsidRPr="00A420FD" w14:paraId="70B83829" w14:textId="77777777" w:rsidTr="00CA3904">
        <w:tc>
          <w:tcPr>
            <w:tcW w:w="4500" w:type="dxa"/>
            <w:tcBorders>
              <w:top w:val="nil"/>
              <w:left w:val="single" w:sz="4" w:space="0" w:color="auto"/>
              <w:bottom w:val="single" w:sz="4" w:space="0" w:color="auto"/>
              <w:right w:val="single" w:sz="4" w:space="0" w:color="auto"/>
            </w:tcBorders>
            <w:shd w:val="clear" w:color="auto" w:fill="auto"/>
            <w:hideMark/>
          </w:tcPr>
          <w:p w14:paraId="77ABAB32" w14:textId="77777777" w:rsidR="00A65855" w:rsidRPr="00A420FD" w:rsidRDefault="00A65855" w:rsidP="00FA688C">
            <w:pPr>
              <w:rPr>
                <w:b/>
                <w:bCs/>
                <w:color w:val="000000" w:themeColor="text1"/>
                <w:sz w:val="20"/>
                <w:szCs w:val="20"/>
                <w:lang w:val="en-CA" w:eastAsia="en-CA"/>
              </w:rPr>
            </w:pPr>
            <w:r w:rsidRPr="00A420FD">
              <w:rPr>
                <w:b/>
                <w:bCs/>
                <w:color w:val="000000" w:themeColor="text1"/>
                <w:sz w:val="20"/>
                <w:szCs w:val="20"/>
                <w:lang w:val="en-CA" w:eastAsia="en-CA"/>
              </w:rPr>
              <w:t>Total new activities (D)</w:t>
            </w:r>
          </w:p>
        </w:tc>
        <w:tc>
          <w:tcPr>
            <w:tcW w:w="1248" w:type="dxa"/>
            <w:tcBorders>
              <w:top w:val="nil"/>
              <w:left w:val="nil"/>
              <w:bottom w:val="single" w:sz="4" w:space="0" w:color="auto"/>
              <w:right w:val="single" w:sz="4" w:space="0" w:color="auto"/>
            </w:tcBorders>
            <w:shd w:val="clear" w:color="auto" w:fill="auto"/>
            <w:hideMark/>
          </w:tcPr>
          <w:p w14:paraId="0FD3A35D"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33,425,395</w:t>
            </w:r>
          </w:p>
        </w:tc>
        <w:tc>
          <w:tcPr>
            <w:tcW w:w="1248" w:type="dxa"/>
            <w:tcBorders>
              <w:top w:val="nil"/>
              <w:left w:val="nil"/>
              <w:bottom w:val="single" w:sz="4" w:space="0" w:color="auto"/>
              <w:right w:val="single" w:sz="4" w:space="0" w:color="auto"/>
            </w:tcBorders>
            <w:shd w:val="clear" w:color="auto" w:fill="auto"/>
            <w:hideMark/>
          </w:tcPr>
          <w:p w14:paraId="452EE68D"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20,671,514</w:t>
            </w:r>
          </w:p>
        </w:tc>
        <w:tc>
          <w:tcPr>
            <w:tcW w:w="1248" w:type="dxa"/>
            <w:tcBorders>
              <w:top w:val="nil"/>
              <w:left w:val="nil"/>
              <w:bottom w:val="single" w:sz="4" w:space="0" w:color="auto"/>
              <w:right w:val="single" w:sz="4" w:space="0" w:color="auto"/>
            </w:tcBorders>
            <w:shd w:val="clear" w:color="auto" w:fill="auto"/>
            <w:hideMark/>
          </w:tcPr>
          <w:p w14:paraId="334F78CE"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30,726,858</w:t>
            </w:r>
          </w:p>
        </w:tc>
        <w:tc>
          <w:tcPr>
            <w:tcW w:w="1248" w:type="dxa"/>
            <w:tcBorders>
              <w:top w:val="nil"/>
              <w:left w:val="nil"/>
              <w:bottom w:val="single" w:sz="4" w:space="0" w:color="auto"/>
              <w:right w:val="single" w:sz="4" w:space="0" w:color="auto"/>
            </w:tcBorders>
            <w:shd w:val="clear" w:color="auto" w:fill="auto"/>
            <w:hideMark/>
          </w:tcPr>
          <w:p w14:paraId="0ADA388D"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84,823,767</w:t>
            </w:r>
          </w:p>
        </w:tc>
      </w:tr>
      <w:tr w:rsidR="00FA688C" w:rsidRPr="00A420FD" w14:paraId="452784BA" w14:textId="77777777" w:rsidTr="00CA3904">
        <w:tc>
          <w:tcPr>
            <w:tcW w:w="4500" w:type="dxa"/>
            <w:tcBorders>
              <w:top w:val="nil"/>
              <w:left w:val="single" w:sz="4" w:space="0" w:color="auto"/>
              <w:bottom w:val="single" w:sz="4" w:space="0" w:color="auto"/>
              <w:right w:val="single" w:sz="4" w:space="0" w:color="auto"/>
            </w:tcBorders>
            <w:shd w:val="clear" w:color="auto" w:fill="auto"/>
            <w:noWrap/>
            <w:hideMark/>
          </w:tcPr>
          <w:p w14:paraId="664F6CE9" w14:textId="77777777" w:rsidR="00A65855" w:rsidRPr="00A420FD" w:rsidRDefault="00A65855" w:rsidP="00FA688C">
            <w:pPr>
              <w:jc w:val="left"/>
              <w:rPr>
                <w:b/>
                <w:bCs/>
                <w:color w:val="000000" w:themeColor="text1"/>
                <w:sz w:val="20"/>
                <w:szCs w:val="20"/>
                <w:lang w:val="en-CA" w:eastAsia="en-CA"/>
              </w:rPr>
            </w:pPr>
            <w:r w:rsidRPr="00A420FD">
              <w:rPr>
                <w:b/>
                <w:bCs/>
                <w:color w:val="000000" w:themeColor="text1"/>
                <w:sz w:val="20"/>
                <w:szCs w:val="20"/>
                <w:lang w:val="en-CA" w:eastAsia="en-CA"/>
              </w:rPr>
              <w:t>BALANCE (E=C-D)</w:t>
            </w:r>
          </w:p>
        </w:tc>
        <w:tc>
          <w:tcPr>
            <w:tcW w:w="1248" w:type="dxa"/>
            <w:tcBorders>
              <w:top w:val="nil"/>
              <w:left w:val="nil"/>
              <w:bottom w:val="single" w:sz="4" w:space="0" w:color="auto"/>
              <w:right w:val="single" w:sz="4" w:space="0" w:color="auto"/>
            </w:tcBorders>
            <w:shd w:val="clear" w:color="auto" w:fill="auto"/>
            <w:noWrap/>
            <w:hideMark/>
          </w:tcPr>
          <w:p w14:paraId="101215C4"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-50,165,735</w:t>
            </w:r>
          </w:p>
        </w:tc>
        <w:tc>
          <w:tcPr>
            <w:tcW w:w="1248" w:type="dxa"/>
            <w:tcBorders>
              <w:top w:val="nil"/>
              <w:left w:val="nil"/>
              <w:bottom w:val="single" w:sz="4" w:space="0" w:color="auto"/>
              <w:right w:val="single" w:sz="4" w:space="0" w:color="auto"/>
            </w:tcBorders>
            <w:shd w:val="clear" w:color="auto" w:fill="auto"/>
            <w:noWrap/>
            <w:hideMark/>
          </w:tcPr>
          <w:p w14:paraId="20D9C1FE"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41,075,259</w:t>
            </w:r>
          </w:p>
        </w:tc>
        <w:tc>
          <w:tcPr>
            <w:tcW w:w="1248" w:type="dxa"/>
            <w:tcBorders>
              <w:top w:val="nil"/>
              <w:left w:val="nil"/>
              <w:bottom w:val="single" w:sz="4" w:space="0" w:color="auto"/>
              <w:right w:val="single" w:sz="4" w:space="0" w:color="auto"/>
            </w:tcBorders>
            <w:shd w:val="clear" w:color="auto" w:fill="auto"/>
            <w:noWrap/>
            <w:hideMark/>
          </w:tcPr>
          <w:p w14:paraId="5CF3F32E"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9,090,476</w:t>
            </w:r>
          </w:p>
        </w:tc>
        <w:tc>
          <w:tcPr>
            <w:tcW w:w="1248" w:type="dxa"/>
            <w:tcBorders>
              <w:top w:val="nil"/>
              <w:left w:val="nil"/>
              <w:bottom w:val="single" w:sz="4" w:space="0" w:color="auto"/>
              <w:right w:val="single" w:sz="4" w:space="0" w:color="auto"/>
            </w:tcBorders>
            <w:shd w:val="clear" w:color="auto" w:fill="auto"/>
            <w:noWrap/>
            <w:hideMark/>
          </w:tcPr>
          <w:p w14:paraId="15C5179C" w14:textId="77777777" w:rsidR="00A65855" w:rsidRPr="00A420FD" w:rsidRDefault="00A65855" w:rsidP="00FA688C">
            <w:pPr>
              <w:jc w:val="right"/>
              <w:rPr>
                <w:b/>
                <w:bCs/>
                <w:color w:val="000000" w:themeColor="text1"/>
                <w:sz w:val="20"/>
                <w:szCs w:val="20"/>
                <w:lang w:val="en-CA" w:eastAsia="en-CA"/>
              </w:rPr>
            </w:pPr>
            <w:r w:rsidRPr="00A420FD">
              <w:rPr>
                <w:b/>
                <w:bCs/>
                <w:color w:val="000000" w:themeColor="text1"/>
                <w:sz w:val="20"/>
                <w:szCs w:val="20"/>
                <w:lang w:val="en-CA" w:eastAsia="en-CA"/>
              </w:rPr>
              <w:t>0</w:t>
            </w:r>
          </w:p>
        </w:tc>
      </w:tr>
    </w:tbl>
    <w:p w14:paraId="13261BC8" w14:textId="55685AD3" w:rsidR="00A65855" w:rsidRPr="00FA688C" w:rsidRDefault="00A65855" w:rsidP="00FA688C">
      <w:pPr>
        <w:rPr>
          <w:b/>
          <w:color w:val="000000" w:themeColor="text1"/>
        </w:rPr>
      </w:pPr>
    </w:p>
    <w:p w14:paraId="4927AA84" w14:textId="3B8AD0F9" w:rsidR="0038705B" w:rsidRPr="00FA688C" w:rsidRDefault="00C6647E" w:rsidP="00FA688C">
      <w:pPr>
        <w:pStyle w:val="Heading1"/>
        <w:rPr>
          <w:color w:val="000000" w:themeColor="text1"/>
        </w:rPr>
      </w:pPr>
      <w:r w:rsidRPr="00FA688C">
        <w:rPr>
          <w:color w:val="000000" w:themeColor="text1"/>
        </w:rPr>
        <w:t>Taking into account new activities in the 2018-2020 pro-rated business plan</w:t>
      </w:r>
      <w:r w:rsidR="00761EF5">
        <w:rPr>
          <w:color w:val="000000" w:themeColor="text1"/>
        </w:rPr>
        <w:t xml:space="preserve">, there will be a </w:t>
      </w:r>
      <w:r w:rsidRPr="00FA688C">
        <w:rPr>
          <w:color w:val="000000" w:themeColor="text1"/>
        </w:rPr>
        <w:t xml:space="preserve">shortfall of </w:t>
      </w:r>
      <w:r w:rsidR="00FA688C" w:rsidRPr="00FA688C">
        <w:rPr>
          <w:color w:val="000000" w:themeColor="text1"/>
        </w:rPr>
        <w:t>US $</w:t>
      </w:r>
      <w:r w:rsidR="004833B8" w:rsidRPr="00FA688C">
        <w:rPr>
          <w:color w:val="000000" w:themeColor="text1"/>
        </w:rPr>
        <w:t>50.17</w:t>
      </w:r>
      <w:r w:rsidRPr="00FA688C">
        <w:rPr>
          <w:color w:val="000000" w:themeColor="text1"/>
        </w:rPr>
        <w:t xml:space="preserve"> million in 2018.</w:t>
      </w:r>
      <w:r w:rsidR="00FA688C" w:rsidRPr="00FA688C">
        <w:rPr>
          <w:color w:val="000000" w:themeColor="text1"/>
        </w:rPr>
        <w:t xml:space="preserve"> </w:t>
      </w:r>
      <w:r w:rsidRPr="00FA688C">
        <w:rPr>
          <w:color w:val="000000" w:themeColor="text1"/>
        </w:rPr>
        <w:t>However,</w:t>
      </w:r>
      <w:r w:rsidR="0083614B" w:rsidRPr="00FA688C">
        <w:rPr>
          <w:color w:val="000000" w:themeColor="text1"/>
        </w:rPr>
        <w:t xml:space="preserve"> the </w:t>
      </w:r>
      <w:r w:rsidR="007549DD" w:rsidRPr="00FA688C">
        <w:rPr>
          <w:color w:val="000000" w:themeColor="text1"/>
        </w:rPr>
        <w:t xml:space="preserve">resources available in 2019 and 2020 would balance </w:t>
      </w:r>
      <w:r w:rsidR="0083614B" w:rsidRPr="00FA688C">
        <w:rPr>
          <w:color w:val="000000" w:themeColor="text1"/>
        </w:rPr>
        <w:t>the shortfall in 2018.</w:t>
      </w:r>
    </w:p>
    <w:p w14:paraId="1D9E50E5" w14:textId="6818BC01" w:rsidR="0038705B" w:rsidRPr="00FA688C" w:rsidRDefault="005A16BF" w:rsidP="00FA688C">
      <w:pPr>
        <w:rPr>
          <w:b/>
          <w:color w:val="000000" w:themeColor="text1"/>
        </w:rPr>
      </w:pPr>
      <w:r w:rsidRPr="00FA688C">
        <w:rPr>
          <w:b/>
          <w:color w:val="000000" w:themeColor="text1"/>
        </w:rPr>
        <w:t>Possible f</w:t>
      </w:r>
      <w:r w:rsidR="00AC0571" w:rsidRPr="00FA688C">
        <w:rPr>
          <w:b/>
          <w:color w:val="000000" w:themeColor="text1"/>
        </w:rPr>
        <w:t>actors impacting financial planning and cash flow during the 201</w:t>
      </w:r>
      <w:r w:rsidR="002559B7" w:rsidRPr="00FA688C">
        <w:rPr>
          <w:b/>
          <w:color w:val="000000" w:themeColor="text1"/>
        </w:rPr>
        <w:t>8</w:t>
      </w:r>
      <w:r w:rsidR="00AC0571" w:rsidRPr="00FA688C">
        <w:rPr>
          <w:b/>
          <w:color w:val="000000" w:themeColor="text1"/>
        </w:rPr>
        <w:t>-20</w:t>
      </w:r>
      <w:r w:rsidR="002559B7" w:rsidRPr="00FA688C">
        <w:rPr>
          <w:b/>
          <w:color w:val="000000" w:themeColor="text1"/>
        </w:rPr>
        <w:t>20</w:t>
      </w:r>
      <w:r w:rsidR="00AC0571" w:rsidRPr="00FA688C">
        <w:rPr>
          <w:b/>
          <w:color w:val="000000" w:themeColor="text1"/>
        </w:rPr>
        <w:t xml:space="preserve"> triennium</w:t>
      </w:r>
    </w:p>
    <w:p w14:paraId="06C24B8F" w14:textId="2D328478" w:rsidR="00AC0571" w:rsidRPr="00FA688C" w:rsidRDefault="00AC0571" w:rsidP="00FA688C">
      <w:pPr>
        <w:rPr>
          <w:color w:val="000000" w:themeColor="text1"/>
        </w:rPr>
      </w:pPr>
    </w:p>
    <w:p w14:paraId="11679B66" w14:textId="2B519C2B" w:rsidR="002559B7" w:rsidRPr="00FA688C" w:rsidRDefault="002559B7" w:rsidP="00FA688C">
      <w:pPr>
        <w:pStyle w:val="Heading1"/>
        <w:rPr>
          <w:color w:val="000000" w:themeColor="text1"/>
        </w:rPr>
      </w:pPr>
      <w:r w:rsidRPr="00FA688C">
        <w:rPr>
          <w:color w:val="000000" w:themeColor="text1"/>
        </w:rPr>
        <w:t xml:space="preserve">The cash flow of the Multilateral Fund for the 2018-2020 triennium is influenced by several factors, </w:t>
      </w:r>
      <w:r w:rsidRPr="00FA688C">
        <w:rPr>
          <w:i/>
          <w:color w:val="000000" w:themeColor="text1"/>
        </w:rPr>
        <w:t>inter alia</w:t>
      </w:r>
      <w:r w:rsidRPr="00FA688C">
        <w:rPr>
          <w:color w:val="000000" w:themeColor="text1"/>
        </w:rPr>
        <w:t>:</w:t>
      </w:r>
      <w:r w:rsidR="00C124EE" w:rsidRPr="00FA688C">
        <w:rPr>
          <w:color w:val="000000" w:themeColor="text1"/>
        </w:rPr>
        <w:t xml:space="preserve"> receipt of agreed </w:t>
      </w:r>
      <w:r w:rsidR="003B592A" w:rsidRPr="00FA688C">
        <w:rPr>
          <w:color w:val="000000" w:themeColor="text1"/>
        </w:rPr>
        <w:t xml:space="preserve">2018-2020 </w:t>
      </w:r>
      <w:r w:rsidR="00C124EE" w:rsidRPr="00FA688C">
        <w:rPr>
          <w:color w:val="000000" w:themeColor="text1"/>
        </w:rPr>
        <w:t>pledge</w:t>
      </w:r>
      <w:r w:rsidR="003B592A" w:rsidRPr="00FA688C">
        <w:rPr>
          <w:color w:val="000000" w:themeColor="text1"/>
        </w:rPr>
        <w:t>d</w:t>
      </w:r>
      <w:r w:rsidR="00C124EE" w:rsidRPr="00FA688C">
        <w:rPr>
          <w:color w:val="000000" w:themeColor="text1"/>
        </w:rPr>
        <w:t xml:space="preserve"> contributions; </w:t>
      </w:r>
      <w:r w:rsidRPr="00FA688C">
        <w:rPr>
          <w:color w:val="000000" w:themeColor="text1"/>
        </w:rPr>
        <w:t>the potential interest to be accrued; the potential loss/gain due to the fixed</w:t>
      </w:r>
      <w:r w:rsidRPr="00FA688C">
        <w:rPr>
          <w:color w:val="000000" w:themeColor="text1"/>
        </w:rPr>
        <w:noBreakHyphen/>
        <w:t>exchange rate mechanism (FERM);</w:t>
      </w:r>
      <w:r w:rsidR="003B592A" w:rsidRPr="00FA688C">
        <w:rPr>
          <w:color w:val="000000" w:themeColor="text1"/>
        </w:rPr>
        <w:t xml:space="preserve"> </w:t>
      </w:r>
      <w:r w:rsidR="00093044" w:rsidRPr="00FA688C">
        <w:rPr>
          <w:color w:val="000000" w:themeColor="text1"/>
        </w:rPr>
        <w:t xml:space="preserve">payment of contributions in arrears included in the carry-over; </w:t>
      </w:r>
      <w:r w:rsidRPr="00FA688C">
        <w:rPr>
          <w:color w:val="000000" w:themeColor="text1"/>
        </w:rPr>
        <w:t xml:space="preserve">the potential balances returned from </w:t>
      </w:r>
      <w:r w:rsidR="00A610CF" w:rsidRPr="00FA688C">
        <w:rPr>
          <w:color w:val="000000" w:themeColor="text1"/>
        </w:rPr>
        <w:t xml:space="preserve">cancelled or </w:t>
      </w:r>
      <w:r w:rsidRPr="00FA688C">
        <w:rPr>
          <w:color w:val="000000" w:themeColor="text1"/>
        </w:rPr>
        <w:t>completed projects;</w:t>
      </w:r>
      <w:r w:rsidR="00E01768" w:rsidRPr="00FA688C">
        <w:rPr>
          <w:color w:val="000000" w:themeColor="text1"/>
        </w:rPr>
        <w:t xml:space="preserve"> </w:t>
      </w:r>
      <w:r w:rsidR="00E642B6" w:rsidRPr="00FA688C">
        <w:rPr>
          <w:color w:val="000000" w:themeColor="text1"/>
        </w:rPr>
        <w:t xml:space="preserve">and </w:t>
      </w:r>
      <w:r w:rsidR="00E01768" w:rsidRPr="00FA688C">
        <w:rPr>
          <w:color w:val="000000" w:themeColor="text1"/>
        </w:rPr>
        <w:t>the additional voluntary contributions for HFC activities</w:t>
      </w:r>
      <w:r w:rsidR="00E642B6" w:rsidRPr="00FA688C">
        <w:rPr>
          <w:color w:val="000000" w:themeColor="text1"/>
        </w:rPr>
        <w:t>.</w:t>
      </w:r>
      <w:r w:rsidRPr="00FA688C">
        <w:rPr>
          <w:color w:val="000000" w:themeColor="text1"/>
        </w:rPr>
        <w:t xml:space="preserve"> </w:t>
      </w:r>
      <w:r w:rsidR="00FE2E6E" w:rsidRPr="00FA688C">
        <w:rPr>
          <w:color w:val="000000" w:themeColor="text1"/>
        </w:rPr>
        <w:t xml:space="preserve">The following paragraphs provide more information on these </w:t>
      </w:r>
      <w:r w:rsidR="00FE2E6E" w:rsidRPr="007413CB">
        <w:rPr>
          <w:color w:val="000000" w:themeColor="text1"/>
        </w:rPr>
        <w:t xml:space="preserve">factors that </w:t>
      </w:r>
      <w:r w:rsidR="00761EF5" w:rsidRPr="007413CB">
        <w:rPr>
          <w:color w:val="000000" w:themeColor="text1"/>
        </w:rPr>
        <w:t xml:space="preserve">could </w:t>
      </w:r>
      <w:r w:rsidR="00FE2E6E" w:rsidRPr="007413CB">
        <w:rPr>
          <w:color w:val="000000" w:themeColor="text1"/>
        </w:rPr>
        <w:t>influence</w:t>
      </w:r>
      <w:r w:rsidR="00FE2E6E" w:rsidRPr="00FA688C">
        <w:rPr>
          <w:color w:val="000000" w:themeColor="text1"/>
        </w:rPr>
        <w:t xml:space="preserve"> financial planning and cash flow of the 2018-2020 triennium.</w:t>
      </w:r>
    </w:p>
    <w:p w14:paraId="78B513DC" w14:textId="2AD0FD6A" w:rsidR="00A6216D" w:rsidRDefault="00C124EE" w:rsidP="00550031">
      <w:pPr>
        <w:rPr>
          <w:color w:val="000000" w:themeColor="text1"/>
          <w:u w:val="single"/>
        </w:rPr>
      </w:pPr>
      <w:r w:rsidRPr="00FA688C">
        <w:rPr>
          <w:color w:val="000000" w:themeColor="text1"/>
          <w:u w:val="single"/>
        </w:rPr>
        <w:t>Receipt of agreed pledged contributions</w:t>
      </w:r>
    </w:p>
    <w:p w14:paraId="2E968550" w14:textId="77777777" w:rsidR="00550031" w:rsidRPr="00550031" w:rsidRDefault="00550031" w:rsidP="00550031">
      <w:pPr>
        <w:rPr>
          <w:color w:val="000000" w:themeColor="text1"/>
          <w:u w:val="single"/>
        </w:rPr>
      </w:pPr>
    </w:p>
    <w:p w14:paraId="3D657D91" w14:textId="44F29F22" w:rsidR="00C124EE" w:rsidRPr="00B845DF" w:rsidRDefault="00C124EE" w:rsidP="00B845DF">
      <w:pPr>
        <w:pStyle w:val="Heading1"/>
        <w:rPr>
          <w:color w:val="000000" w:themeColor="text1"/>
        </w:rPr>
      </w:pPr>
      <w:r w:rsidRPr="009F31C0">
        <w:rPr>
          <w:color w:val="000000" w:themeColor="text1"/>
        </w:rPr>
        <w:t>The average rate of pledges received during the 20</w:t>
      </w:r>
      <w:r w:rsidR="00F543A1" w:rsidRPr="009F31C0">
        <w:rPr>
          <w:color w:val="000000" w:themeColor="text1"/>
        </w:rPr>
        <w:t>15</w:t>
      </w:r>
      <w:r w:rsidRPr="009F31C0">
        <w:rPr>
          <w:color w:val="000000" w:themeColor="text1"/>
        </w:rPr>
        <w:t>-201</w:t>
      </w:r>
      <w:r w:rsidR="00F543A1" w:rsidRPr="009F31C0">
        <w:rPr>
          <w:color w:val="000000" w:themeColor="text1"/>
        </w:rPr>
        <w:t>7</w:t>
      </w:r>
      <w:r w:rsidRPr="009F31C0">
        <w:rPr>
          <w:color w:val="000000" w:themeColor="text1"/>
        </w:rPr>
        <w:t xml:space="preserve"> triennium was </w:t>
      </w:r>
      <w:r w:rsidR="00B70313" w:rsidRPr="009F31C0">
        <w:rPr>
          <w:color w:val="000000" w:themeColor="text1"/>
        </w:rPr>
        <w:t>9</w:t>
      </w:r>
      <w:r w:rsidR="00761EF5" w:rsidRPr="009F31C0">
        <w:rPr>
          <w:color w:val="000000" w:themeColor="text1"/>
        </w:rPr>
        <w:t>8</w:t>
      </w:r>
      <w:r w:rsidR="00B70313" w:rsidRPr="009F31C0">
        <w:rPr>
          <w:color w:val="000000" w:themeColor="text1"/>
        </w:rPr>
        <w:t>.</w:t>
      </w:r>
      <w:r w:rsidR="00761EF5" w:rsidRPr="009F31C0">
        <w:rPr>
          <w:color w:val="000000" w:themeColor="text1"/>
        </w:rPr>
        <w:t>1</w:t>
      </w:r>
      <w:r w:rsidR="00A420FD">
        <w:rPr>
          <w:rStyle w:val="FootnoteReference"/>
          <w:color w:val="000000" w:themeColor="text1"/>
        </w:rPr>
        <w:footnoteReference w:id="4"/>
      </w:r>
      <w:r w:rsidRPr="00B845DF">
        <w:rPr>
          <w:color w:val="000000" w:themeColor="text1"/>
        </w:rPr>
        <w:t xml:space="preserve"> </w:t>
      </w:r>
      <w:r w:rsidRPr="009F31C0">
        <w:rPr>
          <w:color w:val="000000" w:themeColor="text1"/>
        </w:rPr>
        <w:t>per cent.</w:t>
      </w:r>
      <w:r w:rsidR="00FA688C" w:rsidRPr="009F31C0">
        <w:rPr>
          <w:color w:val="000000" w:themeColor="text1"/>
        </w:rPr>
        <w:t xml:space="preserve"> </w:t>
      </w:r>
      <w:r w:rsidR="00761EF5" w:rsidRPr="009F31C0">
        <w:rPr>
          <w:color w:val="000000" w:themeColor="text1"/>
        </w:rPr>
        <w:t>Based on this rate</w:t>
      </w:r>
      <w:r w:rsidR="00560946" w:rsidRPr="009F31C0">
        <w:rPr>
          <w:color w:val="000000" w:themeColor="text1"/>
        </w:rPr>
        <w:t xml:space="preserve"> of pledges received</w:t>
      </w:r>
      <w:r w:rsidR="00761EF5" w:rsidRPr="009F31C0">
        <w:rPr>
          <w:color w:val="000000" w:themeColor="text1"/>
        </w:rPr>
        <w:t xml:space="preserve">, </w:t>
      </w:r>
      <w:r w:rsidR="00FA688C" w:rsidRPr="009F31C0">
        <w:rPr>
          <w:color w:val="000000" w:themeColor="text1"/>
        </w:rPr>
        <w:t>US </w:t>
      </w:r>
      <w:r w:rsidR="00FA688C" w:rsidRPr="00D16C50">
        <w:rPr>
          <w:color w:val="000000" w:themeColor="text1"/>
        </w:rPr>
        <w:t>$</w:t>
      </w:r>
      <w:r w:rsidR="00B02E3E" w:rsidRPr="00D16C50">
        <w:rPr>
          <w:color w:val="000000" w:themeColor="text1"/>
        </w:rPr>
        <w:t>3</w:t>
      </w:r>
      <w:r w:rsidR="00560946" w:rsidRPr="00D16C50">
        <w:rPr>
          <w:color w:val="000000" w:themeColor="text1"/>
        </w:rPr>
        <w:t>.</w:t>
      </w:r>
      <w:r w:rsidR="009F31C0" w:rsidRPr="00D16C50">
        <w:rPr>
          <w:color w:val="000000" w:themeColor="text1"/>
        </w:rPr>
        <w:t>2</w:t>
      </w:r>
      <w:r w:rsidR="00560946" w:rsidRPr="00D16C50">
        <w:rPr>
          <w:color w:val="000000" w:themeColor="text1"/>
        </w:rPr>
        <w:t xml:space="preserve"> million</w:t>
      </w:r>
      <w:r w:rsidR="00B02E3E" w:rsidRPr="009F31C0">
        <w:rPr>
          <w:color w:val="000000" w:themeColor="text1"/>
        </w:rPr>
        <w:t xml:space="preserve"> </w:t>
      </w:r>
      <w:r w:rsidR="00CB533C" w:rsidRPr="009F31C0">
        <w:rPr>
          <w:color w:val="000000" w:themeColor="text1"/>
        </w:rPr>
        <w:t xml:space="preserve">of the </w:t>
      </w:r>
      <w:r w:rsidR="00FA688C" w:rsidRPr="009F31C0">
        <w:rPr>
          <w:color w:val="000000" w:themeColor="text1"/>
        </w:rPr>
        <w:t>US $</w:t>
      </w:r>
      <w:r w:rsidR="00CB533C" w:rsidRPr="009F31C0">
        <w:rPr>
          <w:color w:val="000000" w:themeColor="text1"/>
        </w:rPr>
        <w:t>166</w:t>
      </w:r>
      <w:r w:rsidR="00560946" w:rsidRPr="009F31C0">
        <w:rPr>
          <w:color w:val="000000" w:themeColor="text1"/>
        </w:rPr>
        <w:t>.67 million</w:t>
      </w:r>
      <w:r w:rsidR="00B02E3E" w:rsidRPr="009F31C0">
        <w:rPr>
          <w:color w:val="000000" w:themeColor="text1"/>
        </w:rPr>
        <w:t xml:space="preserve"> is not expected to be received</w:t>
      </w:r>
      <w:r w:rsidR="00CB533C" w:rsidRPr="009F31C0">
        <w:rPr>
          <w:color w:val="000000" w:themeColor="text1"/>
        </w:rPr>
        <w:t xml:space="preserve"> </w:t>
      </w:r>
      <w:r w:rsidR="00560946" w:rsidRPr="009F31C0">
        <w:rPr>
          <w:color w:val="000000" w:themeColor="text1"/>
        </w:rPr>
        <w:t>during the 2018-2020 triennium</w:t>
      </w:r>
      <w:r w:rsidR="00B02E3E" w:rsidRPr="009F31C0">
        <w:rPr>
          <w:color w:val="000000" w:themeColor="text1"/>
        </w:rPr>
        <w:t>.</w:t>
      </w:r>
    </w:p>
    <w:p w14:paraId="53DA62A6" w14:textId="763D2B23" w:rsidR="000D149B" w:rsidRPr="00FA688C" w:rsidRDefault="000D149B" w:rsidP="00FA688C">
      <w:pPr>
        <w:rPr>
          <w:color w:val="000000" w:themeColor="text1"/>
          <w:u w:val="single"/>
        </w:rPr>
      </w:pPr>
      <w:r w:rsidRPr="00FA688C">
        <w:rPr>
          <w:color w:val="000000" w:themeColor="text1"/>
          <w:u w:val="single"/>
        </w:rPr>
        <w:t>Payment of outstanding contributions in arrears included in the carry-over</w:t>
      </w:r>
    </w:p>
    <w:p w14:paraId="0C24E53F" w14:textId="77777777" w:rsidR="00AE643F" w:rsidRPr="00FA688C" w:rsidRDefault="00AE643F" w:rsidP="00FA688C">
      <w:pPr>
        <w:rPr>
          <w:color w:val="000000" w:themeColor="text1"/>
          <w:u w:val="single"/>
        </w:rPr>
      </w:pPr>
    </w:p>
    <w:p w14:paraId="78FE9578" w14:textId="7FBF0C80" w:rsidR="009B4701" w:rsidRPr="00B845DF" w:rsidRDefault="00650F91" w:rsidP="004B2DC8">
      <w:pPr>
        <w:pStyle w:val="Heading1"/>
        <w:rPr>
          <w:color w:val="000000" w:themeColor="text1"/>
        </w:rPr>
      </w:pPr>
      <w:r w:rsidRPr="00B845DF">
        <w:t>The</w:t>
      </w:r>
      <w:r w:rsidR="00AE643F" w:rsidRPr="00B845DF">
        <w:t xml:space="preserve"> Parties </w:t>
      </w:r>
      <w:r w:rsidRPr="00B845DF">
        <w:t>adopted a carry-over of</w:t>
      </w:r>
      <w:r w:rsidR="00AE643F" w:rsidRPr="00B845DF">
        <w:t xml:space="preserve"> </w:t>
      </w:r>
      <w:r w:rsidR="00FA688C" w:rsidRPr="00B845DF">
        <w:t>US $</w:t>
      </w:r>
      <w:r w:rsidR="00AE643F" w:rsidRPr="00B845DF">
        <w:t xml:space="preserve">34 million </w:t>
      </w:r>
      <w:r w:rsidRPr="00B845DF">
        <w:t>from the 2015-2020 triennium</w:t>
      </w:r>
      <w:r w:rsidR="009B4701" w:rsidRPr="00B845DF">
        <w:t>, which was calculated based on outstanding contributions expected to be received (amounting to US $29,798,528</w:t>
      </w:r>
      <w:r w:rsidR="004B2DC8" w:rsidRPr="00B845DF">
        <w:t>, of which US $10,452,429 was expected not to be collected</w:t>
      </w:r>
      <w:r w:rsidR="009B4701" w:rsidRPr="00B845DF">
        <w:t>); potential interest accrued (US $150,000); and potential loss due to the FERM (US $2.60 million), up to the end of 2017</w:t>
      </w:r>
      <w:r w:rsidRPr="00B845DF">
        <w:t xml:space="preserve">. </w:t>
      </w:r>
      <w:r w:rsidR="009B4701" w:rsidRPr="00B845DF">
        <w:t>Based on updated information at the end of 2017</w:t>
      </w:r>
      <w:r w:rsidR="004B2DC8" w:rsidRPr="00B845DF">
        <w:t xml:space="preserve">, </w:t>
      </w:r>
      <w:r w:rsidR="004B2DC8" w:rsidRPr="00B845DF">
        <w:rPr>
          <w:color w:val="000000" w:themeColor="text1"/>
        </w:rPr>
        <w:t>the actual carry-over is US $37.4 million as described below:</w:t>
      </w:r>
    </w:p>
    <w:p w14:paraId="2A130FF5" w14:textId="26E9A707" w:rsidR="004B2DC8" w:rsidRPr="00B845DF" w:rsidRDefault="004B2DC8" w:rsidP="009B4701">
      <w:pPr>
        <w:pStyle w:val="Heading2"/>
      </w:pPr>
      <w:r w:rsidRPr="00B845DF">
        <w:t xml:space="preserve">The amount of outstanding contributions to the Fund not expected to be collected was reduced from </w:t>
      </w:r>
      <w:r w:rsidR="009B4701" w:rsidRPr="00B845DF">
        <w:t>US </w:t>
      </w:r>
      <w:r w:rsidR="00783D9E" w:rsidRPr="00B845DF">
        <w:t xml:space="preserve">$10,452,429 </w:t>
      </w:r>
      <w:r w:rsidRPr="00B845DF">
        <w:t xml:space="preserve">to US $8,536,555, due to the payment of outstanding contributions by one Party that </w:t>
      </w:r>
      <w:r w:rsidR="009B4701" w:rsidRPr="00B845DF">
        <w:t xml:space="preserve">was expected </w:t>
      </w:r>
      <w:r w:rsidR="00783D9E" w:rsidRPr="00B845DF">
        <w:t>not to be collected</w:t>
      </w:r>
      <w:r w:rsidRPr="00B845DF">
        <w:t>;</w:t>
      </w:r>
    </w:p>
    <w:p w14:paraId="662D75E8" w14:textId="1D7D6C82" w:rsidR="004B2DC8" w:rsidRPr="00B845DF" w:rsidRDefault="004B2DC8" w:rsidP="009B4701">
      <w:pPr>
        <w:pStyle w:val="Heading2"/>
      </w:pPr>
      <w:r w:rsidRPr="00B845DF">
        <w:t>The interest accrued amounted to US $1.5 million;</w:t>
      </w:r>
      <w:r w:rsidR="00BE08A4">
        <w:t xml:space="preserve"> and</w:t>
      </w:r>
    </w:p>
    <w:p w14:paraId="58FDB8ED" w14:textId="38C0592A" w:rsidR="004B2DC8" w:rsidRPr="00B845DF" w:rsidRDefault="004B2DC8" w:rsidP="009B4701">
      <w:pPr>
        <w:pStyle w:val="Heading2"/>
      </w:pPr>
      <w:r w:rsidRPr="00B845DF">
        <w:t>The loss to the FERM was slightly higher (US $77,</w:t>
      </w:r>
      <w:r w:rsidR="00B845DF" w:rsidRPr="00B845DF">
        <w:t>4</w:t>
      </w:r>
      <w:r w:rsidRPr="00B845DF">
        <w:t>00).</w:t>
      </w:r>
    </w:p>
    <w:p w14:paraId="7E7B61CC" w14:textId="2632986E" w:rsidR="00AE643F" w:rsidRPr="00B845DF" w:rsidRDefault="004B2DC8" w:rsidP="004B2DC8">
      <w:pPr>
        <w:pStyle w:val="Heading1"/>
      </w:pPr>
      <w:r w:rsidRPr="00B845DF">
        <w:lastRenderedPageBreak/>
        <w:t>T</w:t>
      </w:r>
      <w:r w:rsidR="004C1B3A" w:rsidRPr="00B845DF">
        <w:t xml:space="preserve">he </w:t>
      </w:r>
      <w:r w:rsidRPr="00B845DF">
        <w:t xml:space="preserve">actual </w:t>
      </w:r>
      <w:r w:rsidR="004C1B3A" w:rsidRPr="00B845DF">
        <w:t xml:space="preserve">carry-over </w:t>
      </w:r>
      <w:r w:rsidRPr="00B845DF">
        <w:t xml:space="preserve">of </w:t>
      </w:r>
      <w:r w:rsidR="00FA688C" w:rsidRPr="00B845DF">
        <w:t>US $</w:t>
      </w:r>
      <w:r w:rsidR="009401A5" w:rsidRPr="00B845DF">
        <w:t>37,425,124</w:t>
      </w:r>
      <w:r w:rsidR="000348FE" w:rsidRPr="00B845DF">
        <w:t xml:space="preserve"> includ</w:t>
      </w:r>
      <w:r w:rsidR="00EC5A5A" w:rsidRPr="00B845DF">
        <w:t>es</w:t>
      </w:r>
      <w:r w:rsidR="000348FE" w:rsidRPr="00B845DF">
        <w:t xml:space="preserve"> </w:t>
      </w:r>
      <w:r w:rsidR="00FA688C" w:rsidRPr="00B845DF">
        <w:t>US $</w:t>
      </w:r>
      <w:r w:rsidR="000348FE" w:rsidRPr="00B845DF">
        <w:t xml:space="preserve">21,261,973 </w:t>
      </w:r>
      <w:r w:rsidR="00783D9E" w:rsidRPr="00B845DF">
        <w:t xml:space="preserve">of </w:t>
      </w:r>
      <w:r w:rsidR="00EC5A5A" w:rsidRPr="00B845DF">
        <w:t xml:space="preserve">outstanding </w:t>
      </w:r>
      <w:r w:rsidR="00FA7395" w:rsidRPr="00B845DF">
        <w:t xml:space="preserve">contributions </w:t>
      </w:r>
      <w:r w:rsidR="00783D9E" w:rsidRPr="00B845DF">
        <w:t>expected to be collected.</w:t>
      </w:r>
      <w:r w:rsidR="00AE643F" w:rsidRPr="00B845DF">
        <w:t xml:space="preserve"> All funds included in the carry-over are considered collectible.</w:t>
      </w:r>
      <w:r w:rsidR="00FA688C" w:rsidRPr="00B845DF">
        <w:t xml:space="preserve"> </w:t>
      </w:r>
    </w:p>
    <w:p w14:paraId="3CC57A53" w14:textId="20C34B55" w:rsidR="00C25B5E" w:rsidRPr="00FA688C" w:rsidRDefault="00C25B5E" w:rsidP="00FA688C">
      <w:pPr>
        <w:rPr>
          <w:color w:val="000000" w:themeColor="text1"/>
          <w:u w:val="single"/>
        </w:rPr>
      </w:pPr>
      <w:r w:rsidRPr="00FA688C">
        <w:rPr>
          <w:color w:val="000000" w:themeColor="text1"/>
          <w:u w:val="single"/>
        </w:rPr>
        <w:t>Potential interest accrued during 2018-2020 triennium</w:t>
      </w:r>
    </w:p>
    <w:p w14:paraId="0BF768EB" w14:textId="376F825C" w:rsidR="00C25B5E" w:rsidRPr="00FA688C" w:rsidRDefault="00C25B5E" w:rsidP="00FA688C">
      <w:pPr>
        <w:rPr>
          <w:color w:val="000000" w:themeColor="text1"/>
        </w:rPr>
      </w:pPr>
    </w:p>
    <w:p w14:paraId="7F403B49" w14:textId="18807907" w:rsidR="00B35D4E" w:rsidRPr="00737D46" w:rsidRDefault="00F95B9B" w:rsidP="00FA688C">
      <w:pPr>
        <w:pStyle w:val="Heading1"/>
        <w:rPr>
          <w:color w:val="000000" w:themeColor="text1"/>
        </w:rPr>
      </w:pPr>
      <w:r w:rsidRPr="00737D46">
        <w:rPr>
          <w:color w:val="000000" w:themeColor="text1"/>
        </w:rPr>
        <w:t xml:space="preserve">The </w:t>
      </w:r>
      <w:r w:rsidR="00B70313" w:rsidRPr="00737D46">
        <w:rPr>
          <w:color w:val="000000" w:themeColor="text1"/>
        </w:rPr>
        <w:t>total</w:t>
      </w:r>
      <w:r w:rsidRPr="00737D46">
        <w:rPr>
          <w:color w:val="000000" w:themeColor="text1"/>
        </w:rPr>
        <w:t xml:space="preserve"> </w:t>
      </w:r>
      <w:r w:rsidR="00B35D4E" w:rsidRPr="00737D46">
        <w:rPr>
          <w:color w:val="000000" w:themeColor="text1"/>
        </w:rPr>
        <w:t>interest accrued during</w:t>
      </w:r>
      <w:r w:rsidRPr="00737D46">
        <w:rPr>
          <w:color w:val="000000" w:themeColor="text1"/>
        </w:rPr>
        <w:t xml:space="preserve"> the 2015-2017 triennium was </w:t>
      </w:r>
      <w:r w:rsidR="00FA688C" w:rsidRPr="00737D46">
        <w:rPr>
          <w:color w:val="000000" w:themeColor="text1"/>
        </w:rPr>
        <w:t>US $</w:t>
      </w:r>
      <w:r w:rsidR="00B70313" w:rsidRPr="00737D46">
        <w:rPr>
          <w:color w:val="000000" w:themeColor="text1"/>
        </w:rPr>
        <w:t>7,452,756</w:t>
      </w:r>
      <w:r w:rsidR="009B4701" w:rsidRPr="00737D46">
        <w:rPr>
          <w:color w:val="000000" w:themeColor="text1"/>
        </w:rPr>
        <w:t>,</w:t>
      </w:r>
      <w:r w:rsidR="00B70313" w:rsidRPr="00737D46">
        <w:rPr>
          <w:rStyle w:val="FootnoteReference"/>
          <w:color w:val="000000" w:themeColor="text1"/>
        </w:rPr>
        <w:footnoteReference w:id="5"/>
      </w:r>
      <w:r w:rsidR="00B70313" w:rsidRPr="00737D46">
        <w:rPr>
          <w:color w:val="000000" w:themeColor="text1"/>
        </w:rPr>
        <w:t xml:space="preserve"> with an average of </w:t>
      </w:r>
      <w:r w:rsidR="00FA688C" w:rsidRPr="00737D46">
        <w:rPr>
          <w:color w:val="000000" w:themeColor="text1"/>
        </w:rPr>
        <w:t>US $</w:t>
      </w:r>
      <w:r w:rsidR="00B35D4E" w:rsidRPr="00737D46">
        <w:rPr>
          <w:color w:val="000000" w:themeColor="text1"/>
        </w:rPr>
        <w:t>2.</w:t>
      </w:r>
      <w:r w:rsidR="00B70313" w:rsidRPr="00737D46">
        <w:rPr>
          <w:color w:val="000000" w:themeColor="text1"/>
        </w:rPr>
        <w:t>48</w:t>
      </w:r>
      <w:r w:rsidR="00B35D4E" w:rsidRPr="00737D46">
        <w:rPr>
          <w:color w:val="000000" w:themeColor="text1"/>
        </w:rPr>
        <w:t xml:space="preserve"> million per year</w:t>
      </w:r>
      <w:r w:rsidRPr="00737D46">
        <w:rPr>
          <w:color w:val="000000" w:themeColor="text1"/>
        </w:rPr>
        <w:t>.</w:t>
      </w:r>
      <w:r w:rsidR="00040F65" w:rsidRPr="00737D46">
        <w:rPr>
          <w:color w:val="000000" w:themeColor="text1"/>
        </w:rPr>
        <w:t xml:space="preserve"> </w:t>
      </w:r>
      <w:r w:rsidR="00B35D4E" w:rsidRPr="00737D46">
        <w:rPr>
          <w:color w:val="000000" w:themeColor="text1"/>
        </w:rPr>
        <w:t xml:space="preserve">On this basis, </w:t>
      </w:r>
      <w:r w:rsidR="009B4701" w:rsidRPr="00737D46">
        <w:rPr>
          <w:color w:val="000000" w:themeColor="text1"/>
        </w:rPr>
        <w:t xml:space="preserve">it </w:t>
      </w:r>
      <w:r w:rsidR="00B35D4E" w:rsidRPr="00737D46">
        <w:rPr>
          <w:color w:val="000000" w:themeColor="text1"/>
        </w:rPr>
        <w:t xml:space="preserve">might expect </w:t>
      </w:r>
      <w:r w:rsidR="009B4701" w:rsidRPr="00737D46">
        <w:rPr>
          <w:color w:val="000000" w:themeColor="text1"/>
        </w:rPr>
        <w:t xml:space="preserve">that the </w:t>
      </w:r>
      <w:r w:rsidR="00B35D4E" w:rsidRPr="00737D46">
        <w:rPr>
          <w:color w:val="000000" w:themeColor="text1"/>
        </w:rPr>
        <w:t xml:space="preserve">interest accrued per year </w:t>
      </w:r>
      <w:r w:rsidR="009B4701" w:rsidRPr="00737D46">
        <w:rPr>
          <w:color w:val="000000" w:themeColor="text1"/>
        </w:rPr>
        <w:t>will be US $</w:t>
      </w:r>
      <w:r w:rsidR="009B4701" w:rsidRPr="00A420FD">
        <w:t>2</w:t>
      </w:r>
      <w:r w:rsidR="00A420FD">
        <w:t> </w:t>
      </w:r>
      <w:r w:rsidR="009B4701" w:rsidRPr="00A420FD">
        <w:t>million</w:t>
      </w:r>
      <w:r w:rsidR="009B4701" w:rsidRPr="00737D46">
        <w:rPr>
          <w:color w:val="000000" w:themeColor="text1"/>
        </w:rPr>
        <w:t xml:space="preserve"> </w:t>
      </w:r>
      <w:r w:rsidR="00B35D4E" w:rsidRPr="00737D46">
        <w:rPr>
          <w:color w:val="000000" w:themeColor="text1"/>
        </w:rPr>
        <w:t xml:space="preserve">during the 2018-2020 triennium. </w:t>
      </w:r>
    </w:p>
    <w:p w14:paraId="4BE8DF35" w14:textId="6CF836BE" w:rsidR="00B256EB" w:rsidRPr="00430A97" w:rsidRDefault="00C124EE" w:rsidP="00FA688C">
      <w:pPr>
        <w:pStyle w:val="Heading1"/>
        <w:numPr>
          <w:ilvl w:val="0"/>
          <w:numId w:val="0"/>
        </w:numPr>
        <w:rPr>
          <w:color w:val="000000" w:themeColor="text1"/>
          <w:u w:val="single"/>
        </w:rPr>
      </w:pPr>
      <w:r w:rsidRPr="00430A97">
        <w:rPr>
          <w:color w:val="000000" w:themeColor="text1"/>
          <w:u w:val="single"/>
        </w:rPr>
        <w:t>Gains/losses due to the fixed-exchange-rate mechanism (FERM)</w:t>
      </w:r>
    </w:p>
    <w:p w14:paraId="7A1C56FB" w14:textId="14DCBBBB" w:rsidR="00485D67" w:rsidRPr="00430A97" w:rsidRDefault="0080199C" w:rsidP="00485D67">
      <w:pPr>
        <w:pStyle w:val="Heading1"/>
        <w:rPr>
          <w:color w:val="000000" w:themeColor="text1"/>
        </w:rPr>
      </w:pPr>
      <w:r w:rsidRPr="00430A97">
        <w:t>T</w:t>
      </w:r>
      <w:r w:rsidR="00C124EE" w:rsidRPr="00430A97">
        <w:t>he potential impact of the FERM for those countries that are qualified to use it for the 201</w:t>
      </w:r>
      <w:r w:rsidR="00403164" w:rsidRPr="00430A97">
        <w:t>8</w:t>
      </w:r>
      <w:r w:rsidR="00C124EE" w:rsidRPr="00430A97">
        <w:t>-20</w:t>
      </w:r>
      <w:r w:rsidR="00403164" w:rsidRPr="00430A97">
        <w:t>20</w:t>
      </w:r>
      <w:r w:rsidR="00C124EE" w:rsidRPr="00430A97">
        <w:t xml:space="preserve"> </w:t>
      </w:r>
      <w:r w:rsidR="00CA727B" w:rsidRPr="00430A97">
        <w:t>triennium</w:t>
      </w:r>
      <w:r w:rsidR="00CA727B" w:rsidRPr="00430A97">
        <w:rPr>
          <w:rStyle w:val="FootnoteReference"/>
          <w:color w:val="000000" w:themeColor="text1"/>
        </w:rPr>
        <w:footnoteReference w:id="6"/>
      </w:r>
      <w:r w:rsidRPr="00430A97">
        <w:t xml:space="preserve"> is </w:t>
      </w:r>
      <w:r w:rsidR="00485D67" w:rsidRPr="00430A97">
        <w:t>difficult to predict, given the fluctuations of the currency exchange against the US dollar</w:t>
      </w:r>
      <w:r w:rsidR="00C124EE" w:rsidRPr="00430A97">
        <w:t xml:space="preserve">. </w:t>
      </w:r>
      <w:r w:rsidR="00485D67" w:rsidRPr="00430A97">
        <w:t>The document on the S</w:t>
      </w:r>
      <w:r w:rsidR="00485D67" w:rsidRPr="00430A97">
        <w:rPr>
          <w:color w:val="000000" w:themeColor="text1"/>
        </w:rPr>
        <w:t>tatus of contributions and disbursements</w:t>
      </w:r>
      <w:r w:rsidR="00485D67" w:rsidRPr="00430A97">
        <w:rPr>
          <w:rStyle w:val="FootnoteReference"/>
          <w:color w:val="000000" w:themeColor="text1"/>
        </w:rPr>
        <w:footnoteReference w:id="7"/>
      </w:r>
      <w:r w:rsidR="00485D67" w:rsidRPr="00430A97">
        <w:rPr>
          <w:color w:val="000000" w:themeColor="text1"/>
        </w:rPr>
        <w:t xml:space="preserve"> submitted to the 81</w:t>
      </w:r>
      <w:r w:rsidR="00485D67" w:rsidRPr="00430A97">
        <w:rPr>
          <w:color w:val="000000" w:themeColor="text1"/>
          <w:vertAlign w:val="superscript"/>
        </w:rPr>
        <w:t>st</w:t>
      </w:r>
      <w:r w:rsidR="00485D67" w:rsidRPr="00430A97">
        <w:rPr>
          <w:color w:val="000000" w:themeColor="text1"/>
        </w:rPr>
        <w:t xml:space="preserve"> meeting, reports that since its inception in 2000 and up to 31 December 2017, the use of the FERM has incurred a cumulative loss of US $36,142,710, with the largest cumulative loss during the 2015-2017 triennium (US $47,156,870). Towards the end of 2017 the US dollar has appreciated against other currencies used by contributing parties; this appreciation has resulted in a gain due to the FERM of US $1.60 million since 1 January 2018.</w:t>
      </w:r>
    </w:p>
    <w:p w14:paraId="1BFAB417" w14:textId="1ED2E3A1" w:rsidR="0080199C" w:rsidRPr="00430A97" w:rsidRDefault="006418CF" w:rsidP="00485D67">
      <w:pPr>
        <w:pStyle w:val="Heading1"/>
        <w:rPr>
          <w:u w:val="single"/>
        </w:rPr>
      </w:pPr>
      <w:r w:rsidRPr="00430A97">
        <w:t>If</w:t>
      </w:r>
      <w:r w:rsidR="00C124EE" w:rsidRPr="00430A97">
        <w:t xml:space="preserve"> </w:t>
      </w:r>
      <w:r w:rsidR="003E70F0" w:rsidRPr="00430A97">
        <w:t xml:space="preserve">using the </w:t>
      </w:r>
      <w:r w:rsidR="00C124EE" w:rsidRPr="00430A97">
        <w:t xml:space="preserve">UN </w:t>
      </w:r>
      <w:r w:rsidR="003E70F0" w:rsidRPr="00430A97">
        <w:t xml:space="preserve">average </w:t>
      </w:r>
      <w:r w:rsidR="00C124EE" w:rsidRPr="00430A97">
        <w:t xml:space="preserve">rates of exchange </w:t>
      </w:r>
      <w:r w:rsidR="003E70F0" w:rsidRPr="00430A97">
        <w:t xml:space="preserve">between December 2017 </w:t>
      </w:r>
      <w:r w:rsidR="00560946" w:rsidRPr="00430A97">
        <w:t xml:space="preserve">and </w:t>
      </w:r>
      <w:r w:rsidR="003A50CC" w:rsidRPr="00430A97">
        <w:t>April</w:t>
      </w:r>
      <w:r w:rsidR="00C124EE" w:rsidRPr="00430A97">
        <w:t xml:space="preserve"> 201</w:t>
      </w:r>
      <w:r w:rsidR="003A50CC" w:rsidRPr="00430A97">
        <w:t>8</w:t>
      </w:r>
      <w:r w:rsidR="00560946" w:rsidRPr="00430A97">
        <w:t>,</w:t>
      </w:r>
      <w:r w:rsidR="003E70F0" w:rsidRPr="00430A97">
        <w:t xml:space="preserve"> and assum</w:t>
      </w:r>
      <w:r w:rsidR="00560946" w:rsidRPr="00430A97">
        <w:t>ing</w:t>
      </w:r>
      <w:r w:rsidR="003E70F0" w:rsidRPr="00430A97">
        <w:t xml:space="preserve"> that the average remains</w:t>
      </w:r>
      <w:r w:rsidR="00C124EE" w:rsidRPr="00430A97">
        <w:t xml:space="preserve"> </w:t>
      </w:r>
      <w:r w:rsidR="003E70F0" w:rsidRPr="00430A97">
        <w:t>c</w:t>
      </w:r>
      <w:r w:rsidR="00C124EE" w:rsidRPr="00430A97">
        <w:t>onstant during the 201</w:t>
      </w:r>
      <w:r w:rsidR="003A50CC" w:rsidRPr="00430A97">
        <w:t>8</w:t>
      </w:r>
      <w:r w:rsidR="00C124EE" w:rsidRPr="00430A97">
        <w:t>-20</w:t>
      </w:r>
      <w:r w:rsidR="003A50CC" w:rsidRPr="00430A97">
        <w:t>20</w:t>
      </w:r>
      <w:r w:rsidR="00C124EE" w:rsidRPr="00430A97">
        <w:t xml:space="preserve"> triennium, the </w:t>
      </w:r>
      <w:r w:rsidR="0080199C" w:rsidRPr="00430A97">
        <w:t>gain</w:t>
      </w:r>
      <w:r w:rsidR="00C124EE" w:rsidRPr="00430A97">
        <w:t xml:space="preserve"> </w:t>
      </w:r>
      <w:r w:rsidR="0094239E" w:rsidRPr="00430A97">
        <w:t xml:space="preserve">could </w:t>
      </w:r>
      <w:r w:rsidR="003709B6" w:rsidRPr="00430A97">
        <w:t>amount to about</w:t>
      </w:r>
      <w:r w:rsidR="0080199C" w:rsidRPr="00430A97">
        <w:t xml:space="preserve"> </w:t>
      </w:r>
      <w:r w:rsidR="00FA688C" w:rsidRPr="00430A97">
        <w:t>US $</w:t>
      </w:r>
      <w:r w:rsidR="0080199C" w:rsidRPr="00430A97">
        <w:t>1</w:t>
      </w:r>
      <w:r w:rsidR="003E70F0" w:rsidRPr="00430A97">
        <w:t>0</w:t>
      </w:r>
      <w:r w:rsidR="0080199C" w:rsidRPr="00430A97">
        <w:t xml:space="preserve"> million per year. </w:t>
      </w:r>
      <w:r w:rsidRPr="00430A97">
        <w:t>However, if using the average rates of exchanges forecasted for the 2018-2020 triennium from the Trading Economics website</w:t>
      </w:r>
      <w:r w:rsidR="008943D1" w:rsidRPr="00430A97">
        <w:rPr>
          <w:rStyle w:val="FootnoteReference"/>
          <w:color w:val="000000" w:themeColor="text1"/>
        </w:rPr>
        <w:footnoteReference w:id="8"/>
      </w:r>
      <w:r w:rsidRPr="00430A97">
        <w:t xml:space="preserve">, the gain could </w:t>
      </w:r>
      <w:r w:rsidR="003709B6" w:rsidRPr="00430A97">
        <w:t xml:space="preserve">be about </w:t>
      </w:r>
      <w:r w:rsidR="00FA688C" w:rsidRPr="00430A97">
        <w:t>US $</w:t>
      </w:r>
      <w:r w:rsidRPr="00430A97">
        <w:t>5 million per year.</w:t>
      </w:r>
    </w:p>
    <w:p w14:paraId="793A394F" w14:textId="578D9575" w:rsidR="006F56C3" w:rsidRPr="00FA688C" w:rsidRDefault="006F56C3" w:rsidP="00FA688C">
      <w:pPr>
        <w:rPr>
          <w:color w:val="000000" w:themeColor="text1"/>
          <w:u w:val="single"/>
        </w:rPr>
      </w:pPr>
      <w:r w:rsidRPr="00FA688C">
        <w:rPr>
          <w:color w:val="000000" w:themeColor="text1"/>
          <w:u w:val="single"/>
        </w:rPr>
        <w:t>Potential balances returned</w:t>
      </w:r>
      <w:r w:rsidR="00A610CF" w:rsidRPr="00FA688C">
        <w:rPr>
          <w:color w:val="000000" w:themeColor="text1"/>
          <w:u w:val="single"/>
        </w:rPr>
        <w:t xml:space="preserve"> from cancelled or completed projects</w:t>
      </w:r>
    </w:p>
    <w:p w14:paraId="5D2A8B2A" w14:textId="45904C74" w:rsidR="00A610CF" w:rsidRPr="00FA688C" w:rsidRDefault="00A610CF" w:rsidP="00FA688C">
      <w:pPr>
        <w:rPr>
          <w:color w:val="000000" w:themeColor="text1"/>
          <w:u w:val="single"/>
        </w:rPr>
      </w:pPr>
    </w:p>
    <w:p w14:paraId="4BD1DFEC" w14:textId="5DF7E1F1" w:rsidR="00A610CF" w:rsidRPr="00FA688C" w:rsidRDefault="00A610CF" w:rsidP="00FA688C">
      <w:pPr>
        <w:pStyle w:val="Heading1"/>
        <w:rPr>
          <w:color w:val="000000" w:themeColor="text1"/>
        </w:rPr>
      </w:pPr>
      <w:r w:rsidRPr="00FA688C">
        <w:rPr>
          <w:color w:val="000000" w:themeColor="text1"/>
        </w:rPr>
        <w:t>Cash flow could be impacted by the return</w:t>
      </w:r>
      <w:r w:rsidR="006A2AB2" w:rsidRPr="00FA688C">
        <w:rPr>
          <w:color w:val="000000" w:themeColor="text1"/>
        </w:rPr>
        <w:t xml:space="preserve"> </w:t>
      </w:r>
      <w:r w:rsidRPr="00FA688C">
        <w:rPr>
          <w:color w:val="000000" w:themeColor="text1"/>
        </w:rPr>
        <w:t>of balances from cancelled or completed projects.</w:t>
      </w:r>
      <w:r w:rsidR="00FA688C" w:rsidRPr="00FA688C">
        <w:rPr>
          <w:color w:val="000000" w:themeColor="text1"/>
        </w:rPr>
        <w:t xml:space="preserve"> </w:t>
      </w:r>
      <w:r w:rsidR="0045338C" w:rsidRPr="00FA688C">
        <w:rPr>
          <w:color w:val="000000" w:themeColor="text1"/>
        </w:rPr>
        <w:t xml:space="preserve">However, </w:t>
      </w:r>
      <w:r w:rsidR="00DF1AB2" w:rsidRPr="00FA688C">
        <w:rPr>
          <w:color w:val="000000" w:themeColor="text1"/>
        </w:rPr>
        <w:t xml:space="preserve">it is difficult to calculate </w:t>
      </w:r>
      <w:r w:rsidR="0045338C" w:rsidRPr="00FA688C">
        <w:rPr>
          <w:color w:val="000000" w:themeColor="text1"/>
        </w:rPr>
        <w:t xml:space="preserve">the potential </w:t>
      </w:r>
      <w:r w:rsidR="00DF1AB2" w:rsidRPr="00FA688C">
        <w:rPr>
          <w:color w:val="000000" w:themeColor="text1"/>
        </w:rPr>
        <w:t xml:space="preserve">total </w:t>
      </w:r>
      <w:r w:rsidR="0045338C" w:rsidRPr="00FA688C">
        <w:rPr>
          <w:color w:val="000000" w:themeColor="text1"/>
        </w:rPr>
        <w:t xml:space="preserve">funds </w:t>
      </w:r>
      <w:r w:rsidR="00DF1AB2" w:rsidRPr="00FA688C">
        <w:rPr>
          <w:color w:val="000000" w:themeColor="text1"/>
        </w:rPr>
        <w:t xml:space="preserve">that could be </w:t>
      </w:r>
      <w:r w:rsidR="0045338C" w:rsidRPr="00FA688C">
        <w:rPr>
          <w:color w:val="000000" w:themeColor="text1"/>
        </w:rPr>
        <w:t>returned during the 2018-2020 triennium</w:t>
      </w:r>
      <w:r w:rsidRPr="00FA688C">
        <w:rPr>
          <w:color w:val="000000" w:themeColor="text1"/>
        </w:rPr>
        <w:t>.</w:t>
      </w:r>
      <w:r w:rsidR="00FA688C" w:rsidRPr="00FA688C">
        <w:rPr>
          <w:color w:val="000000" w:themeColor="text1"/>
        </w:rPr>
        <w:t xml:space="preserve"> </w:t>
      </w:r>
      <w:r w:rsidR="00D01924" w:rsidRPr="00FA688C">
        <w:rPr>
          <w:color w:val="000000" w:themeColor="text1"/>
        </w:rPr>
        <w:t xml:space="preserve">The average funds returned for the 2015-2017 triennium is </w:t>
      </w:r>
      <w:r w:rsidR="00FA688C" w:rsidRPr="00FA688C">
        <w:rPr>
          <w:color w:val="000000" w:themeColor="text1"/>
        </w:rPr>
        <w:t>US $</w:t>
      </w:r>
      <w:r w:rsidR="00D01924" w:rsidRPr="00FA688C">
        <w:rPr>
          <w:color w:val="000000" w:themeColor="text1"/>
        </w:rPr>
        <w:t>5.5 million per year</w:t>
      </w:r>
      <w:r w:rsidR="009D32D2" w:rsidRPr="00FA688C">
        <w:rPr>
          <w:color w:val="000000" w:themeColor="text1"/>
        </w:rPr>
        <w:t xml:space="preserve"> ranging from </w:t>
      </w:r>
      <w:r w:rsidR="00FA688C" w:rsidRPr="00FA688C">
        <w:rPr>
          <w:color w:val="000000" w:themeColor="text1"/>
        </w:rPr>
        <w:t>US $</w:t>
      </w:r>
      <w:r w:rsidR="009D32D2" w:rsidRPr="00FA688C">
        <w:rPr>
          <w:color w:val="000000" w:themeColor="text1"/>
        </w:rPr>
        <w:t xml:space="preserve">3.3 million in 2015 to </w:t>
      </w:r>
      <w:r w:rsidR="00FA688C" w:rsidRPr="00FA688C">
        <w:rPr>
          <w:color w:val="000000" w:themeColor="text1"/>
        </w:rPr>
        <w:t>US $</w:t>
      </w:r>
      <w:r w:rsidR="009D32D2" w:rsidRPr="00FA688C">
        <w:rPr>
          <w:color w:val="000000" w:themeColor="text1"/>
        </w:rPr>
        <w:t>7.5 million in 2017</w:t>
      </w:r>
      <w:r w:rsidR="00D01924" w:rsidRPr="00FA688C">
        <w:rPr>
          <w:color w:val="000000" w:themeColor="text1"/>
        </w:rPr>
        <w:t>.</w:t>
      </w:r>
      <w:r w:rsidR="0045338C" w:rsidRPr="00FA688C">
        <w:rPr>
          <w:color w:val="000000" w:themeColor="text1"/>
        </w:rPr>
        <w:t xml:space="preserve"> </w:t>
      </w:r>
      <w:r w:rsidR="00FF29A6" w:rsidRPr="00FA688C">
        <w:rPr>
          <w:color w:val="000000" w:themeColor="text1"/>
        </w:rPr>
        <w:t xml:space="preserve">Bilateral and implementing agencies are strongly encouraged to return all the balances for those projects which have been operationally completed or cancelled. </w:t>
      </w:r>
    </w:p>
    <w:p w14:paraId="5EA65E60" w14:textId="67450F5D" w:rsidR="00C25B5E" w:rsidRPr="008D6675" w:rsidRDefault="00040F65" w:rsidP="00FA688C">
      <w:pPr>
        <w:rPr>
          <w:color w:val="000000" w:themeColor="text1"/>
          <w:u w:val="single"/>
        </w:rPr>
      </w:pPr>
      <w:r w:rsidRPr="008D6675">
        <w:rPr>
          <w:color w:val="000000" w:themeColor="text1"/>
          <w:u w:val="single"/>
        </w:rPr>
        <w:t>Additional voluntary contributions for HFC activities</w:t>
      </w:r>
    </w:p>
    <w:p w14:paraId="6ACCA477" w14:textId="77777777" w:rsidR="00C25B5E" w:rsidRPr="008D6675" w:rsidRDefault="00C25B5E" w:rsidP="00FA688C">
      <w:pPr>
        <w:rPr>
          <w:color w:val="000000" w:themeColor="text1"/>
        </w:rPr>
      </w:pPr>
    </w:p>
    <w:p w14:paraId="2D2F44C7" w14:textId="0B6D2D7D" w:rsidR="00ED39E0" w:rsidRPr="008D6675" w:rsidRDefault="00197566" w:rsidP="00ED39E0">
      <w:pPr>
        <w:pStyle w:val="Heading1"/>
        <w:rPr>
          <w:color w:val="000000" w:themeColor="text1"/>
        </w:rPr>
      </w:pPr>
      <w:r w:rsidRPr="008D6675">
        <w:t xml:space="preserve">Another factor </w:t>
      </w:r>
      <w:r w:rsidR="009A3DAE" w:rsidRPr="008D6675">
        <w:t xml:space="preserve">that </w:t>
      </w:r>
      <w:r w:rsidRPr="008D6675">
        <w:t xml:space="preserve">could </w:t>
      </w:r>
      <w:r w:rsidR="009A3DAE" w:rsidRPr="008D6675">
        <w:t>affect</w:t>
      </w:r>
      <w:r w:rsidRPr="008D6675">
        <w:t xml:space="preserve"> </w:t>
      </w:r>
      <w:r w:rsidR="009A3DAE" w:rsidRPr="008D6675">
        <w:t xml:space="preserve">the </w:t>
      </w:r>
      <w:r w:rsidRPr="008D6675">
        <w:t xml:space="preserve">cash flow analysis </w:t>
      </w:r>
      <w:r w:rsidR="00902736" w:rsidRPr="008D6675">
        <w:t>is the remaining balances from the additional voluntary contributions</w:t>
      </w:r>
      <w:r w:rsidR="0078539F" w:rsidRPr="008D6675">
        <w:t xml:space="preserve"> by a group of 17 non-Article 5 Parties</w:t>
      </w:r>
      <w:r w:rsidR="009A3DAE" w:rsidRPr="008D6675">
        <w:t>, for HFCs phase-down activities</w:t>
      </w:r>
      <w:r w:rsidR="00902736" w:rsidRPr="008D6675">
        <w:t xml:space="preserve">. </w:t>
      </w:r>
      <w:r w:rsidR="00ED39E0" w:rsidRPr="008D6675">
        <w:t>The document on the Overview of issues identified during project review, submitted to the 81</w:t>
      </w:r>
      <w:r w:rsidR="00ED39E0" w:rsidRPr="008D6675">
        <w:rPr>
          <w:vertAlign w:val="superscript"/>
        </w:rPr>
        <w:t>st</w:t>
      </w:r>
      <w:r w:rsidR="00ED39E0" w:rsidRPr="008D6675">
        <w:t xml:space="preserve"> meeting</w:t>
      </w:r>
      <w:r w:rsidR="00A420FD">
        <w:t>,</w:t>
      </w:r>
      <w:r w:rsidR="00ED39E0" w:rsidRPr="008D6675">
        <w:rPr>
          <w:rStyle w:val="FootnoteReference"/>
        </w:rPr>
        <w:footnoteReference w:id="9"/>
      </w:r>
      <w:r w:rsidR="00ED39E0" w:rsidRPr="008D6675">
        <w:t xml:space="preserve"> presents and overview of all the HFC-related activities that were submitted, and seeks the guidance from the </w:t>
      </w:r>
      <w:r w:rsidR="00ED39E0" w:rsidRPr="008D6675">
        <w:rPr>
          <w:color w:val="000000" w:themeColor="text1"/>
        </w:rPr>
        <w:t xml:space="preserve">Executive Committee on deciding on the funding source for those activities, either from the regular contributions or from the additional voluntary contributions. </w:t>
      </w:r>
    </w:p>
    <w:p w14:paraId="56155A8B" w14:textId="461CAE4F" w:rsidR="00D13541" w:rsidRPr="00FA688C" w:rsidRDefault="00D13541" w:rsidP="00FA688C">
      <w:pPr>
        <w:keepNext/>
        <w:rPr>
          <w:b/>
          <w:color w:val="000000" w:themeColor="text1"/>
        </w:rPr>
      </w:pPr>
      <w:r w:rsidRPr="00FA688C">
        <w:rPr>
          <w:b/>
          <w:color w:val="000000" w:themeColor="text1"/>
        </w:rPr>
        <w:t>Assumptions for the full allocation of the 2018-2020 budget</w:t>
      </w:r>
    </w:p>
    <w:p w14:paraId="0C3F65F5" w14:textId="77777777" w:rsidR="00D13541" w:rsidRPr="00FA688C" w:rsidRDefault="00D13541" w:rsidP="00FA688C">
      <w:pPr>
        <w:pStyle w:val="Heading1"/>
        <w:keepNext/>
        <w:numPr>
          <w:ilvl w:val="0"/>
          <w:numId w:val="0"/>
        </w:numPr>
        <w:spacing w:after="0"/>
        <w:rPr>
          <w:color w:val="000000" w:themeColor="text1"/>
        </w:rPr>
      </w:pPr>
    </w:p>
    <w:p w14:paraId="77372B36" w14:textId="216E346B" w:rsidR="00D13541" w:rsidRPr="00FA688C" w:rsidRDefault="00D13541" w:rsidP="00FA688C">
      <w:pPr>
        <w:pStyle w:val="Heading1"/>
        <w:rPr>
          <w:color w:val="000000" w:themeColor="text1"/>
        </w:rPr>
      </w:pPr>
      <w:r w:rsidRPr="00FA688C">
        <w:rPr>
          <w:color w:val="000000" w:themeColor="text1"/>
        </w:rPr>
        <w:t xml:space="preserve">The sources of uncertainty in actual cash received may have an impact on the operation of the Fund and it will be necessary to monitor the budget in the context of business planning to ensure that there are </w:t>
      </w:r>
      <w:r w:rsidRPr="00FA688C">
        <w:rPr>
          <w:color w:val="000000" w:themeColor="text1"/>
        </w:rPr>
        <w:lastRenderedPageBreak/>
        <w:t xml:space="preserve">sufficient resources for planned activities. The full budget of </w:t>
      </w:r>
      <w:r w:rsidR="00FA688C" w:rsidRPr="00FA688C">
        <w:rPr>
          <w:color w:val="000000" w:themeColor="text1"/>
        </w:rPr>
        <w:t>US $</w:t>
      </w:r>
      <w:r w:rsidRPr="00FA688C">
        <w:rPr>
          <w:color w:val="000000" w:themeColor="text1"/>
        </w:rPr>
        <w:t>540 million for the 2018-2020 triennium could be available for programming during the triennium based on the following assumptions:</w:t>
      </w:r>
    </w:p>
    <w:p w14:paraId="1A81B433" w14:textId="697A87BB" w:rsidR="00D13541" w:rsidRPr="009501B4" w:rsidRDefault="00D13541" w:rsidP="00FA688C">
      <w:pPr>
        <w:pStyle w:val="Heading2"/>
        <w:numPr>
          <w:ilvl w:val="1"/>
          <w:numId w:val="1"/>
        </w:numPr>
        <w:rPr>
          <w:color w:val="000000" w:themeColor="text1"/>
        </w:rPr>
      </w:pPr>
      <w:r w:rsidRPr="009501B4">
        <w:rPr>
          <w:color w:val="000000" w:themeColor="text1"/>
        </w:rPr>
        <w:t xml:space="preserve">Agreed pledges </w:t>
      </w:r>
      <w:r w:rsidR="00865C1B" w:rsidRPr="009501B4">
        <w:rPr>
          <w:color w:val="000000" w:themeColor="text1"/>
        </w:rPr>
        <w:t xml:space="preserve">would </w:t>
      </w:r>
      <w:r w:rsidRPr="009501B4">
        <w:rPr>
          <w:color w:val="000000" w:themeColor="text1"/>
        </w:rPr>
        <w:t>be fully paid during the triennium by June of each year in accordance with paragraph 7 of decision XI/6;</w:t>
      </w:r>
    </w:p>
    <w:p w14:paraId="56B3A795" w14:textId="43CD7B66" w:rsidR="00D13541" w:rsidRPr="009501B4" w:rsidRDefault="00D13541" w:rsidP="00FA688C">
      <w:pPr>
        <w:pStyle w:val="Heading2"/>
        <w:numPr>
          <w:ilvl w:val="1"/>
          <w:numId w:val="1"/>
        </w:numPr>
        <w:rPr>
          <w:color w:val="000000" w:themeColor="text1"/>
        </w:rPr>
      </w:pPr>
      <w:r w:rsidRPr="009501B4">
        <w:rPr>
          <w:color w:val="000000" w:themeColor="text1"/>
        </w:rPr>
        <w:t xml:space="preserve">The Parties that have paid pledged contributions in the past will continue to do so and pay the </w:t>
      </w:r>
      <w:r w:rsidR="00FA688C" w:rsidRPr="009501B4">
        <w:rPr>
          <w:color w:val="000000" w:themeColor="text1"/>
        </w:rPr>
        <w:t>US $</w:t>
      </w:r>
      <w:r w:rsidR="00865C1B" w:rsidRPr="009501B4">
        <w:rPr>
          <w:color w:val="000000" w:themeColor="text1"/>
        </w:rPr>
        <w:t>21,261,973 of outstanding contributions</w:t>
      </w:r>
      <w:r w:rsidRPr="009501B4">
        <w:rPr>
          <w:color w:val="000000" w:themeColor="text1"/>
        </w:rPr>
        <w:t xml:space="preserve"> from the previous triennium;</w:t>
      </w:r>
    </w:p>
    <w:p w14:paraId="4530E6C1" w14:textId="112D70E0" w:rsidR="00D13541" w:rsidRPr="009501B4" w:rsidRDefault="00FA688C" w:rsidP="00FA688C">
      <w:pPr>
        <w:pStyle w:val="Heading2"/>
        <w:numPr>
          <w:ilvl w:val="1"/>
          <w:numId w:val="1"/>
        </w:numPr>
        <w:rPr>
          <w:color w:val="000000" w:themeColor="text1"/>
        </w:rPr>
      </w:pPr>
      <w:r w:rsidRPr="009501B4">
        <w:rPr>
          <w:color w:val="000000" w:themeColor="text1"/>
        </w:rPr>
        <w:t>US $</w:t>
      </w:r>
      <w:r w:rsidR="00D13541" w:rsidRPr="009501B4">
        <w:rPr>
          <w:color w:val="000000" w:themeColor="text1"/>
        </w:rPr>
        <w:t xml:space="preserve">6 million </w:t>
      </w:r>
      <w:r w:rsidR="00865C1B" w:rsidRPr="009501B4">
        <w:rPr>
          <w:color w:val="000000" w:themeColor="text1"/>
        </w:rPr>
        <w:t xml:space="preserve">in interest </w:t>
      </w:r>
      <w:r w:rsidR="00D13541" w:rsidRPr="009501B4">
        <w:rPr>
          <w:color w:val="000000" w:themeColor="text1"/>
        </w:rPr>
        <w:t xml:space="preserve">will be </w:t>
      </w:r>
      <w:r w:rsidR="00865C1B" w:rsidRPr="009501B4">
        <w:rPr>
          <w:color w:val="000000" w:themeColor="text1"/>
        </w:rPr>
        <w:t>accrued</w:t>
      </w:r>
      <w:r w:rsidR="00D13541" w:rsidRPr="009501B4">
        <w:rPr>
          <w:color w:val="000000" w:themeColor="text1"/>
        </w:rPr>
        <w:t>; and</w:t>
      </w:r>
    </w:p>
    <w:p w14:paraId="00115BF9" w14:textId="2A705F78" w:rsidR="00D13541" w:rsidRPr="009501B4" w:rsidRDefault="00D13541" w:rsidP="00FA688C">
      <w:pPr>
        <w:pStyle w:val="Heading2"/>
        <w:numPr>
          <w:ilvl w:val="1"/>
          <w:numId w:val="1"/>
        </w:numPr>
        <w:rPr>
          <w:color w:val="000000" w:themeColor="text1"/>
        </w:rPr>
      </w:pPr>
      <w:r w:rsidRPr="009501B4">
        <w:rPr>
          <w:color w:val="000000" w:themeColor="text1"/>
        </w:rPr>
        <w:t xml:space="preserve">There will be no gains or losses due to </w:t>
      </w:r>
      <w:r w:rsidR="00865C1B" w:rsidRPr="009501B4">
        <w:rPr>
          <w:color w:val="000000" w:themeColor="text1"/>
        </w:rPr>
        <w:t xml:space="preserve">the </w:t>
      </w:r>
      <w:r w:rsidRPr="009501B4">
        <w:rPr>
          <w:color w:val="000000" w:themeColor="text1"/>
        </w:rPr>
        <w:t>FERM</w:t>
      </w:r>
      <w:r w:rsidR="00EB1592" w:rsidRPr="009501B4">
        <w:rPr>
          <w:color w:val="000000" w:themeColor="text1"/>
        </w:rPr>
        <w:t>.</w:t>
      </w:r>
      <w:r w:rsidRPr="009501B4">
        <w:rPr>
          <w:color w:val="000000" w:themeColor="text1"/>
        </w:rPr>
        <w:t xml:space="preserve"> </w:t>
      </w:r>
    </w:p>
    <w:p w14:paraId="481425FE" w14:textId="7B93066A" w:rsidR="00A7710D" w:rsidRPr="00FA688C" w:rsidRDefault="00A7710D" w:rsidP="00FA688C">
      <w:pPr>
        <w:rPr>
          <w:b/>
          <w:color w:val="000000" w:themeColor="text1"/>
        </w:rPr>
      </w:pPr>
      <w:r w:rsidRPr="00FA688C">
        <w:rPr>
          <w:b/>
          <w:color w:val="000000" w:themeColor="text1"/>
        </w:rPr>
        <w:t>Secretariat</w:t>
      </w:r>
      <w:r w:rsidR="00865C1B">
        <w:rPr>
          <w:b/>
          <w:color w:val="000000" w:themeColor="text1"/>
        </w:rPr>
        <w:t>’s comments</w:t>
      </w:r>
    </w:p>
    <w:p w14:paraId="79CA6782" w14:textId="77777777" w:rsidR="00D13541" w:rsidRPr="00FA688C" w:rsidRDefault="00D13541" w:rsidP="00FA688C">
      <w:pPr>
        <w:rPr>
          <w:color w:val="000000" w:themeColor="text1"/>
        </w:rPr>
      </w:pPr>
    </w:p>
    <w:p w14:paraId="0C86FEA0" w14:textId="77777777" w:rsidR="00865C1B" w:rsidRPr="00442989" w:rsidRDefault="0099172D" w:rsidP="00FA688C">
      <w:pPr>
        <w:pStyle w:val="Heading1"/>
        <w:rPr>
          <w:color w:val="000000" w:themeColor="text1"/>
        </w:rPr>
      </w:pPr>
      <w:r w:rsidRPr="00442989">
        <w:rPr>
          <w:color w:val="000000" w:themeColor="text1"/>
        </w:rPr>
        <w:t xml:space="preserve">Based on the pro-rated business plans endorsed by the Executive Committee, bilateral </w:t>
      </w:r>
      <w:r w:rsidR="001E6395" w:rsidRPr="00442989">
        <w:rPr>
          <w:color w:val="000000" w:themeColor="text1"/>
        </w:rPr>
        <w:t xml:space="preserve">and implementing </w:t>
      </w:r>
      <w:r w:rsidRPr="00442989">
        <w:rPr>
          <w:color w:val="000000" w:themeColor="text1"/>
        </w:rPr>
        <w:t xml:space="preserve">agencies have included </w:t>
      </w:r>
      <w:r w:rsidR="001E6395" w:rsidRPr="00442989">
        <w:rPr>
          <w:color w:val="000000" w:themeColor="text1"/>
        </w:rPr>
        <w:t xml:space="preserve">a total of </w:t>
      </w:r>
      <w:r w:rsidR="00FA688C" w:rsidRPr="00442989">
        <w:rPr>
          <w:color w:val="000000" w:themeColor="text1"/>
        </w:rPr>
        <w:t>US $</w:t>
      </w:r>
      <w:r w:rsidR="00686506" w:rsidRPr="00442989">
        <w:rPr>
          <w:color w:val="000000" w:themeColor="text1"/>
        </w:rPr>
        <w:t>230.17</w:t>
      </w:r>
      <w:r w:rsidR="00B70B54" w:rsidRPr="00442989">
        <w:rPr>
          <w:color w:val="000000" w:themeColor="text1"/>
        </w:rPr>
        <w:t xml:space="preserve"> million </w:t>
      </w:r>
      <w:r w:rsidR="00865C1B" w:rsidRPr="00442989">
        <w:rPr>
          <w:color w:val="000000" w:themeColor="text1"/>
        </w:rPr>
        <w:t xml:space="preserve">(including US $196.74 million already committed for HPMPs and standard activities) </w:t>
      </w:r>
      <w:r w:rsidR="00E13250" w:rsidRPr="00442989">
        <w:rPr>
          <w:color w:val="000000" w:themeColor="text1"/>
        </w:rPr>
        <w:t>in 2018</w:t>
      </w:r>
      <w:r w:rsidR="008E3359" w:rsidRPr="00442989">
        <w:rPr>
          <w:color w:val="000000" w:themeColor="text1"/>
        </w:rPr>
        <w:t xml:space="preserve"> </w:t>
      </w:r>
      <w:r w:rsidR="00B70B54" w:rsidRPr="00442989">
        <w:rPr>
          <w:color w:val="000000" w:themeColor="text1"/>
        </w:rPr>
        <w:t>business plan</w:t>
      </w:r>
      <w:r w:rsidR="00865C1B" w:rsidRPr="00442989">
        <w:rPr>
          <w:color w:val="000000" w:themeColor="text1"/>
        </w:rPr>
        <w:t>; this amount</w:t>
      </w:r>
      <w:r w:rsidR="00B70B54" w:rsidRPr="00442989">
        <w:rPr>
          <w:color w:val="000000" w:themeColor="text1"/>
        </w:rPr>
        <w:t xml:space="preserve"> exceed</w:t>
      </w:r>
      <w:r w:rsidR="00865C1B" w:rsidRPr="00442989">
        <w:rPr>
          <w:color w:val="000000" w:themeColor="text1"/>
        </w:rPr>
        <w:t>s</w:t>
      </w:r>
      <w:r w:rsidR="00B70B54" w:rsidRPr="00442989">
        <w:rPr>
          <w:color w:val="000000" w:themeColor="text1"/>
        </w:rPr>
        <w:t xml:space="preserve"> </w:t>
      </w:r>
      <w:r w:rsidR="00FA688C" w:rsidRPr="00442989">
        <w:rPr>
          <w:color w:val="000000" w:themeColor="text1"/>
        </w:rPr>
        <w:t>US $</w:t>
      </w:r>
      <w:r w:rsidR="00686506" w:rsidRPr="00442989">
        <w:rPr>
          <w:color w:val="000000" w:themeColor="text1"/>
        </w:rPr>
        <w:t>50.17</w:t>
      </w:r>
      <w:r w:rsidR="00B70B54" w:rsidRPr="00442989">
        <w:rPr>
          <w:color w:val="000000" w:themeColor="text1"/>
        </w:rPr>
        <w:t xml:space="preserve"> million of the annual budget of </w:t>
      </w:r>
      <w:r w:rsidR="00FA688C" w:rsidRPr="00442989">
        <w:rPr>
          <w:color w:val="000000" w:themeColor="text1"/>
        </w:rPr>
        <w:t>US $</w:t>
      </w:r>
      <w:r w:rsidR="00B70B54" w:rsidRPr="00442989">
        <w:rPr>
          <w:color w:val="000000" w:themeColor="text1"/>
        </w:rPr>
        <w:t xml:space="preserve">180 million </w:t>
      </w:r>
      <w:r w:rsidR="008E3359" w:rsidRPr="00442989">
        <w:rPr>
          <w:color w:val="000000" w:themeColor="text1"/>
        </w:rPr>
        <w:t>for</w:t>
      </w:r>
      <w:r w:rsidR="00B70B54" w:rsidRPr="00442989">
        <w:rPr>
          <w:color w:val="000000" w:themeColor="text1"/>
        </w:rPr>
        <w:t xml:space="preserve"> the triennium.</w:t>
      </w:r>
      <w:r w:rsidR="00FA688C" w:rsidRPr="00442989">
        <w:rPr>
          <w:color w:val="000000" w:themeColor="text1"/>
        </w:rPr>
        <w:t xml:space="preserve"> </w:t>
      </w:r>
    </w:p>
    <w:p w14:paraId="0D4EEDDE" w14:textId="53CA93B8" w:rsidR="00B614F1" w:rsidRPr="00442989" w:rsidRDefault="00865C1B" w:rsidP="00FA688C">
      <w:pPr>
        <w:pStyle w:val="Heading1"/>
        <w:rPr>
          <w:color w:val="000000" w:themeColor="text1"/>
        </w:rPr>
      </w:pPr>
      <w:r w:rsidRPr="00442989">
        <w:rPr>
          <w:color w:val="000000" w:themeColor="text1"/>
        </w:rPr>
        <w:t xml:space="preserve">Funding </w:t>
      </w:r>
      <w:r w:rsidR="00EB1BE5" w:rsidRPr="00442989">
        <w:rPr>
          <w:color w:val="000000" w:themeColor="text1"/>
        </w:rPr>
        <w:t>the 2018 business plan budget</w:t>
      </w:r>
      <w:r w:rsidR="00F62E55" w:rsidRPr="00442989">
        <w:rPr>
          <w:color w:val="000000" w:themeColor="text1"/>
        </w:rPr>
        <w:t xml:space="preserve"> is possible if</w:t>
      </w:r>
      <w:r w:rsidRPr="00442989">
        <w:rPr>
          <w:color w:val="000000" w:themeColor="text1"/>
        </w:rPr>
        <w:t>:</w:t>
      </w:r>
      <w:r w:rsidR="00F62E55" w:rsidRPr="00442989">
        <w:rPr>
          <w:color w:val="000000" w:themeColor="text1"/>
        </w:rPr>
        <w:t xml:space="preserve"> all 2018 contributions are </w:t>
      </w:r>
      <w:r w:rsidR="00FB78F2" w:rsidRPr="00442989">
        <w:rPr>
          <w:color w:val="000000" w:themeColor="text1"/>
        </w:rPr>
        <w:t>received in 2018</w:t>
      </w:r>
      <w:r w:rsidRPr="00442989">
        <w:rPr>
          <w:color w:val="000000" w:themeColor="text1"/>
        </w:rPr>
        <w:t>;</w:t>
      </w:r>
      <w:r w:rsidR="00FB78F2" w:rsidRPr="00442989">
        <w:rPr>
          <w:color w:val="000000" w:themeColor="text1"/>
        </w:rPr>
        <w:t xml:space="preserve"> there is </w:t>
      </w:r>
      <w:r w:rsidRPr="00442989">
        <w:rPr>
          <w:color w:val="000000" w:themeColor="text1"/>
        </w:rPr>
        <w:t>n</w:t>
      </w:r>
      <w:r w:rsidR="00FB78F2" w:rsidRPr="00442989">
        <w:rPr>
          <w:color w:val="000000" w:themeColor="text1"/>
        </w:rPr>
        <w:t xml:space="preserve">either loss </w:t>
      </w:r>
      <w:r w:rsidRPr="00442989">
        <w:rPr>
          <w:color w:val="000000" w:themeColor="text1"/>
        </w:rPr>
        <w:t xml:space="preserve">nor </w:t>
      </w:r>
      <w:r w:rsidR="00FB78F2" w:rsidRPr="00442989">
        <w:rPr>
          <w:color w:val="000000" w:themeColor="text1"/>
        </w:rPr>
        <w:t xml:space="preserve">gain </w:t>
      </w:r>
      <w:r w:rsidRPr="00442989">
        <w:rPr>
          <w:color w:val="000000" w:themeColor="text1"/>
        </w:rPr>
        <w:t xml:space="preserve">due to </w:t>
      </w:r>
      <w:r w:rsidR="00FB78F2" w:rsidRPr="00442989">
        <w:rPr>
          <w:color w:val="000000" w:themeColor="text1"/>
        </w:rPr>
        <w:t>the FERM</w:t>
      </w:r>
      <w:r w:rsidRPr="00442989">
        <w:rPr>
          <w:color w:val="000000" w:themeColor="text1"/>
        </w:rPr>
        <w:t>;</w:t>
      </w:r>
      <w:r w:rsidR="00FB78F2" w:rsidRPr="00442989">
        <w:rPr>
          <w:color w:val="000000" w:themeColor="text1"/>
        </w:rPr>
        <w:t xml:space="preserve"> all of the </w:t>
      </w:r>
      <w:r w:rsidR="00FA688C" w:rsidRPr="00442989">
        <w:rPr>
          <w:color w:val="000000" w:themeColor="text1"/>
        </w:rPr>
        <w:t>US $</w:t>
      </w:r>
      <w:r w:rsidR="00FB78F2" w:rsidRPr="00442989">
        <w:rPr>
          <w:color w:val="000000" w:themeColor="text1"/>
        </w:rPr>
        <w:t xml:space="preserve">21,261,973 of </w:t>
      </w:r>
      <w:r w:rsidRPr="00442989">
        <w:rPr>
          <w:color w:val="000000" w:themeColor="text1"/>
        </w:rPr>
        <w:t xml:space="preserve">outstanding contributions are paid; </w:t>
      </w:r>
      <w:r w:rsidR="00FA688C" w:rsidRPr="00442989">
        <w:rPr>
          <w:color w:val="000000" w:themeColor="text1"/>
        </w:rPr>
        <w:t>US $</w:t>
      </w:r>
      <w:r w:rsidRPr="00442989">
        <w:rPr>
          <w:color w:val="000000" w:themeColor="text1"/>
        </w:rPr>
        <w:t>2</w:t>
      </w:r>
      <w:r w:rsidR="00FB78F2" w:rsidRPr="00442989">
        <w:rPr>
          <w:color w:val="000000" w:themeColor="text1"/>
        </w:rPr>
        <w:t xml:space="preserve"> million in interest </w:t>
      </w:r>
      <w:r w:rsidRPr="00442989">
        <w:rPr>
          <w:color w:val="000000" w:themeColor="text1"/>
        </w:rPr>
        <w:t>is accrued;</w:t>
      </w:r>
      <w:r w:rsidR="00F21B37" w:rsidRPr="00442989">
        <w:rPr>
          <w:color w:val="000000" w:themeColor="text1"/>
        </w:rPr>
        <w:t xml:space="preserve"> HFC </w:t>
      </w:r>
      <w:r w:rsidR="00640895" w:rsidRPr="00442989">
        <w:rPr>
          <w:color w:val="000000" w:themeColor="text1"/>
        </w:rPr>
        <w:t xml:space="preserve">phase-down </w:t>
      </w:r>
      <w:r w:rsidR="00F21B37" w:rsidRPr="00442989">
        <w:rPr>
          <w:color w:val="000000" w:themeColor="text1"/>
        </w:rPr>
        <w:t>a</w:t>
      </w:r>
      <w:r w:rsidR="00DC546D" w:rsidRPr="00442989">
        <w:rPr>
          <w:color w:val="000000" w:themeColor="text1"/>
        </w:rPr>
        <w:t>ctivities submitted to the 81</w:t>
      </w:r>
      <w:r w:rsidR="00DC546D" w:rsidRPr="00442989">
        <w:rPr>
          <w:color w:val="000000" w:themeColor="text1"/>
          <w:vertAlign w:val="superscript"/>
        </w:rPr>
        <w:t>st</w:t>
      </w:r>
      <w:r w:rsidR="00DC546D" w:rsidRPr="00442989">
        <w:rPr>
          <w:color w:val="000000" w:themeColor="text1"/>
        </w:rPr>
        <w:t xml:space="preserve"> </w:t>
      </w:r>
      <w:r w:rsidR="00F21B37" w:rsidRPr="00442989">
        <w:rPr>
          <w:color w:val="000000" w:themeColor="text1"/>
        </w:rPr>
        <w:t xml:space="preserve">meeting </w:t>
      </w:r>
      <w:proofErr w:type="gramStart"/>
      <w:r w:rsidR="00F21B37" w:rsidRPr="00442989">
        <w:rPr>
          <w:color w:val="000000" w:themeColor="text1"/>
        </w:rPr>
        <w:t>are</w:t>
      </w:r>
      <w:proofErr w:type="gramEnd"/>
      <w:r w:rsidR="00F21B37" w:rsidRPr="00442989">
        <w:rPr>
          <w:color w:val="000000" w:themeColor="text1"/>
        </w:rPr>
        <w:t xml:space="preserve"> funded from the additional voluntary contributions</w:t>
      </w:r>
      <w:r w:rsidR="00402E04">
        <w:rPr>
          <w:color w:val="000000" w:themeColor="text1"/>
        </w:rPr>
        <w:t xml:space="preserve"> and the potential funds returned from completed projects in 2018</w:t>
      </w:r>
      <w:r w:rsidR="00F21B37" w:rsidRPr="00442989">
        <w:rPr>
          <w:color w:val="000000" w:themeColor="text1"/>
        </w:rPr>
        <w:t xml:space="preserve">. </w:t>
      </w:r>
      <w:r w:rsidR="00DC66A4" w:rsidRPr="00442989">
        <w:rPr>
          <w:color w:val="000000" w:themeColor="text1"/>
        </w:rPr>
        <w:t xml:space="preserve">This would enable a 2018 budget of </w:t>
      </w:r>
      <w:r w:rsidR="00FA688C" w:rsidRPr="00442989">
        <w:rPr>
          <w:color w:val="000000" w:themeColor="text1"/>
        </w:rPr>
        <w:t>US $</w:t>
      </w:r>
      <w:r w:rsidR="00686506" w:rsidRPr="00442989">
        <w:rPr>
          <w:color w:val="000000" w:themeColor="text1"/>
        </w:rPr>
        <w:t>230</w:t>
      </w:r>
      <w:r w:rsidR="00DC66A4" w:rsidRPr="00442989">
        <w:rPr>
          <w:color w:val="000000" w:themeColor="text1"/>
        </w:rPr>
        <w:t xml:space="preserve"> million, 2019 of </w:t>
      </w:r>
      <w:r w:rsidR="00FA688C" w:rsidRPr="00442989">
        <w:rPr>
          <w:color w:val="000000" w:themeColor="text1"/>
        </w:rPr>
        <w:t>US $</w:t>
      </w:r>
      <w:r w:rsidR="00DC66A4" w:rsidRPr="00442989">
        <w:rPr>
          <w:color w:val="000000" w:themeColor="text1"/>
        </w:rPr>
        <w:t>13</w:t>
      </w:r>
      <w:r w:rsidR="001363A5" w:rsidRPr="00442989">
        <w:rPr>
          <w:color w:val="000000" w:themeColor="text1"/>
        </w:rPr>
        <w:t>9</w:t>
      </w:r>
      <w:r w:rsidR="00DC66A4" w:rsidRPr="00442989">
        <w:rPr>
          <w:color w:val="000000" w:themeColor="text1"/>
        </w:rPr>
        <w:t xml:space="preserve"> million and 2020 of </w:t>
      </w:r>
      <w:r w:rsidR="00FA688C" w:rsidRPr="00442989">
        <w:rPr>
          <w:color w:val="000000" w:themeColor="text1"/>
        </w:rPr>
        <w:t>US $</w:t>
      </w:r>
      <w:r w:rsidR="00DC66A4" w:rsidRPr="00442989">
        <w:rPr>
          <w:color w:val="000000" w:themeColor="text1"/>
        </w:rPr>
        <w:t>17</w:t>
      </w:r>
      <w:r w:rsidR="001363A5" w:rsidRPr="00442989">
        <w:rPr>
          <w:color w:val="000000" w:themeColor="text1"/>
        </w:rPr>
        <w:t>1</w:t>
      </w:r>
      <w:r w:rsidR="00B74D14">
        <w:rPr>
          <w:color w:val="000000" w:themeColor="text1"/>
        </w:rPr>
        <w:t> </w:t>
      </w:r>
      <w:r w:rsidR="00DC66A4" w:rsidRPr="00442989">
        <w:rPr>
          <w:color w:val="000000" w:themeColor="text1"/>
        </w:rPr>
        <w:t xml:space="preserve">million. </w:t>
      </w:r>
    </w:p>
    <w:p w14:paraId="59D4A7B3" w14:textId="1C3E41FE" w:rsidR="009D5F98" w:rsidRPr="00FA688C" w:rsidRDefault="00640895" w:rsidP="00FA688C">
      <w:pPr>
        <w:pStyle w:val="Heading1"/>
        <w:rPr>
          <w:color w:val="000000" w:themeColor="text1"/>
        </w:rPr>
      </w:pPr>
      <w:r w:rsidRPr="00FA688C">
        <w:rPr>
          <w:color w:val="000000" w:themeColor="text1"/>
        </w:rPr>
        <w:t>T</w:t>
      </w:r>
      <w:r w:rsidR="009D5F98" w:rsidRPr="00FA688C">
        <w:rPr>
          <w:color w:val="000000" w:themeColor="text1"/>
        </w:rPr>
        <w:t>he financial planning and cash flow analysis for 2018-2020 triennium</w:t>
      </w:r>
      <w:r w:rsidRPr="00FA688C">
        <w:rPr>
          <w:color w:val="000000" w:themeColor="text1"/>
        </w:rPr>
        <w:t xml:space="preserve"> also shows </w:t>
      </w:r>
      <w:r w:rsidR="009D5F98" w:rsidRPr="00FA688C">
        <w:rPr>
          <w:color w:val="000000" w:themeColor="text1"/>
        </w:rPr>
        <w:t>that there could be a positive gain on the potential income during this triennium taking into account all the above factors and</w:t>
      </w:r>
      <w:r w:rsidRPr="00FA688C">
        <w:rPr>
          <w:color w:val="000000" w:themeColor="text1"/>
        </w:rPr>
        <w:t xml:space="preserve"> </w:t>
      </w:r>
      <w:r w:rsidR="009D5F98" w:rsidRPr="00FA688C">
        <w:rPr>
          <w:color w:val="000000" w:themeColor="text1"/>
        </w:rPr>
        <w:t>trend</w:t>
      </w:r>
      <w:r w:rsidRPr="00FA688C">
        <w:rPr>
          <w:color w:val="000000" w:themeColor="text1"/>
        </w:rPr>
        <w:t>s</w:t>
      </w:r>
      <w:r w:rsidR="009D5F98" w:rsidRPr="00FA688C">
        <w:rPr>
          <w:color w:val="000000" w:themeColor="text1"/>
        </w:rPr>
        <w:t>.</w:t>
      </w:r>
      <w:r w:rsidR="00FA688C" w:rsidRPr="00FA688C">
        <w:rPr>
          <w:color w:val="000000" w:themeColor="text1"/>
        </w:rPr>
        <w:t xml:space="preserve"> </w:t>
      </w:r>
      <w:r w:rsidR="00D815D4" w:rsidRPr="00FA688C">
        <w:rPr>
          <w:color w:val="000000" w:themeColor="text1"/>
        </w:rPr>
        <w:t xml:space="preserve">However, the potential gain could be </w:t>
      </w:r>
      <w:r w:rsidRPr="00FA688C">
        <w:rPr>
          <w:color w:val="000000" w:themeColor="text1"/>
        </w:rPr>
        <w:t xml:space="preserve">limited </w:t>
      </w:r>
      <w:r w:rsidR="00D815D4" w:rsidRPr="00FA688C">
        <w:rPr>
          <w:color w:val="000000" w:themeColor="text1"/>
        </w:rPr>
        <w:t>if arrears carried over from 2015-2017 triennium and pledged contribution for the 2018-2020 triennium are not received on time.</w:t>
      </w:r>
      <w:r w:rsidR="003E67D6" w:rsidRPr="00FA688C">
        <w:rPr>
          <w:color w:val="000000" w:themeColor="text1"/>
        </w:rPr>
        <w:t xml:space="preserve"> </w:t>
      </w:r>
    </w:p>
    <w:p w14:paraId="46D6BE20" w14:textId="1D9EF6A8" w:rsidR="00037F24" w:rsidRPr="00FA688C" w:rsidRDefault="003C5354" w:rsidP="00FA688C">
      <w:pPr>
        <w:pStyle w:val="Heading1"/>
        <w:rPr>
          <w:color w:val="000000" w:themeColor="text1"/>
        </w:rPr>
      </w:pPr>
      <w:r w:rsidRPr="00FA688C">
        <w:rPr>
          <w:color w:val="000000" w:themeColor="text1"/>
        </w:rPr>
        <w:t>In addition, an analysis of the total values of the consolidated business plan</w:t>
      </w:r>
      <w:r w:rsidR="00F820BB" w:rsidRPr="00FA688C">
        <w:rPr>
          <w:color w:val="000000" w:themeColor="text1"/>
        </w:rPr>
        <w:t>s</w:t>
      </w:r>
      <w:r w:rsidRPr="00FA688C">
        <w:rPr>
          <w:color w:val="000000" w:themeColor="text1"/>
        </w:rPr>
        <w:t xml:space="preserve"> and the actual funding levels approved over the last six triennia, indicated that </w:t>
      </w:r>
      <w:r w:rsidR="00F820BB" w:rsidRPr="00FA688C">
        <w:rPr>
          <w:color w:val="000000" w:themeColor="text1"/>
        </w:rPr>
        <w:t>the Executive Committee approved on average 84</w:t>
      </w:r>
      <w:r w:rsidR="00A420FD">
        <w:rPr>
          <w:color w:val="000000" w:themeColor="text1"/>
        </w:rPr>
        <w:t> </w:t>
      </w:r>
      <w:r w:rsidR="00F820BB" w:rsidRPr="00FA688C">
        <w:rPr>
          <w:color w:val="000000" w:themeColor="text1"/>
        </w:rPr>
        <w:t>per</w:t>
      </w:r>
      <w:r w:rsidR="00A420FD">
        <w:rPr>
          <w:color w:val="000000" w:themeColor="text1"/>
        </w:rPr>
        <w:t> </w:t>
      </w:r>
      <w:r w:rsidR="00F820BB" w:rsidRPr="00FA688C">
        <w:rPr>
          <w:color w:val="000000" w:themeColor="text1"/>
        </w:rPr>
        <w:t>cent of the funding of the projects and activities</w:t>
      </w:r>
      <w:r w:rsidR="00865C1B">
        <w:rPr>
          <w:color w:val="000000" w:themeColor="text1"/>
        </w:rPr>
        <w:t xml:space="preserve"> </w:t>
      </w:r>
      <w:r w:rsidR="00865C1B" w:rsidRPr="00FA688C">
        <w:rPr>
          <w:color w:val="000000" w:themeColor="text1"/>
        </w:rPr>
        <w:t xml:space="preserve">submitted </w:t>
      </w:r>
      <w:r w:rsidR="00865C1B">
        <w:rPr>
          <w:color w:val="000000" w:themeColor="text1"/>
        </w:rPr>
        <w:t xml:space="preserve">by </w:t>
      </w:r>
      <w:r w:rsidR="00865C1B" w:rsidRPr="00FA688C">
        <w:rPr>
          <w:color w:val="000000" w:themeColor="text1"/>
        </w:rPr>
        <w:t>bilateral and implementing agencies</w:t>
      </w:r>
      <w:r w:rsidRPr="00FA688C">
        <w:rPr>
          <w:color w:val="000000" w:themeColor="text1"/>
        </w:rPr>
        <w:t>. The Executive Committee may wish to urge implementing agencies to submit all projects and activities endorsed in the business plan in order to fully utilize the resources available during the for 2018-2020 triennium</w:t>
      </w:r>
      <w:r w:rsidR="00686506" w:rsidRPr="00FA688C">
        <w:rPr>
          <w:color w:val="000000" w:themeColor="text1"/>
        </w:rPr>
        <w:t>.</w:t>
      </w:r>
    </w:p>
    <w:p w14:paraId="3568FB78" w14:textId="1A979FFC" w:rsidR="003569D4" w:rsidRPr="00FA688C" w:rsidRDefault="003569D4" w:rsidP="00FA688C">
      <w:pPr>
        <w:rPr>
          <w:b/>
          <w:caps/>
          <w:color w:val="000000" w:themeColor="text1"/>
          <w:lang w:val="en-CA"/>
        </w:rPr>
      </w:pPr>
      <w:r w:rsidRPr="00FA688C">
        <w:rPr>
          <w:b/>
          <w:caps/>
          <w:color w:val="000000" w:themeColor="text1"/>
          <w:lang w:val="en-CA"/>
        </w:rPr>
        <w:t xml:space="preserve">PART </w:t>
      </w:r>
      <w:r w:rsidR="00037F24" w:rsidRPr="00FA688C">
        <w:rPr>
          <w:b/>
          <w:caps/>
          <w:color w:val="000000" w:themeColor="text1"/>
          <w:lang w:val="en-CA"/>
        </w:rPr>
        <w:t>III</w:t>
      </w:r>
      <w:r w:rsidRPr="00FA688C">
        <w:rPr>
          <w:b/>
          <w:caps/>
          <w:color w:val="000000" w:themeColor="text1"/>
          <w:lang w:val="en-CA"/>
        </w:rPr>
        <w:t>: CANADA</w:t>
      </w:r>
      <w:r w:rsidR="00EB1BB0">
        <w:rPr>
          <w:b/>
          <w:caps/>
          <w:color w:val="000000" w:themeColor="text1"/>
          <w:lang w:val="en-CA"/>
        </w:rPr>
        <w:t>’S</w:t>
      </w:r>
      <w:r w:rsidR="00037F24" w:rsidRPr="00FA688C">
        <w:rPr>
          <w:b/>
          <w:caps/>
          <w:color w:val="000000" w:themeColor="text1"/>
          <w:lang w:val="en-CA"/>
        </w:rPr>
        <w:t xml:space="preserve"> and germany</w:t>
      </w:r>
      <w:r w:rsidRPr="00FA688C">
        <w:rPr>
          <w:b/>
          <w:caps/>
          <w:color w:val="000000" w:themeColor="text1"/>
          <w:lang w:val="en-CA"/>
        </w:rPr>
        <w:t>’s 2018-2020 bilateral business plan</w:t>
      </w:r>
    </w:p>
    <w:p w14:paraId="236BD32F" w14:textId="105782E8" w:rsidR="00037F24" w:rsidRPr="00FA688C" w:rsidRDefault="00037F24" w:rsidP="00FA688C">
      <w:pPr>
        <w:rPr>
          <w:b/>
          <w:caps/>
          <w:color w:val="000000" w:themeColor="text1"/>
          <w:lang w:val="en-CA"/>
        </w:rPr>
      </w:pPr>
    </w:p>
    <w:p w14:paraId="0845C0AC" w14:textId="77234570" w:rsidR="00037F24" w:rsidRPr="00FA688C" w:rsidRDefault="00037F24" w:rsidP="00FA688C">
      <w:pPr>
        <w:rPr>
          <w:color w:val="000000" w:themeColor="text1"/>
        </w:rPr>
      </w:pPr>
      <w:r w:rsidRPr="00FA688C">
        <w:rPr>
          <w:b/>
          <w:color w:val="000000" w:themeColor="text1"/>
          <w:lang w:val="en-CA"/>
        </w:rPr>
        <w:t>Canada</w:t>
      </w:r>
    </w:p>
    <w:p w14:paraId="3E408CC8" w14:textId="4D65AD12" w:rsidR="003569D4" w:rsidRPr="00FA688C" w:rsidRDefault="003569D4" w:rsidP="00FA688C">
      <w:pPr>
        <w:rPr>
          <w:color w:val="000000" w:themeColor="text1"/>
        </w:rPr>
      </w:pPr>
    </w:p>
    <w:p w14:paraId="191E7DBE" w14:textId="22B22C47" w:rsidR="000959EE" w:rsidRPr="00FA688C" w:rsidRDefault="000959EE" w:rsidP="00FA688C">
      <w:pPr>
        <w:pStyle w:val="Heading1"/>
        <w:rPr>
          <w:color w:val="000000" w:themeColor="text1"/>
        </w:rPr>
      </w:pPr>
      <w:r w:rsidRPr="00FA688C">
        <w:rPr>
          <w:color w:val="000000" w:themeColor="text1"/>
        </w:rPr>
        <w:t xml:space="preserve">The Government of Canada </w:t>
      </w:r>
      <w:r w:rsidR="00F80E63" w:rsidRPr="00FA688C">
        <w:rPr>
          <w:color w:val="000000" w:themeColor="text1"/>
        </w:rPr>
        <w:t xml:space="preserve">submitted business plans for the years 2018-2020 </w:t>
      </w:r>
      <w:r w:rsidRPr="00FA688C">
        <w:rPr>
          <w:color w:val="000000" w:themeColor="text1"/>
        </w:rPr>
        <w:t>to the 81</w:t>
      </w:r>
      <w:r w:rsidRPr="00FA688C">
        <w:rPr>
          <w:color w:val="000000" w:themeColor="text1"/>
          <w:vertAlign w:val="superscript"/>
        </w:rPr>
        <w:t>st</w:t>
      </w:r>
      <w:r w:rsidRPr="00FA688C">
        <w:rPr>
          <w:color w:val="000000" w:themeColor="text1"/>
        </w:rPr>
        <w:t xml:space="preserve"> meeting.</w:t>
      </w:r>
      <w:r w:rsidR="00FA688C" w:rsidRPr="00FA688C">
        <w:rPr>
          <w:color w:val="000000" w:themeColor="text1"/>
        </w:rPr>
        <w:t xml:space="preserve"> </w:t>
      </w:r>
      <w:r w:rsidRPr="00FA688C">
        <w:rPr>
          <w:color w:val="000000" w:themeColor="text1"/>
        </w:rPr>
        <w:t xml:space="preserve">The resource allocation in Canada’s business plan </w:t>
      </w:r>
      <w:r w:rsidRPr="00FA688C">
        <w:rPr>
          <w:color w:val="000000" w:themeColor="text1"/>
          <w:lang w:val="en-CA"/>
        </w:rPr>
        <w:t xml:space="preserve">for 2018-2020 </w:t>
      </w:r>
      <w:r w:rsidRPr="00FA688C">
        <w:rPr>
          <w:color w:val="000000" w:themeColor="text1"/>
        </w:rPr>
        <w:t xml:space="preserve">is presented in Table </w:t>
      </w:r>
      <w:r w:rsidR="00E96E8A" w:rsidRPr="00FA688C">
        <w:rPr>
          <w:color w:val="000000" w:themeColor="text1"/>
        </w:rPr>
        <w:t>7</w:t>
      </w:r>
      <w:r w:rsidRPr="00FA688C">
        <w:rPr>
          <w:color w:val="000000" w:themeColor="text1"/>
        </w:rPr>
        <w:t xml:space="preserve">. Twenty per cent of Canada’s annual pledged contributions for 2018 amounts to </w:t>
      </w:r>
      <w:r w:rsidR="00FA688C" w:rsidRPr="00FA688C">
        <w:rPr>
          <w:color w:val="000000" w:themeColor="text1"/>
        </w:rPr>
        <w:t>US $</w:t>
      </w:r>
      <w:r w:rsidRPr="00FA688C">
        <w:rPr>
          <w:color w:val="000000" w:themeColor="text1"/>
        </w:rPr>
        <w:t xml:space="preserve">1,472,267. </w:t>
      </w:r>
    </w:p>
    <w:p w14:paraId="261D4179" w14:textId="4F066FBE" w:rsidR="000959EE" w:rsidRPr="00FA688C" w:rsidRDefault="000959EE" w:rsidP="00FA688C">
      <w:pPr>
        <w:pStyle w:val="subhead"/>
        <w:keepNext/>
        <w:jc w:val="both"/>
        <w:rPr>
          <w:b/>
          <w:color w:val="000000" w:themeColor="text1"/>
          <w:sz w:val="22"/>
          <w:szCs w:val="22"/>
          <w:lang w:val="en-CA"/>
        </w:rPr>
      </w:pPr>
      <w:r w:rsidRPr="00FA688C">
        <w:rPr>
          <w:b/>
          <w:color w:val="000000" w:themeColor="text1"/>
          <w:sz w:val="22"/>
          <w:szCs w:val="22"/>
          <w:lang w:val="en-CA"/>
        </w:rPr>
        <w:t xml:space="preserve">Table </w:t>
      </w:r>
      <w:r w:rsidR="00E96E8A" w:rsidRPr="00FA688C">
        <w:rPr>
          <w:b/>
          <w:color w:val="000000" w:themeColor="text1"/>
          <w:sz w:val="22"/>
          <w:szCs w:val="22"/>
          <w:lang w:val="en-CA"/>
        </w:rPr>
        <w:t>7</w:t>
      </w:r>
      <w:r w:rsidR="00BE08A4">
        <w:rPr>
          <w:b/>
          <w:color w:val="000000" w:themeColor="text1"/>
          <w:sz w:val="22"/>
          <w:szCs w:val="22"/>
          <w:lang w:val="en-CA"/>
        </w:rPr>
        <w:t>.</w:t>
      </w:r>
      <w:r w:rsidRPr="00FA688C">
        <w:rPr>
          <w:b/>
          <w:color w:val="000000" w:themeColor="text1"/>
          <w:sz w:val="22"/>
          <w:szCs w:val="22"/>
          <w:lang w:val="en-CA"/>
        </w:rPr>
        <w:t xml:space="preserve"> Allocation of resources for Canada</w:t>
      </w:r>
      <w:r w:rsidRPr="00FA688C">
        <w:rPr>
          <w:color w:val="000000" w:themeColor="text1"/>
          <w:sz w:val="22"/>
          <w:szCs w:val="22"/>
          <w:lang w:val="en-CA"/>
        </w:rPr>
        <w:t xml:space="preserve"> </w:t>
      </w:r>
      <w:r w:rsidRPr="00FA688C">
        <w:rPr>
          <w:b/>
          <w:color w:val="000000" w:themeColor="text1"/>
          <w:sz w:val="22"/>
          <w:szCs w:val="22"/>
          <w:lang w:val="en-CA"/>
        </w:rPr>
        <w:t>(</w:t>
      </w:r>
      <w:r w:rsidR="00FA688C" w:rsidRPr="00FA688C">
        <w:rPr>
          <w:b/>
          <w:color w:val="000000" w:themeColor="text1"/>
          <w:sz w:val="22"/>
          <w:szCs w:val="22"/>
          <w:lang w:val="en-CA"/>
        </w:rPr>
        <w:t>US </w:t>
      </w:r>
      <w:proofErr w:type="gramStart"/>
      <w:r w:rsidR="007A17B1">
        <w:rPr>
          <w:b/>
          <w:color w:val="000000" w:themeColor="text1"/>
          <w:sz w:val="22"/>
          <w:szCs w:val="22"/>
          <w:lang w:val="en-CA"/>
        </w:rPr>
        <w:t>$)</w:t>
      </w:r>
      <w:r w:rsidR="007A17B1" w:rsidRPr="00FA688C">
        <w:rPr>
          <w:b/>
          <w:color w:val="000000" w:themeColor="text1"/>
          <w:sz w:val="22"/>
          <w:szCs w:val="22"/>
          <w:lang w:val="en-CA"/>
        </w:rPr>
        <w:t>*</w:t>
      </w:r>
      <w:proofErr w:type="gramEnd"/>
    </w:p>
    <w:tbl>
      <w:tblPr>
        <w:tblW w:w="9498" w:type="dxa"/>
        <w:tblInd w:w="-5" w:type="dxa"/>
        <w:tblLayout w:type="fixed"/>
        <w:tblLook w:val="04A0" w:firstRow="1" w:lastRow="0" w:firstColumn="1" w:lastColumn="0" w:noHBand="0" w:noVBand="1"/>
      </w:tblPr>
      <w:tblGrid>
        <w:gridCol w:w="2699"/>
        <w:gridCol w:w="1699"/>
        <w:gridCol w:w="1700"/>
        <w:gridCol w:w="1700"/>
        <w:gridCol w:w="1700"/>
      </w:tblGrid>
      <w:tr w:rsidR="00FA688C" w:rsidRPr="00EB1BB0" w14:paraId="4F12755A" w14:textId="77777777" w:rsidTr="004F4F6C">
        <w:trPr>
          <w:trHeight w:val="105"/>
        </w:trPr>
        <w:tc>
          <w:tcPr>
            <w:tcW w:w="2699" w:type="dxa"/>
            <w:tcBorders>
              <w:top w:val="single" w:sz="4" w:space="0" w:color="auto"/>
              <w:left w:val="single" w:sz="4" w:space="0" w:color="auto"/>
              <w:bottom w:val="single" w:sz="4" w:space="0" w:color="auto"/>
              <w:right w:val="single" w:sz="4" w:space="0" w:color="auto"/>
            </w:tcBorders>
            <w:shd w:val="clear" w:color="auto" w:fill="auto"/>
            <w:noWrap/>
            <w:hideMark/>
          </w:tcPr>
          <w:p w14:paraId="4B657A73" w14:textId="77777777" w:rsidR="000959EE" w:rsidRPr="00EB1BB0" w:rsidRDefault="000959EE" w:rsidP="00FA688C">
            <w:pPr>
              <w:keepNext/>
              <w:jc w:val="left"/>
              <w:rPr>
                <w:b/>
                <w:bCs/>
                <w:color w:val="000000" w:themeColor="text1"/>
                <w:sz w:val="21"/>
                <w:szCs w:val="21"/>
                <w:lang w:val="en-CA" w:eastAsia="en-CA"/>
              </w:rPr>
            </w:pPr>
            <w:r w:rsidRPr="00EB1BB0">
              <w:rPr>
                <w:b/>
                <w:bCs/>
                <w:color w:val="000000" w:themeColor="text1"/>
                <w:sz w:val="21"/>
                <w:szCs w:val="21"/>
                <w:lang w:val="en-US" w:eastAsia="en-CA"/>
              </w:rPr>
              <w:t>Item</w:t>
            </w:r>
          </w:p>
        </w:tc>
        <w:tc>
          <w:tcPr>
            <w:tcW w:w="1699" w:type="dxa"/>
            <w:tcBorders>
              <w:top w:val="single" w:sz="4" w:space="0" w:color="auto"/>
              <w:left w:val="nil"/>
              <w:bottom w:val="single" w:sz="4" w:space="0" w:color="auto"/>
              <w:right w:val="single" w:sz="4" w:space="0" w:color="auto"/>
            </w:tcBorders>
            <w:shd w:val="clear" w:color="auto" w:fill="auto"/>
            <w:noWrap/>
            <w:hideMark/>
          </w:tcPr>
          <w:p w14:paraId="0F177029" w14:textId="77777777" w:rsidR="000959EE" w:rsidRPr="00EB1BB0" w:rsidRDefault="000959EE" w:rsidP="00FA688C">
            <w:pPr>
              <w:jc w:val="center"/>
              <w:rPr>
                <w:b/>
                <w:bCs/>
                <w:color w:val="000000" w:themeColor="text1"/>
                <w:sz w:val="21"/>
                <w:szCs w:val="21"/>
                <w:lang w:val="en-CA" w:eastAsia="en-CA"/>
              </w:rPr>
            </w:pPr>
            <w:r w:rsidRPr="00EB1BB0">
              <w:rPr>
                <w:b/>
                <w:bCs/>
                <w:color w:val="000000" w:themeColor="text1"/>
                <w:sz w:val="21"/>
                <w:szCs w:val="21"/>
                <w:lang w:val="en-CA" w:eastAsia="en-CA"/>
              </w:rPr>
              <w:t>2018</w:t>
            </w:r>
          </w:p>
        </w:tc>
        <w:tc>
          <w:tcPr>
            <w:tcW w:w="1700" w:type="dxa"/>
            <w:tcBorders>
              <w:top w:val="single" w:sz="4" w:space="0" w:color="auto"/>
              <w:left w:val="nil"/>
              <w:bottom w:val="single" w:sz="4" w:space="0" w:color="auto"/>
              <w:right w:val="single" w:sz="4" w:space="0" w:color="auto"/>
            </w:tcBorders>
            <w:shd w:val="clear" w:color="auto" w:fill="auto"/>
            <w:noWrap/>
            <w:hideMark/>
          </w:tcPr>
          <w:p w14:paraId="11369B55" w14:textId="3C5BC97D" w:rsidR="000959EE" w:rsidRPr="00EB1BB0" w:rsidRDefault="000959EE" w:rsidP="00FA688C">
            <w:pPr>
              <w:jc w:val="center"/>
              <w:rPr>
                <w:b/>
                <w:bCs/>
                <w:color w:val="000000" w:themeColor="text1"/>
                <w:sz w:val="21"/>
                <w:szCs w:val="21"/>
                <w:lang w:val="en-CA" w:eastAsia="en-CA"/>
              </w:rPr>
            </w:pPr>
            <w:r w:rsidRPr="00EB1BB0">
              <w:rPr>
                <w:b/>
                <w:bCs/>
                <w:color w:val="000000" w:themeColor="text1"/>
                <w:sz w:val="21"/>
                <w:szCs w:val="21"/>
                <w:lang w:val="en-CA" w:eastAsia="en-CA"/>
              </w:rPr>
              <w:t>2019</w:t>
            </w:r>
          </w:p>
        </w:tc>
        <w:tc>
          <w:tcPr>
            <w:tcW w:w="1700" w:type="dxa"/>
            <w:tcBorders>
              <w:top w:val="single" w:sz="4" w:space="0" w:color="auto"/>
              <w:left w:val="nil"/>
              <w:bottom w:val="single" w:sz="4" w:space="0" w:color="auto"/>
              <w:right w:val="single" w:sz="4" w:space="0" w:color="auto"/>
            </w:tcBorders>
            <w:shd w:val="clear" w:color="auto" w:fill="auto"/>
            <w:noWrap/>
            <w:hideMark/>
          </w:tcPr>
          <w:p w14:paraId="76F1B576" w14:textId="77777777" w:rsidR="000959EE" w:rsidRPr="00EB1BB0" w:rsidRDefault="000959EE" w:rsidP="00FA688C">
            <w:pPr>
              <w:jc w:val="center"/>
              <w:rPr>
                <w:b/>
                <w:bCs/>
                <w:color w:val="000000" w:themeColor="text1"/>
                <w:sz w:val="21"/>
                <w:szCs w:val="21"/>
                <w:lang w:val="en-CA" w:eastAsia="en-CA"/>
              </w:rPr>
            </w:pPr>
            <w:r w:rsidRPr="00EB1BB0">
              <w:rPr>
                <w:b/>
                <w:bCs/>
                <w:color w:val="000000" w:themeColor="text1"/>
                <w:sz w:val="21"/>
                <w:szCs w:val="21"/>
                <w:lang w:val="en-CA" w:eastAsia="en-CA"/>
              </w:rPr>
              <w:t>2020**</w:t>
            </w:r>
          </w:p>
        </w:tc>
        <w:tc>
          <w:tcPr>
            <w:tcW w:w="1700" w:type="dxa"/>
            <w:tcBorders>
              <w:top w:val="single" w:sz="4" w:space="0" w:color="auto"/>
              <w:left w:val="nil"/>
              <w:bottom w:val="single" w:sz="4" w:space="0" w:color="auto"/>
              <w:right w:val="single" w:sz="4" w:space="0" w:color="auto"/>
            </w:tcBorders>
            <w:shd w:val="clear" w:color="auto" w:fill="auto"/>
            <w:noWrap/>
            <w:hideMark/>
          </w:tcPr>
          <w:p w14:paraId="638060E7" w14:textId="2454405E" w:rsidR="000959EE" w:rsidRPr="00EB1BB0" w:rsidRDefault="000959EE" w:rsidP="00FA688C">
            <w:pPr>
              <w:jc w:val="center"/>
              <w:rPr>
                <w:b/>
                <w:bCs/>
                <w:color w:val="000000" w:themeColor="text1"/>
                <w:sz w:val="21"/>
                <w:szCs w:val="21"/>
                <w:lang w:val="en-CA" w:eastAsia="en-CA"/>
              </w:rPr>
            </w:pPr>
            <w:r w:rsidRPr="00EB1BB0">
              <w:rPr>
                <w:b/>
                <w:bCs/>
                <w:color w:val="000000" w:themeColor="text1"/>
                <w:sz w:val="21"/>
                <w:szCs w:val="21"/>
                <w:lang w:val="en-CA" w:eastAsia="en-CA"/>
              </w:rPr>
              <w:t xml:space="preserve">Total </w:t>
            </w:r>
          </w:p>
        </w:tc>
      </w:tr>
      <w:tr w:rsidR="00FA688C" w:rsidRPr="00EB1BB0" w14:paraId="3A683793" w14:textId="77777777" w:rsidTr="00EB1BB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14:paraId="39BE427C" w14:textId="4FDCB406" w:rsidR="000959EE" w:rsidRPr="00EB1BB0" w:rsidRDefault="00A815BF" w:rsidP="00FA688C">
            <w:pPr>
              <w:keepNext/>
              <w:jc w:val="left"/>
              <w:rPr>
                <w:color w:val="000000" w:themeColor="text1"/>
                <w:sz w:val="21"/>
                <w:szCs w:val="21"/>
                <w:lang w:val="en-CA" w:eastAsia="en-CA"/>
              </w:rPr>
            </w:pPr>
            <w:r w:rsidRPr="00EB1BB0">
              <w:rPr>
                <w:color w:val="000000" w:themeColor="text1"/>
                <w:sz w:val="21"/>
                <w:szCs w:val="21"/>
                <w:lang w:val="en-CA" w:eastAsia="en-CA"/>
              </w:rPr>
              <w:t>HFC activities</w:t>
            </w:r>
          </w:p>
        </w:tc>
        <w:tc>
          <w:tcPr>
            <w:tcW w:w="1699" w:type="dxa"/>
            <w:tcBorders>
              <w:top w:val="nil"/>
              <w:left w:val="nil"/>
              <w:bottom w:val="single" w:sz="4" w:space="0" w:color="auto"/>
              <w:right w:val="single" w:sz="4" w:space="0" w:color="auto"/>
            </w:tcBorders>
            <w:shd w:val="clear" w:color="auto" w:fill="auto"/>
            <w:noWrap/>
            <w:tcMar>
              <w:left w:w="115" w:type="dxa"/>
              <w:right w:w="288" w:type="dxa"/>
            </w:tcMar>
            <w:vAlign w:val="center"/>
          </w:tcPr>
          <w:p w14:paraId="530950D5" w14:textId="09211E06" w:rsidR="000959EE" w:rsidRPr="00EB1BB0" w:rsidRDefault="00A815BF" w:rsidP="00FA688C">
            <w:pPr>
              <w:keepNext/>
              <w:jc w:val="right"/>
              <w:rPr>
                <w:color w:val="000000" w:themeColor="text1"/>
                <w:sz w:val="21"/>
                <w:szCs w:val="21"/>
                <w:lang w:val="en-CA" w:eastAsia="en-CA"/>
              </w:rPr>
            </w:pPr>
            <w:r w:rsidRPr="00EB1BB0">
              <w:rPr>
                <w:color w:val="000000" w:themeColor="text1"/>
                <w:sz w:val="21"/>
                <w:szCs w:val="21"/>
                <w:lang w:val="en-CA" w:eastAsia="en-CA"/>
              </w:rPr>
              <w:t>1,039,837</w:t>
            </w:r>
          </w:p>
        </w:tc>
        <w:tc>
          <w:tcPr>
            <w:tcW w:w="1700" w:type="dxa"/>
            <w:tcBorders>
              <w:top w:val="nil"/>
              <w:left w:val="nil"/>
              <w:bottom w:val="single" w:sz="4" w:space="0" w:color="auto"/>
              <w:right w:val="single" w:sz="4" w:space="0" w:color="auto"/>
            </w:tcBorders>
            <w:shd w:val="clear" w:color="auto" w:fill="auto"/>
            <w:noWrap/>
            <w:tcMar>
              <w:left w:w="115" w:type="dxa"/>
              <w:right w:w="288" w:type="dxa"/>
            </w:tcMar>
            <w:vAlign w:val="center"/>
          </w:tcPr>
          <w:p w14:paraId="276EE7A7" w14:textId="77777777" w:rsidR="000959EE" w:rsidRPr="00EB1BB0" w:rsidRDefault="000959EE" w:rsidP="00FA688C">
            <w:pPr>
              <w:keepNext/>
              <w:jc w:val="right"/>
              <w:rPr>
                <w:color w:val="000000" w:themeColor="text1"/>
                <w:sz w:val="21"/>
                <w:szCs w:val="21"/>
                <w:lang w:val="en-CA" w:eastAsia="en-CA"/>
              </w:rPr>
            </w:pPr>
            <w:r w:rsidRPr="00EB1BB0">
              <w:rPr>
                <w:color w:val="000000" w:themeColor="text1"/>
                <w:sz w:val="21"/>
                <w:szCs w:val="21"/>
                <w:lang w:val="en-CA" w:eastAsia="en-CA"/>
              </w:rPr>
              <w:t>0</w:t>
            </w:r>
          </w:p>
        </w:tc>
        <w:tc>
          <w:tcPr>
            <w:tcW w:w="1700" w:type="dxa"/>
            <w:tcBorders>
              <w:top w:val="nil"/>
              <w:left w:val="nil"/>
              <w:bottom w:val="single" w:sz="4" w:space="0" w:color="auto"/>
              <w:right w:val="single" w:sz="4" w:space="0" w:color="auto"/>
            </w:tcBorders>
            <w:shd w:val="clear" w:color="auto" w:fill="auto"/>
            <w:noWrap/>
            <w:tcMar>
              <w:left w:w="115" w:type="dxa"/>
              <w:right w:w="288" w:type="dxa"/>
            </w:tcMar>
            <w:vAlign w:val="center"/>
          </w:tcPr>
          <w:p w14:paraId="64B9B733" w14:textId="77777777" w:rsidR="000959EE" w:rsidRPr="00EB1BB0" w:rsidRDefault="000959EE" w:rsidP="00FA688C">
            <w:pPr>
              <w:keepNext/>
              <w:jc w:val="right"/>
              <w:rPr>
                <w:color w:val="000000" w:themeColor="text1"/>
                <w:sz w:val="21"/>
                <w:szCs w:val="21"/>
                <w:lang w:val="en-CA" w:eastAsia="en-CA"/>
              </w:rPr>
            </w:pPr>
            <w:r w:rsidRPr="00EB1BB0">
              <w:rPr>
                <w:color w:val="000000" w:themeColor="text1"/>
                <w:sz w:val="21"/>
                <w:szCs w:val="21"/>
                <w:lang w:val="en-CA" w:eastAsia="en-CA"/>
              </w:rPr>
              <w:t>0</w:t>
            </w:r>
          </w:p>
        </w:tc>
        <w:tc>
          <w:tcPr>
            <w:tcW w:w="1700" w:type="dxa"/>
            <w:tcBorders>
              <w:top w:val="nil"/>
              <w:left w:val="nil"/>
              <w:bottom w:val="single" w:sz="4" w:space="0" w:color="auto"/>
              <w:right w:val="single" w:sz="4" w:space="0" w:color="auto"/>
            </w:tcBorders>
            <w:shd w:val="clear" w:color="auto" w:fill="auto"/>
            <w:noWrap/>
            <w:tcMar>
              <w:left w:w="115" w:type="dxa"/>
              <w:right w:w="288" w:type="dxa"/>
            </w:tcMar>
            <w:vAlign w:val="center"/>
          </w:tcPr>
          <w:p w14:paraId="43B60EF2" w14:textId="01D2DD17" w:rsidR="000959EE" w:rsidRPr="00EB1BB0" w:rsidRDefault="00A815BF" w:rsidP="00FA688C">
            <w:pPr>
              <w:keepNext/>
              <w:jc w:val="right"/>
              <w:rPr>
                <w:color w:val="000000" w:themeColor="text1"/>
                <w:sz w:val="21"/>
                <w:szCs w:val="21"/>
                <w:lang w:val="en-CA" w:eastAsia="en-CA"/>
              </w:rPr>
            </w:pPr>
            <w:r w:rsidRPr="00EB1BB0">
              <w:rPr>
                <w:color w:val="000000" w:themeColor="text1"/>
                <w:sz w:val="21"/>
                <w:szCs w:val="21"/>
                <w:lang w:val="en-CA" w:eastAsia="en-CA"/>
              </w:rPr>
              <w:t>1,039,837</w:t>
            </w:r>
          </w:p>
        </w:tc>
      </w:tr>
      <w:tr w:rsidR="00FA688C" w:rsidRPr="00EB1BB0" w14:paraId="2CBA9803" w14:textId="77777777" w:rsidTr="00EB1BB0">
        <w:trPr>
          <w:trHeight w:val="25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14:paraId="4B28DE30" w14:textId="77777777" w:rsidR="000959EE" w:rsidRPr="00EB1BB0" w:rsidRDefault="000959EE" w:rsidP="00FA688C">
            <w:pPr>
              <w:keepNext/>
              <w:jc w:val="left"/>
              <w:rPr>
                <w:b/>
                <w:bCs/>
                <w:color w:val="000000" w:themeColor="text1"/>
                <w:sz w:val="21"/>
                <w:szCs w:val="21"/>
                <w:lang w:val="en-CA" w:eastAsia="en-CA"/>
              </w:rPr>
            </w:pPr>
            <w:r w:rsidRPr="00EB1BB0">
              <w:rPr>
                <w:b/>
                <w:bCs/>
                <w:color w:val="000000" w:themeColor="text1"/>
                <w:sz w:val="21"/>
                <w:szCs w:val="21"/>
                <w:lang w:val="en-CA" w:eastAsia="en-CA"/>
              </w:rPr>
              <w:t>Grand total</w:t>
            </w:r>
          </w:p>
        </w:tc>
        <w:tc>
          <w:tcPr>
            <w:tcW w:w="1699" w:type="dxa"/>
            <w:tcBorders>
              <w:top w:val="nil"/>
              <w:left w:val="nil"/>
              <w:bottom w:val="single" w:sz="4" w:space="0" w:color="auto"/>
              <w:right w:val="single" w:sz="4" w:space="0" w:color="auto"/>
            </w:tcBorders>
            <w:shd w:val="clear" w:color="auto" w:fill="auto"/>
            <w:noWrap/>
            <w:tcMar>
              <w:left w:w="115" w:type="dxa"/>
              <w:right w:w="288" w:type="dxa"/>
            </w:tcMar>
            <w:vAlign w:val="center"/>
          </w:tcPr>
          <w:p w14:paraId="79E0C4D4" w14:textId="2C007842" w:rsidR="000959EE" w:rsidRPr="00EB1BB0" w:rsidRDefault="00A815BF" w:rsidP="00FA688C">
            <w:pPr>
              <w:keepNext/>
              <w:jc w:val="right"/>
              <w:rPr>
                <w:b/>
                <w:bCs/>
                <w:color w:val="000000" w:themeColor="text1"/>
                <w:sz w:val="21"/>
                <w:szCs w:val="21"/>
                <w:lang w:val="en-CA" w:eastAsia="en-CA"/>
              </w:rPr>
            </w:pPr>
            <w:r w:rsidRPr="00EB1BB0">
              <w:rPr>
                <w:b/>
                <w:color w:val="000000" w:themeColor="text1"/>
                <w:sz w:val="21"/>
                <w:szCs w:val="21"/>
                <w:lang w:val="en-CA" w:eastAsia="en-CA"/>
              </w:rPr>
              <w:t>1,039,837</w:t>
            </w:r>
          </w:p>
        </w:tc>
        <w:tc>
          <w:tcPr>
            <w:tcW w:w="1700" w:type="dxa"/>
            <w:tcBorders>
              <w:top w:val="nil"/>
              <w:left w:val="nil"/>
              <w:bottom w:val="single" w:sz="4" w:space="0" w:color="auto"/>
              <w:right w:val="single" w:sz="4" w:space="0" w:color="auto"/>
            </w:tcBorders>
            <w:shd w:val="clear" w:color="auto" w:fill="auto"/>
            <w:noWrap/>
            <w:tcMar>
              <w:left w:w="115" w:type="dxa"/>
              <w:right w:w="288" w:type="dxa"/>
            </w:tcMar>
            <w:vAlign w:val="center"/>
          </w:tcPr>
          <w:p w14:paraId="3EEC00B6" w14:textId="77777777" w:rsidR="000959EE" w:rsidRPr="00EB1BB0" w:rsidRDefault="000959EE" w:rsidP="00FA688C">
            <w:pPr>
              <w:keepNext/>
              <w:jc w:val="right"/>
              <w:rPr>
                <w:b/>
                <w:bCs/>
                <w:color w:val="000000" w:themeColor="text1"/>
                <w:sz w:val="21"/>
                <w:szCs w:val="21"/>
                <w:lang w:val="en-CA" w:eastAsia="en-CA"/>
              </w:rPr>
            </w:pPr>
            <w:r w:rsidRPr="00EB1BB0">
              <w:rPr>
                <w:b/>
                <w:bCs/>
                <w:color w:val="000000" w:themeColor="text1"/>
                <w:sz w:val="21"/>
                <w:szCs w:val="21"/>
                <w:lang w:val="en-CA" w:eastAsia="en-CA"/>
              </w:rPr>
              <w:t>0</w:t>
            </w:r>
          </w:p>
        </w:tc>
        <w:tc>
          <w:tcPr>
            <w:tcW w:w="1700" w:type="dxa"/>
            <w:tcBorders>
              <w:top w:val="nil"/>
              <w:left w:val="nil"/>
              <w:bottom w:val="single" w:sz="4" w:space="0" w:color="auto"/>
              <w:right w:val="single" w:sz="4" w:space="0" w:color="auto"/>
            </w:tcBorders>
            <w:shd w:val="clear" w:color="auto" w:fill="auto"/>
            <w:noWrap/>
            <w:tcMar>
              <w:left w:w="115" w:type="dxa"/>
              <w:right w:w="288" w:type="dxa"/>
            </w:tcMar>
            <w:vAlign w:val="center"/>
          </w:tcPr>
          <w:p w14:paraId="7EE41E28" w14:textId="77777777" w:rsidR="000959EE" w:rsidRPr="00EB1BB0" w:rsidRDefault="000959EE" w:rsidP="00FA688C">
            <w:pPr>
              <w:keepNext/>
              <w:jc w:val="right"/>
              <w:rPr>
                <w:b/>
                <w:bCs/>
                <w:color w:val="000000" w:themeColor="text1"/>
                <w:sz w:val="21"/>
                <w:szCs w:val="21"/>
                <w:lang w:val="en-CA" w:eastAsia="en-CA"/>
              </w:rPr>
            </w:pPr>
            <w:r w:rsidRPr="00EB1BB0">
              <w:rPr>
                <w:b/>
                <w:bCs/>
                <w:color w:val="000000" w:themeColor="text1"/>
                <w:sz w:val="21"/>
                <w:szCs w:val="21"/>
                <w:lang w:val="en-CA" w:eastAsia="en-CA"/>
              </w:rPr>
              <w:t>0</w:t>
            </w:r>
          </w:p>
        </w:tc>
        <w:tc>
          <w:tcPr>
            <w:tcW w:w="1700" w:type="dxa"/>
            <w:tcBorders>
              <w:top w:val="nil"/>
              <w:left w:val="nil"/>
              <w:bottom w:val="single" w:sz="4" w:space="0" w:color="auto"/>
              <w:right w:val="single" w:sz="4" w:space="0" w:color="auto"/>
            </w:tcBorders>
            <w:shd w:val="clear" w:color="auto" w:fill="auto"/>
            <w:noWrap/>
            <w:tcMar>
              <w:left w:w="115" w:type="dxa"/>
              <w:right w:w="288" w:type="dxa"/>
            </w:tcMar>
            <w:vAlign w:val="center"/>
          </w:tcPr>
          <w:p w14:paraId="1065CEC8" w14:textId="6AEA28B3" w:rsidR="000959EE" w:rsidRPr="00EB1BB0" w:rsidRDefault="00A815BF" w:rsidP="00FA688C">
            <w:pPr>
              <w:keepNext/>
              <w:jc w:val="right"/>
              <w:rPr>
                <w:b/>
                <w:bCs/>
                <w:color w:val="000000" w:themeColor="text1"/>
                <w:sz w:val="21"/>
                <w:szCs w:val="21"/>
                <w:lang w:val="en-CA" w:eastAsia="en-CA"/>
              </w:rPr>
            </w:pPr>
            <w:r w:rsidRPr="00EB1BB0">
              <w:rPr>
                <w:b/>
                <w:color w:val="000000" w:themeColor="text1"/>
                <w:sz w:val="21"/>
                <w:szCs w:val="21"/>
                <w:lang w:val="en-CA" w:eastAsia="en-CA"/>
              </w:rPr>
              <w:t>1,039,837</w:t>
            </w:r>
          </w:p>
        </w:tc>
      </w:tr>
    </w:tbl>
    <w:p w14:paraId="0D667E43" w14:textId="77777777" w:rsidR="000959EE" w:rsidRPr="00FA688C" w:rsidRDefault="000959EE" w:rsidP="00FA688C">
      <w:pPr>
        <w:rPr>
          <w:color w:val="000000" w:themeColor="text1"/>
          <w:sz w:val="18"/>
          <w:szCs w:val="18"/>
          <w:lang w:val="en-CA"/>
        </w:rPr>
      </w:pPr>
      <w:r w:rsidRPr="00FA688C">
        <w:rPr>
          <w:color w:val="000000" w:themeColor="text1"/>
          <w:sz w:val="18"/>
          <w:szCs w:val="18"/>
          <w:lang w:val="en-CA"/>
        </w:rPr>
        <w:t>* Including agency support cost.</w:t>
      </w:r>
    </w:p>
    <w:p w14:paraId="30069BA5" w14:textId="696EE775" w:rsidR="000959EE" w:rsidRPr="00FA688C" w:rsidRDefault="000959EE" w:rsidP="00FA688C">
      <w:pPr>
        <w:jc w:val="left"/>
        <w:rPr>
          <w:color w:val="000000" w:themeColor="text1"/>
          <w:sz w:val="18"/>
          <w:szCs w:val="18"/>
        </w:rPr>
      </w:pPr>
      <w:r w:rsidRPr="00FA688C">
        <w:rPr>
          <w:color w:val="000000" w:themeColor="text1"/>
          <w:sz w:val="18"/>
          <w:szCs w:val="18"/>
        </w:rPr>
        <w:t>** There are no activities after 2020.</w:t>
      </w:r>
    </w:p>
    <w:p w14:paraId="5EB2537C" w14:textId="4F9E3405" w:rsidR="00F80E63" w:rsidRPr="00FA688C" w:rsidRDefault="00F80E63" w:rsidP="00FA688C">
      <w:pPr>
        <w:jc w:val="left"/>
        <w:rPr>
          <w:color w:val="000000" w:themeColor="text1"/>
          <w:sz w:val="18"/>
          <w:szCs w:val="18"/>
        </w:rPr>
      </w:pPr>
    </w:p>
    <w:p w14:paraId="76FD33B1" w14:textId="0117408C" w:rsidR="00F80E63" w:rsidRPr="00FA688C" w:rsidRDefault="00885CE8" w:rsidP="00FA688C">
      <w:pPr>
        <w:pStyle w:val="Heading1"/>
        <w:rPr>
          <w:color w:val="000000" w:themeColor="text1"/>
        </w:rPr>
      </w:pPr>
      <w:r w:rsidRPr="00FA688C">
        <w:rPr>
          <w:color w:val="000000" w:themeColor="text1"/>
        </w:rPr>
        <w:lastRenderedPageBreak/>
        <w:t>Canada’</w:t>
      </w:r>
      <w:r w:rsidR="00F80E63" w:rsidRPr="00FA688C">
        <w:rPr>
          <w:color w:val="000000" w:themeColor="text1"/>
        </w:rPr>
        <w:t xml:space="preserve">s business plan includes </w:t>
      </w:r>
      <w:r w:rsidR="00FA688C" w:rsidRPr="00FA688C">
        <w:rPr>
          <w:color w:val="000000" w:themeColor="text1"/>
        </w:rPr>
        <w:t>US $</w:t>
      </w:r>
      <w:r w:rsidRPr="00FA688C">
        <w:rPr>
          <w:color w:val="000000" w:themeColor="text1"/>
        </w:rPr>
        <w:t>267,500</w:t>
      </w:r>
      <w:r w:rsidR="00F80E63" w:rsidRPr="00FA688C">
        <w:rPr>
          <w:color w:val="000000" w:themeColor="text1"/>
        </w:rPr>
        <w:t xml:space="preserve"> for</w:t>
      </w:r>
      <w:r w:rsidRPr="00FA688C">
        <w:rPr>
          <w:color w:val="000000" w:themeColor="text1"/>
        </w:rPr>
        <w:t xml:space="preserve"> HFC enabling activities for four countries (Bangladesh, Cuba, El Salvador and Panama)</w:t>
      </w:r>
      <w:r w:rsidR="001B0906" w:rsidRPr="00FA688C">
        <w:rPr>
          <w:color w:val="000000" w:themeColor="text1"/>
        </w:rPr>
        <w:t xml:space="preserve"> and </w:t>
      </w:r>
      <w:r w:rsidR="00FA688C" w:rsidRPr="00FA688C">
        <w:rPr>
          <w:color w:val="000000" w:themeColor="text1"/>
        </w:rPr>
        <w:t>US $</w:t>
      </w:r>
      <w:r w:rsidR="001B0906" w:rsidRPr="00FA688C">
        <w:rPr>
          <w:color w:val="000000" w:themeColor="text1"/>
        </w:rPr>
        <w:t>772,337 for HFC investment activities for two countries (Dominican Republic and Mexico) in 2018.</w:t>
      </w:r>
    </w:p>
    <w:p w14:paraId="1E7118A3" w14:textId="412C81EA" w:rsidR="006852D7" w:rsidRPr="00FA688C" w:rsidRDefault="006852D7" w:rsidP="00FA688C">
      <w:pPr>
        <w:rPr>
          <w:b/>
          <w:color w:val="000000" w:themeColor="text1"/>
          <w:lang w:val="en-CA"/>
        </w:rPr>
      </w:pPr>
      <w:r w:rsidRPr="00FA688C">
        <w:rPr>
          <w:b/>
          <w:color w:val="000000" w:themeColor="text1"/>
          <w:lang w:val="en-CA"/>
        </w:rPr>
        <w:t>Ger</w:t>
      </w:r>
      <w:r w:rsidR="0049698F" w:rsidRPr="00FA688C">
        <w:rPr>
          <w:b/>
          <w:color w:val="000000" w:themeColor="text1"/>
          <w:lang w:val="en-CA"/>
        </w:rPr>
        <w:t>many</w:t>
      </w:r>
    </w:p>
    <w:p w14:paraId="73CAE19B" w14:textId="77777777" w:rsidR="006852D7" w:rsidRPr="00FA688C" w:rsidRDefault="006852D7" w:rsidP="00FA688C">
      <w:pPr>
        <w:rPr>
          <w:b/>
          <w:color w:val="000000" w:themeColor="text1"/>
          <w:lang w:val="en-CA"/>
        </w:rPr>
      </w:pPr>
    </w:p>
    <w:p w14:paraId="493DE095" w14:textId="00747B4A" w:rsidR="006852D7" w:rsidRPr="00FA688C" w:rsidRDefault="006852D7" w:rsidP="00FA688C">
      <w:pPr>
        <w:pStyle w:val="Heading1"/>
        <w:rPr>
          <w:color w:val="000000" w:themeColor="text1"/>
          <w:lang w:val="en-CA"/>
        </w:rPr>
      </w:pPr>
      <w:r w:rsidRPr="00FA688C">
        <w:rPr>
          <w:color w:val="000000" w:themeColor="text1"/>
          <w:lang w:val="en-CA"/>
        </w:rPr>
        <w:t xml:space="preserve">At its </w:t>
      </w:r>
      <w:r w:rsidR="000B754D" w:rsidRPr="00FA688C">
        <w:rPr>
          <w:color w:val="000000" w:themeColor="text1"/>
          <w:lang w:val="en-CA"/>
        </w:rPr>
        <w:t>80</w:t>
      </w:r>
      <w:r w:rsidR="000B754D" w:rsidRPr="00FA688C">
        <w:rPr>
          <w:color w:val="000000" w:themeColor="text1"/>
          <w:vertAlign w:val="superscript"/>
          <w:lang w:val="en-CA"/>
        </w:rPr>
        <w:t>th</w:t>
      </w:r>
      <w:r w:rsidR="000B754D" w:rsidRPr="00FA688C">
        <w:rPr>
          <w:color w:val="000000" w:themeColor="text1"/>
          <w:lang w:val="en-CA"/>
        </w:rPr>
        <w:t xml:space="preserve"> </w:t>
      </w:r>
      <w:r w:rsidRPr="00FA688C">
        <w:rPr>
          <w:color w:val="000000" w:themeColor="text1"/>
          <w:lang w:val="en-CA"/>
        </w:rPr>
        <w:t>meeting, the Executive Committee indicated that it would reconsider Germany’s 201</w:t>
      </w:r>
      <w:r w:rsidR="000B754D" w:rsidRPr="00FA688C">
        <w:rPr>
          <w:color w:val="000000" w:themeColor="text1"/>
          <w:lang w:val="en-CA"/>
        </w:rPr>
        <w:t>8</w:t>
      </w:r>
      <w:r w:rsidRPr="00FA688C">
        <w:rPr>
          <w:color w:val="000000" w:themeColor="text1"/>
          <w:lang w:val="en-CA"/>
        </w:rPr>
        <w:noBreakHyphen/>
        <w:t>20</w:t>
      </w:r>
      <w:r w:rsidR="000B754D" w:rsidRPr="00FA688C">
        <w:rPr>
          <w:color w:val="000000" w:themeColor="text1"/>
          <w:lang w:val="en-CA"/>
        </w:rPr>
        <w:t>20</w:t>
      </w:r>
      <w:r w:rsidRPr="00FA688C">
        <w:rPr>
          <w:color w:val="000000" w:themeColor="text1"/>
          <w:lang w:val="en-CA"/>
        </w:rPr>
        <w:t xml:space="preserve"> business plan at its </w:t>
      </w:r>
      <w:r w:rsidR="000B754D" w:rsidRPr="00FA688C">
        <w:rPr>
          <w:color w:val="000000" w:themeColor="text1"/>
          <w:lang w:val="en-CA"/>
        </w:rPr>
        <w:t>81</w:t>
      </w:r>
      <w:r w:rsidR="000B754D" w:rsidRPr="00FA688C">
        <w:rPr>
          <w:color w:val="000000" w:themeColor="text1"/>
          <w:vertAlign w:val="superscript"/>
          <w:lang w:val="en-CA"/>
        </w:rPr>
        <w:t>st</w:t>
      </w:r>
      <w:r w:rsidR="000B754D" w:rsidRPr="00FA688C">
        <w:rPr>
          <w:color w:val="000000" w:themeColor="text1"/>
          <w:lang w:val="en-CA"/>
        </w:rPr>
        <w:t xml:space="preserve"> </w:t>
      </w:r>
      <w:r w:rsidRPr="00FA688C">
        <w:rPr>
          <w:color w:val="000000" w:themeColor="text1"/>
          <w:lang w:val="en-CA"/>
        </w:rPr>
        <w:t>meeting in light of the 20 per cent bilateral allocation and the general approach applied in the financial planning document for the 201</w:t>
      </w:r>
      <w:r w:rsidR="000B754D" w:rsidRPr="00FA688C">
        <w:rPr>
          <w:color w:val="000000" w:themeColor="text1"/>
          <w:lang w:val="en-CA"/>
        </w:rPr>
        <w:t>8</w:t>
      </w:r>
      <w:r w:rsidRPr="00FA688C">
        <w:rPr>
          <w:color w:val="000000" w:themeColor="text1"/>
          <w:lang w:val="en-CA"/>
        </w:rPr>
        <w:t>-20</w:t>
      </w:r>
      <w:r w:rsidR="000B754D" w:rsidRPr="00FA688C">
        <w:rPr>
          <w:color w:val="000000" w:themeColor="text1"/>
          <w:lang w:val="en-CA"/>
        </w:rPr>
        <w:t>20</w:t>
      </w:r>
      <w:r w:rsidRPr="00FA688C">
        <w:rPr>
          <w:color w:val="000000" w:themeColor="text1"/>
          <w:lang w:val="en-CA"/>
        </w:rPr>
        <w:t xml:space="preserve"> triennium (decision </w:t>
      </w:r>
      <w:r w:rsidR="000B754D" w:rsidRPr="00FA688C">
        <w:rPr>
          <w:color w:val="000000" w:themeColor="text1"/>
          <w:lang w:val="en-CA"/>
        </w:rPr>
        <w:t>80</w:t>
      </w:r>
      <w:r w:rsidRPr="00FA688C">
        <w:rPr>
          <w:color w:val="000000" w:themeColor="text1"/>
          <w:lang w:val="en-CA"/>
        </w:rPr>
        <w:t>/</w:t>
      </w:r>
      <w:r w:rsidR="000B754D" w:rsidRPr="00FA688C">
        <w:rPr>
          <w:color w:val="000000" w:themeColor="text1"/>
          <w:lang w:val="en-CA"/>
        </w:rPr>
        <w:t>35</w:t>
      </w:r>
      <w:r w:rsidRPr="00FA688C">
        <w:rPr>
          <w:color w:val="000000" w:themeColor="text1"/>
          <w:lang w:val="en-CA"/>
        </w:rPr>
        <w:t xml:space="preserve">(b)). </w:t>
      </w:r>
      <w:r w:rsidRPr="00BE08A4">
        <w:t>Table</w:t>
      </w:r>
      <w:r w:rsidR="00BE08A4">
        <w:t> </w:t>
      </w:r>
      <w:r w:rsidR="00E96E8A" w:rsidRPr="00BE08A4">
        <w:t>8</w:t>
      </w:r>
      <w:r w:rsidRPr="00FA688C">
        <w:rPr>
          <w:color w:val="000000" w:themeColor="text1"/>
          <w:lang w:val="en-CA"/>
        </w:rPr>
        <w:t xml:space="preserve"> presents the impact of the replenishment on Germany’s business plan submitted to the </w:t>
      </w:r>
      <w:r w:rsidR="0049698F" w:rsidRPr="00FA688C">
        <w:rPr>
          <w:color w:val="000000" w:themeColor="text1"/>
          <w:lang w:val="en-CA"/>
        </w:rPr>
        <w:t>81</w:t>
      </w:r>
      <w:r w:rsidR="0049698F" w:rsidRPr="00BE08A4">
        <w:rPr>
          <w:color w:val="000000" w:themeColor="text1"/>
          <w:vertAlign w:val="superscript"/>
          <w:lang w:val="en-CA"/>
        </w:rPr>
        <w:t>st</w:t>
      </w:r>
      <w:r w:rsidR="0049698F" w:rsidRPr="00FA688C">
        <w:rPr>
          <w:color w:val="000000" w:themeColor="text1"/>
          <w:lang w:val="en-CA"/>
        </w:rPr>
        <w:t> meeting</w:t>
      </w:r>
      <w:r w:rsidR="00C02C1B" w:rsidRPr="00FA688C">
        <w:rPr>
          <w:color w:val="000000" w:themeColor="text1"/>
          <w:lang w:val="en-CA"/>
        </w:rPr>
        <w:t>. Germany’s 201</w:t>
      </w:r>
      <w:r w:rsidR="0049698F" w:rsidRPr="00FA688C">
        <w:rPr>
          <w:color w:val="000000" w:themeColor="text1"/>
          <w:lang w:val="en-CA"/>
        </w:rPr>
        <w:t>8</w:t>
      </w:r>
      <w:r w:rsidR="00C02C1B" w:rsidRPr="00FA688C">
        <w:rPr>
          <w:color w:val="000000" w:themeColor="text1"/>
          <w:lang w:val="en-CA"/>
        </w:rPr>
        <w:noBreakHyphen/>
      </w:r>
      <w:r w:rsidRPr="00FA688C">
        <w:rPr>
          <w:color w:val="000000" w:themeColor="text1"/>
          <w:lang w:val="en-CA"/>
        </w:rPr>
        <w:t>20</w:t>
      </w:r>
      <w:r w:rsidR="0049698F" w:rsidRPr="00FA688C">
        <w:rPr>
          <w:color w:val="000000" w:themeColor="text1"/>
          <w:lang w:val="en-CA"/>
        </w:rPr>
        <w:t>20</w:t>
      </w:r>
      <w:r w:rsidRPr="00FA688C">
        <w:rPr>
          <w:color w:val="000000" w:themeColor="text1"/>
          <w:lang w:val="en-CA"/>
        </w:rPr>
        <w:t xml:space="preserve"> business plan does not exceed 20 per cent of Germany’s contributions for the triennium.</w:t>
      </w:r>
    </w:p>
    <w:p w14:paraId="65DD95E9" w14:textId="3A22B6E8" w:rsidR="006852D7" w:rsidRPr="00EB1BB0" w:rsidRDefault="006852D7" w:rsidP="00FA688C">
      <w:pPr>
        <w:keepNext/>
        <w:tabs>
          <w:tab w:val="left" w:pos="720"/>
          <w:tab w:val="left" w:pos="1440"/>
          <w:tab w:val="left" w:pos="2160"/>
        </w:tabs>
        <w:outlineLvl w:val="1"/>
        <w:rPr>
          <w:b/>
          <w:color w:val="000000" w:themeColor="text1"/>
          <w:sz w:val="21"/>
          <w:szCs w:val="21"/>
          <w:lang w:val="en-CA"/>
        </w:rPr>
      </w:pPr>
      <w:r w:rsidRPr="00EB1BB0">
        <w:rPr>
          <w:b/>
          <w:color w:val="000000" w:themeColor="text1"/>
          <w:sz w:val="21"/>
          <w:szCs w:val="21"/>
          <w:lang w:val="en-CA"/>
        </w:rPr>
        <w:t xml:space="preserve">Table </w:t>
      </w:r>
      <w:r w:rsidR="00E96E8A" w:rsidRPr="00EB1BB0">
        <w:rPr>
          <w:b/>
          <w:color w:val="000000" w:themeColor="text1"/>
          <w:sz w:val="21"/>
          <w:szCs w:val="21"/>
          <w:lang w:val="en-CA"/>
        </w:rPr>
        <w:t>8</w:t>
      </w:r>
      <w:r w:rsidRPr="00EB1BB0">
        <w:rPr>
          <w:b/>
          <w:color w:val="000000" w:themeColor="text1"/>
          <w:sz w:val="21"/>
          <w:szCs w:val="21"/>
          <w:lang w:val="en-CA"/>
        </w:rPr>
        <w:t xml:space="preserve">. Impact of the level of replenishment on Germany’s business plan submitted to the </w:t>
      </w:r>
      <w:r w:rsidR="0049698F" w:rsidRPr="00EB1BB0">
        <w:rPr>
          <w:b/>
          <w:color w:val="000000" w:themeColor="text1"/>
          <w:sz w:val="21"/>
          <w:szCs w:val="21"/>
          <w:lang w:val="en-CA"/>
        </w:rPr>
        <w:t>81</w:t>
      </w:r>
      <w:r w:rsidR="0049698F" w:rsidRPr="00EB1BB0">
        <w:rPr>
          <w:b/>
          <w:color w:val="000000" w:themeColor="text1"/>
          <w:sz w:val="21"/>
          <w:szCs w:val="21"/>
          <w:vertAlign w:val="superscript"/>
          <w:lang w:val="en-CA"/>
        </w:rPr>
        <w:t>st</w:t>
      </w:r>
      <w:r w:rsidR="0049698F" w:rsidRPr="00EB1BB0">
        <w:rPr>
          <w:b/>
          <w:color w:val="000000" w:themeColor="text1"/>
          <w:sz w:val="21"/>
          <w:szCs w:val="21"/>
          <w:lang w:val="en-CA"/>
        </w:rPr>
        <w:t xml:space="preserve"> </w:t>
      </w:r>
      <w:r w:rsidRPr="00EB1BB0">
        <w:rPr>
          <w:b/>
          <w:color w:val="000000" w:themeColor="text1"/>
          <w:sz w:val="21"/>
          <w:szCs w:val="21"/>
          <w:lang w:val="en-CA"/>
        </w:rPr>
        <w:t xml:space="preserve">meeting </w:t>
      </w:r>
    </w:p>
    <w:tbl>
      <w:tblPr>
        <w:tblW w:w="9483" w:type="dxa"/>
        <w:tblInd w:w="-5" w:type="dxa"/>
        <w:tblLayout w:type="fixed"/>
        <w:tblLook w:val="04A0" w:firstRow="1" w:lastRow="0" w:firstColumn="1" w:lastColumn="0" w:noHBand="0" w:noVBand="1"/>
      </w:tblPr>
      <w:tblGrid>
        <w:gridCol w:w="359"/>
        <w:gridCol w:w="3976"/>
        <w:gridCol w:w="1287"/>
        <w:gridCol w:w="1287"/>
        <w:gridCol w:w="1287"/>
        <w:gridCol w:w="1287"/>
      </w:tblGrid>
      <w:tr w:rsidR="00EB1BB0" w:rsidRPr="00FA688C" w14:paraId="3192B768" w14:textId="77777777" w:rsidTr="00EB1BB0">
        <w:trPr>
          <w:tblHeader/>
        </w:trPr>
        <w:tc>
          <w:tcPr>
            <w:tcW w:w="359" w:type="dxa"/>
            <w:tcBorders>
              <w:top w:val="single" w:sz="4" w:space="0" w:color="auto"/>
              <w:left w:val="single" w:sz="4" w:space="0" w:color="auto"/>
              <w:bottom w:val="single" w:sz="4" w:space="0" w:color="auto"/>
              <w:right w:val="single" w:sz="4" w:space="0" w:color="auto"/>
            </w:tcBorders>
          </w:tcPr>
          <w:p w14:paraId="00CCE710" w14:textId="77777777" w:rsidR="00EB1BB0" w:rsidRPr="00EB1BB0" w:rsidRDefault="00EB1BB0" w:rsidP="00EB1BB0">
            <w:pPr>
              <w:keepNext/>
              <w:jc w:val="center"/>
              <w:rPr>
                <w:b/>
                <w:bCs/>
                <w:color w:val="000000" w:themeColor="text1"/>
                <w:sz w:val="21"/>
                <w:szCs w:val="21"/>
                <w:lang w:val="en-CA"/>
              </w:rPr>
            </w:pPr>
            <w:r w:rsidRPr="00EB1BB0">
              <w:rPr>
                <w:color w:val="000000" w:themeColor="text1"/>
                <w:sz w:val="21"/>
                <w:szCs w:val="21"/>
                <w:lang w:val="en-CA"/>
              </w:rPr>
              <w:br w:type="page"/>
            </w:r>
          </w:p>
        </w:tc>
        <w:tc>
          <w:tcPr>
            <w:tcW w:w="3976" w:type="dxa"/>
            <w:tcBorders>
              <w:top w:val="single" w:sz="4" w:space="0" w:color="auto"/>
              <w:left w:val="single" w:sz="4" w:space="0" w:color="auto"/>
              <w:bottom w:val="single" w:sz="4" w:space="0" w:color="auto"/>
              <w:right w:val="single" w:sz="4" w:space="0" w:color="auto"/>
            </w:tcBorders>
            <w:shd w:val="clear" w:color="auto" w:fill="auto"/>
            <w:noWrap/>
            <w:hideMark/>
          </w:tcPr>
          <w:p w14:paraId="4FC8F501" w14:textId="77777777" w:rsidR="00EB1BB0" w:rsidRPr="00EB1BB0" w:rsidRDefault="00EB1BB0" w:rsidP="00EB1BB0">
            <w:pPr>
              <w:keepNext/>
              <w:jc w:val="center"/>
              <w:rPr>
                <w:b/>
                <w:bCs/>
                <w:color w:val="000000" w:themeColor="text1"/>
                <w:sz w:val="21"/>
                <w:szCs w:val="21"/>
                <w:lang w:val="en-CA"/>
              </w:rPr>
            </w:pPr>
            <w:r w:rsidRPr="00EB1BB0">
              <w:rPr>
                <w:b/>
                <w:bCs/>
                <w:color w:val="000000" w:themeColor="text1"/>
                <w:sz w:val="21"/>
                <w:szCs w:val="21"/>
                <w:lang w:val="en-CA"/>
              </w:rPr>
              <w:t>Agency</w:t>
            </w:r>
          </w:p>
        </w:tc>
        <w:tc>
          <w:tcPr>
            <w:tcW w:w="1287" w:type="dxa"/>
            <w:tcBorders>
              <w:top w:val="single" w:sz="4" w:space="0" w:color="auto"/>
              <w:left w:val="nil"/>
              <w:bottom w:val="single" w:sz="4" w:space="0" w:color="auto"/>
              <w:right w:val="single" w:sz="4" w:space="0" w:color="auto"/>
            </w:tcBorders>
            <w:shd w:val="clear" w:color="auto" w:fill="auto"/>
            <w:hideMark/>
          </w:tcPr>
          <w:p w14:paraId="6B6BF6F0" w14:textId="0AD82D0B" w:rsidR="00EB1BB0" w:rsidRPr="00EB1BB0" w:rsidRDefault="00EB1BB0" w:rsidP="00EB1BB0">
            <w:pPr>
              <w:keepNext/>
              <w:jc w:val="center"/>
              <w:rPr>
                <w:b/>
                <w:bCs/>
                <w:color w:val="000000" w:themeColor="text1"/>
                <w:sz w:val="21"/>
                <w:szCs w:val="21"/>
                <w:lang w:val="en-CA"/>
              </w:rPr>
            </w:pPr>
            <w:r w:rsidRPr="00EB1BB0">
              <w:rPr>
                <w:b/>
                <w:bCs/>
                <w:color w:val="000000" w:themeColor="text1"/>
                <w:sz w:val="21"/>
                <w:szCs w:val="21"/>
                <w:lang w:val="en-CA" w:eastAsia="en-CA"/>
              </w:rPr>
              <w:t>2018</w:t>
            </w:r>
          </w:p>
        </w:tc>
        <w:tc>
          <w:tcPr>
            <w:tcW w:w="1287" w:type="dxa"/>
            <w:tcBorders>
              <w:top w:val="single" w:sz="4" w:space="0" w:color="auto"/>
              <w:left w:val="nil"/>
              <w:bottom w:val="single" w:sz="4" w:space="0" w:color="auto"/>
              <w:right w:val="single" w:sz="4" w:space="0" w:color="auto"/>
            </w:tcBorders>
            <w:shd w:val="clear" w:color="auto" w:fill="auto"/>
            <w:hideMark/>
          </w:tcPr>
          <w:p w14:paraId="27ED36BF" w14:textId="43487D8E" w:rsidR="00EB1BB0" w:rsidRPr="00EB1BB0" w:rsidRDefault="00EB1BB0" w:rsidP="00EB1BB0">
            <w:pPr>
              <w:keepNext/>
              <w:jc w:val="center"/>
              <w:rPr>
                <w:b/>
                <w:bCs/>
                <w:color w:val="000000" w:themeColor="text1"/>
                <w:sz w:val="21"/>
                <w:szCs w:val="21"/>
                <w:lang w:val="en-CA"/>
              </w:rPr>
            </w:pPr>
            <w:r w:rsidRPr="00EB1BB0">
              <w:rPr>
                <w:b/>
                <w:bCs/>
                <w:color w:val="000000" w:themeColor="text1"/>
                <w:sz w:val="21"/>
                <w:szCs w:val="21"/>
                <w:lang w:val="en-CA" w:eastAsia="en-CA"/>
              </w:rPr>
              <w:t>2019</w:t>
            </w:r>
          </w:p>
        </w:tc>
        <w:tc>
          <w:tcPr>
            <w:tcW w:w="1287" w:type="dxa"/>
            <w:tcBorders>
              <w:top w:val="single" w:sz="4" w:space="0" w:color="auto"/>
              <w:left w:val="nil"/>
              <w:bottom w:val="single" w:sz="4" w:space="0" w:color="auto"/>
              <w:right w:val="single" w:sz="4" w:space="0" w:color="auto"/>
            </w:tcBorders>
            <w:shd w:val="clear" w:color="auto" w:fill="auto"/>
            <w:hideMark/>
          </w:tcPr>
          <w:p w14:paraId="525A040B" w14:textId="2776D5D4" w:rsidR="00EB1BB0" w:rsidRPr="00EB1BB0" w:rsidRDefault="00785393" w:rsidP="00785393">
            <w:pPr>
              <w:keepNext/>
              <w:jc w:val="center"/>
              <w:rPr>
                <w:b/>
                <w:bCs/>
                <w:color w:val="000000" w:themeColor="text1"/>
                <w:sz w:val="21"/>
                <w:szCs w:val="21"/>
                <w:lang w:val="en-CA"/>
              </w:rPr>
            </w:pPr>
            <w:r>
              <w:rPr>
                <w:b/>
                <w:bCs/>
                <w:color w:val="000000" w:themeColor="text1"/>
                <w:sz w:val="21"/>
                <w:szCs w:val="21"/>
                <w:lang w:val="en-CA" w:eastAsia="en-CA"/>
              </w:rPr>
              <w:t>2020</w:t>
            </w:r>
          </w:p>
        </w:tc>
        <w:tc>
          <w:tcPr>
            <w:tcW w:w="1287" w:type="dxa"/>
            <w:tcBorders>
              <w:top w:val="single" w:sz="4" w:space="0" w:color="auto"/>
              <w:left w:val="nil"/>
              <w:bottom w:val="single" w:sz="4" w:space="0" w:color="auto"/>
              <w:right w:val="single" w:sz="4" w:space="0" w:color="auto"/>
            </w:tcBorders>
            <w:shd w:val="clear" w:color="auto" w:fill="auto"/>
            <w:hideMark/>
          </w:tcPr>
          <w:p w14:paraId="6259FED9" w14:textId="77777777" w:rsidR="00EB1BB0" w:rsidRPr="00EB1BB0" w:rsidRDefault="00EB1BB0" w:rsidP="00EB1BB0">
            <w:pPr>
              <w:keepNext/>
              <w:jc w:val="center"/>
              <w:rPr>
                <w:b/>
                <w:bCs/>
                <w:color w:val="000000" w:themeColor="text1"/>
                <w:sz w:val="21"/>
                <w:szCs w:val="21"/>
                <w:lang w:val="en-CA"/>
              </w:rPr>
            </w:pPr>
            <w:r w:rsidRPr="00EB1BB0">
              <w:rPr>
                <w:b/>
                <w:bCs/>
                <w:color w:val="000000" w:themeColor="text1"/>
                <w:sz w:val="21"/>
                <w:szCs w:val="21"/>
                <w:lang w:val="en-CA"/>
              </w:rPr>
              <w:t>Total</w:t>
            </w:r>
          </w:p>
        </w:tc>
      </w:tr>
      <w:tr w:rsidR="00FA688C" w:rsidRPr="00FA688C" w14:paraId="61B042B2" w14:textId="77777777" w:rsidTr="00EB1BB0">
        <w:tc>
          <w:tcPr>
            <w:tcW w:w="359" w:type="dxa"/>
            <w:tcBorders>
              <w:top w:val="nil"/>
              <w:left w:val="single" w:sz="4" w:space="0" w:color="auto"/>
              <w:bottom w:val="single" w:sz="4" w:space="0" w:color="auto"/>
              <w:right w:val="single" w:sz="4" w:space="0" w:color="auto"/>
            </w:tcBorders>
          </w:tcPr>
          <w:p w14:paraId="6492CBD3" w14:textId="77777777" w:rsidR="0059216E" w:rsidRPr="00EB1BB0" w:rsidRDefault="0059216E" w:rsidP="00FA688C">
            <w:pPr>
              <w:keepNext/>
              <w:jc w:val="left"/>
              <w:rPr>
                <w:color w:val="000000" w:themeColor="text1"/>
                <w:sz w:val="21"/>
                <w:szCs w:val="21"/>
                <w:lang w:val="en-CA"/>
              </w:rPr>
            </w:pPr>
            <w:r w:rsidRPr="00EB1BB0">
              <w:rPr>
                <w:color w:val="000000" w:themeColor="text1"/>
                <w:sz w:val="21"/>
                <w:szCs w:val="21"/>
                <w:lang w:val="en-CA"/>
              </w:rPr>
              <w:t>A</w:t>
            </w:r>
          </w:p>
        </w:tc>
        <w:tc>
          <w:tcPr>
            <w:tcW w:w="3976" w:type="dxa"/>
            <w:tcBorders>
              <w:top w:val="nil"/>
              <w:left w:val="single" w:sz="4" w:space="0" w:color="auto"/>
              <w:bottom w:val="single" w:sz="4" w:space="0" w:color="auto"/>
              <w:right w:val="single" w:sz="4" w:space="0" w:color="auto"/>
            </w:tcBorders>
            <w:shd w:val="clear" w:color="auto" w:fill="auto"/>
            <w:noWrap/>
            <w:hideMark/>
          </w:tcPr>
          <w:p w14:paraId="6EA23C95" w14:textId="320FFEEF" w:rsidR="0059216E" w:rsidRPr="00EB1BB0" w:rsidRDefault="0059216E" w:rsidP="00FA688C">
            <w:pPr>
              <w:keepNext/>
              <w:jc w:val="left"/>
              <w:rPr>
                <w:color w:val="000000" w:themeColor="text1"/>
                <w:sz w:val="21"/>
                <w:szCs w:val="21"/>
                <w:lang w:val="en-CA"/>
              </w:rPr>
            </w:pPr>
            <w:r w:rsidRPr="00EB1BB0">
              <w:rPr>
                <w:color w:val="000000" w:themeColor="text1"/>
                <w:sz w:val="21"/>
                <w:szCs w:val="21"/>
                <w:lang w:val="en-CA"/>
              </w:rPr>
              <w:t>20% of Germany’s pledged contributions</w:t>
            </w:r>
          </w:p>
        </w:tc>
        <w:tc>
          <w:tcPr>
            <w:tcW w:w="1287" w:type="dxa"/>
            <w:tcBorders>
              <w:top w:val="nil"/>
              <w:left w:val="nil"/>
              <w:bottom w:val="single" w:sz="4" w:space="0" w:color="auto"/>
              <w:right w:val="single" w:sz="4" w:space="0" w:color="auto"/>
            </w:tcBorders>
            <w:shd w:val="clear" w:color="auto" w:fill="auto"/>
            <w:noWrap/>
            <w:hideMark/>
          </w:tcPr>
          <w:p w14:paraId="60FB25A6" w14:textId="60CFBCA5" w:rsidR="0059216E" w:rsidRPr="00EB1BB0" w:rsidRDefault="0059216E" w:rsidP="00FA688C">
            <w:pPr>
              <w:keepNext/>
              <w:jc w:val="right"/>
              <w:rPr>
                <w:color w:val="000000" w:themeColor="text1"/>
                <w:sz w:val="21"/>
                <w:szCs w:val="21"/>
                <w:lang w:val="en-CA"/>
              </w:rPr>
            </w:pPr>
            <w:r w:rsidRPr="00EB1BB0">
              <w:rPr>
                <w:color w:val="000000" w:themeColor="text1"/>
                <w:sz w:val="21"/>
                <w:szCs w:val="21"/>
                <w:lang w:val="en-CA"/>
              </w:rPr>
              <w:t>3,220,267</w:t>
            </w:r>
          </w:p>
        </w:tc>
        <w:tc>
          <w:tcPr>
            <w:tcW w:w="1287" w:type="dxa"/>
            <w:tcBorders>
              <w:top w:val="nil"/>
              <w:left w:val="nil"/>
              <w:bottom w:val="single" w:sz="4" w:space="0" w:color="auto"/>
              <w:right w:val="single" w:sz="4" w:space="0" w:color="auto"/>
            </w:tcBorders>
            <w:shd w:val="clear" w:color="auto" w:fill="auto"/>
            <w:noWrap/>
            <w:hideMark/>
          </w:tcPr>
          <w:p w14:paraId="1DE04585" w14:textId="1C84E208" w:rsidR="0059216E" w:rsidRPr="00EB1BB0" w:rsidRDefault="0059216E" w:rsidP="00FA688C">
            <w:pPr>
              <w:keepNext/>
              <w:jc w:val="right"/>
              <w:rPr>
                <w:color w:val="000000" w:themeColor="text1"/>
                <w:sz w:val="21"/>
                <w:szCs w:val="21"/>
                <w:lang w:val="en-CA"/>
              </w:rPr>
            </w:pPr>
            <w:r w:rsidRPr="00EB1BB0">
              <w:rPr>
                <w:color w:val="000000" w:themeColor="text1"/>
                <w:sz w:val="21"/>
                <w:szCs w:val="21"/>
                <w:lang w:val="en-CA"/>
              </w:rPr>
              <w:t>3,220,267</w:t>
            </w:r>
          </w:p>
        </w:tc>
        <w:tc>
          <w:tcPr>
            <w:tcW w:w="1287" w:type="dxa"/>
            <w:tcBorders>
              <w:top w:val="nil"/>
              <w:left w:val="nil"/>
              <w:bottom w:val="single" w:sz="4" w:space="0" w:color="auto"/>
              <w:right w:val="single" w:sz="4" w:space="0" w:color="auto"/>
            </w:tcBorders>
            <w:shd w:val="clear" w:color="auto" w:fill="auto"/>
            <w:noWrap/>
            <w:hideMark/>
          </w:tcPr>
          <w:p w14:paraId="3FD7CE97" w14:textId="30E00973" w:rsidR="0059216E" w:rsidRPr="00EB1BB0" w:rsidRDefault="0059216E" w:rsidP="00FA688C">
            <w:pPr>
              <w:keepNext/>
              <w:jc w:val="right"/>
              <w:rPr>
                <w:color w:val="000000" w:themeColor="text1"/>
                <w:sz w:val="21"/>
                <w:szCs w:val="21"/>
                <w:lang w:val="en-CA"/>
              </w:rPr>
            </w:pPr>
            <w:r w:rsidRPr="00EB1BB0">
              <w:rPr>
                <w:color w:val="000000" w:themeColor="text1"/>
                <w:sz w:val="21"/>
                <w:szCs w:val="21"/>
                <w:lang w:val="en-CA"/>
              </w:rPr>
              <w:t>3,220,267</w:t>
            </w:r>
          </w:p>
        </w:tc>
        <w:tc>
          <w:tcPr>
            <w:tcW w:w="1287" w:type="dxa"/>
            <w:tcBorders>
              <w:top w:val="nil"/>
              <w:left w:val="nil"/>
              <w:bottom w:val="single" w:sz="4" w:space="0" w:color="auto"/>
              <w:right w:val="single" w:sz="4" w:space="0" w:color="auto"/>
            </w:tcBorders>
            <w:shd w:val="clear" w:color="auto" w:fill="auto"/>
            <w:noWrap/>
            <w:hideMark/>
          </w:tcPr>
          <w:p w14:paraId="551D5770" w14:textId="1DD751A1" w:rsidR="0059216E" w:rsidRPr="00EB1BB0" w:rsidRDefault="0059216E" w:rsidP="00FA688C">
            <w:pPr>
              <w:keepNext/>
              <w:jc w:val="right"/>
              <w:rPr>
                <w:color w:val="000000" w:themeColor="text1"/>
                <w:sz w:val="21"/>
                <w:szCs w:val="21"/>
                <w:lang w:val="en-CA"/>
              </w:rPr>
            </w:pPr>
            <w:r w:rsidRPr="00EB1BB0">
              <w:rPr>
                <w:color w:val="000000" w:themeColor="text1"/>
                <w:sz w:val="21"/>
                <w:szCs w:val="21"/>
                <w:lang w:val="en-CA"/>
              </w:rPr>
              <w:t>9,660,800</w:t>
            </w:r>
          </w:p>
        </w:tc>
      </w:tr>
      <w:tr w:rsidR="00FA688C" w:rsidRPr="00FA688C" w14:paraId="5E1B7E2C" w14:textId="77777777" w:rsidTr="00EB1BB0">
        <w:tc>
          <w:tcPr>
            <w:tcW w:w="359" w:type="dxa"/>
            <w:tcBorders>
              <w:top w:val="nil"/>
              <w:left w:val="single" w:sz="4" w:space="0" w:color="auto"/>
              <w:bottom w:val="single" w:sz="4" w:space="0" w:color="auto"/>
              <w:right w:val="single" w:sz="4" w:space="0" w:color="auto"/>
            </w:tcBorders>
          </w:tcPr>
          <w:p w14:paraId="41FB8CCB" w14:textId="77777777" w:rsidR="0059216E" w:rsidRPr="00EB1BB0" w:rsidRDefault="0059216E" w:rsidP="00FA688C">
            <w:pPr>
              <w:keepNext/>
              <w:jc w:val="left"/>
              <w:rPr>
                <w:color w:val="000000" w:themeColor="text1"/>
                <w:sz w:val="21"/>
                <w:szCs w:val="21"/>
                <w:lang w:val="en-CA"/>
              </w:rPr>
            </w:pPr>
            <w:r w:rsidRPr="00EB1BB0">
              <w:rPr>
                <w:color w:val="000000" w:themeColor="text1"/>
                <w:sz w:val="21"/>
                <w:szCs w:val="21"/>
                <w:lang w:val="en-CA"/>
              </w:rPr>
              <w:t>B</w:t>
            </w:r>
          </w:p>
        </w:tc>
        <w:tc>
          <w:tcPr>
            <w:tcW w:w="3976" w:type="dxa"/>
            <w:tcBorders>
              <w:top w:val="nil"/>
              <w:left w:val="single" w:sz="4" w:space="0" w:color="auto"/>
              <w:bottom w:val="single" w:sz="4" w:space="0" w:color="auto"/>
              <w:right w:val="single" w:sz="4" w:space="0" w:color="auto"/>
            </w:tcBorders>
            <w:shd w:val="clear" w:color="auto" w:fill="auto"/>
            <w:noWrap/>
            <w:hideMark/>
          </w:tcPr>
          <w:p w14:paraId="6A551153" w14:textId="77777777" w:rsidR="0059216E" w:rsidRPr="00EB1BB0" w:rsidRDefault="0059216E" w:rsidP="00FA688C">
            <w:pPr>
              <w:keepNext/>
              <w:jc w:val="left"/>
              <w:rPr>
                <w:color w:val="000000" w:themeColor="text1"/>
                <w:sz w:val="21"/>
                <w:szCs w:val="21"/>
                <w:lang w:val="en-CA"/>
              </w:rPr>
            </w:pPr>
            <w:r w:rsidRPr="00EB1BB0">
              <w:rPr>
                <w:color w:val="000000" w:themeColor="text1"/>
                <w:sz w:val="21"/>
                <w:szCs w:val="21"/>
                <w:lang w:val="en-CA"/>
              </w:rPr>
              <w:t>Business plan</w:t>
            </w:r>
          </w:p>
        </w:tc>
        <w:tc>
          <w:tcPr>
            <w:tcW w:w="1287" w:type="dxa"/>
            <w:tcBorders>
              <w:top w:val="nil"/>
              <w:left w:val="nil"/>
              <w:bottom w:val="single" w:sz="4" w:space="0" w:color="auto"/>
              <w:right w:val="single" w:sz="4" w:space="0" w:color="auto"/>
            </w:tcBorders>
            <w:shd w:val="clear" w:color="auto" w:fill="auto"/>
            <w:noWrap/>
            <w:hideMark/>
          </w:tcPr>
          <w:p w14:paraId="5C86853A" w14:textId="68634096" w:rsidR="0059216E" w:rsidRPr="00EB1BB0" w:rsidRDefault="0059216E" w:rsidP="00FA688C">
            <w:pPr>
              <w:keepNext/>
              <w:jc w:val="right"/>
              <w:rPr>
                <w:color w:val="000000" w:themeColor="text1"/>
                <w:sz w:val="21"/>
                <w:szCs w:val="21"/>
                <w:lang w:val="en-CA"/>
              </w:rPr>
            </w:pPr>
            <w:r w:rsidRPr="00EB1BB0">
              <w:rPr>
                <w:color w:val="000000" w:themeColor="text1"/>
                <w:sz w:val="21"/>
                <w:szCs w:val="21"/>
                <w:lang w:val="en-CA"/>
              </w:rPr>
              <w:t>6,634,089</w:t>
            </w:r>
          </w:p>
        </w:tc>
        <w:tc>
          <w:tcPr>
            <w:tcW w:w="1287" w:type="dxa"/>
            <w:tcBorders>
              <w:top w:val="nil"/>
              <w:left w:val="nil"/>
              <w:bottom w:val="single" w:sz="4" w:space="0" w:color="auto"/>
              <w:right w:val="single" w:sz="4" w:space="0" w:color="auto"/>
            </w:tcBorders>
            <w:shd w:val="clear" w:color="auto" w:fill="auto"/>
            <w:noWrap/>
            <w:hideMark/>
          </w:tcPr>
          <w:p w14:paraId="2FB1E760" w14:textId="42B1B60D" w:rsidR="0059216E" w:rsidRPr="00EB1BB0" w:rsidRDefault="0059216E" w:rsidP="00FA688C">
            <w:pPr>
              <w:keepNext/>
              <w:jc w:val="right"/>
              <w:rPr>
                <w:color w:val="000000" w:themeColor="text1"/>
                <w:sz w:val="21"/>
                <w:szCs w:val="21"/>
                <w:lang w:val="en-CA"/>
              </w:rPr>
            </w:pPr>
            <w:r w:rsidRPr="00EB1BB0">
              <w:rPr>
                <w:color w:val="000000" w:themeColor="text1"/>
                <w:sz w:val="21"/>
                <w:szCs w:val="21"/>
                <w:lang w:val="en-CA"/>
              </w:rPr>
              <w:t>1,038,050</w:t>
            </w:r>
          </w:p>
        </w:tc>
        <w:tc>
          <w:tcPr>
            <w:tcW w:w="1287" w:type="dxa"/>
            <w:tcBorders>
              <w:top w:val="nil"/>
              <w:left w:val="nil"/>
              <w:bottom w:val="single" w:sz="4" w:space="0" w:color="auto"/>
              <w:right w:val="single" w:sz="4" w:space="0" w:color="auto"/>
            </w:tcBorders>
            <w:shd w:val="clear" w:color="auto" w:fill="auto"/>
            <w:noWrap/>
            <w:hideMark/>
          </w:tcPr>
          <w:p w14:paraId="57061787" w14:textId="36A1D85B" w:rsidR="0059216E" w:rsidRPr="00EB1BB0" w:rsidRDefault="0059216E" w:rsidP="00FA688C">
            <w:pPr>
              <w:keepNext/>
              <w:jc w:val="right"/>
              <w:rPr>
                <w:color w:val="000000" w:themeColor="text1"/>
                <w:sz w:val="21"/>
                <w:szCs w:val="21"/>
                <w:lang w:val="en-CA"/>
              </w:rPr>
            </w:pPr>
            <w:r w:rsidRPr="00EB1BB0">
              <w:rPr>
                <w:color w:val="000000" w:themeColor="text1"/>
                <w:sz w:val="21"/>
                <w:szCs w:val="21"/>
                <w:lang w:val="en-CA"/>
              </w:rPr>
              <w:t>1,988,661</w:t>
            </w:r>
          </w:p>
        </w:tc>
        <w:tc>
          <w:tcPr>
            <w:tcW w:w="1287" w:type="dxa"/>
            <w:tcBorders>
              <w:top w:val="nil"/>
              <w:left w:val="nil"/>
              <w:bottom w:val="single" w:sz="4" w:space="0" w:color="auto"/>
              <w:right w:val="single" w:sz="4" w:space="0" w:color="auto"/>
            </w:tcBorders>
            <w:shd w:val="clear" w:color="auto" w:fill="auto"/>
            <w:noWrap/>
            <w:hideMark/>
          </w:tcPr>
          <w:p w14:paraId="1FC18517" w14:textId="79F5E768" w:rsidR="0059216E" w:rsidRPr="00EB1BB0" w:rsidRDefault="0059216E" w:rsidP="00FA688C">
            <w:pPr>
              <w:keepNext/>
              <w:jc w:val="right"/>
              <w:rPr>
                <w:color w:val="000000" w:themeColor="text1"/>
                <w:sz w:val="21"/>
                <w:szCs w:val="21"/>
                <w:lang w:val="en-CA"/>
              </w:rPr>
            </w:pPr>
            <w:r w:rsidRPr="00EB1BB0">
              <w:rPr>
                <w:color w:val="000000" w:themeColor="text1"/>
                <w:sz w:val="21"/>
                <w:szCs w:val="21"/>
                <w:lang w:val="en-CA"/>
              </w:rPr>
              <w:t>9,660,800</w:t>
            </w:r>
          </w:p>
        </w:tc>
      </w:tr>
      <w:tr w:rsidR="00FA688C" w:rsidRPr="00FA688C" w14:paraId="119F582A" w14:textId="77777777" w:rsidTr="00EB1BB0">
        <w:tc>
          <w:tcPr>
            <w:tcW w:w="359" w:type="dxa"/>
            <w:tcBorders>
              <w:top w:val="nil"/>
              <w:left w:val="single" w:sz="4" w:space="0" w:color="auto"/>
              <w:bottom w:val="single" w:sz="4" w:space="0" w:color="auto"/>
              <w:right w:val="single" w:sz="4" w:space="0" w:color="auto"/>
            </w:tcBorders>
          </w:tcPr>
          <w:p w14:paraId="38313092" w14:textId="77777777" w:rsidR="0059216E" w:rsidRPr="00EB1BB0" w:rsidRDefault="0059216E" w:rsidP="00FA688C">
            <w:pPr>
              <w:jc w:val="left"/>
              <w:rPr>
                <w:b/>
                <w:bCs/>
                <w:color w:val="000000" w:themeColor="text1"/>
                <w:sz w:val="21"/>
                <w:szCs w:val="21"/>
                <w:lang w:val="en-CA"/>
              </w:rPr>
            </w:pPr>
            <w:r w:rsidRPr="00EB1BB0">
              <w:rPr>
                <w:b/>
                <w:bCs/>
                <w:color w:val="000000" w:themeColor="text1"/>
                <w:sz w:val="21"/>
                <w:szCs w:val="21"/>
                <w:lang w:val="en-CA"/>
              </w:rPr>
              <w:t>D</w:t>
            </w:r>
          </w:p>
        </w:tc>
        <w:tc>
          <w:tcPr>
            <w:tcW w:w="3976" w:type="dxa"/>
            <w:tcBorders>
              <w:top w:val="nil"/>
              <w:left w:val="single" w:sz="4" w:space="0" w:color="auto"/>
              <w:bottom w:val="single" w:sz="4" w:space="0" w:color="auto"/>
              <w:right w:val="single" w:sz="4" w:space="0" w:color="auto"/>
            </w:tcBorders>
            <w:shd w:val="clear" w:color="auto" w:fill="auto"/>
            <w:noWrap/>
            <w:hideMark/>
          </w:tcPr>
          <w:p w14:paraId="52211945" w14:textId="59D72F4A" w:rsidR="0059216E" w:rsidRPr="00EB1BB0" w:rsidRDefault="0059216E" w:rsidP="00FA688C">
            <w:pPr>
              <w:jc w:val="left"/>
              <w:rPr>
                <w:b/>
                <w:bCs/>
                <w:color w:val="000000" w:themeColor="text1"/>
                <w:sz w:val="21"/>
                <w:szCs w:val="21"/>
                <w:lang w:val="en-CA"/>
              </w:rPr>
            </w:pPr>
            <w:r w:rsidRPr="00EB1BB0">
              <w:rPr>
                <w:b/>
                <w:bCs/>
                <w:color w:val="000000" w:themeColor="text1"/>
                <w:sz w:val="21"/>
                <w:szCs w:val="21"/>
                <w:lang w:val="en-CA"/>
              </w:rPr>
              <w:t>Balance (C = A – B)</w:t>
            </w:r>
          </w:p>
        </w:tc>
        <w:tc>
          <w:tcPr>
            <w:tcW w:w="1287" w:type="dxa"/>
            <w:tcBorders>
              <w:top w:val="nil"/>
              <w:left w:val="nil"/>
              <w:bottom w:val="single" w:sz="4" w:space="0" w:color="auto"/>
              <w:right w:val="single" w:sz="4" w:space="0" w:color="auto"/>
            </w:tcBorders>
            <w:shd w:val="clear" w:color="auto" w:fill="auto"/>
            <w:noWrap/>
            <w:hideMark/>
          </w:tcPr>
          <w:p w14:paraId="5AD349CD" w14:textId="2F3E0F56" w:rsidR="0059216E" w:rsidRPr="00EB1BB0" w:rsidRDefault="0059216E" w:rsidP="00FA688C">
            <w:pPr>
              <w:jc w:val="right"/>
              <w:rPr>
                <w:b/>
                <w:color w:val="000000" w:themeColor="text1"/>
                <w:sz w:val="21"/>
                <w:szCs w:val="21"/>
                <w:lang w:val="en-CA"/>
              </w:rPr>
            </w:pPr>
            <w:r w:rsidRPr="00EB1BB0">
              <w:rPr>
                <w:b/>
                <w:color w:val="000000" w:themeColor="text1"/>
                <w:sz w:val="21"/>
                <w:szCs w:val="21"/>
                <w:lang w:val="en-CA"/>
              </w:rPr>
              <w:t>-3,413,822</w:t>
            </w:r>
          </w:p>
        </w:tc>
        <w:tc>
          <w:tcPr>
            <w:tcW w:w="1287" w:type="dxa"/>
            <w:tcBorders>
              <w:top w:val="nil"/>
              <w:left w:val="nil"/>
              <w:bottom w:val="single" w:sz="4" w:space="0" w:color="auto"/>
              <w:right w:val="single" w:sz="4" w:space="0" w:color="auto"/>
            </w:tcBorders>
            <w:shd w:val="clear" w:color="auto" w:fill="auto"/>
            <w:noWrap/>
            <w:hideMark/>
          </w:tcPr>
          <w:p w14:paraId="76C3203A" w14:textId="7ADF2DD5" w:rsidR="0059216E" w:rsidRPr="00EB1BB0" w:rsidRDefault="0059216E" w:rsidP="00FA688C">
            <w:pPr>
              <w:jc w:val="right"/>
              <w:rPr>
                <w:b/>
                <w:color w:val="000000" w:themeColor="text1"/>
                <w:sz w:val="21"/>
                <w:szCs w:val="21"/>
                <w:lang w:val="en-CA"/>
              </w:rPr>
            </w:pPr>
            <w:r w:rsidRPr="00EB1BB0">
              <w:rPr>
                <w:b/>
                <w:color w:val="000000" w:themeColor="text1"/>
                <w:sz w:val="21"/>
                <w:szCs w:val="21"/>
                <w:lang w:val="en-CA"/>
              </w:rPr>
              <w:t>2,182,217</w:t>
            </w:r>
          </w:p>
        </w:tc>
        <w:tc>
          <w:tcPr>
            <w:tcW w:w="1287" w:type="dxa"/>
            <w:tcBorders>
              <w:top w:val="nil"/>
              <w:left w:val="nil"/>
              <w:bottom w:val="single" w:sz="4" w:space="0" w:color="auto"/>
              <w:right w:val="single" w:sz="4" w:space="0" w:color="auto"/>
            </w:tcBorders>
            <w:shd w:val="clear" w:color="auto" w:fill="auto"/>
            <w:noWrap/>
            <w:hideMark/>
          </w:tcPr>
          <w:p w14:paraId="36B83A58" w14:textId="5EEE2B2E" w:rsidR="0059216E" w:rsidRPr="00EB1BB0" w:rsidRDefault="0059216E" w:rsidP="00FA688C">
            <w:pPr>
              <w:jc w:val="right"/>
              <w:rPr>
                <w:b/>
                <w:color w:val="000000" w:themeColor="text1"/>
                <w:sz w:val="21"/>
                <w:szCs w:val="21"/>
                <w:lang w:val="en-CA"/>
              </w:rPr>
            </w:pPr>
            <w:r w:rsidRPr="00EB1BB0">
              <w:rPr>
                <w:b/>
                <w:color w:val="000000" w:themeColor="text1"/>
                <w:sz w:val="21"/>
                <w:szCs w:val="21"/>
                <w:lang w:val="en-CA"/>
              </w:rPr>
              <w:t>1,231,606</w:t>
            </w:r>
          </w:p>
        </w:tc>
        <w:tc>
          <w:tcPr>
            <w:tcW w:w="1287" w:type="dxa"/>
            <w:tcBorders>
              <w:top w:val="nil"/>
              <w:left w:val="nil"/>
              <w:bottom w:val="single" w:sz="4" w:space="0" w:color="auto"/>
              <w:right w:val="single" w:sz="4" w:space="0" w:color="auto"/>
            </w:tcBorders>
            <w:shd w:val="clear" w:color="auto" w:fill="auto"/>
            <w:noWrap/>
            <w:hideMark/>
          </w:tcPr>
          <w:p w14:paraId="54A323C0" w14:textId="71FB65A4" w:rsidR="0059216E" w:rsidRPr="00EB1BB0" w:rsidRDefault="0059216E" w:rsidP="00FA688C">
            <w:pPr>
              <w:jc w:val="right"/>
              <w:rPr>
                <w:b/>
                <w:color w:val="000000" w:themeColor="text1"/>
                <w:sz w:val="21"/>
                <w:szCs w:val="21"/>
                <w:lang w:val="en-CA"/>
              </w:rPr>
            </w:pPr>
            <w:r w:rsidRPr="00EB1BB0">
              <w:rPr>
                <w:b/>
                <w:color w:val="000000" w:themeColor="text1"/>
                <w:sz w:val="21"/>
                <w:szCs w:val="21"/>
                <w:lang w:val="en-CA"/>
              </w:rPr>
              <w:t>0</w:t>
            </w:r>
          </w:p>
        </w:tc>
      </w:tr>
    </w:tbl>
    <w:p w14:paraId="29060DD0" w14:textId="77777777" w:rsidR="006852D7" w:rsidRPr="00FA688C" w:rsidRDefault="006852D7" w:rsidP="00FA688C">
      <w:pPr>
        <w:jc w:val="left"/>
        <w:rPr>
          <w:color w:val="000000" w:themeColor="text1"/>
          <w:lang w:val="en-CA"/>
        </w:rPr>
      </w:pPr>
    </w:p>
    <w:p w14:paraId="7EEE356F" w14:textId="77777777" w:rsidR="006852D7" w:rsidRPr="00FA688C" w:rsidRDefault="006852D7" w:rsidP="00FA688C">
      <w:pPr>
        <w:pStyle w:val="Heading1"/>
        <w:keepNext/>
        <w:numPr>
          <w:ilvl w:val="0"/>
          <w:numId w:val="0"/>
        </w:numPr>
        <w:tabs>
          <w:tab w:val="left" w:pos="0"/>
          <w:tab w:val="left" w:pos="720"/>
          <w:tab w:val="left" w:pos="1440"/>
          <w:tab w:val="left" w:pos="2160"/>
          <w:tab w:val="left" w:pos="2880"/>
          <w:tab w:val="left" w:pos="3600"/>
        </w:tabs>
        <w:spacing w:after="0"/>
        <w:rPr>
          <w:b/>
          <w:bCs/>
          <w:color w:val="000000" w:themeColor="text1"/>
          <w:lang w:val="en-CA"/>
        </w:rPr>
      </w:pPr>
      <w:r w:rsidRPr="00FA688C">
        <w:rPr>
          <w:b/>
          <w:bCs/>
          <w:color w:val="000000" w:themeColor="text1"/>
          <w:lang w:val="en-CA"/>
        </w:rPr>
        <w:t>RECOMMENDATIONS</w:t>
      </w:r>
    </w:p>
    <w:p w14:paraId="1384D598" w14:textId="77777777" w:rsidR="006852D7" w:rsidRPr="00FA688C" w:rsidRDefault="006852D7" w:rsidP="00FA688C">
      <w:pPr>
        <w:keepNext/>
        <w:rPr>
          <w:color w:val="000000" w:themeColor="text1"/>
          <w:lang w:val="en-CA"/>
        </w:rPr>
      </w:pPr>
    </w:p>
    <w:p w14:paraId="6A02DBD8" w14:textId="7CD2958D" w:rsidR="006852D7" w:rsidRPr="00FA688C" w:rsidRDefault="006852D7" w:rsidP="00FA688C">
      <w:pPr>
        <w:pStyle w:val="Heading1"/>
        <w:rPr>
          <w:color w:val="000000" w:themeColor="text1"/>
          <w:lang w:val="en-CA"/>
        </w:rPr>
      </w:pPr>
      <w:r w:rsidRPr="00FA688C">
        <w:rPr>
          <w:color w:val="000000" w:themeColor="text1"/>
          <w:lang w:val="en-CA"/>
        </w:rPr>
        <w:t>The Executive Committee may wish</w:t>
      </w:r>
      <w:bookmarkStart w:id="1" w:name="_GoBack"/>
      <w:bookmarkEnd w:id="1"/>
      <w:r w:rsidRPr="00FA688C">
        <w:rPr>
          <w:color w:val="000000" w:themeColor="text1"/>
          <w:lang w:val="en-CA"/>
        </w:rPr>
        <w:t>:</w:t>
      </w:r>
    </w:p>
    <w:p w14:paraId="0AB8CD15" w14:textId="52B29BD3" w:rsidR="006852D7" w:rsidRPr="00FA688C" w:rsidRDefault="0042532C" w:rsidP="00FA688C">
      <w:pPr>
        <w:pStyle w:val="Heading2"/>
        <w:rPr>
          <w:color w:val="000000" w:themeColor="text1"/>
          <w:lang w:val="en-CA"/>
        </w:rPr>
      </w:pPr>
      <w:r>
        <w:rPr>
          <w:color w:val="000000" w:themeColor="text1"/>
          <w:lang w:val="en-CA"/>
        </w:rPr>
        <w:t>To n</w:t>
      </w:r>
      <w:r w:rsidR="006852D7" w:rsidRPr="00FA688C">
        <w:rPr>
          <w:color w:val="000000" w:themeColor="text1"/>
          <w:lang w:val="en-CA"/>
        </w:rPr>
        <w:t>ote:</w:t>
      </w:r>
    </w:p>
    <w:p w14:paraId="6EA04969" w14:textId="54772DED" w:rsidR="006852D7" w:rsidRPr="00FA688C" w:rsidRDefault="006852D7" w:rsidP="00FA688C">
      <w:pPr>
        <w:pStyle w:val="Heading3"/>
        <w:rPr>
          <w:color w:val="000000" w:themeColor="text1"/>
          <w:lang w:val="en-CA"/>
        </w:rPr>
      </w:pPr>
      <w:r w:rsidRPr="00FA688C">
        <w:rPr>
          <w:color w:val="000000" w:themeColor="text1"/>
          <w:lang w:val="en-CA"/>
        </w:rPr>
        <w:t xml:space="preserve">The update on the implementation of the </w:t>
      </w:r>
      <w:r w:rsidR="00776E5F" w:rsidRPr="00FA688C">
        <w:rPr>
          <w:color w:val="000000" w:themeColor="text1"/>
          <w:lang w:val="en-CA"/>
        </w:rPr>
        <w:t xml:space="preserve">consolidated </w:t>
      </w:r>
      <w:r w:rsidRPr="00FA688C">
        <w:rPr>
          <w:color w:val="000000" w:themeColor="text1"/>
          <w:lang w:val="en-CA"/>
        </w:rPr>
        <w:t>201</w:t>
      </w:r>
      <w:r w:rsidR="00D76900" w:rsidRPr="00FA688C">
        <w:rPr>
          <w:color w:val="000000" w:themeColor="text1"/>
          <w:lang w:val="en-CA"/>
        </w:rPr>
        <w:t>8</w:t>
      </w:r>
      <w:r w:rsidRPr="00FA688C">
        <w:rPr>
          <w:color w:val="000000" w:themeColor="text1"/>
          <w:lang w:val="en-CA"/>
        </w:rPr>
        <w:t>-20</w:t>
      </w:r>
      <w:r w:rsidR="00D76900" w:rsidRPr="00FA688C">
        <w:rPr>
          <w:color w:val="000000" w:themeColor="text1"/>
          <w:lang w:val="en-CA"/>
        </w:rPr>
        <w:t>20</w:t>
      </w:r>
      <w:r w:rsidRPr="00FA688C">
        <w:rPr>
          <w:color w:val="000000" w:themeColor="text1"/>
          <w:lang w:val="en-CA"/>
        </w:rPr>
        <w:t xml:space="preserve"> business plan</w:t>
      </w:r>
      <w:r w:rsidR="00776E5F" w:rsidRPr="00FA688C">
        <w:rPr>
          <w:color w:val="000000" w:themeColor="text1"/>
          <w:lang w:val="en-CA"/>
        </w:rPr>
        <w:t xml:space="preserve"> of the Multilateral Fund</w:t>
      </w:r>
      <w:r w:rsidRPr="00FA688C">
        <w:rPr>
          <w:color w:val="000000" w:themeColor="text1"/>
          <w:lang w:val="en-CA"/>
        </w:rPr>
        <w:t xml:space="preserve"> and financial planning for the triennium 201</w:t>
      </w:r>
      <w:r w:rsidR="00D76900" w:rsidRPr="00FA688C">
        <w:rPr>
          <w:color w:val="000000" w:themeColor="text1"/>
          <w:lang w:val="en-CA"/>
        </w:rPr>
        <w:t>8</w:t>
      </w:r>
      <w:r w:rsidRPr="00FA688C">
        <w:rPr>
          <w:color w:val="000000" w:themeColor="text1"/>
          <w:lang w:val="en-CA"/>
        </w:rPr>
        <w:t>-20</w:t>
      </w:r>
      <w:r w:rsidR="00D76900" w:rsidRPr="00FA688C">
        <w:rPr>
          <w:color w:val="000000" w:themeColor="text1"/>
          <w:lang w:val="en-CA"/>
        </w:rPr>
        <w:t>20</w:t>
      </w:r>
      <w:r w:rsidRPr="00FA688C">
        <w:rPr>
          <w:color w:val="000000" w:themeColor="text1"/>
          <w:lang w:val="en-CA"/>
        </w:rPr>
        <w:t xml:space="preserve"> as contained in document UNEP/OzL.Pro/ExCom/</w:t>
      </w:r>
      <w:r w:rsidR="00D76900" w:rsidRPr="00FA688C">
        <w:rPr>
          <w:color w:val="000000" w:themeColor="text1"/>
          <w:lang w:val="en-CA"/>
        </w:rPr>
        <w:t>81</w:t>
      </w:r>
      <w:r w:rsidRPr="00FA688C">
        <w:rPr>
          <w:color w:val="000000" w:themeColor="text1"/>
          <w:lang w:val="en-CA"/>
        </w:rPr>
        <w:t>/</w:t>
      </w:r>
      <w:r w:rsidR="002379A5" w:rsidRPr="00FA688C">
        <w:rPr>
          <w:color w:val="000000" w:themeColor="text1"/>
          <w:lang w:val="en-CA"/>
        </w:rPr>
        <w:t>12</w:t>
      </w:r>
      <w:r w:rsidR="000C080C" w:rsidRPr="00FA688C">
        <w:rPr>
          <w:color w:val="000000" w:themeColor="text1"/>
          <w:lang w:val="en-CA"/>
        </w:rPr>
        <w:t>;</w:t>
      </w:r>
    </w:p>
    <w:p w14:paraId="162D367C" w14:textId="2A940909" w:rsidR="005A351F" w:rsidRPr="00FA688C" w:rsidRDefault="006852D7" w:rsidP="00FA688C">
      <w:pPr>
        <w:pStyle w:val="Heading3"/>
        <w:rPr>
          <w:color w:val="000000" w:themeColor="text1"/>
          <w:lang w:val="en-CA"/>
        </w:rPr>
      </w:pPr>
      <w:r w:rsidRPr="00FA688C">
        <w:rPr>
          <w:color w:val="000000" w:themeColor="text1"/>
          <w:lang w:val="en-CA"/>
        </w:rPr>
        <w:t xml:space="preserve">That </w:t>
      </w:r>
      <w:r w:rsidR="00FA688C" w:rsidRPr="00FA688C">
        <w:rPr>
          <w:color w:val="000000" w:themeColor="text1"/>
          <w:lang w:val="en-CA"/>
        </w:rPr>
        <w:t>US $</w:t>
      </w:r>
      <w:r w:rsidR="00FF0073" w:rsidRPr="00FA688C">
        <w:rPr>
          <w:color w:val="000000" w:themeColor="text1"/>
          <w:lang w:val="en-CA"/>
        </w:rPr>
        <w:t xml:space="preserve">21,912,004 </w:t>
      </w:r>
      <w:r w:rsidRPr="00FA688C">
        <w:rPr>
          <w:color w:val="000000" w:themeColor="text1"/>
          <w:lang w:val="en-CA"/>
        </w:rPr>
        <w:t xml:space="preserve">in </w:t>
      </w:r>
      <w:r w:rsidR="002379A5" w:rsidRPr="00FA688C">
        <w:rPr>
          <w:color w:val="000000" w:themeColor="text1"/>
          <w:lang w:val="en-CA"/>
        </w:rPr>
        <w:t xml:space="preserve">HFC phase-down </w:t>
      </w:r>
      <w:r w:rsidRPr="00FA688C">
        <w:rPr>
          <w:color w:val="000000" w:themeColor="text1"/>
          <w:lang w:val="en-CA"/>
        </w:rPr>
        <w:t xml:space="preserve">activities were submitted to the </w:t>
      </w:r>
      <w:r w:rsidR="00821A46" w:rsidRPr="00FA688C">
        <w:rPr>
          <w:color w:val="000000" w:themeColor="text1"/>
          <w:lang w:val="en-CA"/>
        </w:rPr>
        <w:t>81</w:t>
      </w:r>
      <w:r w:rsidR="00821A46" w:rsidRPr="00FA688C">
        <w:rPr>
          <w:color w:val="000000" w:themeColor="text1"/>
          <w:vertAlign w:val="superscript"/>
          <w:lang w:val="en-CA"/>
        </w:rPr>
        <w:t>st</w:t>
      </w:r>
      <w:r w:rsidR="00EB1BB0">
        <w:rPr>
          <w:color w:val="000000" w:themeColor="text1"/>
          <w:lang w:val="en-CA"/>
        </w:rPr>
        <w:t> </w:t>
      </w:r>
      <w:r w:rsidRPr="00FA688C">
        <w:rPr>
          <w:color w:val="000000" w:themeColor="text1"/>
          <w:lang w:val="en-CA"/>
        </w:rPr>
        <w:t>meeting</w:t>
      </w:r>
      <w:r w:rsidR="002379A5" w:rsidRPr="00FA688C">
        <w:rPr>
          <w:color w:val="000000" w:themeColor="text1"/>
          <w:lang w:val="en-CA"/>
        </w:rPr>
        <w:t xml:space="preserve"> including </w:t>
      </w:r>
      <w:r w:rsidR="00FA688C" w:rsidRPr="00FA688C">
        <w:rPr>
          <w:color w:val="000000" w:themeColor="text1"/>
          <w:lang w:val="en-CA"/>
        </w:rPr>
        <w:t>US $</w:t>
      </w:r>
      <w:r w:rsidR="00FF0073" w:rsidRPr="00FA688C">
        <w:rPr>
          <w:color w:val="000000" w:themeColor="text1"/>
          <w:lang w:val="en-CA"/>
        </w:rPr>
        <w:t xml:space="preserve">11,290,807 </w:t>
      </w:r>
      <w:r w:rsidR="002379A5" w:rsidRPr="00FA688C">
        <w:rPr>
          <w:color w:val="000000" w:themeColor="text1"/>
          <w:lang w:val="en-CA"/>
        </w:rPr>
        <w:t>t</w:t>
      </w:r>
      <w:r w:rsidRPr="00FA688C">
        <w:rPr>
          <w:color w:val="000000" w:themeColor="text1"/>
          <w:lang w:val="en-CA"/>
        </w:rPr>
        <w:t>hat had not been included in the 201</w:t>
      </w:r>
      <w:r w:rsidR="002379A5" w:rsidRPr="00FA688C">
        <w:rPr>
          <w:color w:val="000000" w:themeColor="text1"/>
          <w:lang w:val="en-CA"/>
        </w:rPr>
        <w:t>8</w:t>
      </w:r>
      <w:r w:rsidRPr="00FA688C">
        <w:rPr>
          <w:color w:val="000000" w:themeColor="text1"/>
          <w:lang w:val="en-CA"/>
        </w:rPr>
        <w:t>-20</w:t>
      </w:r>
      <w:r w:rsidR="002379A5" w:rsidRPr="00FA688C">
        <w:rPr>
          <w:color w:val="000000" w:themeColor="text1"/>
          <w:lang w:val="en-CA"/>
        </w:rPr>
        <w:t>20</w:t>
      </w:r>
      <w:r w:rsidRPr="00FA688C">
        <w:rPr>
          <w:color w:val="000000" w:themeColor="text1"/>
          <w:lang w:val="en-CA"/>
        </w:rPr>
        <w:t xml:space="preserve"> business plans;</w:t>
      </w:r>
      <w:r w:rsidR="005A351F" w:rsidRPr="00FA688C">
        <w:rPr>
          <w:color w:val="000000" w:themeColor="text1"/>
          <w:lang w:val="en-CA"/>
        </w:rPr>
        <w:t xml:space="preserve"> </w:t>
      </w:r>
    </w:p>
    <w:p w14:paraId="425DD42E" w14:textId="50417A0A" w:rsidR="000959EE" w:rsidRPr="00FA688C" w:rsidRDefault="000959EE" w:rsidP="00FA688C">
      <w:pPr>
        <w:pStyle w:val="Heading3"/>
        <w:rPr>
          <w:color w:val="000000" w:themeColor="text1"/>
          <w:lang w:val="en-CA"/>
        </w:rPr>
      </w:pPr>
      <w:r w:rsidRPr="00FA688C">
        <w:rPr>
          <w:color w:val="000000" w:themeColor="text1"/>
        </w:rPr>
        <w:t xml:space="preserve">The bilateral agencies’ business plans for </w:t>
      </w:r>
      <w:r w:rsidRPr="00FA688C">
        <w:rPr>
          <w:caps/>
          <w:color w:val="000000" w:themeColor="text1"/>
          <w:szCs w:val="24"/>
          <w:lang w:val="en-CA"/>
        </w:rPr>
        <w:t>2018</w:t>
      </w:r>
      <w:r w:rsidRPr="00FA688C">
        <w:rPr>
          <w:color w:val="000000" w:themeColor="text1"/>
          <w:szCs w:val="24"/>
          <w:lang w:val="en-CA"/>
        </w:rPr>
        <w:t>-2020</w:t>
      </w:r>
      <w:r w:rsidRPr="00FA688C">
        <w:rPr>
          <w:caps/>
          <w:color w:val="000000" w:themeColor="text1"/>
          <w:szCs w:val="24"/>
          <w:lang w:val="en-CA"/>
        </w:rPr>
        <w:t xml:space="preserve"> </w:t>
      </w:r>
      <w:r w:rsidRPr="00FA688C">
        <w:rPr>
          <w:color w:val="000000" w:themeColor="text1"/>
        </w:rPr>
        <w:t>submitted by Canada and Germany;</w:t>
      </w:r>
    </w:p>
    <w:p w14:paraId="26CB70B8" w14:textId="0768B548" w:rsidR="006852D7" w:rsidRPr="00FA688C" w:rsidRDefault="006852D7" w:rsidP="00FA688C">
      <w:pPr>
        <w:pStyle w:val="Heading3"/>
        <w:rPr>
          <w:color w:val="000000" w:themeColor="text1"/>
          <w:lang w:val="en-CA"/>
        </w:rPr>
      </w:pPr>
      <w:r w:rsidRPr="00FA688C">
        <w:rPr>
          <w:color w:val="000000" w:themeColor="text1"/>
          <w:lang w:val="en-CA"/>
        </w:rPr>
        <w:t xml:space="preserve">That </w:t>
      </w:r>
      <w:r w:rsidR="000959EE" w:rsidRPr="00FA688C">
        <w:rPr>
          <w:color w:val="000000" w:themeColor="text1"/>
          <w:lang w:val="en-CA"/>
        </w:rPr>
        <w:t>Canada</w:t>
      </w:r>
      <w:r w:rsidR="00EB1BB0">
        <w:rPr>
          <w:color w:val="000000" w:themeColor="text1"/>
          <w:lang w:val="en-CA"/>
        </w:rPr>
        <w:t>’s</w:t>
      </w:r>
      <w:r w:rsidR="000959EE" w:rsidRPr="00FA688C">
        <w:rPr>
          <w:color w:val="000000" w:themeColor="text1"/>
          <w:lang w:val="en-CA"/>
        </w:rPr>
        <w:t xml:space="preserve"> and </w:t>
      </w:r>
      <w:r w:rsidRPr="00FA688C">
        <w:rPr>
          <w:color w:val="000000" w:themeColor="text1"/>
          <w:lang w:val="en-CA"/>
        </w:rPr>
        <w:t>Germany’s 201</w:t>
      </w:r>
      <w:r w:rsidR="00FA5A26" w:rsidRPr="00FA688C">
        <w:rPr>
          <w:color w:val="000000" w:themeColor="text1"/>
          <w:lang w:val="en-CA"/>
        </w:rPr>
        <w:t>8</w:t>
      </w:r>
      <w:r w:rsidRPr="00FA688C">
        <w:rPr>
          <w:color w:val="000000" w:themeColor="text1"/>
          <w:lang w:val="en-CA"/>
        </w:rPr>
        <w:t>-20</w:t>
      </w:r>
      <w:r w:rsidR="00FA5A26" w:rsidRPr="00FA688C">
        <w:rPr>
          <w:color w:val="000000" w:themeColor="text1"/>
          <w:lang w:val="en-CA"/>
        </w:rPr>
        <w:t>20</w:t>
      </w:r>
      <w:r w:rsidRPr="00FA688C">
        <w:rPr>
          <w:color w:val="000000" w:themeColor="text1"/>
          <w:lang w:val="en-CA"/>
        </w:rPr>
        <w:t xml:space="preserve"> business plan</w:t>
      </w:r>
      <w:r w:rsidR="000959EE" w:rsidRPr="00FA688C">
        <w:rPr>
          <w:color w:val="000000" w:themeColor="text1"/>
          <w:lang w:val="en-CA"/>
        </w:rPr>
        <w:t>s</w:t>
      </w:r>
      <w:r w:rsidRPr="00FA688C">
        <w:rPr>
          <w:color w:val="000000" w:themeColor="text1"/>
          <w:lang w:val="en-CA"/>
        </w:rPr>
        <w:t xml:space="preserve"> do not exceed 20 per cent of </w:t>
      </w:r>
      <w:r w:rsidR="000959EE" w:rsidRPr="00FA688C">
        <w:rPr>
          <w:color w:val="000000" w:themeColor="text1"/>
          <w:lang w:val="en-CA"/>
        </w:rPr>
        <w:t>bilateral</w:t>
      </w:r>
      <w:r w:rsidRPr="00FA688C">
        <w:rPr>
          <w:color w:val="000000" w:themeColor="text1"/>
          <w:lang w:val="en-CA"/>
        </w:rPr>
        <w:t xml:space="preserve"> contributions for the triennium</w:t>
      </w:r>
      <w:r w:rsidR="000C080C" w:rsidRPr="00FA688C">
        <w:rPr>
          <w:color w:val="000000" w:themeColor="text1"/>
          <w:lang w:val="en-CA"/>
        </w:rPr>
        <w:t>;</w:t>
      </w:r>
      <w:r w:rsidRPr="00FA688C">
        <w:rPr>
          <w:color w:val="000000" w:themeColor="text1"/>
          <w:lang w:val="en-CA"/>
        </w:rPr>
        <w:t xml:space="preserve"> </w:t>
      </w:r>
    </w:p>
    <w:p w14:paraId="04193277" w14:textId="77777777" w:rsidR="00B62B40" w:rsidRDefault="00BF4751" w:rsidP="00FA688C">
      <w:pPr>
        <w:pStyle w:val="Heading2"/>
        <w:rPr>
          <w:color w:val="000000" w:themeColor="text1"/>
          <w:lang w:val="en-CA"/>
        </w:rPr>
      </w:pPr>
      <w:r w:rsidRPr="00FA688C">
        <w:rPr>
          <w:color w:val="000000" w:themeColor="text1"/>
          <w:lang w:val="en-CA"/>
        </w:rPr>
        <w:t xml:space="preserve">To adopt a resource allocation of </w:t>
      </w:r>
      <w:r w:rsidR="00FA688C" w:rsidRPr="00FA688C">
        <w:rPr>
          <w:color w:val="000000" w:themeColor="text1"/>
          <w:lang w:val="en-CA"/>
        </w:rPr>
        <w:t>US $</w:t>
      </w:r>
      <w:r w:rsidR="00B61A0C" w:rsidRPr="00FA688C">
        <w:rPr>
          <w:color w:val="000000" w:themeColor="text1"/>
          <w:lang w:val="en-CA"/>
        </w:rPr>
        <w:t xml:space="preserve">230 </w:t>
      </w:r>
      <w:r w:rsidRPr="00FA688C">
        <w:rPr>
          <w:color w:val="000000" w:themeColor="text1"/>
          <w:lang w:val="en-CA"/>
        </w:rPr>
        <w:t>million in 201</w:t>
      </w:r>
      <w:r w:rsidR="001911BE" w:rsidRPr="00FA688C">
        <w:rPr>
          <w:color w:val="000000" w:themeColor="text1"/>
          <w:lang w:val="en-CA"/>
        </w:rPr>
        <w:t>8</w:t>
      </w:r>
      <w:r w:rsidRPr="00FA688C">
        <w:rPr>
          <w:color w:val="000000" w:themeColor="text1"/>
          <w:lang w:val="en-CA"/>
        </w:rPr>
        <w:t xml:space="preserve">, </w:t>
      </w:r>
      <w:r w:rsidR="00FA688C" w:rsidRPr="00FA688C">
        <w:rPr>
          <w:color w:val="000000" w:themeColor="text1"/>
          <w:lang w:val="en-CA"/>
        </w:rPr>
        <w:t>US $</w:t>
      </w:r>
      <w:r w:rsidR="00B61A0C" w:rsidRPr="00FA688C">
        <w:rPr>
          <w:color w:val="000000" w:themeColor="text1"/>
          <w:lang w:val="en-CA"/>
        </w:rPr>
        <w:t>13</w:t>
      </w:r>
      <w:r w:rsidR="001363A5" w:rsidRPr="00FA688C">
        <w:rPr>
          <w:color w:val="000000" w:themeColor="text1"/>
          <w:lang w:val="en-CA"/>
        </w:rPr>
        <w:t>9</w:t>
      </w:r>
      <w:r w:rsidR="00B61A0C" w:rsidRPr="00FA688C">
        <w:rPr>
          <w:color w:val="000000" w:themeColor="text1"/>
          <w:lang w:val="en-CA"/>
        </w:rPr>
        <w:t xml:space="preserve"> </w:t>
      </w:r>
      <w:r w:rsidRPr="00FA688C">
        <w:rPr>
          <w:color w:val="000000" w:themeColor="text1"/>
          <w:lang w:val="en-CA"/>
        </w:rPr>
        <w:t>million in 201</w:t>
      </w:r>
      <w:r w:rsidR="001911BE" w:rsidRPr="00FA688C">
        <w:rPr>
          <w:color w:val="000000" w:themeColor="text1"/>
          <w:lang w:val="en-CA"/>
        </w:rPr>
        <w:t>9</w:t>
      </w:r>
      <w:r w:rsidRPr="00FA688C">
        <w:rPr>
          <w:color w:val="000000" w:themeColor="text1"/>
          <w:lang w:val="en-CA"/>
        </w:rPr>
        <w:t xml:space="preserve">, and </w:t>
      </w:r>
      <w:r w:rsidR="00FA688C" w:rsidRPr="00FA688C">
        <w:rPr>
          <w:color w:val="000000" w:themeColor="text1"/>
          <w:lang w:val="en-CA"/>
        </w:rPr>
        <w:t>US $</w:t>
      </w:r>
      <w:r w:rsidR="00B61A0C" w:rsidRPr="00FA688C">
        <w:rPr>
          <w:color w:val="000000" w:themeColor="text1"/>
          <w:lang w:val="en-CA"/>
        </w:rPr>
        <w:t>17</w:t>
      </w:r>
      <w:r w:rsidR="001363A5" w:rsidRPr="00FA688C">
        <w:rPr>
          <w:color w:val="000000" w:themeColor="text1"/>
          <w:lang w:val="en-CA"/>
        </w:rPr>
        <w:t>1</w:t>
      </w:r>
      <w:r w:rsidR="00B61A0C" w:rsidRPr="00FA688C">
        <w:rPr>
          <w:color w:val="000000" w:themeColor="text1"/>
          <w:lang w:val="en-CA"/>
        </w:rPr>
        <w:t xml:space="preserve"> </w:t>
      </w:r>
      <w:r w:rsidR="001911BE" w:rsidRPr="00FA688C">
        <w:rPr>
          <w:color w:val="000000" w:themeColor="text1"/>
          <w:lang w:val="en-CA"/>
        </w:rPr>
        <w:t>million in 2020</w:t>
      </w:r>
      <w:r w:rsidRPr="00FA688C">
        <w:rPr>
          <w:color w:val="000000" w:themeColor="text1"/>
          <w:lang w:val="en-CA"/>
        </w:rPr>
        <w:t xml:space="preserve"> with any unallocated funds to be allocated subsequently during the 201</w:t>
      </w:r>
      <w:r w:rsidR="001911BE" w:rsidRPr="00FA688C">
        <w:rPr>
          <w:color w:val="000000" w:themeColor="text1"/>
          <w:lang w:val="en-CA"/>
        </w:rPr>
        <w:t>8</w:t>
      </w:r>
      <w:r w:rsidRPr="00FA688C">
        <w:rPr>
          <w:color w:val="000000" w:themeColor="text1"/>
          <w:lang w:val="en-CA"/>
        </w:rPr>
        <w:t>-20</w:t>
      </w:r>
      <w:r w:rsidR="001911BE" w:rsidRPr="00FA688C">
        <w:rPr>
          <w:color w:val="000000" w:themeColor="text1"/>
          <w:lang w:val="en-CA"/>
        </w:rPr>
        <w:t>20</w:t>
      </w:r>
      <w:r w:rsidRPr="00FA688C">
        <w:rPr>
          <w:color w:val="000000" w:themeColor="text1"/>
          <w:lang w:val="en-CA"/>
        </w:rPr>
        <w:t xml:space="preserve"> triennium</w:t>
      </w:r>
      <w:r w:rsidR="003A567A" w:rsidRPr="00FA688C">
        <w:rPr>
          <w:color w:val="000000" w:themeColor="text1"/>
          <w:lang w:val="en-CA"/>
        </w:rPr>
        <w:t xml:space="preserve">; </w:t>
      </w:r>
    </w:p>
    <w:p w14:paraId="671D3F57" w14:textId="05C05152" w:rsidR="00BF4751" w:rsidRPr="00FA688C" w:rsidRDefault="00B62B40" w:rsidP="00FA688C">
      <w:pPr>
        <w:pStyle w:val="Heading2"/>
        <w:rPr>
          <w:color w:val="000000" w:themeColor="text1"/>
          <w:lang w:val="en-CA"/>
        </w:rPr>
      </w:pPr>
      <w:r>
        <w:rPr>
          <w:color w:val="000000" w:themeColor="text1"/>
        </w:rPr>
        <w:t>T</w:t>
      </w:r>
      <w:r w:rsidRPr="00FA688C">
        <w:rPr>
          <w:color w:val="000000" w:themeColor="text1"/>
        </w:rPr>
        <w:t>o urge implementing agencies to submit all projects and activities endorsed in the business plan in order to fully utilize the resources available during the for 2018-2020 triennium</w:t>
      </w:r>
      <w:r>
        <w:rPr>
          <w:color w:val="000000" w:themeColor="text1"/>
        </w:rPr>
        <w:t>;</w:t>
      </w:r>
      <w:r w:rsidRPr="00FA688C">
        <w:rPr>
          <w:color w:val="000000" w:themeColor="text1"/>
          <w:lang w:val="en-CA"/>
        </w:rPr>
        <w:t xml:space="preserve"> </w:t>
      </w:r>
      <w:r w:rsidR="003A567A" w:rsidRPr="00FA688C">
        <w:rPr>
          <w:color w:val="000000" w:themeColor="text1"/>
          <w:lang w:val="en-CA"/>
        </w:rPr>
        <w:t xml:space="preserve">and </w:t>
      </w:r>
    </w:p>
    <w:p w14:paraId="6813D6C7" w14:textId="6A954D65" w:rsidR="00BF4751" w:rsidRPr="00FA688C" w:rsidRDefault="00BF4751" w:rsidP="00FA688C">
      <w:pPr>
        <w:pStyle w:val="Heading2"/>
        <w:rPr>
          <w:color w:val="000000" w:themeColor="text1"/>
          <w:lang w:val="en-CA"/>
        </w:rPr>
      </w:pPr>
      <w:r w:rsidRPr="00FA688C">
        <w:rPr>
          <w:color w:val="000000" w:themeColor="text1"/>
          <w:lang w:val="en-CA"/>
        </w:rPr>
        <w:t>To consider the availability of cash flow for the 20</w:t>
      </w:r>
      <w:r w:rsidR="008F351F" w:rsidRPr="00FA688C">
        <w:rPr>
          <w:color w:val="000000" w:themeColor="text1"/>
          <w:lang w:val="en-CA"/>
        </w:rPr>
        <w:t>20</w:t>
      </w:r>
      <w:r w:rsidRPr="00FA688C">
        <w:rPr>
          <w:color w:val="000000" w:themeColor="text1"/>
          <w:lang w:val="en-CA"/>
        </w:rPr>
        <w:t xml:space="preserve"> budget at the last meeting of 201</w:t>
      </w:r>
      <w:r w:rsidR="008F351F" w:rsidRPr="00FA688C">
        <w:rPr>
          <w:color w:val="000000" w:themeColor="text1"/>
          <w:lang w:val="en-CA"/>
        </w:rPr>
        <w:t>9</w:t>
      </w:r>
      <w:r w:rsidRPr="00FA688C">
        <w:rPr>
          <w:color w:val="000000" w:themeColor="text1"/>
          <w:lang w:val="en-CA"/>
        </w:rPr>
        <w:t xml:space="preserve"> in light of the collection of interest, unexpected return of unused balances from projects/agreements, the payment of pledges from triennia prior to the last replenishment, any losses due to non-payment of pledges expected from the last replenishment, and any losses or gains due to the fixed-exchange-rate mechanism</w:t>
      </w:r>
      <w:r w:rsidR="004D7BAE" w:rsidRPr="00FA688C">
        <w:rPr>
          <w:color w:val="000000" w:themeColor="text1"/>
          <w:lang w:val="en-CA"/>
        </w:rPr>
        <w:t>.</w:t>
      </w:r>
    </w:p>
    <w:p w14:paraId="088B7809" w14:textId="5A609879" w:rsidR="006852D7" w:rsidRPr="00FA688C" w:rsidRDefault="006852D7" w:rsidP="00FA688C">
      <w:pPr>
        <w:pStyle w:val="Heading1"/>
        <w:numPr>
          <w:ilvl w:val="0"/>
          <w:numId w:val="0"/>
        </w:numPr>
        <w:spacing w:after="0"/>
        <w:jc w:val="center"/>
        <w:rPr>
          <w:color w:val="000000" w:themeColor="text1"/>
          <w:lang w:val="en-CA"/>
        </w:rPr>
      </w:pPr>
    </w:p>
    <w:p w14:paraId="69889635" w14:textId="77777777" w:rsidR="006852D7" w:rsidRPr="00FA688C" w:rsidRDefault="006852D7" w:rsidP="00FA688C">
      <w:pPr>
        <w:rPr>
          <w:color w:val="000000" w:themeColor="text1"/>
          <w:lang w:val="en-CA"/>
        </w:rPr>
        <w:sectPr w:rsidR="006852D7" w:rsidRPr="00FA688C" w:rsidSect="00A658DE">
          <w:headerReference w:type="even" r:id="rId10"/>
          <w:headerReference w:type="default" r:id="rId11"/>
          <w:footerReference w:type="even" r:id="rId12"/>
          <w:footerReference w:type="default" r:id="rId13"/>
          <w:headerReference w:type="first" r:id="rId14"/>
          <w:footerReference w:type="first" r:id="rId15"/>
          <w:pgSz w:w="12240" w:h="15840" w:code="1"/>
          <w:pgMar w:top="720" w:right="1325" w:bottom="864" w:left="1440" w:header="720" w:footer="475" w:gutter="0"/>
          <w:cols w:space="720"/>
          <w:titlePg/>
        </w:sectPr>
      </w:pPr>
    </w:p>
    <w:p w14:paraId="192FFEE8" w14:textId="409CFAD7" w:rsidR="00F61534" w:rsidRPr="00FA688C" w:rsidRDefault="00393633" w:rsidP="00FA688C">
      <w:pPr>
        <w:jc w:val="center"/>
        <w:rPr>
          <w:b/>
          <w:bCs/>
          <w:color w:val="000000" w:themeColor="text1"/>
          <w:lang w:val="en-CA"/>
        </w:rPr>
      </w:pPr>
      <w:r w:rsidRPr="00FA688C">
        <w:rPr>
          <w:b/>
          <w:bCs/>
          <w:color w:val="000000" w:themeColor="text1"/>
          <w:lang w:val="en-CA"/>
        </w:rPr>
        <w:lastRenderedPageBreak/>
        <w:t>Annex I</w:t>
      </w:r>
    </w:p>
    <w:p w14:paraId="614FDE79" w14:textId="50E6EA65" w:rsidR="00393633" w:rsidRPr="00FA688C" w:rsidRDefault="00393633" w:rsidP="00FA688C">
      <w:pPr>
        <w:jc w:val="center"/>
        <w:rPr>
          <w:b/>
          <w:bCs/>
          <w:color w:val="000000" w:themeColor="text1"/>
          <w:lang w:val="en-CA"/>
        </w:rPr>
      </w:pPr>
    </w:p>
    <w:p w14:paraId="0F0356C3" w14:textId="1CC83EF9" w:rsidR="00393633" w:rsidRPr="00FA688C" w:rsidRDefault="00393633" w:rsidP="00FA688C">
      <w:pPr>
        <w:jc w:val="center"/>
        <w:rPr>
          <w:b/>
          <w:bCs/>
          <w:color w:val="000000" w:themeColor="text1"/>
          <w:lang w:val="en-CA"/>
        </w:rPr>
      </w:pPr>
      <w:r w:rsidRPr="00FA688C">
        <w:rPr>
          <w:b/>
          <w:bCs/>
          <w:color w:val="000000" w:themeColor="text1"/>
          <w:lang w:val="en-CA"/>
        </w:rPr>
        <w:t>HFC PHASE-DOWN ACTIVITIES SUBMITTED TO THE 81</w:t>
      </w:r>
      <w:r w:rsidRPr="00FA688C">
        <w:rPr>
          <w:b/>
          <w:bCs/>
          <w:color w:val="000000" w:themeColor="text1"/>
          <w:vertAlign w:val="superscript"/>
          <w:lang w:val="en-CA"/>
        </w:rPr>
        <w:t>ST</w:t>
      </w:r>
      <w:r w:rsidRPr="00FA688C">
        <w:rPr>
          <w:b/>
          <w:bCs/>
          <w:color w:val="000000" w:themeColor="text1"/>
          <w:lang w:val="en-CA"/>
        </w:rPr>
        <w:t xml:space="preserve"> MEETING</w:t>
      </w:r>
    </w:p>
    <w:p w14:paraId="0872ADF8" w14:textId="77777777" w:rsidR="004D6C0D" w:rsidRPr="00FA688C" w:rsidRDefault="004D6C0D" w:rsidP="00FA688C">
      <w:pPr>
        <w:jc w:val="center"/>
        <w:rPr>
          <w:b/>
          <w:bCs/>
          <w:color w:val="000000" w:themeColor="text1"/>
          <w:lang w:val="en-CA"/>
        </w:rPr>
      </w:pPr>
    </w:p>
    <w:tbl>
      <w:tblPr>
        <w:tblW w:w="10890" w:type="dxa"/>
        <w:tblInd w:w="-522" w:type="dxa"/>
        <w:tblLook w:val="04A0" w:firstRow="1" w:lastRow="0" w:firstColumn="1" w:lastColumn="0" w:noHBand="0" w:noVBand="1"/>
      </w:tblPr>
      <w:tblGrid>
        <w:gridCol w:w="1800"/>
        <w:gridCol w:w="1120"/>
        <w:gridCol w:w="880"/>
        <w:gridCol w:w="840"/>
        <w:gridCol w:w="3730"/>
        <w:gridCol w:w="1260"/>
        <w:gridCol w:w="1260"/>
      </w:tblGrid>
      <w:tr w:rsidR="00FA688C" w:rsidRPr="00FA688C" w14:paraId="1FD938A7" w14:textId="77777777" w:rsidTr="004D6C0D">
        <w:trPr>
          <w:trHeight w:val="510"/>
          <w:tblHeader/>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B711118" w14:textId="77777777" w:rsidR="004D6C0D" w:rsidRPr="00FA688C" w:rsidRDefault="004D6C0D" w:rsidP="00FA688C">
            <w:pPr>
              <w:jc w:val="center"/>
              <w:rPr>
                <w:b/>
                <w:bCs/>
                <w:color w:val="000000" w:themeColor="text1"/>
                <w:sz w:val="20"/>
                <w:szCs w:val="20"/>
                <w:lang w:val="en-US"/>
              </w:rPr>
            </w:pPr>
            <w:r w:rsidRPr="00FA688C">
              <w:rPr>
                <w:b/>
                <w:bCs/>
                <w:color w:val="000000" w:themeColor="text1"/>
                <w:sz w:val="20"/>
                <w:szCs w:val="20"/>
                <w:lang w:val="en-US"/>
              </w:rPr>
              <w:t>Country</w:t>
            </w:r>
          </w:p>
        </w:tc>
        <w:tc>
          <w:tcPr>
            <w:tcW w:w="1120" w:type="dxa"/>
            <w:tcBorders>
              <w:top w:val="single" w:sz="4" w:space="0" w:color="auto"/>
              <w:left w:val="nil"/>
              <w:bottom w:val="single" w:sz="4" w:space="0" w:color="auto"/>
              <w:right w:val="single" w:sz="4" w:space="0" w:color="auto"/>
            </w:tcBorders>
            <w:shd w:val="clear" w:color="auto" w:fill="auto"/>
            <w:hideMark/>
          </w:tcPr>
          <w:p w14:paraId="0BA98855" w14:textId="77777777" w:rsidR="004D6C0D" w:rsidRPr="00FA688C" w:rsidRDefault="004D6C0D" w:rsidP="00FA688C">
            <w:pPr>
              <w:jc w:val="center"/>
              <w:rPr>
                <w:b/>
                <w:bCs/>
                <w:color w:val="000000" w:themeColor="text1"/>
                <w:sz w:val="20"/>
                <w:szCs w:val="20"/>
                <w:lang w:val="en-US"/>
              </w:rPr>
            </w:pPr>
            <w:r w:rsidRPr="00FA688C">
              <w:rPr>
                <w:b/>
                <w:bCs/>
                <w:color w:val="000000" w:themeColor="text1"/>
                <w:sz w:val="20"/>
                <w:szCs w:val="20"/>
                <w:lang w:val="en-US"/>
              </w:rPr>
              <w:t>Agency</w:t>
            </w:r>
          </w:p>
        </w:tc>
        <w:tc>
          <w:tcPr>
            <w:tcW w:w="880" w:type="dxa"/>
            <w:tcBorders>
              <w:top w:val="single" w:sz="4" w:space="0" w:color="auto"/>
              <w:left w:val="nil"/>
              <w:bottom w:val="single" w:sz="4" w:space="0" w:color="auto"/>
              <w:right w:val="single" w:sz="4" w:space="0" w:color="auto"/>
            </w:tcBorders>
            <w:shd w:val="clear" w:color="auto" w:fill="auto"/>
            <w:hideMark/>
          </w:tcPr>
          <w:p w14:paraId="01DFEAB7" w14:textId="77777777" w:rsidR="004D6C0D" w:rsidRPr="00FA688C" w:rsidRDefault="004D6C0D" w:rsidP="00FA688C">
            <w:pPr>
              <w:jc w:val="center"/>
              <w:rPr>
                <w:b/>
                <w:bCs/>
                <w:color w:val="000000" w:themeColor="text1"/>
                <w:sz w:val="20"/>
                <w:szCs w:val="20"/>
                <w:lang w:val="en-US"/>
              </w:rPr>
            </w:pPr>
            <w:r w:rsidRPr="00FA688C">
              <w:rPr>
                <w:b/>
                <w:bCs/>
                <w:color w:val="000000" w:themeColor="text1"/>
                <w:sz w:val="20"/>
                <w:szCs w:val="20"/>
                <w:lang w:val="en-US"/>
              </w:rPr>
              <w:t>Type</w:t>
            </w:r>
          </w:p>
        </w:tc>
        <w:tc>
          <w:tcPr>
            <w:tcW w:w="840" w:type="dxa"/>
            <w:tcBorders>
              <w:top w:val="single" w:sz="4" w:space="0" w:color="auto"/>
              <w:left w:val="nil"/>
              <w:bottom w:val="single" w:sz="4" w:space="0" w:color="auto"/>
              <w:right w:val="single" w:sz="4" w:space="0" w:color="auto"/>
            </w:tcBorders>
            <w:shd w:val="clear" w:color="auto" w:fill="auto"/>
            <w:hideMark/>
          </w:tcPr>
          <w:p w14:paraId="063C2D0D" w14:textId="77777777" w:rsidR="004D6C0D" w:rsidRPr="00FA688C" w:rsidRDefault="004D6C0D" w:rsidP="00FA688C">
            <w:pPr>
              <w:jc w:val="center"/>
              <w:rPr>
                <w:b/>
                <w:bCs/>
                <w:color w:val="000000" w:themeColor="text1"/>
                <w:sz w:val="20"/>
                <w:szCs w:val="20"/>
                <w:lang w:val="en-US"/>
              </w:rPr>
            </w:pPr>
            <w:r w:rsidRPr="00FA688C">
              <w:rPr>
                <w:b/>
                <w:bCs/>
                <w:color w:val="000000" w:themeColor="text1"/>
                <w:sz w:val="20"/>
                <w:szCs w:val="20"/>
                <w:lang w:val="en-US"/>
              </w:rPr>
              <w:t>Sector</w:t>
            </w:r>
          </w:p>
        </w:tc>
        <w:tc>
          <w:tcPr>
            <w:tcW w:w="3730" w:type="dxa"/>
            <w:tcBorders>
              <w:top w:val="single" w:sz="4" w:space="0" w:color="auto"/>
              <w:left w:val="nil"/>
              <w:bottom w:val="single" w:sz="4" w:space="0" w:color="auto"/>
              <w:right w:val="single" w:sz="4" w:space="0" w:color="auto"/>
            </w:tcBorders>
            <w:shd w:val="clear" w:color="auto" w:fill="auto"/>
            <w:hideMark/>
          </w:tcPr>
          <w:p w14:paraId="4D98F28A" w14:textId="77777777" w:rsidR="004D6C0D" w:rsidRPr="00FA688C" w:rsidRDefault="004D6C0D" w:rsidP="00FA688C">
            <w:pPr>
              <w:jc w:val="center"/>
              <w:rPr>
                <w:b/>
                <w:bCs/>
                <w:color w:val="000000" w:themeColor="text1"/>
                <w:sz w:val="20"/>
                <w:szCs w:val="20"/>
                <w:lang w:val="en-US"/>
              </w:rPr>
            </w:pPr>
            <w:r w:rsidRPr="00FA688C">
              <w:rPr>
                <w:b/>
                <w:bCs/>
                <w:color w:val="000000" w:themeColor="text1"/>
                <w:sz w:val="20"/>
                <w:szCs w:val="20"/>
                <w:lang w:val="en-US"/>
              </w:rPr>
              <w:t>Project Title</w:t>
            </w:r>
          </w:p>
        </w:tc>
        <w:tc>
          <w:tcPr>
            <w:tcW w:w="1260" w:type="dxa"/>
            <w:tcBorders>
              <w:top w:val="single" w:sz="4" w:space="0" w:color="auto"/>
              <w:left w:val="nil"/>
              <w:bottom w:val="single" w:sz="4" w:space="0" w:color="auto"/>
              <w:right w:val="single" w:sz="4" w:space="0" w:color="auto"/>
            </w:tcBorders>
            <w:shd w:val="clear" w:color="auto" w:fill="auto"/>
            <w:hideMark/>
          </w:tcPr>
          <w:p w14:paraId="7F9D660C" w14:textId="77777777" w:rsidR="004D6C0D" w:rsidRPr="00FA688C" w:rsidRDefault="004D6C0D" w:rsidP="00FA688C">
            <w:pPr>
              <w:jc w:val="center"/>
              <w:rPr>
                <w:b/>
                <w:bCs/>
                <w:color w:val="000000" w:themeColor="text1"/>
                <w:sz w:val="20"/>
                <w:szCs w:val="20"/>
                <w:lang w:val="en-US"/>
              </w:rPr>
            </w:pPr>
            <w:r w:rsidRPr="00FA688C">
              <w:rPr>
                <w:b/>
                <w:bCs/>
                <w:color w:val="000000" w:themeColor="text1"/>
                <w:sz w:val="20"/>
                <w:szCs w:val="20"/>
                <w:lang w:val="en-US"/>
              </w:rPr>
              <w:t>Amount requested (US$)</w:t>
            </w:r>
          </w:p>
        </w:tc>
        <w:tc>
          <w:tcPr>
            <w:tcW w:w="1260" w:type="dxa"/>
            <w:tcBorders>
              <w:top w:val="single" w:sz="4" w:space="0" w:color="auto"/>
              <w:left w:val="nil"/>
              <w:bottom w:val="single" w:sz="4" w:space="0" w:color="auto"/>
              <w:right w:val="single" w:sz="4" w:space="0" w:color="auto"/>
            </w:tcBorders>
            <w:shd w:val="clear" w:color="auto" w:fill="auto"/>
            <w:hideMark/>
          </w:tcPr>
          <w:p w14:paraId="5460C7AE" w14:textId="77777777" w:rsidR="004D6C0D" w:rsidRPr="00FA688C" w:rsidRDefault="004D6C0D" w:rsidP="00FA688C">
            <w:pPr>
              <w:ind w:left="-108" w:right="-108"/>
              <w:jc w:val="center"/>
              <w:rPr>
                <w:b/>
                <w:bCs/>
                <w:color w:val="000000" w:themeColor="text1"/>
                <w:sz w:val="20"/>
                <w:szCs w:val="20"/>
                <w:lang w:val="en-US"/>
              </w:rPr>
            </w:pPr>
            <w:r w:rsidRPr="00FA688C">
              <w:rPr>
                <w:b/>
                <w:bCs/>
                <w:color w:val="000000" w:themeColor="text1"/>
                <w:sz w:val="20"/>
                <w:szCs w:val="20"/>
                <w:lang w:val="en-US"/>
              </w:rPr>
              <w:t>Support costs requested (US$)</w:t>
            </w:r>
          </w:p>
        </w:tc>
      </w:tr>
      <w:tr w:rsidR="00FA688C" w:rsidRPr="00FA688C" w14:paraId="460DB7A7"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6B5F1B5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Afghanistan</w:t>
            </w:r>
          </w:p>
        </w:tc>
        <w:tc>
          <w:tcPr>
            <w:tcW w:w="1120" w:type="dxa"/>
            <w:tcBorders>
              <w:top w:val="nil"/>
              <w:left w:val="nil"/>
              <w:bottom w:val="single" w:sz="4" w:space="0" w:color="auto"/>
              <w:right w:val="single" w:sz="4" w:space="0" w:color="auto"/>
            </w:tcBorders>
            <w:shd w:val="clear" w:color="auto" w:fill="auto"/>
            <w:hideMark/>
          </w:tcPr>
          <w:p w14:paraId="3AA9773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124EFD8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7B61E72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5ECE62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1C476308"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79AEE82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0C6AFBE9" w14:textId="77777777" w:rsidTr="004D6C0D">
        <w:trPr>
          <w:trHeight w:val="765"/>
        </w:trPr>
        <w:tc>
          <w:tcPr>
            <w:tcW w:w="1800" w:type="dxa"/>
            <w:tcBorders>
              <w:top w:val="nil"/>
              <w:left w:val="single" w:sz="4" w:space="0" w:color="auto"/>
              <w:bottom w:val="single" w:sz="4" w:space="0" w:color="auto"/>
              <w:right w:val="single" w:sz="4" w:space="0" w:color="auto"/>
            </w:tcBorders>
            <w:shd w:val="clear" w:color="auto" w:fill="auto"/>
            <w:hideMark/>
          </w:tcPr>
          <w:p w14:paraId="174B493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Argentina</w:t>
            </w:r>
          </w:p>
        </w:tc>
        <w:tc>
          <w:tcPr>
            <w:tcW w:w="1120" w:type="dxa"/>
            <w:tcBorders>
              <w:top w:val="nil"/>
              <w:left w:val="nil"/>
              <w:bottom w:val="single" w:sz="4" w:space="0" w:color="auto"/>
              <w:right w:val="single" w:sz="4" w:space="0" w:color="auto"/>
            </w:tcBorders>
            <w:shd w:val="clear" w:color="auto" w:fill="auto"/>
            <w:hideMark/>
          </w:tcPr>
          <w:p w14:paraId="3E44FB7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776F729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098D23A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069E0BC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project for replacement of HFC-134a with isobutane (R 600a)/propane (R-290)-based refrigerant in the manufacture of domestic and commercial refrigeration equipment</w:t>
            </w:r>
          </w:p>
        </w:tc>
        <w:tc>
          <w:tcPr>
            <w:tcW w:w="1260" w:type="dxa"/>
            <w:tcBorders>
              <w:top w:val="nil"/>
              <w:left w:val="nil"/>
              <w:bottom w:val="single" w:sz="4" w:space="0" w:color="auto"/>
              <w:right w:val="single" w:sz="4" w:space="0" w:color="auto"/>
            </w:tcBorders>
            <w:shd w:val="clear" w:color="auto" w:fill="auto"/>
            <w:hideMark/>
          </w:tcPr>
          <w:p w14:paraId="78375F2E"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1,840,755</w:t>
            </w:r>
          </w:p>
        </w:tc>
        <w:tc>
          <w:tcPr>
            <w:tcW w:w="1260" w:type="dxa"/>
            <w:tcBorders>
              <w:top w:val="nil"/>
              <w:left w:val="nil"/>
              <w:bottom w:val="single" w:sz="4" w:space="0" w:color="auto"/>
              <w:right w:val="single" w:sz="4" w:space="0" w:color="auto"/>
            </w:tcBorders>
            <w:shd w:val="clear" w:color="auto" w:fill="auto"/>
            <w:hideMark/>
          </w:tcPr>
          <w:p w14:paraId="7F4B7240"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128,853</w:t>
            </w:r>
          </w:p>
        </w:tc>
      </w:tr>
      <w:tr w:rsidR="00FA688C" w:rsidRPr="00FA688C" w14:paraId="5419CE43"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F4EDA7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Argentina</w:t>
            </w:r>
          </w:p>
        </w:tc>
        <w:tc>
          <w:tcPr>
            <w:tcW w:w="1120" w:type="dxa"/>
            <w:tcBorders>
              <w:top w:val="nil"/>
              <w:left w:val="nil"/>
              <w:bottom w:val="single" w:sz="4" w:space="0" w:color="auto"/>
              <w:right w:val="single" w:sz="4" w:space="0" w:color="auto"/>
            </w:tcBorders>
            <w:shd w:val="clear" w:color="auto" w:fill="auto"/>
            <w:hideMark/>
          </w:tcPr>
          <w:p w14:paraId="0F1F98E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4A3A1DC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3294394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B66FDA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391F240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250,000</w:t>
            </w:r>
          </w:p>
        </w:tc>
        <w:tc>
          <w:tcPr>
            <w:tcW w:w="1260" w:type="dxa"/>
            <w:tcBorders>
              <w:top w:val="nil"/>
              <w:left w:val="nil"/>
              <w:bottom w:val="single" w:sz="4" w:space="0" w:color="auto"/>
              <w:right w:val="single" w:sz="4" w:space="0" w:color="auto"/>
            </w:tcBorders>
            <w:shd w:val="clear" w:color="auto" w:fill="auto"/>
            <w:hideMark/>
          </w:tcPr>
          <w:p w14:paraId="7AB6DBC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17,500</w:t>
            </w:r>
          </w:p>
        </w:tc>
      </w:tr>
      <w:tr w:rsidR="00FA688C" w:rsidRPr="00FA688C" w14:paraId="0780DCA1"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D0AB51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Bahrain</w:t>
            </w:r>
          </w:p>
        </w:tc>
        <w:tc>
          <w:tcPr>
            <w:tcW w:w="1120" w:type="dxa"/>
            <w:tcBorders>
              <w:top w:val="nil"/>
              <w:left w:val="nil"/>
              <w:bottom w:val="single" w:sz="4" w:space="0" w:color="auto"/>
              <w:right w:val="single" w:sz="4" w:space="0" w:color="auto"/>
            </w:tcBorders>
            <w:shd w:val="clear" w:color="auto" w:fill="auto"/>
            <w:hideMark/>
          </w:tcPr>
          <w:p w14:paraId="1ED1D12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7252909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6481407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4D926F1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5BCB41A"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33560EC1"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56283346"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59CD02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Bangladesh</w:t>
            </w:r>
          </w:p>
        </w:tc>
        <w:tc>
          <w:tcPr>
            <w:tcW w:w="1120" w:type="dxa"/>
            <w:tcBorders>
              <w:top w:val="nil"/>
              <w:left w:val="nil"/>
              <w:bottom w:val="single" w:sz="4" w:space="0" w:color="auto"/>
              <w:right w:val="single" w:sz="4" w:space="0" w:color="auto"/>
            </w:tcBorders>
            <w:shd w:val="clear" w:color="auto" w:fill="auto"/>
            <w:hideMark/>
          </w:tcPr>
          <w:p w14:paraId="1BEA1C7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7F52F95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D345EF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4D2BF3F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A3BE49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61,000</w:t>
            </w:r>
          </w:p>
        </w:tc>
        <w:tc>
          <w:tcPr>
            <w:tcW w:w="1260" w:type="dxa"/>
            <w:tcBorders>
              <w:top w:val="nil"/>
              <w:left w:val="nil"/>
              <w:bottom w:val="single" w:sz="4" w:space="0" w:color="auto"/>
              <w:right w:val="single" w:sz="4" w:space="0" w:color="auto"/>
            </w:tcBorders>
            <w:shd w:val="clear" w:color="auto" w:fill="auto"/>
            <w:hideMark/>
          </w:tcPr>
          <w:p w14:paraId="56BE1B3F"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4,270</w:t>
            </w:r>
          </w:p>
        </w:tc>
      </w:tr>
      <w:tr w:rsidR="00FA688C" w:rsidRPr="00FA688C" w14:paraId="4CA6655A"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5F43FA2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Bangladesh</w:t>
            </w:r>
          </w:p>
        </w:tc>
        <w:tc>
          <w:tcPr>
            <w:tcW w:w="1120" w:type="dxa"/>
            <w:tcBorders>
              <w:top w:val="nil"/>
              <w:left w:val="nil"/>
              <w:bottom w:val="single" w:sz="4" w:space="0" w:color="auto"/>
              <w:right w:val="single" w:sz="4" w:space="0" w:color="auto"/>
            </w:tcBorders>
            <w:shd w:val="clear" w:color="auto" w:fill="auto"/>
            <w:hideMark/>
          </w:tcPr>
          <w:p w14:paraId="4DE01EA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UNDP</w:t>
            </w:r>
          </w:p>
        </w:tc>
        <w:tc>
          <w:tcPr>
            <w:tcW w:w="880" w:type="dxa"/>
            <w:tcBorders>
              <w:top w:val="nil"/>
              <w:left w:val="nil"/>
              <w:bottom w:val="single" w:sz="4" w:space="0" w:color="auto"/>
              <w:right w:val="single" w:sz="4" w:space="0" w:color="auto"/>
            </w:tcBorders>
            <w:shd w:val="clear" w:color="auto" w:fill="auto"/>
            <w:hideMark/>
          </w:tcPr>
          <w:p w14:paraId="2A03E16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71EA066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3A037D4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32EAA028"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14,000</w:t>
            </w:r>
          </w:p>
        </w:tc>
        <w:tc>
          <w:tcPr>
            <w:tcW w:w="1260" w:type="dxa"/>
            <w:tcBorders>
              <w:top w:val="nil"/>
              <w:left w:val="nil"/>
              <w:bottom w:val="single" w:sz="4" w:space="0" w:color="auto"/>
              <w:right w:val="single" w:sz="4" w:space="0" w:color="auto"/>
            </w:tcBorders>
            <w:shd w:val="clear" w:color="auto" w:fill="auto"/>
            <w:hideMark/>
          </w:tcPr>
          <w:p w14:paraId="6E0EE64F"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980</w:t>
            </w:r>
          </w:p>
        </w:tc>
      </w:tr>
      <w:tr w:rsidR="00FA688C" w:rsidRPr="00FA688C" w14:paraId="725F3169"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268B02E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Bangladesh</w:t>
            </w:r>
          </w:p>
        </w:tc>
        <w:tc>
          <w:tcPr>
            <w:tcW w:w="1120" w:type="dxa"/>
            <w:tcBorders>
              <w:top w:val="nil"/>
              <w:left w:val="nil"/>
              <w:bottom w:val="single" w:sz="4" w:space="0" w:color="auto"/>
              <w:right w:val="single" w:sz="4" w:space="0" w:color="auto"/>
            </w:tcBorders>
            <w:shd w:val="clear" w:color="auto" w:fill="auto"/>
            <w:hideMark/>
          </w:tcPr>
          <w:p w14:paraId="3DFAAC7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Canada</w:t>
            </w:r>
          </w:p>
        </w:tc>
        <w:tc>
          <w:tcPr>
            <w:tcW w:w="880" w:type="dxa"/>
            <w:tcBorders>
              <w:top w:val="nil"/>
              <w:left w:val="nil"/>
              <w:bottom w:val="single" w:sz="4" w:space="0" w:color="auto"/>
              <w:right w:val="single" w:sz="4" w:space="0" w:color="auto"/>
            </w:tcBorders>
            <w:shd w:val="clear" w:color="auto" w:fill="auto"/>
            <w:hideMark/>
          </w:tcPr>
          <w:p w14:paraId="54B6F73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0A36FCB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A896BA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4F456A4"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75,000</w:t>
            </w:r>
          </w:p>
        </w:tc>
        <w:tc>
          <w:tcPr>
            <w:tcW w:w="1260" w:type="dxa"/>
            <w:tcBorders>
              <w:top w:val="nil"/>
              <w:left w:val="nil"/>
              <w:bottom w:val="single" w:sz="4" w:space="0" w:color="auto"/>
              <w:right w:val="single" w:sz="4" w:space="0" w:color="auto"/>
            </w:tcBorders>
            <w:shd w:val="clear" w:color="auto" w:fill="auto"/>
            <w:hideMark/>
          </w:tcPr>
          <w:p w14:paraId="2CAC8B0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5,250</w:t>
            </w:r>
          </w:p>
        </w:tc>
      </w:tr>
      <w:tr w:rsidR="00FA688C" w:rsidRPr="00FA688C" w14:paraId="19C9F65B"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48F7721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Benin</w:t>
            </w:r>
          </w:p>
        </w:tc>
        <w:tc>
          <w:tcPr>
            <w:tcW w:w="1120" w:type="dxa"/>
            <w:tcBorders>
              <w:top w:val="nil"/>
              <w:left w:val="nil"/>
              <w:bottom w:val="single" w:sz="4" w:space="0" w:color="auto"/>
              <w:right w:val="single" w:sz="4" w:space="0" w:color="auto"/>
            </w:tcBorders>
            <w:shd w:val="clear" w:color="auto" w:fill="auto"/>
            <w:hideMark/>
          </w:tcPr>
          <w:p w14:paraId="57E1D52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0DBBBE8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7688BD5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6D5C32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1AD4AE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702014C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57740757"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3FCC65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Botswana</w:t>
            </w:r>
          </w:p>
        </w:tc>
        <w:tc>
          <w:tcPr>
            <w:tcW w:w="1120" w:type="dxa"/>
            <w:tcBorders>
              <w:top w:val="nil"/>
              <w:left w:val="nil"/>
              <w:bottom w:val="single" w:sz="4" w:space="0" w:color="auto"/>
              <w:right w:val="single" w:sz="4" w:space="0" w:color="auto"/>
            </w:tcBorders>
            <w:shd w:val="clear" w:color="auto" w:fill="auto"/>
            <w:hideMark/>
          </w:tcPr>
          <w:p w14:paraId="4352DEA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5D34E36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51055A8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556F0B5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013E792"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36A79E6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09070C00"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194A8A7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Chad</w:t>
            </w:r>
          </w:p>
        </w:tc>
        <w:tc>
          <w:tcPr>
            <w:tcW w:w="1120" w:type="dxa"/>
            <w:tcBorders>
              <w:top w:val="nil"/>
              <w:left w:val="nil"/>
              <w:bottom w:val="single" w:sz="4" w:space="0" w:color="auto"/>
              <w:right w:val="single" w:sz="4" w:space="0" w:color="auto"/>
            </w:tcBorders>
            <w:shd w:val="clear" w:color="auto" w:fill="auto"/>
            <w:hideMark/>
          </w:tcPr>
          <w:p w14:paraId="5BAEECB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60BC217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C5D9FA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1EC2FBC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3941AB8E"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275F2B2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0979AAE3" w14:textId="77777777" w:rsidTr="004D6C0D">
        <w:trPr>
          <w:trHeight w:val="510"/>
        </w:trPr>
        <w:tc>
          <w:tcPr>
            <w:tcW w:w="1800" w:type="dxa"/>
            <w:tcBorders>
              <w:top w:val="nil"/>
              <w:left w:val="single" w:sz="4" w:space="0" w:color="auto"/>
              <w:bottom w:val="single" w:sz="4" w:space="0" w:color="auto"/>
              <w:right w:val="single" w:sz="4" w:space="0" w:color="auto"/>
            </w:tcBorders>
            <w:shd w:val="clear" w:color="auto" w:fill="auto"/>
            <w:hideMark/>
          </w:tcPr>
          <w:p w14:paraId="6E64228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China</w:t>
            </w:r>
          </w:p>
        </w:tc>
        <w:tc>
          <w:tcPr>
            <w:tcW w:w="1120" w:type="dxa"/>
            <w:tcBorders>
              <w:top w:val="nil"/>
              <w:left w:val="nil"/>
              <w:bottom w:val="single" w:sz="4" w:space="0" w:color="auto"/>
              <w:right w:val="single" w:sz="4" w:space="0" w:color="auto"/>
            </w:tcBorders>
            <w:shd w:val="clear" w:color="auto" w:fill="auto"/>
            <w:hideMark/>
          </w:tcPr>
          <w:p w14:paraId="128CAC2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UNDP</w:t>
            </w:r>
          </w:p>
        </w:tc>
        <w:tc>
          <w:tcPr>
            <w:tcW w:w="880" w:type="dxa"/>
            <w:tcBorders>
              <w:top w:val="nil"/>
              <w:left w:val="nil"/>
              <w:bottom w:val="single" w:sz="4" w:space="0" w:color="auto"/>
              <w:right w:val="single" w:sz="4" w:space="0" w:color="auto"/>
            </w:tcBorders>
            <w:shd w:val="clear" w:color="auto" w:fill="auto"/>
            <w:hideMark/>
          </w:tcPr>
          <w:p w14:paraId="39B4D5E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697E6C7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FOA</w:t>
            </w:r>
          </w:p>
        </w:tc>
        <w:tc>
          <w:tcPr>
            <w:tcW w:w="3730" w:type="dxa"/>
            <w:tcBorders>
              <w:top w:val="nil"/>
              <w:left w:val="nil"/>
              <w:bottom w:val="single" w:sz="4" w:space="0" w:color="auto"/>
              <w:right w:val="single" w:sz="4" w:space="0" w:color="auto"/>
            </w:tcBorders>
            <w:shd w:val="clear" w:color="auto" w:fill="auto"/>
            <w:hideMark/>
          </w:tcPr>
          <w:p w14:paraId="3214B70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from C5+HFC-245fa to C5+HFOs in a domestic refrigerator manufacturer (Hisense Kelon)</w:t>
            </w:r>
          </w:p>
        </w:tc>
        <w:tc>
          <w:tcPr>
            <w:tcW w:w="1260" w:type="dxa"/>
            <w:tcBorders>
              <w:top w:val="nil"/>
              <w:left w:val="nil"/>
              <w:bottom w:val="single" w:sz="4" w:space="0" w:color="auto"/>
              <w:right w:val="single" w:sz="4" w:space="0" w:color="auto"/>
            </w:tcBorders>
            <w:shd w:val="clear" w:color="auto" w:fill="auto"/>
            <w:hideMark/>
          </w:tcPr>
          <w:p w14:paraId="5FBE432F"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757,558</w:t>
            </w:r>
          </w:p>
        </w:tc>
        <w:tc>
          <w:tcPr>
            <w:tcW w:w="1260" w:type="dxa"/>
            <w:tcBorders>
              <w:top w:val="nil"/>
              <w:left w:val="nil"/>
              <w:bottom w:val="single" w:sz="4" w:space="0" w:color="auto"/>
              <w:right w:val="single" w:sz="4" w:space="0" w:color="auto"/>
            </w:tcBorders>
            <w:shd w:val="clear" w:color="auto" w:fill="auto"/>
            <w:hideMark/>
          </w:tcPr>
          <w:p w14:paraId="21245265"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53,029</w:t>
            </w:r>
          </w:p>
        </w:tc>
      </w:tr>
      <w:tr w:rsidR="00FA688C" w:rsidRPr="00FA688C" w14:paraId="770852CE" w14:textId="77777777" w:rsidTr="004D6C0D">
        <w:trPr>
          <w:trHeight w:val="510"/>
        </w:trPr>
        <w:tc>
          <w:tcPr>
            <w:tcW w:w="1800" w:type="dxa"/>
            <w:tcBorders>
              <w:top w:val="nil"/>
              <w:left w:val="single" w:sz="4" w:space="0" w:color="auto"/>
              <w:bottom w:val="single" w:sz="4" w:space="0" w:color="auto"/>
              <w:right w:val="single" w:sz="4" w:space="0" w:color="auto"/>
            </w:tcBorders>
            <w:shd w:val="clear" w:color="auto" w:fill="auto"/>
            <w:hideMark/>
          </w:tcPr>
          <w:p w14:paraId="1B9D70C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China</w:t>
            </w:r>
          </w:p>
        </w:tc>
        <w:tc>
          <w:tcPr>
            <w:tcW w:w="1120" w:type="dxa"/>
            <w:tcBorders>
              <w:top w:val="nil"/>
              <w:left w:val="nil"/>
              <w:bottom w:val="single" w:sz="4" w:space="0" w:color="auto"/>
              <w:right w:val="single" w:sz="4" w:space="0" w:color="auto"/>
            </w:tcBorders>
            <w:shd w:val="clear" w:color="auto" w:fill="auto"/>
            <w:hideMark/>
          </w:tcPr>
          <w:p w14:paraId="01FD340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69C0C16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PRP</w:t>
            </w:r>
          </w:p>
        </w:tc>
        <w:tc>
          <w:tcPr>
            <w:tcW w:w="840" w:type="dxa"/>
            <w:tcBorders>
              <w:top w:val="nil"/>
              <w:left w:val="nil"/>
              <w:bottom w:val="single" w:sz="4" w:space="0" w:color="auto"/>
              <w:right w:val="single" w:sz="4" w:space="0" w:color="auto"/>
            </w:tcBorders>
            <w:shd w:val="clear" w:color="auto" w:fill="auto"/>
            <w:hideMark/>
          </w:tcPr>
          <w:p w14:paraId="22C9AC9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FOA</w:t>
            </w:r>
          </w:p>
        </w:tc>
        <w:tc>
          <w:tcPr>
            <w:tcW w:w="3730" w:type="dxa"/>
            <w:tcBorders>
              <w:top w:val="nil"/>
              <w:left w:val="nil"/>
              <w:bottom w:val="single" w:sz="4" w:space="0" w:color="auto"/>
              <w:right w:val="single" w:sz="4" w:space="0" w:color="auto"/>
            </w:tcBorders>
            <w:shd w:val="clear" w:color="auto" w:fill="auto"/>
            <w:hideMark/>
          </w:tcPr>
          <w:p w14:paraId="2DEE477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Preparation for converting from HFC-134a to HFOs+CO2 with gluing technology in an extruded polystyrene foam manufacturer</w:t>
            </w:r>
          </w:p>
        </w:tc>
        <w:tc>
          <w:tcPr>
            <w:tcW w:w="1260" w:type="dxa"/>
            <w:tcBorders>
              <w:top w:val="nil"/>
              <w:left w:val="nil"/>
              <w:bottom w:val="single" w:sz="4" w:space="0" w:color="auto"/>
              <w:right w:val="single" w:sz="4" w:space="0" w:color="auto"/>
            </w:tcBorders>
            <w:shd w:val="clear" w:color="auto" w:fill="auto"/>
            <w:hideMark/>
          </w:tcPr>
          <w:p w14:paraId="29376AD5"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30,000</w:t>
            </w:r>
          </w:p>
        </w:tc>
        <w:tc>
          <w:tcPr>
            <w:tcW w:w="1260" w:type="dxa"/>
            <w:tcBorders>
              <w:top w:val="nil"/>
              <w:left w:val="nil"/>
              <w:bottom w:val="single" w:sz="4" w:space="0" w:color="auto"/>
              <w:right w:val="single" w:sz="4" w:space="0" w:color="auto"/>
            </w:tcBorders>
            <w:shd w:val="clear" w:color="auto" w:fill="auto"/>
            <w:hideMark/>
          </w:tcPr>
          <w:p w14:paraId="4E0A2A5F"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2,100</w:t>
            </w:r>
          </w:p>
        </w:tc>
      </w:tr>
      <w:tr w:rsidR="00FA688C" w:rsidRPr="00FA688C" w14:paraId="6745D7FC" w14:textId="77777777" w:rsidTr="004D6C0D">
        <w:trPr>
          <w:trHeight w:val="510"/>
        </w:trPr>
        <w:tc>
          <w:tcPr>
            <w:tcW w:w="1800" w:type="dxa"/>
            <w:tcBorders>
              <w:top w:val="nil"/>
              <w:left w:val="single" w:sz="4" w:space="0" w:color="auto"/>
              <w:bottom w:val="single" w:sz="4" w:space="0" w:color="auto"/>
              <w:right w:val="single" w:sz="4" w:space="0" w:color="auto"/>
            </w:tcBorders>
            <w:shd w:val="clear" w:color="auto" w:fill="auto"/>
            <w:hideMark/>
          </w:tcPr>
          <w:p w14:paraId="155D8FF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Colombia</w:t>
            </w:r>
          </w:p>
        </w:tc>
        <w:tc>
          <w:tcPr>
            <w:tcW w:w="1120" w:type="dxa"/>
            <w:tcBorders>
              <w:top w:val="nil"/>
              <w:left w:val="nil"/>
              <w:bottom w:val="single" w:sz="4" w:space="0" w:color="auto"/>
              <w:right w:val="single" w:sz="4" w:space="0" w:color="auto"/>
            </w:tcBorders>
            <w:shd w:val="clear" w:color="auto" w:fill="auto"/>
            <w:hideMark/>
          </w:tcPr>
          <w:p w14:paraId="4167C1A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UNDP</w:t>
            </w:r>
          </w:p>
        </w:tc>
        <w:tc>
          <w:tcPr>
            <w:tcW w:w="880" w:type="dxa"/>
            <w:tcBorders>
              <w:top w:val="nil"/>
              <w:left w:val="nil"/>
              <w:bottom w:val="single" w:sz="4" w:space="0" w:color="auto"/>
              <w:right w:val="single" w:sz="4" w:space="0" w:color="auto"/>
            </w:tcBorders>
            <w:shd w:val="clear" w:color="auto" w:fill="auto"/>
            <w:hideMark/>
          </w:tcPr>
          <w:p w14:paraId="447C165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677264D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2A94814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from HFC-134a to isobutane in the manufacture of domestic refrigerators at Mabe</w:t>
            </w:r>
          </w:p>
        </w:tc>
        <w:tc>
          <w:tcPr>
            <w:tcW w:w="1260" w:type="dxa"/>
            <w:tcBorders>
              <w:top w:val="nil"/>
              <w:left w:val="nil"/>
              <w:bottom w:val="single" w:sz="4" w:space="0" w:color="auto"/>
              <w:right w:val="single" w:sz="4" w:space="0" w:color="auto"/>
            </w:tcBorders>
            <w:shd w:val="clear" w:color="auto" w:fill="auto"/>
            <w:hideMark/>
          </w:tcPr>
          <w:p w14:paraId="1E2F3D9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1,114,350</w:t>
            </w:r>
          </w:p>
        </w:tc>
        <w:tc>
          <w:tcPr>
            <w:tcW w:w="1260" w:type="dxa"/>
            <w:tcBorders>
              <w:top w:val="nil"/>
              <w:left w:val="nil"/>
              <w:bottom w:val="single" w:sz="4" w:space="0" w:color="auto"/>
              <w:right w:val="single" w:sz="4" w:space="0" w:color="auto"/>
            </w:tcBorders>
            <w:shd w:val="clear" w:color="auto" w:fill="auto"/>
            <w:hideMark/>
          </w:tcPr>
          <w:p w14:paraId="155B367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78,005</w:t>
            </w:r>
          </w:p>
        </w:tc>
      </w:tr>
      <w:tr w:rsidR="00FA688C" w:rsidRPr="00FA688C" w14:paraId="0C17ECD4"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D7BCD70" w14:textId="4FA00929" w:rsidR="004D6C0D" w:rsidRPr="00FA688C" w:rsidRDefault="003F625D" w:rsidP="00FA688C">
            <w:pPr>
              <w:jc w:val="left"/>
              <w:rPr>
                <w:color w:val="000000" w:themeColor="text1"/>
                <w:sz w:val="20"/>
                <w:szCs w:val="20"/>
                <w:lang w:val="en-US"/>
              </w:rPr>
            </w:pPr>
            <w:r w:rsidRPr="003F625D">
              <w:rPr>
                <w:color w:val="000000" w:themeColor="text1"/>
                <w:sz w:val="20"/>
                <w:szCs w:val="20"/>
                <w:lang w:val="en-US"/>
              </w:rPr>
              <w:t>Comoros (the)</w:t>
            </w:r>
          </w:p>
        </w:tc>
        <w:tc>
          <w:tcPr>
            <w:tcW w:w="1120" w:type="dxa"/>
            <w:tcBorders>
              <w:top w:val="nil"/>
              <w:left w:val="nil"/>
              <w:bottom w:val="single" w:sz="4" w:space="0" w:color="auto"/>
              <w:right w:val="single" w:sz="4" w:space="0" w:color="auto"/>
            </w:tcBorders>
            <w:shd w:val="clear" w:color="auto" w:fill="auto"/>
            <w:hideMark/>
          </w:tcPr>
          <w:p w14:paraId="11853B4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3F40A4F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E05166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14387D1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56241D92"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428F3CAF"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385E63E7"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0CE54009" w14:textId="05CACFF8" w:rsidR="004D6C0D" w:rsidRPr="00FA688C" w:rsidRDefault="003F625D" w:rsidP="00FA688C">
            <w:pPr>
              <w:jc w:val="left"/>
              <w:rPr>
                <w:color w:val="000000" w:themeColor="text1"/>
                <w:sz w:val="20"/>
                <w:szCs w:val="20"/>
                <w:lang w:val="en-US"/>
              </w:rPr>
            </w:pPr>
            <w:r w:rsidRPr="003F625D">
              <w:rPr>
                <w:color w:val="000000" w:themeColor="text1"/>
                <w:sz w:val="20"/>
                <w:szCs w:val="20"/>
                <w:lang w:val="en-US"/>
              </w:rPr>
              <w:t>Democratic Republic of the Congo (the)</w:t>
            </w:r>
          </w:p>
        </w:tc>
        <w:tc>
          <w:tcPr>
            <w:tcW w:w="1120" w:type="dxa"/>
            <w:tcBorders>
              <w:top w:val="nil"/>
              <w:left w:val="nil"/>
              <w:bottom w:val="single" w:sz="4" w:space="0" w:color="auto"/>
              <w:right w:val="single" w:sz="4" w:space="0" w:color="auto"/>
            </w:tcBorders>
            <w:shd w:val="clear" w:color="auto" w:fill="auto"/>
            <w:hideMark/>
          </w:tcPr>
          <w:p w14:paraId="51D6438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23E97CF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4F6BF14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B146A6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5942553E"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60CD205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103FB63D"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182B548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Cote D'Ivoire</w:t>
            </w:r>
          </w:p>
        </w:tc>
        <w:tc>
          <w:tcPr>
            <w:tcW w:w="1120" w:type="dxa"/>
            <w:tcBorders>
              <w:top w:val="nil"/>
              <w:left w:val="nil"/>
              <w:bottom w:val="single" w:sz="4" w:space="0" w:color="auto"/>
              <w:right w:val="single" w:sz="4" w:space="0" w:color="auto"/>
            </w:tcBorders>
            <w:shd w:val="clear" w:color="auto" w:fill="auto"/>
            <w:hideMark/>
          </w:tcPr>
          <w:p w14:paraId="5156C76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092CF77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1D1E4E6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2EB355E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30F47D5A"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2E79C322"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45238964"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73EEF3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Cuba</w:t>
            </w:r>
          </w:p>
        </w:tc>
        <w:tc>
          <w:tcPr>
            <w:tcW w:w="1120" w:type="dxa"/>
            <w:tcBorders>
              <w:top w:val="nil"/>
              <w:left w:val="nil"/>
              <w:bottom w:val="single" w:sz="4" w:space="0" w:color="auto"/>
              <w:right w:val="single" w:sz="4" w:space="0" w:color="auto"/>
            </w:tcBorders>
            <w:shd w:val="clear" w:color="auto" w:fill="auto"/>
            <w:hideMark/>
          </w:tcPr>
          <w:p w14:paraId="446B0B0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Canada</w:t>
            </w:r>
          </w:p>
        </w:tc>
        <w:tc>
          <w:tcPr>
            <w:tcW w:w="880" w:type="dxa"/>
            <w:tcBorders>
              <w:top w:val="nil"/>
              <w:left w:val="nil"/>
              <w:bottom w:val="single" w:sz="4" w:space="0" w:color="auto"/>
              <w:right w:val="single" w:sz="4" w:space="0" w:color="auto"/>
            </w:tcBorders>
            <w:shd w:val="clear" w:color="auto" w:fill="auto"/>
            <w:hideMark/>
          </w:tcPr>
          <w:p w14:paraId="59922E4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58056E5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6367140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47896F5"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75,000</w:t>
            </w:r>
          </w:p>
        </w:tc>
        <w:tc>
          <w:tcPr>
            <w:tcW w:w="1260" w:type="dxa"/>
            <w:tcBorders>
              <w:top w:val="nil"/>
              <w:left w:val="nil"/>
              <w:bottom w:val="single" w:sz="4" w:space="0" w:color="auto"/>
              <w:right w:val="single" w:sz="4" w:space="0" w:color="auto"/>
            </w:tcBorders>
            <w:shd w:val="clear" w:color="auto" w:fill="auto"/>
            <w:hideMark/>
          </w:tcPr>
          <w:p w14:paraId="2143E7E2"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5,250</w:t>
            </w:r>
          </w:p>
        </w:tc>
      </w:tr>
      <w:tr w:rsidR="00FA688C" w:rsidRPr="00FA688C" w14:paraId="5BFA7CEE"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F5A955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Cuba</w:t>
            </w:r>
          </w:p>
        </w:tc>
        <w:tc>
          <w:tcPr>
            <w:tcW w:w="1120" w:type="dxa"/>
            <w:tcBorders>
              <w:top w:val="nil"/>
              <w:left w:val="nil"/>
              <w:bottom w:val="single" w:sz="4" w:space="0" w:color="auto"/>
              <w:right w:val="single" w:sz="4" w:space="0" w:color="auto"/>
            </w:tcBorders>
            <w:shd w:val="clear" w:color="auto" w:fill="auto"/>
            <w:hideMark/>
          </w:tcPr>
          <w:p w14:paraId="511F5C6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UNDP</w:t>
            </w:r>
          </w:p>
        </w:tc>
        <w:tc>
          <w:tcPr>
            <w:tcW w:w="880" w:type="dxa"/>
            <w:tcBorders>
              <w:top w:val="nil"/>
              <w:left w:val="nil"/>
              <w:bottom w:val="single" w:sz="4" w:space="0" w:color="auto"/>
              <w:right w:val="single" w:sz="4" w:space="0" w:color="auto"/>
            </w:tcBorders>
            <w:shd w:val="clear" w:color="auto" w:fill="auto"/>
            <w:hideMark/>
          </w:tcPr>
          <w:p w14:paraId="3B27DD2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035C6BA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0B99AB0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142CD1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75,000</w:t>
            </w:r>
          </w:p>
        </w:tc>
        <w:tc>
          <w:tcPr>
            <w:tcW w:w="1260" w:type="dxa"/>
            <w:tcBorders>
              <w:top w:val="nil"/>
              <w:left w:val="nil"/>
              <w:bottom w:val="single" w:sz="4" w:space="0" w:color="auto"/>
              <w:right w:val="single" w:sz="4" w:space="0" w:color="auto"/>
            </w:tcBorders>
            <w:shd w:val="clear" w:color="auto" w:fill="auto"/>
            <w:hideMark/>
          </w:tcPr>
          <w:p w14:paraId="1AC3936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5,250</w:t>
            </w:r>
          </w:p>
        </w:tc>
      </w:tr>
      <w:tr w:rsidR="00FA688C" w:rsidRPr="00FA688C" w14:paraId="5FCA6A6B"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33979E3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Djibouti</w:t>
            </w:r>
          </w:p>
        </w:tc>
        <w:tc>
          <w:tcPr>
            <w:tcW w:w="1120" w:type="dxa"/>
            <w:tcBorders>
              <w:top w:val="nil"/>
              <w:left w:val="nil"/>
              <w:bottom w:val="single" w:sz="4" w:space="0" w:color="auto"/>
              <w:right w:val="single" w:sz="4" w:space="0" w:color="auto"/>
            </w:tcBorders>
            <w:shd w:val="clear" w:color="auto" w:fill="auto"/>
            <w:hideMark/>
          </w:tcPr>
          <w:p w14:paraId="5A9E539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06F9A1F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31C87AD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31C933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A47B4E4"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1BF34C7F"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48837CC9" w14:textId="77777777" w:rsidTr="004D6C0D">
        <w:trPr>
          <w:trHeight w:val="765"/>
        </w:trPr>
        <w:tc>
          <w:tcPr>
            <w:tcW w:w="1800" w:type="dxa"/>
            <w:tcBorders>
              <w:top w:val="nil"/>
              <w:left w:val="single" w:sz="4" w:space="0" w:color="auto"/>
              <w:bottom w:val="single" w:sz="4" w:space="0" w:color="auto"/>
              <w:right w:val="single" w:sz="4" w:space="0" w:color="auto"/>
            </w:tcBorders>
            <w:shd w:val="clear" w:color="auto" w:fill="auto"/>
            <w:hideMark/>
          </w:tcPr>
          <w:p w14:paraId="7361733E" w14:textId="5B49BCF1" w:rsidR="004D6C0D" w:rsidRPr="00FA688C" w:rsidRDefault="003F625D" w:rsidP="00FA688C">
            <w:pPr>
              <w:jc w:val="left"/>
              <w:rPr>
                <w:color w:val="000000" w:themeColor="text1"/>
                <w:sz w:val="20"/>
                <w:szCs w:val="20"/>
                <w:lang w:val="en-US"/>
              </w:rPr>
            </w:pPr>
            <w:r w:rsidRPr="003F625D">
              <w:rPr>
                <w:color w:val="000000" w:themeColor="text1"/>
                <w:sz w:val="20"/>
                <w:szCs w:val="20"/>
                <w:lang w:val="en-US"/>
              </w:rPr>
              <w:t>Dominican Republic (the)</w:t>
            </w:r>
          </w:p>
        </w:tc>
        <w:tc>
          <w:tcPr>
            <w:tcW w:w="1120" w:type="dxa"/>
            <w:tcBorders>
              <w:top w:val="nil"/>
              <w:left w:val="nil"/>
              <w:bottom w:val="single" w:sz="4" w:space="0" w:color="auto"/>
              <w:right w:val="single" w:sz="4" w:space="0" w:color="auto"/>
            </w:tcBorders>
            <w:shd w:val="clear" w:color="auto" w:fill="auto"/>
            <w:hideMark/>
          </w:tcPr>
          <w:p w14:paraId="7C8F12B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Canada</w:t>
            </w:r>
          </w:p>
        </w:tc>
        <w:tc>
          <w:tcPr>
            <w:tcW w:w="880" w:type="dxa"/>
            <w:tcBorders>
              <w:top w:val="nil"/>
              <w:left w:val="nil"/>
              <w:bottom w:val="single" w:sz="4" w:space="0" w:color="auto"/>
              <w:right w:val="single" w:sz="4" w:space="0" w:color="auto"/>
            </w:tcBorders>
            <w:shd w:val="clear" w:color="auto" w:fill="auto"/>
            <w:hideMark/>
          </w:tcPr>
          <w:p w14:paraId="17CD3C9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37992A9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0A02D6B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of a commercial refrigerator manufacturing line at Fábrica de Refrigeradores Comerciales, SRL (FARCO) from HFC-134a and R-404A to propane (R-290) as refrigerant</w:t>
            </w:r>
          </w:p>
        </w:tc>
        <w:tc>
          <w:tcPr>
            <w:tcW w:w="1260" w:type="dxa"/>
            <w:tcBorders>
              <w:top w:val="nil"/>
              <w:left w:val="nil"/>
              <w:bottom w:val="single" w:sz="4" w:space="0" w:color="auto"/>
              <w:right w:val="single" w:sz="4" w:space="0" w:color="auto"/>
            </w:tcBorders>
            <w:shd w:val="clear" w:color="auto" w:fill="auto"/>
            <w:hideMark/>
          </w:tcPr>
          <w:p w14:paraId="29F4F73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80,000</w:t>
            </w:r>
          </w:p>
        </w:tc>
        <w:tc>
          <w:tcPr>
            <w:tcW w:w="1260" w:type="dxa"/>
            <w:tcBorders>
              <w:top w:val="nil"/>
              <w:left w:val="nil"/>
              <w:bottom w:val="single" w:sz="4" w:space="0" w:color="auto"/>
              <w:right w:val="single" w:sz="4" w:space="0" w:color="auto"/>
            </w:tcBorders>
            <w:shd w:val="clear" w:color="auto" w:fill="auto"/>
            <w:hideMark/>
          </w:tcPr>
          <w:p w14:paraId="35BDAC30"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10,400</w:t>
            </w:r>
          </w:p>
        </w:tc>
      </w:tr>
      <w:tr w:rsidR="00FA688C" w:rsidRPr="00FA688C" w14:paraId="192E574A" w14:textId="77777777" w:rsidTr="004D6C0D">
        <w:trPr>
          <w:trHeight w:val="765"/>
        </w:trPr>
        <w:tc>
          <w:tcPr>
            <w:tcW w:w="1800" w:type="dxa"/>
            <w:tcBorders>
              <w:top w:val="nil"/>
              <w:left w:val="single" w:sz="4" w:space="0" w:color="auto"/>
              <w:bottom w:val="single" w:sz="4" w:space="0" w:color="auto"/>
              <w:right w:val="single" w:sz="4" w:space="0" w:color="auto"/>
            </w:tcBorders>
            <w:shd w:val="clear" w:color="auto" w:fill="auto"/>
            <w:hideMark/>
          </w:tcPr>
          <w:p w14:paraId="77571291" w14:textId="3B8ECEBF" w:rsidR="004D6C0D" w:rsidRPr="00FA688C" w:rsidRDefault="003F625D" w:rsidP="00FA688C">
            <w:pPr>
              <w:jc w:val="left"/>
              <w:rPr>
                <w:color w:val="000000" w:themeColor="text1"/>
                <w:sz w:val="20"/>
                <w:szCs w:val="20"/>
                <w:lang w:val="en-US"/>
              </w:rPr>
            </w:pPr>
            <w:r w:rsidRPr="003F625D">
              <w:rPr>
                <w:color w:val="000000" w:themeColor="text1"/>
                <w:sz w:val="20"/>
                <w:szCs w:val="20"/>
                <w:lang w:val="en-US"/>
              </w:rPr>
              <w:t>Dominican Republic (the)</w:t>
            </w:r>
          </w:p>
        </w:tc>
        <w:tc>
          <w:tcPr>
            <w:tcW w:w="1120" w:type="dxa"/>
            <w:tcBorders>
              <w:top w:val="nil"/>
              <w:left w:val="nil"/>
              <w:bottom w:val="single" w:sz="4" w:space="0" w:color="auto"/>
              <w:right w:val="single" w:sz="4" w:space="0" w:color="auto"/>
            </w:tcBorders>
            <w:shd w:val="clear" w:color="auto" w:fill="auto"/>
            <w:hideMark/>
          </w:tcPr>
          <w:p w14:paraId="627045E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UNDP</w:t>
            </w:r>
          </w:p>
        </w:tc>
        <w:tc>
          <w:tcPr>
            <w:tcW w:w="880" w:type="dxa"/>
            <w:tcBorders>
              <w:top w:val="nil"/>
              <w:left w:val="nil"/>
              <w:bottom w:val="single" w:sz="4" w:space="0" w:color="auto"/>
              <w:right w:val="single" w:sz="4" w:space="0" w:color="auto"/>
            </w:tcBorders>
            <w:shd w:val="clear" w:color="auto" w:fill="auto"/>
            <w:hideMark/>
          </w:tcPr>
          <w:p w14:paraId="08377BA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539068E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661428B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of a commercial refrigerator manufacturing line at Fábrica de Refrigeradores Comerciales, SRL (FARCO) from HFC-134a and R-404A to propane (R-290) as refrigerant</w:t>
            </w:r>
          </w:p>
        </w:tc>
        <w:tc>
          <w:tcPr>
            <w:tcW w:w="1260" w:type="dxa"/>
            <w:tcBorders>
              <w:top w:val="nil"/>
              <w:left w:val="nil"/>
              <w:bottom w:val="single" w:sz="4" w:space="0" w:color="auto"/>
              <w:right w:val="single" w:sz="4" w:space="0" w:color="auto"/>
            </w:tcBorders>
            <w:shd w:val="clear" w:color="auto" w:fill="auto"/>
            <w:hideMark/>
          </w:tcPr>
          <w:p w14:paraId="2E6B28C2"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99,825</w:t>
            </w:r>
          </w:p>
        </w:tc>
        <w:tc>
          <w:tcPr>
            <w:tcW w:w="1260" w:type="dxa"/>
            <w:tcBorders>
              <w:top w:val="nil"/>
              <w:left w:val="nil"/>
              <w:bottom w:val="single" w:sz="4" w:space="0" w:color="auto"/>
              <w:right w:val="single" w:sz="4" w:space="0" w:color="auto"/>
            </w:tcBorders>
            <w:shd w:val="clear" w:color="auto" w:fill="auto"/>
            <w:hideMark/>
          </w:tcPr>
          <w:p w14:paraId="6007755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8,984</w:t>
            </w:r>
          </w:p>
        </w:tc>
      </w:tr>
      <w:tr w:rsidR="00FA688C" w:rsidRPr="00FA688C" w14:paraId="3A1266E2" w14:textId="77777777" w:rsidTr="004D6C0D">
        <w:trPr>
          <w:trHeight w:val="765"/>
        </w:trPr>
        <w:tc>
          <w:tcPr>
            <w:tcW w:w="1800" w:type="dxa"/>
            <w:tcBorders>
              <w:top w:val="nil"/>
              <w:left w:val="single" w:sz="4" w:space="0" w:color="auto"/>
              <w:bottom w:val="single" w:sz="4" w:space="0" w:color="auto"/>
              <w:right w:val="single" w:sz="4" w:space="0" w:color="auto"/>
            </w:tcBorders>
            <w:shd w:val="clear" w:color="auto" w:fill="auto"/>
            <w:hideMark/>
          </w:tcPr>
          <w:p w14:paraId="21D777F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Ecuador</w:t>
            </w:r>
          </w:p>
        </w:tc>
        <w:tc>
          <w:tcPr>
            <w:tcW w:w="1120" w:type="dxa"/>
            <w:tcBorders>
              <w:top w:val="nil"/>
              <w:left w:val="nil"/>
              <w:bottom w:val="single" w:sz="4" w:space="0" w:color="auto"/>
              <w:right w:val="single" w:sz="4" w:space="0" w:color="auto"/>
            </w:tcBorders>
            <w:shd w:val="clear" w:color="auto" w:fill="auto"/>
            <w:hideMark/>
          </w:tcPr>
          <w:p w14:paraId="62212C0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2DA2A2F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5353C8A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5046B65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of domestic and commercial refrigerator manufacturing at Ecasa from the use of HFC-134a and R--404A as the refrigerants to propane (R-290) and isobutane (R-600a)</w:t>
            </w:r>
          </w:p>
        </w:tc>
        <w:tc>
          <w:tcPr>
            <w:tcW w:w="1260" w:type="dxa"/>
            <w:tcBorders>
              <w:top w:val="nil"/>
              <w:left w:val="nil"/>
              <w:bottom w:val="single" w:sz="4" w:space="0" w:color="auto"/>
              <w:right w:val="single" w:sz="4" w:space="0" w:color="auto"/>
            </w:tcBorders>
            <w:shd w:val="clear" w:color="auto" w:fill="auto"/>
            <w:hideMark/>
          </w:tcPr>
          <w:p w14:paraId="43CD2BF9"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199,480</w:t>
            </w:r>
          </w:p>
        </w:tc>
        <w:tc>
          <w:tcPr>
            <w:tcW w:w="1260" w:type="dxa"/>
            <w:tcBorders>
              <w:top w:val="nil"/>
              <w:left w:val="nil"/>
              <w:bottom w:val="single" w:sz="4" w:space="0" w:color="auto"/>
              <w:right w:val="single" w:sz="4" w:space="0" w:color="auto"/>
            </w:tcBorders>
            <w:shd w:val="clear" w:color="auto" w:fill="auto"/>
            <w:hideMark/>
          </w:tcPr>
          <w:p w14:paraId="311CD489"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17,953</w:t>
            </w:r>
          </w:p>
        </w:tc>
      </w:tr>
      <w:tr w:rsidR="00FA688C" w:rsidRPr="00FA688C" w14:paraId="63016C13" w14:textId="77777777" w:rsidTr="004D6C0D">
        <w:trPr>
          <w:trHeight w:val="510"/>
        </w:trPr>
        <w:tc>
          <w:tcPr>
            <w:tcW w:w="1800" w:type="dxa"/>
            <w:tcBorders>
              <w:top w:val="nil"/>
              <w:left w:val="single" w:sz="4" w:space="0" w:color="auto"/>
              <w:bottom w:val="single" w:sz="4" w:space="0" w:color="auto"/>
              <w:right w:val="single" w:sz="4" w:space="0" w:color="auto"/>
            </w:tcBorders>
            <w:shd w:val="clear" w:color="auto" w:fill="auto"/>
            <w:hideMark/>
          </w:tcPr>
          <w:p w14:paraId="6F01C12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lastRenderedPageBreak/>
              <w:t>Ecuador</w:t>
            </w:r>
          </w:p>
        </w:tc>
        <w:tc>
          <w:tcPr>
            <w:tcW w:w="1120" w:type="dxa"/>
            <w:tcBorders>
              <w:top w:val="nil"/>
              <w:left w:val="nil"/>
              <w:bottom w:val="single" w:sz="4" w:space="0" w:color="auto"/>
              <w:right w:val="single" w:sz="4" w:space="0" w:color="auto"/>
            </w:tcBorders>
            <w:shd w:val="clear" w:color="auto" w:fill="auto"/>
            <w:hideMark/>
          </w:tcPr>
          <w:p w14:paraId="315B888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1F906B3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026F141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7A61DB9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Elimination of HFC-134a in the manufacturing of commercial refrigerators in Induglob</w:t>
            </w:r>
          </w:p>
        </w:tc>
        <w:tc>
          <w:tcPr>
            <w:tcW w:w="1260" w:type="dxa"/>
            <w:tcBorders>
              <w:top w:val="nil"/>
              <w:left w:val="nil"/>
              <w:bottom w:val="single" w:sz="4" w:space="0" w:color="auto"/>
              <w:right w:val="single" w:sz="4" w:space="0" w:color="auto"/>
            </w:tcBorders>
            <w:shd w:val="clear" w:color="auto" w:fill="auto"/>
            <w:hideMark/>
          </w:tcPr>
          <w:p w14:paraId="17331784"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220,660</w:t>
            </w:r>
          </w:p>
        </w:tc>
        <w:tc>
          <w:tcPr>
            <w:tcW w:w="1260" w:type="dxa"/>
            <w:tcBorders>
              <w:top w:val="nil"/>
              <w:left w:val="nil"/>
              <w:bottom w:val="single" w:sz="4" w:space="0" w:color="auto"/>
              <w:right w:val="single" w:sz="4" w:space="0" w:color="auto"/>
            </w:tcBorders>
            <w:shd w:val="clear" w:color="auto" w:fill="auto"/>
            <w:hideMark/>
          </w:tcPr>
          <w:p w14:paraId="1E19E8B7"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19,859</w:t>
            </w:r>
          </w:p>
        </w:tc>
      </w:tr>
      <w:tr w:rsidR="00FA688C" w:rsidRPr="00FA688C" w14:paraId="6CC63C62" w14:textId="77777777" w:rsidTr="004D6C0D">
        <w:trPr>
          <w:trHeight w:val="510"/>
        </w:trPr>
        <w:tc>
          <w:tcPr>
            <w:tcW w:w="1800" w:type="dxa"/>
            <w:tcBorders>
              <w:top w:val="nil"/>
              <w:left w:val="single" w:sz="4" w:space="0" w:color="auto"/>
              <w:bottom w:val="single" w:sz="4" w:space="0" w:color="auto"/>
              <w:right w:val="single" w:sz="4" w:space="0" w:color="auto"/>
            </w:tcBorders>
            <w:shd w:val="clear" w:color="auto" w:fill="auto"/>
            <w:hideMark/>
          </w:tcPr>
          <w:p w14:paraId="489C0C9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Egypt</w:t>
            </w:r>
          </w:p>
        </w:tc>
        <w:tc>
          <w:tcPr>
            <w:tcW w:w="1120" w:type="dxa"/>
            <w:tcBorders>
              <w:top w:val="nil"/>
              <w:left w:val="nil"/>
              <w:bottom w:val="single" w:sz="4" w:space="0" w:color="auto"/>
              <w:right w:val="single" w:sz="4" w:space="0" w:color="auto"/>
            </w:tcBorders>
            <w:shd w:val="clear" w:color="auto" w:fill="auto"/>
            <w:hideMark/>
          </w:tcPr>
          <w:p w14:paraId="259ACD3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UNDP</w:t>
            </w:r>
          </w:p>
        </w:tc>
        <w:tc>
          <w:tcPr>
            <w:tcW w:w="880" w:type="dxa"/>
            <w:tcBorders>
              <w:top w:val="nil"/>
              <w:left w:val="nil"/>
              <w:bottom w:val="single" w:sz="4" w:space="0" w:color="auto"/>
              <w:right w:val="single" w:sz="4" w:space="0" w:color="auto"/>
            </w:tcBorders>
            <w:shd w:val="clear" w:color="auto" w:fill="auto"/>
            <w:hideMark/>
          </w:tcPr>
          <w:p w14:paraId="3EBFE68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62FC060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FOA</w:t>
            </w:r>
          </w:p>
        </w:tc>
        <w:tc>
          <w:tcPr>
            <w:tcW w:w="3730" w:type="dxa"/>
            <w:tcBorders>
              <w:top w:val="nil"/>
              <w:left w:val="nil"/>
              <w:bottom w:val="single" w:sz="4" w:space="0" w:color="auto"/>
              <w:right w:val="single" w:sz="4" w:space="0" w:color="auto"/>
            </w:tcBorders>
            <w:shd w:val="clear" w:color="auto" w:fill="auto"/>
            <w:hideMark/>
          </w:tcPr>
          <w:p w14:paraId="797F7EA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of discontinuous panel manufacturing facility from HFC-134a to HFO blowing agent at Army Factory</w:t>
            </w:r>
          </w:p>
        </w:tc>
        <w:tc>
          <w:tcPr>
            <w:tcW w:w="1260" w:type="dxa"/>
            <w:tcBorders>
              <w:top w:val="nil"/>
              <w:left w:val="nil"/>
              <w:bottom w:val="single" w:sz="4" w:space="0" w:color="auto"/>
              <w:right w:val="single" w:sz="4" w:space="0" w:color="auto"/>
            </w:tcBorders>
            <w:shd w:val="clear" w:color="auto" w:fill="auto"/>
            <w:hideMark/>
          </w:tcPr>
          <w:p w14:paraId="2B2B87A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224,694</w:t>
            </w:r>
          </w:p>
        </w:tc>
        <w:tc>
          <w:tcPr>
            <w:tcW w:w="1260" w:type="dxa"/>
            <w:tcBorders>
              <w:top w:val="nil"/>
              <w:left w:val="nil"/>
              <w:bottom w:val="single" w:sz="4" w:space="0" w:color="auto"/>
              <w:right w:val="single" w:sz="4" w:space="0" w:color="auto"/>
            </w:tcBorders>
            <w:shd w:val="clear" w:color="auto" w:fill="auto"/>
            <w:hideMark/>
          </w:tcPr>
          <w:p w14:paraId="4000764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15,729</w:t>
            </w:r>
          </w:p>
        </w:tc>
      </w:tr>
      <w:tr w:rsidR="00FA688C" w:rsidRPr="00FA688C" w14:paraId="792F83C4"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0C077D7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Egypt</w:t>
            </w:r>
          </w:p>
        </w:tc>
        <w:tc>
          <w:tcPr>
            <w:tcW w:w="1120" w:type="dxa"/>
            <w:tcBorders>
              <w:top w:val="nil"/>
              <w:left w:val="nil"/>
              <w:bottom w:val="single" w:sz="4" w:space="0" w:color="auto"/>
              <w:right w:val="single" w:sz="4" w:space="0" w:color="auto"/>
            </w:tcBorders>
            <w:shd w:val="clear" w:color="auto" w:fill="auto"/>
            <w:hideMark/>
          </w:tcPr>
          <w:p w14:paraId="16649CB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2CDDD11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54AAE4F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3B1F163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32A37207"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105,000</w:t>
            </w:r>
          </w:p>
        </w:tc>
        <w:tc>
          <w:tcPr>
            <w:tcW w:w="1260" w:type="dxa"/>
            <w:tcBorders>
              <w:top w:val="nil"/>
              <w:left w:val="nil"/>
              <w:bottom w:val="single" w:sz="4" w:space="0" w:color="auto"/>
              <w:right w:val="single" w:sz="4" w:space="0" w:color="auto"/>
            </w:tcBorders>
            <w:shd w:val="clear" w:color="auto" w:fill="auto"/>
            <w:hideMark/>
          </w:tcPr>
          <w:p w14:paraId="435A45A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7,350</w:t>
            </w:r>
          </w:p>
        </w:tc>
      </w:tr>
      <w:tr w:rsidR="00FA688C" w:rsidRPr="00FA688C" w14:paraId="2F0A0CDB"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2EDEDD7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Egypt</w:t>
            </w:r>
          </w:p>
        </w:tc>
        <w:tc>
          <w:tcPr>
            <w:tcW w:w="1120" w:type="dxa"/>
            <w:tcBorders>
              <w:top w:val="nil"/>
              <w:left w:val="nil"/>
              <w:bottom w:val="single" w:sz="4" w:space="0" w:color="auto"/>
              <w:right w:val="single" w:sz="4" w:space="0" w:color="auto"/>
            </w:tcBorders>
            <w:shd w:val="clear" w:color="auto" w:fill="auto"/>
            <w:hideMark/>
          </w:tcPr>
          <w:p w14:paraId="36E290A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2CD4CEA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7B09CBE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41DFCC2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41A71A2E"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145,000</w:t>
            </w:r>
          </w:p>
        </w:tc>
        <w:tc>
          <w:tcPr>
            <w:tcW w:w="1260" w:type="dxa"/>
            <w:tcBorders>
              <w:top w:val="nil"/>
              <w:left w:val="nil"/>
              <w:bottom w:val="single" w:sz="4" w:space="0" w:color="auto"/>
              <w:right w:val="single" w:sz="4" w:space="0" w:color="auto"/>
            </w:tcBorders>
            <w:shd w:val="clear" w:color="auto" w:fill="auto"/>
            <w:hideMark/>
          </w:tcPr>
          <w:p w14:paraId="42A42AC8"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10,150</w:t>
            </w:r>
          </w:p>
        </w:tc>
      </w:tr>
      <w:tr w:rsidR="00FA688C" w:rsidRPr="00FA688C" w14:paraId="50D040EB"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2F9BEB0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El Salvador</w:t>
            </w:r>
          </w:p>
        </w:tc>
        <w:tc>
          <w:tcPr>
            <w:tcW w:w="1120" w:type="dxa"/>
            <w:tcBorders>
              <w:top w:val="nil"/>
              <w:left w:val="nil"/>
              <w:bottom w:val="single" w:sz="4" w:space="0" w:color="auto"/>
              <w:right w:val="single" w:sz="4" w:space="0" w:color="auto"/>
            </w:tcBorders>
            <w:shd w:val="clear" w:color="auto" w:fill="auto"/>
            <w:hideMark/>
          </w:tcPr>
          <w:p w14:paraId="0B9336B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Canada</w:t>
            </w:r>
          </w:p>
        </w:tc>
        <w:tc>
          <w:tcPr>
            <w:tcW w:w="880" w:type="dxa"/>
            <w:tcBorders>
              <w:top w:val="nil"/>
              <w:left w:val="nil"/>
              <w:bottom w:val="single" w:sz="4" w:space="0" w:color="auto"/>
              <w:right w:val="single" w:sz="4" w:space="0" w:color="auto"/>
            </w:tcBorders>
            <w:shd w:val="clear" w:color="auto" w:fill="auto"/>
            <w:hideMark/>
          </w:tcPr>
          <w:p w14:paraId="29A7E56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91853B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25518A2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442CA8E5"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005826AC"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29B952F2"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6057463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El Salvador</w:t>
            </w:r>
          </w:p>
        </w:tc>
        <w:tc>
          <w:tcPr>
            <w:tcW w:w="1120" w:type="dxa"/>
            <w:tcBorders>
              <w:top w:val="nil"/>
              <w:left w:val="nil"/>
              <w:bottom w:val="single" w:sz="4" w:space="0" w:color="auto"/>
              <w:right w:val="single" w:sz="4" w:space="0" w:color="auto"/>
            </w:tcBorders>
            <w:shd w:val="clear" w:color="auto" w:fill="auto"/>
            <w:hideMark/>
          </w:tcPr>
          <w:p w14:paraId="0F2CD7B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UNDP</w:t>
            </w:r>
          </w:p>
        </w:tc>
        <w:tc>
          <w:tcPr>
            <w:tcW w:w="880" w:type="dxa"/>
            <w:tcBorders>
              <w:top w:val="nil"/>
              <w:left w:val="nil"/>
              <w:bottom w:val="single" w:sz="4" w:space="0" w:color="auto"/>
              <w:right w:val="single" w:sz="4" w:space="0" w:color="auto"/>
            </w:tcBorders>
            <w:shd w:val="clear" w:color="auto" w:fill="auto"/>
            <w:hideMark/>
          </w:tcPr>
          <w:p w14:paraId="465B478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36D35ED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65EAD17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7C72E798"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100,000</w:t>
            </w:r>
          </w:p>
        </w:tc>
        <w:tc>
          <w:tcPr>
            <w:tcW w:w="1260" w:type="dxa"/>
            <w:tcBorders>
              <w:top w:val="nil"/>
              <w:left w:val="nil"/>
              <w:bottom w:val="single" w:sz="4" w:space="0" w:color="auto"/>
              <w:right w:val="single" w:sz="4" w:space="0" w:color="auto"/>
            </w:tcBorders>
            <w:shd w:val="clear" w:color="auto" w:fill="auto"/>
            <w:hideMark/>
          </w:tcPr>
          <w:p w14:paraId="5F2BADD9"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7,000</w:t>
            </w:r>
          </w:p>
        </w:tc>
      </w:tr>
      <w:tr w:rsidR="00FA688C" w:rsidRPr="00FA688C" w14:paraId="48B4B5F3"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45AFE41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Equatorial Guinea</w:t>
            </w:r>
          </w:p>
        </w:tc>
        <w:tc>
          <w:tcPr>
            <w:tcW w:w="1120" w:type="dxa"/>
            <w:tcBorders>
              <w:top w:val="nil"/>
              <w:left w:val="nil"/>
              <w:bottom w:val="single" w:sz="4" w:space="0" w:color="auto"/>
              <w:right w:val="single" w:sz="4" w:space="0" w:color="auto"/>
            </w:tcBorders>
            <w:shd w:val="clear" w:color="auto" w:fill="auto"/>
            <w:hideMark/>
          </w:tcPr>
          <w:p w14:paraId="07CDCF2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7D8FBBC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0E23307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705F14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3A05502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78E01C90"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3F05BF89"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57B50C0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Ethiopia</w:t>
            </w:r>
          </w:p>
        </w:tc>
        <w:tc>
          <w:tcPr>
            <w:tcW w:w="1120" w:type="dxa"/>
            <w:tcBorders>
              <w:top w:val="nil"/>
              <w:left w:val="nil"/>
              <w:bottom w:val="single" w:sz="4" w:space="0" w:color="auto"/>
              <w:right w:val="single" w:sz="4" w:space="0" w:color="auto"/>
            </w:tcBorders>
            <w:shd w:val="clear" w:color="auto" w:fill="auto"/>
            <w:hideMark/>
          </w:tcPr>
          <w:p w14:paraId="579A95A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606CC55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47DC97D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4B9F42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1CD7C52C"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1CB3F68A"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5332FFBC"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5A91B57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Georgia</w:t>
            </w:r>
          </w:p>
        </w:tc>
        <w:tc>
          <w:tcPr>
            <w:tcW w:w="1120" w:type="dxa"/>
            <w:tcBorders>
              <w:top w:val="nil"/>
              <w:left w:val="nil"/>
              <w:bottom w:val="single" w:sz="4" w:space="0" w:color="auto"/>
              <w:right w:val="single" w:sz="4" w:space="0" w:color="auto"/>
            </w:tcBorders>
            <w:shd w:val="clear" w:color="auto" w:fill="auto"/>
            <w:hideMark/>
          </w:tcPr>
          <w:p w14:paraId="22EBC07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943897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3EFCA9B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E06A58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6008BE5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4A7A5C47"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208F31BE"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6689B75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Grenada</w:t>
            </w:r>
          </w:p>
        </w:tc>
        <w:tc>
          <w:tcPr>
            <w:tcW w:w="1120" w:type="dxa"/>
            <w:tcBorders>
              <w:top w:val="nil"/>
              <w:left w:val="nil"/>
              <w:bottom w:val="single" w:sz="4" w:space="0" w:color="auto"/>
              <w:right w:val="single" w:sz="4" w:space="0" w:color="auto"/>
            </w:tcBorders>
            <w:shd w:val="clear" w:color="auto" w:fill="auto"/>
            <w:hideMark/>
          </w:tcPr>
          <w:p w14:paraId="4C4C9CD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3228C79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617D67C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2304516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77B2E6A1"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25469A0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14A6FF9F"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307418E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Guinea-Bissau</w:t>
            </w:r>
          </w:p>
        </w:tc>
        <w:tc>
          <w:tcPr>
            <w:tcW w:w="1120" w:type="dxa"/>
            <w:tcBorders>
              <w:top w:val="nil"/>
              <w:left w:val="nil"/>
              <w:bottom w:val="single" w:sz="4" w:space="0" w:color="auto"/>
              <w:right w:val="single" w:sz="4" w:space="0" w:color="auto"/>
            </w:tcBorders>
            <w:shd w:val="clear" w:color="auto" w:fill="auto"/>
            <w:hideMark/>
          </w:tcPr>
          <w:p w14:paraId="70EBDEF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23D6429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6DC4600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21A5FFC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7853727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345AA635"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2E449942"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65A92B5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Guyana</w:t>
            </w:r>
          </w:p>
        </w:tc>
        <w:tc>
          <w:tcPr>
            <w:tcW w:w="1120" w:type="dxa"/>
            <w:tcBorders>
              <w:top w:val="nil"/>
              <w:left w:val="nil"/>
              <w:bottom w:val="single" w:sz="4" w:space="0" w:color="auto"/>
              <w:right w:val="single" w:sz="4" w:space="0" w:color="auto"/>
            </w:tcBorders>
            <w:shd w:val="clear" w:color="auto" w:fill="auto"/>
            <w:hideMark/>
          </w:tcPr>
          <w:p w14:paraId="25F155E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3678F42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593A69D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30FAF40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670C71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4F91FA85"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34CEB202"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18B843C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Honduras</w:t>
            </w:r>
          </w:p>
        </w:tc>
        <w:tc>
          <w:tcPr>
            <w:tcW w:w="1120" w:type="dxa"/>
            <w:tcBorders>
              <w:top w:val="nil"/>
              <w:left w:val="nil"/>
              <w:bottom w:val="single" w:sz="4" w:space="0" w:color="auto"/>
              <w:right w:val="single" w:sz="4" w:space="0" w:color="auto"/>
            </w:tcBorders>
            <w:shd w:val="clear" w:color="auto" w:fill="auto"/>
            <w:hideMark/>
          </w:tcPr>
          <w:p w14:paraId="700C279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1D57BBF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49D228E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1E78E92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1F95944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48670F9C"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34238A97"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88FC48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Indonesia</w:t>
            </w:r>
          </w:p>
        </w:tc>
        <w:tc>
          <w:tcPr>
            <w:tcW w:w="1120" w:type="dxa"/>
            <w:tcBorders>
              <w:top w:val="nil"/>
              <w:left w:val="nil"/>
              <w:bottom w:val="single" w:sz="4" w:space="0" w:color="auto"/>
              <w:right w:val="single" w:sz="4" w:space="0" w:color="auto"/>
            </w:tcBorders>
            <w:shd w:val="clear" w:color="auto" w:fill="auto"/>
            <w:hideMark/>
          </w:tcPr>
          <w:p w14:paraId="3E72512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IBRD</w:t>
            </w:r>
          </w:p>
        </w:tc>
        <w:tc>
          <w:tcPr>
            <w:tcW w:w="880" w:type="dxa"/>
            <w:tcBorders>
              <w:top w:val="nil"/>
              <w:left w:val="nil"/>
              <w:bottom w:val="single" w:sz="4" w:space="0" w:color="auto"/>
              <w:right w:val="single" w:sz="4" w:space="0" w:color="auto"/>
            </w:tcBorders>
            <w:shd w:val="clear" w:color="auto" w:fill="auto"/>
            <w:hideMark/>
          </w:tcPr>
          <w:p w14:paraId="42A0C36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C7505A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2066E39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634C38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250,000</w:t>
            </w:r>
          </w:p>
        </w:tc>
        <w:tc>
          <w:tcPr>
            <w:tcW w:w="1260" w:type="dxa"/>
            <w:tcBorders>
              <w:top w:val="nil"/>
              <w:left w:val="nil"/>
              <w:bottom w:val="single" w:sz="4" w:space="0" w:color="auto"/>
              <w:right w:val="single" w:sz="4" w:space="0" w:color="auto"/>
            </w:tcBorders>
            <w:shd w:val="clear" w:color="auto" w:fill="auto"/>
            <w:hideMark/>
          </w:tcPr>
          <w:p w14:paraId="513D34E8"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17,500</w:t>
            </w:r>
          </w:p>
        </w:tc>
      </w:tr>
      <w:tr w:rsidR="00FA688C" w:rsidRPr="00FA688C" w14:paraId="6CF7F0D0" w14:textId="77777777" w:rsidTr="004D6C0D">
        <w:trPr>
          <w:trHeight w:val="510"/>
        </w:trPr>
        <w:tc>
          <w:tcPr>
            <w:tcW w:w="1800" w:type="dxa"/>
            <w:tcBorders>
              <w:top w:val="nil"/>
              <w:left w:val="single" w:sz="4" w:space="0" w:color="auto"/>
              <w:bottom w:val="single" w:sz="4" w:space="0" w:color="auto"/>
              <w:right w:val="single" w:sz="4" w:space="0" w:color="auto"/>
            </w:tcBorders>
            <w:shd w:val="clear" w:color="auto" w:fill="auto"/>
            <w:hideMark/>
          </w:tcPr>
          <w:p w14:paraId="52888252" w14:textId="720928FF" w:rsidR="004D6C0D" w:rsidRPr="00FA688C" w:rsidRDefault="003F625D" w:rsidP="00FA688C">
            <w:pPr>
              <w:jc w:val="left"/>
              <w:rPr>
                <w:color w:val="000000" w:themeColor="text1"/>
                <w:sz w:val="20"/>
                <w:szCs w:val="20"/>
                <w:lang w:val="en-US"/>
              </w:rPr>
            </w:pPr>
            <w:r w:rsidRPr="003F625D">
              <w:rPr>
                <w:color w:val="000000" w:themeColor="text1"/>
                <w:sz w:val="20"/>
                <w:szCs w:val="20"/>
                <w:lang w:val="en-US"/>
              </w:rPr>
              <w:t>Iran (Islamic Republic of)</w:t>
            </w:r>
          </w:p>
        </w:tc>
        <w:tc>
          <w:tcPr>
            <w:tcW w:w="1120" w:type="dxa"/>
            <w:tcBorders>
              <w:top w:val="nil"/>
              <w:left w:val="nil"/>
              <w:bottom w:val="single" w:sz="4" w:space="0" w:color="auto"/>
              <w:right w:val="single" w:sz="4" w:space="0" w:color="auto"/>
            </w:tcBorders>
            <w:shd w:val="clear" w:color="auto" w:fill="auto"/>
            <w:hideMark/>
          </w:tcPr>
          <w:p w14:paraId="59FC57D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40C3651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230B13B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7AFFB821" w14:textId="537C5D55"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 xml:space="preserve">Conversion from HFC-134a to HFO1234yf in mobile air-conditioning of the </w:t>
            </w:r>
            <w:r w:rsidR="00BE08A4" w:rsidRPr="00FA688C">
              <w:rPr>
                <w:color w:val="000000" w:themeColor="text1"/>
                <w:sz w:val="20"/>
                <w:szCs w:val="20"/>
                <w:lang w:val="en-US"/>
              </w:rPr>
              <w:t>automotive</w:t>
            </w:r>
            <w:r w:rsidRPr="00FA688C">
              <w:rPr>
                <w:color w:val="000000" w:themeColor="text1"/>
                <w:sz w:val="20"/>
                <w:szCs w:val="20"/>
                <w:lang w:val="en-US"/>
              </w:rPr>
              <w:t xml:space="preserve"> sector</w:t>
            </w:r>
          </w:p>
        </w:tc>
        <w:tc>
          <w:tcPr>
            <w:tcW w:w="1260" w:type="dxa"/>
            <w:tcBorders>
              <w:top w:val="nil"/>
              <w:left w:val="nil"/>
              <w:bottom w:val="single" w:sz="4" w:space="0" w:color="auto"/>
              <w:right w:val="single" w:sz="4" w:space="0" w:color="auto"/>
            </w:tcBorders>
            <w:shd w:val="clear" w:color="auto" w:fill="auto"/>
            <w:hideMark/>
          </w:tcPr>
          <w:p w14:paraId="3F47BEBA"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689,000</w:t>
            </w:r>
          </w:p>
        </w:tc>
        <w:tc>
          <w:tcPr>
            <w:tcW w:w="1260" w:type="dxa"/>
            <w:tcBorders>
              <w:top w:val="nil"/>
              <w:left w:val="nil"/>
              <w:bottom w:val="single" w:sz="4" w:space="0" w:color="auto"/>
              <w:right w:val="single" w:sz="4" w:space="0" w:color="auto"/>
            </w:tcBorders>
            <w:shd w:val="clear" w:color="auto" w:fill="auto"/>
            <w:hideMark/>
          </w:tcPr>
          <w:p w14:paraId="3E6CBF69"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48,230</w:t>
            </w:r>
          </w:p>
        </w:tc>
      </w:tr>
      <w:tr w:rsidR="00FA688C" w:rsidRPr="00FA688C" w14:paraId="279C2602"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EDE5B5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Iraq</w:t>
            </w:r>
          </w:p>
        </w:tc>
        <w:tc>
          <w:tcPr>
            <w:tcW w:w="1120" w:type="dxa"/>
            <w:tcBorders>
              <w:top w:val="nil"/>
              <w:left w:val="nil"/>
              <w:bottom w:val="single" w:sz="4" w:space="0" w:color="auto"/>
              <w:right w:val="single" w:sz="4" w:space="0" w:color="auto"/>
            </w:tcBorders>
            <w:shd w:val="clear" w:color="auto" w:fill="auto"/>
            <w:hideMark/>
          </w:tcPr>
          <w:p w14:paraId="336200B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51C2B25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35418EF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2F16C39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175A6F98"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250,000</w:t>
            </w:r>
          </w:p>
        </w:tc>
        <w:tc>
          <w:tcPr>
            <w:tcW w:w="1260" w:type="dxa"/>
            <w:tcBorders>
              <w:top w:val="nil"/>
              <w:left w:val="nil"/>
              <w:bottom w:val="single" w:sz="4" w:space="0" w:color="auto"/>
              <w:right w:val="single" w:sz="4" w:space="0" w:color="auto"/>
            </w:tcBorders>
            <w:shd w:val="clear" w:color="auto" w:fill="auto"/>
            <w:hideMark/>
          </w:tcPr>
          <w:p w14:paraId="0377D7B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17,500</w:t>
            </w:r>
          </w:p>
        </w:tc>
      </w:tr>
      <w:tr w:rsidR="00FA688C" w:rsidRPr="00FA688C" w14:paraId="733BC60E" w14:textId="77777777" w:rsidTr="004D6C0D">
        <w:trPr>
          <w:trHeight w:val="765"/>
        </w:trPr>
        <w:tc>
          <w:tcPr>
            <w:tcW w:w="1800" w:type="dxa"/>
            <w:tcBorders>
              <w:top w:val="nil"/>
              <w:left w:val="single" w:sz="4" w:space="0" w:color="auto"/>
              <w:bottom w:val="single" w:sz="4" w:space="0" w:color="auto"/>
              <w:right w:val="single" w:sz="4" w:space="0" w:color="auto"/>
            </w:tcBorders>
            <w:shd w:val="clear" w:color="auto" w:fill="auto"/>
            <w:hideMark/>
          </w:tcPr>
          <w:p w14:paraId="2C6AE4F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Jordan</w:t>
            </w:r>
          </w:p>
        </w:tc>
        <w:tc>
          <w:tcPr>
            <w:tcW w:w="1120" w:type="dxa"/>
            <w:tcBorders>
              <w:top w:val="nil"/>
              <w:left w:val="nil"/>
              <w:bottom w:val="single" w:sz="4" w:space="0" w:color="auto"/>
              <w:right w:val="single" w:sz="4" w:space="0" w:color="auto"/>
            </w:tcBorders>
            <w:shd w:val="clear" w:color="auto" w:fill="auto"/>
            <w:hideMark/>
          </w:tcPr>
          <w:p w14:paraId="1BDF4B4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6056967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74D7204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7BFD535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of large commercial unitary roof top air-conditioning units of up to 400kW manufacturing facility from HFC (R134a, R407c, R410a) to propane R290 as refrigerant at Petra Engineering Industries Co.</w:t>
            </w:r>
          </w:p>
        </w:tc>
        <w:tc>
          <w:tcPr>
            <w:tcW w:w="1260" w:type="dxa"/>
            <w:tcBorders>
              <w:top w:val="nil"/>
              <w:left w:val="nil"/>
              <w:bottom w:val="single" w:sz="4" w:space="0" w:color="auto"/>
              <w:right w:val="single" w:sz="4" w:space="0" w:color="auto"/>
            </w:tcBorders>
            <w:shd w:val="clear" w:color="auto" w:fill="auto"/>
            <w:hideMark/>
          </w:tcPr>
          <w:p w14:paraId="40727EC7"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1,637,610</w:t>
            </w:r>
          </w:p>
        </w:tc>
        <w:tc>
          <w:tcPr>
            <w:tcW w:w="1260" w:type="dxa"/>
            <w:tcBorders>
              <w:top w:val="nil"/>
              <w:left w:val="nil"/>
              <w:bottom w:val="single" w:sz="4" w:space="0" w:color="auto"/>
              <w:right w:val="single" w:sz="4" w:space="0" w:color="auto"/>
            </w:tcBorders>
            <w:shd w:val="clear" w:color="auto" w:fill="auto"/>
            <w:hideMark/>
          </w:tcPr>
          <w:p w14:paraId="03767A3A"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114,633</w:t>
            </w:r>
          </w:p>
        </w:tc>
      </w:tr>
      <w:tr w:rsidR="00FA688C" w:rsidRPr="00FA688C" w14:paraId="64C992FA"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5729EFC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Kenya</w:t>
            </w:r>
          </w:p>
        </w:tc>
        <w:tc>
          <w:tcPr>
            <w:tcW w:w="1120" w:type="dxa"/>
            <w:tcBorders>
              <w:top w:val="nil"/>
              <w:left w:val="nil"/>
              <w:bottom w:val="single" w:sz="4" w:space="0" w:color="auto"/>
              <w:right w:val="single" w:sz="4" w:space="0" w:color="auto"/>
            </w:tcBorders>
            <w:shd w:val="clear" w:color="auto" w:fill="auto"/>
            <w:hideMark/>
          </w:tcPr>
          <w:p w14:paraId="7EDFDC3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6D10E62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3C5B3A4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12D72E8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6420B321"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5584DAC5"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0845D097"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241871B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Kiribati</w:t>
            </w:r>
          </w:p>
        </w:tc>
        <w:tc>
          <w:tcPr>
            <w:tcW w:w="1120" w:type="dxa"/>
            <w:tcBorders>
              <w:top w:val="nil"/>
              <w:left w:val="nil"/>
              <w:bottom w:val="single" w:sz="4" w:space="0" w:color="auto"/>
              <w:right w:val="single" w:sz="4" w:space="0" w:color="auto"/>
            </w:tcBorders>
            <w:shd w:val="clear" w:color="auto" w:fill="auto"/>
            <w:hideMark/>
          </w:tcPr>
          <w:p w14:paraId="58D02F3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5B0E6E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E96875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5FD36F5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4D627EA5"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56A16252"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111F3696"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95FDA7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Kuwait</w:t>
            </w:r>
          </w:p>
        </w:tc>
        <w:tc>
          <w:tcPr>
            <w:tcW w:w="1120" w:type="dxa"/>
            <w:tcBorders>
              <w:top w:val="nil"/>
              <w:left w:val="nil"/>
              <w:bottom w:val="single" w:sz="4" w:space="0" w:color="auto"/>
              <w:right w:val="single" w:sz="4" w:space="0" w:color="auto"/>
            </w:tcBorders>
            <w:shd w:val="clear" w:color="auto" w:fill="auto"/>
            <w:hideMark/>
          </w:tcPr>
          <w:p w14:paraId="6D4BF39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15CDFB3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1A2A7E5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6B3C920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DBB4E58"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250,000</w:t>
            </w:r>
          </w:p>
        </w:tc>
        <w:tc>
          <w:tcPr>
            <w:tcW w:w="1260" w:type="dxa"/>
            <w:tcBorders>
              <w:top w:val="nil"/>
              <w:left w:val="nil"/>
              <w:bottom w:val="single" w:sz="4" w:space="0" w:color="auto"/>
              <w:right w:val="single" w:sz="4" w:space="0" w:color="auto"/>
            </w:tcBorders>
            <w:shd w:val="clear" w:color="auto" w:fill="auto"/>
            <w:hideMark/>
          </w:tcPr>
          <w:p w14:paraId="65B94F2C"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17,500</w:t>
            </w:r>
          </w:p>
        </w:tc>
      </w:tr>
      <w:tr w:rsidR="00FA688C" w:rsidRPr="00FA688C" w14:paraId="797C1063"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57DC5AC" w14:textId="5200EA0D" w:rsidR="004D6C0D" w:rsidRPr="00FA688C" w:rsidRDefault="003F625D" w:rsidP="00FA688C">
            <w:pPr>
              <w:jc w:val="left"/>
              <w:rPr>
                <w:color w:val="000000" w:themeColor="text1"/>
                <w:sz w:val="20"/>
                <w:szCs w:val="20"/>
                <w:lang w:val="en-US"/>
              </w:rPr>
            </w:pPr>
            <w:r w:rsidRPr="003F625D">
              <w:rPr>
                <w:color w:val="000000" w:themeColor="text1"/>
                <w:sz w:val="20"/>
                <w:szCs w:val="20"/>
                <w:lang w:val="en-US"/>
              </w:rPr>
              <w:t>Lao People's Democratic Republic (the)</w:t>
            </w:r>
          </w:p>
        </w:tc>
        <w:tc>
          <w:tcPr>
            <w:tcW w:w="1120" w:type="dxa"/>
            <w:tcBorders>
              <w:top w:val="nil"/>
              <w:left w:val="nil"/>
              <w:bottom w:val="single" w:sz="4" w:space="0" w:color="auto"/>
              <w:right w:val="single" w:sz="4" w:space="0" w:color="auto"/>
            </w:tcBorders>
            <w:shd w:val="clear" w:color="auto" w:fill="auto"/>
            <w:hideMark/>
          </w:tcPr>
          <w:p w14:paraId="751545A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C1D0BE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115F663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13E1A4D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527CFFC1"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206C656F"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4C31E0EA" w14:textId="77777777" w:rsidTr="004D6C0D">
        <w:trPr>
          <w:trHeight w:val="510"/>
        </w:trPr>
        <w:tc>
          <w:tcPr>
            <w:tcW w:w="1800" w:type="dxa"/>
            <w:tcBorders>
              <w:top w:val="nil"/>
              <w:left w:val="single" w:sz="4" w:space="0" w:color="auto"/>
              <w:bottom w:val="single" w:sz="4" w:space="0" w:color="auto"/>
              <w:right w:val="single" w:sz="4" w:space="0" w:color="auto"/>
            </w:tcBorders>
            <w:shd w:val="clear" w:color="auto" w:fill="auto"/>
            <w:hideMark/>
          </w:tcPr>
          <w:p w14:paraId="278DA79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Lebanon</w:t>
            </w:r>
          </w:p>
        </w:tc>
        <w:tc>
          <w:tcPr>
            <w:tcW w:w="1120" w:type="dxa"/>
            <w:tcBorders>
              <w:top w:val="nil"/>
              <w:left w:val="nil"/>
              <w:bottom w:val="single" w:sz="4" w:space="0" w:color="auto"/>
              <w:right w:val="single" w:sz="4" w:space="0" w:color="auto"/>
            </w:tcBorders>
            <w:shd w:val="clear" w:color="auto" w:fill="auto"/>
            <w:hideMark/>
          </w:tcPr>
          <w:p w14:paraId="00632EF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780E5F4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5A6ADA1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503CEFA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from HFC-134a and HFC-404A to R-600a and R-290 in domestic refrigeration at Lematic Industries</w:t>
            </w:r>
          </w:p>
        </w:tc>
        <w:tc>
          <w:tcPr>
            <w:tcW w:w="1260" w:type="dxa"/>
            <w:tcBorders>
              <w:top w:val="nil"/>
              <w:left w:val="nil"/>
              <w:bottom w:val="single" w:sz="4" w:space="0" w:color="auto"/>
              <w:right w:val="single" w:sz="4" w:space="0" w:color="auto"/>
            </w:tcBorders>
            <w:shd w:val="clear" w:color="auto" w:fill="auto"/>
            <w:hideMark/>
          </w:tcPr>
          <w:p w14:paraId="4CC3CBD0"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1,053,858</w:t>
            </w:r>
          </w:p>
        </w:tc>
        <w:tc>
          <w:tcPr>
            <w:tcW w:w="1260" w:type="dxa"/>
            <w:tcBorders>
              <w:top w:val="nil"/>
              <w:left w:val="nil"/>
              <w:bottom w:val="single" w:sz="4" w:space="0" w:color="auto"/>
              <w:right w:val="single" w:sz="4" w:space="0" w:color="auto"/>
            </w:tcBorders>
            <w:shd w:val="clear" w:color="auto" w:fill="auto"/>
            <w:hideMark/>
          </w:tcPr>
          <w:p w14:paraId="0E6ED018"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73,770</w:t>
            </w:r>
          </w:p>
        </w:tc>
      </w:tr>
      <w:tr w:rsidR="00FA688C" w:rsidRPr="00FA688C" w14:paraId="0C079D8B"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308E53B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Libya</w:t>
            </w:r>
          </w:p>
        </w:tc>
        <w:tc>
          <w:tcPr>
            <w:tcW w:w="1120" w:type="dxa"/>
            <w:tcBorders>
              <w:top w:val="nil"/>
              <w:left w:val="nil"/>
              <w:bottom w:val="single" w:sz="4" w:space="0" w:color="auto"/>
              <w:right w:val="single" w:sz="4" w:space="0" w:color="auto"/>
            </w:tcBorders>
            <w:shd w:val="clear" w:color="auto" w:fill="auto"/>
            <w:hideMark/>
          </w:tcPr>
          <w:p w14:paraId="5F2D693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6C2B555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557631C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325FFE8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7B5329A"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6D630D71"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36871037"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1B3389C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Madagascar</w:t>
            </w:r>
          </w:p>
        </w:tc>
        <w:tc>
          <w:tcPr>
            <w:tcW w:w="1120" w:type="dxa"/>
            <w:tcBorders>
              <w:top w:val="nil"/>
              <w:left w:val="nil"/>
              <w:bottom w:val="single" w:sz="4" w:space="0" w:color="auto"/>
              <w:right w:val="single" w:sz="4" w:space="0" w:color="auto"/>
            </w:tcBorders>
            <w:shd w:val="clear" w:color="auto" w:fill="auto"/>
            <w:hideMark/>
          </w:tcPr>
          <w:p w14:paraId="23397E8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6FB87FD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140E850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0C11159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674F082"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4F3B71BC"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6FF3D922"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685DC6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Malawi</w:t>
            </w:r>
          </w:p>
        </w:tc>
        <w:tc>
          <w:tcPr>
            <w:tcW w:w="1120" w:type="dxa"/>
            <w:tcBorders>
              <w:top w:val="nil"/>
              <w:left w:val="nil"/>
              <w:bottom w:val="single" w:sz="4" w:space="0" w:color="auto"/>
              <w:right w:val="single" w:sz="4" w:space="0" w:color="auto"/>
            </w:tcBorders>
            <w:shd w:val="clear" w:color="auto" w:fill="auto"/>
            <w:hideMark/>
          </w:tcPr>
          <w:p w14:paraId="0866489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56FCBB8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38B2F3A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443902D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5A2EB10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4C4AE30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2C35B052"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8DDCE8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Mali</w:t>
            </w:r>
          </w:p>
        </w:tc>
        <w:tc>
          <w:tcPr>
            <w:tcW w:w="1120" w:type="dxa"/>
            <w:tcBorders>
              <w:top w:val="nil"/>
              <w:left w:val="nil"/>
              <w:bottom w:val="single" w:sz="4" w:space="0" w:color="auto"/>
              <w:right w:val="single" w:sz="4" w:space="0" w:color="auto"/>
            </w:tcBorders>
            <w:shd w:val="clear" w:color="auto" w:fill="auto"/>
            <w:hideMark/>
          </w:tcPr>
          <w:p w14:paraId="704927D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18B889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103654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1A50B0D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49C87AA"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240D45A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283A6313"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22BA0A6A" w14:textId="42C076C6" w:rsidR="004D6C0D" w:rsidRPr="00FA688C" w:rsidRDefault="003F625D" w:rsidP="00FA688C">
            <w:pPr>
              <w:jc w:val="left"/>
              <w:rPr>
                <w:color w:val="000000" w:themeColor="text1"/>
                <w:sz w:val="20"/>
                <w:szCs w:val="20"/>
                <w:lang w:val="en-US"/>
              </w:rPr>
            </w:pPr>
            <w:r w:rsidRPr="003F625D">
              <w:rPr>
                <w:color w:val="000000" w:themeColor="text1"/>
                <w:sz w:val="20"/>
                <w:szCs w:val="20"/>
                <w:lang w:val="en-US"/>
              </w:rPr>
              <w:t>Marshall Islands (the)</w:t>
            </w:r>
          </w:p>
        </w:tc>
        <w:tc>
          <w:tcPr>
            <w:tcW w:w="1120" w:type="dxa"/>
            <w:tcBorders>
              <w:top w:val="nil"/>
              <w:left w:val="nil"/>
              <w:bottom w:val="single" w:sz="4" w:space="0" w:color="auto"/>
              <w:right w:val="single" w:sz="4" w:space="0" w:color="auto"/>
            </w:tcBorders>
            <w:shd w:val="clear" w:color="auto" w:fill="auto"/>
            <w:hideMark/>
          </w:tcPr>
          <w:p w14:paraId="562E491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8B5F2B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072DDCC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057CA1C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19563791"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1B9E6FF9"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08F583FC"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62F78B8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Mauritania</w:t>
            </w:r>
          </w:p>
        </w:tc>
        <w:tc>
          <w:tcPr>
            <w:tcW w:w="1120" w:type="dxa"/>
            <w:tcBorders>
              <w:top w:val="nil"/>
              <w:left w:val="nil"/>
              <w:bottom w:val="single" w:sz="4" w:space="0" w:color="auto"/>
              <w:right w:val="single" w:sz="4" w:space="0" w:color="auto"/>
            </w:tcBorders>
            <w:shd w:val="clear" w:color="auto" w:fill="auto"/>
            <w:hideMark/>
          </w:tcPr>
          <w:p w14:paraId="4DB143D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2483671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6017BA9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095E4B1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1744E9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65F87D8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3D50F199" w14:textId="77777777" w:rsidTr="004D6C0D">
        <w:trPr>
          <w:trHeight w:val="765"/>
        </w:trPr>
        <w:tc>
          <w:tcPr>
            <w:tcW w:w="1800" w:type="dxa"/>
            <w:tcBorders>
              <w:top w:val="nil"/>
              <w:left w:val="single" w:sz="4" w:space="0" w:color="auto"/>
              <w:bottom w:val="single" w:sz="4" w:space="0" w:color="auto"/>
              <w:right w:val="single" w:sz="4" w:space="0" w:color="auto"/>
            </w:tcBorders>
            <w:shd w:val="clear" w:color="auto" w:fill="auto"/>
            <w:hideMark/>
          </w:tcPr>
          <w:p w14:paraId="4DD51FD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Mexico</w:t>
            </w:r>
          </w:p>
        </w:tc>
        <w:tc>
          <w:tcPr>
            <w:tcW w:w="1120" w:type="dxa"/>
            <w:tcBorders>
              <w:top w:val="nil"/>
              <w:left w:val="nil"/>
              <w:bottom w:val="single" w:sz="4" w:space="0" w:color="auto"/>
              <w:right w:val="single" w:sz="4" w:space="0" w:color="auto"/>
            </w:tcBorders>
            <w:shd w:val="clear" w:color="auto" w:fill="auto"/>
            <w:hideMark/>
          </w:tcPr>
          <w:p w14:paraId="0433EF1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57676F9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362FC1F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6131656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of commercial refrigeration manufacturing in two facilities from the use of HFC-134a and R-404A as the refrigerants to propane (R-290) and isobutane (R-600a) at Imbera</w:t>
            </w:r>
          </w:p>
        </w:tc>
        <w:tc>
          <w:tcPr>
            <w:tcW w:w="1260" w:type="dxa"/>
            <w:tcBorders>
              <w:top w:val="nil"/>
              <w:left w:val="nil"/>
              <w:bottom w:val="single" w:sz="4" w:space="0" w:color="auto"/>
              <w:right w:val="single" w:sz="4" w:space="0" w:color="auto"/>
            </w:tcBorders>
            <w:shd w:val="clear" w:color="auto" w:fill="auto"/>
            <w:hideMark/>
          </w:tcPr>
          <w:p w14:paraId="3F0C8C4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1,018,123</w:t>
            </w:r>
          </w:p>
        </w:tc>
        <w:tc>
          <w:tcPr>
            <w:tcW w:w="1260" w:type="dxa"/>
            <w:tcBorders>
              <w:top w:val="nil"/>
              <w:left w:val="nil"/>
              <w:bottom w:val="single" w:sz="4" w:space="0" w:color="auto"/>
              <w:right w:val="single" w:sz="4" w:space="0" w:color="auto"/>
            </w:tcBorders>
            <w:shd w:val="clear" w:color="auto" w:fill="auto"/>
            <w:hideMark/>
          </w:tcPr>
          <w:p w14:paraId="5F6EEB97"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71,268</w:t>
            </w:r>
          </w:p>
        </w:tc>
      </w:tr>
      <w:tr w:rsidR="00FA688C" w:rsidRPr="00FA688C" w14:paraId="54D70E3F" w14:textId="77777777" w:rsidTr="004D6C0D">
        <w:trPr>
          <w:trHeight w:val="1020"/>
        </w:trPr>
        <w:tc>
          <w:tcPr>
            <w:tcW w:w="1800" w:type="dxa"/>
            <w:tcBorders>
              <w:top w:val="nil"/>
              <w:left w:val="single" w:sz="4" w:space="0" w:color="auto"/>
              <w:bottom w:val="single" w:sz="4" w:space="0" w:color="auto"/>
              <w:right w:val="single" w:sz="4" w:space="0" w:color="auto"/>
            </w:tcBorders>
            <w:shd w:val="clear" w:color="auto" w:fill="auto"/>
            <w:hideMark/>
          </w:tcPr>
          <w:p w14:paraId="65514A1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lastRenderedPageBreak/>
              <w:t>Mexico</w:t>
            </w:r>
          </w:p>
        </w:tc>
        <w:tc>
          <w:tcPr>
            <w:tcW w:w="1120" w:type="dxa"/>
            <w:tcBorders>
              <w:top w:val="nil"/>
              <w:left w:val="nil"/>
              <w:bottom w:val="single" w:sz="4" w:space="0" w:color="auto"/>
              <w:right w:val="single" w:sz="4" w:space="0" w:color="auto"/>
            </w:tcBorders>
            <w:shd w:val="clear" w:color="auto" w:fill="auto"/>
            <w:hideMark/>
          </w:tcPr>
          <w:p w14:paraId="7A93D6C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UNDP</w:t>
            </w:r>
          </w:p>
        </w:tc>
        <w:tc>
          <w:tcPr>
            <w:tcW w:w="880" w:type="dxa"/>
            <w:tcBorders>
              <w:top w:val="nil"/>
              <w:left w:val="nil"/>
              <w:bottom w:val="single" w:sz="4" w:space="0" w:color="auto"/>
              <w:right w:val="single" w:sz="4" w:space="0" w:color="auto"/>
            </w:tcBorders>
            <w:shd w:val="clear" w:color="auto" w:fill="auto"/>
            <w:hideMark/>
          </w:tcPr>
          <w:p w14:paraId="14A27CC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389905C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618075D1" w14:textId="4D8F7023"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 xml:space="preserve">Conversion of domestic refrigeration manufacturing facility from HFC-134a to isobutane as a refrigerant and conversion of </w:t>
            </w:r>
            <w:r w:rsidR="00BE08A4" w:rsidRPr="00FA688C">
              <w:rPr>
                <w:color w:val="000000" w:themeColor="text1"/>
                <w:sz w:val="20"/>
                <w:szCs w:val="20"/>
                <w:lang w:val="en-US"/>
              </w:rPr>
              <w:t>compressors</w:t>
            </w:r>
            <w:r w:rsidRPr="00FA688C">
              <w:rPr>
                <w:color w:val="000000" w:themeColor="text1"/>
                <w:sz w:val="20"/>
                <w:szCs w:val="20"/>
                <w:lang w:val="en-US"/>
              </w:rPr>
              <w:t xml:space="preserve"> manufacturing facility from HFC-134a-based to isobutane-based at Mabe Mexico</w:t>
            </w:r>
          </w:p>
        </w:tc>
        <w:tc>
          <w:tcPr>
            <w:tcW w:w="1260" w:type="dxa"/>
            <w:tcBorders>
              <w:top w:val="nil"/>
              <w:left w:val="nil"/>
              <w:bottom w:val="single" w:sz="4" w:space="0" w:color="auto"/>
              <w:right w:val="single" w:sz="4" w:space="0" w:color="auto"/>
            </w:tcBorders>
            <w:shd w:val="clear" w:color="auto" w:fill="auto"/>
            <w:hideMark/>
          </w:tcPr>
          <w:p w14:paraId="1834C5C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2,533,662</w:t>
            </w:r>
          </w:p>
        </w:tc>
        <w:tc>
          <w:tcPr>
            <w:tcW w:w="1260" w:type="dxa"/>
            <w:tcBorders>
              <w:top w:val="nil"/>
              <w:left w:val="nil"/>
              <w:bottom w:val="single" w:sz="4" w:space="0" w:color="auto"/>
              <w:right w:val="single" w:sz="4" w:space="0" w:color="auto"/>
            </w:tcBorders>
            <w:shd w:val="clear" w:color="auto" w:fill="auto"/>
            <w:hideMark/>
          </w:tcPr>
          <w:p w14:paraId="3B94C1AE"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177,356</w:t>
            </w:r>
          </w:p>
        </w:tc>
      </w:tr>
      <w:tr w:rsidR="00FA688C" w:rsidRPr="00FA688C" w14:paraId="1F9A5348" w14:textId="77777777" w:rsidTr="004D6C0D">
        <w:trPr>
          <w:trHeight w:val="152"/>
        </w:trPr>
        <w:tc>
          <w:tcPr>
            <w:tcW w:w="1800" w:type="dxa"/>
            <w:tcBorders>
              <w:top w:val="nil"/>
              <w:left w:val="single" w:sz="4" w:space="0" w:color="auto"/>
              <w:bottom w:val="single" w:sz="4" w:space="0" w:color="auto"/>
              <w:right w:val="single" w:sz="4" w:space="0" w:color="auto"/>
            </w:tcBorders>
            <w:shd w:val="clear" w:color="auto" w:fill="auto"/>
            <w:hideMark/>
          </w:tcPr>
          <w:p w14:paraId="594A5F2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Mexico</w:t>
            </w:r>
          </w:p>
        </w:tc>
        <w:tc>
          <w:tcPr>
            <w:tcW w:w="1120" w:type="dxa"/>
            <w:tcBorders>
              <w:top w:val="nil"/>
              <w:left w:val="nil"/>
              <w:bottom w:val="single" w:sz="4" w:space="0" w:color="auto"/>
              <w:right w:val="single" w:sz="4" w:space="0" w:color="auto"/>
            </w:tcBorders>
            <w:shd w:val="clear" w:color="auto" w:fill="auto"/>
            <w:hideMark/>
          </w:tcPr>
          <w:p w14:paraId="153133F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Canada</w:t>
            </w:r>
          </w:p>
        </w:tc>
        <w:tc>
          <w:tcPr>
            <w:tcW w:w="880" w:type="dxa"/>
            <w:tcBorders>
              <w:top w:val="nil"/>
              <w:left w:val="nil"/>
              <w:bottom w:val="single" w:sz="4" w:space="0" w:color="auto"/>
              <w:right w:val="single" w:sz="4" w:space="0" w:color="auto"/>
            </w:tcBorders>
            <w:shd w:val="clear" w:color="auto" w:fill="auto"/>
            <w:hideMark/>
          </w:tcPr>
          <w:p w14:paraId="1BA3213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5C3DDAF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4C0671C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of domestic refrigeration manufacturing facility from HFC-134a to isobutane as a refrigerant at Mabe Mexico</w:t>
            </w:r>
          </w:p>
        </w:tc>
        <w:tc>
          <w:tcPr>
            <w:tcW w:w="1260" w:type="dxa"/>
            <w:tcBorders>
              <w:top w:val="nil"/>
              <w:left w:val="nil"/>
              <w:bottom w:val="single" w:sz="4" w:space="0" w:color="auto"/>
              <w:right w:val="single" w:sz="4" w:space="0" w:color="auto"/>
            </w:tcBorders>
            <w:shd w:val="clear" w:color="auto" w:fill="auto"/>
            <w:hideMark/>
          </w:tcPr>
          <w:p w14:paraId="2E489C2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584,988</w:t>
            </w:r>
          </w:p>
        </w:tc>
        <w:tc>
          <w:tcPr>
            <w:tcW w:w="1260" w:type="dxa"/>
            <w:tcBorders>
              <w:top w:val="nil"/>
              <w:left w:val="nil"/>
              <w:bottom w:val="single" w:sz="4" w:space="0" w:color="auto"/>
              <w:right w:val="single" w:sz="4" w:space="0" w:color="auto"/>
            </w:tcBorders>
            <w:shd w:val="clear" w:color="auto" w:fill="auto"/>
            <w:hideMark/>
          </w:tcPr>
          <w:p w14:paraId="329BD72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74,349</w:t>
            </w:r>
          </w:p>
        </w:tc>
      </w:tr>
      <w:tr w:rsidR="00FA688C" w:rsidRPr="00FA688C" w14:paraId="691F3B4C"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E79AFA5" w14:textId="5C20E273" w:rsidR="004D6C0D" w:rsidRPr="00FA688C" w:rsidRDefault="003F625D" w:rsidP="00FA688C">
            <w:pPr>
              <w:jc w:val="left"/>
              <w:rPr>
                <w:color w:val="000000" w:themeColor="text1"/>
                <w:sz w:val="20"/>
                <w:szCs w:val="20"/>
                <w:lang w:val="en-US"/>
              </w:rPr>
            </w:pPr>
            <w:r w:rsidRPr="003F625D">
              <w:rPr>
                <w:color w:val="000000" w:themeColor="text1"/>
                <w:sz w:val="20"/>
                <w:szCs w:val="20"/>
                <w:lang w:val="en-US"/>
              </w:rPr>
              <w:t>Micronesia (Federated States of)</w:t>
            </w:r>
          </w:p>
        </w:tc>
        <w:tc>
          <w:tcPr>
            <w:tcW w:w="1120" w:type="dxa"/>
            <w:tcBorders>
              <w:top w:val="nil"/>
              <w:left w:val="nil"/>
              <w:bottom w:val="single" w:sz="4" w:space="0" w:color="auto"/>
              <w:right w:val="single" w:sz="4" w:space="0" w:color="auto"/>
            </w:tcBorders>
            <w:shd w:val="clear" w:color="auto" w:fill="auto"/>
            <w:hideMark/>
          </w:tcPr>
          <w:p w14:paraId="1D54398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32F381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0586F07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24C2FA1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6701126E"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2F2CEA24"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5DC11331"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6E32B2B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Morocco</w:t>
            </w:r>
          </w:p>
        </w:tc>
        <w:tc>
          <w:tcPr>
            <w:tcW w:w="1120" w:type="dxa"/>
            <w:tcBorders>
              <w:top w:val="nil"/>
              <w:left w:val="nil"/>
              <w:bottom w:val="single" w:sz="4" w:space="0" w:color="auto"/>
              <w:right w:val="single" w:sz="4" w:space="0" w:color="auto"/>
            </w:tcBorders>
            <w:shd w:val="clear" w:color="auto" w:fill="auto"/>
            <w:hideMark/>
          </w:tcPr>
          <w:p w14:paraId="29FFFE9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5CD6992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FBD829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1448DC5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4A3AA404"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46B30B30"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32425EE9"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530A281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Mozambique</w:t>
            </w:r>
          </w:p>
        </w:tc>
        <w:tc>
          <w:tcPr>
            <w:tcW w:w="1120" w:type="dxa"/>
            <w:tcBorders>
              <w:top w:val="nil"/>
              <w:left w:val="nil"/>
              <w:bottom w:val="single" w:sz="4" w:space="0" w:color="auto"/>
              <w:right w:val="single" w:sz="4" w:space="0" w:color="auto"/>
            </w:tcBorders>
            <w:shd w:val="clear" w:color="auto" w:fill="auto"/>
            <w:hideMark/>
          </w:tcPr>
          <w:p w14:paraId="47B0429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FF82F1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7F34609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1769B69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4D8F0BA2"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03BE2FF4"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54703944"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373FDE1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Myanmar</w:t>
            </w:r>
          </w:p>
        </w:tc>
        <w:tc>
          <w:tcPr>
            <w:tcW w:w="1120" w:type="dxa"/>
            <w:tcBorders>
              <w:top w:val="nil"/>
              <w:left w:val="nil"/>
              <w:bottom w:val="single" w:sz="4" w:space="0" w:color="auto"/>
              <w:right w:val="single" w:sz="4" w:space="0" w:color="auto"/>
            </w:tcBorders>
            <w:shd w:val="clear" w:color="auto" w:fill="auto"/>
            <w:hideMark/>
          </w:tcPr>
          <w:p w14:paraId="28391E0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3242F44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4DA1FE9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5AAFD20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619FA3E"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4DA1D4DE"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7CDBD239"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051BFC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Nauru</w:t>
            </w:r>
          </w:p>
        </w:tc>
        <w:tc>
          <w:tcPr>
            <w:tcW w:w="1120" w:type="dxa"/>
            <w:tcBorders>
              <w:top w:val="nil"/>
              <w:left w:val="nil"/>
              <w:bottom w:val="single" w:sz="4" w:space="0" w:color="auto"/>
              <w:right w:val="single" w:sz="4" w:space="0" w:color="auto"/>
            </w:tcBorders>
            <w:shd w:val="clear" w:color="auto" w:fill="auto"/>
            <w:hideMark/>
          </w:tcPr>
          <w:p w14:paraId="0B36A8C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AF5CDC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52E361C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82B8C2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39AD759C"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4E85C4C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7EBD2A65"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181CC82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Nepal</w:t>
            </w:r>
          </w:p>
        </w:tc>
        <w:tc>
          <w:tcPr>
            <w:tcW w:w="1120" w:type="dxa"/>
            <w:tcBorders>
              <w:top w:val="nil"/>
              <w:left w:val="nil"/>
              <w:bottom w:val="single" w:sz="4" w:space="0" w:color="auto"/>
              <w:right w:val="single" w:sz="4" w:space="0" w:color="auto"/>
            </w:tcBorders>
            <w:shd w:val="clear" w:color="auto" w:fill="auto"/>
            <w:hideMark/>
          </w:tcPr>
          <w:p w14:paraId="2338166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39BF4B4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7AB7939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6FA52B6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E7E962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49528B77"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4572B1CE"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3A10608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Nicaragua</w:t>
            </w:r>
          </w:p>
        </w:tc>
        <w:tc>
          <w:tcPr>
            <w:tcW w:w="1120" w:type="dxa"/>
            <w:tcBorders>
              <w:top w:val="nil"/>
              <w:left w:val="nil"/>
              <w:bottom w:val="single" w:sz="4" w:space="0" w:color="auto"/>
              <w:right w:val="single" w:sz="4" w:space="0" w:color="auto"/>
            </w:tcBorders>
            <w:shd w:val="clear" w:color="auto" w:fill="auto"/>
            <w:hideMark/>
          </w:tcPr>
          <w:p w14:paraId="2154BE7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4B1AB7E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5B0D5A3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2A4A557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0BD37CF"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7612AC8E"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130A9A12"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5C1C18B5" w14:textId="23E05E05" w:rsidR="004D6C0D" w:rsidRPr="00FA688C" w:rsidRDefault="003F625D" w:rsidP="00FA688C">
            <w:pPr>
              <w:jc w:val="left"/>
              <w:rPr>
                <w:color w:val="000000" w:themeColor="text1"/>
                <w:sz w:val="20"/>
                <w:szCs w:val="20"/>
                <w:lang w:val="en-US"/>
              </w:rPr>
            </w:pPr>
            <w:r w:rsidRPr="003F625D">
              <w:rPr>
                <w:color w:val="000000" w:themeColor="text1"/>
                <w:sz w:val="20"/>
                <w:szCs w:val="20"/>
                <w:lang w:val="en-US"/>
              </w:rPr>
              <w:t>Niger (the)</w:t>
            </w:r>
          </w:p>
        </w:tc>
        <w:tc>
          <w:tcPr>
            <w:tcW w:w="1120" w:type="dxa"/>
            <w:tcBorders>
              <w:top w:val="nil"/>
              <w:left w:val="nil"/>
              <w:bottom w:val="single" w:sz="4" w:space="0" w:color="auto"/>
              <w:right w:val="single" w:sz="4" w:space="0" w:color="auto"/>
            </w:tcBorders>
            <w:shd w:val="clear" w:color="auto" w:fill="auto"/>
            <w:hideMark/>
          </w:tcPr>
          <w:p w14:paraId="3CECAEA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5EF5CAE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1677137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1333BA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5584A46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5CA3CD5F"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28D1391E"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18C54EE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Niue</w:t>
            </w:r>
          </w:p>
        </w:tc>
        <w:tc>
          <w:tcPr>
            <w:tcW w:w="1120" w:type="dxa"/>
            <w:tcBorders>
              <w:top w:val="nil"/>
              <w:left w:val="nil"/>
              <w:bottom w:val="single" w:sz="4" w:space="0" w:color="auto"/>
              <w:right w:val="single" w:sz="4" w:space="0" w:color="auto"/>
            </w:tcBorders>
            <w:shd w:val="clear" w:color="auto" w:fill="auto"/>
            <w:hideMark/>
          </w:tcPr>
          <w:p w14:paraId="646FB2E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2C2F255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7B8DAF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9B422F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EAD7E20"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30CC4DC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0E60936A"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D88FB9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Oman</w:t>
            </w:r>
          </w:p>
        </w:tc>
        <w:tc>
          <w:tcPr>
            <w:tcW w:w="1120" w:type="dxa"/>
            <w:tcBorders>
              <w:top w:val="nil"/>
              <w:left w:val="nil"/>
              <w:bottom w:val="single" w:sz="4" w:space="0" w:color="auto"/>
              <w:right w:val="single" w:sz="4" w:space="0" w:color="auto"/>
            </w:tcBorders>
            <w:shd w:val="clear" w:color="auto" w:fill="auto"/>
            <w:hideMark/>
          </w:tcPr>
          <w:p w14:paraId="0B293CA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807C5B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6D39573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4BD3F9B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1E1F39B2"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2EF52A32"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4772C90C"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2A03F56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Pakistan</w:t>
            </w:r>
          </w:p>
        </w:tc>
        <w:tc>
          <w:tcPr>
            <w:tcW w:w="1120" w:type="dxa"/>
            <w:tcBorders>
              <w:top w:val="nil"/>
              <w:left w:val="nil"/>
              <w:bottom w:val="single" w:sz="4" w:space="0" w:color="auto"/>
              <w:right w:val="single" w:sz="4" w:space="0" w:color="auto"/>
            </w:tcBorders>
            <w:shd w:val="clear" w:color="auto" w:fill="auto"/>
            <w:hideMark/>
          </w:tcPr>
          <w:p w14:paraId="74EACE4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6EF873C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4C7E680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286A443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FC8B4A0"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250,000</w:t>
            </w:r>
          </w:p>
        </w:tc>
        <w:tc>
          <w:tcPr>
            <w:tcW w:w="1260" w:type="dxa"/>
            <w:tcBorders>
              <w:top w:val="nil"/>
              <w:left w:val="nil"/>
              <w:bottom w:val="single" w:sz="4" w:space="0" w:color="auto"/>
              <w:right w:val="single" w:sz="4" w:space="0" w:color="auto"/>
            </w:tcBorders>
            <w:shd w:val="clear" w:color="auto" w:fill="auto"/>
            <w:hideMark/>
          </w:tcPr>
          <w:p w14:paraId="21C6172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17,500</w:t>
            </w:r>
          </w:p>
        </w:tc>
      </w:tr>
      <w:tr w:rsidR="00FA688C" w:rsidRPr="00FA688C" w14:paraId="69904F6B"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1997ACB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Panama</w:t>
            </w:r>
          </w:p>
        </w:tc>
        <w:tc>
          <w:tcPr>
            <w:tcW w:w="1120" w:type="dxa"/>
            <w:tcBorders>
              <w:top w:val="nil"/>
              <w:left w:val="nil"/>
              <w:bottom w:val="single" w:sz="4" w:space="0" w:color="auto"/>
              <w:right w:val="single" w:sz="4" w:space="0" w:color="auto"/>
            </w:tcBorders>
            <w:shd w:val="clear" w:color="auto" w:fill="auto"/>
            <w:hideMark/>
          </w:tcPr>
          <w:p w14:paraId="6AC9129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Canada</w:t>
            </w:r>
          </w:p>
        </w:tc>
        <w:tc>
          <w:tcPr>
            <w:tcW w:w="880" w:type="dxa"/>
            <w:tcBorders>
              <w:top w:val="nil"/>
              <w:left w:val="nil"/>
              <w:bottom w:val="single" w:sz="4" w:space="0" w:color="auto"/>
              <w:right w:val="single" w:sz="4" w:space="0" w:color="auto"/>
            </w:tcBorders>
            <w:shd w:val="clear" w:color="auto" w:fill="auto"/>
            <w:hideMark/>
          </w:tcPr>
          <w:p w14:paraId="3EDBE4B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14E2AFB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577C4B9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566C8B3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1D268385"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12D3DB0A"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6043AE5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Panama</w:t>
            </w:r>
          </w:p>
        </w:tc>
        <w:tc>
          <w:tcPr>
            <w:tcW w:w="1120" w:type="dxa"/>
            <w:tcBorders>
              <w:top w:val="nil"/>
              <w:left w:val="nil"/>
              <w:bottom w:val="single" w:sz="4" w:space="0" w:color="auto"/>
              <w:right w:val="single" w:sz="4" w:space="0" w:color="auto"/>
            </w:tcBorders>
            <w:shd w:val="clear" w:color="auto" w:fill="auto"/>
            <w:hideMark/>
          </w:tcPr>
          <w:p w14:paraId="1F84EE3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UNDP</w:t>
            </w:r>
          </w:p>
        </w:tc>
        <w:tc>
          <w:tcPr>
            <w:tcW w:w="880" w:type="dxa"/>
            <w:tcBorders>
              <w:top w:val="nil"/>
              <w:left w:val="nil"/>
              <w:bottom w:val="single" w:sz="4" w:space="0" w:color="auto"/>
              <w:right w:val="single" w:sz="4" w:space="0" w:color="auto"/>
            </w:tcBorders>
            <w:shd w:val="clear" w:color="auto" w:fill="auto"/>
            <w:hideMark/>
          </w:tcPr>
          <w:p w14:paraId="49B48CC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E8A6AD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0F328AB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0FF32B8"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100,000</w:t>
            </w:r>
          </w:p>
        </w:tc>
        <w:tc>
          <w:tcPr>
            <w:tcW w:w="1260" w:type="dxa"/>
            <w:tcBorders>
              <w:top w:val="nil"/>
              <w:left w:val="nil"/>
              <w:bottom w:val="single" w:sz="4" w:space="0" w:color="auto"/>
              <w:right w:val="single" w:sz="4" w:space="0" w:color="auto"/>
            </w:tcBorders>
            <w:shd w:val="clear" w:color="auto" w:fill="auto"/>
            <w:hideMark/>
          </w:tcPr>
          <w:p w14:paraId="794979D5"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7,000</w:t>
            </w:r>
          </w:p>
        </w:tc>
      </w:tr>
      <w:tr w:rsidR="00FA688C" w:rsidRPr="00FA688C" w14:paraId="69CAFA03"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6486CF7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Paraguay</w:t>
            </w:r>
          </w:p>
        </w:tc>
        <w:tc>
          <w:tcPr>
            <w:tcW w:w="1120" w:type="dxa"/>
            <w:tcBorders>
              <w:top w:val="nil"/>
              <w:left w:val="nil"/>
              <w:bottom w:val="single" w:sz="4" w:space="0" w:color="auto"/>
              <w:right w:val="single" w:sz="4" w:space="0" w:color="auto"/>
            </w:tcBorders>
            <w:shd w:val="clear" w:color="auto" w:fill="auto"/>
            <w:hideMark/>
          </w:tcPr>
          <w:p w14:paraId="22D126D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CCB416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C98AA3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7C7CB3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46CCBE4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75,000</w:t>
            </w:r>
          </w:p>
        </w:tc>
        <w:tc>
          <w:tcPr>
            <w:tcW w:w="1260" w:type="dxa"/>
            <w:tcBorders>
              <w:top w:val="nil"/>
              <w:left w:val="nil"/>
              <w:bottom w:val="single" w:sz="4" w:space="0" w:color="auto"/>
              <w:right w:val="single" w:sz="4" w:space="0" w:color="auto"/>
            </w:tcBorders>
            <w:shd w:val="clear" w:color="auto" w:fill="auto"/>
            <w:hideMark/>
          </w:tcPr>
          <w:p w14:paraId="37AC5879"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5,250</w:t>
            </w:r>
          </w:p>
        </w:tc>
      </w:tr>
      <w:tr w:rsidR="00FA688C" w:rsidRPr="00FA688C" w14:paraId="106CB8F2"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2AE6400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Paraguay</w:t>
            </w:r>
          </w:p>
        </w:tc>
        <w:tc>
          <w:tcPr>
            <w:tcW w:w="1120" w:type="dxa"/>
            <w:tcBorders>
              <w:top w:val="nil"/>
              <w:left w:val="nil"/>
              <w:bottom w:val="single" w:sz="4" w:space="0" w:color="auto"/>
              <w:right w:val="single" w:sz="4" w:space="0" w:color="auto"/>
            </w:tcBorders>
            <w:shd w:val="clear" w:color="auto" w:fill="auto"/>
            <w:hideMark/>
          </w:tcPr>
          <w:p w14:paraId="5E33E8F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UNDP</w:t>
            </w:r>
          </w:p>
        </w:tc>
        <w:tc>
          <w:tcPr>
            <w:tcW w:w="880" w:type="dxa"/>
            <w:tcBorders>
              <w:top w:val="nil"/>
              <w:left w:val="nil"/>
              <w:bottom w:val="single" w:sz="4" w:space="0" w:color="auto"/>
              <w:right w:val="single" w:sz="4" w:space="0" w:color="auto"/>
            </w:tcBorders>
            <w:shd w:val="clear" w:color="auto" w:fill="auto"/>
            <w:hideMark/>
          </w:tcPr>
          <w:p w14:paraId="087D5F6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4CC23FD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53192A1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770E3FE"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75,000</w:t>
            </w:r>
          </w:p>
        </w:tc>
        <w:tc>
          <w:tcPr>
            <w:tcW w:w="1260" w:type="dxa"/>
            <w:tcBorders>
              <w:top w:val="nil"/>
              <w:left w:val="nil"/>
              <w:bottom w:val="single" w:sz="4" w:space="0" w:color="auto"/>
              <w:right w:val="single" w:sz="4" w:space="0" w:color="auto"/>
            </w:tcBorders>
            <w:shd w:val="clear" w:color="auto" w:fill="auto"/>
            <w:hideMark/>
          </w:tcPr>
          <w:p w14:paraId="10E731C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5,250</w:t>
            </w:r>
          </w:p>
        </w:tc>
      </w:tr>
      <w:tr w:rsidR="00FA688C" w:rsidRPr="00FA688C" w14:paraId="41202B60"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35FFCAB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Saint Kitts and Nevis</w:t>
            </w:r>
          </w:p>
        </w:tc>
        <w:tc>
          <w:tcPr>
            <w:tcW w:w="1120" w:type="dxa"/>
            <w:tcBorders>
              <w:top w:val="nil"/>
              <w:left w:val="nil"/>
              <w:bottom w:val="single" w:sz="4" w:space="0" w:color="auto"/>
              <w:right w:val="single" w:sz="4" w:space="0" w:color="auto"/>
            </w:tcBorders>
            <w:shd w:val="clear" w:color="auto" w:fill="auto"/>
            <w:hideMark/>
          </w:tcPr>
          <w:p w14:paraId="3111C90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1259912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1122FBF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0629B27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8B0306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6A3CFF6F"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76374674"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0A2CEAD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Samoa</w:t>
            </w:r>
          </w:p>
        </w:tc>
        <w:tc>
          <w:tcPr>
            <w:tcW w:w="1120" w:type="dxa"/>
            <w:tcBorders>
              <w:top w:val="nil"/>
              <w:left w:val="nil"/>
              <w:bottom w:val="single" w:sz="4" w:space="0" w:color="auto"/>
              <w:right w:val="single" w:sz="4" w:space="0" w:color="auto"/>
            </w:tcBorders>
            <w:shd w:val="clear" w:color="auto" w:fill="auto"/>
            <w:hideMark/>
          </w:tcPr>
          <w:p w14:paraId="783A730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755BB87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5AC0C73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30A7209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1699D64A"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26BE866A"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2DD66543"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4196C7F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Sao Tome and Principe</w:t>
            </w:r>
          </w:p>
        </w:tc>
        <w:tc>
          <w:tcPr>
            <w:tcW w:w="1120" w:type="dxa"/>
            <w:tcBorders>
              <w:top w:val="nil"/>
              <w:left w:val="nil"/>
              <w:bottom w:val="single" w:sz="4" w:space="0" w:color="auto"/>
              <w:right w:val="single" w:sz="4" w:space="0" w:color="auto"/>
            </w:tcBorders>
            <w:shd w:val="clear" w:color="auto" w:fill="auto"/>
            <w:hideMark/>
          </w:tcPr>
          <w:p w14:paraId="5081A03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17EBA61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464F608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6E35E56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4AF085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69DF1285"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26C4C12E"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14F7993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Saudi Arabia</w:t>
            </w:r>
          </w:p>
        </w:tc>
        <w:tc>
          <w:tcPr>
            <w:tcW w:w="1120" w:type="dxa"/>
            <w:tcBorders>
              <w:top w:val="nil"/>
              <w:left w:val="nil"/>
              <w:bottom w:val="single" w:sz="4" w:space="0" w:color="auto"/>
              <w:right w:val="single" w:sz="4" w:space="0" w:color="auto"/>
            </w:tcBorders>
            <w:shd w:val="clear" w:color="auto" w:fill="auto"/>
            <w:hideMark/>
          </w:tcPr>
          <w:p w14:paraId="79BE106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0B87FA1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7A92008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4E2AE90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5F3B5F94"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250,000</w:t>
            </w:r>
          </w:p>
        </w:tc>
        <w:tc>
          <w:tcPr>
            <w:tcW w:w="1260" w:type="dxa"/>
            <w:tcBorders>
              <w:top w:val="nil"/>
              <w:left w:val="nil"/>
              <w:bottom w:val="single" w:sz="4" w:space="0" w:color="auto"/>
              <w:right w:val="single" w:sz="4" w:space="0" w:color="auto"/>
            </w:tcBorders>
            <w:shd w:val="clear" w:color="auto" w:fill="auto"/>
            <w:hideMark/>
          </w:tcPr>
          <w:p w14:paraId="03CE9207"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17,500</w:t>
            </w:r>
          </w:p>
        </w:tc>
      </w:tr>
      <w:tr w:rsidR="00FA688C" w:rsidRPr="00FA688C" w14:paraId="762FFD4B"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6533C2B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Sierra Leone</w:t>
            </w:r>
          </w:p>
        </w:tc>
        <w:tc>
          <w:tcPr>
            <w:tcW w:w="1120" w:type="dxa"/>
            <w:tcBorders>
              <w:top w:val="nil"/>
              <w:left w:val="nil"/>
              <w:bottom w:val="single" w:sz="4" w:space="0" w:color="auto"/>
              <w:right w:val="single" w:sz="4" w:space="0" w:color="auto"/>
            </w:tcBorders>
            <w:shd w:val="clear" w:color="auto" w:fill="auto"/>
            <w:hideMark/>
          </w:tcPr>
          <w:p w14:paraId="0DC30CB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0ECB1DC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141FA3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B29D0A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E37408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78B295F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661C35E2"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2A151B1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Solomon Islands</w:t>
            </w:r>
          </w:p>
        </w:tc>
        <w:tc>
          <w:tcPr>
            <w:tcW w:w="1120" w:type="dxa"/>
            <w:tcBorders>
              <w:top w:val="nil"/>
              <w:left w:val="nil"/>
              <w:bottom w:val="single" w:sz="4" w:space="0" w:color="auto"/>
              <w:right w:val="single" w:sz="4" w:space="0" w:color="auto"/>
            </w:tcBorders>
            <w:shd w:val="clear" w:color="auto" w:fill="auto"/>
            <w:hideMark/>
          </w:tcPr>
          <w:p w14:paraId="06BBEF2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72D3A4A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3C609EE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61BD67C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3A42FEEE"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373ACECC"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0C24982C"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634C0DC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South Sudan</w:t>
            </w:r>
          </w:p>
        </w:tc>
        <w:tc>
          <w:tcPr>
            <w:tcW w:w="1120" w:type="dxa"/>
            <w:tcBorders>
              <w:top w:val="nil"/>
              <w:left w:val="nil"/>
              <w:bottom w:val="single" w:sz="4" w:space="0" w:color="auto"/>
              <w:right w:val="single" w:sz="4" w:space="0" w:color="auto"/>
            </w:tcBorders>
            <w:shd w:val="clear" w:color="auto" w:fill="auto"/>
            <w:hideMark/>
          </w:tcPr>
          <w:p w14:paraId="77B9234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148AECB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30A778C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23D042E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07A37A01"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258C22E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7D4E9AFC"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2EE7AB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Sri Lanka</w:t>
            </w:r>
          </w:p>
        </w:tc>
        <w:tc>
          <w:tcPr>
            <w:tcW w:w="1120" w:type="dxa"/>
            <w:tcBorders>
              <w:top w:val="nil"/>
              <w:left w:val="nil"/>
              <w:bottom w:val="single" w:sz="4" w:space="0" w:color="auto"/>
              <w:right w:val="single" w:sz="4" w:space="0" w:color="auto"/>
            </w:tcBorders>
            <w:shd w:val="clear" w:color="auto" w:fill="auto"/>
            <w:hideMark/>
          </w:tcPr>
          <w:p w14:paraId="41E5C6A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27037D6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4BEE350D"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0C7617C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97A0D6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150,000</w:t>
            </w:r>
          </w:p>
        </w:tc>
        <w:tc>
          <w:tcPr>
            <w:tcW w:w="1260" w:type="dxa"/>
            <w:tcBorders>
              <w:top w:val="nil"/>
              <w:left w:val="nil"/>
              <w:bottom w:val="single" w:sz="4" w:space="0" w:color="auto"/>
              <w:right w:val="single" w:sz="4" w:space="0" w:color="auto"/>
            </w:tcBorders>
            <w:shd w:val="clear" w:color="auto" w:fill="auto"/>
            <w:hideMark/>
          </w:tcPr>
          <w:p w14:paraId="4A60C411"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10,500</w:t>
            </w:r>
          </w:p>
        </w:tc>
      </w:tr>
      <w:tr w:rsidR="00FA688C" w:rsidRPr="00FA688C" w14:paraId="3F33066E"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4B9CBB7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Swaziland</w:t>
            </w:r>
          </w:p>
        </w:tc>
        <w:tc>
          <w:tcPr>
            <w:tcW w:w="1120" w:type="dxa"/>
            <w:tcBorders>
              <w:top w:val="nil"/>
              <w:left w:val="nil"/>
              <w:bottom w:val="single" w:sz="4" w:space="0" w:color="auto"/>
              <w:right w:val="single" w:sz="4" w:space="0" w:color="auto"/>
            </w:tcBorders>
            <w:shd w:val="clear" w:color="auto" w:fill="auto"/>
            <w:hideMark/>
          </w:tcPr>
          <w:p w14:paraId="56CFCEA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7D38502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746901A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B7130C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4068CBF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0F65607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5AE1E2C2"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238A8932" w14:textId="74332C1B" w:rsidR="004D6C0D" w:rsidRPr="00FA688C" w:rsidRDefault="003F625D" w:rsidP="00FA688C">
            <w:pPr>
              <w:jc w:val="left"/>
              <w:rPr>
                <w:color w:val="000000" w:themeColor="text1"/>
                <w:sz w:val="20"/>
                <w:szCs w:val="20"/>
                <w:lang w:val="en-US"/>
              </w:rPr>
            </w:pPr>
            <w:r w:rsidRPr="003F625D">
              <w:rPr>
                <w:color w:val="000000" w:themeColor="text1"/>
                <w:sz w:val="20"/>
                <w:szCs w:val="20"/>
                <w:lang w:val="en-US"/>
              </w:rPr>
              <w:t>United Republic of Tanzania (the)</w:t>
            </w:r>
          </w:p>
        </w:tc>
        <w:tc>
          <w:tcPr>
            <w:tcW w:w="1120" w:type="dxa"/>
            <w:tcBorders>
              <w:top w:val="nil"/>
              <w:left w:val="nil"/>
              <w:bottom w:val="single" w:sz="4" w:space="0" w:color="auto"/>
              <w:right w:val="single" w:sz="4" w:space="0" w:color="auto"/>
            </w:tcBorders>
            <w:shd w:val="clear" w:color="auto" w:fill="auto"/>
            <w:hideMark/>
          </w:tcPr>
          <w:p w14:paraId="14BE17D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5BA529F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6A47853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54CDF6A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7C7B570D"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95,000</w:t>
            </w:r>
          </w:p>
        </w:tc>
        <w:tc>
          <w:tcPr>
            <w:tcW w:w="1260" w:type="dxa"/>
            <w:tcBorders>
              <w:top w:val="nil"/>
              <w:left w:val="nil"/>
              <w:bottom w:val="single" w:sz="4" w:space="0" w:color="auto"/>
              <w:right w:val="single" w:sz="4" w:space="0" w:color="auto"/>
            </w:tcBorders>
            <w:shd w:val="clear" w:color="auto" w:fill="auto"/>
            <w:hideMark/>
          </w:tcPr>
          <w:p w14:paraId="22C78263"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6,650</w:t>
            </w:r>
          </w:p>
        </w:tc>
      </w:tr>
      <w:tr w:rsidR="00FA688C" w:rsidRPr="00FA688C" w14:paraId="0927ECBA"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26C521AB"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Tuvalu</w:t>
            </w:r>
          </w:p>
        </w:tc>
        <w:tc>
          <w:tcPr>
            <w:tcW w:w="1120" w:type="dxa"/>
            <w:tcBorders>
              <w:top w:val="nil"/>
              <w:left w:val="nil"/>
              <w:bottom w:val="single" w:sz="4" w:space="0" w:color="auto"/>
              <w:right w:val="single" w:sz="4" w:space="0" w:color="auto"/>
            </w:tcBorders>
            <w:shd w:val="clear" w:color="auto" w:fill="auto"/>
            <w:hideMark/>
          </w:tcPr>
          <w:p w14:paraId="73A953E4"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204499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3986FD5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0AB1DF41"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64CE82A0"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61760EF0"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41171055"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5BB13F62"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Uganda</w:t>
            </w:r>
          </w:p>
        </w:tc>
        <w:tc>
          <w:tcPr>
            <w:tcW w:w="1120" w:type="dxa"/>
            <w:tcBorders>
              <w:top w:val="nil"/>
              <w:left w:val="nil"/>
              <w:bottom w:val="single" w:sz="4" w:space="0" w:color="auto"/>
              <w:right w:val="single" w:sz="4" w:space="0" w:color="auto"/>
            </w:tcBorders>
            <w:shd w:val="clear" w:color="auto" w:fill="auto"/>
            <w:hideMark/>
          </w:tcPr>
          <w:p w14:paraId="39D98C1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69DF062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2BFBAC75"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7113D75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13A53AC"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55A8A03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2383000A"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2CDA691E"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Vanuatu</w:t>
            </w:r>
          </w:p>
        </w:tc>
        <w:tc>
          <w:tcPr>
            <w:tcW w:w="1120" w:type="dxa"/>
            <w:tcBorders>
              <w:top w:val="nil"/>
              <w:left w:val="nil"/>
              <w:bottom w:val="single" w:sz="4" w:space="0" w:color="auto"/>
              <w:right w:val="single" w:sz="4" w:space="0" w:color="auto"/>
            </w:tcBorders>
            <w:shd w:val="clear" w:color="auto" w:fill="auto"/>
            <w:hideMark/>
          </w:tcPr>
          <w:p w14:paraId="51FF6E6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UNEP</w:t>
            </w:r>
          </w:p>
        </w:tc>
        <w:tc>
          <w:tcPr>
            <w:tcW w:w="880" w:type="dxa"/>
            <w:tcBorders>
              <w:top w:val="nil"/>
              <w:left w:val="nil"/>
              <w:bottom w:val="single" w:sz="4" w:space="0" w:color="auto"/>
              <w:right w:val="single" w:sz="4" w:space="0" w:color="auto"/>
            </w:tcBorders>
            <w:shd w:val="clear" w:color="auto" w:fill="auto"/>
            <w:hideMark/>
          </w:tcPr>
          <w:p w14:paraId="4F3A47D8"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09E303B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65111EB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5CD48A5A"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50,000</w:t>
            </w:r>
          </w:p>
        </w:tc>
        <w:tc>
          <w:tcPr>
            <w:tcW w:w="1260" w:type="dxa"/>
            <w:tcBorders>
              <w:top w:val="nil"/>
              <w:left w:val="nil"/>
              <w:bottom w:val="single" w:sz="4" w:space="0" w:color="auto"/>
              <w:right w:val="single" w:sz="4" w:space="0" w:color="auto"/>
            </w:tcBorders>
            <w:shd w:val="clear" w:color="auto" w:fill="auto"/>
            <w:hideMark/>
          </w:tcPr>
          <w:p w14:paraId="60CC9528"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3,500</w:t>
            </w:r>
          </w:p>
        </w:tc>
      </w:tr>
      <w:tr w:rsidR="00FA688C" w:rsidRPr="00FA688C" w14:paraId="0889CB66"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73A557AC" w14:textId="19F89837" w:rsidR="004D6C0D" w:rsidRPr="00FA688C" w:rsidRDefault="003F625D" w:rsidP="00FA688C">
            <w:pPr>
              <w:jc w:val="left"/>
              <w:rPr>
                <w:color w:val="000000" w:themeColor="text1"/>
                <w:sz w:val="20"/>
                <w:szCs w:val="20"/>
                <w:lang w:val="en-US"/>
              </w:rPr>
            </w:pPr>
            <w:r w:rsidRPr="003F625D">
              <w:rPr>
                <w:color w:val="000000" w:themeColor="text1"/>
                <w:sz w:val="20"/>
                <w:szCs w:val="20"/>
                <w:lang w:val="en-US"/>
              </w:rPr>
              <w:t>Venezuela (Bolivarian Republic of)</w:t>
            </w:r>
          </w:p>
        </w:tc>
        <w:tc>
          <w:tcPr>
            <w:tcW w:w="1120" w:type="dxa"/>
            <w:tcBorders>
              <w:top w:val="nil"/>
              <w:left w:val="nil"/>
              <w:bottom w:val="single" w:sz="4" w:space="0" w:color="auto"/>
              <w:right w:val="single" w:sz="4" w:space="0" w:color="auto"/>
            </w:tcBorders>
            <w:shd w:val="clear" w:color="auto" w:fill="auto"/>
            <w:hideMark/>
          </w:tcPr>
          <w:p w14:paraId="29214BB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UNIDO</w:t>
            </w:r>
          </w:p>
        </w:tc>
        <w:tc>
          <w:tcPr>
            <w:tcW w:w="880" w:type="dxa"/>
            <w:tcBorders>
              <w:top w:val="nil"/>
              <w:left w:val="nil"/>
              <w:bottom w:val="single" w:sz="4" w:space="0" w:color="auto"/>
              <w:right w:val="single" w:sz="4" w:space="0" w:color="auto"/>
            </w:tcBorders>
            <w:shd w:val="clear" w:color="auto" w:fill="auto"/>
            <w:hideMark/>
          </w:tcPr>
          <w:p w14:paraId="7D6334A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TAS</w:t>
            </w:r>
          </w:p>
        </w:tc>
        <w:tc>
          <w:tcPr>
            <w:tcW w:w="840" w:type="dxa"/>
            <w:tcBorders>
              <w:top w:val="nil"/>
              <w:left w:val="nil"/>
              <w:bottom w:val="single" w:sz="4" w:space="0" w:color="auto"/>
              <w:right w:val="single" w:sz="4" w:space="0" w:color="auto"/>
            </w:tcBorders>
            <w:shd w:val="clear" w:color="auto" w:fill="auto"/>
            <w:hideMark/>
          </w:tcPr>
          <w:p w14:paraId="61E7BDD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SEV</w:t>
            </w:r>
          </w:p>
        </w:tc>
        <w:tc>
          <w:tcPr>
            <w:tcW w:w="3730" w:type="dxa"/>
            <w:tcBorders>
              <w:top w:val="nil"/>
              <w:left w:val="nil"/>
              <w:bottom w:val="single" w:sz="4" w:space="0" w:color="auto"/>
              <w:right w:val="single" w:sz="4" w:space="0" w:color="auto"/>
            </w:tcBorders>
            <w:shd w:val="clear" w:color="auto" w:fill="auto"/>
            <w:hideMark/>
          </w:tcPr>
          <w:p w14:paraId="126AAC90"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Enabling activities for HFC phase-down</w:t>
            </w:r>
          </w:p>
        </w:tc>
        <w:tc>
          <w:tcPr>
            <w:tcW w:w="1260" w:type="dxa"/>
            <w:tcBorders>
              <w:top w:val="nil"/>
              <w:left w:val="nil"/>
              <w:bottom w:val="single" w:sz="4" w:space="0" w:color="auto"/>
              <w:right w:val="single" w:sz="4" w:space="0" w:color="auto"/>
            </w:tcBorders>
            <w:shd w:val="clear" w:color="auto" w:fill="auto"/>
            <w:hideMark/>
          </w:tcPr>
          <w:p w14:paraId="216AC06B"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250,000</w:t>
            </w:r>
          </w:p>
        </w:tc>
        <w:tc>
          <w:tcPr>
            <w:tcW w:w="1260" w:type="dxa"/>
            <w:tcBorders>
              <w:top w:val="nil"/>
              <w:left w:val="nil"/>
              <w:bottom w:val="single" w:sz="4" w:space="0" w:color="auto"/>
              <w:right w:val="single" w:sz="4" w:space="0" w:color="auto"/>
            </w:tcBorders>
            <w:shd w:val="clear" w:color="auto" w:fill="auto"/>
            <w:hideMark/>
          </w:tcPr>
          <w:p w14:paraId="176493E1"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17,500</w:t>
            </w:r>
          </w:p>
        </w:tc>
      </w:tr>
      <w:tr w:rsidR="00FA688C" w:rsidRPr="00FA688C" w14:paraId="23CBA070" w14:textId="77777777" w:rsidTr="004D6C0D">
        <w:trPr>
          <w:trHeight w:val="510"/>
        </w:trPr>
        <w:tc>
          <w:tcPr>
            <w:tcW w:w="1800" w:type="dxa"/>
            <w:tcBorders>
              <w:top w:val="nil"/>
              <w:left w:val="single" w:sz="4" w:space="0" w:color="auto"/>
              <w:bottom w:val="single" w:sz="4" w:space="0" w:color="auto"/>
              <w:right w:val="single" w:sz="4" w:space="0" w:color="auto"/>
            </w:tcBorders>
            <w:shd w:val="clear" w:color="auto" w:fill="auto"/>
            <w:hideMark/>
          </w:tcPr>
          <w:p w14:paraId="294CC56C"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Zimbabwe</w:t>
            </w:r>
          </w:p>
        </w:tc>
        <w:tc>
          <w:tcPr>
            <w:tcW w:w="1120" w:type="dxa"/>
            <w:tcBorders>
              <w:top w:val="nil"/>
              <w:left w:val="nil"/>
              <w:bottom w:val="single" w:sz="4" w:space="0" w:color="auto"/>
              <w:right w:val="single" w:sz="4" w:space="0" w:color="auto"/>
            </w:tcBorders>
            <w:shd w:val="clear" w:color="auto" w:fill="auto"/>
            <w:hideMark/>
          </w:tcPr>
          <w:p w14:paraId="013E9103"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UNDP</w:t>
            </w:r>
          </w:p>
        </w:tc>
        <w:tc>
          <w:tcPr>
            <w:tcW w:w="880" w:type="dxa"/>
            <w:tcBorders>
              <w:top w:val="nil"/>
              <w:left w:val="nil"/>
              <w:bottom w:val="single" w:sz="4" w:space="0" w:color="auto"/>
              <w:right w:val="single" w:sz="4" w:space="0" w:color="auto"/>
            </w:tcBorders>
            <w:shd w:val="clear" w:color="auto" w:fill="auto"/>
            <w:hideMark/>
          </w:tcPr>
          <w:p w14:paraId="584DCC39"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INV</w:t>
            </w:r>
          </w:p>
        </w:tc>
        <w:tc>
          <w:tcPr>
            <w:tcW w:w="840" w:type="dxa"/>
            <w:tcBorders>
              <w:top w:val="nil"/>
              <w:left w:val="nil"/>
              <w:bottom w:val="single" w:sz="4" w:space="0" w:color="auto"/>
              <w:right w:val="single" w:sz="4" w:space="0" w:color="auto"/>
            </w:tcBorders>
            <w:shd w:val="clear" w:color="auto" w:fill="auto"/>
            <w:hideMark/>
          </w:tcPr>
          <w:p w14:paraId="3BA0800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REF</w:t>
            </w:r>
          </w:p>
        </w:tc>
        <w:tc>
          <w:tcPr>
            <w:tcW w:w="3730" w:type="dxa"/>
            <w:tcBorders>
              <w:top w:val="nil"/>
              <w:left w:val="nil"/>
              <w:bottom w:val="single" w:sz="4" w:space="0" w:color="auto"/>
              <w:right w:val="single" w:sz="4" w:space="0" w:color="auto"/>
            </w:tcBorders>
            <w:shd w:val="clear" w:color="auto" w:fill="auto"/>
            <w:hideMark/>
          </w:tcPr>
          <w:p w14:paraId="175C38E7"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Conversion from HFC-134a to isobutane in the manufacture of domestic refrigerators at Capri (SME Harare)</w:t>
            </w:r>
          </w:p>
        </w:tc>
        <w:tc>
          <w:tcPr>
            <w:tcW w:w="1260" w:type="dxa"/>
            <w:tcBorders>
              <w:top w:val="nil"/>
              <w:left w:val="nil"/>
              <w:bottom w:val="single" w:sz="4" w:space="0" w:color="auto"/>
              <w:right w:val="single" w:sz="4" w:space="0" w:color="auto"/>
            </w:tcBorders>
            <w:shd w:val="clear" w:color="auto" w:fill="auto"/>
            <w:hideMark/>
          </w:tcPr>
          <w:p w14:paraId="47FFBDC6"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563,526</w:t>
            </w:r>
          </w:p>
        </w:tc>
        <w:tc>
          <w:tcPr>
            <w:tcW w:w="1260" w:type="dxa"/>
            <w:tcBorders>
              <w:top w:val="nil"/>
              <w:left w:val="nil"/>
              <w:bottom w:val="single" w:sz="4" w:space="0" w:color="auto"/>
              <w:right w:val="single" w:sz="4" w:space="0" w:color="auto"/>
            </w:tcBorders>
            <w:shd w:val="clear" w:color="auto" w:fill="auto"/>
            <w:hideMark/>
          </w:tcPr>
          <w:p w14:paraId="39203630" w14:textId="77777777" w:rsidR="004D6C0D" w:rsidRPr="00FA688C" w:rsidRDefault="004D6C0D" w:rsidP="00FA688C">
            <w:pPr>
              <w:jc w:val="right"/>
              <w:rPr>
                <w:color w:val="000000" w:themeColor="text1"/>
                <w:sz w:val="20"/>
                <w:szCs w:val="20"/>
                <w:lang w:val="en-US"/>
              </w:rPr>
            </w:pPr>
            <w:r w:rsidRPr="00FA688C">
              <w:rPr>
                <w:color w:val="000000" w:themeColor="text1"/>
                <w:sz w:val="20"/>
                <w:szCs w:val="20"/>
                <w:lang w:val="en-US"/>
              </w:rPr>
              <w:t>39,447</w:t>
            </w:r>
          </w:p>
        </w:tc>
      </w:tr>
      <w:tr w:rsidR="00FA688C" w:rsidRPr="00FA688C" w14:paraId="031D8637" w14:textId="77777777" w:rsidTr="004D6C0D">
        <w:trPr>
          <w:trHeight w:val="255"/>
        </w:trPr>
        <w:tc>
          <w:tcPr>
            <w:tcW w:w="1800" w:type="dxa"/>
            <w:tcBorders>
              <w:top w:val="nil"/>
              <w:left w:val="single" w:sz="4" w:space="0" w:color="auto"/>
              <w:bottom w:val="single" w:sz="4" w:space="0" w:color="auto"/>
              <w:right w:val="single" w:sz="4" w:space="0" w:color="auto"/>
            </w:tcBorders>
            <w:shd w:val="clear" w:color="auto" w:fill="auto"/>
            <w:hideMark/>
          </w:tcPr>
          <w:p w14:paraId="55D6A9B9" w14:textId="77777777" w:rsidR="004D6C0D" w:rsidRPr="00FA688C" w:rsidRDefault="004D6C0D" w:rsidP="00FA688C">
            <w:pPr>
              <w:jc w:val="left"/>
              <w:rPr>
                <w:b/>
                <w:bCs/>
                <w:color w:val="000000" w:themeColor="text1"/>
                <w:sz w:val="20"/>
                <w:szCs w:val="20"/>
                <w:lang w:val="en-US"/>
              </w:rPr>
            </w:pPr>
            <w:r w:rsidRPr="00FA688C">
              <w:rPr>
                <w:b/>
                <w:bCs/>
                <w:color w:val="000000" w:themeColor="text1"/>
                <w:sz w:val="20"/>
                <w:szCs w:val="20"/>
                <w:lang w:val="en-US"/>
              </w:rPr>
              <w:t>Total</w:t>
            </w:r>
          </w:p>
        </w:tc>
        <w:tc>
          <w:tcPr>
            <w:tcW w:w="1120" w:type="dxa"/>
            <w:tcBorders>
              <w:top w:val="nil"/>
              <w:left w:val="nil"/>
              <w:bottom w:val="single" w:sz="4" w:space="0" w:color="auto"/>
              <w:right w:val="single" w:sz="4" w:space="0" w:color="auto"/>
            </w:tcBorders>
            <w:shd w:val="clear" w:color="auto" w:fill="auto"/>
            <w:hideMark/>
          </w:tcPr>
          <w:p w14:paraId="273A1186"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 </w:t>
            </w:r>
          </w:p>
        </w:tc>
        <w:tc>
          <w:tcPr>
            <w:tcW w:w="880" w:type="dxa"/>
            <w:tcBorders>
              <w:top w:val="nil"/>
              <w:left w:val="nil"/>
              <w:bottom w:val="single" w:sz="4" w:space="0" w:color="auto"/>
              <w:right w:val="single" w:sz="4" w:space="0" w:color="auto"/>
            </w:tcBorders>
            <w:shd w:val="clear" w:color="auto" w:fill="auto"/>
            <w:hideMark/>
          </w:tcPr>
          <w:p w14:paraId="79BF0A0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 </w:t>
            </w:r>
          </w:p>
        </w:tc>
        <w:tc>
          <w:tcPr>
            <w:tcW w:w="840" w:type="dxa"/>
            <w:tcBorders>
              <w:top w:val="nil"/>
              <w:left w:val="nil"/>
              <w:bottom w:val="single" w:sz="4" w:space="0" w:color="auto"/>
              <w:right w:val="single" w:sz="4" w:space="0" w:color="auto"/>
            </w:tcBorders>
            <w:shd w:val="clear" w:color="auto" w:fill="auto"/>
            <w:hideMark/>
          </w:tcPr>
          <w:p w14:paraId="30F1CD1F"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 </w:t>
            </w:r>
          </w:p>
        </w:tc>
        <w:tc>
          <w:tcPr>
            <w:tcW w:w="3730" w:type="dxa"/>
            <w:tcBorders>
              <w:top w:val="nil"/>
              <w:left w:val="nil"/>
              <w:bottom w:val="single" w:sz="4" w:space="0" w:color="auto"/>
              <w:right w:val="single" w:sz="4" w:space="0" w:color="auto"/>
            </w:tcBorders>
            <w:shd w:val="clear" w:color="auto" w:fill="auto"/>
            <w:hideMark/>
          </w:tcPr>
          <w:p w14:paraId="4756F8DA" w14:textId="77777777" w:rsidR="004D6C0D" w:rsidRPr="00FA688C" w:rsidRDefault="004D6C0D" w:rsidP="00FA688C">
            <w:pPr>
              <w:jc w:val="left"/>
              <w:rPr>
                <w:color w:val="000000" w:themeColor="text1"/>
                <w:sz w:val="20"/>
                <w:szCs w:val="20"/>
                <w:lang w:val="en-US"/>
              </w:rPr>
            </w:pPr>
            <w:r w:rsidRPr="00FA688C">
              <w:rPr>
                <w:color w:val="000000" w:themeColor="text1"/>
                <w:sz w:val="20"/>
                <w:szCs w:val="20"/>
                <w:lang w:val="en-US"/>
              </w:rPr>
              <w:t> </w:t>
            </w:r>
          </w:p>
        </w:tc>
        <w:tc>
          <w:tcPr>
            <w:tcW w:w="1260" w:type="dxa"/>
            <w:tcBorders>
              <w:top w:val="nil"/>
              <w:left w:val="nil"/>
              <w:bottom w:val="single" w:sz="4" w:space="0" w:color="auto"/>
              <w:right w:val="single" w:sz="4" w:space="0" w:color="auto"/>
            </w:tcBorders>
            <w:shd w:val="clear" w:color="auto" w:fill="auto"/>
            <w:hideMark/>
          </w:tcPr>
          <w:p w14:paraId="6E958DD2" w14:textId="77777777" w:rsidR="004D6C0D" w:rsidRPr="00FA688C" w:rsidRDefault="004D6C0D" w:rsidP="00FA688C">
            <w:pPr>
              <w:jc w:val="right"/>
              <w:rPr>
                <w:b/>
                <w:bCs/>
                <w:color w:val="000000" w:themeColor="text1"/>
                <w:sz w:val="20"/>
                <w:szCs w:val="20"/>
                <w:lang w:val="en-US"/>
              </w:rPr>
            </w:pPr>
            <w:r w:rsidRPr="00FA688C">
              <w:rPr>
                <w:b/>
                <w:bCs/>
                <w:color w:val="000000" w:themeColor="text1"/>
                <w:sz w:val="20"/>
                <w:szCs w:val="20"/>
                <w:lang w:val="en-US"/>
              </w:rPr>
              <w:t>20,433,089</w:t>
            </w:r>
          </w:p>
        </w:tc>
        <w:tc>
          <w:tcPr>
            <w:tcW w:w="1260" w:type="dxa"/>
            <w:tcBorders>
              <w:top w:val="nil"/>
              <w:left w:val="nil"/>
              <w:bottom w:val="single" w:sz="4" w:space="0" w:color="auto"/>
              <w:right w:val="single" w:sz="4" w:space="0" w:color="auto"/>
            </w:tcBorders>
            <w:shd w:val="clear" w:color="auto" w:fill="auto"/>
            <w:hideMark/>
          </w:tcPr>
          <w:p w14:paraId="7A6EAE31" w14:textId="77777777" w:rsidR="004D6C0D" w:rsidRPr="00FA688C" w:rsidRDefault="004D6C0D" w:rsidP="00FA688C">
            <w:pPr>
              <w:jc w:val="right"/>
              <w:rPr>
                <w:b/>
                <w:bCs/>
                <w:color w:val="000000" w:themeColor="text1"/>
                <w:sz w:val="20"/>
                <w:szCs w:val="20"/>
                <w:lang w:val="en-US"/>
              </w:rPr>
            </w:pPr>
            <w:r w:rsidRPr="00FA688C">
              <w:rPr>
                <w:b/>
                <w:bCs/>
                <w:color w:val="000000" w:themeColor="text1"/>
                <w:sz w:val="20"/>
                <w:szCs w:val="20"/>
                <w:lang w:val="en-US"/>
              </w:rPr>
              <w:t>1,478,915</w:t>
            </w:r>
          </w:p>
        </w:tc>
      </w:tr>
    </w:tbl>
    <w:p w14:paraId="3288B260" w14:textId="77777777" w:rsidR="004D6C0D" w:rsidRPr="00FA688C" w:rsidRDefault="004D6C0D" w:rsidP="00FA688C">
      <w:pPr>
        <w:jc w:val="center"/>
        <w:rPr>
          <w:b/>
          <w:bCs/>
          <w:color w:val="000000" w:themeColor="text1"/>
          <w:lang w:val="en-CA"/>
        </w:rPr>
      </w:pPr>
    </w:p>
    <w:p w14:paraId="1088F784" w14:textId="77777777" w:rsidR="00393633" w:rsidRPr="00FA688C" w:rsidRDefault="00393633" w:rsidP="00FA688C">
      <w:pPr>
        <w:jc w:val="center"/>
        <w:rPr>
          <w:b/>
          <w:bCs/>
          <w:color w:val="000000" w:themeColor="text1"/>
          <w:lang w:val="en-CA"/>
        </w:rPr>
        <w:sectPr w:rsidR="00393633" w:rsidRPr="00FA688C" w:rsidSect="0051215C">
          <w:headerReference w:type="even" r:id="rId16"/>
          <w:headerReference w:type="default" r:id="rId17"/>
          <w:headerReference w:type="first" r:id="rId18"/>
          <w:footerReference w:type="first" r:id="rId19"/>
          <w:pgSz w:w="12240" w:h="15840" w:code="1"/>
          <w:pgMar w:top="720" w:right="1440" w:bottom="864" w:left="1440" w:header="720" w:footer="475" w:gutter="0"/>
          <w:pgNumType w:start="1"/>
          <w:cols w:space="720"/>
          <w:titlePg/>
        </w:sectPr>
      </w:pPr>
    </w:p>
    <w:p w14:paraId="6152C3E6" w14:textId="11F59C7C" w:rsidR="00F61534" w:rsidRPr="00FA688C" w:rsidRDefault="00F61534" w:rsidP="00FA688C">
      <w:pPr>
        <w:jc w:val="center"/>
        <w:rPr>
          <w:b/>
          <w:bCs/>
          <w:color w:val="000000" w:themeColor="text1"/>
          <w:lang w:val="en-CA"/>
        </w:rPr>
      </w:pPr>
      <w:r w:rsidRPr="00FA688C">
        <w:rPr>
          <w:b/>
          <w:bCs/>
          <w:color w:val="000000" w:themeColor="text1"/>
          <w:lang w:val="en-CA"/>
        </w:rPr>
        <w:lastRenderedPageBreak/>
        <w:t>Annex II</w:t>
      </w:r>
    </w:p>
    <w:p w14:paraId="3F32428B" w14:textId="77777777" w:rsidR="00F61534" w:rsidRPr="00FA688C" w:rsidRDefault="00F61534" w:rsidP="00FA688C">
      <w:pPr>
        <w:jc w:val="center"/>
        <w:rPr>
          <w:b/>
          <w:bCs/>
          <w:color w:val="000000" w:themeColor="text1"/>
          <w:lang w:val="en-CA"/>
        </w:rPr>
      </w:pPr>
    </w:p>
    <w:p w14:paraId="062FAF3B" w14:textId="1EA37D73" w:rsidR="00F61534" w:rsidRDefault="00F61534" w:rsidP="00FA688C">
      <w:pPr>
        <w:jc w:val="center"/>
        <w:rPr>
          <w:b/>
          <w:bCs/>
          <w:color w:val="000000" w:themeColor="text1"/>
          <w:lang w:val="en-CA"/>
        </w:rPr>
      </w:pPr>
      <w:r w:rsidRPr="00FA688C">
        <w:rPr>
          <w:b/>
          <w:bCs/>
          <w:color w:val="000000" w:themeColor="text1"/>
          <w:lang w:val="en-CA"/>
        </w:rPr>
        <w:t xml:space="preserve">REMAINING ACTIVITIES </w:t>
      </w:r>
      <w:r w:rsidR="00AE74F8" w:rsidRPr="00FA688C">
        <w:rPr>
          <w:b/>
          <w:bCs/>
          <w:color w:val="000000" w:themeColor="text1"/>
          <w:lang w:val="en-CA"/>
        </w:rPr>
        <w:t>IN THE 2018 BUSINESS PLAN</w:t>
      </w:r>
    </w:p>
    <w:p w14:paraId="011073AE" w14:textId="1E5140FF" w:rsidR="006C28DF" w:rsidRDefault="006C28DF" w:rsidP="00FA688C">
      <w:pPr>
        <w:jc w:val="center"/>
        <w:rPr>
          <w:b/>
          <w:bCs/>
          <w:color w:val="000000" w:themeColor="text1"/>
          <w:lang w:val="en-CA"/>
        </w:rPr>
      </w:pPr>
    </w:p>
    <w:tbl>
      <w:tblPr>
        <w:tblW w:w="10900" w:type="dxa"/>
        <w:tblInd w:w="-572" w:type="dxa"/>
        <w:tblLook w:val="04A0" w:firstRow="1" w:lastRow="0" w:firstColumn="1" w:lastColumn="0" w:noHBand="0" w:noVBand="1"/>
      </w:tblPr>
      <w:tblGrid>
        <w:gridCol w:w="2269"/>
        <w:gridCol w:w="980"/>
        <w:gridCol w:w="721"/>
        <w:gridCol w:w="1027"/>
        <w:gridCol w:w="3779"/>
        <w:gridCol w:w="1148"/>
        <w:gridCol w:w="976"/>
      </w:tblGrid>
      <w:tr w:rsidR="006C28DF" w:rsidRPr="006C28DF" w14:paraId="6A28A93C" w14:textId="77777777" w:rsidTr="002C3CFF">
        <w:trPr>
          <w:trHeight w:val="408"/>
          <w:tblHeader/>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14:paraId="388A352D" w14:textId="77777777" w:rsidR="006C28DF" w:rsidRPr="006C28DF" w:rsidRDefault="006C28DF" w:rsidP="006C28DF">
            <w:pPr>
              <w:jc w:val="center"/>
              <w:rPr>
                <w:b/>
                <w:bCs/>
                <w:sz w:val="20"/>
                <w:szCs w:val="20"/>
                <w:lang w:val="en-CA" w:eastAsia="en-CA"/>
              </w:rPr>
            </w:pPr>
            <w:r w:rsidRPr="006C28DF">
              <w:rPr>
                <w:b/>
                <w:bCs/>
                <w:sz w:val="20"/>
                <w:szCs w:val="20"/>
                <w:lang w:val="en-CA" w:eastAsia="en-CA"/>
              </w:rPr>
              <w:t>Country</w:t>
            </w:r>
          </w:p>
        </w:tc>
        <w:tc>
          <w:tcPr>
            <w:tcW w:w="980" w:type="dxa"/>
            <w:tcBorders>
              <w:top w:val="single" w:sz="4" w:space="0" w:color="auto"/>
              <w:left w:val="nil"/>
              <w:bottom w:val="single" w:sz="4" w:space="0" w:color="auto"/>
              <w:right w:val="single" w:sz="4" w:space="0" w:color="auto"/>
            </w:tcBorders>
            <w:shd w:val="clear" w:color="auto" w:fill="auto"/>
            <w:hideMark/>
          </w:tcPr>
          <w:p w14:paraId="2926CF26" w14:textId="77777777" w:rsidR="006C28DF" w:rsidRPr="006C28DF" w:rsidRDefault="006C28DF" w:rsidP="006C28DF">
            <w:pPr>
              <w:jc w:val="center"/>
              <w:rPr>
                <w:b/>
                <w:bCs/>
                <w:sz w:val="20"/>
                <w:szCs w:val="20"/>
                <w:lang w:val="en-CA" w:eastAsia="en-CA"/>
              </w:rPr>
            </w:pPr>
            <w:r w:rsidRPr="006C28DF">
              <w:rPr>
                <w:b/>
                <w:bCs/>
                <w:sz w:val="20"/>
                <w:szCs w:val="20"/>
                <w:lang w:val="en-CA" w:eastAsia="en-CA"/>
              </w:rPr>
              <w:t>Agency</w:t>
            </w:r>
          </w:p>
        </w:tc>
        <w:tc>
          <w:tcPr>
            <w:tcW w:w="721" w:type="dxa"/>
            <w:tcBorders>
              <w:top w:val="single" w:sz="4" w:space="0" w:color="auto"/>
              <w:left w:val="nil"/>
              <w:bottom w:val="single" w:sz="4" w:space="0" w:color="auto"/>
              <w:right w:val="single" w:sz="4" w:space="0" w:color="auto"/>
            </w:tcBorders>
            <w:shd w:val="clear" w:color="auto" w:fill="auto"/>
            <w:hideMark/>
          </w:tcPr>
          <w:p w14:paraId="50E5A970" w14:textId="77777777" w:rsidR="006C28DF" w:rsidRPr="006C28DF" w:rsidRDefault="006C28DF" w:rsidP="006C28DF">
            <w:pPr>
              <w:jc w:val="center"/>
              <w:rPr>
                <w:b/>
                <w:bCs/>
                <w:sz w:val="20"/>
                <w:szCs w:val="20"/>
                <w:lang w:val="en-CA" w:eastAsia="en-CA"/>
              </w:rPr>
            </w:pPr>
            <w:r w:rsidRPr="006C28DF">
              <w:rPr>
                <w:b/>
                <w:bCs/>
                <w:sz w:val="20"/>
                <w:szCs w:val="20"/>
                <w:lang w:val="en-CA" w:eastAsia="en-CA"/>
              </w:rPr>
              <w:t>Type</w:t>
            </w:r>
          </w:p>
        </w:tc>
        <w:tc>
          <w:tcPr>
            <w:tcW w:w="1027" w:type="dxa"/>
            <w:tcBorders>
              <w:top w:val="single" w:sz="4" w:space="0" w:color="auto"/>
              <w:left w:val="nil"/>
              <w:bottom w:val="single" w:sz="4" w:space="0" w:color="auto"/>
              <w:right w:val="single" w:sz="4" w:space="0" w:color="auto"/>
            </w:tcBorders>
            <w:shd w:val="clear" w:color="auto" w:fill="auto"/>
            <w:hideMark/>
          </w:tcPr>
          <w:p w14:paraId="15A21637" w14:textId="77777777" w:rsidR="006C28DF" w:rsidRPr="006C28DF" w:rsidRDefault="006C28DF" w:rsidP="006C28DF">
            <w:pPr>
              <w:jc w:val="center"/>
              <w:rPr>
                <w:b/>
                <w:bCs/>
                <w:sz w:val="20"/>
                <w:szCs w:val="20"/>
                <w:lang w:val="en-CA" w:eastAsia="en-CA"/>
              </w:rPr>
            </w:pPr>
            <w:r w:rsidRPr="006C28DF">
              <w:rPr>
                <w:b/>
                <w:bCs/>
                <w:sz w:val="20"/>
                <w:szCs w:val="20"/>
                <w:lang w:val="en-CA" w:eastAsia="en-CA"/>
              </w:rPr>
              <w:t>Chemical</w:t>
            </w:r>
          </w:p>
        </w:tc>
        <w:tc>
          <w:tcPr>
            <w:tcW w:w="3779" w:type="dxa"/>
            <w:tcBorders>
              <w:top w:val="single" w:sz="4" w:space="0" w:color="auto"/>
              <w:left w:val="nil"/>
              <w:bottom w:val="single" w:sz="4" w:space="0" w:color="auto"/>
              <w:right w:val="single" w:sz="4" w:space="0" w:color="auto"/>
            </w:tcBorders>
            <w:shd w:val="clear" w:color="auto" w:fill="auto"/>
            <w:hideMark/>
          </w:tcPr>
          <w:p w14:paraId="063AFE5F" w14:textId="77777777" w:rsidR="006C28DF" w:rsidRPr="006C28DF" w:rsidRDefault="006C28DF" w:rsidP="006C28DF">
            <w:pPr>
              <w:jc w:val="center"/>
              <w:rPr>
                <w:b/>
                <w:bCs/>
                <w:sz w:val="20"/>
                <w:szCs w:val="20"/>
                <w:lang w:val="en-CA" w:eastAsia="en-CA"/>
              </w:rPr>
            </w:pPr>
            <w:r w:rsidRPr="006C28DF">
              <w:rPr>
                <w:b/>
                <w:bCs/>
                <w:sz w:val="20"/>
                <w:szCs w:val="20"/>
                <w:lang w:val="en-CA" w:eastAsia="en-CA"/>
              </w:rPr>
              <w:t>Sector and Subsector</w:t>
            </w:r>
          </w:p>
        </w:tc>
        <w:tc>
          <w:tcPr>
            <w:tcW w:w="1148" w:type="dxa"/>
            <w:tcBorders>
              <w:top w:val="single" w:sz="4" w:space="0" w:color="auto"/>
              <w:left w:val="nil"/>
              <w:bottom w:val="single" w:sz="4" w:space="0" w:color="auto"/>
              <w:right w:val="single" w:sz="4" w:space="0" w:color="auto"/>
            </w:tcBorders>
            <w:shd w:val="clear" w:color="auto" w:fill="auto"/>
            <w:hideMark/>
          </w:tcPr>
          <w:p w14:paraId="203D3371" w14:textId="77777777" w:rsidR="006C28DF" w:rsidRPr="006C28DF" w:rsidRDefault="006C28DF" w:rsidP="006C28DF">
            <w:pPr>
              <w:ind w:left="-94" w:right="-142"/>
              <w:jc w:val="center"/>
              <w:rPr>
                <w:b/>
                <w:bCs/>
                <w:sz w:val="20"/>
                <w:szCs w:val="20"/>
                <w:lang w:val="en-CA" w:eastAsia="en-CA"/>
              </w:rPr>
            </w:pPr>
            <w:r w:rsidRPr="006C28DF">
              <w:rPr>
                <w:b/>
                <w:bCs/>
                <w:sz w:val="20"/>
                <w:szCs w:val="20"/>
                <w:lang w:val="en-CA" w:eastAsia="en-CA"/>
              </w:rPr>
              <w:t xml:space="preserve">Value ($000) 2018 </w:t>
            </w:r>
          </w:p>
        </w:tc>
        <w:tc>
          <w:tcPr>
            <w:tcW w:w="976" w:type="dxa"/>
            <w:tcBorders>
              <w:top w:val="single" w:sz="4" w:space="0" w:color="auto"/>
              <w:left w:val="nil"/>
              <w:bottom w:val="single" w:sz="4" w:space="0" w:color="auto"/>
              <w:right w:val="single" w:sz="4" w:space="0" w:color="auto"/>
            </w:tcBorders>
            <w:shd w:val="clear" w:color="auto" w:fill="auto"/>
            <w:hideMark/>
          </w:tcPr>
          <w:p w14:paraId="66EB40FA" w14:textId="77777777" w:rsidR="006C28DF" w:rsidRPr="006C28DF" w:rsidRDefault="006C28DF" w:rsidP="006C28DF">
            <w:pPr>
              <w:jc w:val="center"/>
              <w:rPr>
                <w:b/>
                <w:bCs/>
                <w:sz w:val="20"/>
                <w:szCs w:val="20"/>
                <w:lang w:val="en-CA" w:eastAsia="en-CA"/>
              </w:rPr>
            </w:pPr>
            <w:r w:rsidRPr="006C28DF">
              <w:rPr>
                <w:b/>
                <w:bCs/>
                <w:sz w:val="20"/>
                <w:szCs w:val="20"/>
                <w:lang w:val="en-CA" w:eastAsia="en-CA"/>
              </w:rPr>
              <w:t>ODP 2018</w:t>
            </w:r>
          </w:p>
        </w:tc>
      </w:tr>
      <w:tr w:rsidR="006C28DF" w:rsidRPr="006C28DF" w14:paraId="67B5D457"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4F14AA6" w14:textId="77777777" w:rsidR="006C28DF" w:rsidRPr="006C28DF" w:rsidRDefault="006C28DF" w:rsidP="006C28DF">
            <w:pPr>
              <w:jc w:val="left"/>
              <w:rPr>
                <w:sz w:val="20"/>
                <w:szCs w:val="20"/>
                <w:lang w:val="en-CA" w:eastAsia="en-CA"/>
              </w:rPr>
            </w:pPr>
            <w:r w:rsidRPr="006C28DF">
              <w:rPr>
                <w:sz w:val="20"/>
                <w:szCs w:val="20"/>
                <w:lang w:val="en-CA" w:eastAsia="en-CA"/>
              </w:rPr>
              <w:t>Afghanistan</w:t>
            </w:r>
          </w:p>
        </w:tc>
        <w:tc>
          <w:tcPr>
            <w:tcW w:w="980" w:type="dxa"/>
            <w:tcBorders>
              <w:top w:val="nil"/>
              <w:left w:val="nil"/>
              <w:bottom w:val="single" w:sz="4" w:space="0" w:color="auto"/>
              <w:right w:val="single" w:sz="4" w:space="0" w:color="auto"/>
            </w:tcBorders>
            <w:shd w:val="clear" w:color="auto" w:fill="auto"/>
            <w:hideMark/>
          </w:tcPr>
          <w:p w14:paraId="27C992B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B0DD968"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5D5A58B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E09B6D9"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05B88B49" w14:textId="77777777" w:rsidR="006C28DF" w:rsidRPr="006C28DF" w:rsidRDefault="006C28DF" w:rsidP="006C28DF">
            <w:pPr>
              <w:jc w:val="right"/>
              <w:rPr>
                <w:sz w:val="20"/>
                <w:szCs w:val="20"/>
                <w:lang w:val="en-CA" w:eastAsia="en-CA"/>
              </w:rPr>
            </w:pPr>
            <w:r w:rsidRPr="006C28DF">
              <w:rPr>
                <w:sz w:val="20"/>
                <w:szCs w:val="20"/>
                <w:lang w:val="en-CA" w:eastAsia="en-CA"/>
              </w:rPr>
              <w:t>68</w:t>
            </w:r>
          </w:p>
        </w:tc>
        <w:tc>
          <w:tcPr>
            <w:tcW w:w="976" w:type="dxa"/>
            <w:tcBorders>
              <w:top w:val="nil"/>
              <w:left w:val="nil"/>
              <w:bottom w:val="single" w:sz="4" w:space="0" w:color="auto"/>
              <w:right w:val="single" w:sz="4" w:space="0" w:color="auto"/>
            </w:tcBorders>
            <w:shd w:val="clear" w:color="auto" w:fill="auto"/>
            <w:hideMark/>
          </w:tcPr>
          <w:p w14:paraId="13C42B17"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19A1688"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59FF648" w14:textId="77777777" w:rsidR="006C28DF" w:rsidRPr="006C28DF" w:rsidRDefault="006C28DF" w:rsidP="006C28DF">
            <w:pPr>
              <w:jc w:val="left"/>
              <w:rPr>
                <w:sz w:val="20"/>
                <w:szCs w:val="20"/>
                <w:lang w:val="en-CA" w:eastAsia="en-CA"/>
              </w:rPr>
            </w:pPr>
            <w:r w:rsidRPr="006C28DF">
              <w:rPr>
                <w:sz w:val="20"/>
                <w:szCs w:val="20"/>
                <w:lang w:val="en-CA" w:eastAsia="en-CA"/>
              </w:rPr>
              <w:t>Algeria</w:t>
            </w:r>
          </w:p>
        </w:tc>
        <w:tc>
          <w:tcPr>
            <w:tcW w:w="980" w:type="dxa"/>
            <w:tcBorders>
              <w:top w:val="nil"/>
              <w:left w:val="nil"/>
              <w:bottom w:val="single" w:sz="4" w:space="0" w:color="auto"/>
              <w:right w:val="single" w:sz="4" w:space="0" w:color="auto"/>
            </w:tcBorders>
            <w:shd w:val="clear" w:color="auto" w:fill="auto"/>
            <w:hideMark/>
          </w:tcPr>
          <w:p w14:paraId="24B7F87B"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40C455BC"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719D8F9"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5A5B3D4" w14:textId="77777777" w:rsidR="006C28DF" w:rsidRPr="006C28DF" w:rsidRDefault="006C28DF" w:rsidP="006C28DF">
            <w:pPr>
              <w:jc w:val="left"/>
              <w:rPr>
                <w:sz w:val="20"/>
                <w:szCs w:val="20"/>
                <w:lang w:val="en-CA" w:eastAsia="en-CA"/>
              </w:rPr>
            </w:pPr>
            <w:r w:rsidRPr="006C28DF">
              <w:rPr>
                <w:sz w:val="20"/>
                <w:szCs w:val="20"/>
                <w:lang w:val="en-CA" w:eastAsia="en-CA"/>
              </w:rPr>
              <w:t>HPMP - Stage I</w:t>
            </w:r>
          </w:p>
        </w:tc>
        <w:tc>
          <w:tcPr>
            <w:tcW w:w="1148" w:type="dxa"/>
            <w:tcBorders>
              <w:top w:val="nil"/>
              <w:left w:val="nil"/>
              <w:bottom w:val="single" w:sz="4" w:space="0" w:color="auto"/>
              <w:right w:val="single" w:sz="4" w:space="0" w:color="auto"/>
            </w:tcBorders>
            <w:shd w:val="clear" w:color="auto" w:fill="auto"/>
            <w:hideMark/>
          </w:tcPr>
          <w:p w14:paraId="00F0B106" w14:textId="77777777" w:rsidR="006C28DF" w:rsidRPr="006C28DF" w:rsidRDefault="006C28DF" w:rsidP="006C28DF">
            <w:pPr>
              <w:jc w:val="right"/>
              <w:rPr>
                <w:sz w:val="20"/>
                <w:szCs w:val="20"/>
                <w:lang w:val="en-CA" w:eastAsia="en-CA"/>
              </w:rPr>
            </w:pPr>
            <w:r w:rsidRPr="006C28DF">
              <w:rPr>
                <w:sz w:val="20"/>
                <w:szCs w:val="20"/>
                <w:lang w:val="en-CA" w:eastAsia="en-CA"/>
              </w:rPr>
              <w:t>155</w:t>
            </w:r>
          </w:p>
        </w:tc>
        <w:tc>
          <w:tcPr>
            <w:tcW w:w="976" w:type="dxa"/>
            <w:tcBorders>
              <w:top w:val="nil"/>
              <w:left w:val="nil"/>
              <w:bottom w:val="single" w:sz="4" w:space="0" w:color="auto"/>
              <w:right w:val="single" w:sz="4" w:space="0" w:color="auto"/>
            </w:tcBorders>
            <w:shd w:val="clear" w:color="auto" w:fill="auto"/>
            <w:hideMark/>
          </w:tcPr>
          <w:p w14:paraId="2CC3E0F6" w14:textId="77777777" w:rsidR="006C28DF" w:rsidRPr="006C28DF" w:rsidRDefault="006C28DF" w:rsidP="006C28DF">
            <w:pPr>
              <w:jc w:val="right"/>
              <w:rPr>
                <w:sz w:val="20"/>
                <w:szCs w:val="20"/>
                <w:lang w:val="en-CA" w:eastAsia="en-CA"/>
              </w:rPr>
            </w:pPr>
            <w:r w:rsidRPr="006C28DF">
              <w:rPr>
                <w:sz w:val="20"/>
                <w:szCs w:val="20"/>
                <w:lang w:val="en-CA" w:eastAsia="en-CA"/>
              </w:rPr>
              <w:t>1.0</w:t>
            </w:r>
          </w:p>
        </w:tc>
      </w:tr>
      <w:tr w:rsidR="006C28DF" w:rsidRPr="006C28DF" w14:paraId="5BC32449"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F5F4A97" w14:textId="77777777" w:rsidR="006C28DF" w:rsidRPr="006C28DF" w:rsidRDefault="006C28DF" w:rsidP="006C28DF">
            <w:pPr>
              <w:jc w:val="left"/>
              <w:rPr>
                <w:sz w:val="20"/>
                <w:szCs w:val="20"/>
                <w:lang w:val="en-CA" w:eastAsia="en-CA"/>
              </w:rPr>
            </w:pPr>
            <w:r w:rsidRPr="006C28DF">
              <w:rPr>
                <w:sz w:val="20"/>
                <w:szCs w:val="20"/>
                <w:lang w:val="en-CA" w:eastAsia="en-CA"/>
              </w:rPr>
              <w:t>Algeria</w:t>
            </w:r>
          </w:p>
        </w:tc>
        <w:tc>
          <w:tcPr>
            <w:tcW w:w="980" w:type="dxa"/>
            <w:tcBorders>
              <w:top w:val="nil"/>
              <w:left w:val="nil"/>
              <w:bottom w:val="single" w:sz="4" w:space="0" w:color="auto"/>
              <w:right w:val="single" w:sz="4" w:space="0" w:color="auto"/>
            </w:tcBorders>
            <w:shd w:val="clear" w:color="auto" w:fill="auto"/>
            <w:hideMark/>
          </w:tcPr>
          <w:p w14:paraId="45BD69BB"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E8E13D6"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7B9BB79B"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1FDF9E5C"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60CAFC5F" w14:textId="77777777" w:rsidR="006C28DF" w:rsidRPr="006C28DF" w:rsidRDefault="006C28DF" w:rsidP="006C28DF">
            <w:pPr>
              <w:jc w:val="right"/>
              <w:rPr>
                <w:sz w:val="20"/>
                <w:szCs w:val="20"/>
                <w:lang w:val="en-CA" w:eastAsia="en-CA"/>
              </w:rPr>
            </w:pPr>
            <w:r w:rsidRPr="006C28DF">
              <w:rPr>
                <w:sz w:val="20"/>
                <w:szCs w:val="20"/>
                <w:lang w:val="en-CA" w:eastAsia="en-CA"/>
              </w:rPr>
              <w:t>329</w:t>
            </w:r>
          </w:p>
        </w:tc>
        <w:tc>
          <w:tcPr>
            <w:tcW w:w="976" w:type="dxa"/>
            <w:tcBorders>
              <w:top w:val="nil"/>
              <w:left w:val="nil"/>
              <w:bottom w:val="single" w:sz="4" w:space="0" w:color="auto"/>
              <w:right w:val="single" w:sz="4" w:space="0" w:color="auto"/>
            </w:tcBorders>
            <w:shd w:val="clear" w:color="auto" w:fill="auto"/>
            <w:hideMark/>
          </w:tcPr>
          <w:p w14:paraId="6640B741"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53E91FF"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853DF08" w14:textId="77777777" w:rsidR="006C28DF" w:rsidRPr="006C28DF" w:rsidRDefault="006C28DF" w:rsidP="006C28DF">
            <w:pPr>
              <w:jc w:val="left"/>
              <w:rPr>
                <w:sz w:val="20"/>
                <w:szCs w:val="20"/>
                <w:lang w:val="en-CA" w:eastAsia="en-CA"/>
              </w:rPr>
            </w:pPr>
            <w:r w:rsidRPr="006C28DF">
              <w:rPr>
                <w:sz w:val="20"/>
                <w:szCs w:val="20"/>
                <w:lang w:val="en-CA" w:eastAsia="en-CA"/>
              </w:rPr>
              <w:t>Antigua and Barbuda</w:t>
            </w:r>
          </w:p>
        </w:tc>
        <w:tc>
          <w:tcPr>
            <w:tcW w:w="980" w:type="dxa"/>
            <w:tcBorders>
              <w:top w:val="nil"/>
              <w:left w:val="nil"/>
              <w:bottom w:val="single" w:sz="4" w:space="0" w:color="auto"/>
              <w:right w:val="single" w:sz="4" w:space="0" w:color="auto"/>
            </w:tcBorders>
            <w:shd w:val="clear" w:color="auto" w:fill="auto"/>
            <w:hideMark/>
          </w:tcPr>
          <w:p w14:paraId="74A01FE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DF5C820"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190B456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0712DDE"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70F98E1D" w14:textId="77777777" w:rsidR="006C28DF" w:rsidRPr="006C28DF" w:rsidRDefault="006C28DF" w:rsidP="006C28DF">
            <w:pPr>
              <w:jc w:val="right"/>
              <w:rPr>
                <w:sz w:val="20"/>
                <w:szCs w:val="20"/>
                <w:lang w:val="en-CA" w:eastAsia="en-CA"/>
              </w:rPr>
            </w:pPr>
            <w:r w:rsidRPr="006C28DF">
              <w:rPr>
                <w:sz w:val="20"/>
                <w:szCs w:val="20"/>
                <w:lang w:val="en-CA" w:eastAsia="en-CA"/>
              </w:rPr>
              <w:t>7</w:t>
            </w:r>
          </w:p>
        </w:tc>
        <w:tc>
          <w:tcPr>
            <w:tcW w:w="976" w:type="dxa"/>
            <w:tcBorders>
              <w:top w:val="nil"/>
              <w:left w:val="nil"/>
              <w:bottom w:val="single" w:sz="4" w:space="0" w:color="auto"/>
              <w:right w:val="single" w:sz="4" w:space="0" w:color="auto"/>
            </w:tcBorders>
            <w:shd w:val="clear" w:color="auto" w:fill="auto"/>
            <w:hideMark/>
          </w:tcPr>
          <w:p w14:paraId="30CDE107"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0B2BF3F7"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C73D647" w14:textId="77777777" w:rsidR="006C28DF" w:rsidRPr="006C28DF" w:rsidRDefault="006C28DF" w:rsidP="006C28DF">
            <w:pPr>
              <w:jc w:val="left"/>
              <w:rPr>
                <w:sz w:val="20"/>
                <w:szCs w:val="20"/>
                <w:lang w:val="en-CA" w:eastAsia="en-CA"/>
              </w:rPr>
            </w:pPr>
            <w:r w:rsidRPr="006C28DF">
              <w:rPr>
                <w:sz w:val="20"/>
                <w:szCs w:val="20"/>
                <w:lang w:val="en-CA" w:eastAsia="en-CA"/>
              </w:rPr>
              <w:t>Antigua and Barbuda</w:t>
            </w:r>
          </w:p>
        </w:tc>
        <w:tc>
          <w:tcPr>
            <w:tcW w:w="980" w:type="dxa"/>
            <w:tcBorders>
              <w:top w:val="nil"/>
              <w:left w:val="nil"/>
              <w:bottom w:val="single" w:sz="4" w:space="0" w:color="auto"/>
              <w:right w:val="single" w:sz="4" w:space="0" w:color="auto"/>
            </w:tcBorders>
            <w:shd w:val="clear" w:color="auto" w:fill="auto"/>
            <w:hideMark/>
          </w:tcPr>
          <w:p w14:paraId="72F0382F"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4A84D7A"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7B0F219"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A448C6F"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(implementation)</w:t>
            </w:r>
          </w:p>
        </w:tc>
        <w:tc>
          <w:tcPr>
            <w:tcW w:w="1148" w:type="dxa"/>
            <w:tcBorders>
              <w:top w:val="nil"/>
              <w:left w:val="nil"/>
              <w:bottom w:val="single" w:sz="4" w:space="0" w:color="auto"/>
              <w:right w:val="single" w:sz="4" w:space="0" w:color="auto"/>
            </w:tcBorders>
            <w:shd w:val="clear" w:color="auto" w:fill="auto"/>
            <w:hideMark/>
          </w:tcPr>
          <w:p w14:paraId="62CC78FB" w14:textId="77777777" w:rsidR="006C28DF" w:rsidRPr="006C28DF" w:rsidRDefault="006C28DF" w:rsidP="006C28DF">
            <w:pPr>
              <w:jc w:val="right"/>
              <w:rPr>
                <w:sz w:val="20"/>
                <w:szCs w:val="20"/>
                <w:lang w:val="en-CA" w:eastAsia="en-CA"/>
              </w:rPr>
            </w:pPr>
            <w:r w:rsidRPr="006C28DF">
              <w:rPr>
                <w:sz w:val="20"/>
                <w:szCs w:val="20"/>
                <w:lang w:val="en-CA" w:eastAsia="en-CA"/>
              </w:rPr>
              <w:t>32</w:t>
            </w:r>
          </w:p>
        </w:tc>
        <w:tc>
          <w:tcPr>
            <w:tcW w:w="976" w:type="dxa"/>
            <w:tcBorders>
              <w:top w:val="nil"/>
              <w:left w:val="nil"/>
              <w:bottom w:val="single" w:sz="4" w:space="0" w:color="auto"/>
              <w:right w:val="single" w:sz="4" w:space="0" w:color="auto"/>
            </w:tcBorders>
            <w:shd w:val="clear" w:color="auto" w:fill="auto"/>
            <w:hideMark/>
          </w:tcPr>
          <w:p w14:paraId="594A1C49" w14:textId="77777777" w:rsidR="006C28DF" w:rsidRPr="006C28DF" w:rsidRDefault="006C28DF" w:rsidP="006C28DF">
            <w:pPr>
              <w:jc w:val="right"/>
              <w:rPr>
                <w:sz w:val="20"/>
                <w:szCs w:val="20"/>
                <w:lang w:val="en-CA" w:eastAsia="en-CA"/>
              </w:rPr>
            </w:pPr>
            <w:r w:rsidRPr="006C28DF">
              <w:rPr>
                <w:sz w:val="20"/>
                <w:szCs w:val="20"/>
                <w:lang w:val="en-CA" w:eastAsia="en-CA"/>
              </w:rPr>
              <w:t>0.1</w:t>
            </w:r>
          </w:p>
        </w:tc>
      </w:tr>
      <w:tr w:rsidR="006C28DF" w:rsidRPr="006C28DF" w14:paraId="4AED9AC1"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03AFD3C" w14:textId="77777777" w:rsidR="006C28DF" w:rsidRPr="006C28DF" w:rsidRDefault="006C28DF" w:rsidP="006C28DF">
            <w:pPr>
              <w:jc w:val="left"/>
              <w:rPr>
                <w:sz w:val="20"/>
                <w:szCs w:val="20"/>
                <w:lang w:val="en-CA" w:eastAsia="en-CA"/>
              </w:rPr>
            </w:pPr>
            <w:r w:rsidRPr="006C28DF">
              <w:rPr>
                <w:sz w:val="20"/>
                <w:szCs w:val="20"/>
                <w:lang w:val="en-CA" w:eastAsia="en-CA"/>
              </w:rPr>
              <w:t>Antigua and Barbuda</w:t>
            </w:r>
          </w:p>
        </w:tc>
        <w:tc>
          <w:tcPr>
            <w:tcW w:w="980" w:type="dxa"/>
            <w:tcBorders>
              <w:top w:val="nil"/>
              <w:left w:val="nil"/>
              <w:bottom w:val="single" w:sz="4" w:space="0" w:color="auto"/>
              <w:right w:val="single" w:sz="4" w:space="0" w:color="auto"/>
            </w:tcBorders>
            <w:shd w:val="clear" w:color="auto" w:fill="auto"/>
            <w:hideMark/>
          </w:tcPr>
          <w:p w14:paraId="6211AA9B"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5ACAE4E8"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34BC880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FBA3B2C" w14:textId="77777777" w:rsidR="006C28DF" w:rsidRPr="006C28DF" w:rsidRDefault="006C28DF" w:rsidP="006C28DF">
            <w:pPr>
              <w:jc w:val="left"/>
              <w:rPr>
                <w:sz w:val="20"/>
                <w:szCs w:val="20"/>
                <w:lang w:val="en-CA" w:eastAsia="en-CA"/>
              </w:rPr>
            </w:pPr>
            <w:r w:rsidRPr="006C28DF">
              <w:rPr>
                <w:sz w:val="20"/>
                <w:szCs w:val="20"/>
                <w:lang w:val="en-CA" w:eastAsia="en-CA"/>
              </w:rPr>
              <w:t>REF-Servicing (Stage II)</w:t>
            </w:r>
          </w:p>
        </w:tc>
        <w:tc>
          <w:tcPr>
            <w:tcW w:w="1148" w:type="dxa"/>
            <w:tcBorders>
              <w:top w:val="nil"/>
              <w:left w:val="nil"/>
              <w:bottom w:val="single" w:sz="4" w:space="0" w:color="auto"/>
              <w:right w:val="single" w:sz="4" w:space="0" w:color="auto"/>
            </w:tcBorders>
            <w:shd w:val="clear" w:color="auto" w:fill="auto"/>
            <w:hideMark/>
          </w:tcPr>
          <w:p w14:paraId="667CD249" w14:textId="77777777" w:rsidR="006C28DF" w:rsidRPr="006C28DF" w:rsidRDefault="006C28DF" w:rsidP="006C28DF">
            <w:pPr>
              <w:jc w:val="right"/>
              <w:rPr>
                <w:sz w:val="20"/>
                <w:szCs w:val="20"/>
                <w:lang w:val="en-CA" w:eastAsia="en-CA"/>
              </w:rPr>
            </w:pPr>
            <w:r w:rsidRPr="006C28DF">
              <w:rPr>
                <w:sz w:val="20"/>
                <w:szCs w:val="20"/>
                <w:lang w:val="en-CA" w:eastAsia="en-CA"/>
              </w:rPr>
              <w:t>50</w:t>
            </w:r>
          </w:p>
        </w:tc>
        <w:tc>
          <w:tcPr>
            <w:tcW w:w="976" w:type="dxa"/>
            <w:tcBorders>
              <w:top w:val="nil"/>
              <w:left w:val="nil"/>
              <w:bottom w:val="single" w:sz="4" w:space="0" w:color="auto"/>
              <w:right w:val="single" w:sz="4" w:space="0" w:color="auto"/>
            </w:tcBorders>
            <w:shd w:val="clear" w:color="auto" w:fill="auto"/>
            <w:hideMark/>
          </w:tcPr>
          <w:p w14:paraId="5D9C2969" w14:textId="77777777" w:rsidR="006C28DF" w:rsidRPr="006C28DF" w:rsidRDefault="006C28DF" w:rsidP="006C28DF">
            <w:pPr>
              <w:jc w:val="right"/>
              <w:rPr>
                <w:sz w:val="20"/>
                <w:szCs w:val="20"/>
                <w:lang w:val="en-CA" w:eastAsia="en-CA"/>
              </w:rPr>
            </w:pPr>
            <w:r w:rsidRPr="006C28DF">
              <w:rPr>
                <w:sz w:val="20"/>
                <w:szCs w:val="20"/>
                <w:lang w:val="en-CA" w:eastAsia="en-CA"/>
              </w:rPr>
              <w:t>0.7</w:t>
            </w:r>
          </w:p>
        </w:tc>
      </w:tr>
      <w:tr w:rsidR="006C28DF" w:rsidRPr="006C28DF" w14:paraId="0FEEA765"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856B063" w14:textId="77777777" w:rsidR="006C28DF" w:rsidRPr="006C28DF" w:rsidRDefault="006C28DF" w:rsidP="006C28DF">
            <w:pPr>
              <w:jc w:val="left"/>
              <w:rPr>
                <w:sz w:val="20"/>
                <w:szCs w:val="20"/>
                <w:lang w:val="en-CA" w:eastAsia="en-CA"/>
              </w:rPr>
            </w:pPr>
            <w:r w:rsidRPr="006C28DF">
              <w:rPr>
                <w:sz w:val="20"/>
                <w:szCs w:val="20"/>
                <w:lang w:val="en-CA" w:eastAsia="en-CA"/>
              </w:rPr>
              <w:t>Antigua and Barbuda</w:t>
            </w:r>
          </w:p>
        </w:tc>
        <w:tc>
          <w:tcPr>
            <w:tcW w:w="980" w:type="dxa"/>
            <w:tcBorders>
              <w:top w:val="nil"/>
              <w:left w:val="nil"/>
              <w:bottom w:val="single" w:sz="4" w:space="0" w:color="auto"/>
              <w:right w:val="single" w:sz="4" w:space="0" w:color="auto"/>
            </w:tcBorders>
            <w:shd w:val="clear" w:color="auto" w:fill="auto"/>
            <w:hideMark/>
          </w:tcPr>
          <w:p w14:paraId="50B98A60"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8FE587E"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5095CEE3"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1E2EB0B6" w14:textId="77777777" w:rsidR="006C28DF" w:rsidRPr="006C28DF" w:rsidRDefault="006C28DF" w:rsidP="006C28DF">
            <w:pPr>
              <w:jc w:val="left"/>
              <w:rPr>
                <w:sz w:val="20"/>
                <w:szCs w:val="20"/>
                <w:lang w:val="en-CA" w:eastAsia="en-CA"/>
              </w:rPr>
            </w:pPr>
            <w:r w:rsidRPr="006C28DF">
              <w:rPr>
                <w:sz w:val="20"/>
                <w:szCs w:val="20"/>
                <w:lang w:val="en-CA" w:eastAsia="en-CA"/>
              </w:rPr>
              <w:t>Enabling activities</w:t>
            </w:r>
          </w:p>
        </w:tc>
        <w:tc>
          <w:tcPr>
            <w:tcW w:w="1148" w:type="dxa"/>
            <w:tcBorders>
              <w:top w:val="nil"/>
              <w:left w:val="nil"/>
              <w:bottom w:val="single" w:sz="4" w:space="0" w:color="auto"/>
              <w:right w:val="single" w:sz="4" w:space="0" w:color="auto"/>
            </w:tcBorders>
            <w:shd w:val="clear" w:color="auto" w:fill="auto"/>
            <w:hideMark/>
          </w:tcPr>
          <w:p w14:paraId="003DEC38" w14:textId="77777777" w:rsidR="006C28DF" w:rsidRPr="006C28DF" w:rsidRDefault="006C28DF" w:rsidP="006C28DF">
            <w:pPr>
              <w:jc w:val="right"/>
              <w:rPr>
                <w:sz w:val="20"/>
                <w:szCs w:val="20"/>
                <w:lang w:val="en-CA" w:eastAsia="en-CA"/>
              </w:rPr>
            </w:pPr>
            <w:r w:rsidRPr="006C28DF">
              <w:rPr>
                <w:sz w:val="20"/>
                <w:szCs w:val="20"/>
                <w:lang w:val="en-CA" w:eastAsia="en-CA"/>
              </w:rPr>
              <w:t>54</w:t>
            </w:r>
          </w:p>
        </w:tc>
        <w:tc>
          <w:tcPr>
            <w:tcW w:w="976" w:type="dxa"/>
            <w:tcBorders>
              <w:top w:val="nil"/>
              <w:left w:val="nil"/>
              <w:bottom w:val="single" w:sz="4" w:space="0" w:color="auto"/>
              <w:right w:val="single" w:sz="4" w:space="0" w:color="auto"/>
            </w:tcBorders>
            <w:shd w:val="clear" w:color="auto" w:fill="auto"/>
            <w:hideMark/>
          </w:tcPr>
          <w:p w14:paraId="629BD95D"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CCA3EA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198910D" w14:textId="77777777" w:rsidR="006C28DF" w:rsidRPr="006C28DF" w:rsidRDefault="006C28DF" w:rsidP="006C28DF">
            <w:pPr>
              <w:jc w:val="left"/>
              <w:rPr>
                <w:sz w:val="20"/>
                <w:szCs w:val="20"/>
                <w:lang w:val="en-CA" w:eastAsia="en-CA"/>
              </w:rPr>
            </w:pPr>
            <w:r w:rsidRPr="006C28DF">
              <w:rPr>
                <w:sz w:val="20"/>
                <w:szCs w:val="20"/>
                <w:lang w:val="en-CA" w:eastAsia="en-CA"/>
              </w:rPr>
              <w:t>Antigua and Barbuda</w:t>
            </w:r>
          </w:p>
        </w:tc>
        <w:tc>
          <w:tcPr>
            <w:tcW w:w="980" w:type="dxa"/>
            <w:tcBorders>
              <w:top w:val="nil"/>
              <w:left w:val="nil"/>
              <w:bottom w:val="single" w:sz="4" w:space="0" w:color="auto"/>
              <w:right w:val="single" w:sz="4" w:space="0" w:color="auto"/>
            </w:tcBorders>
            <w:shd w:val="clear" w:color="auto" w:fill="auto"/>
            <w:hideMark/>
          </w:tcPr>
          <w:p w14:paraId="650184E0"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6536776"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48B4C46D"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59E06A07"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15085FB"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5930B630"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C63E059"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5D1959C" w14:textId="77777777" w:rsidR="006C28DF" w:rsidRPr="006C28DF" w:rsidRDefault="006C28DF" w:rsidP="006C28DF">
            <w:pPr>
              <w:jc w:val="left"/>
              <w:rPr>
                <w:sz w:val="20"/>
                <w:szCs w:val="20"/>
                <w:lang w:val="en-CA" w:eastAsia="en-CA"/>
              </w:rPr>
            </w:pPr>
            <w:r w:rsidRPr="006C28DF">
              <w:rPr>
                <w:sz w:val="20"/>
                <w:szCs w:val="20"/>
                <w:lang w:val="en-CA" w:eastAsia="en-CA"/>
              </w:rPr>
              <w:t>Argentina</w:t>
            </w:r>
          </w:p>
        </w:tc>
        <w:tc>
          <w:tcPr>
            <w:tcW w:w="980" w:type="dxa"/>
            <w:tcBorders>
              <w:top w:val="nil"/>
              <w:left w:val="nil"/>
              <w:bottom w:val="single" w:sz="4" w:space="0" w:color="auto"/>
              <w:right w:val="single" w:sz="4" w:space="0" w:color="auto"/>
            </w:tcBorders>
            <w:shd w:val="clear" w:color="auto" w:fill="auto"/>
            <w:hideMark/>
          </w:tcPr>
          <w:p w14:paraId="44654375"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7BD9CBC6"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6D6B56D3"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9EECC12"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6917AC46" w14:textId="77777777" w:rsidR="006C28DF" w:rsidRPr="006C28DF" w:rsidRDefault="006C28DF" w:rsidP="006C28DF">
            <w:pPr>
              <w:jc w:val="right"/>
              <w:rPr>
                <w:sz w:val="20"/>
                <w:szCs w:val="20"/>
                <w:lang w:val="en-CA" w:eastAsia="en-CA"/>
              </w:rPr>
            </w:pPr>
            <w:r w:rsidRPr="006C28DF">
              <w:rPr>
                <w:sz w:val="20"/>
                <w:szCs w:val="20"/>
                <w:lang w:val="en-CA" w:eastAsia="en-CA"/>
              </w:rPr>
              <w:t>427</w:t>
            </w:r>
          </w:p>
        </w:tc>
        <w:tc>
          <w:tcPr>
            <w:tcW w:w="976" w:type="dxa"/>
            <w:tcBorders>
              <w:top w:val="nil"/>
              <w:left w:val="nil"/>
              <w:bottom w:val="single" w:sz="4" w:space="0" w:color="auto"/>
              <w:right w:val="single" w:sz="4" w:space="0" w:color="auto"/>
            </w:tcBorders>
            <w:shd w:val="clear" w:color="auto" w:fill="auto"/>
            <w:hideMark/>
          </w:tcPr>
          <w:p w14:paraId="4C38DC2F"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333181F1"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5EA29809" w14:textId="77777777" w:rsidR="006C28DF" w:rsidRPr="006C28DF" w:rsidRDefault="006C28DF" w:rsidP="006C28DF">
            <w:pPr>
              <w:jc w:val="left"/>
              <w:rPr>
                <w:sz w:val="20"/>
                <w:szCs w:val="20"/>
                <w:lang w:val="en-CA" w:eastAsia="en-CA"/>
              </w:rPr>
            </w:pPr>
            <w:r w:rsidRPr="006C28DF">
              <w:rPr>
                <w:sz w:val="20"/>
                <w:szCs w:val="20"/>
                <w:lang w:val="en-CA" w:eastAsia="en-CA"/>
              </w:rPr>
              <w:t>Armenia</w:t>
            </w:r>
          </w:p>
        </w:tc>
        <w:tc>
          <w:tcPr>
            <w:tcW w:w="980" w:type="dxa"/>
            <w:tcBorders>
              <w:top w:val="nil"/>
              <w:left w:val="nil"/>
              <w:bottom w:val="single" w:sz="4" w:space="0" w:color="auto"/>
              <w:right w:val="single" w:sz="4" w:space="0" w:color="auto"/>
            </w:tcBorders>
            <w:shd w:val="clear" w:color="auto" w:fill="auto"/>
            <w:hideMark/>
          </w:tcPr>
          <w:p w14:paraId="1EAF8C1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F9DA9F1"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E8D51B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E860C5D"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(implementation) </w:t>
            </w:r>
          </w:p>
        </w:tc>
        <w:tc>
          <w:tcPr>
            <w:tcW w:w="1148" w:type="dxa"/>
            <w:tcBorders>
              <w:top w:val="nil"/>
              <w:left w:val="nil"/>
              <w:bottom w:val="single" w:sz="4" w:space="0" w:color="auto"/>
              <w:right w:val="single" w:sz="4" w:space="0" w:color="auto"/>
            </w:tcBorders>
            <w:shd w:val="clear" w:color="auto" w:fill="auto"/>
            <w:hideMark/>
          </w:tcPr>
          <w:p w14:paraId="37952EEB" w14:textId="77777777" w:rsidR="006C28DF" w:rsidRPr="006C28DF" w:rsidRDefault="006C28DF" w:rsidP="006C28DF">
            <w:pPr>
              <w:jc w:val="right"/>
              <w:rPr>
                <w:sz w:val="20"/>
                <w:szCs w:val="20"/>
                <w:lang w:val="en-CA" w:eastAsia="en-CA"/>
              </w:rPr>
            </w:pPr>
            <w:r w:rsidRPr="006C28DF">
              <w:rPr>
                <w:sz w:val="20"/>
                <w:szCs w:val="20"/>
                <w:lang w:val="en-CA" w:eastAsia="en-CA"/>
              </w:rPr>
              <w:t>58</w:t>
            </w:r>
          </w:p>
        </w:tc>
        <w:tc>
          <w:tcPr>
            <w:tcW w:w="976" w:type="dxa"/>
            <w:tcBorders>
              <w:top w:val="nil"/>
              <w:left w:val="nil"/>
              <w:bottom w:val="single" w:sz="4" w:space="0" w:color="auto"/>
              <w:right w:val="single" w:sz="4" w:space="0" w:color="auto"/>
            </w:tcBorders>
            <w:shd w:val="clear" w:color="auto" w:fill="auto"/>
            <w:hideMark/>
          </w:tcPr>
          <w:p w14:paraId="7135ACC2" w14:textId="77777777" w:rsidR="006C28DF" w:rsidRPr="006C28DF" w:rsidRDefault="006C28DF" w:rsidP="006C28DF">
            <w:pPr>
              <w:jc w:val="right"/>
              <w:rPr>
                <w:sz w:val="20"/>
                <w:szCs w:val="20"/>
                <w:lang w:val="en-CA" w:eastAsia="en-CA"/>
              </w:rPr>
            </w:pPr>
            <w:r w:rsidRPr="006C28DF">
              <w:rPr>
                <w:sz w:val="20"/>
                <w:szCs w:val="20"/>
                <w:lang w:val="en-CA" w:eastAsia="en-CA"/>
              </w:rPr>
              <w:t>0.8</w:t>
            </w:r>
          </w:p>
        </w:tc>
      </w:tr>
      <w:tr w:rsidR="006C28DF" w:rsidRPr="006C28DF" w14:paraId="28BBCD0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D52D0F2" w14:textId="77777777" w:rsidR="006C28DF" w:rsidRPr="006C28DF" w:rsidRDefault="006C28DF" w:rsidP="006C28DF">
            <w:pPr>
              <w:jc w:val="left"/>
              <w:rPr>
                <w:sz w:val="20"/>
                <w:szCs w:val="20"/>
                <w:lang w:val="en-CA" w:eastAsia="en-CA"/>
              </w:rPr>
            </w:pPr>
            <w:r w:rsidRPr="006C28DF">
              <w:rPr>
                <w:sz w:val="20"/>
                <w:szCs w:val="20"/>
                <w:lang w:val="en-CA" w:eastAsia="en-CA"/>
              </w:rPr>
              <w:t>Armenia</w:t>
            </w:r>
          </w:p>
        </w:tc>
        <w:tc>
          <w:tcPr>
            <w:tcW w:w="980" w:type="dxa"/>
            <w:tcBorders>
              <w:top w:val="nil"/>
              <w:left w:val="nil"/>
              <w:bottom w:val="single" w:sz="4" w:space="0" w:color="auto"/>
              <w:right w:val="single" w:sz="4" w:space="0" w:color="auto"/>
            </w:tcBorders>
            <w:shd w:val="clear" w:color="auto" w:fill="auto"/>
            <w:hideMark/>
          </w:tcPr>
          <w:p w14:paraId="3D2697F3"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0CA01C6C"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756F1839"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2013D5D"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449BFFF6" w14:textId="77777777" w:rsidR="006C28DF" w:rsidRPr="006C28DF" w:rsidRDefault="006C28DF" w:rsidP="006C28DF">
            <w:pPr>
              <w:jc w:val="right"/>
              <w:rPr>
                <w:sz w:val="20"/>
                <w:szCs w:val="20"/>
                <w:lang w:val="en-CA" w:eastAsia="en-CA"/>
              </w:rPr>
            </w:pPr>
            <w:r w:rsidRPr="006C28DF">
              <w:rPr>
                <w:sz w:val="20"/>
                <w:szCs w:val="20"/>
                <w:lang w:val="en-CA" w:eastAsia="en-CA"/>
              </w:rPr>
              <w:t>164</w:t>
            </w:r>
          </w:p>
        </w:tc>
        <w:tc>
          <w:tcPr>
            <w:tcW w:w="976" w:type="dxa"/>
            <w:tcBorders>
              <w:top w:val="nil"/>
              <w:left w:val="nil"/>
              <w:bottom w:val="single" w:sz="4" w:space="0" w:color="auto"/>
              <w:right w:val="single" w:sz="4" w:space="0" w:color="auto"/>
            </w:tcBorders>
            <w:shd w:val="clear" w:color="auto" w:fill="auto"/>
            <w:hideMark/>
          </w:tcPr>
          <w:p w14:paraId="2FB75EC7"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389B918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7B5BCD1" w14:textId="77777777" w:rsidR="006C28DF" w:rsidRPr="006C28DF" w:rsidRDefault="006C28DF" w:rsidP="006C28DF">
            <w:pPr>
              <w:jc w:val="left"/>
              <w:rPr>
                <w:sz w:val="20"/>
                <w:szCs w:val="20"/>
                <w:lang w:val="en-CA" w:eastAsia="en-CA"/>
              </w:rPr>
            </w:pPr>
            <w:r w:rsidRPr="006C28DF">
              <w:rPr>
                <w:sz w:val="20"/>
                <w:szCs w:val="20"/>
                <w:lang w:val="en-CA" w:eastAsia="en-CA"/>
              </w:rPr>
              <w:t>Bahamas (the)</w:t>
            </w:r>
          </w:p>
        </w:tc>
        <w:tc>
          <w:tcPr>
            <w:tcW w:w="980" w:type="dxa"/>
            <w:tcBorders>
              <w:top w:val="nil"/>
              <w:left w:val="nil"/>
              <w:bottom w:val="single" w:sz="4" w:space="0" w:color="auto"/>
              <w:right w:val="single" w:sz="4" w:space="0" w:color="auto"/>
            </w:tcBorders>
            <w:shd w:val="clear" w:color="auto" w:fill="auto"/>
            <w:hideMark/>
          </w:tcPr>
          <w:p w14:paraId="22198302"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7C3987A"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35BD555D"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3B80B0D8" w14:textId="77777777" w:rsidR="006C28DF" w:rsidRPr="006C28DF" w:rsidRDefault="006C28DF" w:rsidP="006C28DF">
            <w:pPr>
              <w:jc w:val="left"/>
              <w:rPr>
                <w:sz w:val="20"/>
                <w:szCs w:val="20"/>
                <w:lang w:val="en-CA" w:eastAsia="en-CA"/>
              </w:rPr>
            </w:pPr>
            <w:r w:rsidRPr="006C28DF">
              <w:rPr>
                <w:sz w:val="20"/>
                <w:szCs w:val="20"/>
                <w:lang w:val="en-CA" w:eastAsia="en-CA"/>
              </w:rPr>
              <w:t>Enabling activities</w:t>
            </w:r>
          </w:p>
        </w:tc>
        <w:tc>
          <w:tcPr>
            <w:tcW w:w="1148" w:type="dxa"/>
            <w:tcBorders>
              <w:top w:val="nil"/>
              <w:left w:val="nil"/>
              <w:bottom w:val="single" w:sz="4" w:space="0" w:color="auto"/>
              <w:right w:val="single" w:sz="4" w:space="0" w:color="auto"/>
            </w:tcBorders>
            <w:shd w:val="clear" w:color="auto" w:fill="auto"/>
            <w:hideMark/>
          </w:tcPr>
          <w:p w14:paraId="530D2310" w14:textId="77777777" w:rsidR="006C28DF" w:rsidRPr="006C28DF" w:rsidRDefault="006C28DF" w:rsidP="006C28DF">
            <w:pPr>
              <w:jc w:val="right"/>
              <w:rPr>
                <w:sz w:val="20"/>
                <w:szCs w:val="20"/>
                <w:lang w:val="en-CA" w:eastAsia="en-CA"/>
              </w:rPr>
            </w:pPr>
            <w:r w:rsidRPr="006C28DF">
              <w:rPr>
                <w:sz w:val="20"/>
                <w:szCs w:val="20"/>
                <w:lang w:val="en-CA" w:eastAsia="en-CA"/>
              </w:rPr>
              <w:t>102</w:t>
            </w:r>
          </w:p>
        </w:tc>
        <w:tc>
          <w:tcPr>
            <w:tcW w:w="976" w:type="dxa"/>
            <w:tcBorders>
              <w:top w:val="nil"/>
              <w:left w:val="nil"/>
              <w:bottom w:val="single" w:sz="4" w:space="0" w:color="auto"/>
              <w:right w:val="single" w:sz="4" w:space="0" w:color="auto"/>
            </w:tcBorders>
            <w:shd w:val="clear" w:color="auto" w:fill="auto"/>
            <w:hideMark/>
          </w:tcPr>
          <w:p w14:paraId="3A06F96D"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EADBF11"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32BCEF3" w14:textId="77777777" w:rsidR="006C28DF" w:rsidRPr="006C28DF" w:rsidRDefault="006C28DF" w:rsidP="006C28DF">
            <w:pPr>
              <w:jc w:val="left"/>
              <w:rPr>
                <w:sz w:val="20"/>
                <w:szCs w:val="20"/>
                <w:lang w:val="en-CA" w:eastAsia="en-CA"/>
              </w:rPr>
            </w:pPr>
            <w:r w:rsidRPr="006C28DF">
              <w:rPr>
                <w:sz w:val="20"/>
                <w:szCs w:val="20"/>
                <w:lang w:val="en-CA" w:eastAsia="en-CA"/>
              </w:rPr>
              <w:t>Bahamas (the)</w:t>
            </w:r>
          </w:p>
        </w:tc>
        <w:tc>
          <w:tcPr>
            <w:tcW w:w="980" w:type="dxa"/>
            <w:tcBorders>
              <w:top w:val="nil"/>
              <w:left w:val="nil"/>
              <w:bottom w:val="single" w:sz="4" w:space="0" w:color="auto"/>
              <w:right w:val="single" w:sz="4" w:space="0" w:color="auto"/>
            </w:tcBorders>
            <w:shd w:val="clear" w:color="auto" w:fill="auto"/>
            <w:hideMark/>
          </w:tcPr>
          <w:p w14:paraId="02AF1C5E"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2DFFEB2"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63A9D27"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01ABAB47"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1D6688F"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0975FE69"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ACCCE8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A879624" w14:textId="77777777" w:rsidR="006C28DF" w:rsidRPr="006C28DF" w:rsidRDefault="006C28DF" w:rsidP="006C28DF">
            <w:pPr>
              <w:jc w:val="left"/>
              <w:rPr>
                <w:sz w:val="20"/>
                <w:szCs w:val="20"/>
                <w:lang w:val="en-CA" w:eastAsia="en-CA"/>
              </w:rPr>
            </w:pPr>
            <w:r w:rsidRPr="006C28DF">
              <w:rPr>
                <w:sz w:val="20"/>
                <w:szCs w:val="20"/>
                <w:lang w:val="en-CA" w:eastAsia="en-CA"/>
              </w:rPr>
              <w:t>Bangladesh</w:t>
            </w:r>
          </w:p>
        </w:tc>
        <w:tc>
          <w:tcPr>
            <w:tcW w:w="980" w:type="dxa"/>
            <w:tcBorders>
              <w:top w:val="nil"/>
              <w:left w:val="nil"/>
              <w:bottom w:val="single" w:sz="4" w:space="0" w:color="auto"/>
              <w:right w:val="single" w:sz="4" w:space="0" w:color="auto"/>
            </w:tcBorders>
            <w:shd w:val="clear" w:color="auto" w:fill="auto"/>
            <w:hideMark/>
          </w:tcPr>
          <w:p w14:paraId="7E97A7EF"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1B127942"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2EC28F27"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78FA8B27"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EB95C04" w14:textId="77777777" w:rsidR="006C28DF" w:rsidRPr="006C28DF" w:rsidRDefault="006C28DF" w:rsidP="006C28DF">
            <w:pPr>
              <w:jc w:val="right"/>
              <w:rPr>
                <w:sz w:val="20"/>
                <w:szCs w:val="20"/>
                <w:lang w:val="en-CA" w:eastAsia="en-CA"/>
              </w:rPr>
            </w:pPr>
            <w:r w:rsidRPr="006C28DF">
              <w:rPr>
                <w:sz w:val="20"/>
                <w:szCs w:val="20"/>
                <w:lang w:val="en-CA" w:eastAsia="en-CA"/>
              </w:rPr>
              <w:t>178</w:t>
            </w:r>
          </w:p>
        </w:tc>
        <w:tc>
          <w:tcPr>
            <w:tcW w:w="976" w:type="dxa"/>
            <w:tcBorders>
              <w:top w:val="nil"/>
              <w:left w:val="nil"/>
              <w:bottom w:val="single" w:sz="4" w:space="0" w:color="auto"/>
              <w:right w:val="single" w:sz="4" w:space="0" w:color="auto"/>
            </w:tcBorders>
            <w:shd w:val="clear" w:color="auto" w:fill="auto"/>
            <w:hideMark/>
          </w:tcPr>
          <w:p w14:paraId="680BE13D"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704AA8A8"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0E1CFEEC" w14:textId="77777777" w:rsidR="006C28DF" w:rsidRPr="006C28DF" w:rsidRDefault="006C28DF" w:rsidP="006C28DF">
            <w:pPr>
              <w:jc w:val="left"/>
              <w:rPr>
                <w:sz w:val="20"/>
                <w:szCs w:val="20"/>
                <w:lang w:val="en-CA" w:eastAsia="en-CA"/>
              </w:rPr>
            </w:pPr>
            <w:r w:rsidRPr="006C28DF">
              <w:rPr>
                <w:sz w:val="20"/>
                <w:szCs w:val="20"/>
                <w:lang w:val="en-CA" w:eastAsia="en-CA"/>
              </w:rPr>
              <w:t>Barbados</w:t>
            </w:r>
          </w:p>
        </w:tc>
        <w:tc>
          <w:tcPr>
            <w:tcW w:w="980" w:type="dxa"/>
            <w:tcBorders>
              <w:top w:val="nil"/>
              <w:left w:val="nil"/>
              <w:bottom w:val="single" w:sz="4" w:space="0" w:color="auto"/>
              <w:right w:val="single" w:sz="4" w:space="0" w:color="auto"/>
            </w:tcBorders>
            <w:shd w:val="clear" w:color="auto" w:fill="auto"/>
            <w:hideMark/>
          </w:tcPr>
          <w:p w14:paraId="096C5557"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C12A786"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12B18D0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07B4A96"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54E9338F" w14:textId="77777777" w:rsidR="006C28DF" w:rsidRPr="006C28DF" w:rsidRDefault="006C28DF" w:rsidP="006C28DF">
            <w:pPr>
              <w:jc w:val="right"/>
              <w:rPr>
                <w:sz w:val="20"/>
                <w:szCs w:val="20"/>
                <w:lang w:val="en-CA" w:eastAsia="en-CA"/>
              </w:rPr>
            </w:pPr>
            <w:r w:rsidRPr="006C28DF">
              <w:rPr>
                <w:sz w:val="20"/>
                <w:szCs w:val="20"/>
                <w:lang w:val="en-CA" w:eastAsia="en-CA"/>
              </w:rPr>
              <w:t>47</w:t>
            </w:r>
          </w:p>
        </w:tc>
        <w:tc>
          <w:tcPr>
            <w:tcW w:w="976" w:type="dxa"/>
            <w:tcBorders>
              <w:top w:val="nil"/>
              <w:left w:val="nil"/>
              <w:bottom w:val="single" w:sz="4" w:space="0" w:color="auto"/>
              <w:right w:val="single" w:sz="4" w:space="0" w:color="auto"/>
            </w:tcBorders>
            <w:shd w:val="clear" w:color="auto" w:fill="auto"/>
            <w:hideMark/>
          </w:tcPr>
          <w:p w14:paraId="116BD157" w14:textId="77777777" w:rsidR="006C28DF" w:rsidRPr="006C28DF" w:rsidRDefault="006C28DF" w:rsidP="006C28DF">
            <w:pPr>
              <w:jc w:val="right"/>
              <w:rPr>
                <w:sz w:val="20"/>
                <w:szCs w:val="20"/>
                <w:lang w:val="en-CA" w:eastAsia="en-CA"/>
              </w:rPr>
            </w:pPr>
            <w:r w:rsidRPr="006C28DF">
              <w:rPr>
                <w:sz w:val="20"/>
                <w:szCs w:val="20"/>
                <w:lang w:val="en-CA" w:eastAsia="en-CA"/>
              </w:rPr>
              <w:t>0.2</w:t>
            </w:r>
          </w:p>
        </w:tc>
      </w:tr>
      <w:tr w:rsidR="006C28DF" w:rsidRPr="006C28DF" w14:paraId="2D646889"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B351BC1" w14:textId="77777777" w:rsidR="006C28DF" w:rsidRPr="006C28DF" w:rsidRDefault="006C28DF" w:rsidP="006C28DF">
            <w:pPr>
              <w:jc w:val="left"/>
              <w:rPr>
                <w:sz w:val="20"/>
                <w:szCs w:val="20"/>
                <w:lang w:val="en-CA" w:eastAsia="en-CA"/>
              </w:rPr>
            </w:pPr>
            <w:r w:rsidRPr="006C28DF">
              <w:rPr>
                <w:sz w:val="20"/>
                <w:szCs w:val="20"/>
                <w:lang w:val="en-CA" w:eastAsia="en-CA"/>
              </w:rPr>
              <w:t>Barbados</w:t>
            </w:r>
          </w:p>
        </w:tc>
        <w:tc>
          <w:tcPr>
            <w:tcW w:w="980" w:type="dxa"/>
            <w:tcBorders>
              <w:top w:val="nil"/>
              <w:left w:val="nil"/>
              <w:bottom w:val="single" w:sz="4" w:space="0" w:color="auto"/>
              <w:right w:val="single" w:sz="4" w:space="0" w:color="auto"/>
            </w:tcBorders>
            <w:shd w:val="clear" w:color="auto" w:fill="auto"/>
            <w:hideMark/>
          </w:tcPr>
          <w:p w14:paraId="3F76BC8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92AE21A"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0D30EA99"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28A49952" w14:textId="77777777" w:rsidR="006C28DF" w:rsidRPr="006C28DF" w:rsidRDefault="006C28DF" w:rsidP="006C28DF">
            <w:pPr>
              <w:jc w:val="left"/>
              <w:rPr>
                <w:sz w:val="20"/>
                <w:szCs w:val="20"/>
                <w:lang w:val="en-CA" w:eastAsia="en-CA"/>
              </w:rPr>
            </w:pPr>
            <w:r w:rsidRPr="006C28DF">
              <w:rPr>
                <w:sz w:val="20"/>
                <w:szCs w:val="20"/>
                <w:lang w:val="en-CA" w:eastAsia="en-CA"/>
              </w:rPr>
              <w:t>Enabling activities</w:t>
            </w:r>
          </w:p>
        </w:tc>
        <w:tc>
          <w:tcPr>
            <w:tcW w:w="1148" w:type="dxa"/>
            <w:tcBorders>
              <w:top w:val="nil"/>
              <w:left w:val="nil"/>
              <w:bottom w:val="single" w:sz="4" w:space="0" w:color="auto"/>
              <w:right w:val="single" w:sz="4" w:space="0" w:color="auto"/>
            </w:tcBorders>
            <w:shd w:val="clear" w:color="auto" w:fill="auto"/>
            <w:hideMark/>
          </w:tcPr>
          <w:p w14:paraId="4D9A98EF" w14:textId="77777777" w:rsidR="006C28DF" w:rsidRPr="006C28DF" w:rsidRDefault="006C28DF" w:rsidP="006C28DF">
            <w:pPr>
              <w:jc w:val="right"/>
              <w:rPr>
                <w:sz w:val="20"/>
                <w:szCs w:val="20"/>
                <w:lang w:val="en-CA" w:eastAsia="en-CA"/>
              </w:rPr>
            </w:pPr>
            <w:r w:rsidRPr="006C28DF">
              <w:rPr>
                <w:sz w:val="20"/>
                <w:szCs w:val="20"/>
                <w:lang w:val="en-CA" w:eastAsia="en-CA"/>
              </w:rPr>
              <w:t>102</w:t>
            </w:r>
          </w:p>
        </w:tc>
        <w:tc>
          <w:tcPr>
            <w:tcW w:w="976" w:type="dxa"/>
            <w:tcBorders>
              <w:top w:val="nil"/>
              <w:left w:val="nil"/>
              <w:bottom w:val="single" w:sz="4" w:space="0" w:color="auto"/>
              <w:right w:val="single" w:sz="4" w:space="0" w:color="auto"/>
            </w:tcBorders>
            <w:shd w:val="clear" w:color="auto" w:fill="auto"/>
            <w:hideMark/>
          </w:tcPr>
          <w:p w14:paraId="3EE9E0DE"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572E36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00B18FB" w14:textId="77777777" w:rsidR="006C28DF" w:rsidRPr="006C28DF" w:rsidRDefault="006C28DF" w:rsidP="006C28DF">
            <w:pPr>
              <w:jc w:val="left"/>
              <w:rPr>
                <w:sz w:val="20"/>
                <w:szCs w:val="20"/>
                <w:lang w:val="en-CA" w:eastAsia="en-CA"/>
              </w:rPr>
            </w:pPr>
            <w:r w:rsidRPr="006C28DF">
              <w:rPr>
                <w:sz w:val="20"/>
                <w:szCs w:val="20"/>
                <w:lang w:val="en-CA" w:eastAsia="en-CA"/>
              </w:rPr>
              <w:t>Barbados</w:t>
            </w:r>
          </w:p>
        </w:tc>
        <w:tc>
          <w:tcPr>
            <w:tcW w:w="980" w:type="dxa"/>
            <w:tcBorders>
              <w:top w:val="nil"/>
              <w:left w:val="nil"/>
              <w:bottom w:val="single" w:sz="4" w:space="0" w:color="auto"/>
              <w:right w:val="single" w:sz="4" w:space="0" w:color="auto"/>
            </w:tcBorders>
            <w:shd w:val="clear" w:color="auto" w:fill="auto"/>
            <w:hideMark/>
          </w:tcPr>
          <w:p w14:paraId="44C9F40E"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2A490A3"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4E4D6C45"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0B3F6F9B"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BA94D4D" w14:textId="77777777" w:rsidR="006C28DF" w:rsidRPr="006C28DF" w:rsidRDefault="006C28DF" w:rsidP="006C28DF">
            <w:pPr>
              <w:jc w:val="right"/>
              <w:rPr>
                <w:sz w:val="20"/>
                <w:szCs w:val="20"/>
                <w:lang w:val="en-CA" w:eastAsia="en-CA"/>
              </w:rPr>
            </w:pPr>
            <w:r w:rsidRPr="006C28DF">
              <w:rPr>
                <w:sz w:val="20"/>
                <w:szCs w:val="20"/>
                <w:lang w:val="en-CA" w:eastAsia="en-CA"/>
              </w:rPr>
              <w:t>150</w:t>
            </w:r>
          </w:p>
        </w:tc>
        <w:tc>
          <w:tcPr>
            <w:tcW w:w="976" w:type="dxa"/>
            <w:tcBorders>
              <w:top w:val="nil"/>
              <w:left w:val="nil"/>
              <w:bottom w:val="single" w:sz="4" w:space="0" w:color="auto"/>
              <w:right w:val="single" w:sz="4" w:space="0" w:color="auto"/>
            </w:tcBorders>
            <w:shd w:val="clear" w:color="auto" w:fill="auto"/>
            <w:hideMark/>
          </w:tcPr>
          <w:p w14:paraId="49073B18"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07807F9"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38BD964" w14:textId="77777777" w:rsidR="006C28DF" w:rsidRPr="006C28DF" w:rsidRDefault="006C28DF" w:rsidP="006C28DF">
            <w:pPr>
              <w:jc w:val="left"/>
              <w:rPr>
                <w:sz w:val="20"/>
                <w:szCs w:val="20"/>
                <w:lang w:val="en-CA" w:eastAsia="en-CA"/>
              </w:rPr>
            </w:pPr>
            <w:r w:rsidRPr="006C28DF">
              <w:rPr>
                <w:sz w:val="20"/>
                <w:szCs w:val="20"/>
                <w:lang w:val="en-CA" w:eastAsia="en-CA"/>
              </w:rPr>
              <w:t>Belize</w:t>
            </w:r>
          </w:p>
        </w:tc>
        <w:tc>
          <w:tcPr>
            <w:tcW w:w="980" w:type="dxa"/>
            <w:tcBorders>
              <w:top w:val="nil"/>
              <w:left w:val="nil"/>
              <w:bottom w:val="single" w:sz="4" w:space="0" w:color="auto"/>
              <w:right w:val="single" w:sz="4" w:space="0" w:color="auto"/>
            </w:tcBorders>
            <w:shd w:val="clear" w:color="auto" w:fill="auto"/>
            <w:hideMark/>
          </w:tcPr>
          <w:p w14:paraId="771F906A"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0F43077"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2F405B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68D32EC"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51E76CF7"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364C196C"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189A7C1"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7D696BA" w14:textId="77777777" w:rsidR="006C28DF" w:rsidRPr="006C28DF" w:rsidRDefault="006C28DF" w:rsidP="006C28DF">
            <w:pPr>
              <w:jc w:val="left"/>
              <w:rPr>
                <w:sz w:val="20"/>
                <w:szCs w:val="20"/>
                <w:lang w:val="en-CA" w:eastAsia="en-CA"/>
              </w:rPr>
            </w:pPr>
            <w:r w:rsidRPr="006C28DF">
              <w:rPr>
                <w:sz w:val="20"/>
                <w:szCs w:val="20"/>
                <w:lang w:val="en-CA" w:eastAsia="en-CA"/>
              </w:rPr>
              <w:t>Bolivia (Plurinational State of)</w:t>
            </w:r>
          </w:p>
        </w:tc>
        <w:tc>
          <w:tcPr>
            <w:tcW w:w="980" w:type="dxa"/>
            <w:tcBorders>
              <w:top w:val="nil"/>
              <w:left w:val="nil"/>
              <w:bottom w:val="single" w:sz="4" w:space="0" w:color="auto"/>
              <w:right w:val="single" w:sz="4" w:space="0" w:color="auto"/>
            </w:tcBorders>
            <w:shd w:val="clear" w:color="auto" w:fill="auto"/>
            <w:hideMark/>
          </w:tcPr>
          <w:p w14:paraId="3E612B0C"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30BD3E28"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706535B"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8B8A731"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5EF2FA89" w14:textId="77777777" w:rsidR="006C28DF" w:rsidRPr="006C28DF" w:rsidRDefault="006C28DF" w:rsidP="006C28DF">
            <w:pPr>
              <w:jc w:val="right"/>
              <w:rPr>
                <w:sz w:val="20"/>
                <w:szCs w:val="20"/>
                <w:lang w:val="en-CA" w:eastAsia="en-CA"/>
              </w:rPr>
            </w:pPr>
            <w:r w:rsidRPr="006C28DF">
              <w:rPr>
                <w:sz w:val="20"/>
                <w:szCs w:val="20"/>
                <w:lang w:val="en-CA" w:eastAsia="en-CA"/>
              </w:rPr>
              <w:t>32</w:t>
            </w:r>
          </w:p>
        </w:tc>
        <w:tc>
          <w:tcPr>
            <w:tcW w:w="976" w:type="dxa"/>
            <w:tcBorders>
              <w:top w:val="nil"/>
              <w:left w:val="nil"/>
              <w:bottom w:val="single" w:sz="4" w:space="0" w:color="auto"/>
              <w:right w:val="single" w:sz="4" w:space="0" w:color="auto"/>
            </w:tcBorders>
            <w:shd w:val="clear" w:color="auto" w:fill="auto"/>
            <w:hideMark/>
          </w:tcPr>
          <w:p w14:paraId="2A823DCD"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56FC73A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8F57F7C" w14:textId="77777777" w:rsidR="006C28DF" w:rsidRPr="006C28DF" w:rsidRDefault="006C28DF" w:rsidP="006C28DF">
            <w:pPr>
              <w:jc w:val="left"/>
              <w:rPr>
                <w:sz w:val="20"/>
                <w:szCs w:val="20"/>
                <w:lang w:val="en-CA" w:eastAsia="en-CA"/>
              </w:rPr>
            </w:pPr>
            <w:r w:rsidRPr="006C28DF">
              <w:rPr>
                <w:sz w:val="20"/>
                <w:szCs w:val="20"/>
                <w:lang w:val="en-CA" w:eastAsia="en-CA"/>
              </w:rPr>
              <w:t>Bolivia (Plurinational State of)</w:t>
            </w:r>
          </w:p>
        </w:tc>
        <w:tc>
          <w:tcPr>
            <w:tcW w:w="980" w:type="dxa"/>
            <w:tcBorders>
              <w:top w:val="nil"/>
              <w:left w:val="nil"/>
              <w:bottom w:val="single" w:sz="4" w:space="0" w:color="auto"/>
              <w:right w:val="single" w:sz="4" w:space="0" w:color="auto"/>
            </w:tcBorders>
            <w:shd w:val="clear" w:color="auto" w:fill="auto"/>
            <w:hideMark/>
          </w:tcPr>
          <w:p w14:paraId="7D28B938"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E569F3E"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7C27D7C6"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1F8DC75C" w14:textId="77777777" w:rsidR="006C28DF" w:rsidRPr="006C28DF" w:rsidRDefault="006C28DF" w:rsidP="006C28DF">
            <w:pPr>
              <w:jc w:val="left"/>
              <w:rPr>
                <w:sz w:val="20"/>
                <w:szCs w:val="20"/>
                <w:lang w:val="en-CA" w:eastAsia="en-CA"/>
              </w:rPr>
            </w:pPr>
            <w:r w:rsidRPr="006C28DF">
              <w:rPr>
                <w:sz w:val="20"/>
                <w:szCs w:val="20"/>
                <w:lang w:val="en-CA" w:eastAsia="en-CA"/>
              </w:rPr>
              <w:t>Enabling activities</w:t>
            </w:r>
          </w:p>
        </w:tc>
        <w:tc>
          <w:tcPr>
            <w:tcW w:w="1148" w:type="dxa"/>
            <w:tcBorders>
              <w:top w:val="nil"/>
              <w:left w:val="nil"/>
              <w:bottom w:val="single" w:sz="4" w:space="0" w:color="auto"/>
              <w:right w:val="single" w:sz="4" w:space="0" w:color="auto"/>
            </w:tcBorders>
            <w:shd w:val="clear" w:color="auto" w:fill="auto"/>
            <w:hideMark/>
          </w:tcPr>
          <w:p w14:paraId="1D25D4CA" w14:textId="77777777" w:rsidR="006C28DF" w:rsidRPr="006C28DF" w:rsidRDefault="006C28DF" w:rsidP="006C28DF">
            <w:pPr>
              <w:jc w:val="right"/>
              <w:rPr>
                <w:sz w:val="20"/>
                <w:szCs w:val="20"/>
                <w:lang w:val="en-CA" w:eastAsia="en-CA"/>
              </w:rPr>
            </w:pPr>
            <w:r w:rsidRPr="006C28DF">
              <w:rPr>
                <w:sz w:val="20"/>
                <w:szCs w:val="20"/>
                <w:lang w:val="en-CA" w:eastAsia="en-CA"/>
              </w:rPr>
              <w:t>102</w:t>
            </w:r>
          </w:p>
        </w:tc>
        <w:tc>
          <w:tcPr>
            <w:tcW w:w="976" w:type="dxa"/>
            <w:tcBorders>
              <w:top w:val="nil"/>
              <w:left w:val="nil"/>
              <w:bottom w:val="single" w:sz="4" w:space="0" w:color="auto"/>
              <w:right w:val="single" w:sz="4" w:space="0" w:color="auto"/>
            </w:tcBorders>
            <w:shd w:val="clear" w:color="auto" w:fill="auto"/>
            <w:hideMark/>
          </w:tcPr>
          <w:p w14:paraId="4F60FDFB"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E29E569"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DEDB5F8" w14:textId="77777777" w:rsidR="006C28DF" w:rsidRPr="006C28DF" w:rsidRDefault="006C28DF" w:rsidP="006C28DF">
            <w:pPr>
              <w:jc w:val="left"/>
              <w:rPr>
                <w:sz w:val="20"/>
                <w:szCs w:val="20"/>
                <w:lang w:val="en-CA" w:eastAsia="en-CA"/>
              </w:rPr>
            </w:pPr>
            <w:r w:rsidRPr="006C28DF">
              <w:rPr>
                <w:sz w:val="20"/>
                <w:szCs w:val="20"/>
                <w:lang w:val="en-CA" w:eastAsia="en-CA"/>
              </w:rPr>
              <w:t>Bosnia and Herzegovina</w:t>
            </w:r>
          </w:p>
        </w:tc>
        <w:tc>
          <w:tcPr>
            <w:tcW w:w="980" w:type="dxa"/>
            <w:tcBorders>
              <w:top w:val="nil"/>
              <w:left w:val="nil"/>
              <w:bottom w:val="single" w:sz="4" w:space="0" w:color="auto"/>
              <w:right w:val="single" w:sz="4" w:space="0" w:color="auto"/>
            </w:tcBorders>
            <w:shd w:val="clear" w:color="auto" w:fill="auto"/>
            <w:hideMark/>
          </w:tcPr>
          <w:p w14:paraId="136ABEF1"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012BE0D9"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0B5D8847"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E41BC0D" w14:textId="77777777" w:rsidR="006C28DF" w:rsidRPr="006C28DF" w:rsidRDefault="006C28DF" w:rsidP="006C28DF">
            <w:pPr>
              <w:jc w:val="left"/>
              <w:rPr>
                <w:sz w:val="20"/>
                <w:szCs w:val="20"/>
                <w:lang w:val="en-CA" w:eastAsia="en-CA"/>
              </w:rPr>
            </w:pPr>
            <w:r w:rsidRPr="006C28DF">
              <w:rPr>
                <w:sz w:val="20"/>
                <w:szCs w:val="20"/>
                <w:lang w:val="en-CA" w:eastAsia="en-CA"/>
              </w:rPr>
              <w:t>HPMP - Stage I</w:t>
            </w:r>
          </w:p>
        </w:tc>
        <w:tc>
          <w:tcPr>
            <w:tcW w:w="1148" w:type="dxa"/>
            <w:tcBorders>
              <w:top w:val="nil"/>
              <w:left w:val="nil"/>
              <w:bottom w:val="single" w:sz="4" w:space="0" w:color="auto"/>
              <w:right w:val="single" w:sz="4" w:space="0" w:color="auto"/>
            </w:tcBorders>
            <w:shd w:val="clear" w:color="auto" w:fill="auto"/>
            <w:hideMark/>
          </w:tcPr>
          <w:p w14:paraId="5AD7FCCD" w14:textId="77777777" w:rsidR="006C28DF" w:rsidRPr="006C28DF" w:rsidRDefault="006C28DF" w:rsidP="006C28DF">
            <w:pPr>
              <w:jc w:val="right"/>
              <w:rPr>
                <w:sz w:val="20"/>
                <w:szCs w:val="20"/>
                <w:lang w:val="en-CA" w:eastAsia="en-CA"/>
              </w:rPr>
            </w:pPr>
            <w:r w:rsidRPr="006C28DF">
              <w:rPr>
                <w:sz w:val="20"/>
                <w:szCs w:val="20"/>
                <w:lang w:val="en-CA" w:eastAsia="en-CA"/>
              </w:rPr>
              <w:t>33</w:t>
            </w:r>
          </w:p>
        </w:tc>
        <w:tc>
          <w:tcPr>
            <w:tcW w:w="976" w:type="dxa"/>
            <w:tcBorders>
              <w:top w:val="nil"/>
              <w:left w:val="nil"/>
              <w:bottom w:val="single" w:sz="4" w:space="0" w:color="auto"/>
              <w:right w:val="single" w:sz="4" w:space="0" w:color="auto"/>
            </w:tcBorders>
            <w:shd w:val="clear" w:color="auto" w:fill="auto"/>
            <w:hideMark/>
          </w:tcPr>
          <w:p w14:paraId="2B0A1DE7" w14:textId="77777777" w:rsidR="006C28DF" w:rsidRPr="006C28DF" w:rsidRDefault="006C28DF" w:rsidP="006C28DF">
            <w:pPr>
              <w:jc w:val="right"/>
              <w:rPr>
                <w:sz w:val="20"/>
                <w:szCs w:val="20"/>
                <w:lang w:val="en-CA" w:eastAsia="en-CA"/>
              </w:rPr>
            </w:pPr>
            <w:r w:rsidRPr="006C28DF">
              <w:rPr>
                <w:sz w:val="20"/>
                <w:szCs w:val="20"/>
                <w:lang w:val="en-CA" w:eastAsia="en-CA"/>
              </w:rPr>
              <w:t>0.2</w:t>
            </w:r>
          </w:p>
        </w:tc>
      </w:tr>
      <w:tr w:rsidR="006C28DF" w:rsidRPr="006C28DF" w14:paraId="6A5DB41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852B35A" w14:textId="77777777" w:rsidR="006C28DF" w:rsidRPr="006C28DF" w:rsidRDefault="006C28DF" w:rsidP="006C28DF">
            <w:pPr>
              <w:jc w:val="left"/>
              <w:rPr>
                <w:sz w:val="20"/>
                <w:szCs w:val="20"/>
                <w:lang w:val="en-CA" w:eastAsia="en-CA"/>
              </w:rPr>
            </w:pPr>
            <w:r w:rsidRPr="006C28DF">
              <w:rPr>
                <w:sz w:val="20"/>
                <w:szCs w:val="20"/>
                <w:lang w:val="en-CA" w:eastAsia="en-CA"/>
              </w:rPr>
              <w:t>Bosnia and Herzegovina</w:t>
            </w:r>
          </w:p>
        </w:tc>
        <w:tc>
          <w:tcPr>
            <w:tcW w:w="980" w:type="dxa"/>
            <w:tcBorders>
              <w:top w:val="nil"/>
              <w:left w:val="nil"/>
              <w:bottom w:val="single" w:sz="4" w:space="0" w:color="auto"/>
              <w:right w:val="single" w:sz="4" w:space="0" w:color="auto"/>
            </w:tcBorders>
            <w:shd w:val="clear" w:color="auto" w:fill="auto"/>
            <w:hideMark/>
          </w:tcPr>
          <w:p w14:paraId="47B7651A"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61AE7561"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CD9E96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EDBBBC1"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5EBEC2E3" w14:textId="77777777" w:rsidR="006C28DF" w:rsidRPr="006C28DF" w:rsidRDefault="006C28DF" w:rsidP="006C28DF">
            <w:pPr>
              <w:jc w:val="right"/>
              <w:rPr>
                <w:sz w:val="20"/>
                <w:szCs w:val="20"/>
                <w:lang w:val="en-CA" w:eastAsia="en-CA"/>
              </w:rPr>
            </w:pPr>
            <w:r w:rsidRPr="006C28DF">
              <w:rPr>
                <w:sz w:val="20"/>
                <w:szCs w:val="20"/>
                <w:lang w:val="en-CA" w:eastAsia="en-CA"/>
              </w:rPr>
              <w:t>32</w:t>
            </w:r>
          </w:p>
        </w:tc>
        <w:tc>
          <w:tcPr>
            <w:tcW w:w="976" w:type="dxa"/>
            <w:tcBorders>
              <w:top w:val="nil"/>
              <w:left w:val="nil"/>
              <w:bottom w:val="single" w:sz="4" w:space="0" w:color="auto"/>
              <w:right w:val="single" w:sz="4" w:space="0" w:color="auto"/>
            </w:tcBorders>
            <w:shd w:val="clear" w:color="auto" w:fill="auto"/>
            <w:hideMark/>
          </w:tcPr>
          <w:p w14:paraId="57476E42"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16CDCA0F"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7D3AA15" w14:textId="77777777" w:rsidR="006C28DF" w:rsidRPr="006C28DF" w:rsidRDefault="006C28DF" w:rsidP="006C28DF">
            <w:pPr>
              <w:jc w:val="left"/>
              <w:rPr>
                <w:sz w:val="20"/>
                <w:szCs w:val="20"/>
                <w:lang w:val="en-CA" w:eastAsia="en-CA"/>
              </w:rPr>
            </w:pPr>
            <w:r w:rsidRPr="006C28DF">
              <w:rPr>
                <w:sz w:val="20"/>
                <w:szCs w:val="20"/>
                <w:lang w:val="en-CA" w:eastAsia="en-CA"/>
              </w:rPr>
              <w:t>Botswana</w:t>
            </w:r>
          </w:p>
        </w:tc>
        <w:tc>
          <w:tcPr>
            <w:tcW w:w="980" w:type="dxa"/>
            <w:tcBorders>
              <w:top w:val="nil"/>
              <w:left w:val="nil"/>
              <w:bottom w:val="single" w:sz="4" w:space="0" w:color="auto"/>
              <w:right w:val="single" w:sz="4" w:space="0" w:color="auto"/>
            </w:tcBorders>
            <w:shd w:val="clear" w:color="auto" w:fill="auto"/>
            <w:hideMark/>
          </w:tcPr>
          <w:p w14:paraId="7E30B088"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CF1477F"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3F5090C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0CFF51F"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14FB6847" w14:textId="77777777" w:rsidR="006C28DF" w:rsidRPr="006C28DF" w:rsidRDefault="006C28DF" w:rsidP="006C28DF">
            <w:pPr>
              <w:jc w:val="right"/>
              <w:rPr>
                <w:sz w:val="20"/>
                <w:szCs w:val="20"/>
                <w:lang w:val="en-CA" w:eastAsia="en-CA"/>
              </w:rPr>
            </w:pPr>
            <w:r w:rsidRPr="006C28DF">
              <w:rPr>
                <w:sz w:val="20"/>
                <w:szCs w:val="20"/>
                <w:lang w:val="en-CA" w:eastAsia="en-CA"/>
              </w:rPr>
              <w:t>102</w:t>
            </w:r>
          </w:p>
        </w:tc>
        <w:tc>
          <w:tcPr>
            <w:tcW w:w="976" w:type="dxa"/>
            <w:tcBorders>
              <w:top w:val="nil"/>
              <w:left w:val="nil"/>
              <w:bottom w:val="single" w:sz="4" w:space="0" w:color="auto"/>
              <w:right w:val="single" w:sz="4" w:space="0" w:color="auto"/>
            </w:tcBorders>
            <w:shd w:val="clear" w:color="auto" w:fill="auto"/>
            <w:hideMark/>
          </w:tcPr>
          <w:p w14:paraId="0BDC203F" w14:textId="77777777" w:rsidR="006C28DF" w:rsidRPr="006C28DF" w:rsidRDefault="006C28DF" w:rsidP="006C28DF">
            <w:pPr>
              <w:jc w:val="right"/>
              <w:rPr>
                <w:sz w:val="20"/>
                <w:szCs w:val="20"/>
                <w:lang w:val="en-CA" w:eastAsia="en-CA"/>
              </w:rPr>
            </w:pPr>
            <w:r w:rsidRPr="006C28DF">
              <w:rPr>
                <w:sz w:val="20"/>
                <w:szCs w:val="20"/>
                <w:lang w:val="en-CA" w:eastAsia="en-CA"/>
              </w:rPr>
              <w:t>0.6</w:t>
            </w:r>
          </w:p>
        </w:tc>
      </w:tr>
      <w:tr w:rsidR="006C28DF" w:rsidRPr="006C28DF" w14:paraId="5CB7A058"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FCD6BA0" w14:textId="77777777" w:rsidR="006C28DF" w:rsidRPr="006C28DF" w:rsidRDefault="006C28DF" w:rsidP="006C28DF">
            <w:pPr>
              <w:jc w:val="left"/>
              <w:rPr>
                <w:sz w:val="20"/>
                <w:szCs w:val="20"/>
                <w:lang w:val="en-CA" w:eastAsia="en-CA"/>
              </w:rPr>
            </w:pPr>
            <w:r w:rsidRPr="006C28DF">
              <w:rPr>
                <w:sz w:val="20"/>
                <w:szCs w:val="20"/>
                <w:lang w:val="en-CA" w:eastAsia="en-CA"/>
              </w:rPr>
              <w:t>Botswana</w:t>
            </w:r>
          </w:p>
        </w:tc>
        <w:tc>
          <w:tcPr>
            <w:tcW w:w="980" w:type="dxa"/>
            <w:tcBorders>
              <w:top w:val="nil"/>
              <w:left w:val="nil"/>
              <w:bottom w:val="single" w:sz="4" w:space="0" w:color="auto"/>
              <w:right w:val="single" w:sz="4" w:space="0" w:color="auto"/>
            </w:tcBorders>
            <w:shd w:val="clear" w:color="auto" w:fill="auto"/>
            <w:hideMark/>
          </w:tcPr>
          <w:p w14:paraId="36A6D296"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38E988E7"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7235D989"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6E751E3" w14:textId="77777777" w:rsidR="006C28DF" w:rsidRPr="006C28DF" w:rsidRDefault="006C28DF" w:rsidP="006C28DF">
            <w:pPr>
              <w:jc w:val="left"/>
              <w:rPr>
                <w:sz w:val="20"/>
                <w:szCs w:val="20"/>
                <w:lang w:val="en-CA" w:eastAsia="en-CA"/>
              </w:rPr>
            </w:pPr>
            <w:r w:rsidRPr="006C28DF">
              <w:rPr>
                <w:sz w:val="20"/>
                <w:szCs w:val="20"/>
                <w:lang w:val="en-CA" w:eastAsia="en-CA"/>
              </w:rPr>
              <w:t>HPMP - Stage I</w:t>
            </w:r>
          </w:p>
        </w:tc>
        <w:tc>
          <w:tcPr>
            <w:tcW w:w="1148" w:type="dxa"/>
            <w:tcBorders>
              <w:top w:val="nil"/>
              <w:left w:val="nil"/>
              <w:bottom w:val="single" w:sz="4" w:space="0" w:color="auto"/>
              <w:right w:val="single" w:sz="4" w:space="0" w:color="auto"/>
            </w:tcBorders>
            <w:shd w:val="clear" w:color="auto" w:fill="auto"/>
            <w:hideMark/>
          </w:tcPr>
          <w:p w14:paraId="433D2158" w14:textId="77777777" w:rsidR="006C28DF" w:rsidRPr="006C28DF" w:rsidRDefault="006C28DF" w:rsidP="006C28DF">
            <w:pPr>
              <w:jc w:val="right"/>
              <w:rPr>
                <w:sz w:val="20"/>
                <w:szCs w:val="20"/>
                <w:lang w:val="en-CA" w:eastAsia="en-CA"/>
              </w:rPr>
            </w:pPr>
            <w:r w:rsidRPr="006C28DF">
              <w:rPr>
                <w:sz w:val="20"/>
                <w:szCs w:val="20"/>
                <w:lang w:val="en-CA" w:eastAsia="en-CA"/>
              </w:rPr>
              <w:t>150</w:t>
            </w:r>
          </w:p>
        </w:tc>
        <w:tc>
          <w:tcPr>
            <w:tcW w:w="976" w:type="dxa"/>
            <w:tcBorders>
              <w:top w:val="nil"/>
              <w:left w:val="nil"/>
              <w:bottom w:val="single" w:sz="4" w:space="0" w:color="auto"/>
              <w:right w:val="single" w:sz="4" w:space="0" w:color="auto"/>
            </w:tcBorders>
            <w:shd w:val="clear" w:color="auto" w:fill="auto"/>
            <w:hideMark/>
          </w:tcPr>
          <w:p w14:paraId="1B35096F" w14:textId="77777777" w:rsidR="006C28DF" w:rsidRPr="006C28DF" w:rsidRDefault="006C28DF" w:rsidP="006C28DF">
            <w:pPr>
              <w:jc w:val="right"/>
              <w:rPr>
                <w:sz w:val="20"/>
                <w:szCs w:val="20"/>
                <w:lang w:val="en-CA" w:eastAsia="en-CA"/>
              </w:rPr>
            </w:pPr>
            <w:r w:rsidRPr="006C28DF">
              <w:rPr>
                <w:sz w:val="20"/>
                <w:szCs w:val="20"/>
                <w:lang w:val="en-CA" w:eastAsia="en-CA"/>
              </w:rPr>
              <w:t>1.0</w:t>
            </w:r>
          </w:p>
        </w:tc>
      </w:tr>
      <w:tr w:rsidR="006C28DF" w:rsidRPr="006C28DF" w14:paraId="573F8463"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B8F3294" w14:textId="77777777" w:rsidR="006C28DF" w:rsidRPr="006C28DF" w:rsidRDefault="006C28DF" w:rsidP="006C28DF">
            <w:pPr>
              <w:jc w:val="left"/>
              <w:rPr>
                <w:sz w:val="20"/>
                <w:szCs w:val="20"/>
                <w:lang w:val="en-CA" w:eastAsia="en-CA"/>
              </w:rPr>
            </w:pPr>
            <w:r w:rsidRPr="006C28DF">
              <w:rPr>
                <w:sz w:val="20"/>
                <w:szCs w:val="20"/>
                <w:lang w:val="en-CA" w:eastAsia="en-CA"/>
              </w:rPr>
              <w:t>Botswana</w:t>
            </w:r>
          </w:p>
        </w:tc>
        <w:tc>
          <w:tcPr>
            <w:tcW w:w="980" w:type="dxa"/>
            <w:tcBorders>
              <w:top w:val="nil"/>
              <w:left w:val="nil"/>
              <w:bottom w:val="single" w:sz="4" w:space="0" w:color="auto"/>
              <w:right w:val="single" w:sz="4" w:space="0" w:color="auto"/>
            </w:tcBorders>
            <w:shd w:val="clear" w:color="auto" w:fill="auto"/>
            <w:hideMark/>
          </w:tcPr>
          <w:p w14:paraId="0F940CBE"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DB9989C"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14206C5F"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3AEA27DE"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440841B2" w14:textId="77777777" w:rsidR="006C28DF" w:rsidRPr="006C28DF" w:rsidRDefault="006C28DF" w:rsidP="006C28DF">
            <w:pPr>
              <w:jc w:val="right"/>
              <w:rPr>
                <w:sz w:val="20"/>
                <w:szCs w:val="20"/>
                <w:lang w:val="en-CA" w:eastAsia="en-CA"/>
              </w:rPr>
            </w:pPr>
            <w:r w:rsidRPr="006C28DF">
              <w:rPr>
                <w:sz w:val="20"/>
                <w:szCs w:val="20"/>
                <w:lang w:val="en-CA" w:eastAsia="en-CA"/>
              </w:rPr>
              <w:t>100</w:t>
            </w:r>
          </w:p>
        </w:tc>
        <w:tc>
          <w:tcPr>
            <w:tcW w:w="976" w:type="dxa"/>
            <w:tcBorders>
              <w:top w:val="nil"/>
              <w:left w:val="nil"/>
              <w:bottom w:val="single" w:sz="4" w:space="0" w:color="auto"/>
              <w:right w:val="single" w:sz="4" w:space="0" w:color="auto"/>
            </w:tcBorders>
            <w:shd w:val="clear" w:color="auto" w:fill="auto"/>
            <w:hideMark/>
          </w:tcPr>
          <w:p w14:paraId="0BCD1F89"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F689C35"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AC6BDF4" w14:textId="77777777" w:rsidR="006C28DF" w:rsidRPr="006C28DF" w:rsidRDefault="006C28DF" w:rsidP="006C28DF">
            <w:pPr>
              <w:jc w:val="left"/>
              <w:rPr>
                <w:sz w:val="20"/>
                <w:szCs w:val="20"/>
                <w:lang w:val="en-CA" w:eastAsia="en-CA"/>
              </w:rPr>
            </w:pPr>
            <w:r w:rsidRPr="006C28DF">
              <w:rPr>
                <w:sz w:val="20"/>
                <w:szCs w:val="20"/>
                <w:lang w:val="en-CA" w:eastAsia="en-CA"/>
              </w:rPr>
              <w:t>Brazil</w:t>
            </w:r>
          </w:p>
        </w:tc>
        <w:tc>
          <w:tcPr>
            <w:tcW w:w="980" w:type="dxa"/>
            <w:tcBorders>
              <w:top w:val="nil"/>
              <w:left w:val="nil"/>
              <w:bottom w:val="single" w:sz="4" w:space="0" w:color="auto"/>
              <w:right w:val="single" w:sz="4" w:space="0" w:color="auto"/>
            </w:tcBorders>
            <w:shd w:val="clear" w:color="auto" w:fill="auto"/>
            <w:hideMark/>
          </w:tcPr>
          <w:p w14:paraId="75721A5F" w14:textId="77777777" w:rsidR="006C28DF" w:rsidRPr="006C28DF" w:rsidRDefault="006C28DF" w:rsidP="006C28DF">
            <w:pPr>
              <w:jc w:val="center"/>
              <w:rPr>
                <w:sz w:val="20"/>
                <w:szCs w:val="20"/>
                <w:lang w:val="en-CA" w:eastAsia="en-CA"/>
              </w:rPr>
            </w:pPr>
            <w:r w:rsidRPr="006C28DF">
              <w:rPr>
                <w:sz w:val="20"/>
                <w:szCs w:val="20"/>
                <w:lang w:val="en-CA" w:eastAsia="en-CA"/>
              </w:rPr>
              <w:t>Germany</w:t>
            </w:r>
          </w:p>
        </w:tc>
        <w:tc>
          <w:tcPr>
            <w:tcW w:w="721" w:type="dxa"/>
            <w:tcBorders>
              <w:top w:val="nil"/>
              <w:left w:val="nil"/>
              <w:bottom w:val="single" w:sz="4" w:space="0" w:color="auto"/>
              <w:right w:val="single" w:sz="4" w:space="0" w:color="auto"/>
            </w:tcBorders>
            <w:shd w:val="clear" w:color="auto" w:fill="auto"/>
            <w:hideMark/>
          </w:tcPr>
          <w:p w14:paraId="356A9B75"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55DAB58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2734766" w14:textId="77777777" w:rsidR="006C28DF" w:rsidRPr="006C28DF" w:rsidRDefault="006C28DF" w:rsidP="006C28DF">
            <w:pPr>
              <w:jc w:val="left"/>
              <w:rPr>
                <w:sz w:val="20"/>
                <w:szCs w:val="20"/>
                <w:lang w:val="en-CA" w:eastAsia="en-CA"/>
              </w:rPr>
            </w:pPr>
            <w:r w:rsidRPr="006C28DF">
              <w:rPr>
                <w:sz w:val="20"/>
                <w:szCs w:val="20"/>
                <w:lang w:val="en-CA" w:eastAsia="en-CA"/>
              </w:rPr>
              <w:t>Stage II HCFC Phase-Out Management Plan</w:t>
            </w:r>
          </w:p>
        </w:tc>
        <w:tc>
          <w:tcPr>
            <w:tcW w:w="1148" w:type="dxa"/>
            <w:tcBorders>
              <w:top w:val="nil"/>
              <w:left w:val="nil"/>
              <w:bottom w:val="single" w:sz="4" w:space="0" w:color="auto"/>
              <w:right w:val="single" w:sz="4" w:space="0" w:color="auto"/>
            </w:tcBorders>
            <w:shd w:val="clear" w:color="auto" w:fill="auto"/>
            <w:hideMark/>
          </w:tcPr>
          <w:p w14:paraId="5B86ECD8" w14:textId="77777777" w:rsidR="006C28DF" w:rsidRPr="006C28DF" w:rsidRDefault="006C28DF" w:rsidP="006C28DF">
            <w:pPr>
              <w:jc w:val="right"/>
              <w:rPr>
                <w:sz w:val="20"/>
                <w:szCs w:val="20"/>
                <w:lang w:val="en-CA" w:eastAsia="en-CA"/>
              </w:rPr>
            </w:pPr>
            <w:r w:rsidRPr="006C28DF">
              <w:rPr>
                <w:sz w:val="20"/>
                <w:szCs w:val="20"/>
                <w:lang w:val="en-CA" w:eastAsia="en-CA"/>
              </w:rPr>
              <w:t>2,627</w:t>
            </w:r>
          </w:p>
        </w:tc>
        <w:tc>
          <w:tcPr>
            <w:tcW w:w="976" w:type="dxa"/>
            <w:tcBorders>
              <w:top w:val="nil"/>
              <w:left w:val="nil"/>
              <w:bottom w:val="single" w:sz="4" w:space="0" w:color="auto"/>
              <w:right w:val="single" w:sz="4" w:space="0" w:color="auto"/>
            </w:tcBorders>
            <w:shd w:val="clear" w:color="auto" w:fill="auto"/>
            <w:hideMark/>
          </w:tcPr>
          <w:p w14:paraId="6238FDAC" w14:textId="77777777" w:rsidR="006C28DF" w:rsidRPr="006C28DF" w:rsidRDefault="006C28DF" w:rsidP="006C28DF">
            <w:pPr>
              <w:jc w:val="right"/>
              <w:rPr>
                <w:sz w:val="20"/>
                <w:szCs w:val="20"/>
                <w:lang w:val="en-CA" w:eastAsia="en-CA"/>
              </w:rPr>
            </w:pPr>
            <w:r w:rsidRPr="006C28DF">
              <w:rPr>
                <w:sz w:val="20"/>
                <w:szCs w:val="20"/>
                <w:lang w:val="en-CA" w:eastAsia="en-CA"/>
              </w:rPr>
              <w:t>30.5</w:t>
            </w:r>
          </w:p>
        </w:tc>
      </w:tr>
      <w:tr w:rsidR="006C28DF" w:rsidRPr="006C28DF" w14:paraId="48F45EA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B3D663C" w14:textId="77777777" w:rsidR="006C28DF" w:rsidRPr="006C28DF" w:rsidRDefault="006C28DF" w:rsidP="006C28DF">
            <w:pPr>
              <w:jc w:val="left"/>
              <w:rPr>
                <w:sz w:val="20"/>
                <w:szCs w:val="20"/>
                <w:lang w:val="en-CA" w:eastAsia="en-CA"/>
              </w:rPr>
            </w:pPr>
            <w:r w:rsidRPr="006C28DF">
              <w:rPr>
                <w:sz w:val="20"/>
                <w:szCs w:val="20"/>
                <w:lang w:val="en-CA" w:eastAsia="en-CA"/>
              </w:rPr>
              <w:t>Brazil</w:t>
            </w:r>
          </w:p>
        </w:tc>
        <w:tc>
          <w:tcPr>
            <w:tcW w:w="980" w:type="dxa"/>
            <w:tcBorders>
              <w:top w:val="nil"/>
              <w:left w:val="nil"/>
              <w:bottom w:val="single" w:sz="4" w:space="0" w:color="auto"/>
              <w:right w:val="single" w:sz="4" w:space="0" w:color="auto"/>
            </w:tcBorders>
            <w:shd w:val="clear" w:color="auto" w:fill="auto"/>
            <w:hideMark/>
          </w:tcPr>
          <w:p w14:paraId="6D87E27D"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1108B552"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1620D17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40FE746" w14:textId="77777777" w:rsidR="006C28DF" w:rsidRPr="006C28DF" w:rsidRDefault="006C28DF" w:rsidP="006C28DF">
            <w:pPr>
              <w:jc w:val="left"/>
              <w:rPr>
                <w:sz w:val="20"/>
                <w:szCs w:val="20"/>
                <w:lang w:val="en-CA" w:eastAsia="en-CA"/>
              </w:rPr>
            </w:pPr>
            <w:r w:rsidRPr="006C28DF">
              <w:rPr>
                <w:sz w:val="20"/>
                <w:szCs w:val="20"/>
                <w:lang w:val="en-CA" w:eastAsia="en-CA"/>
              </w:rPr>
              <w:t>Stage II HPMP</w:t>
            </w:r>
          </w:p>
        </w:tc>
        <w:tc>
          <w:tcPr>
            <w:tcW w:w="1148" w:type="dxa"/>
            <w:tcBorders>
              <w:top w:val="nil"/>
              <w:left w:val="nil"/>
              <w:bottom w:val="single" w:sz="4" w:space="0" w:color="auto"/>
              <w:right w:val="single" w:sz="4" w:space="0" w:color="auto"/>
            </w:tcBorders>
            <w:shd w:val="clear" w:color="auto" w:fill="auto"/>
            <w:hideMark/>
          </w:tcPr>
          <w:p w14:paraId="71280846" w14:textId="77777777" w:rsidR="006C28DF" w:rsidRPr="006C28DF" w:rsidRDefault="006C28DF" w:rsidP="006C28DF">
            <w:pPr>
              <w:jc w:val="right"/>
              <w:rPr>
                <w:sz w:val="20"/>
                <w:szCs w:val="20"/>
                <w:lang w:val="en-CA" w:eastAsia="en-CA"/>
              </w:rPr>
            </w:pPr>
            <w:r w:rsidRPr="006C28DF">
              <w:rPr>
                <w:sz w:val="20"/>
                <w:szCs w:val="20"/>
                <w:lang w:val="en-CA" w:eastAsia="en-CA"/>
              </w:rPr>
              <w:t>7,670</w:t>
            </w:r>
          </w:p>
        </w:tc>
        <w:tc>
          <w:tcPr>
            <w:tcW w:w="976" w:type="dxa"/>
            <w:tcBorders>
              <w:top w:val="nil"/>
              <w:left w:val="nil"/>
              <w:bottom w:val="single" w:sz="4" w:space="0" w:color="auto"/>
              <w:right w:val="single" w:sz="4" w:space="0" w:color="auto"/>
            </w:tcBorders>
            <w:shd w:val="clear" w:color="auto" w:fill="auto"/>
            <w:hideMark/>
          </w:tcPr>
          <w:p w14:paraId="27D246D7" w14:textId="77777777" w:rsidR="006C28DF" w:rsidRPr="006C28DF" w:rsidRDefault="006C28DF" w:rsidP="006C28DF">
            <w:pPr>
              <w:jc w:val="right"/>
              <w:rPr>
                <w:sz w:val="20"/>
                <w:szCs w:val="20"/>
                <w:lang w:val="en-CA" w:eastAsia="en-CA"/>
              </w:rPr>
            </w:pPr>
            <w:r w:rsidRPr="006C28DF">
              <w:rPr>
                <w:sz w:val="20"/>
                <w:szCs w:val="20"/>
                <w:lang w:val="en-CA" w:eastAsia="en-CA"/>
              </w:rPr>
              <w:t>92.5</w:t>
            </w:r>
          </w:p>
        </w:tc>
      </w:tr>
      <w:tr w:rsidR="006C28DF" w:rsidRPr="006C28DF" w14:paraId="23C6DD63"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1E0F201" w14:textId="77777777" w:rsidR="006C28DF" w:rsidRPr="006C28DF" w:rsidRDefault="006C28DF" w:rsidP="006C28DF">
            <w:pPr>
              <w:jc w:val="left"/>
              <w:rPr>
                <w:sz w:val="20"/>
                <w:szCs w:val="20"/>
                <w:lang w:val="en-CA" w:eastAsia="en-CA"/>
              </w:rPr>
            </w:pPr>
            <w:r w:rsidRPr="006C28DF">
              <w:rPr>
                <w:sz w:val="20"/>
                <w:szCs w:val="20"/>
                <w:lang w:val="en-CA" w:eastAsia="en-CA"/>
              </w:rPr>
              <w:t>Brazil</w:t>
            </w:r>
          </w:p>
        </w:tc>
        <w:tc>
          <w:tcPr>
            <w:tcW w:w="980" w:type="dxa"/>
            <w:tcBorders>
              <w:top w:val="nil"/>
              <w:left w:val="nil"/>
              <w:bottom w:val="single" w:sz="4" w:space="0" w:color="auto"/>
              <w:right w:val="single" w:sz="4" w:space="0" w:color="auto"/>
            </w:tcBorders>
            <w:shd w:val="clear" w:color="auto" w:fill="auto"/>
            <w:hideMark/>
          </w:tcPr>
          <w:p w14:paraId="0DB1046E"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5B03B14C"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37B5996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CCC1595" w14:textId="77777777" w:rsidR="006C28DF" w:rsidRPr="006C28DF" w:rsidRDefault="006C28DF" w:rsidP="006C28DF">
            <w:pPr>
              <w:jc w:val="left"/>
              <w:rPr>
                <w:sz w:val="20"/>
                <w:szCs w:val="20"/>
                <w:lang w:val="en-CA" w:eastAsia="en-CA"/>
              </w:rPr>
            </w:pPr>
            <w:r w:rsidRPr="006C28DF">
              <w:rPr>
                <w:sz w:val="20"/>
                <w:szCs w:val="20"/>
                <w:lang w:val="en-CA" w:eastAsia="en-CA"/>
              </w:rPr>
              <w:t>HPMP - Stage II</w:t>
            </w:r>
          </w:p>
        </w:tc>
        <w:tc>
          <w:tcPr>
            <w:tcW w:w="1148" w:type="dxa"/>
            <w:tcBorders>
              <w:top w:val="nil"/>
              <w:left w:val="nil"/>
              <w:bottom w:val="single" w:sz="4" w:space="0" w:color="auto"/>
              <w:right w:val="single" w:sz="4" w:space="0" w:color="auto"/>
            </w:tcBorders>
            <w:shd w:val="clear" w:color="auto" w:fill="auto"/>
            <w:hideMark/>
          </w:tcPr>
          <w:p w14:paraId="4C64E24D" w14:textId="77777777" w:rsidR="006C28DF" w:rsidRPr="006C28DF" w:rsidRDefault="006C28DF" w:rsidP="006C28DF">
            <w:pPr>
              <w:jc w:val="right"/>
              <w:rPr>
                <w:sz w:val="20"/>
                <w:szCs w:val="20"/>
                <w:lang w:val="en-CA" w:eastAsia="en-CA"/>
              </w:rPr>
            </w:pPr>
            <w:r w:rsidRPr="006C28DF">
              <w:rPr>
                <w:sz w:val="20"/>
                <w:szCs w:val="20"/>
                <w:lang w:val="en-CA" w:eastAsia="en-CA"/>
              </w:rPr>
              <w:t>3,659</w:t>
            </w:r>
          </w:p>
        </w:tc>
        <w:tc>
          <w:tcPr>
            <w:tcW w:w="976" w:type="dxa"/>
            <w:tcBorders>
              <w:top w:val="nil"/>
              <w:left w:val="nil"/>
              <w:bottom w:val="single" w:sz="4" w:space="0" w:color="auto"/>
              <w:right w:val="single" w:sz="4" w:space="0" w:color="auto"/>
            </w:tcBorders>
            <w:shd w:val="clear" w:color="auto" w:fill="auto"/>
            <w:hideMark/>
          </w:tcPr>
          <w:p w14:paraId="554A7066" w14:textId="77777777" w:rsidR="006C28DF" w:rsidRPr="006C28DF" w:rsidRDefault="006C28DF" w:rsidP="006C28DF">
            <w:pPr>
              <w:jc w:val="right"/>
              <w:rPr>
                <w:sz w:val="20"/>
                <w:szCs w:val="20"/>
                <w:lang w:val="en-CA" w:eastAsia="en-CA"/>
              </w:rPr>
            </w:pPr>
            <w:r w:rsidRPr="006C28DF">
              <w:rPr>
                <w:sz w:val="20"/>
                <w:szCs w:val="20"/>
                <w:lang w:val="en-CA" w:eastAsia="en-CA"/>
              </w:rPr>
              <w:t>44.1</w:t>
            </w:r>
          </w:p>
        </w:tc>
      </w:tr>
      <w:tr w:rsidR="006C28DF" w:rsidRPr="006C28DF" w14:paraId="0F714A25"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F27DAC3" w14:textId="77777777" w:rsidR="006C28DF" w:rsidRPr="006C28DF" w:rsidRDefault="006C28DF" w:rsidP="006C28DF">
            <w:pPr>
              <w:jc w:val="left"/>
              <w:rPr>
                <w:sz w:val="20"/>
                <w:szCs w:val="20"/>
                <w:lang w:val="en-CA" w:eastAsia="en-CA"/>
              </w:rPr>
            </w:pPr>
            <w:r w:rsidRPr="006C28DF">
              <w:rPr>
                <w:sz w:val="20"/>
                <w:szCs w:val="20"/>
                <w:lang w:val="en-CA" w:eastAsia="en-CA"/>
              </w:rPr>
              <w:t>Brazil</w:t>
            </w:r>
          </w:p>
        </w:tc>
        <w:tc>
          <w:tcPr>
            <w:tcW w:w="980" w:type="dxa"/>
            <w:tcBorders>
              <w:top w:val="nil"/>
              <w:left w:val="nil"/>
              <w:bottom w:val="single" w:sz="4" w:space="0" w:color="auto"/>
              <w:right w:val="single" w:sz="4" w:space="0" w:color="auto"/>
            </w:tcBorders>
            <w:shd w:val="clear" w:color="auto" w:fill="auto"/>
            <w:hideMark/>
          </w:tcPr>
          <w:p w14:paraId="57001C5E"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3A4D1E76"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B966651"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13DFF5EA"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1E9C63C" w14:textId="77777777" w:rsidR="006C28DF" w:rsidRPr="006C28DF" w:rsidRDefault="006C28DF" w:rsidP="006C28DF">
            <w:pPr>
              <w:jc w:val="right"/>
              <w:rPr>
                <w:sz w:val="20"/>
                <w:szCs w:val="20"/>
                <w:lang w:val="en-CA" w:eastAsia="en-CA"/>
              </w:rPr>
            </w:pPr>
            <w:r w:rsidRPr="006C28DF">
              <w:rPr>
                <w:sz w:val="20"/>
                <w:szCs w:val="20"/>
                <w:lang w:val="en-CA" w:eastAsia="en-CA"/>
              </w:rPr>
              <w:t>481</w:t>
            </w:r>
          </w:p>
        </w:tc>
        <w:tc>
          <w:tcPr>
            <w:tcW w:w="976" w:type="dxa"/>
            <w:tcBorders>
              <w:top w:val="nil"/>
              <w:left w:val="nil"/>
              <w:bottom w:val="single" w:sz="4" w:space="0" w:color="auto"/>
              <w:right w:val="single" w:sz="4" w:space="0" w:color="auto"/>
            </w:tcBorders>
            <w:shd w:val="clear" w:color="auto" w:fill="auto"/>
            <w:hideMark/>
          </w:tcPr>
          <w:p w14:paraId="5066B66D"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099E58A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836190E" w14:textId="77777777" w:rsidR="006C28DF" w:rsidRPr="006C28DF" w:rsidRDefault="006C28DF" w:rsidP="006C28DF">
            <w:pPr>
              <w:jc w:val="left"/>
              <w:rPr>
                <w:sz w:val="20"/>
                <w:szCs w:val="20"/>
                <w:lang w:val="en-CA" w:eastAsia="en-CA"/>
              </w:rPr>
            </w:pPr>
            <w:r w:rsidRPr="006C28DF">
              <w:rPr>
                <w:sz w:val="20"/>
                <w:szCs w:val="20"/>
                <w:lang w:val="en-CA" w:eastAsia="en-CA"/>
              </w:rPr>
              <w:t>Brunei Darussalam</w:t>
            </w:r>
          </w:p>
        </w:tc>
        <w:tc>
          <w:tcPr>
            <w:tcW w:w="980" w:type="dxa"/>
            <w:tcBorders>
              <w:top w:val="nil"/>
              <w:left w:val="nil"/>
              <w:bottom w:val="single" w:sz="4" w:space="0" w:color="auto"/>
              <w:right w:val="single" w:sz="4" w:space="0" w:color="auto"/>
            </w:tcBorders>
            <w:shd w:val="clear" w:color="auto" w:fill="auto"/>
            <w:hideMark/>
          </w:tcPr>
          <w:p w14:paraId="1E6BD6A0"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2A1575DE"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145792E7"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EAB65CE" w14:textId="6CD53738" w:rsidR="006C28DF" w:rsidRPr="006C28DF" w:rsidRDefault="006C28DF" w:rsidP="00BE08A4">
            <w:pPr>
              <w:jc w:val="left"/>
              <w:rPr>
                <w:sz w:val="20"/>
                <w:szCs w:val="20"/>
                <w:lang w:val="en-CA" w:eastAsia="en-CA"/>
              </w:rPr>
            </w:pPr>
            <w:r w:rsidRPr="006C28DF">
              <w:rPr>
                <w:sz w:val="20"/>
                <w:szCs w:val="20"/>
                <w:lang w:val="en-CA" w:eastAsia="en-CA"/>
              </w:rPr>
              <w:t>Stage I Investment proj</w:t>
            </w:r>
            <w:r w:rsidR="00BE08A4">
              <w:rPr>
                <w:sz w:val="20"/>
                <w:szCs w:val="20"/>
                <w:lang w:val="en-CA" w:eastAsia="en-CA"/>
              </w:rPr>
              <w:t>ect</w:t>
            </w:r>
            <w:r w:rsidRPr="006C28DF">
              <w:rPr>
                <w:sz w:val="20"/>
                <w:szCs w:val="20"/>
                <w:lang w:val="en-CA" w:eastAsia="en-CA"/>
              </w:rPr>
              <w:t>/Sector Plans (Servicing Sector)</w:t>
            </w:r>
          </w:p>
        </w:tc>
        <w:tc>
          <w:tcPr>
            <w:tcW w:w="1148" w:type="dxa"/>
            <w:tcBorders>
              <w:top w:val="nil"/>
              <w:left w:val="nil"/>
              <w:bottom w:val="single" w:sz="4" w:space="0" w:color="auto"/>
              <w:right w:val="single" w:sz="4" w:space="0" w:color="auto"/>
            </w:tcBorders>
            <w:shd w:val="clear" w:color="auto" w:fill="auto"/>
            <w:hideMark/>
          </w:tcPr>
          <w:p w14:paraId="106D9164" w14:textId="77777777" w:rsidR="006C28DF" w:rsidRPr="006C28DF" w:rsidRDefault="006C28DF" w:rsidP="006C28DF">
            <w:pPr>
              <w:jc w:val="right"/>
              <w:rPr>
                <w:sz w:val="20"/>
                <w:szCs w:val="20"/>
                <w:lang w:val="en-CA" w:eastAsia="en-CA"/>
              </w:rPr>
            </w:pPr>
            <w:r w:rsidRPr="006C28DF">
              <w:rPr>
                <w:sz w:val="20"/>
                <w:szCs w:val="20"/>
                <w:lang w:val="en-CA" w:eastAsia="en-CA"/>
              </w:rPr>
              <w:t>36</w:t>
            </w:r>
          </w:p>
        </w:tc>
        <w:tc>
          <w:tcPr>
            <w:tcW w:w="976" w:type="dxa"/>
            <w:tcBorders>
              <w:top w:val="nil"/>
              <w:left w:val="nil"/>
              <w:bottom w:val="single" w:sz="4" w:space="0" w:color="auto"/>
              <w:right w:val="single" w:sz="4" w:space="0" w:color="auto"/>
            </w:tcBorders>
            <w:shd w:val="clear" w:color="auto" w:fill="auto"/>
            <w:hideMark/>
          </w:tcPr>
          <w:p w14:paraId="566F5F0D" w14:textId="77777777" w:rsidR="006C28DF" w:rsidRPr="006C28DF" w:rsidRDefault="006C28DF" w:rsidP="006C28DF">
            <w:pPr>
              <w:jc w:val="right"/>
              <w:rPr>
                <w:sz w:val="20"/>
                <w:szCs w:val="20"/>
                <w:lang w:val="en-CA" w:eastAsia="en-CA"/>
              </w:rPr>
            </w:pPr>
            <w:r w:rsidRPr="006C28DF">
              <w:rPr>
                <w:sz w:val="20"/>
                <w:szCs w:val="20"/>
                <w:lang w:val="en-CA" w:eastAsia="en-CA"/>
              </w:rPr>
              <w:t>0.2</w:t>
            </w:r>
          </w:p>
        </w:tc>
      </w:tr>
      <w:tr w:rsidR="006C28DF" w:rsidRPr="006C28DF" w14:paraId="2AB4EB9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ABAE957" w14:textId="77777777" w:rsidR="006C28DF" w:rsidRPr="006C28DF" w:rsidRDefault="006C28DF" w:rsidP="006C28DF">
            <w:pPr>
              <w:jc w:val="left"/>
              <w:rPr>
                <w:sz w:val="20"/>
                <w:szCs w:val="20"/>
                <w:lang w:val="en-CA" w:eastAsia="en-CA"/>
              </w:rPr>
            </w:pPr>
            <w:r w:rsidRPr="006C28DF">
              <w:rPr>
                <w:sz w:val="20"/>
                <w:szCs w:val="20"/>
                <w:lang w:val="en-CA" w:eastAsia="en-CA"/>
              </w:rPr>
              <w:t>Brunei Darussalam</w:t>
            </w:r>
          </w:p>
        </w:tc>
        <w:tc>
          <w:tcPr>
            <w:tcW w:w="980" w:type="dxa"/>
            <w:tcBorders>
              <w:top w:val="nil"/>
              <w:left w:val="nil"/>
              <w:bottom w:val="single" w:sz="4" w:space="0" w:color="auto"/>
              <w:right w:val="single" w:sz="4" w:space="0" w:color="auto"/>
            </w:tcBorders>
            <w:shd w:val="clear" w:color="auto" w:fill="auto"/>
            <w:hideMark/>
          </w:tcPr>
          <w:p w14:paraId="0F9661B6"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172F31F3"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89BFEE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38EFCFF" w14:textId="77777777" w:rsidR="006C28DF" w:rsidRPr="006C28DF" w:rsidRDefault="006C28DF" w:rsidP="006C28DF">
            <w:pPr>
              <w:jc w:val="left"/>
              <w:rPr>
                <w:sz w:val="20"/>
                <w:szCs w:val="20"/>
                <w:lang w:val="en-CA" w:eastAsia="en-CA"/>
              </w:rPr>
            </w:pPr>
            <w:r w:rsidRPr="006C28DF">
              <w:rPr>
                <w:sz w:val="20"/>
                <w:szCs w:val="20"/>
                <w:lang w:val="en-CA" w:eastAsia="en-CA"/>
              </w:rPr>
              <w:t>Stage II HPMP Preparation</w:t>
            </w:r>
          </w:p>
        </w:tc>
        <w:tc>
          <w:tcPr>
            <w:tcW w:w="1148" w:type="dxa"/>
            <w:tcBorders>
              <w:top w:val="nil"/>
              <w:left w:val="nil"/>
              <w:bottom w:val="single" w:sz="4" w:space="0" w:color="auto"/>
              <w:right w:val="single" w:sz="4" w:space="0" w:color="auto"/>
            </w:tcBorders>
            <w:shd w:val="clear" w:color="auto" w:fill="auto"/>
            <w:hideMark/>
          </w:tcPr>
          <w:p w14:paraId="7F8C9FFE" w14:textId="77777777" w:rsidR="006C28DF" w:rsidRPr="006C28DF" w:rsidRDefault="006C28DF" w:rsidP="006C28DF">
            <w:pPr>
              <w:jc w:val="right"/>
              <w:rPr>
                <w:sz w:val="20"/>
                <w:szCs w:val="20"/>
                <w:lang w:val="en-CA" w:eastAsia="en-CA"/>
              </w:rPr>
            </w:pPr>
            <w:r w:rsidRPr="006C28DF">
              <w:rPr>
                <w:sz w:val="20"/>
                <w:szCs w:val="20"/>
                <w:lang w:val="en-CA" w:eastAsia="en-CA"/>
              </w:rPr>
              <w:t>10</w:t>
            </w:r>
          </w:p>
        </w:tc>
        <w:tc>
          <w:tcPr>
            <w:tcW w:w="976" w:type="dxa"/>
            <w:tcBorders>
              <w:top w:val="nil"/>
              <w:left w:val="nil"/>
              <w:bottom w:val="single" w:sz="4" w:space="0" w:color="auto"/>
              <w:right w:val="single" w:sz="4" w:space="0" w:color="auto"/>
            </w:tcBorders>
            <w:shd w:val="clear" w:color="auto" w:fill="auto"/>
            <w:hideMark/>
          </w:tcPr>
          <w:p w14:paraId="50E2DFEA"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5AED1F1C"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9BF3361" w14:textId="77777777" w:rsidR="006C28DF" w:rsidRPr="006C28DF" w:rsidRDefault="006C28DF" w:rsidP="006C28DF">
            <w:pPr>
              <w:jc w:val="left"/>
              <w:rPr>
                <w:sz w:val="20"/>
                <w:szCs w:val="20"/>
                <w:lang w:val="en-CA" w:eastAsia="en-CA"/>
              </w:rPr>
            </w:pPr>
            <w:r w:rsidRPr="006C28DF">
              <w:rPr>
                <w:sz w:val="20"/>
                <w:szCs w:val="20"/>
                <w:lang w:val="en-CA" w:eastAsia="en-CA"/>
              </w:rPr>
              <w:t>Brunei Darussalam</w:t>
            </w:r>
          </w:p>
        </w:tc>
        <w:tc>
          <w:tcPr>
            <w:tcW w:w="980" w:type="dxa"/>
            <w:tcBorders>
              <w:top w:val="nil"/>
              <w:left w:val="nil"/>
              <w:bottom w:val="single" w:sz="4" w:space="0" w:color="auto"/>
              <w:right w:val="single" w:sz="4" w:space="0" w:color="auto"/>
            </w:tcBorders>
            <w:shd w:val="clear" w:color="auto" w:fill="auto"/>
            <w:hideMark/>
          </w:tcPr>
          <w:p w14:paraId="37231889"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87102D4"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02866EA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A501598"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6D595E02" w14:textId="77777777" w:rsidR="006C28DF" w:rsidRPr="006C28DF" w:rsidRDefault="006C28DF" w:rsidP="006C28DF">
            <w:pPr>
              <w:jc w:val="right"/>
              <w:rPr>
                <w:sz w:val="20"/>
                <w:szCs w:val="20"/>
                <w:lang w:val="en-CA" w:eastAsia="en-CA"/>
              </w:rPr>
            </w:pPr>
            <w:r w:rsidRPr="006C28DF">
              <w:rPr>
                <w:sz w:val="20"/>
                <w:szCs w:val="20"/>
                <w:lang w:val="en-CA" w:eastAsia="en-CA"/>
              </w:rPr>
              <w:t>8</w:t>
            </w:r>
          </w:p>
        </w:tc>
        <w:tc>
          <w:tcPr>
            <w:tcW w:w="976" w:type="dxa"/>
            <w:tcBorders>
              <w:top w:val="nil"/>
              <w:left w:val="nil"/>
              <w:bottom w:val="single" w:sz="4" w:space="0" w:color="auto"/>
              <w:right w:val="single" w:sz="4" w:space="0" w:color="auto"/>
            </w:tcBorders>
            <w:shd w:val="clear" w:color="auto" w:fill="auto"/>
            <w:hideMark/>
          </w:tcPr>
          <w:p w14:paraId="187851F7" w14:textId="77777777" w:rsidR="006C28DF" w:rsidRPr="006C28DF" w:rsidRDefault="006C28DF" w:rsidP="006C28DF">
            <w:pPr>
              <w:jc w:val="right"/>
              <w:rPr>
                <w:sz w:val="20"/>
                <w:szCs w:val="20"/>
                <w:lang w:val="en-CA" w:eastAsia="en-CA"/>
              </w:rPr>
            </w:pPr>
            <w:r w:rsidRPr="006C28DF">
              <w:rPr>
                <w:sz w:val="20"/>
                <w:szCs w:val="20"/>
                <w:lang w:val="en-CA" w:eastAsia="en-CA"/>
              </w:rPr>
              <w:t>0.1</w:t>
            </w:r>
          </w:p>
        </w:tc>
      </w:tr>
      <w:tr w:rsidR="006C28DF" w:rsidRPr="006C28DF" w14:paraId="3C7B3781"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55CF5FB8" w14:textId="77777777" w:rsidR="006C28DF" w:rsidRPr="006C28DF" w:rsidRDefault="006C28DF" w:rsidP="006C28DF">
            <w:pPr>
              <w:jc w:val="left"/>
              <w:rPr>
                <w:sz w:val="20"/>
                <w:szCs w:val="20"/>
                <w:lang w:val="en-CA" w:eastAsia="en-CA"/>
              </w:rPr>
            </w:pPr>
            <w:r w:rsidRPr="006C28DF">
              <w:rPr>
                <w:sz w:val="20"/>
                <w:szCs w:val="20"/>
                <w:lang w:val="en-CA" w:eastAsia="en-CA"/>
              </w:rPr>
              <w:t>Brunei Darussalam</w:t>
            </w:r>
          </w:p>
        </w:tc>
        <w:tc>
          <w:tcPr>
            <w:tcW w:w="980" w:type="dxa"/>
            <w:tcBorders>
              <w:top w:val="nil"/>
              <w:left w:val="nil"/>
              <w:bottom w:val="single" w:sz="4" w:space="0" w:color="auto"/>
              <w:right w:val="single" w:sz="4" w:space="0" w:color="auto"/>
            </w:tcBorders>
            <w:shd w:val="clear" w:color="auto" w:fill="auto"/>
            <w:hideMark/>
          </w:tcPr>
          <w:p w14:paraId="0F97FAE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4820AD9"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1BE6FBE1"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759A070"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146C96EC"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24E691FC"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5C50DFA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E0D2A3A" w14:textId="77777777" w:rsidR="006C28DF" w:rsidRPr="006C28DF" w:rsidRDefault="006C28DF" w:rsidP="006C28DF">
            <w:pPr>
              <w:jc w:val="left"/>
              <w:rPr>
                <w:sz w:val="20"/>
                <w:szCs w:val="20"/>
                <w:lang w:val="en-CA" w:eastAsia="en-CA"/>
              </w:rPr>
            </w:pPr>
            <w:r w:rsidRPr="006C28DF">
              <w:rPr>
                <w:sz w:val="20"/>
                <w:szCs w:val="20"/>
                <w:lang w:val="en-CA" w:eastAsia="en-CA"/>
              </w:rPr>
              <w:t>Brunei Darussalam</w:t>
            </w:r>
          </w:p>
        </w:tc>
        <w:tc>
          <w:tcPr>
            <w:tcW w:w="980" w:type="dxa"/>
            <w:tcBorders>
              <w:top w:val="nil"/>
              <w:left w:val="nil"/>
              <w:bottom w:val="single" w:sz="4" w:space="0" w:color="auto"/>
              <w:right w:val="single" w:sz="4" w:space="0" w:color="auto"/>
            </w:tcBorders>
            <w:shd w:val="clear" w:color="auto" w:fill="auto"/>
            <w:hideMark/>
          </w:tcPr>
          <w:p w14:paraId="3A19CF28"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B2D1471"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5B75DD89"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53C0AA3C" w14:textId="77777777" w:rsidR="006C28DF" w:rsidRPr="006C28DF" w:rsidRDefault="006C28DF" w:rsidP="006C28DF">
            <w:pPr>
              <w:jc w:val="left"/>
              <w:rPr>
                <w:sz w:val="20"/>
                <w:szCs w:val="20"/>
                <w:lang w:val="en-CA" w:eastAsia="en-CA"/>
              </w:rPr>
            </w:pPr>
            <w:r w:rsidRPr="006C28DF">
              <w:rPr>
                <w:sz w:val="20"/>
                <w:szCs w:val="20"/>
                <w:lang w:val="en-CA" w:eastAsia="en-CA"/>
              </w:rPr>
              <w:t>Enabling activities</w:t>
            </w:r>
          </w:p>
        </w:tc>
        <w:tc>
          <w:tcPr>
            <w:tcW w:w="1148" w:type="dxa"/>
            <w:tcBorders>
              <w:top w:val="nil"/>
              <w:left w:val="nil"/>
              <w:bottom w:val="single" w:sz="4" w:space="0" w:color="auto"/>
              <w:right w:val="single" w:sz="4" w:space="0" w:color="auto"/>
            </w:tcBorders>
            <w:shd w:val="clear" w:color="auto" w:fill="auto"/>
            <w:hideMark/>
          </w:tcPr>
          <w:p w14:paraId="214F94FE" w14:textId="77777777" w:rsidR="006C28DF" w:rsidRPr="006C28DF" w:rsidRDefault="006C28DF" w:rsidP="006C28DF">
            <w:pPr>
              <w:jc w:val="right"/>
              <w:rPr>
                <w:sz w:val="20"/>
                <w:szCs w:val="20"/>
                <w:lang w:val="en-CA" w:eastAsia="en-CA"/>
              </w:rPr>
            </w:pPr>
            <w:r w:rsidRPr="006C28DF">
              <w:rPr>
                <w:sz w:val="20"/>
                <w:szCs w:val="20"/>
                <w:lang w:val="en-CA" w:eastAsia="en-CA"/>
              </w:rPr>
              <w:t>161</w:t>
            </w:r>
          </w:p>
        </w:tc>
        <w:tc>
          <w:tcPr>
            <w:tcW w:w="976" w:type="dxa"/>
            <w:tcBorders>
              <w:top w:val="nil"/>
              <w:left w:val="nil"/>
              <w:bottom w:val="single" w:sz="4" w:space="0" w:color="auto"/>
              <w:right w:val="single" w:sz="4" w:space="0" w:color="auto"/>
            </w:tcBorders>
            <w:shd w:val="clear" w:color="auto" w:fill="auto"/>
            <w:hideMark/>
          </w:tcPr>
          <w:p w14:paraId="05139BE9"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59CEF1F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5A02737" w14:textId="77777777" w:rsidR="006C28DF" w:rsidRPr="006C28DF" w:rsidRDefault="006C28DF" w:rsidP="006C28DF">
            <w:pPr>
              <w:jc w:val="left"/>
              <w:rPr>
                <w:sz w:val="20"/>
                <w:szCs w:val="20"/>
                <w:lang w:val="en-CA" w:eastAsia="en-CA"/>
              </w:rPr>
            </w:pPr>
            <w:r w:rsidRPr="006C28DF">
              <w:rPr>
                <w:sz w:val="20"/>
                <w:szCs w:val="20"/>
                <w:lang w:val="en-CA" w:eastAsia="en-CA"/>
              </w:rPr>
              <w:t>Brunei Darussalam</w:t>
            </w:r>
          </w:p>
        </w:tc>
        <w:tc>
          <w:tcPr>
            <w:tcW w:w="980" w:type="dxa"/>
            <w:tcBorders>
              <w:top w:val="nil"/>
              <w:left w:val="nil"/>
              <w:bottom w:val="single" w:sz="4" w:space="0" w:color="auto"/>
              <w:right w:val="single" w:sz="4" w:space="0" w:color="auto"/>
            </w:tcBorders>
            <w:shd w:val="clear" w:color="auto" w:fill="auto"/>
            <w:hideMark/>
          </w:tcPr>
          <w:p w14:paraId="0C0D28E6"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FE6B0B4"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0015EF97"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6495339E"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4AEA2458" w14:textId="77777777" w:rsidR="006C28DF" w:rsidRPr="006C28DF" w:rsidRDefault="006C28DF" w:rsidP="006C28DF">
            <w:pPr>
              <w:jc w:val="right"/>
              <w:rPr>
                <w:sz w:val="20"/>
                <w:szCs w:val="20"/>
                <w:lang w:val="en-CA" w:eastAsia="en-CA"/>
              </w:rPr>
            </w:pPr>
            <w:r w:rsidRPr="006C28DF">
              <w:rPr>
                <w:sz w:val="20"/>
                <w:szCs w:val="20"/>
                <w:lang w:val="en-CA" w:eastAsia="en-CA"/>
              </w:rPr>
              <w:t>90</w:t>
            </w:r>
          </w:p>
        </w:tc>
        <w:tc>
          <w:tcPr>
            <w:tcW w:w="976" w:type="dxa"/>
            <w:tcBorders>
              <w:top w:val="nil"/>
              <w:left w:val="nil"/>
              <w:bottom w:val="single" w:sz="4" w:space="0" w:color="auto"/>
              <w:right w:val="single" w:sz="4" w:space="0" w:color="auto"/>
            </w:tcBorders>
            <w:shd w:val="clear" w:color="auto" w:fill="auto"/>
            <w:hideMark/>
          </w:tcPr>
          <w:p w14:paraId="13811352"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A146215"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325DEB5" w14:textId="77777777" w:rsidR="006C28DF" w:rsidRPr="006C28DF" w:rsidRDefault="006C28DF" w:rsidP="006C28DF">
            <w:pPr>
              <w:jc w:val="left"/>
              <w:rPr>
                <w:sz w:val="20"/>
                <w:szCs w:val="20"/>
                <w:lang w:val="en-CA" w:eastAsia="en-CA"/>
              </w:rPr>
            </w:pPr>
            <w:r w:rsidRPr="006C28DF">
              <w:rPr>
                <w:sz w:val="20"/>
                <w:szCs w:val="20"/>
                <w:lang w:val="en-CA" w:eastAsia="en-CA"/>
              </w:rPr>
              <w:t>Cameroon</w:t>
            </w:r>
          </w:p>
        </w:tc>
        <w:tc>
          <w:tcPr>
            <w:tcW w:w="980" w:type="dxa"/>
            <w:tcBorders>
              <w:top w:val="nil"/>
              <w:left w:val="nil"/>
              <w:bottom w:val="single" w:sz="4" w:space="0" w:color="auto"/>
              <w:right w:val="single" w:sz="4" w:space="0" w:color="auto"/>
            </w:tcBorders>
            <w:shd w:val="clear" w:color="auto" w:fill="auto"/>
            <w:hideMark/>
          </w:tcPr>
          <w:p w14:paraId="0EDDAC42"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69262608"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778DFABD"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CD90BD7" w14:textId="77777777" w:rsidR="006C28DF" w:rsidRPr="006C28DF" w:rsidRDefault="006C28DF" w:rsidP="006C28DF">
            <w:pPr>
              <w:jc w:val="left"/>
              <w:rPr>
                <w:sz w:val="20"/>
                <w:szCs w:val="20"/>
                <w:lang w:val="en-CA" w:eastAsia="en-CA"/>
              </w:rPr>
            </w:pPr>
            <w:r w:rsidRPr="006C28DF">
              <w:rPr>
                <w:sz w:val="20"/>
                <w:szCs w:val="20"/>
                <w:lang w:val="en-CA" w:eastAsia="en-CA"/>
              </w:rPr>
              <w:t>REF-Servicing (Stage II)</w:t>
            </w:r>
          </w:p>
        </w:tc>
        <w:tc>
          <w:tcPr>
            <w:tcW w:w="1148" w:type="dxa"/>
            <w:tcBorders>
              <w:top w:val="nil"/>
              <w:left w:val="nil"/>
              <w:bottom w:val="single" w:sz="4" w:space="0" w:color="auto"/>
              <w:right w:val="single" w:sz="4" w:space="0" w:color="auto"/>
            </w:tcBorders>
            <w:shd w:val="clear" w:color="auto" w:fill="auto"/>
            <w:hideMark/>
          </w:tcPr>
          <w:p w14:paraId="4DA7EF3A" w14:textId="77777777" w:rsidR="006C28DF" w:rsidRPr="006C28DF" w:rsidRDefault="006C28DF" w:rsidP="006C28DF">
            <w:pPr>
              <w:jc w:val="right"/>
              <w:rPr>
                <w:sz w:val="20"/>
                <w:szCs w:val="20"/>
                <w:lang w:val="en-CA" w:eastAsia="en-CA"/>
              </w:rPr>
            </w:pPr>
            <w:r w:rsidRPr="006C28DF">
              <w:rPr>
                <w:sz w:val="20"/>
                <w:szCs w:val="20"/>
                <w:lang w:val="en-CA" w:eastAsia="en-CA"/>
              </w:rPr>
              <w:t>120</w:t>
            </w:r>
          </w:p>
        </w:tc>
        <w:tc>
          <w:tcPr>
            <w:tcW w:w="976" w:type="dxa"/>
            <w:tcBorders>
              <w:top w:val="nil"/>
              <w:left w:val="nil"/>
              <w:bottom w:val="single" w:sz="4" w:space="0" w:color="auto"/>
              <w:right w:val="single" w:sz="4" w:space="0" w:color="auto"/>
            </w:tcBorders>
            <w:shd w:val="clear" w:color="auto" w:fill="auto"/>
            <w:hideMark/>
          </w:tcPr>
          <w:p w14:paraId="3E915FC8" w14:textId="77777777" w:rsidR="006C28DF" w:rsidRPr="006C28DF" w:rsidRDefault="006C28DF" w:rsidP="006C28DF">
            <w:pPr>
              <w:jc w:val="right"/>
              <w:rPr>
                <w:sz w:val="20"/>
                <w:szCs w:val="20"/>
                <w:lang w:val="en-CA" w:eastAsia="en-CA"/>
              </w:rPr>
            </w:pPr>
            <w:r w:rsidRPr="006C28DF">
              <w:rPr>
                <w:sz w:val="20"/>
                <w:szCs w:val="20"/>
                <w:lang w:val="en-CA" w:eastAsia="en-CA"/>
              </w:rPr>
              <w:t>4.4</w:t>
            </w:r>
          </w:p>
        </w:tc>
      </w:tr>
      <w:tr w:rsidR="006C28DF" w:rsidRPr="006C28DF" w14:paraId="64157F54"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B03A515" w14:textId="77777777" w:rsidR="006C28DF" w:rsidRPr="006C28DF" w:rsidRDefault="006C28DF" w:rsidP="006C28DF">
            <w:pPr>
              <w:jc w:val="left"/>
              <w:rPr>
                <w:sz w:val="20"/>
                <w:szCs w:val="20"/>
                <w:lang w:val="en-CA" w:eastAsia="en-CA"/>
              </w:rPr>
            </w:pPr>
            <w:r w:rsidRPr="006C28DF">
              <w:rPr>
                <w:sz w:val="20"/>
                <w:szCs w:val="20"/>
                <w:lang w:val="en-CA" w:eastAsia="en-CA"/>
              </w:rPr>
              <w:lastRenderedPageBreak/>
              <w:t>Cape Verde</w:t>
            </w:r>
          </w:p>
        </w:tc>
        <w:tc>
          <w:tcPr>
            <w:tcW w:w="980" w:type="dxa"/>
            <w:tcBorders>
              <w:top w:val="nil"/>
              <w:left w:val="nil"/>
              <w:bottom w:val="single" w:sz="4" w:space="0" w:color="auto"/>
              <w:right w:val="single" w:sz="4" w:space="0" w:color="auto"/>
            </w:tcBorders>
            <w:shd w:val="clear" w:color="auto" w:fill="auto"/>
            <w:hideMark/>
          </w:tcPr>
          <w:p w14:paraId="45E0EE38"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11FC125"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1A418A60"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5F6647DC" w14:textId="77777777" w:rsidR="006C28DF" w:rsidRPr="006C28DF" w:rsidRDefault="006C28DF" w:rsidP="006C28DF">
            <w:pPr>
              <w:jc w:val="left"/>
              <w:rPr>
                <w:sz w:val="20"/>
                <w:szCs w:val="20"/>
                <w:lang w:val="en-CA" w:eastAsia="en-CA"/>
              </w:rPr>
            </w:pPr>
            <w:r w:rsidRPr="006C28DF">
              <w:rPr>
                <w:sz w:val="20"/>
                <w:szCs w:val="20"/>
                <w:lang w:val="en-CA" w:eastAsia="en-CA"/>
              </w:rPr>
              <w:t>Enabling activities</w:t>
            </w:r>
          </w:p>
        </w:tc>
        <w:tc>
          <w:tcPr>
            <w:tcW w:w="1148" w:type="dxa"/>
            <w:tcBorders>
              <w:top w:val="nil"/>
              <w:left w:val="nil"/>
              <w:bottom w:val="single" w:sz="4" w:space="0" w:color="auto"/>
              <w:right w:val="single" w:sz="4" w:space="0" w:color="auto"/>
            </w:tcBorders>
            <w:shd w:val="clear" w:color="auto" w:fill="auto"/>
            <w:hideMark/>
          </w:tcPr>
          <w:p w14:paraId="71DFAB98" w14:textId="77777777" w:rsidR="006C28DF" w:rsidRPr="006C28DF" w:rsidRDefault="006C28DF" w:rsidP="006C28DF">
            <w:pPr>
              <w:jc w:val="right"/>
              <w:rPr>
                <w:sz w:val="20"/>
                <w:szCs w:val="20"/>
                <w:lang w:val="en-CA" w:eastAsia="en-CA"/>
              </w:rPr>
            </w:pPr>
            <w:r w:rsidRPr="006C28DF">
              <w:rPr>
                <w:sz w:val="20"/>
                <w:szCs w:val="20"/>
                <w:lang w:val="en-CA" w:eastAsia="en-CA"/>
              </w:rPr>
              <w:t>102</w:t>
            </w:r>
          </w:p>
        </w:tc>
        <w:tc>
          <w:tcPr>
            <w:tcW w:w="976" w:type="dxa"/>
            <w:tcBorders>
              <w:top w:val="nil"/>
              <w:left w:val="nil"/>
              <w:bottom w:val="single" w:sz="4" w:space="0" w:color="auto"/>
              <w:right w:val="single" w:sz="4" w:space="0" w:color="auto"/>
            </w:tcBorders>
            <w:shd w:val="clear" w:color="auto" w:fill="auto"/>
            <w:hideMark/>
          </w:tcPr>
          <w:p w14:paraId="2CC6DCE8"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F5E5340"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7C2AB8F" w14:textId="77777777" w:rsidR="006C28DF" w:rsidRPr="006C28DF" w:rsidRDefault="006C28DF" w:rsidP="006C28DF">
            <w:pPr>
              <w:jc w:val="left"/>
              <w:rPr>
                <w:sz w:val="20"/>
                <w:szCs w:val="20"/>
                <w:lang w:val="en-CA" w:eastAsia="en-CA"/>
              </w:rPr>
            </w:pPr>
            <w:r w:rsidRPr="006C28DF">
              <w:rPr>
                <w:sz w:val="20"/>
                <w:szCs w:val="20"/>
                <w:lang w:val="en-CA" w:eastAsia="en-CA"/>
              </w:rPr>
              <w:t>Central African Republic (the)</w:t>
            </w:r>
          </w:p>
        </w:tc>
        <w:tc>
          <w:tcPr>
            <w:tcW w:w="980" w:type="dxa"/>
            <w:tcBorders>
              <w:top w:val="nil"/>
              <w:left w:val="nil"/>
              <w:bottom w:val="single" w:sz="4" w:space="0" w:color="auto"/>
              <w:right w:val="single" w:sz="4" w:space="0" w:color="auto"/>
            </w:tcBorders>
            <w:shd w:val="clear" w:color="auto" w:fill="auto"/>
            <w:hideMark/>
          </w:tcPr>
          <w:p w14:paraId="723C51F5"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F210903"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016365E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D47F52D"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2C959F09" w14:textId="77777777" w:rsidR="006C28DF" w:rsidRPr="006C28DF" w:rsidRDefault="006C28DF" w:rsidP="006C28DF">
            <w:pPr>
              <w:jc w:val="right"/>
              <w:rPr>
                <w:sz w:val="20"/>
                <w:szCs w:val="20"/>
                <w:lang w:val="en-CA" w:eastAsia="en-CA"/>
              </w:rPr>
            </w:pPr>
            <w:r w:rsidRPr="006C28DF">
              <w:rPr>
                <w:sz w:val="20"/>
                <w:szCs w:val="20"/>
                <w:lang w:val="en-CA" w:eastAsia="en-CA"/>
              </w:rPr>
              <w:t>62</w:t>
            </w:r>
          </w:p>
        </w:tc>
        <w:tc>
          <w:tcPr>
            <w:tcW w:w="976" w:type="dxa"/>
            <w:tcBorders>
              <w:top w:val="nil"/>
              <w:left w:val="nil"/>
              <w:bottom w:val="single" w:sz="4" w:space="0" w:color="auto"/>
              <w:right w:val="single" w:sz="4" w:space="0" w:color="auto"/>
            </w:tcBorders>
            <w:shd w:val="clear" w:color="auto" w:fill="auto"/>
            <w:hideMark/>
          </w:tcPr>
          <w:p w14:paraId="0302D97D" w14:textId="77777777" w:rsidR="006C28DF" w:rsidRPr="006C28DF" w:rsidRDefault="006C28DF" w:rsidP="006C28DF">
            <w:pPr>
              <w:jc w:val="right"/>
              <w:rPr>
                <w:sz w:val="20"/>
                <w:szCs w:val="20"/>
                <w:lang w:val="en-CA" w:eastAsia="en-CA"/>
              </w:rPr>
            </w:pPr>
            <w:r w:rsidRPr="006C28DF">
              <w:rPr>
                <w:sz w:val="20"/>
                <w:szCs w:val="20"/>
                <w:lang w:val="en-CA" w:eastAsia="en-CA"/>
              </w:rPr>
              <w:t>0.4</w:t>
            </w:r>
          </w:p>
        </w:tc>
      </w:tr>
      <w:tr w:rsidR="006C28DF" w:rsidRPr="006C28DF" w14:paraId="618E00FC"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0AC72A2" w14:textId="77777777" w:rsidR="006C28DF" w:rsidRPr="006C28DF" w:rsidRDefault="006C28DF" w:rsidP="006C28DF">
            <w:pPr>
              <w:jc w:val="left"/>
              <w:rPr>
                <w:sz w:val="20"/>
                <w:szCs w:val="20"/>
                <w:lang w:val="en-CA" w:eastAsia="en-CA"/>
              </w:rPr>
            </w:pPr>
            <w:r w:rsidRPr="006C28DF">
              <w:rPr>
                <w:sz w:val="20"/>
                <w:szCs w:val="20"/>
                <w:lang w:val="en-CA" w:eastAsia="en-CA"/>
              </w:rPr>
              <w:t>Central African Republic (the)</w:t>
            </w:r>
          </w:p>
        </w:tc>
        <w:tc>
          <w:tcPr>
            <w:tcW w:w="980" w:type="dxa"/>
            <w:tcBorders>
              <w:top w:val="nil"/>
              <w:left w:val="nil"/>
              <w:bottom w:val="single" w:sz="4" w:space="0" w:color="auto"/>
              <w:right w:val="single" w:sz="4" w:space="0" w:color="auto"/>
            </w:tcBorders>
            <w:shd w:val="clear" w:color="auto" w:fill="auto"/>
            <w:hideMark/>
          </w:tcPr>
          <w:p w14:paraId="72B653B1"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7B598E6"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6CB78EA3"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58E7F04F" w14:textId="77777777" w:rsidR="006C28DF" w:rsidRPr="006C28DF" w:rsidRDefault="006C28DF" w:rsidP="006C28DF">
            <w:pPr>
              <w:jc w:val="left"/>
              <w:rPr>
                <w:sz w:val="20"/>
                <w:szCs w:val="20"/>
                <w:lang w:val="en-CA" w:eastAsia="en-CA"/>
              </w:rPr>
            </w:pPr>
            <w:r w:rsidRPr="006C28DF">
              <w:rPr>
                <w:sz w:val="20"/>
                <w:szCs w:val="20"/>
                <w:lang w:val="en-CA" w:eastAsia="en-CA"/>
              </w:rPr>
              <w:t>Enabling activities</w:t>
            </w:r>
          </w:p>
        </w:tc>
        <w:tc>
          <w:tcPr>
            <w:tcW w:w="1148" w:type="dxa"/>
            <w:tcBorders>
              <w:top w:val="nil"/>
              <w:left w:val="nil"/>
              <w:bottom w:val="single" w:sz="4" w:space="0" w:color="auto"/>
              <w:right w:val="single" w:sz="4" w:space="0" w:color="auto"/>
            </w:tcBorders>
            <w:shd w:val="clear" w:color="auto" w:fill="auto"/>
            <w:hideMark/>
          </w:tcPr>
          <w:p w14:paraId="54FAF285" w14:textId="77777777" w:rsidR="006C28DF" w:rsidRPr="006C28DF" w:rsidRDefault="006C28DF" w:rsidP="006C28DF">
            <w:pPr>
              <w:jc w:val="right"/>
              <w:rPr>
                <w:sz w:val="20"/>
                <w:szCs w:val="20"/>
                <w:lang w:val="en-CA" w:eastAsia="en-CA"/>
              </w:rPr>
            </w:pPr>
            <w:r w:rsidRPr="006C28DF">
              <w:rPr>
                <w:sz w:val="20"/>
                <w:szCs w:val="20"/>
                <w:lang w:val="en-CA" w:eastAsia="en-CA"/>
              </w:rPr>
              <w:t>161</w:t>
            </w:r>
          </w:p>
        </w:tc>
        <w:tc>
          <w:tcPr>
            <w:tcW w:w="976" w:type="dxa"/>
            <w:tcBorders>
              <w:top w:val="nil"/>
              <w:left w:val="nil"/>
              <w:bottom w:val="single" w:sz="4" w:space="0" w:color="auto"/>
              <w:right w:val="single" w:sz="4" w:space="0" w:color="auto"/>
            </w:tcBorders>
            <w:shd w:val="clear" w:color="auto" w:fill="auto"/>
            <w:hideMark/>
          </w:tcPr>
          <w:p w14:paraId="3A36C0C4"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0046186"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FC89EF6" w14:textId="77777777" w:rsidR="006C28DF" w:rsidRPr="006C28DF" w:rsidRDefault="006C28DF" w:rsidP="006C28DF">
            <w:pPr>
              <w:jc w:val="left"/>
              <w:rPr>
                <w:sz w:val="20"/>
                <w:szCs w:val="20"/>
                <w:lang w:val="en-CA" w:eastAsia="en-CA"/>
              </w:rPr>
            </w:pPr>
            <w:r w:rsidRPr="006C28DF">
              <w:rPr>
                <w:sz w:val="20"/>
                <w:szCs w:val="20"/>
                <w:lang w:val="en-CA" w:eastAsia="en-CA"/>
              </w:rPr>
              <w:t>Chad</w:t>
            </w:r>
          </w:p>
        </w:tc>
        <w:tc>
          <w:tcPr>
            <w:tcW w:w="980" w:type="dxa"/>
            <w:tcBorders>
              <w:top w:val="nil"/>
              <w:left w:val="nil"/>
              <w:bottom w:val="single" w:sz="4" w:space="0" w:color="auto"/>
              <w:right w:val="single" w:sz="4" w:space="0" w:color="auto"/>
            </w:tcBorders>
            <w:shd w:val="clear" w:color="auto" w:fill="auto"/>
            <w:hideMark/>
          </w:tcPr>
          <w:p w14:paraId="6E870DEB"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E2DE64F"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51E93AF1"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B870C02"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06E4AE7A" w14:textId="77777777" w:rsidR="006C28DF" w:rsidRPr="006C28DF" w:rsidRDefault="006C28DF" w:rsidP="006C28DF">
            <w:pPr>
              <w:jc w:val="right"/>
              <w:rPr>
                <w:sz w:val="20"/>
                <w:szCs w:val="20"/>
                <w:lang w:val="en-CA" w:eastAsia="en-CA"/>
              </w:rPr>
            </w:pPr>
            <w:r w:rsidRPr="006C28DF">
              <w:rPr>
                <w:sz w:val="20"/>
                <w:szCs w:val="20"/>
                <w:lang w:val="en-CA" w:eastAsia="en-CA"/>
              </w:rPr>
              <w:t>51</w:t>
            </w:r>
          </w:p>
        </w:tc>
        <w:tc>
          <w:tcPr>
            <w:tcW w:w="976" w:type="dxa"/>
            <w:tcBorders>
              <w:top w:val="nil"/>
              <w:left w:val="nil"/>
              <w:bottom w:val="single" w:sz="4" w:space="0" w:color="auto"/>
              <w:right w:val="single" w:sz="4" w:space="0" w:color="auto"/>
            </w:tcBorders>
            <w:shd w:val="clear" w:color="auto" w:fill="auto"/>
            <w:hideMark/>
          </w:tcPr>
          <w:p w14:paraId="0E063AA4" w14:textId="77777777" w:rsidR="006C28DF" w:rsidRPr="006C28DF" w:rsidRDefault="006C28DF" w:rsidP="006C28DF">
            <w:pPr>
              <w:jc w:val="right"/>
              <w:rPr>
                <w:sz w:val="20"/>
                <w:szCs w:val="20"/>
                <w:lang w:val="en-CA" w:eastAsia="en-CA"/>
              </w:rPr>
            </w:pPr>
            <w:r w:rsidRPr="006C28DF">
              <w:rPr>
                <w:sz w:val="20"/>
                <w:szCs w:val="20"/>
                <w:lang w:val="en-CA" w:eastAsia="en-CA"/>
              </w:rPr>
              <w:t>0.5</w:t>
            </w:r>
          </w:p>
        </w:tc>
      </w:tr>
      <w:tr w:rsidR="006C28DF" w:rsidRPr="006C28DF" w14:paraId="24CA0563"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31E1124" w14:textId="77777777" w:rsidR="006C28DF" w:rsidRPr="006C28DF" w:rsidRDefault="006C28DF" w:rsidP="006C28DF">
            <w:pPr>
              <w:jc w:val="left"/>
              <w:rPr>
                <w:sz w:val="20"/>
                <w:szCs w:val="20"/>
                <w:lang w:val="en-CA" w:eastAsia="en-CA"/>
              </w:rPr>
            </w:pPr>
            <w:r w:rsidRPr="006C28DF">
              <w:rPr>
                <w:sz w:val="20"/>
                <w:szCs w:val="20"/>
                <w:lang w:val="en-CA" w:eastAsia="en-CA"/>
              </w:rPr>
              <w:t>Chad</w:t>
            </w:r>
          </w:p>
        </w:tc>
        <w:tc>
          <w:tcPr>
            <w:tcW w:w="980" w:type="dxa"/>
            <w:tcBorders>
              <w:top w:val="nil"/>
              <w:left w:val="nil"/>
              <w:bottom w:val="single" w:sz="4" w:space="0" w:color="auto"/>
              <w:right w:val="single" w:sz="4" w:space="0" w:color="auto"/>
            </w:tcBorders>
            <w:shd w:val="clear" w:color="auto" w:fill="auto"/>
            <w:hideMark/>
          </w:tcPr>
          <w:p w14:paraId="13848C8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F0F4FC9"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974B5D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D703765"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1509EC12" w14:textId="77777777" w:rsidR="006C28DF" w:rsidRPr="006C28DF" w:rsidRDefault="006C28DF" w:rsidP="006C28DF">
            <w:pPr>
              <w:jc w:val="right"/>
              <w:rPr>
                <w:sz w:val="20"/>
                <w:szCs w:val="20"/>
                <w:lang w:val="en-CA" w:eastAsia="en-CA"/>
              </w:rPr>
            </w:pPr>
            <w:r w:rsidRPr="006C28DF">
              <w:rPr>
                <w:sz w:val="20"/>
                <w:szCs w:val="20"/>
                <w:lang w:val="en-CA" w:eastAsia="en-CA"/>
              </w:rPr>
              <w:t>45</w:t>
            </w:r>
          </w:p>
        </w:tc>
        <w:tc>
          <w:tcPr>
            <w:tcW w:w="976" w:type="dxa"/>
            <w:tcBorders>
              <w:top w:val="nil"/>
              <w:left w:val="nil"/>
              <w:bottom w:val="single" w:sz="4" w:space="0" w:color="auto"/>
              <w:right w:val="single" w:sz="4" w:space="0" w:color="auto"/>
            </w:tcBorders>
            <w:shd w:val="clear" w:color="auto" w:fill="auto"/>
            <w:hideMark/>
          </w:tcPr>
          <w:p w14:paraId="38B221DE"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78C3D7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53D623B" w14:textId="77777777" w:rsidR="006C28DF" w:rsidRPr="006C28DF" w:rsidRDefault="006C28DF" w:rsidP="006C28DF">
            <w:pPr>
              <w:jc w:val="left"/>
              <w:rPr>
                <w:sz w:val="20"/>
                <w:szCs w:val="20"/>
                <w:lang w:val="en-CA" w:eastAsia="en-CA"/>
              </w:rPr>
            </w:pPr>
            <w:r w:rsidRPr="006C28DF">
              <w:rPr>
                <w:sz w:val="20"/>
                <w:szCs w:val="20"/>
                <w:lang w:val="en-CA" w:eastAsia="en-CA"/>
              </w:rPr>
              <w:t>Chad</w:t>
            </w:r>
          </w:p>
        </w:tc>
        <w:tc>
          <w:tcPr>
            <w:tcW w:w="980" w:type="dxa"/>
            <w:tcBorders>
              <w:top w:val="nil"/>
              <w:left w:val="nil"/>
              <w:bottom w:val="single" w:sz="4" w:space="0" w:color="auto"/>
              <w:right w:val="single" w:sz="4" w:space="0" w:color="auto"/>
            </w:tcBorders>
            <w:shd w:val="clear" w:color="auto" w:fill="auto"/>
            <w:hideMark/>
          </w:tcPr>
          <w:p w14:paraId="4EEE6546"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2AB00160"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3D319CA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352EE1C"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0F857A4C" w14:textId="77777777" w:rsidR="006C28DF" w:rsidRPr="006C28DF" w:rsidRDefault="006C28DF" w:rsidP="006C28DF">
            <w:pPr>
              <w:jc w:val="right"/>
              <w:rPr>
                <w:sz w:val="20"/>
                <w:szCs w:val="20"/>
                <w:lang w:val="en-CA" w:eastAsia="en-CA"/>
              </w:rPr>
            </w:pPr>
            <w:r w:rsidRPr="006C28DF">
              <w:rPr>
                <w:sz w:val="20"/>
                <w:szCs w:val="20"/>
                <w:lang w:val="en-CA" w:eastAsia="en-CA"/>
              </w:rPr>
              <w:t>21</w:t>
            </w:r>
          </w:p>
        </w:tc>
        <w:tc>
          <w:tcPr>
            <w:tcW w:w="976" w:type="dxa"/>
            <w:tcBorders>
              <w:top w:val="nil"/>
              <w:left w:val="nil"/>
              <w:bottom w:val="single" w:sz="4" w:space="0" w:color="auto"/>
              <w:right w:val="single" w:sz="4" w:space="0" w:color="auto"/>
            </w:tcBorders>
            <w:shd w:val="clear" w:color="auto" w:fill="auto"/>
            <w:hideMark/>
          </w:tcPr>
          <w:p w14:paraId="0EB16C16"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05EDA770"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A1FD8C6" w14:textId="77777777" w:rsidR="006C28DF" w:rsidRPr="006C28DF" w:rsidRDefault="006C28DF" w:rsidP="006C28DF">
            <w:pPr>
              <w:jc w:val="left"/>
              <w:rPr>
                <w:sz w:val="20"/>
                <w:szCs w:val="20"/>
                <w:lang w:val="en-CA" w:eastAsia="en-CA"/>
              </w:rPr>
            </w:pPr>
            <w:r w:rsidRPr="006C28DF">
              <w:rPr>
                <w:sz w:val="20"/>
                <w:szCs w:val="20"/>
                <w:lang w:val="en-CA" w:eastAsia="en-CA"/>
              </w:rPr>
              <w:t>China</w:t>
            </w:r>
          </w:p>
        </w:tc>
        <w:tc>
          <w:tcPr>
            <w:tcW w:w="980" w:type="dxa"/>
            <w:tcBorders>
              <w:top w:val="nil"/>
              <w:left w:val="nil"/>
              <w:bottom w:val="single" w:sz="4" w:space="0" w:color="auto"/>
              <w:right w:val="single" w:sz="4" w:space="0" w:color="auto"/>
            </w:tcBorders>
            <w:shd w:val="clear" w:color="auto" w:fill="auto"/>
            <w:hideMark/>
          </w:tcPr>
          <w:p w14:paraId="62CC0124" w14:textId="77777777" w:rsidR="006C28DF" w:rsidRPr="006C28DF" w:rsidRDefault="006C28DF" w:rsidP="006C28DF">
            <w:pPr>
              <w:jc w:val="center"/>
              <w:rPr>
                <w:sz w:val="20"/>
                <w:szCs w:val="20"/>
                <w:lang w:val="en-CA" w:eastAsia="en-CA"/>
              </w:rPr>
            </w:pPr>
            <w:r w:rsidRPr="006C28DF">
              <w:rPr>
                <w:sz w:val="20"/>
                <w:szCs w:val="20"/>
                <w:lang w:val="en-CA" w:eastAsia="en-CA"/>
              </w:rPr>
              <w:t>Germany</w:t>
            </w:r>
          </w:p>
        </w:tc>
        <w:tc>
          <w:tcPr>
            <w:tcW w:w="721" w:type="dxa"/>
            <w:tcBorders>
              <w:top w:val="nil"/>
              <w:left w:val="nil"/>
              <w:bottom w:val="single" w:sz="4" w:space="0" w:color="auto"/>
              <w:right w:val="single" w:sz="4" w:space="0" w:color="auto"/>
            </w:tcBorders>
            <w:shd w:val="clear" w:color="auto" w:fill="auto"/>
            <w:hideMark/>
          </w:tcPr>
          <w:p w14:paraId="47549A6B"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13B4DAA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C343193" w14:textId="77777777" w:rsidR="006C28DF" w:rsidRPr="006C28DF" w:rsidRDefault="006C28DF" w:rsidP="006C28DF">
            <w:pPr>
              <w:jc w:val="left"/>
              <w:rPr>
                <w:sz w:val="20"/>
                <w:szCs w:val="20"/>
                <w:lang w:val="en-CA" w:eastAsia="en-CA"/>
              </w:rPr>
            </w:pPr>
            <w:r w:rsidRPr="006C28DF">
              <w:rPr>
                <w:sz w:val="20"/>
                <w:szCs w:val="20"/>
                <w:lang w:val="en-CA" w:eastAsia="en-CA"/>
              </w:rPr>
              <w:t>Stage II HPMP-TAS</w:t>
            </w:r>
          </w:p>
        </w:tc>
        <w:tc>
          <w:tcPr>
            <w:tcW w:w="1148" w:type="dxa"/>
            <w:tcBorders>
              <w:top w:val="nil"/>
              <w:left w:val="nil"/>
              <w:bottom w:val="single" w:sz="4" w:space="0" w:color="auto"/>
              <w:right w:val="single" w:sz="4" w:space="0" w:color="auto"/>
            </w:tcBorders>
            <w:shd w:val="clear" w:color="auto" w:fill="auto"/>
            <w:hideMark/>
          </w:tcPr>
          <w:p w14:paraId="195E9B23" w14:textId="77777777" w:rsidR="006C28DF" w:rsidRPr="006C28DF" w:rsidRDefault="006C28DF" w:rsidP="006C28DF">
            <w:pPr>
              <w:jc w:val="right"/>
              <w:rPr>
                <w:sz w:val="20"/>
                <w:szCs w:val="20"/>
                <w:lang w:val="en-CA" w:eastAsia="en-CA"/>
              </w:rPr>
            </w:pPr>
            <w:r w:rsidRPr="006C28DF">
              <w:rPr>
                <w:sz w:val="20"/>
                <w:szCs w:val="20"/>
                <w:lang w:val="en-CA" w:eastAsia="en-CA"/>
              </w:rPr>
              <w:t>336</w:t>
            </w:r>
          </w:p>
        </w:tc>
        <w:tc>
          <w:tcPr>
            <w:tcW w:w="976" w:type="dxa"/>
            <w:tcBorders>
              <w:top w:val="nil"/>
              <w:left w:val="nil"/>
              <w:bottom w:val="single" w:sz="4" w:space="0" w:color="auto"/>
              <w:right w:val="single" w:sz="4" w:space="0" w:color="auto"/>
            </w:tcBorders>
            <w:shd w:val="clear" w:color="auto" w:fill="auto"/>
            <w:hideMark/>
          </w:tcPr>
          <w:p w14:paraId="5D72532C" w14:textId="77777777" w:rsidR="006C28DF" w:rsidRPr="006C28DF" w:rsidRDefault="006C28DF" w:rsidP="006C28DF">
            <w:pPr>
              <w:jc w:val="right"/>
              <w:rPr>
                <w:sz w:val="20"/>
                <w:szCs w:val="20"/>
                <w:lang w:val="en-CA" w:eastAsia="en-CA"/>
              </w:rPr>
            </w:pPr>
            <w:r w:rsidRPr="006C28DF">
              <w:rPr>
                <w:sz w:val="20"/>
                <w:szCs w:val="20"/>
                <w:lang w:val="en-CA" w:eastAsia="en-CA"/>
              </w:rPr>
              <w:t>5.2</w:t>
            </w:r>
          </w:p>
        </w:tc>
      </w:tr>
      <w:tr w:rsidR="006C28DF" w:rsidRPr="006C28DF" w14:paraId="652653D8"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93D2F1C" w14:textId="77777777" w:rsidR="006C28DF" w:rsidRPr="006C28DF" w:rsidRDefault="006C28DF" w:rsidP="006C28DF">
            <w:pPr>
              <w:jc w:val="left"/>
              <w:rPr>
                <w:sz w:val="20"/>
                <w:szCs w:val="20"/>
                <w:lang w:val="en-CA" w:eastAsia="en-CA"/>
              </w:rPr>
            </w:pPr>
            <w:r w:rsidRPr="006C28DF">
              <w:rPr>
                <w:sz w:val="20"/>
                <w:szCs w:val="20"/>
                <w:lang w:val="en-CA" w:eastAsia="en-CA"/>
              </w:rPr>
              <w:t>China</w:t>
            </w:r>
          </w:p>
        </w:tc>
        <w:tc>
          <w:tcPr>
            <w:tcW w:w="980" w:type="dxa"/>
            <w:tcBorders>
              <w:top w:val="nil"/>
              <w:left w:val="nil"/>
              <w:bottom w:val="single" w:sz="4" w:space="0" w:color="auto"/>
              <w:right w:val="single" w:sz="4" w:space="0" w:color="auto"/>
            </w:tcBorders>
            <w:shd w:val="clear" w:color="auto" w:fill="auto"/>
            <w:hideMark/>
          </w:tcPr>
          <w:p w14:paraId="0B44FA3A"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70402742"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82F04E9"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EDC5B3F" w14:textId="77777777" w:rsidR="006C28DF" w:rsidRPr="006C28DF" w:rsidRDefault="006C28DF" w:rsidP="006C28DF">
            <w:pPr>
              <w:jc w:val="left"/>
              <w:rPr>
                <w:sz w:val="20"/>
                <w:szCs w:val="20"/>
                <w:lang w:val="en-CA" w:eastAsia="en-CA"/>
              </w:rPr>
            </w:pPr>
            <w:r w:rsidRPr="006C28DF">
              <w:rPr>
                <w:sz w:val="20"/>
                <w:szCs w:val="20"/>
                <w:lang w:val="en-CA" w:eastAsia="en-CA"/>
              </w:rPr>
              <w:t>FOA - Rigid PU foam (Stage II)</w:t>
            </w:r>
          </w:p>
        </w:tc>
        <w:tc>
          <w:tcPr>
            <w:tcW w:w="1148" w:type="dxa"/>
            <w:tcBorders>
              <w:top w:val="nil"/>
              <w:left w:val="nil"/>
              <w:bottom w:val="single" w:sz="4" w:space="0" w:color="auto"/>
              <w:right w:val="single" w:sz="4" w:space="0" w:color="auto"/>
            </w:tcBorders>
            <w:shd w:val="clear" w:color="auto" w:fill="auto"/>
            <w:hideMark/>
          </w:tcPr>
          <w:p w14:paraId="16A582B7" w14:textId="77777777" w:rsidR="006C28DF" w:rsidRPr="006C28DF" w:rsidRDefault="006C28DF" w:rsidP="006C28DF">
            <w:pPr>
              <w:jc w:val="right"/>
              <w:rPr>
                <w:sz w:val="20"/>
                <w:szCs w:val="20"/>
                <w:lang w:val="en-CA" w:eastAsia="en-CA"/>
              </w:rPr>
            </w:pPr>
            <w:r w:rsidRPr="006C28DF">
              <w:rPr>
                <w:sz w:val="20"/>
                <w:szCs w:val="20"/>
                <w:lang w:val="en-CA" w:eastAsia="en-CA"/>
              </w:rPr>
              <w:t>21,407</w:t>
            </w:r>
          </w:p>
        </w:tc>
        <w:tc>
          <w:tcPr>
            <w:tcW w:w="976" w:type="dxa"/>
            <w:tcBorders>
              <w:top w:val="nil"/>
              <w:left w:val="nil"/>
              <w:bottom w:val="single" w:sz="4" w:space="0" w:color="auto"/>
              <w:right w:val="single" w:sz="4" w:space="0" w:color="auto"/>
            </w:tcBorders>
            <w:shd w:val="clear" w:color="auto" w:fill="auto"/>
            <w:hideMark/>
          </w:tcPr>
          <w:p w14:paraId="66945FA6" w14:textId="77777777" w:rsidR="006C28DF" w:rsidRPr="006C28DF" w:rsidRDefault="006C28DF" w:rsidP="006C28DF">
            <w:pPr>
              <w:jc w:val="right"/>
              <w:rPr>
                <w:sz w:val="20"/>
                <w:szCs w:val="20"/>
                <w:lang w:val="en-CA" w:eastAsia="en-CA"/>
              </w:rPr>
            </w:pPr>
            <w:r w:rsidRPr="006C28DF">
              <w:rPr>
                <w:sz w:val="20"/>
                <w:szCs w:val="20"/>
                <w:lang w:val="en-CA" w:eastAsia="en-CA"/>
              </w:rPr>
              <w:t>350.3</w:t>
            </w:r>
          </w:p>
        </w:tc>
      </w:tr>
      <w:tr w:rsidR="006C28DF" w:rsidRPr="006C28DF" w14:paraId="617F6D6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A6B7EEE" w14:textId="77777777" w:rsidR="006C28DF" w:rsidRPr="006C28DF" w:rsidRDefault="006C28DF" w:rsidP="006C28DF">
            <w:pPr>
              <w:jc w:val="left"/>
              <w:rPr>
                <w:sz w:val="20"/>
                <w:szCs w:val="20"/>
                <w:lang w:val="en-CA" w:eastAsia="en-CA"/>
              </w:rPr>
            </w:pPr>
            <w:r w:rsidRPr="006C28DF">
              <w:rPr>
                <w:sz w:val="20"/>
                <w:szCs w:val="20"/>
                <w:lang w:val="en-CA" w:eastAsia="en-CA"/>
              </w:rPr>
              <w:t>China</w:t>
            </w:r>
          </w:p>
        </w:tc>
        <w:tc>
          <w:tcPr>
            <w:tcW w:w="980" w:type="dxa"/>
            <w:tcBorders>
              <w:top w:val="nil"/>
              <w:left w:val="nil"/>
              <w:bottom w:val="single" w:sz="4" w:space="0" w:color="auto"/>
              <w:right w:val="single" w:sz="4" w:space="0" w:color="auto"/>
            </w:tcBorders>
            <w:shd w:val="clear" w:color="auto" w:fill="auto"/>
            <w:hideMark/>
          </w:tcPr>
          <w:p w14:paraId="58F134CB" w14:textId="77777777" w:rsidR="006C28DF" w:rsidRPr="006C28DF" w:rsidRDefault="006C28DF" w:rsidP="006C28DF">
            <w:pPr>
              <w:jc w:val="center"/>
              <w:rPr>
                <w:sz w:val="20"/>
                <w:szCs w:val="20"/>
                <w:lang w:val="en-CA" w:eastAsia="en-CA"/>
              </w:rPr>
            </w:pPr>
            <w:r w:rsidRPr="006C28DF">
              <w:rPr>
                <w:sz w:val="20"/>
                <w:szCs w:val="20"/>
                <w:lang w:val="en-CA" w:eastAsia="en-CA"/>
              </w:rPr>
              <w:t>Japan</w:t>
            </w:r>
          </w:p>
        </w:tc>
        <w:tc>
          <w:tcPr>
            <w:tcW w:w="721" w:type="dxa"/>
            <w:tcBorders>
              <w:top w:val="nil"/>
              <w:left w:val="nil"/>
              <w:bottom w:val="single" w:sz="4" w:space="0" w:color="auto"/>
              <w:right w:val="single" w:sz="4" w:space="0" w:color="auto"/>
            </w:tcBorders>
            <w:shd w:val="clear" w:color="auto" w:fill="auto"/>
            <w:hideMark/>
          </w:tcPr>
          <w:p w14:paraId="388342C3"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1EA505B7"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BD8ECE9" w14:textId="77777777" w:rsidR="006C28DF" w:rsidRPr="006C28DF" w:rsidRDefault="006C28DF" w:rsidP="006C28DF">
            <w:pPr>
              <w:jc w:val="left"/>
              <w:rPr>
                <w:sz w:val="20"/>
                <w:szCs w:val="20"/>
                <w:lang w:val="en-CA" w:eastAsia="en-CA"/>
              </w:rPr>
            </w:pPr>
            <w:r w:rsidRPr="006C28DF">
              <w:rPr>
                <w:sz w:val="20"/>
                <w:szCs w:val="20"/>
                <w:lang w:val="en-CA" w:eastAsia="en-CA"/>
              </w:rPr>
              <w:t>HPMP Stage II - 2018 Tranche</w:t>
            </w:r>
          </w:p>
        </w:tc>
        <w:tc>
          <w:tcPr>
            <w:tcW w:w="1148" w:type="dxa"/>
            <w:tcBorders>
              <w:top w:val="nil"/>
              <w:left w:val="nil"/>
              <w:bottom w:val="single" w:sz="4" w:space="0" w:color="auto"/>
              <w:right w:val="single" w:sz="4" w:space="0" w:color="auto"/>
            </w:tcBorders>
            <w:shd w:val="clear" w:color="auto" w:fill="auto"/>
            <w:hideMark/>
          </w:tcPr>
          <w:p w14:paraId="0C057FAA" w14:textId="77777777" w:rsidR="006C28DF" w:rsidRPr="006C28DF" w:rsidRDefault="006C28DF" w:rsidP="006C28DF">
            <w:pPr>
              <w:jc w:val="right"/>
              <w:rPr>
                <w:sz w:val="20"/>
                <w:szCs w:val="20"/>
                <w:lang w:val="en-CA" w:eastAsia="en-CA"/>
              </w:rPr>
            </w:pPr>
            <w:r w:rsidRPr="006C28DF">
              <w:rPr>
                <w:sz w:val="20"/>
                <w:szCs w:val="20"/>
                <w:lang w:val="en-CA" w:eastAsia="en-CA"/>
              </w:rPr>
              <w:t>90</w:t>
            </w:r>
          </w:p>
        </w:tc>
        <w:tc>
          <w:tcPr>
            <w:tcW w:w="976" w:type="dxa"/>
            <w:tcBorders>
              <w:top w:val="nil"/>
              <w:left w:val="nil"/>
              <w:bottom w:val="single" w:sz="4" w:space="0" w:color="auto"/>
              <w:right w:val="single" w:sz="4" w:space="0" w:color="auto"/>
            </w:tcBorders>
            <w:shd w:val="clear" w:color="auto" w:fill="auto"/>
            <w:hideMark/>
          </w:tcPr>
          <w:p w14:paraId="49FF4824" w14:textId="77777777" w:rsidR="006C28DF" w:rsidRPr="006C28DF" w:rsidRDefault="006C28DF" w:rsidP="006C28DF">
            <w:pPr>
              <w:jc w:val="right"/>
              <w:rPr>
                <w:sz w:val="20"/>
                <w:szCs w:val="20"/>
                <w:lang w:val="en-CA" w:eastAsia="en-CA"/>
              </w:rPr>
            </w:pPr>
            <w:r w:rsidRPr="006C28DF">
              <w:rPr>
                <w:sz w:val="20"/>
                <w:szCs w:val="20"/>
                <w:lang w:val="en-CA" w:eastAsia="en-CA"/>
              </w:rPr>
              <w:t>1.4</w:t>
            </w:r>
          </w:p>
        </w:tc>
      </w:tr>
      <w:tr w:rsidR="006C28DF" w:rsidRPr="006C28DF" w14:paraId="4245DEA1"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0962BCA" w14:textId="77777777" w:rsidR="006C28DF" w:rsidRPr="006C28DF" w:rsidRDefault="006C28DF" w:rsidP="006C28DF">
            <w:pPr>
              <w:jc w:val="left"/>
              <w:rPr>
                <w:sz w:val="20"/>
                <w:szCs w:val="20"/>
                <w:lang w:val="en-CA" w:eastAsia="en-CA"/>
              </w:rPr>
            </w:pPr>
            <w:r w:rsidRPr="006C28DF">
              <w:rPr>
                <w:sz w:val="20"/>
                <w:szCs w:val="20"/>
                <w:lang w:val="en-CA" w:eastAsia="en-CA"/>
              </w:rPr>
              <w:t>China</w:t>
            </w:r>
          </w:p>
        </w:tc>
        <w:tc>
          <w:tcPr>
            <w:tcW w:w="980" w:type="dxa"/>
            <w:tcBorders>
              <w:top w:val="nil"/>
              <w:left w:val="nil"/>
              <w:bottom w:val="single" w:sz="4" w:space="0" w:color="auto"/>
              <w:right w:val="single" w:sz="4" w:space="0" w:color="auto"/>
            </w:tcBorders>
            <w:shd w:val="clear" w:color="auto" w:fill="auto"/>
            <w:hideMark/>
          </w:tcPr>
          <w:p w14:paraId="4C1AD6DF"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3CB217D5"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174912A9"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95D8D6C" w14:textId="552E7367" w:rsidR="006C28DF" w:rsidRPr="006C28DF" w:rsidRDefault="006C28DF" w:rsidP="00BE08A4">
            <w:pPr>
              <w:jc w:val="left"/>
              <w:rPr>
                <w:sz w:val="20"/>
                <w:szCs w:val="20"/>
                <w:lang w:val="en-CA" w:eastAsia="en-CA"/>
              </w:rPr>
            </w:pPr>
            <w:r w:rsidRPr="006C28DF">
              <w:rPr>
                <w:sz w:val="20"/>
                <w:szCs w:val="20"/>
                <w:lang w:val="en-CA" w:eastAsia="en-CA"/>
              </w:rPr>
              <w:t>Stage II Investment proj</w:t>
            </w:r>
            <w:r w:rsidR="00BE08A4">
              <w:rPr>
                <w:sz w:val="20"/>
                <w:szCs w:val="20"/>
                <w:lang w:val="en-CA" w:eastAsia="en-CA"/>
              </w:rPr>
              <w:t>ect</w:t>
            </w:r>
            <w:r w:rsidRPr="006C28DF">
              <w:rPr>
                <w:sz w:val="20"/>
                <w:szCs w:val="20"/>
                <w:lang w:val="en-CA" w:eastAsia="en-CA"/>
              </w:rPr>
              <w:t>/Sector Plans (ICR Sector Plan)</w:t>
            </w:r>
          </w:p>
        </w:tc>
        <w:tc>
          <w:tcPr>
            <w:tcW w:w="1148" w:type="dxa"/>
            <w:tcBorders>
              <w:top w:val="nil"/>
              <w:left w:val="nil"/>
              <w:bottom w:val="single" w:sz="4" w:space="0" w:color="auto"/>
              <w:right w:val="single" w:sz="4" w:space="0" w:color="auto"/>
            </w:tcBorders>
            <w:shd w:val="clear" w:color="auto" w:fill="auto"/>
            <w:hideMark/>
          </w:tcPr>
          <w:p w14:paraId="450752A2" w14:textId="77777777" w:rsidR="006C28DF" w:rsidRPr="006C28DF" w:rsidRDefault="006C28DF" w:rsidP="006C28DF">
            <w:pPr>
              <w:jc w:val="right"/>
              <w:rPr>
                <w:sz w:val="20"/>
                <w:szCs w:val="20"/>
                <w:lang w:val="en-CA" w:eastAsia="en-CA"/>
              </w:rPr>
            </w:pPr>
            <w:r w:rsidRPr="006C28DF">
              <w:rPr>
                <w:sz w:val="20"/>
                <w:szCs w:val="20"/>
                <w:lang w:val="en-CA" w:eastAsia="en-CA"/>
              </w:rPr>
              <w:t>12,780</w:t>
            </w:r>
          </w:p>
        </w:tc>
        <w:tc>
          <w:tcPr>
            <w:tcW w:w="976" w:type="dxa"/>
            <w:tcBorders>
              <w:top w:val="nil"/>
              <w:left w:val="nil"/>
              <w:bottom w:val="single" w:sz="4" w:space="0" w:color="auto"/>
              <w:right w:val="single" w:sz="4" w:space="0" w:color="auto"/>
            </w:tcBorders>
            <w:shd w:val="clear" w:color="auto" w:fill="auto"/>
            <w:hideMark/>
          </w:tcPr>
          <w:p w14:paraId="44F9E7FE" w14:textId="77777777" w:rsidR="006C28DF" w:rsidRPr="006C28DF" w:rsidRDefault="006C28DF" w:rsidP="006C28DF">
            <w:pPr>
              <w:jc w:val="right"/>
              <w:rPr>
                <w:sz w:val="20"/>
                <w:szCs w:val="20"/>
                <w:lang w:val="en-CA" w:eastAsia="en-CA"/>
              </w:rPr>
            </w:pPr>
            <w:r w:rsidRPr="006C28DF">
              <w:rPr>
                <w:sz w:val="20"/>
                <w:szCs w:val="20"/>
                <w:lang w:val="en-CA" w:eastAsia="en-CA"/>
              </w:rPr>
              <w:t>209.1</w:t>
            </w:r>
          </w:p>
        </w:tc>
      </w:tr>
      <w:tr w:rsidR="006C28DF" w:rsidRPr="006C28DF" w14:paraId="37F143FD"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0D7A9AC9" w14:textId="77777777" w:rsidR="006C28DF" w:rsidRPr="006C28DF" w:rsidRDefault="006C28DF" w:rsidP="006C28DF">
            <w:pPr>
              <w:jc w:val="left"/>
              <w:rPr>
                <w:sz w:val="20"/>
                <w:szCs w:val="20"/>
                <w:lang w:val="en-CA" w:eastAsia="en-CA"/>
              </w:rPr>
            </w:pPr>
            <w:r w:rsidRPr="006C28DF">
              <w:rPr>
                <w:sz w:val="20"/>
                <w:szCs w:val="20"/>
                <w:lang w:val="en-CA" w:eastAsia="en-CA"/>
              </w:rPr>
              <w:t>China</w:t>
            </w:r>
          </w:p>
        </w:tc>
        <w:tc>
          <w:tcPr>
            <w:tcW w:w="980" w:type="dxa"/>
            <w:tcBorders>
              <w:top w:val="nil"/>
              <w:left w:val="nil"/>
              <w:bottom w:val="single" w:sz="4" w:space="0" w:color="auto"/>
              <w:right w:val="single" w:sz="4" w:space="0" w:color="auto"/>
            </w:tcBorders>
            <w:shd w:val="clear" w:color="auto" w:fill="auto"/>
            <w:hideMark/>
          </w:tcPr>
          <w:p w14:paraId="3390D1C2"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55CBD6EB"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0800CE3D"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1F4BDF9" w14:textId="63764F89" w:rsidR="006C28DF" w:rsidRPr="006C28DF" w:rsidRDefault="006C28DF" w:rsidP="00BE08A4">
            <w:pPr>
              <w:jc w:val="left"/>
              <w:rPr>
                <w:sz w:val="20"/>
                <w:szCs w:val="20"/>
                <w:lang w:val="en-CA" w:eastAsia="en-CA"/>
              </w:rPr>
            </w:pPr>
            <w:r w:rsidRPr="006C28DF">
              <w:rPr>
                <w:sz w:val="20"/>
                <w:szCs w:val="20"/>
                <w:lang w:val="en-CA" w:eastAsia="en-CA"/>
              </w:rPr>
              <w:t>Stage II Investment proj</w:t>
            </w:r>
            <w:r w:rsidR="00BE08A4">
              <w:rPr>
                <w:sz w:val="20"/>
                <w:szCs w:val="20"/>
                <w:lang w:val="en-CA" w:eastAsia="en-CA"/>
              </w:rPr>
              <w:t>ect</w:t>
            </w:r>
            <w:r w:rsidRPr="006C28DF">
              <w:rPr>
                <w:sz w:val="20"/>
                <w:szCs w:val="20"/>
                <w:lang w:val="en-CA" w:eastAsia="en-CA"/>
              </w:rPr>
              <w:t>/Sector Plans (Solvents Sector Plan)</w:t>
            </w:r>
          </w:p>
        </w:tc>
        <w:tc>
          <w:tcPr>
            <w:tcW w:w="1148" w:type="dxa"/>
            <w:tcBorders>
              <w:top w:val="nil"/>
              <w:left w:val="nil"/>
              <w:bottom w:val="single" w:sz="4" w:space="0" w:color="auto"/>
              <w:right w:val="single" w:sz="4" w:space="0" w:color="auto"/>
            </w:tcBorders>
            <w:shd w:val="clear" w:color="auto" w:fill="auto"/>
            <w:hideMark/>
          </w:tcPr>
          <w:p w14:paraId="4528BBB2" w14:textId="77777777" w:rsidR="006C28DF" w:rsidRPr="006C28DF" w:rsidRDefault="006C28DF" w:rsidP="006C28DF">
            <w:pPr>
              <w:jc w:val="right"/>
              <w:rPr>
                <w:sz w:val="20"/>
                <w:szCs w:val="20"/>
                <w:lang w:val="en-CA" w:eastAsia="en-CA"/>
              </w:rPr>
            </w:pPr>
            <w:r w:rsidRPr="006C28DF">
              <w:rPr>
                <w:sz w:val="20"/>
                <w:szCs w:val="20"/>
                <w:lang w:val="en-CA" w:eastAsia="en-CA"/>
              </w:rPr>
              <w:t>3,152</w:t>
            </w:r>
          </w:p>
        </w:tc>
        <w:tc>
          <w:tcPr>
            <w:tcW w:w="976" w:type="dxa"/>
            <w:tcBorders>
              <w:top w:val="nil"/>
              <w:left w:val="nil"/>
              <w:bottom w:val="single" w:sz="4" w:space="0" w:color="auto"/>
              <w:right w:val="single" w:sz="4" w:space="0" w:color="auto"/>
            </w:tcBorders>
            <w:shd w:val="clear" w:color="auto" w:fill="auto"/>
            <w:hideMark/>
          </w:tcPr>
          <w:p w14:paraId="46B56505" w14:textId="77777777" w:rsidR="006C28DF" w:rsidRPr="006C28DF" w:rsidRDefault="006C28DF" w:rsidP="006C28DF">
            <w:pPr>
              <w:jc w:val="right"/>
              <w:rPr>
                <w:sz w:val="20"/>
                <w:szCs w:val="20"/>
                <w:lang w:val="en-CA" w:eastAsia="en-CA"/>
              </w:rPr>
            </w:pPr>
            <w:r w:rsidRPr="006C28DF">
              <w:rPr>
                <w:sz w:val="20"/>
                <w:szCs w:val="20"/>
                <w:lang w:val="en-CA" w:eastAsia="en-CA"/>
              </w:rPr>
              <w:t>51.6</w:t>
            </w:r>
          </w:p>
        </w:tc>
      </w:tr>
      <w:tr w:rsidR="006C28DF" w:rsidRPr="006C28DF" w14:paraId="762AFDF6"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DCA0C37" w14:textId="77777777" w:rsidR="006C28DF" w:rsidRPr="006C28DF" w:rsidRDefault="006C28DF" w:rsidP="006C28DF">
            <w:pPr>
              <w:jc w:val="left"/>
              <w:rPr>
                <w:sz w:val="20"/>
                <w:szCs w:val="20"/>
                <w:lang w:val="en-CA" w:eastAsia="en-CA"/>
              </w:rPr>
            </w:pPr>
            <w:r w:rsidRPr="006C28DF">
              <w:rPr>
                <w:sz w:val="20"/>
                <w:szCs w:val="20"/>
                <w:lang w:val="en-CA" w:eastAsia="en-CA"/>
              </w:rPr>
              <w:t>China</w:t>
            </w:r>
          </w:p>
        </w:tc>
        <w:tc>
          <w:tcPr>
            <w:tcW w:w="980" w:type="dxa"/>
            <w:tcBorders>
              <w:top w:val="nil"/>
              <w:left w:val="nil"/>
              <w:bottom w:val="single" w:sz="4" w:space="0" w:color="auto"/>
              <w:right w:val="single" w:sz="4" w:space="0" w:color="auto"/>
            </w:tcBorders>
            <w:shd w:val="clear" w:color="auto" w:fill="auto"/>
            <w:hideMark/>
          </w:tcPr>
          <w:p w14:paraId="0B43628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3270ED6"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7C70FA0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5342FDE" w14:textId="77777777" w:rsidR="006C28DF" w:rsidRPr="006C28DF" w:rsidRDefault="006C28DF" w:rsidP="006C28DF">
            <w:pPr>
              <w:jc w:val="left"/>
              <w:rPr>
                <w:sz w:val="20"/>
                <w:szCs w:val="20"/>
                <w:lang w:val="en-CA" w:eastAsia="en-CA"/>
              </w:rPr>
            </w:pPr>
            <w:r w:rsidRPr="006C28DF">
              <w:rPr>
                <w:sz w:val="20"/>
                <w:szCs w:val="20"/>
                <w:lang w:val="en-CA" w:eastAsia="en-CA"/>
              </w:rPr>
              <w:t>HPMP Stage II - Refrigeration servicing sector - 2018 Tranche</w:t>
            </w:r>
          </w:p>
        </w:tc>
        <w:tc>
          <w:tcPr>
            <w:tcW w:w="1148" w:type="dxa"/>
            <w:tcBorders>
              <w:top w:val="nil"/>
              <w:left w:val="nil"/>
              <w:bottom w:val="single" w:sz="4" w:space="0" w:color="auto"/>
              <w:right w:val="single" w:sz="4" w:space="0" w:color="auto"/>
            </w:tcBorders>
            <w:shd w:val="clear" w:color="auto" w:fill="auto"/>
            <w:hideMark/>
          </w:tcPr>
          <w:p w14:paraId="0E1D04FC" w14:textId="77777777" w:rsidR="006C28DF" w:rsidRPr="006C28DF" w:rsidRDefault="006C28DF" w:rsidP="006C28DF">
            <w:pPr>
              <w:jc w:val="right"/>
              <w:rPr>
                <w:sz w:val="20"/>
                <w:szCs w:val="20"/>
                <w:lang w:val="en-CA" w:eastAsia="en-CA"/>
              </w:rPr>
            </w:pPr>
            <w:r w:rsidRPr="006C28DF">
              <w:rPr>
                <w:sz w:val="20"/>
                <w:szCs w:val="20"/>
                <w:lang w:val="en-CA" w:eastAsia="en-CA"/>
              </w:rPr>
              <w:t>3,631</w:t>
            </w:r>
          </w:p>
        </w:tc>
        <w:tc>
          <w:tcPr>
            <w:tcW w:w="976" w:type="dxa"/>
            <w:tcBorders>
              <w:top w:val="nil"/>
              <w:left w:val="nil"/>
              <w:bottom w:val="single" w:sz="4" w:space="0" w:color="auto"/>
              <w:right w:val="single" w:sz="4" w:space="0" w:color="auto"/>
            </w:tcBorders>
            <w:shd w:val="clear" w:color="auto" w:fill="auto"/>
            <w:hideMark/>
          </w:tcPr>
          <w:p w14:paraId="0A54E6E8" w14:textId="77777777" w:rsidR="006C28DF" w:rsidRPr="006C28DF" w:rsidRDefault="006C28DF" w:rsidP="006C28DF">
            <w:pPr>
              <w:jc w:val="right"/>
              <w:rPr>
                <w:sz w:val="20"/>
                <w:szCs w:val="20"/>
                <w:lang w:val="en-CA" w:eastAsia="en-CA"/>
              </w:rPr>
            </w:pPr>
            <w:r w:rsidRPr="006C28DF">
              <w:rPr>
                <w:sz w:val="20"/>
                <w:szCs w:val="20"/>
                <w:lang w:val="en-CA" w:eastAsia="en-CA"/>
              </w:rPr>
              <w:t>57.0</w:t>
            </w:r>
          </w:p>
        </w:tc>
      </w:tr>
      <w:tr w:rsidR="006C28DF" w:rsidRPr="006C28DF" w14:paraId="1AD338C5"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A5DC299" w14:textId="77777777" w:rsidR="006C28DF" w:rsidRPr="006C28DF" w:rsidRDefault="006C28DF" w:rsidP="006C28DF">
            <w:pPr>
              <w:jc w:val="left"/>
              <w:rPr>
                <w:sz w:val="20"/>
                <w:szCs w:val="20"/>
                <w:lang w:val="en-CA" w:eastAsia="en-CA"/>
              </w:rPr>
            </w:pPr>
            <w:r w:rsidRPr="006C28DF">
              <w:rPr>
                <w:sz w:val="20"/>
                <w:szCs w:val="20"/>
                <w:lang w:val="en-CA" w:eastAsia="en-CA"/>
              </w:rPr>
              <w:t>China</w:t>
            </w:r>
          </w:p>
        </w:tc>
        <w:tc>
          <w:tcPr>
            <w:tcW w:w="980" w:type="dxa"/>
            <w:tcBorders>
              <w:top w:val="nil"/>
              <w:left w:val="nil"/>
              <w:bottom w:val="single" w:sz="4" w:space="0" w:color="auto"/>
              <w:right w:val="single" w:sz="4" w:space="0" w:color="auto"/>
            </w:tcBorders>
            <w:shd w:val="clear" w:color="auto" w:fill="auto"/>
            <w:hideMark/>
          </w:tcPr>
          <w:p w14:paraId="29FF47B7"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416F130B"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5D3A657C"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45433BE" w14:textId="77777777" w:rsidR="006C28DF" w:rsidRPr="006C28DF" w:rsidRDefault="006C28DF" w:rsidP="006C28DF">
            <w:pPr>
              <w:jc w:val="left"/>
              <w:rPr>
                <w:sz w:val="20"/>
                <w:szCs w:val="20"/>
                <w:lang w:val="en-CA" w:eastAsia="en-CA"/>
              </w:rPr>
            </w:pPr>
            <w:r w:rsidRPr="006C28DF">
              <w:rPr>
                <w:sz w:val="20"/>
                <w:szCs w:val="20"/>
                <w:lang w:val="en-CA" w:eastAsia="en-CA"/>
              </w:rPr>
              <w:t>FOA-XPS (Stage II)</w:t>
            </w:r>
          </w:p>
        </w:tc>
        <w:tc>
          <w:tcPr>
            <w:tcW w:w="1148" w:type="dxa"/>
            <w:tcBorders>
              <w:top w:val="nil"/>
              <w:left w:val="nil"/>
              <w:bottom w:val="single" w:sz="4" w:space="0" w:color="auto"/>
              <w:right w:val="single" w:sz="4" w:space="0" w:color="auto"/>
            </w:tcBorders>
            <w:shd w:val="clear" w:color="auto" w:fill="auto"/>
            <w:hideMark/>
          </w:tcPr>
          <w:p w14:paraId="4D51D6DD" w14:textId="77777777" w:rsidR="006C28DF" w:rsidRPr="006C28DF" w:rsidRDefault="006C28DF" w:rsidP="006C28DF">
            <w:pPr>
              <w:jc w:val="right"/>
              <w:rPr>
                <w:sz w:val="20"/>
                <w:szCs w:val="20"/>
                <w:lang w:val="en-CA" w:eastAsia="en-CA"/>
              </w:rPr>
            </w:pPr>
            <w:r w:rsidRPr="006C28DF">
              <w:rPr>
                <w:sz w:val="20"/>
                <w:szCs w:val="20"/>
                <w:lang w:val="en-CA" w:eastAsia="en-CA"/>
              </w:rPr>
              <w:t>8,520</w:t>
            </w:r>
          </w:p>
        </w:tc>
        <w:tc>
          <w:tcPr>
            <w:tcW w:w="976" w:type="dxa"/>
            <w:tcBorders>
              <w:top w:val="nil"/>
              <w:left w:val="nil"/>
              <w:bottom w:val="single" w:sz="4" w:space="0" w:color="auto"/>
              <w:right w:val="single" w:sz="4" w:space="0" w:color="auto"/>
            </w:tcBorders>
            <w:shd w:val="clear" w:color="auto" w:fill="auto"/>
            <w:hideMark/>
          </w:tcPr>
          <w:p w14:paraId="57ACCA21" w14:textId="77777777" w:rsidR="006C28DF" w:rsidRPr="006C28DF" w:rsidRDefault="006C28DF" w:rsidP="006C28DF">
            <w:pPr>
              <w:jc w:val="right"/>
              <w:rPr>
                <w:sz w:val="20"/>
                <w:szCs w:val="20"/>
                <w:lang w:val="en-CA" w:eastAsia="en-CA"/>
              </w:rPr>
            </w:pPr>
            <w:r w:rsidRPr="006C28DF">
              <w:rPr>
                <w:sz w:val="20"/>
                <w:szCs w:val="20"/>
                <w:lang w:val="en-CA" w:eastAsia="en-CA"/>
              </w:rPr>
              <w:t>139.4</w:t>
            </w:r>
          </w:p>
        </w:tc>
      </w:tr>
      <w:tr w:rsidR="006C28DF" w:rsidRPr="006C28DF" w14:paraId="7E80D56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4359CCF" w14:textId="77777777" w:rsidR="006C28DF" w:rsidRPr="006C28DF" w:rsidRDefault="006C28DF" w:rsidP="006C28DF">
            <w:pPr>
              <w:jc w:val="left"/>
              <w:rPr>
                <w:sz w:val="20"/>
                <w:szCs w:val="20"/>
                <w:lang w:val="en-CA" w:eastAsia="en-CA"/>
              </w:rPr>
            </w:pPr>
            <w:r w:rsidRPr="006C28DF">
              <w:rPr>
                <w:sz w:val="20"/>
                <w:szCs w:val="20"/>
                <w:lang w:val="en-CA" w:eastAsia="en-CA"/>
              </w:rPr>
              <w:t>China</w:t>
            </w:r>
          </w:p>
        </w:tc>
        <w:tc>
          <w:tcPr>
            <w:tcW w:w="980" w:type="dxa"/>
            <w:tcBorders>
              <w:top w:val="nil"/>
              <w:left w:val="nil"/>
              <w:bottom w:val="single" w:sz="4" w:space="0" w:color="auto"/>
              <w:right w:val="single" w:sz="4" w:space="0" w:color="auto"/>
            </w:tcBorders>
            <w:shd w:val="clear" w:color="auto" w:fill="auto"/>
            <w:hideMark/>
          </w:tcPr>
          <w:p w14:paraId="07CD705E"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6F5C7E58"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A67D8A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CEF3AB0" w14:textId="77777777" w:rsidR="006C28DF" w:rsidRPr="006C28DF" w:rsidRDefault="006C28DF" w:rsidP="006C28DF">
            <w:pPr>
              <w:jc w:val="left"/>
              <w:rPr>
                <w:sz w:val="20"/>
                <w:szCs w:val="20"/>
                <w:lang w:val="en-CA" w:eastAsia="en-CA"/>
              </w:rPr>
            </w:pPr>
            <w:r w:rsidRPr="006C28DF">
              <w:rPr>
                <w:sz w:val="20"/>
                <w:szCs w:val="20"/>
                <w:lang w:val="en-CA" w:eastAsia="en-CA"/>
              </w:rPr>
              <w:t>HPMP - Stage II</w:t>
            </w:r>
          </w:p>
        </w:tc>
        <w:tc>
          <w:tcPr>
            <w:tcW w:w="1148" w:type="dxa"/>
            <w:tcBorders>
              <w:top w:val="nil"/>
              <w:left w:val="nil"/>
              <w:bottom w:val="single" w:sz="4" w:space="0" w:color="auto"/>
              <w:right w:val="single" w:sz="4" w:space="0" w:color="auto"/>
            </w:tcBorders>
            <w:shd w:val="clear" w:color="auto" w:fill="auto"/>
            <w:hideMark/>
          </w:tcPr>
          <w:p w14:paraId="50AB385F" w14:textId="77777777" w:rsidR="006C28DF" w:rsidRPr="006C28DF" w:rsidRDefault="006C28DF" w:rsidP="006C28DF">
            <w:pPr>
              <w:jc w:val="right"/>
              <w:rPr>
                <w:sz w:val="20"/>
                <w:szCs w:val="20"/>
                <w:lang w:val="en-CA" w:eastAsia="en-CA"/>
              </w:rPr>
            </w:pPr>
            <w:r w:rsidRPr="006C28DF">
              <w:rPr>
                <w:sz w:val="20"/>
                <w:szCs w:val="20"/>
                <w:lang w:val="en-CA" w:eastAsia="en-CA"/>
              </w:rPr>
              <w:t>19,170</w:t>
            </w:r>
          </w:p>
        </w:tc>
        <w:tc>
          <w:tcPr>
            <w:tcW w:w="976" w:type="dxa"/>
            <w:tcBorders>
              <w:top w:val="nil"/>
              <w:left w:val="nil"/>
              <w:bottom w:val="single" w:sz="4" w:space="0" w:color="auto"/>
              <w:right w:val="single" w:sz="4" w:space="0" w:color="auto"/>
            </w:tcBorders>
            <w:shd w:val="clear" w:color="auto" w:fill="auto"/>
            <w:hideMark/>
          </w:tcPr>
          <w:p w14:paraId="539E6476" w14:textId="77777777" w:rsidR="006C28DF" w:rsidRPr="006C28DF" w:rsidRDefault="006C28DF" w:rsidP="006C28DF">
            <w:pPr>
              <w:jc w:val="right"/>
              <w:rPr>
                <w:sz w:val="20"/>
                <w:szCs w:val="20"/>
                <w:lang w:val="en-CA" w:eastAsia="en-CA"/>
              </w:rPr>
            </w:pPr>
            <w:r w:rsidRPr="006C28DF">
              <w:rPr>
                <w:sz w:val="20"/>
                <w:szCs w:val="20"/>
                <w:lang w:val="en-CA" w:eastAsia="en-CA"/>
              </w:rPr>
              <w:t>313.7</w:t>
            </w:r>
          </w:p>
        </w:tc>
      </w:tr>
      <w:tr w:rsidR="006C28DF" w:rsidRPr="006C28DF" w14:paraId="1D1CF806" w14:textId="77777777" w:rsidTr="002C3CFF">
        <w:trPr>
          <w:trHeight w:val="612"/>
        </w:trPr>
        <w:tc>
          <w:tcPr>
            <w:tcW w:w="2269" w:type="dxa"/>
            <w:tcBorders>
              <w:top w:val="nil"/>
              <w:left w:val="single" w:sz="4" w:space="0" w:color="auto"/>
              <w:bottom w:val="single" w:sz="4" w:space="0" w:color="auto"/>
              <w:right w:val="single" w:sz="4" w:space="0" w:color="auto"/>
            </w:tcBorders>
            <w:shd w:val="clear" w:color="auto" w:fill="auto"/>
            <w:hideMark/>
          </w:tcPr>
          <w:p w14:paraId="2F8909F9" w14:textId="77777777" w:rsidR="006C28DF" w:rsidRPr="006C28DF" w:rsidRDefault="006C28DF" w:rsidP="006C28DF">
            <w:pPr>
              <w:jc w:val="left"/>
              <w:rPr>
                <w:sz w:val="20"/>
                <w:szCs w:val="20"/>
                <w:lang w:val="en-CA" w:eastAsia="en-CA"/>
              </w:rPr>
            </w:pPr>
            <w:r w:rsidRPr="006C28DF">
              <w:rPr>
                <w:sz w:val="20"/>
                <w:szCs w:val="20"/>
                <w:lang w:val="en-CA" w:eastAsia="en-CA"/>
              </w:rPr>
              <w:t>China</w:t>
            </w:r>
          </w:p>
        </w:tc>
        <w:tc>
          <w:tcPr>
            <w:tcW w:w="980" w:type="dxa"/>
            <w:tcBorders>
              <w:top w:val="nil"/>
              <w:left w:val="nil"/>
              <w:bottom w:val="single" w:sz="4" w:space="0" w:color="auto"/>
              <w:right w:val="single" w:sz="4" w:space="0" w:color="auto"/>
            </w:tcBorders>
            <w:shd w:val="clear" w:color="auto" w:fill="auto"/>
            <w:hideMark/>
          </w:tcPr>
          <w:p w14:paraId="375058AB"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20666F57" w14:textId="77777777" w:rsidR="006C28DF" w:rsidRPr="006C28DF" w:rsidRDefault="006C28DF" w:rsidP="006C28DF">
            <w:pPr>
              <w:jc w:val="center"/>
              <w:rPr>
                <w:sz w:val="20"/>
                <w:szCs w:val="20"/>
                <w:lang w:val="en-CA" w:eastAsia="en-CA"/>
              </w:rPr>
            </w:pPr>
            <w:r w:rsidRPr="006C28DF">
              <w:rPr>
                <w:sz w:val="20"/>
                <w:szCs w:val="20"/>
                <w:lang w:val="en-CA" w:eastAsia="en-CA"/>
              </w:rPr>
              <w:t>DEM</w:t>
            </w:r>
          </w:p>
        </w:tc>
        <w:tc>
          <w:tcPr>
            <w:tcW w:w="1027" w:type="dxa"/>
            <w:tcBorders>
              <w:top w:val="nil"/>
              <w:left w:val="nil"/>
              <w:bottom w:val="single" w:sz="4" w:space="0" w:color="auto"/>
              <w:right w:val="single" w:sz="4" w:space="0" w:color="auto"/>
            </w:tcBorders>
            <w:shd w:val="clear" w:color="auto" w:fill="auto"/>
            <w:hideMark/>
          </w:tcPr>
          <w:p w14:paraId="14CA2092"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29502ADA" w14:textId="630BE5AF" w:rsidR="006C28DF" w:rsidRPr="006C28DF" w:rsidRDefault="006C28DF" w:rsidP="006C28DF">
            <w:pPr>
              <w:jc w:val="left"/>
              <w:rPr>
                <w:sz w:val="20"/>
                <w:szCs w:val="20"/>
                <w:lang w:val="en-CA" w:eastAsia="en-CA"/>
              </w:rPr>
            </w:pPr>
            <w:r w:rsidRPr="006C28DF">
              <w:rPr>
                <w:sz w:val="20"/>
                <w:szCs w:val="20"/>
                <w:lang w:val="en-CA" w:eastAsia="en-CA"/>
              </w:rPr>
              <w:t xml:space="preserve">Technology demonstration HFC-23 by-product </w:t>
            </w:r>
            <w:r w:rsidR="00BE08A4" w:rsidRPr="006C28DF">
              <w:rPr>
                <w:sz w:val="20"/>
                <w:szCs w:val="20"/>
                <w:lang w:val="en-CA" w:eastAsia="en-CA"/>
              </w:rPr>
              <w:t>conversion</w:t>
            </w:r>
            <w:r w:rsidRPr="006C28DF">
              <w:rPr>
                <w:sz w:val="20"/>
                <w:szCs w:val="20"/>
                <w:lang w:val="en-CA" w:eastAsia="en-CA"/>
              </w:rPr>
              <w:t xml:space="preserve"> technology at Shandong Dongyue Chemical Co., Ltd.</w:t>
            </w:r>
          </w:p>
        </w:tc>
        <w:tc>
          <w:tcPr>
            <w:tcW w:w="1148" w:type="dxa"/>
            <w:tcBorders>
              <w:top w:val="nil"/>
              <w:left w:val="nil"/>
              <w:bottom w:val="single" w:sz="4" w:space="0" w:color="auto"/>
              <w:right w:val="single" w:sz="4" w:space="0" w:color="auto"/>
            </w:tcBorders>
            <w:shd w:val="clear" w:color="auto" w:fill="auto"/>
            <w:hideMark/>
          </w:tcPr>
          <w:p w14:paraId="0388AE50" w14:textId="77777777" w:rsidR="006C28DF" w:rsidRPr="006C28DF" w:rsidRDefault="006C28DF" w:rsidP="006C28DF">
            <w:pPr>
              <w:jc w:val="right"/>
              <w:rPr>
                <w:sz w:val="20"/>
                <w:szCs w:val="20"/>
                <w:lang w:val="en-CA" w:eastAsia="en-CA"/>
              </w:rPr>
            </w:pPr>
            <w:r w:rsidRPr="006C28DF">
              <w:rPr>
                <w:sz w:val="20"/>
                <w:szCs w:val="20"/>
                <w:lang w:val="en-CA" w:eastAsia="en-CA"/>
              </w:rPr>
              <w:t>2,233</w:t>
            </w:r>
          </w:p>
        </w:tc>
        <w:tc>
          <w:tcPr>
            <w:tcW w:w="976" w:type="dxa"/>
            <w:tcBorders>
              <w:top w:val="nil"/>
              <w:left w:val="nil"/>
              <w:bottom w:val="single" w:sz="4" w:space="0" w:color="auto"/>
              <w:right w:val="single" w:sz="4" w:space="0" w:color="auto"/>
            </w:tcBorders>
            <w:shd w:val="clear" w:color="auto" w:fill="auto"/>
            <w:hideMark/>
          </w:tcPr>
          <w:p w14:paraId="2D93E09F"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13DBF3A"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B63C3DC" w14:textId="77777777" w:rsidR="006C28DF" w:rsidRPr="006C28DF" w:rsidRDefault="006C28DF" w:rsidP="006C28DF">
            <w:pPr>
              <w:jc w:val="left"/>
              <w:rPr>
                <w:sz w:val="20"/>
                <w:szCs w:val="20"/>
                <w:lang w:val="en-CA" w:eastAsia="en-CA"/>
              </w:rPr>
            </w:pPr>
            <w:r w:rsidRPr="006C28DF">
              <w:rPr>
                <w:sz w:val="20"/>
                <w:szCs w:val="20"/>
                <w:lang w:val="en-CA" w:eastAsia="en-CA"/>
              </w:rPr>
              <w:t>China</w:t>
            </w:r>
          </w:p>
        </w:tc>
        <w:tc>
          <w:tcPr>
            <w:tcW w:w="980" w:type="dxa"/>
            <w:tcBorders>
              <w:top w:val="nil"/>
              <w:left w:val="nil"/>
              <w:bottom w:val="single" w:sz="4" w:space="0" w:color="auto"/>
              <w:right w:val="single" w:sz="4" w:space="0" w:color="auto"/>
            </w:tcBorders>
            <w:shd w:val="clear" w:color="auto" w:fill="auto"/>
            <w:hideMark/>
          </w:tcPr>
          <w:p w14:paraId="3D5DCC47"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52729549" w14:textId="77777777" w:rsidR="006C28DF" w:rsidRPr="006C28DF" w:rsidRDefault="006C28DF" w:rsidP="006C28DF">
            <w:pPr>
              <w:jc w:val="center"/>
              <w:rPr>
                <w:sz w:val="20"/>
                <w:szCs w:val="20"/>
                <w:lang w:val="en-CA" w:eastAsia="en-CA"/>
              </w:rPr>
            </w:pPr>
            <w:r w:rsidRPr="006C28DF">
              <w:rPr>
                <w:sz w:val="20"/>
                <w:szCs w:val="20"/>
                <w:lang w:val="en-CA" w:eastAsia="en-CA"/>
              </w:rPr>
              <w:t>DEM</w:t>
            </w:r>
          </w:p>
        </w:tc>
        <w:tc>
          <w:tcPr>
            <w:tcW w:w="1027" w:type="dxa"/>
            <w:tcBorders>
              <w:top w:val="nil"/>
              <w:left w:val="nil"/>
              <w:bottom w:val="single" w:sz="4" w:space="0" w:color="auto"/>
              <w:right w:val="single" w:sz="4" w:space="0" w:color="auto"/>
            </w:tcBorders>
            <w:shd w:val="clear" w:color="auto" w:fill="auto"/>
            <w:hideMark/>
          </w:tcPr>
          <w:p w14:paraId="10D5F507"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7B25C968" w14:textId="77777777" w:rsidR="006C28DF" w:rsidRPr="006C28DF" w:rsidRDefault="006C28DF" w:rsidP="006C28DF">
            <w:pPr>
              <w:jc w:val="left"/>
              <w:rPr>
                <w:sz w:val="20"/>
                <w:szCs w:val="20"/>
                <w:lang w:val="en-CA" w:eastAsia="en-CA"/>
              </w:rPr>
            </w:pPr>
            <w:r w:rsidRPr="006C28DF">
              <w:rPr>
                <w:sz w:val="20"/>
                <w:szCs w:val="20"/>
                <w:lang w:val="en-CA" w:eastAsia="en-CA"/>
              </w:rPr>
              <w:t>Technology demonstration for HFC-23 by-product conversion</w:t>
            </w:r>
          </w:p>
        </w:tc>
        <w:tc>
          <w:tcPr>
            <w:tcW w:w="1148" w:type="dxa"/>
            <w:tcBorders>
              <w:top w:val="nil"/>
              <w:left w:val="nil"/>
              <w:bottom w:val="single" w:sz="4" w:space="0" w:color="auto"/>
              <w:right w:val="single" w:sz="4" w:space="0" w:color="auto"/>
            </w:tcBorders>
            <w:shd w:val="clear" w:color="auto" w:fill="auto"/>
            <w:hideMark/>
          </w:tcPr>
          <w:p w14:paraId="73ACA000" w14:textId="77777777" w:rsidR="006C28DF" w:rsidRPr="006C28DF" w:rsidRDefault="006C28DF" w:rsidP="006C28DF">
            <w:pPr>
              <w:jc w:val="right"/>
              <w:rPr>
                <w:sz w:val="20"/>
                <w:szCs w:val="20"/>
                <w:lang w:val="en-CA" w:eastAsia="en-CA"/>
              </w:rPr>
            </w:pPr>
            <w:r w:rsidRPr="006C28DF">
              <w:rPr>
                <w:sz w:val="20"/>
                <w:szCs w:val="20"/>
                <w:lang w:val="en-CA" w:eastAsia="en-CA"/>
              </w:rPr>
              <w:t>1,062</w:t>
            </w:r>
          </w:p>
        </w:tc>
        <w:tc>
          <w:tcPr>
            <w:tcW w:w="976" w:type="dxa"/>
            <w:tcBorders>
              <w:top w:val="nil"/>
              <w:left w:val="nil"/>
              <w:bottom w:val="single" w:sz="4" w:space="0" w:color="auto"/>
              <w:right w:val="single" w:sz="4" w:space="0" w:color="auto"/>
            </w:tcBorders>
            <w:shd w:val="clear" w:color="auto" w:fill="auto"/>
            <w:hideMark/>
          </w:tcPr>
          <w:p w14:paraId="40831EB4" w14:textId="77777777" w:rsidR="006C28DF" w:rsidRPr="006C28DF" w:rsidRDefault="006C28DF" w:rsidP="006C28DF">
            <w:pPr>
              <w:jc w:val="left"/>
              <w:rPr>
                <w:sz w:val="20"/>
                <w:szCs w:val="20"/>
                <w:lang w:val="en-CA" w:eastAsia="en-CA"/>
              </w:rPr>
            </w:pPr>
            <w:r w:rsidRPr="006C28DF">
              <w:rPr>
                <w:sz w:val="20"/>
                <w:szCs w:val="20"/>
                <w:lang w:val="en-CA" w:eastAsia="en-CA"/>
              </w:rPr>
              <w:t> </w:t>
            </w:r>
          </w:p>
        </w:tc>
      </w:tr>
      <w:tr w:rsidR="006C28DF" w:rsidRPr="006C28DF" w14:paraId="36CED70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8DDD3C3" w14:textId="77777777" w:rsidR="006C28DF" w:rsidRPr="006C28DF" w:rsidRDefault="006C28DF" w:rsidP="006C28DF">
            <w:pPr>
              <w:jc w:val="left"/>
              <w:rPr>
                <w:sz w:val="20"/>
                <w:szCs w:val="20"/>
                <w:lang w:val="en-CA" w:eastAsia="en-CA"/>
              </w:rPr>
            </w:pPr>
            <w:r w:rsidRPr="006C28DF">
              <w:rPr>
                <w:sz w:val="20"/>
                <w:szCs w:val="20"/>
                <w:lang w:val="en-CA" w:eastAsia="en-CA"/>
              </w:rPr>
              <w:t>China</w:t>
            </w:r>
          </w:p>
        </w:tc>
        <w:tc>
          <w:tcPr>
            <w:tcW w:w="980" w:type="dxa"/>
            <w:tcBorders>
              <w:top w:val="nil"/>
              <w:left w:val="nil"/>
              <w:bottom w:val="single" w:sz="4" w:space="0" w:color="auto"/>
              <w:right w:val="single" w:sz="4" w:space="0" w:color="auto"/>
            </w:tcBorders>
            <w:shd w:val="clear" w:color="auto" w:fill="auto"/>
            <w:hideMark/>
          </w:tcPr>
          <w:p w14:paraId="3111A274"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0C920D71"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5A1A5E99"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0ABF66A"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20190A64" w14:textId="77777777" w:rsidR="006C28DF" w:rsidRPr="006C28DF" w:rsidRDefault="006C28DF" w:rsidP="006C28DF">
            <w:pPr>
              <w:jc w:val="right"/>
              <w:rPr>
                <w:sz w:val="20"/>
                <w:szCs w:val="20"/>
                <w:lang w:val="en-CA" w:eastAsia="en-CA"/>
              </w:rPr>
            </w:pPr>
            <w:r w:rsidRPr="006C28DF">
              <w:rPr>
                <w:sz w:val="20"/>
                <w:szCs w:val="20"/>
                <w:lang w:val="en-CA" w:eastAsia="en-CA"/>
              </w:rPr>
              <w:t>534</w:t>
            </w:r>
          </w:p>
        </w:tc>
        <w:tc>
          <w:tcPr>
            <w:tcW w:w="976" w:type="dxa"/>
            <w:tcBorders>
              <w:top w:val="nil"/>
              <w:left w:val="nil"/>
              <w:bottom w:val="single" w:sz="4" w:space="0" w:color="auto"/>
              <w:right w:val="single" w:sz="4" w:space="0" w:color="auto"/>
            </w:tcBorders>
            <w:shd w:val="clear" w:color="auto" w:fill="auto"/>
            <w:hideMark/>
          </w:tcPr>
          <w:p w14:paraId="7BB0558C"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0110861D"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81C8C26" w14:textId="77777777" w:rsidR="006C28DF" w:rsidRPr="006C28DF" w:rsidRDefault="006C28DF" w:rsidP="006C28DF">
            <w:pPr>
              <w:jc w:val="left"/>
              <w:rPr>
                <w:sz w:val="20"/>
                <w:szCs w:val="20"/>
                <w:lang w:val="en-CA" w:eastAsia="en-CA"/>
              </w:rPr>
            </w:pPr>
            <w:r w:rsidRPr="006C28DF">
              <w:rPr>
                <w:sz w:val="20"/>
                <w:szCs w:val="20"/>
                <w:lang w:val="en-CA" w:eastAsia="en-CA"/>
              </w:rPr>
              <w:t>Comoros (the)</w:t>
            </w:r>
          </w:p>
        </w:tc>
        <w:tc>
          <w:tcPr>
            <w:tcW w:w="980" w:type="dxa"/>
            <w:tcBorders>
              <w:top w:val="nil"/>
              <w:left w:val="nil"/>
              <w:bottom w:val="single" w:sz="4" w:space="0" w:color="auto"/>
              <w:right w:val="single" w:sz="4" w:space="0" w:color="auto"/>
            </w:tcBorders>
            <w:shd w:val="clear" w:color="auto" w:fill="auto"/>
            <w:hideMark/>
          </w:tcPr>
          <w:p w14:paraId="3A396EC3"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85B0A54"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7A80A09"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495ED16"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76B53B75"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21B6E8DF"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3D4429CB"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1F5A481" w14:textId="77777777" w:rsidR="006C28DF" w:rsidRPr="006C28DF" w:rsidRDefault="006C28DF" w:rsidP="006C28DF">
            <w:pPr>
              <w:jc w:val="left"/>
              <w:rPr>
                <w:sz w:val="20"/>
                <w:szCs w:val="20"/>
                <w:lang w:val="en-CA" w:eastAsia="en-CA"/>
              </w:rPr>
            </w:pPr>
            <w:r w:rsidRPr="006C28DF">
              <w:rPr>
                <w:sz w:val="20"/>
                <w:szCs w:val="20"/>
                <w:lang w:val="en-CA" w:eastAsia="en-CA"/>
              </w:rPr>
              <w:t>Comoros (the)</w:t>
            </w:r>
          </w:p>
        </w:tc>
        <w:tc>
          <w:tcPr>
            <w:tcW w:w="980" w:type="dxa"/>
            <w:tcBorders>
              <w:top w:val="nil"/>
              <w:left w:val="nil"/>
              <w:bottom w:val="single" w:sz="4" w:space="0" w:color="auto"/>
              <w:right w:val="single" w:sz="4" w:space="0" w:color="auto"/>
            </w:tcBorders>
            <w:shd w:val="clear" w:color="auto" w:fill="auto"/>
            <w:hideMark/>
          </w:tcPr>
          <w:p w14:paraId="77B4DBE0"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0642538"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CF4D77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7FBEA3E"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465634D3"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7435567F"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33D47D3"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B041AB2" w14:textId="77777777" w:rsidR="006C28DF" w:rsidRPr="006C28DF" w:rsidRDefault="006C28DF" w:rsidP="006C28DF">
            <w:pPr>
              <w:jc w:val="left"/>
              <w:rPr>
                <w:sz w:val="20"/>
                <w:szCs w:val="20"/>
                <w:lang w:val="en-CA" w:eastAsia="en-CA"/>
              </w:rPr>
            </w:pPr>
            <w:r w:rsidRPr="006C28DF">
              <w:rPr>
                <w:sz w:val="20"/>
                <w:szCs w:val="20"/>
                <w:lang w:val="en-CA" w:eastAsia="en-CA"/>
              </w:rPr>
              <w:t>Congo (the)</w:t>
            </w:r>
          </w:p>
        </w:tc>
        <w:tc>
          <w:tcPr>
            <w:tcW w:w="980" w:type="dxa"/>
            <w:tcBorders>
              <w:top w:val="nil"/>
              <w:left w:val="nil"/>
              <w:bottom w:val="single" w:sz="4" w:space="0" w:color="auto"/>
              <w:right w:val="single" w:sz="4" w:space="0" w:color="auto"/>
            </w:tcBorders>
            <w:shd w:val="clear" w:color="auto" w:fill="auto"/>
            <w:hideMark/>
          </w:tcPr>
          <w:p w14:paraId="6781299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12509FA"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4FC954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8F7E6B6"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695AC21C" w14:textId="77777777" w:rsidR="006C28DF" w:rsidRPr="006C28DF" w:rsidRDefault="006C28DF" w:rsidP="006C28DF">
            <w:pPr>
              <w:jc w:val="right"/>
              <w:rPr>
                <w:sz w:val="20"/>
                <w:szCs w:val="20"/>
                <w:lang w:val="en-CA" w:eastAsia="en-CA"/>
              </w:rPr>
            </w:pPr>
            <w:r w:rsidRPr="006C28DF">
              <w:rPr>
                <w:sz w:val="20"/>
                <w:szCs w:val="20"/>
                <w:lang w:val="en-CA" w:eastAsia="en-CA"/>
              </w:rPr>
              <w:t>28</w:t>
            </w:r>
          </w:p>
        </w:tc>
        <w:tc>
          <w:tcPr>
            <w:tcW w:w="976" w:type="dxa"/>
            <w:tcBorders>
              <w:top w:val="nil"/>
              <w:left w:val="nil"/>
              <w:bottom w:val="single" w:sz="4" w:space="0" w:color="auto"/>
              <w:right w:val="single" w:sz="4" w:space="0" w:color="auto"/>
            </w:tcBorders>
            <w:shd w:val="clear" w:color="auto" w:fill="auto"/>
            <w:hideMark/>
          </w:tcPr>
          <w:p w14:paraId="59D59EE3" w14:textId="77777777" w:rsidR="006C28DF" w:rsidRPr="006C28DF" w:rsidRDefault="006C28DF" w:rsidP="006C28DF">
            <w:pPr>
              <w:jc w:val="right"/>
              <w:rPr>
                <w:sz w:val="20"/>
                <w:szCs w:val="20"/>
                <w:lang w:val="en-CA" w:eastAsia="en-CA"/>
              </w:rPr>
            </w:pPr>
            <w:r w:rsidRPr="006C28DF">
              <w:rPr>
                <w:sz w:val="20"/>
                <w:szCs w:val="20"/>
                <w:lang w:val="en-CA" w:eastAsia="en-CA"/>
              </w:rPr>
              <w:t>0.3</w:t>
            </w:r>
          </w:p>
        </w:tc>
      </w:tr>
      <w:tr w:rsidR="006C28DF" w:rsidRPr="006C28DF" w14:paraId="76023E11"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0F94FEF" w14:textId="77777777" w:rsidR="006C28DF" w:rsidRPr="006C28DF" w:rsidRDefault="006C28DF" w:rsidP="006C28DF">
            <w:pPr>
              <w:jc w:val="left"/>
              <w:rPr>
                <w:sz w:val="20"/>
                <w:szCs w:val="20"/>
                <w:lang w:val="en-CA" w:eastAsia="en-CA"/>
              </w:rPr>
            </w:pPr>
            <w:r w:rsidRPr="006C28DF">
              <w:rPr>
                <w:sz w:val="20"/>
                <w:szCs w:val="20"/>
                <w:lang w:val="en-CA" w:eastAsia="en-CA"/>
              </w:rPr>
              <w:t>Cook Islands (the)</w:t>
            </w:r>
          </w:p>
        </w:tc>
        <w:tc>
          <w:tcPr>
            <w:tcW w:w="980" w:type="dxa"/>
            <w:tcBorders>
              <w:top w:val="nil"/>
              <w:left w:val="nil"/>
              <w:bottom w:val="single" w:sz="4" w:space="0" w:color="auto"/>
              <w:right w:val="single" w:sz="4" w:space="0" w:color="auto"/>
            </w:tcBorders>
            <w:shd w:val="clear" w:color="auto" w:fill="auto"/>
            <w:hideMark/>
          </w:tcPr>
          <w:p w14:paraId="477C350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30C1A87"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262689D"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4541207"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7844497D"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6EC42667"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F0A7D4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F140DBB" w14:textId="77777777" w:rsidR="006C28DF" w:rsidRPr="006C28DF" w:rsidRDefault="006C28DF" w:rsidP="006C28DF">
            <w:pPr>
              <w:jc w:val="left"/>
              <w:rPr>
                <w:sz w:val="20"/>
                <w:szCs w:val="20"/>
                <w:lang w:val="en-CA" w:eastAsia="en-CA"/>
              </w:rPr>
            </w:pPr>
            <w:r w:rsidRPr="006C28DF">
              <w:rPr>
                <w:sz w:val="20"/>
                <w:szCs w:val="20"/>
                <w:lang w:val="en-CA" w:eastAsia="en-CA"/>
              </w:rPr>
              <w:t>Cook Islands (the)</w:t>
            </w:r>
          </w:p>
        </w:tc>
        <w:tc>
          <w:tcPr>
            <w:tcW w:w="980" w:type="dxa"/>
            <w:tcBorders>
              <w:top w:val="nil"/>
              <w:left w:val="nil"/>
              <w:bottom w:val="single" w:sz="4" w:space="0" w:color="auto"/>
              <w:right w:val="single" w:sz="4" w:space="0" w:color="auto"/>
            </w:tcBorders>
            <w:shd w:val="clear" w:color="auto" w:fill="auto"/>
            <w:hideMark/>
          </w:tcPr>
          <w:p w14:paraId="4F5FAD01"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47CD2B0"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63AB5CD0"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0147E37"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6D3AD7F9"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057C5D0D"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B617D7D"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07530E3" w14:textId="77777777" w:rsidR="006C28DF" w:rsidRPr="006C28DF" w:rsidRDefault="006C28DF" w:rsidP="006C28DF">
            <w:pPr>
              <w:jc w:val="left"/>
              <w:rPr>
                <w:sz w:val="20"/>
                <w:szCs w:val="20"/>
                <w:lang w:val="en-CA" w:eastAsia="en-CA"/>
              </w:rPr>
            </w:pPr>
            <w:r w:rsidRPr="006C28DF">
              <w:rPr>
                <w:sz w:val="20"/>
                <w:szCs w:val="20"/>
                <w:lang w:val="en-CA" w:eastAsia="en-CA"/>
              </w:rPr>
              <w:t>Cote d'Ivoire</w:t>
            </w:r>
          </w:p>
        </w:tc>
        <w:tc>
          <w:tcPr>
            <w:tcW w:w="980" w:type="dxa"/>
            <w:tcBorders>
              <w:top w:val="nil"/>
              <w:left w:val="nil"/>
              <w:bottom w:val="single" w:sz="4" w:space="0" w:color="auto"/>
              <w:right w:val="single" w:sz="4" w:space="0" w:color="auto"/>
            </w:tcBorders>
            <w:shd w:val="clear" w:color="auto" w:fill="auto"/>
            <w:hideMark/>
          </w:tcPr>
          <w:p w14:paraId="4AE1465C"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F5525B7"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094C5B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6717DA2"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6AED7143" w14:textId="77777777" w:rsidR="006C28DF" w:rsidRPr="006C28DF" w:rsidRDefault="006C28DF" w:rsidP="006C28DF">
            <w:pPr>
              <w:jc w:val="right"/>
              <w:rPr>
                <w:sz w:val="20"/>
                <w:szCs w:val="20"/>
                <w:lang w:val="en-CA" w:eastAsia="en-CA"/>
              </w:rPr>
            </w:pPr>
            <w:r w:rsidRPr="006C28DF">
              <w:rPr>
                <w:sz w:val="20"/>
                <w:szCs w:val="20"/>
                <w:lang w:val="en-CA" w:eastAsia="en-CA"/>
              </w:rPr>
              <w:t>314</w:t>
            </w:r>
          </w:p>
        </w:tc>
        <w:tc>
          <w:tcPr>
            <w:tcW w:w="976" w:type="dxa"/>
            <w:tcBorders>
              <w:top w:val="nil"/>
              <w:left w:val="nil"/>
              <w:bottom w:val="single" w:sz="4" w:space="0" w:color="auto"/>
              <w:right w:val="single" w:sz="4" w:space="0" w:color="auto"/>
            </w:tcBorders>
            <w:shd w:val="clear" w:color="auto" w:fill="auto"/>
            <w:hideMark/>
          </w:tcPr>
          <w:p w14:paraId="321F0722" w14:textId="77777777" w:rsidR="006C28DF" w:rsidRPr="006C28DF" w:rsidRDefault="006C28DF" w:rsidP="006C28DF">
            <w:pPr>
              <w:jc w:val="right"/>
              <w:rPr>
                <w:sz w:val="20"/>
                <w:szCs w:val="20"/>
                <w:lang w:val="en-CA" w:eastAsia="en-CA"/>
              </w:rPr>
            </w:pPr>
            <w:r w:rsidRPr="006C28DF">
              <w:rPr>
                <w:sz w:val="20"/>
                <w:szCs w:val="20"/>
                <w:lang w:val="en-CA" w:eastAsia="en-CA"/>
              </w:rPr>
              <w:t>3.4</w:t>
            </w:r>
          </w:p>
        </w:tc>
      </w:tr>
      <w:tr w:rsidR="006C28DF" w:rsidRPr="006C28DF" w14:paraId="04A1EFE5"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61811F5" w14:textId="77777777" w:rsidR="006C28DF" w:rsidRPr="006C28DF" w:rsidRDefault="006C28DF" w:rsidP="006C28DF">
            <w:pPr>
              <w:jc w:val="left"/>
              <w:rPr>
                <w:sz w:val="20"/>
                <w:szCs w:val="20"/>
                <w:lang w:val="en-CA" w:eastAsia="en-CA"/>
              </w:rPr>
            </w:pPr>
            <w:r w:rsidRPr="006C28DF">
              <w:rPr>
                <w:sz w:val="20"/>
                <w:szCs w:val="20"/>
                <w:lang w:val="en-CA" w:eastAsia="en-CA"/>
              </w:rPr>
              <w:t>Cote d'Ivoire</w:t>
            </w:r>
          </w:p>
        </w:tc>
        <w:tc>
          <w:tcPr>
            <w:tcW w:w="980" w:type="dxa"/>
            <w:tcBorders>
              <w:top w:val="nil"/>
              <w:left w:val="nil"/>
              <w:bottom w:val="single" w:sz="4" w:space="0" w:color="auto"/>
              <w:right w:val="single" w:sz="4" w:space="0" w:color="auto"/>
            </w:tcBorders>
            <w:shd w:val="clear" w:color="auto" w:fill="auto"/>
            <w:hideMark/>
          </w:tcPr>
          <w:p w14:paraId="3475AD0F"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217CF61D"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51FA6BF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F0C8367" w14:textId="77777777" w:rsidR="006C28DF" w:rsidRPr="006C28DF" w:rsidRDefault="006C28DF" w:rsidP="006C28DF">
            <w:pPr>
              <w:jc w:val="left"/>
              <w:rPr>
                <w:sz w:val="20"/>
                <w:szCs w:val="20"/>
                <w:lang w:val="en-CA" w:eastAsia="en-CA"/>
              </w:rPr>
            </w:pPr>
            <w:r w:rsidRPr="006C28DF">
              <w:rPr>
                <w:sz w:val="20"/>
                <w:szCs w:val="20"/>
                <w:lang w:val="en-CA" w:eastAsia="en-CA"/>
              </w:rPr>
              <w:t>HPMP Stage I</w:t>
            </w:r>
          </w:p>
        </w:tc>
        <w:tc>
          <w:tcPr>
            <w:tcW w:w="1148" w:type="dxa"/>
            <w:tcBorders>
              <w:top w:val="nil"/>
              <w:left w:val="nil"/>
              <w:bottom w:val="single" w:sz="4" w:space="0" w:color="auto"/>
              <w:right w:val="single" w:sz="4" w:space="0" w:color="auto"/>
            </w:tcBorders>
            <w:shd w:val="clear" w:color="auto" w:fill="auto"/>
            <w:hideMark/>
          </w:tcPr>
          <w:p w14:paraId="6E19C162" w14:textId="77777777" w:rsidR="006C28DF" w:rsidRPr="006C28DF" w:rsidRDefault="006C28DF" w:rsidP="006C28DF">
            <w:pPr>
              <w:jc w:val="right"/>
              <w:rPr>
                <w:sz w:val="20"/>
                <w:szCs w:val="20"/>
                <w:lang w:val="en-CA" w:eastAsia="en-CA"/>
              </w:rPr>
            </w:pPr>
            <w:r w:rsidRPr="006C28DF">
              <w:rPr>
                <w:sz w:val="20"/>
                <w:szCs w:val="20"/>
                <w:lang w:val="en-CA" w:eastAsia="en-CA"/>
              </w:rPr>
              <w:t>492</w:t>
            </w:r>
          </w:p>
        </w:tc>
        <w:tc>
          <w:tcPr>
            <w:tcW w:w="976" w:type="dxa"/>
            <w:tcBorders>
              <w:top w:val="nil"/>
              <w:left w:val="nil"/>
              <w:bottom w:val="single" w:sz="4" w:space="0" w:color="auto"/>
              <w:right w:val="single" w:sz="4" w:space="0" w:color="auto"/>
            </w:tcBorders>
            <w:shd w:val="clear" w:color="auto" w:fill="auto"/>
            <w:hideMark/>
          </w:tcPr>
          <w:p w14:paraId="6D1CCAEE" w14:textId="77777777" w:rsidR="006C28DF" w:rsidRPr="006C28DF" w:rsidRDefault="006C28DF" w:rsidP="006C28DF">
            <w:pPr>
              <w:jc w:val="right"/>
              <w:rPr>
                <w:sz w:val="20"/>
                <w:szCs w:val="20"/>
                <w:lang w:val="en-CA" w:eastAsia="en-CA"/>
              </w:rPr>
            </w:pPr>
            <w:r w:rsidRPr="006C28DF">
              <w:rPr>
                <w:sz w:val="20"/>
                <w:szCs w:val="20"/>
                <w:lang w:val="en-CA" w:eastAsia="en-CA"/>
              </w:rPr>
              <w:t>5.6</w:t>
            </w:r>
          </w:p>
        </w:tc>
      </w:tr>
      <w:tr w:rsidR="006C28DF" w:rsidRPr="006C28DF" w14:paraId="59624D8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37CD92A" w14:textId="77777777" w:rsidR="006C28DF" w:rsidRPr="006C28DF" w:rsidRDefault="006C28DF" w:rsidP="006C28DF">
            <w:pPr>
              <w:jc w:val="left"/>
              <w:rPr>
                <w:sz w:val="20"/>
                <w:szCs w:val="20"/>
                <w:lang w:val="en-CA" w:eastAsia="en-CA"/>
              </w:rPr>
            </w:pPr>
            <w:r w:rsidRPr="006C28DF">
              <w:rPr>
                <w:sz w:val="20"/>
                <w:szCs w:val="20"/>
                <w:lang w:val="en-CA" w:eastAsia="en-CA"/>
              </w:rPr>
              <w:t>Cote d'Ivoire</w:t>
            </w:r>
          </w:p>
        </w:tc>
        <w:tc>
          <w:tcPr>
            <w:tcW w:w="980" w:type="dxa"/>
            <w:tcBorders>
              <w:top w:val="nil"/>
              <w:left w:val="nil"/>
              <w:bottom w:val="single" w:sz="4" w:space="0" w:color="auto"/>
              <w:right w:val="single" w:sz="4" w:space="0" w:color="auto"/>
            </w:tcBorders>
            <w:shd w:val="clear" w:color="auto" w:fill="auto"/>
            <w:hideMark/>
          </w:tcPr>
          <w:p w14:paraId="77A40A3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B2866F2"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08024E13"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5B79E1A1"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6DD1B633" w14:textId="77777777" w:rsidR="006C28DF" w:rsidRPr="006C28DF" w:rsidRDefault="006C28DF" w:rsidP="006C28DF">
            <w:pPr>
              <w:jc w:val="right"/>
              <w:rPr>
                <w:sz w:val="20"/>
                <w:szCs w:val="20"/>
                <w:lang w:val="en-CA" w:eastAsia="en-CA"/>
              </w:rPr>
            </w:pPr>
            <w:r w:rsidRPr="006C28DF">
              <w:rPr>
                <w:sz w:val="20"/>
                <w:szCs w:val="20"/>
                <w:lang w:val="en-CA" w:eastAsia="en-CA"/>
              </w:rPr>
              <w:t>136</w:t>
            </w:r>
          </w:p>
        </w:tc>
        <w:tc>
          <w:tcPr>
            <w:tcW w:w="976" w:type="dxa"/>
            <w:tcBorders>
              <w:top w:val="nil"/>
              <w:left w:val="nil"/>
              <w:bottom w:val="single" w:sz="4" w:space="0" w:color="auto"/>
              <w:right w:val="single" w:sz="4" w:space="0" w:color="auto"/>
            </w:tcBorders>
            <w:shd w:val="clear" w:color="auto" w:fill="auto"/>
            <w:hideMark/>
          </w:tcPr>
          <w:p w14:paraId="2147C521"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AE6E6F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B459D12" w14:textId="77777777" w:rsidR="006C28DF" w:rsidRPr="006C28DF" w:rsidRDefault="006C28DF" w:rsidP="006C28DF">
            <w:pPr>
              <w:jc w:val="left"/>
              <w:rPr>
                <w:sz w:val="20"/>
                <w:szCs w:val="20"/>
                <w:lang w:val="en-CA" w:eastAsia="en-CA"/>
              </w:rPr>
            </w:pPr>
            <w:r w:rsidRPr="006C28DF">
              <w:rPr>
                <w:sz w:val="20"/>
                <w:szCs w:val="20"/>
                <w:lang w:val="en-CA" w:eastAsia="en-CA"/>
              </w:rPr>
              <w:t>Cuba</w:t>
            </w:r>
          </w:p>
        </w:tc>
        <w:tc>
          <w:tcPr>
            <w:tcW w:w="980" w:type="dxa"/>
            <w:tcBorders>
              <w:top w:val="nil"/>
              <w:left w:val="nil"/>
              <w:bottom w:val="single" w:sz="4" w:space="0" w:color="auto"/>
              <w:right w:val="single" w:sz="4" w:space="0" w:color="auto"/>
            </w:tcBorders>
            <w:shd w:val="clear" w:color="auto" w:fill="auto"/>
            <w:hideMark/>
          </w:tcPr>
          <w:p w14:paraId="28A791A2"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3F8AC260"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494FC48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432445C" w14:textId="77777777" w:rsidR="006C28DF" w:rsidRPr="006C28DF" w:rsidRDefault="006C28DF" w:rsidP="006C28DF">
            <w:pPr>
              <w:jc w:val="left"/>
              <w:rPr>
                <w:sz w:val="20"/>
                <w:szCs w:val="20"/>
                <w:lang w:val="en-CA" w:eastAsia="en-CA"/>
              </w:rPr>
            </w:pPr>
            <w:r w:rsidRPr="006C28DF">
              <w:rPr>
                <w:sz w:val="20"/>
                <w:szCs w:val="20"/>
                <w:lang w:val="en-CA" w:eastAsia="en-CA"/>
              </w:rPr>
              <w:t>Stage I HPMP</w:t>
            </w:r>
          </w:p>
        </w:tc>
        <w:tc>
          <w:tcPr>
            <w:tcW w:w="1148" w:type="dxa"/>
            <w:tcBorders>
              <w:top w:val="nil"/>
              <w:left w:val="nil"/>
              <w:bottom w:val="single" w:sz="4" w:space="0" w:color="auto"/>
              <w:right w:val="single" w:sz="4" w:space="0" w:color="auto"/>
            </w:tcBorders>
            <w:shd w:val="clear" w:color="auto" w:fill="auto"/>
            <w:hideMark/>
          </w:tcPr>
          <w:p w14:paraId="67753970" w14:textId="77777777" w:rsidR="006C28DF" w:rsidRPr="006C28DF" w:rsidRDefault="006C28DF" w:rsidP="006C28DF">
            <w:pPr>
              <w:jc w:val="right"/>
              <w:rPr>
                <w:sz w:val="20"/>
                <w:szCs w:val="20"/>
                <w:lang w:val="en-CA" w:eastAsia="en-CA"/>
              </w:rPr>
            </w:pPr>
            <w:r w:rsidRPr="006C28DF">
              <w:rPr>
                <w:sz w:val="20"/>
                <w:szCs w:val="20"/>
                <w:lang w:val="en-CA" w:eastAsia="en-CA"/>
              </w:rPr>
              <w:t>108</w:t>
            </w:r>
          </w:p>
        </w:tc>
        <w:tc>
          <w:tcPr>
            <w:tcW w:w="976" w:type="dxa"/>
            <w:tcBorders>
              <w:top w:val="nil"/>
              <w:left w:val="nil"/>
              <w:bottom w:val="single" w:sz="4" w:space="0" w:color="auto"/>
              <w:right w:val="single" w:sz="4" w:space="0" w:color="auto"/>
            </w:tcBorders>
            <w:shd w:val="clear" w:color="auto" w:fill="auto"/>
            <w:hideMark/>
          </w:tcPr>
          <w:p w14:paraId="17296A7C" w14:textId="77777777" w:rsidR="006C28DF" w:rsidRPr="006C28DF" w:rsidRDefault="006C28DF" w:rsidP="006C28DF">
            <w:pPr>
              <w:jc w:val="right"/>
              <w:rPr>
                <w:sz w:val="20"/>
                <w:szCs w:val="20"/>
                <w:lang w:val="en-CA" w:eastAsia="en-CA"/>
              </w:rPr>
            </w:pPr>
            <w:r w:rsidRPr="006C28DF">
              <w:rPr>
                <w:sz w:val="20"/>
                <w:szCs w:val="20"/>
                <w:lang w:val="en-CA" w:eastAsia="en-CA"/>
              </w:rPr>
              <w:t>1.1</w:t>
            </w:r>
          </w:p>
        </w:tc>
      </w:tr>
      <w:tr w:rsidR="006C28DF" w:rsidRPr="006C28DF" w14:paraId="2738FAAC"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7389734" w14:textId="77777777" w:rsidR="006C28DF" w:rsidRPr="006C28DF" w:rsidRDefault="006C28DF" w:rsidP="006C28DF">
            <w:pPr>
              <w:jc w:val="left"/>
              <w:rPr>
                <w:sz w:val="20"/>
                <w:szCs w:val="20"/>
                <w:lang w:val="en-CA" w:eastAsia="en-CA"/>
              </w:rPr>
            </w:pPr>
            <w:r w:rsidRPr="006C28DF">
              <w:rPr>
                <w:sz w:val="20"/>
                <w:szCs w:val="20"/>
                <w:lang w:val="en-CA" w:eastAsia="en-CA"/>
              </w:rPr>
              <w:t>Cuba</w:t>
            </w:r>
          </w:p>
        </w:tc>
        <w:tc>
          <w:tcPr>
            <w:tcW w:w="980" w:type="dxa"/>
            <w:tcBorders>
              <w:top w:val="nil"/>
              <w:left w:val="nil"/>
              <w:bottom w:val="single" w:sz="4" w:space="0" w:color="auto"/>
              <w:right w:val="single" w:sz="4" w:space="0" w:color="auto"/>
            </w:tcBorders>
            <w:shd w:val="clear" w:color="auto" w:fill="auto"/>
            <w:hideMark/>
          </w:tcPr>
          <w:p w14:paraId="510DAC89"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14A0ED59"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CBE202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4E59566" w14:textId="77777777" w:rsidR="006C28DF" w:rsidRPr="006C28DF" w:rsidRDefault="006C28DF" w:rsidP="006C28DF">
            <w:pPr>
              <w:jc w:val="left"/>
              <w:rPr>
                <w:sz w:val="20"/>
                <w:szCs w:val="20"/>
                <w:lang w:val="en-CA" w:eastAsia="en-CA"/>
              </w:rPr>
            </w:pPr>
            <w:r w:rsidRPr="006C28DF">
              <w:rPr>
                <w:sz w:val="20"/>
                <w:szCs w:val="20"/>
                <w:lang w:val="en-CA" w:eastAsia="en-CA"/>
              </w:rPr>
              <w:t>Stage II HPMP Preparation</w:t>
            </w:r>
          </w:p>
        </w:tc>
        <w:tc>
          <w:tcPr>
            <w:tcW w:w="1148" w:type="dxa"/>
            <w:tcBorders>
              <w:top w:val="nil"/>
              <w:left w:val="nil"/>
              <w:bottom w:val="single" w:sz="4" w:space="0" w:color="auto"/>
              <w:right w:val="single" w:sz="4" w:space="0" w:color="auto"/>
            </w:tcBorders>
            <w:shd w:val="clear" w:color="auto" w:fill="auto"/>
            <w:hideMark/>
          </w:tcPr>
          <w:p w14:paraId="16A13A4E" w14:textId="77777777" w:rsidR="006C28DF" w:rsidRPr="006C28DF" w:rsidRDefault="006C28DF" w:rsidP="006C28DF">
            <w:pPr>
              <w:jc w:val="right"/>
              <w:rPr>
                <w:sz w:val="20"/>
                <w:szCs w:val="20"/>
                <w:lang w:val="en-CA" w:eastAsia="en-CA"/>
              </w:rPr>
            </w:pPr>
            <w:r w:rsidRPr="006C28DF">
              <w:rPr>
                <w:sz w:val="20"/>
                <w:szCs w:val="20"/>
                <w:lang w:val="en-CA" w:eastAsia="en-CA"/>
              </w:rPr>
              <w:t>60</w:t>
            </w:r>
          </w:p>
        </w:tc>
        <w:tc>
          <w:tcPr>
            <w:tcW w:w="976" w:type="dxa"/>
            <w:tcBorders>
              <w:top w:val="nil"/>
              <w:left w:val="nil"/>
              <w:bottom w:val="single" w:sz="4" w:space="0" w:color="auto"/>
              <w:right w:val="single" w:sz="4" w:space="0" w:color="auto"/>
            </w:tcBorders>
            <w:shd w:val="clear" w:color="auto" w:fill="auto"/>
            <w:hideMark/>
          </w:tcPr>
          <w:p w14:paraId="42468A6B"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218601F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FF55D1E" w14:textId="77777777" w:rsidR="006C28DF" w:rsidRPr="006C28DF" w:rsidRDefault="006C28DF" w:rsidP="006C28DF">
            <w:pPr>
              <w:jc w:val="left"/>
              <w:rPr>
                <w:sz w:val="20"/>
                <w:szCs w:val="20"/>
                <w:lang w:val="en-CA" w:eastAsia="en-CA"/>
              </w:rPr>
            </w:pPr>
            <w:r w:rsidRPr="006C28DF">
              <w:rPr>
                <w:sz w:val="20"/>
                <w:szCs w:val="20"/>
                <w:lang w:val="en-CA" w:eastAsia="en-CA"/>
              </w:rPr>
              <w:t>Cuba</w:t>
            </w:r>
          </w:p>
        </w:tc>
        <w:tc>
          <w:tcPr>
            <w:tcW w:w="980" w:type="dxa"/>
            <w:tcBorders>
              <w:top w:val="nil"/>
              <w:left w:val="nil"/>
              <w:bottom w:val="single" w:sz="4" w:space="0" w:color="auto"/>
              <w:right w:val="single" w:sz="4" w:space="0" w:color="auto"/>
            </w:tcBorders>
            <w:shd w:val="clear" w:color="auto" w:fill="auto"/>
            <w:hideMark/>
          </w:tcPr>
          <w:p w14:paraId="1302306D"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560887FC"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2055A5D7"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10C7F409"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61E9C952" w14:textId="77777777" w:rsidR="006C28DF" w:rsidRPr="006C28DF" w:rsidRDefault="006C28DF" w:rsidP="006C28DF">
            <w:pPr>
              <w:jc w:val="right"/>
              <w:rPr>
                <w:sz w:val="20"/>
                <w:szCs w:val="20"/>
                <w:lang w:val="en-CA" w:eastAsia="en-CA"/>
              </w:rPr>
            </w:pPr>
            <w:r w:rsidRPr="006C28DF">
              <w:rPr>
                <w:sz w:val="20"/>
                <w:szCs w:val="20"/>
                <w:lang w:val="en-CA" w:eastAsia="en-CA"/>
              </w:rPr>
              <w:t>204</w:t>
            </w:r>
          </w:p>
        </w:tc>
        <w:tc>
          <w:tcPr>
            <w:tcW w:w="976" w:type="dxa"/>
            <w:tcBorders>
              <w:top w:val="nil"/>
              <w:left w:val="nil"/>
              <w:bottom w:val="single" w:sz="4" w:space="0" w:color="auto"/>
              <w:right w:val="single" w:sz="4" w:space="0" w:color="auto"/>
            </w:tcBorders>
            <w:shd w:val="clear" w:color="auto" w:fill="auto"/>
            <w:hideMark/>
          </w:tcPr>
          <w:p w14:paraId="60DD36A3"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19B5CEEE"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D06A9D7" w14:textId="77777777" w:rsidR="006C28DF" w:rsidRPr="006C28DF" w:rsidRDefault="006C28DF" w:rsidP="006C28DF">
            <w:pPr>
              <w:jc w:val="left"/>
              <w:rPr>
                <w:sz w:val="20"/>
                <w:szCs w:val="20"/>
                <w:lang w:val="en-CA" w:eastAsia="en-CA"/>
              </w:rPr>
            </w:pPr>
            <w:r w:rsidRPr="006C28DF">
              <w:rPr>
                <w:sz w:val="20"/>
                <w:szCs w:val="20"/>
                <w:lang w:val="en-CA" w:eastAsia="en-CA"/>
              </w:rPr>
              <w:t>Democratic Republic of the Congo (the)</w:t>
            </w:r>
          </w:p>
        </w:tc>
        <w:tc>
          <w:tcPr>
            <w:tcW w:w="980" w:type="dxa"/>
            <w:tcBorders>
              <w:top w:val="nil"/>
              <w:left w:val="nil"/>
              <w:bottom w:val="single" w:sz="4" w:space="0" w:color="auto"/>
              <w:right w:val="single" w:sz="4" w:space="0" w:color="auto"/>
            </w:tcBorders>
            <w:shd w:val="clear" w:color="auto" w:fill="auto"/>
            <w:hideMark/>
          </w:tcPr>
          <w:p w14:paraId="73AE64A9"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04589325"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5511ADB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241EC98" w14:textId="77777777" w:rsidR="006C28DF" w:rsidRPr="006C28DF" w:rsidRDefault="006C28DF" w:rsidP="006C28DF">
            <w:pPr>
              <w:jc w:val="left"/>
              <w:rPr>
                <w:sz w:val="20"/>
                <w:szCs w:val="20"/>
                <w:lang w:val="en-CA" w:eastAsia="en-CA"/>
              </w:rPr>
            </w:pPr>
            <w:r w:rsidRPr="006C28DF">
              <w:rPr>
                <w:sz w:val="20"/>
                <w:szCs w:val="20"/>
                <w:lang w:val="en-CA" w:eastAsia="en-CA"/>
              </w:rPr>
              <w:t>Stage II HPMP (servicing)</w:t>
            </w:r>
          </w:p>
        </w:tc>
        <w:tc>
          <w:tcPr>
            <w:tcW w:w="1148" w:type="dxa"/>
            <w:tcBorders>
              <w:top w:val="nil"/>
              <w:left w:val="nil"/>
              <w:bottom w:val="single" w:sz="4" w:space="0" w:color="auto"/>
              <w:right w:val="single" w:sz="4" w:space="0" w:color="auto"/>
            </w:tcBorders>
            <w:shd w:val="clear" w:color="auto" w:fill="auto"/>
            <w:hideMark/>
          </w:tcPr>
          <w:p w14:paraId="561E5603" w14:textId="77777777" w:rsidR="006C28DF" w:rsidRPr="006C28DF" w:rsidRDefault="006C28DF" w:rsidP="006C28DF">
            <w:pPr>
              <w:jc w:val="right"/>
              <w:rPr>
                <w:sz w:val="20"/>
                <w:szCs w:val="20"/>
                <w:lang w:val="en-CA" w:eastAsia="en-CA"/>
              </w:rPr>
            </w:pPr>
            <w:r w:rsidRPr="006C28DF">
              <w:rPr>
                <w:sz w:val="20"/>
                <w:szCs w:val="20"/>
                <w:lang w:val="en-CA" w:eastAsia="en-CA"/>
              </w:rPr>
              <w:t>48</w:t>
            </w:r>
          </w:p>
        </w:tc>
        <w:tc>
          <w:tcPr>
            <w:tcW w:w="976" w:type="dxa"/>
            <w:tcBorders>
              <w:top w:val="nil"/>
              <w:left w:val="nil"/>
              <w:bottom w:val="single" w:sz="4" w:space="0" w:color="auto"/>
              <w:right w:val="single" w:sz="4" w:space="0" w:color="auto"/>
            </w:tcBorders>
            <w:shd w:val="clear" w:color="auto" w:fill="auto"/>
            <w:hideMark/>
          </w:tcPr>
          <w:p w14:paraId="64D6A647" w14:textId="77777777" w:rsidR="006C28DF" w:rsidRPr="006C28DF" w:rsidRDefault="006C28DF" w:rsidP="006C28DF">
            <w:pPr>
              <w:jc w:val="right"/>
              <w:rPr>
                <w:sz w:val="20"/>
                <w:szCs w:val="20"/>
                <w:lang w:val="en-CA" w:eastAsia="en-CA"/>
              </w:rPr>
            </w:pPr>
            <w:r w:rsidRPr="006C28DF">
              <w:rPr>
                <w:sz w:val="20"/>
                <w:szCs w:val="20"/>
                <w:lang w:val="en-CA" w:eastAsia="en-CA"/>
              </w:rPr>
              <w:t>3.9</w:t>
            </w:r>
          </w:p>
        </w:tc>
      </w:tr>
      <w:tr w:rsidR="006C28DF" w:rsidRPr="006C28DF" w14:paraId="5EE04764"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ED051D5" w14:textId="77777777" w:rsidR="006C28DF" w:rsidRPr="006C28DF" w:rsidRDefault="006C28DF" w:rsidP="006C28DF">
            <w:pPr>
              <w:jc w:val="left"/>
              <w:rPr>
                <w:sz w:val="20"/>
                <w:szCs w:val="20"/>
                <w:lang w:val="en-CA" w:eastAsia="en-CA"/>
              </w:rPr>
            </w:pPr>
            <w:r w:rsidRPr="006C28DF">
              <w:rPr>
                <w:sz w:val="20"/>
                <w:szCs w:val="20"/>
                <w:lang w:val="en-CA" w:eastAsia="en-CA"/>
              </w:rPr>
              <w:t>Democratic Republic of the Congo (the)</w:t>
            </w:r>
          </w:p>
        </w:tc>
        <w:tc>
          <w:tcPr>
            <w:tcW w:w="980" w:type="dxa"/>
            <w:tcBorders>
              <w:top w:val="nil"/>
              <w:left w:val="nil"/>
              <w:bottom w:val="single" w:sz="4" w:space="0" w:color="auto"/>
              <w:right w:val="single" w:sz="4" w:space="0" w:color="auto"/>
            </w:tcBorders>
            <w:shd w:val="clear" w:color="auto" w:fill="auto"/>
            <w:hideMark/>
          </w:tcPr>
          <w:p w14:paraId="48E03C42"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D748EC2"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5B95A01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62A5BC2"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(implementation) </w:t>
            </w:r>
          </w:p>
        </w:tc>
        <w:tc>
          <w:tcPr>
            <w:tcW w:w="1148" w:type="dxa"/>
            <w:tcBorders>
              <w:top w:val="nil"/>
              <w:left w:val="nil"/>
              <w:bottom w:val="single" w:sz="4" w:space="0" w:color="auto"/>
              <w:right w:val="single" w:sz="4" w:space="0" w:color="auto"/>
            </w:tcBorders>
            <w:shd w:val="clear" w:color="auto" w:fill="auto"/>
            <w:hideMark/>
          </w:tcPr>
          <w:p w14:paraId="720EE210" w14:textId="77777777" w:rsidR="006C28DF" w:rsidRPr="006C28DF" w:rsidRDefault="006C28DF" w:rsidP="006C28DF">
            <w:pPr>
              <w:jc w:val="right"/>
              <w:rPr>
                <w:sz w:val="20"/>
                <w:szCs w:val="20"/>
                <w:lang w:val="en-CA" w:eastAsia="en-CA"/>
              </w:rPr>
            </w:pPr>
            <w:r w:rsidRPr="006C28DF">
              <w:rPr>
                <w:sz w:val="20"/>
                <w:szCs w:val="20"/>
                <w:lang w:val="en-CA" w:eastAsia="en-CA"/>
              </w:rPr>
              <w:t>80</w:t>
            </w:r>
          </w:p>
        </w:tc>
        <w:tc>
          <w:tcPr>
            <w:tcW w:w="976" w:type="dxa"/>
            <w:tcBorders>
              <w:top w:val="nil"/>
              <w:left w:val="nil"/>
              <w:bottom w:val="single" w:sz="4" w:space="0" w:color="auto"/>
              <w:right w:val="single" w:sz="4" w:space="0" w:color="auto"/>
            </w:tcBorders>
            <w:shd w:val="clear" w:color="auto" w:fill="auto"/>
            <w:hideMark/>
          </w:tcPr>
          <w:p w14:paraId="40036FAE" w14:textId="77777777" w:rsidR="006C28DF" w:rsidRPr="006C28DF" w:rsidRDefault="006C28DF" w:rsidP="006C28DF">
            <w:pPr>
              <w:jc w:val="right"/>
              <w:rPr>
                <w:sz w:val="20"/>
                <w:szCs w:val="20"/>
                <w:lang w:val="en-CA" w:eastAsia="en-CA"/>
              </w:rPr>
            </w:pPr>
            <w:r w:rsidRPr="006C28DF">
              <w:rPr>
                <w:sz w:val="20"/>
                <w:szCs w:val="20"/>
                <w:lang w:val="en-CA" w:eastAsia="en-CA"/>
              </w:rPr>
              <w:t>2.4</w:t>
            </w:r>
          </w:p>
        </w:tc>
      </w:tr>
      <w:tr w:rsidR="006C28DF" w:rsidRPr="006C28DF" w14:paraId="7A35DCA8"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5D1FB7B8" w14:textId="38748B49" w:rsidR="006C28DF" w:rsidRPr="006C28DF" w:rsidRDefault="006C28DF" w:rsidP="006C28DF">
            <w:pPr>
              <w:jc w:val="left"/>
              <w:rPr>
                <w:sz w:val="20"/>
                <w:szCs w:val="20"/>
                <w:lang w:val="en-CA" w:eastAsia="en-CA"/>
              </w:rPr>
            </w:pPr>
            <w:r w:rsidRPr="006C28DF">
              <w:rPr>
                <w:sz w:val="20"/>
                <w:szCs w:val="20"/>
                <w:lang w:val="en-CA" w:eastAsia="en-CA"/>
              </w:rPr>
              <w:t>Democratic Republic of the Congo (the)</w:t>
            </w:r>
            <w:r>
              <w:rPr>
                <w:sz w:val="20"/>
                <w:szCs w:val="20"/>
                <w:lang w:val="en-CA" w:eastAsia="en-CA"/>
              </w:rPr>
              <w:t>*</w:t>
            </w:r>
          </w:p>
        </w:tc>
        <w:tc>
          <w:tcPr>
            <w:tcW w:w="980" w:type="dxa"/>
            <w:tcBorders>
              <w:top w:val="nil"/>
              <w:left w:val="nil"/>
              <w:bottom w:val="single" w:sz="4" w:space="0" w:color="auto"/>
              <w:right w:val="single" w:sz="4" w:space="0" w:color="auto"/>
            </w:tcBorders>
            <w:shd w:val="clear" w:color="auto" w:fill="auto"/>
            <w:hideMark/>
          </w:tcPr>
          <w:p w14:paraId="24D7F95E"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0C8657BB"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18E0467A"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6EFC69DE" w14:textId="77777777" w:rsidR="006C28DF" w:rsidRPr="006C28DF" w:rsidRDefault="006C28DF" w:rsidP="006C28DF">
            <w:pPr>
              <w:jc w:val="left"/>
              <w:rPr>
                <w:sz w:val="20"/>
                <w:szCs w:val="20"/>
                <w:lang w:val="en-CA" w:eastAsia="en-CA"/>
              </w:rPr>
            </w:pPr>
            <w:r w:rsidRPr="006C28DF">
              <w:rPr>
                <w:sz w:val="20"/>
                <w:szCs w:val="20"/>
                <w:lang w:val="en-CA" w:eastAsia="en-CA"/>
              </w:rPr>
              <w:t xml:space="preserve">Enabling activities </w:t>
            </w:r>
          </w:p>
        </w:tc>
        <w:tc>
          <w:tcPr>
            <w:tcW w:w="1148" w:type="dxa"/>
            <w:tcBorders>
              <w:top w:val="nil"/>
              <w:left w:val="nil"/>
              <w:bottom w:val="single" w:sz="4" w:space="0" w:color="auto"/>
              <w:right w:val="single" w:sz="4" w:space="0" w:color="auto"/>
            </w:tcBorders>
            <w:shd w:val="clear" w:color="auto" w:fill="auto"/>
            <w:hideMark/>
          </w:tcPr>
          <w:p w14:paraId="647668A6" w14:textId="77777777" w:rsidR="006C28DF" w:rsidRPr="006C28DF" w:rsidRDefault="006C28DF" w:rsidP="006C28DF">
            <w:pPr>
              <w:jc w:val="right"/>
              <w:rPr>
                <w:sz w:val="20"/>
                <w:szCs w:val="20"/>
                <w:lang w:val="en-CA" w:eastAsia="en-CA"/>
              </w:rPr>
            </w:pPr>
            <w:r w:rsidRPr="006C28DF">
              <w:rPr>
                <w:sz w:val="20"/>
                <w:szCs w:val="20"/>
                <w:lang w:val="en-CA" w:eastAsia="en-CA"/>
              </w:rPr>
              <w:t>161</w:t>
            </w:r>
          </w:p>
        </w:tc>
        <w:tc>
          <w:tcPr>
            <w:tcW w:w="976" w:type="dxa"/>
            <w:tcBorders>
              <w:top w:val="nil"/>
              <w:left w:val="nil"/>
              <w:bottom w:val="single" w:sz="4" w:space="0" w:color="auto"/>
              <w:right w:val="single" w:sz="4" w:space="0" w:color="auto"/>
            </w:tcBorders>
            <w:shd w:val="clear" w:color="auto" w:fill="auto"/>
            <w:hideMark/>
          </w:tcPr>
          <w:p w14:paraId="2D99A403"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1E0BA36"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F5F0380" w14:textId="77777777" w:rsidR="006C28DF" w:rsidRPr="006C28DF" w:rsidRDefault="006C28DF" w:rsidP="006C28DF">
            <w:pPr>
              <w:jc w:val="left"/>
              <w:rPr>
                <w:sz w:val="20"/>
                <w:szCs w:val="20"/>
                <w:lang w:val="en-CA" w:eastAsia="en-CA"/>
              </w:rPr>
            </w:pPr>
            <w:r w:rsidRPr="006C28DF">
              <w:rPr>
                <w:sz w:val="20"/>
                <w:szCs w:val="20"/>
                <w:lang w:val="en-CA" w:eastAsia="en-CA"/>
              </w:rPr>
              <w:t>Democratic Republic of the Congo (the)</w:t>
            </w:r>
          </w:p>
        </w:tc>
        <w:tc>
          <w:tcPr>
            <w:tcW w:w="980" w:type="dxa"/>
            <w:tcBorders>
              <w:top w:val="nil"/>
              <w:left w:val="nil"/>
              <w:bottom w:val="single" w:sz="4" w:space="0" w:color="auto"/>
              <w:right w:val="single" w:sz="4" w:space="0" w:color="auto"/>
            </w:tcBorders>
            <w:shd w:val="clear" w:color="auto" w:fill="auto"/>
            <w:hideMark/>
          </w:tcPr>
          <w:p w14:paraId="7B164A0B"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12394A4"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6D0A08CE"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3500ADA3"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76122825"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319AFCCB"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33312D6"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45546184" w14:textId="77777777" w:rsidR="006C28DF" w:rsidRPr="006C28DF" w:rsidRDefault="006C28DF" w:rsidP="006C28DF">
            <w:pPr>
              <w:jc w:val="left"/>
              <w:rPr>
                <w:sz w:val="20"/>
                <w:szCs w:val="20"/>
                <w:lang w:val="en-CA" w:eastAsia="en-CA"/>
              </w:rPr>
            </w:pPr>
            <w:r w:rsidRPr="006C28DF">
              <w:rPr>
                <w:sz w:val="20"/>
                <w:szCs w:val="20"/>
                <w:lang w:val="en-CA" w:eastAsia="en-CA"/>
              </w:rPr>
              <w:t>Djibouti</w:t>
            </w:r>
          </w:p>
        </w:tc>
        <w:tc>
          <w:tcPr>
            <w:tcW w:w="980" w:type="dxa"/>
            <w:tcBorders>
              <w:top w:val="nil"/>
              <w:left w:val="nil"/>
              <w:bottom w:val="single" w:sz="4" w:space="0" w:color="auto"/>
              <w:right w:val="single" w:sz="4" w:space="0" w:color="auto"/>
            </w:tcBorders>
            <w:shd w:val="clear" w:color="auto" w:fill="auto"/>
            <w:hideMark/>
          </w:tcPr>
          <w:p w14:paraId="512DCBC2"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4EEC444"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36EC490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1BA9A11"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0EB52FB5" w14:textId="77777777" w:rsidR="006C28DF" w:rsidRPr="006C28DF" w:rsidRDefault="006C28DF" w:rsidP="006C28DF">
            <w:pPr>
              <w:jc w:val="right"/>
              <w:rPr>
                <w:sz w:val="20"/>
                <w:szCs w:val="20"/>
                <w:lang w:val="en-CA" w:eastAsia="en-CA"/>
              </w:rPr>
            </w:pPr>
            <w:r w:rsidRPr="006C28DF">
              <w:rPr>
                <w:sz w:val="20"/>
                <w:szCs w:val="20"/>
                <w:lang w:val="en-CA" w:eastAsia="en-CA"/>
              </w:rPr>
              <w:t>50</w:t>
            </w:r>
          </w:p>
        </w:tc>
        <w:tc>
          <w:tcPr>
            <w:tcW w:w="976" w:type="dxa"/>
            <w:tcBorders>
              <w:top w:val="nil"/>
              <w:left w:val="nil"/>
              <w:bottom w:val="single" w:sz="4" w:space="0" w:color="auto"/>
              <w:right w:val="single" w:sz="4" w:space="0" w:color="auto"/>
            </w:tcBorders>
            <w:shd w:val="clear" w:color="auto" w:fill="auto"/>
            <w:hideMark/>
          </w:tcPr>
          <w:p w14:paraId="57F3E8B3" w14:textId="77777777" w:rsidR="006C28DF" w:rsidRPr="006C28DF" w:rsidRDefault="006C28DF" w:rsidP="006C28DF">
            <w:pPr>
              <w:jc w:val="right"/>
              <w:rPr>
                <w:sz w:val="20"/>
                <w:szCs w:val="20"/>
                <w:lang w:val="en-CA" w:eastAsia="en-CA"/>
              </w:rPr>
            </w:pPr>
            <w:r w:rsidRPr="006C28DF">
              <w:rPr>
                <w:sz w:val="20"/>
                <w:szCs w:val="20"/>
                <w:lang w:val="en-CA" w:eastAsia="en-CA"/>
              </w:rPr>
              <w:t>0.1</w:t>
            </w:r>
          </w:p>
        </w:tc>
      </w:tr>
      <w:tr w:rsidR="006C28DF" w:rsidRPr="006C28DF" w14:paraId="440A030B"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9668698" w14:textId="77777777" w:rsidR="006C28DF" w:rsidRPr="006C28DF" w:rsidRDefault="006C28DF" w:rsidP="006C28DF">
            <w:pPr>
              <w:jc w:val="left"/>
              <w:rPr>
                <w:sz w:val="20"/>
                <w:szCs w:val="20"/>
                <w:lang w:val="en-CA" w:eastAsia="en-CA"/>
              </w:rPr>
            </w:pPr>
            <w:r w:rsidRPr="006C28DF">
              <w:rPr>
                <w:sz w:val="20"/>
                <w:szCs w:val="20"/>
                <w:lang w:val="en-CA" w:eastAsia="en-CA"/>
              </w:rPr>
              <w:lastRenderedPageBreak/>
              <w:t>Djibouti</w:t>
            </w:r>
          </w:p>
        </w:tc>
        <w:tc>
          <w:tcPr>
            <w:tcW w:w="980" w:type="dxa"/>
            <w:tcBorders>
              <w:top w:val="nil"/>
              <w:left w:val="nil"/>
              <w:bottom w:val="single" w:sz="4" w:space="0" w:color="auto"/>
              <w:right w:val="single" w:sz="4" w:space="0" w:color="auto"/>
            </w:tcBorders>
            <w:shd w:val="clear" w:color="auto" w:fill="auto"/>
            <w:hideMark/>
          </w:tcPr>
          <w:p w14:paraId="0D462972"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7B0C50B"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33840D8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C08391A"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12838FB6"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5C2CF6EE"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58C5481"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4F239D21" w14:textId="77777777" w:rsidR="006C28DF" w:rsidRPr="006C28DF" w:rsidRDefault="006C28DF" w:rsidP="006C28DF">
            <w:pPr>
              <w:jc w:val="left"/>
              <w:rPr>
                <w:sz w:val="20"/>
                <w:szCs w:val="20"/>
                <w:lang w:val="en-CA" w:eastAsia="en-CA"/>
              </w:rPr>
            </w:pPr>
            <w:r w:rsidRPr="006C28DF">
              <w:rPr>
                <w:sz w:val="20"/>
                <w:szCs w:val="20"/>
                <w:lang w:val="en-CA" w:eastAsia="en-CA"/>
              </w:rPr>
              <w:t>Dominica</w:t>
            </w:r>
          </w:p>
        </w:tc>
        <w:tc>
          <w:tcPr>
            <w:tcW w:w="980" w:type="dxa"/>
            <w:tcBorders>
              <w:top w:val="nil"/>
              <w:left w:val="nil"/>
              <w:bottom w:val="single" w:sz="4" w:space="0" w:color="auto"/>
              <w:right w:val="single" w:sz="4" w:space="0" w:color="auto"/>
            </w:tcBorders>
            <w:shd w:val="clear" w:color="auto" w:fill="auto"/>
            <w:hideMark/>
          </w:tcPr>
          <w:p w14:paraId="244FD68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5E6B7B7"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1F22AED1"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0993868"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6115B543" w14:textId="77777777" w:rsidR="006C28DF" w:rsidRPr="006C28DF" w:rsidRDefault="006C28DF" w:rsidP="006C28DF">
            <w:pPr>
              <w:jc w:val="right"/>
              <w:rPr>
                <w:sz w:val="20"/>
                <w:szCs w:val="20"/>
                <w:lang w:val="en-CA" w:eastAsia="en-CA"/>
              </w:rPr>
            </w:pPr>
            <w:r w:rsidRPr="006C28DF">
              <w:rPr>
                <w:sz w:val="20"/>
                <w:szCs w:val="20"/>
                <w:lang w:val="en-CA" w:eastAsia="en-CA"/>
              </w:rPr>
              <w:t>74</w:t>
            </w:r>
          </w:p>
        </w:tc>
        <w:tc>
          <w:tcPr>
            <w:tcW w:w="976" w:type="dxa"/>
            <w:tcBorders>
              <w:top w:val="nil"/>
              <w:left w:val="nil"/>
              <w:bottom w:val="single" w:sz="4" w:space="0" w:color="auto"/>
              <w:right w:val="single" w:sz="4" w:space="0" w:color="auto"/>
            </w:tcBorders>
            <w:shd w:val="clear" w:color="auto" w:fill="auto"/>
            <w:hideMark/>
          </w:tcPr>
          <w:p w14:paraId="18D7B01F"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41C50BC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3929808" w14:textId="77777777" w:rsidR="006C28DF" w:rsidRPr="006C28DF" w:rsidRDefault="006C28DF" w:rsidP="002C3CFF">
            <w:pPr>
              <w:ind w:right="-105"/>
              <w:jc w:val="left"/>
              <w:rPr>
                <w:sz w:val="20"/>
                <w:szCs w:val="20"/>
                <w:lang w:val="en-CA" w:eastAsia="en-CA"/>
              </w:rPr>
            </w:pPr>
            <w:r w:rsidRPr="006C28DF">
              <w:rPr>
                <w:sz w:val="20"/>
                <w:szCs w:val="20"/>
                <w:lang w:val="en-CA" w:eastAsia="en-CA"/>
              </w:rPr>
              <w:t>Dominican Republic (the)</w:t>
            </w:r>
          </w:p>
        </w:tc>
        <w:tc>
          <w:tcPr>
            <w:tcW w:w="980" w:type="dxa"/>
            <w:tcBorders>
              <w:top w:val="nil"/>
              <w:left w:val="nil"/>
              <w:bottom w:val="single" w:sz="4" w:space="0" w:color="auto"/>
              <w:right w:val="single" w:sz="4" w:space="0" w:color="auto"/>
            </w:tcBorders>
            <w:shd w:val="clear" w:color="auto" w:fill="auto"/>
            <w:hideMark/>
          </w:tcPr>
          <w:p w14:paraId="79DF2319"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00527F21"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77E3D101"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9D60028" w14:textId="77777777" w:rsidR="006C28DF" w:rsidRPr="006C28DF" w:rsidRDefault="006C28DF" w:rsidP="006C28DF">
            <w:pPr>
              <w:jc w:val="left"/>
              <w:rPr>
                <w:sz w:val="20"/>
                <w:szCs w:val="20"/>
                <w:lang w:val="en-CA" w:eastAsia="en-CA"/>
              </w:rPr>
            </w:pPr>
            <w:r w:rsidRPr="006C28DF">
              <w:rPr>
                <w:sz w:val="20"/>
                <w:szCs w:val="20"/>
                <w:lang w:val="en-CA" w:eastAsia="en-CA"/>
              </w:rPr>
              <w:t>Stage II HPMP (servicing)</w:t>
            </w:r>
          </w:p>
        </w:tc>
        <w:tc>
          <w:tcPr>
            <w:tcW w:w="1148" w:type="dxa"/>
            <w:tcBorders>
              <w:top w:val="nil"/>
              <w:left w:val="nil"/>
              <w:bottom w:val="single" w:sz="4" w:space="0" w:color="auto"/>
              <w:right w:val="single" w:sz="4" w:space="0" w:color="auto"/>
            </w:tcBorders>
            <w:shd w:val="clear" w:color="auto" w:fill="auto"/>
            <w:hideMark/>
          </w:tcPr>
          <w:p w14:paraId="21D1033B" w14:textId="77777777" w:rsidR="006C28DF" w:rsidRPr="006C28DF" w:rsidRDefault="006C28DF" w:rsidP="006C28DF">
            <w:pPr>
              <w:jc w:val="right"/>
              <w:rPr>
                <w:sz w:val="20"/>
                <w:szCs w:val="20"/>
                <w:lang w:val="en-CA" w:eastAsia="en-CA"/>
              </w:rPr>
            </w:pPr>
            <w:r w:rsidRPr="006C28DF">
              <w:rPr>
                <w:sz w:val="20"/>
                <w:szCs w:val="20"/>
                <w:lang w:val="en-CA" w:eastAsia="en-CA"/>
              </w:rPr>
              <w:t>614</w:t>
            </w:r>
          </w:p>
        </w:tc>
        <w:tc>
          <w:tcPr>
            <w:tcW w:w="976" w:type="dxa"/>
            <w:tcBorders>
              <w:top w:val="nil"/>
              <w:left w:val="nil"/>
              <w:bottom w:val="single" w:sz="4" w:space="0" w:color="auto"/>
              <w:right w:val="single" w:sz="4" w:space="0" w:color="auto"/>
            </w:tcBorders>
            <w:shd w:val="clear" w:color="auto" w:fill="auto"/>
            <w:hideMark/>
          </w:tcPr>
          <w:p w14:paraId="6A75BC48" w14:textId="77777777" w:rsidR="006C28DF" w:rsidRPr="006C28DF" w:rsidRDefault="006C28DF" w:rsidP="006C28DF">
            <w:pPr>
              <w:jc w:val="right"/>
              <w:rPr>
                <w:sz w:val="20"/>
                <w:szCs w:val="20"/>
                <w:lang w:val="en-CA" w:eastAsia="en-CA"/>
              </w:rPr>
            </w:pPr>
            <w:r w:rsidRPr="006C28DF">
              <w:rPr>
                <w:sz w:val="20"/>
                <w:szCs w:val="20"/>
                <w:lang w:val="en-CA" w:eastAsia="en-CA"/>
              </w:rPr>
              <w:t>6.0</w:t>
            </w:r>
          </w:p>
        </w:tc>
      </w:tr>
      <w:tr w:rsidR="006C28DF" w:rsidRPr="006C28DF" w14:paraId="14ACE2CB"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F624B54" w14:textId="77777777" w:rsidR="006C28DF" w:rsidRPr="006C28DF" w:rsidRDefault="006C28DF" w:rsidP="002C3CFF">
            <w:pPr>
              <w:ind w:right="-105"/>
              <w:jc w:val="left"/>
              <w:rPr>
                <w:sz w:val="20"/>
                <w:szCs w:val="20"/>
                <w:lang w:val="en-CA" w:eastAsia="en-CA"/>
              </w:rPr>
            </w:pPr>
            <w:r w:rsidRPr="006C28DF">
              <w:rPr>
                <w:sz w:val="20"/>
                <w:szCs w:val="20"/>
                <w:lang w:val="en-CA" w:eastAsia="en-CA"/>
              </w:rPr>
              <w:t>Dominican Republic (the)</w:t>
            </w:r>
          </w:p>
        </w:tc>
        <w:tc>
          <w:tcPr>
            <w:tcW w:w="980" w:type="dxa"/>
            <w:tcBorders>
              <w:top w:val="nil"/>
              <w:left w:val="nil"/>
              <w:bottom w:val="single" w:sz="4" w:space="0" w:color="auto"/>
              <w:right w:val="single" w:sz="4" w:space="0" w:color="auto"/>
            </w:tcBorders>
            <w:shd w:val="clear" w:color="auto" w:fill="auto"/>
            <w:hideMark/>
          </w:tcPr>
          <w:p w14:paraId="38F0B487"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54A5ED0"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1123F4C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B725E5F"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(implementation)</w:t>
            </w:r>
          </w:p>
        </w:tc>
        <w:tc>
          <w:tcPr>
            <w:tcW w:w="1148" w:type="dxa"/>
            <w:tcBorders>
              <w:top w:val="nil"/>
              <w:left w:val="nil"/>
              <w:bottom w:val="single" w:sz="4" w:space="0" w:color="auto"/>
              <w:right w:val="single" w:sz="4" w:space="0" w:color="auto"/>
            </w:tcBorders>
            <w:shd w:val="clear" w:color="auto" w:fill="auto"/>
            <w:hideMark/>
          </w:tcPr>
          <w:p w14:paraId="5D9B2173" w14:textId="77777777" w:rsidR="006C28DF" w:rsidRPr="006C28DF" w:rsidRDefault="006C28DF" w:rsidP="006C28DF">
            <w:pPr>
              <w:jc w:val="right"/>
              <w:rPr>
                <w:sz w:val="20"/>
                <w:szCs w:val="20"/>
                <w:lang w:val="en-CA" w:eastAsia="en-CA"/>
              </w:rPr>
            </w:pPr>
            <w:r w:rsidRPr="006C28DF">
              <w:rPr>
                <w:sz w:val="20"/>
                <w:szCs w:val="20"/>
                <w:lang w:val="en-CA" w:eastAsia="en-CA"/>
              </w:rPr>
              <w:t>113</w:t>
            </w:r>
          </w:p>
        </w:tc>
        <w:tc>
          <w:tcPr>
            <w:tcW w:w="976" w:type="dxa"/>
            <w:tcBorders>
              <w:top w:val="nil"/>
              <w:left w:val="nil"/>
              <w:bottom w:val="single" w:sz="4" w:space="0" w:color="auto"/>
              <w:right w:val="single" w:sz="4" w:space="0" w:color="auto"/>
            </w:tcBorders>
            <w:shd w:val="clear" w:color="auto" w:fill="auto"/>
            <w:hideMark/>
          </w:tcPr>
          <w:p w14:paraId="235F28CC" w14:textId="77777777" w:rsidR="006C28DF" w:rsidRPr="006C28DF" w:rsidRDefault="006C28DF" w:rsidP="006C28DF">
            <w:pPr>
              <w:jc w:val="right"/>
              <w:rPr>
                <w:sz w:val="20"/>
                <w:szCs w:val="20"/>
                <w:lang w:val="en-CA" w:eastAsia="en-CA"/>
              </w:rPr>
            </w:pPr>
            <w:r w:rsidRPr="006C28DF">
              <w:rPr>
                <w:sz w:val="20"/>
                <w:szCs w:val="20"/>
                <w:lang w:val="en-CA" w:eastAsia="en-CA"/>
              </w:rPr>
              <w:t>1.0</w:t>
            </w:r>
          </w:p>
        </w:tc>
      </w:tr>
      <w:tr w:rsidR="006C28DF" w:rsidRPr="006C28DF" w14:paraId="4E06A89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7854091" w14:textId="77777777" w:rsidR="006C28DF" w:rsidRPr="006C28DF" w:rsidRDefault="006C28DF" w:rsidP="002C3CFF">
            <w:pPr>
              <w:ind w:right="-105"/>
              <w:jc w:val="left"/>
              <w:rPr>
                <w:sz w:val="20"/>
                <w:szCs w:val="20"/>
                <w:lang w:val="en-CA" w:eastAsia="en-CA"/>
              </w:rPr>
            </w:pPr>
            <w:r w:rsidRPr="006C28DF">
              <w:rPr>
                <w:sz w:val="20"/>
                <w:szCs w:val="20"/>
                <w:lang w:val="en-CA" w:eastAsia="en-CA"/>
              </w:rPr>
              <w:t>Dominican Republic (the)</w:t>
            </w:r>
          </w:p>
        </w:tc>
        <w:tc>
          <w:tcPr>
            <w:tcW w:w="980" w:type="dxa"/>
            <w:tcBorders>
              <w:top w:val="nil"/>
              <w:left w:val="nil"/>
              <w:bottom w:val="single" w:sz="4" w:space="0" w:color="auto"/>
              <w:right w:val="single" w:sz="4" w:space="0" w:color="auto"/>
            </w:tcBorders>
            <w:shd w:val="clear" w:color="auto" w:fill="auto"/>
            <w:hideMark/>
          </w:tcPr>
          <w:p w14:paraId="5E0AC4B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E2918E9"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69AD9595"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3506765"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7E9B679A" w14:textId="77777777" w:rsidR="006C28DF" w:rsidRPr="006C28DF" w:rsidRDefault="006C28DF" w:rsidP="006C28DF">
            <w:pPr>
              <w:jc w:val="right"/>
              <w:rPr>
                <w:sz w:val="20"/>
                <w:szCs w:val="20"/>
                <w:lang w:val="en-CA" w:eastAsia="en-CA"/>
              </w:rPr>
            </w:pPr>
            <w:r w:rsidRPr="006C28DF">
              <w:rPr>
                <w:sz w:val="20"/>
                <w:szCs w:val="20"/>
                <w:lang w:val="en-CA" w:eastAsia="en-CA"/>
              </w:rPr>
              <w:t>172</w:t>
            </w:r>
          </w:p>
        </w:tc>
        <w:tc>
          <w:tcPr>
            <w:tcW w:w="976" w:type="dxa"/>
            <w:tcBorders>
              <w:top w:val="nil"/>
              <w:left w:val="nil"/>
              <w:bottom w:val="single" w:sz="4" w:space="0" w:color="auto"/>
              <w:right w:val="single" w:sz="4" w:space="0" w:color="auto"/>
            </w:tcBorders>
            <w:shd w:val="clear" w:color="auto" w:fill="auto"/>
            <w:hideMark/>
          </w:tcPr>
          <w:p w14:paraId="2AE27DF3"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CFE32B3"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07FB154" w14:textId="77777777" w:rsidR="006C28DF" w:rsidRPr="006C28DF" w:rsidRDefault="006C28DF" w:rsidP="006C28DF">
            <w:pPr>
              <w:jc w:val="left"/>
              <w:rPr>
                <w:sz w:val="20"/>
                <w:szCs w:val="20"/>
                <w:lang w:val="en-CA" w:eastAsia="en-CA"/>
              </w:rPr>
            </w:pPr>
            <w:r w:rsidRPr="006C28DF">
              <w:rPr>
                <w:sz w:val="20"/>
                <w:szCs w:val="20"/>
                <w:lang w:val="en-CA" w:eastAsia="en-CA"/>
              </w:rPr>
              <w:t>Ecuador</w:t>
            </w:r>
          </w:p>
        </w:tc>
        <w:tc>
          <w:tcPr>
            <w:tcW w:w="980" w:type="dxa"/>
            <w:tcBorders>
              <w:top w:val="nil"/>
              <w:left w:val="nil"/>
              <w:bottom w:val="single" w:sz="4" w:space="0" w:color="auto"/>
              <w:right w:val="single" w:sz="4" w:space="0" w:color="auto"/>
            </w:tcBorders>
            <w:shd w:val="clear" w:color="auto" w:fill="auto"/>
            <w:hideMark/>
          </w:tcPr>
          <w:p w14:paraId="6DC2CDFC"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5654118"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787F1BF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F61DD27"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286E0101" w14:textId="77777777" w:rsidR="006C28DF" w:rsidRPr="006C28DF" w:rsidRDefault="006C28DF" w:rsidP="006C28DF">
            <w:pPr>
              <w:jc w:val="right"/>
              <w:rPr>
                <w:sz w:val="20"/>
                <w:szCs w:val="20"/>
                <w:lang w:val="en-CA" w:eastAsia="en-CA"/>
              </w:rPr>
            </w:pPr>
            <w:r w:rsidRPr="006C28DF">
              <w:rPr>
                <w:sz w:val="20"/>
                <w:szCs w:val="20"/>
                <w:lang w:val="en-CA" w:eastAsia="en-CA"/>
              </w:rPr>
              <w:t>28</w:t>
            </w:r>
          </w:p>
        </w:tc>
        <w:tc>
          <w:tcPr>
            <w:tcW w:w="976" w:type="dxa"/>
            <w:tcBorders>
              <w:top w:val="nil"/>
              <w:left w:val="nil"/>
              <w:bottom w:val="single" w:sz="4" w:space="0" w:color="auto"/>
              <w:right w:val="single" w:sz="4" w:space="0" w:color="auto"/>
            </w:tcBorders>
            <w:shd w:val="clear" w:color="auto" w:fill="auto"/>
            <w:hideMark/>
          </w:tcPr>
          <w:p w14:paraId="1F29430E" w14:textId="77777777" w:rsidR="006C28DF" w:rsidRPr="006C28DF" w:rsidRDefault="006C28DF" w:rsidP="006C28DF">
            <w:pPr>
              <w:jc w:val="right"/>
              <w:rPr>
                <w:sz w:val="20"/>
                <w:szCs w:val="20"/>
                <w:lang w:val="en-CA" w:eastAsia="en-CA"/>
              </w:rPr>
            </w:pPr>
            <w:r w:rsidRPr="006C28DF">
              <w:rPr>
                <w:sz w:val="20"/>
                <w:szCs w:val="20"/>
                <w:lang w:val="en-CA" w:eastAsia="en-CA"/>
              </w:rPr>
              <w:t>0.3</w:t>
            </w:r>
          </w:p>
        </w:tc>
      </w:tr>
      <w:tr w:rsidR="006C28DF" w:rsidRPr="006C28DF" w14:paraId="0E3DF527"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0EEBC2DD" w14:textId="77777777" w:rsidR="006C28DF" w:rsidRPr="006C28DF" w:rsidRDefault="006C28DF" w:rsidP="006C28DF">
            <w:pPr>
              <w:jc w:val="left"/>
              <w:rPr>
                <w:sz w:val="20"/>
                <w:szCs w:val="20"/>
                <w:lang w:val="en-CA" w:eastAsia="en-CA"/>
              </w:rPr>
            </w:pPr>
            <w:r w:rsidRPr="006C28DF">
              <w:rPr>
                <w:sz w:val="20"/>
                <w:szCs w:val="20"/>
                <w:lang w:val="en-CA" w:eastAsia="en-CA"/>
              </w:rPr>
              <w:t>Ecuador</w:t>
            </w:r>
          </w:p>
        </w:tc>
        <w:tc>
          <w:tcPr>
            <w:tcW w:w="980" w:type="dxa"/>
            <w:tcBorders>
              <w:top w:val="nil"/>
              <w:left w:val="nil"/>
              <w:bottom w:val="single" w:sz="4" w:space="0" w:color="auto"/>
              <w:right w:val="single" w:sz="4" w:space="0" w:color="auto"/>
            </w:tcBorders>
            <w:shd w:val="clear" w:color="auto" w:fill="auto"/>
            <w:hideMark/>
          </w:tcPr>
          <w:p w14:paraId="059F56DB"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CD3B65F"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10837CB"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3516C6B"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45B92082"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6A20FAAF"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8FE409C"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9F28A05" w14:textId="77777777" w:rsidR="006C28DF" w:rsidRPr="006C28DF" w:rsidRDefault="006C28DF" w:rsidP="006C28DF">
            <w:pPr>
              <w:jc w:val="left"/>
              <w:rPr>
                <w:sz w:val="20"/>
                <w:szCs w:val="20"/>
                <w:lang w:val="en-CA" w:eastAsia="en-CA"/>
              </w:rPr>
            </w:pPr>
            <w:r w:rsidRPr="006C28DF">
              <w:rPr>
                <w:sz w:val="20"/>
                <w:szCs w:val="20"/>
                <w:lang w:val="en-CA" w:eastAsia="en-CA"/>
              </w:rPr>
              <w:t>Ecuador</w:t>
            </w:r>
          </w:p>
        </w:tc>
        <w:tc>
          <w:tcPr>
            <w:tcW w:w="980" w:type="dxa"/>
            <w:tcBorders>
              <w:top w:val="nil"/>
              <w:left w:val="nil"/>
              <w:bottom w:val="single" w:sz="4" w:space="0" w:color="auto"/>
              <w:right w:val="single" w:sz="4" w:space="0" w:color="auto"/>
            </w:tcBorders>
            <w:shd w:val="clear" w:color="auto" w:fill="auto"/>
            <w:hideMark/>
          </w:tcPr>
          <w:p w14:paraId="68A5CC23"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3B955154"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A5DCB9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B587C62" w14:textId="77777777" w:rsidR="006C28DF" w:rsidRPr="006C28DF" w:rsidRDefault="006C28DF" w:rsidP="006C28DF">
            <w:pPr>
              <w:jc w:val="left"/>
              <w:rPr>
                <w:sz w:val="20"/>
                <w:szCs w:val="20"/>
                <w:lang w:val="en-CA" w:eastAsia="en-CA"/>
              </w:rPr>
            </w:pPr>
            <w:r w:rsidRPr="006C28DF">
              <w:rPr>
                <w:sz w:val="20"/>
                <w:szCs w:val="20"/>
                <w:lang w:val="en-CA" w:eastAsia="en-CA"/>
              </w:rPr>
              <w:t>HPMP - Stage I, incl. FOA investment</w:t>
            </w:r>
          </w:p>
        </w:tc>
        <w:tc>
          <w:tcPr>
            <w:tcW w:w="1148" w:type="dxa"/>
            <w:tcBorders>
              <w:top w:val="nil"/>
              <w:left w:val="nil"/>
              <w:bottom w:val="single" w:sz="4" w:space="0" w:color="auto"/>
              <w:right w:val="single" w:sz="4" w:space="0" w:color="auto"/>
            </w:tcBorders>
            <w:shd w:val="clear" w:color="auto" w:fill="auto"/>
            <w:hideMark/>
          </w:tcPr>
          <w:p w14:paraId="7CA8803C" w14:textId="77777777" w:rsidR="006C28DF" w:rsidRPr="006C28DF" w:rsidRDefault="006C28DF" w:rsidP="006C28DF">
            <w:pPr>
              <w:jc w:val="right"/>
              <w:rPr>
                <w:sz w:val="20"/>
                <w:szCs w:val="20"/>
                <w:lang w:val="en-CA" w:eastAsia="en-CA"/>
              </w:rPr>
            </w:pPr>
            <w:r w:rsidRPr="006C28DF">
              <w:rPr>
                <w:sz w:val="20"/>
                <w:szCs w:val="20"/>
                <w:lang w:val="en-CA" w:eastAsia="en-CA"/>
              </w:rPr>
              <w:t>93</w:t>
            </w:r>
          </w:p>
        </w:tc>
        <w:tc>
          <w:tcPr>
            <w:tcW w:w="976" w:type="dxa"/>
            <w:tcBorders>
              <w:top w:val="nil"/>
              <w:left w:val="nil"/>
              <w:bottom w:val="single" w:sz="4" w:space="0" w:color="auto"/>
              <w:right w:val="single" w:sz="4" w:space="0" w:color="auto"/>
            </w:tcBorders>
            <w:shd w:val="clear" w:color="auto" w:fill="auto"/>
            <w:hideMark/>
          </w:tcPr>
          <w:p w14:paraId="674C6652" w14:textId="77777777" w:rsidR="006C28DF" w:rsidRPr="006C28DF" w:rsidRDefault="006C28DF" w:rsidP="006C28DF">
            <w:pPr>
              <w:jc w:val="right"/>
              <w:rPr>
                <w:sz w:val="20"/>
                <w:szCs w:val="20"/>
                <w:lang w:val="en-CA" w:eastAsia="en-CA"/>
              </w:rPr>
            </w:pPr>
            <w:r w:rsidRPr="006C28DF">
              <w:rPr>
                <w:sz w:val="20"/>
                <w:szCs w:val="20"/>
                <w:lang w:val="en-CA" w:eastAsia="en-CA"/>
              </w:rPr>
              <w:t>1.0</w:t>
            </w:r>
          </w:p>
        </w:tc>
      </w:tr>
      <w:tr w:rsidR="006C28DF" w:rsidRPr="006C28DF" w14:paraId="3E7DDA8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D01A54B" w14:textId="77777777" w:rsidR="006C28DF" w:rsidRPr="006C28DF" w:rsidRDefault="006C28DF" w:rsidP="006C28DF">
            <w:pPr>
              <w:jc w:val="left"/>
              <w:rPr>
                <w:sz w:val="20"/>
                <w:szCs w:val="20"/>
                <w:lang w:val="en-CA" w:eastAsia="en-CA"/>
              </w:rPr>
            </w:pPr>
            <w:r w:rsidRPr="006C28DF">
              <w:rPr>
                <w:sz w:val="20"/>
                <w:szCs w:val="20"/>
                <w:lang w:val="en-CA" w:eastAsia="en-CA"/>
              </w:rPr>
              <w:t>Ecuador</w:t>
            </w:r>
          </w:p>
        </w:tc>
        <w:tc>
          <w:tcPr>
            <w:tcW w:w="980" w:type="dxa"/>
            <w:tcBorders>
              <w:top w:val="nil"/>
              <w:left w:val="nil"/>
              <w:bottom w:val="single" w:sz="4" w:space="0" w:color="auto"/>
              <w:right w:val="single" w:sz="4" w:space="0" w:color="auto"/>
            </w:tcBorders>
            <w:shd w:val="clear" w:color="auto" w:fill="auto"/>
            <w:hideMark/>
          </w:tcPr>
          <w:p w14:paraId="532F1B91"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5141640A"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54A7AFB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00D08C0" w14:textId="77777777" w:rsidR="006C28DF" w:rsidRPr="006C28DF" w:rsidRDefault="006C28DF" w:rsidP="006C28DF">
            <w:pPr>
              <w:jc w:val="left"/>
              <w:rPr>
                <w:sz w:val="20"/>
                <w:szCs w:val="20"/>
                <w:lang w:val="en-CA" w:eastAsia="en-CA"/>
              </w:rPr>
            </w:pPr>
            <w:r w:rsidRPr="006C28DF">
              <w:rPr>
                <w:sz w:val="20"/>
                <w:szCs w:val="20"/>
                <w:lang w:val="en-CA" w:eastAsia="en-CA"/>
              </w:rPr>
              <w:t>REF-Servicing (Stage II)</w:t>
            </w:r>
          </w:p>
        </w:tc>
        <w:tc>
          <w:tcPr>
            <w:tcW w:w="1148" w:type="dxa"/>
            <w:tcBorders>
              <w:top w:val="nil"/>
              <w:left w:val="nil"/>
              <w:bottom w:val="single" w:sz="4" w:space="0" w:color="auto"/>
              <w:right w:val="single" w:sz="4" w:space="0" w:color="auto"/>
            </w:tcBorders>
            <w:shd w:val="clear" w:color="auto" w:fill="auto"/>
            <w:hideMark/>
          </w:tcPr>
          <w:p w14:paraId="4F157E99" w14:textId="77777777" w:rsidR="006C28DF" w:rsidRPr="006C28DF" w:rsidRDefault="006C28DF" w:rsidP="006C28DF">
            <w:pPr>
              <w:jc w:val="right"/>
              <w:rPr>
                <w:sz w:val="20"/>
                <w:szCs w:val="20"/>
                <w:lang w:val="en-CA" w:eastAsia="en-CA"/>
              </w:rPr>
            </w:pPr>
            <w:r w:rsidRPr="006C28DF">
              <w:rPr>
                <w:sz w:val="20"/>
                <w:szCs w:val="20"/>
                <w:lang w:val="en-CA" w:eastAsia="en-CA"/>
              </w:rPr>
              <w:t>43</w:t>
            </w:r>
          </w:p>
        </w:tc>
        <w:tc>
          <w:tcPr>
            <w:tcW w:w="976" w:type="dxa"/>
            <w:tcBorders>
              <w:top w:val="nil"/>
              <w:left w:val="nil"/>
              <w:bottom w:val="single" w:sz="4" w:space="0" w:color="auto"/>
              <w:right w:val="single" w:sz="4" w:space="0" w:color="auto"/>
            </w:tcBorders>
            <w:shd w:val="clear" w:color="auto" w:fill="auto"/>
            <w:hideMark/>
          </w:tcPr>
          <w:p w14:paraId="06A68D0D"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0C07D13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D364137" w14:textId="77777777" w:rsidR="006C28DF" w:rsidRPr="006C28DF" w:rsidRDefault="006C28DF" w:rsidP="006C28DF">
            <w:pPr>
              <w:jc w:val="left"/>
              <w:rPr>
                <w:sz w:val="20"/>
                <w:szCs w:val="20"/>
                <w:lang w:val="en-CA" w:eastAsia="en-CA"/>
              </w:rPr>
            </w:pPr>
            <w:r w:rsidRPr="006C28DF">
              <w:rPr>
                <w:sz w:val="20"/>
                <w:szCs w:val="20"/>
                <w:lang w:val="en-CA" w:eastAsia="en-CA"/>
              </w:rPr>
              <w:t>Ecuador</w:t>
            </w:r>
          </w:p>
        </w:tc>
        <w:tc>
          <w:tcPr>
            <w:tcW w:w="980" w:type="dxa"/>
            <w:tcBorders>
              <w:top w:val="nil"/>
              <w:left w:val="nil"/>
              <w:bottom w:val="single" w:sz="4" w:space="0" w:color="auto"/>
              <w:right w:val="single" w:sz="4" w:space="0" w:color="auto"/>
            </w:tcBorders>
            <w:shd w:val="clear" w:color="auto" w:fill="auto"/>
            <w:hideMark/>
          </w:tcPr>
          <w:p w14:paraId="2570CDB3"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3900319"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76D3C353"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34F94110"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5941CAAB" w14:textId="77777777" w:rsidR="006C28DF" w:rsidRPr="006C28DF" w:rsidRDefault="006C28DF" w:rsidP="006C28DF">
            <w:pPr>
              <w:jc w:val="right"/>
              <w:rPr>
                <w:sz w:val="20"/>
                <w:szCs w:val="20"/>
                <w:lang w:val="en-CA" w:eastAsia="en-CA"/>
              </w:rPr>
            </w:pPr>
            <w:r w:rsidRPr="006C28DF">
              <w:rPr>
                <w:sz w:val="20"/>
                <w:szCs w:val="20"/>
                <w:lang w:val="en-CA" w:eastAsia="en-CA"/>
              </w:rPr>
              <w:t>226</w:t>
            </w:r>
          </w:p>
        </w:tc>
        <w:tc>
          <w:tcPr>
            <w:tcW w:w="976" w:type="dxa"/>
            <w:tcBorders>
              <w:top w:val="nil"/>
              <w:left w:val="nil"/>
              <w:bottom w:val="single" w:sz="4" w:space="0" w:color="auto"/>
              <w:right w:val="single" w:sz="4" w:space="0" w:color="auto"/>
            </w:tcBorders>
            <w:shd w:val="clear" w:color="auto" w:fill="auto"/>
            <w:hideMark/>
          </w:tcPr>
          <w:p w14:paraId="4C08E361"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11DDEDC"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2F2D233" w14:textId="77777777" w:rsidR="006C28DF" w:rsidRPr="006C28DF" w:rsidRDefault="006C28DF" w:rsidP="006C28DF">
            <w:pPr>
              <w:jc w:val="left"/>
              <w:rPr>
                <w:sz w:val="20"/>
                <w:szCs w:val="20"/>
                <w:lang w:val="en-CA" w:eastAsia="en-CA"/>
              </w:rPr>
            </w:pPr>
            <w:r w:rsidRPr="006C28DF">
              <w:rPr>
                <w:sz w:val="20"/>
                <w:szCs w:val="20"/>
                <w:lang w:val="en-CA" w:eastAsia="en-CA"/>
              </w:rPr>
              <w:t>Egypt</w:t>
            </w:r>
          </w:p>
        </w:tc>
        <w:tc>
          <w:tcPr>
            <w:tcW w:w="980" w:type="dxa"/>
            <w:tcBorders>
              <w:top w:val="nil"/>
              <w:left w:val="nil"/>
              <w:bottom w:val="single" w:sz="4" w:space="0" w:color="auto"/>
              <w:right w:val="single" w:sz="4" w:space="0" w:color="auto"/>
            </w:tcBorders>
            <w:shd w:val="clear" w:color="auto" w:fill="auto"/>
            <w:hideMark/>
          </w:tcPr>
          <w:p w14:paraId="5876BB7A"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5E032610"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39D81F7C"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33CB290" w14:textId="77777777" w:rsidR="006C28DF" w:rsidRPr="006C28DF" w:rsidRDefault="006C28DF" w:rsidP="006C28DF">
            <w:pPr>
              <w:jc w:val="left"/>
              <w:rPr>
                <w:sz w:val="20"/>
                <w:szCs w:val="20"/>
                <w:lang w:val="en-CA" w:eastAsia="en-CA"/>
              </w:rPr>
            </w:pPr>
            <w:r w:rsidRPr="006C28DF">
              <w:rPr>
                <w:sz w:val="20"/>
                <w:szCs w:val="20"/>
                <w:lang w:val="en-CA" w:eastAsia="en-CA"/>
              </w:rPr>
              <w:t>Stage I HPMP</w:t>
            </w:r>
          </w:p>
        </w:tc>
        <w:tc>
          <w:tcPr>
            <w:tcW w:w="1148" w:type="dxa"/>
            <w:tcBorders>
              <w:top w:val="nil"/>
              <w:left w:val="nil"/>
              <w:bottom w:val="single" w:sz="4" w:space="0" w:color="auto"/>
              <w:right w:val="single" w:sz="4" w:space="0" w:color="auto"/>
            </w:tcBorders>
            <w:shd w:val="clear" w:color="auto" w:fill="auto"/>
            <w:hideMark/>
          </w:tcPr>
          <w:p w14:paraId="3A9B01F9" w14:textId="77777777" w:rsidR="006C28DF" w:rsidRPr="006C28DF" w:rsidRDefault="006C28DF" w:rsidP="006C28DF">
            <w:pPr>
              <w:jc w:val="right"/>
              <w:rPr>
                <w:sz w:val="20"/>
                <w:szCs w:val="20"/>
                <w:lang w:val="en-CA" w:eastAsia="en-CA"/>
              </w:rPr>
            </w:pPr>
            <w:r w:rsidRPr="006C28DF">
              <w:rPr>
                <w:sz w:val="20"/>
                <w:szCs w:val="20"/>
                <w:lang w:val="en-CA" w:eastAsia="en-CA"/>
              </w:rPr>
              <w:t>770</w:t>
            </w:r>
          </w:p>
        </w:tc>
        <w:tc>
          <w:tcPr>
            <w:tcW w:w="976" w:type="dxa"/>
            <w:tcBorders>
              <w:top w:val="nil"/>
              <w:left w:val="nil"/>
              <w:bottom w:val="single" w:sz="4" w:space="0" w:color="auto"/>
              <w:right w:val="single" w:sz="4" w:space="0" w:color="auto"/>
            </w:tcBorders>
            <w:shd w:val="clear" w:color="auto" w:fill="auto"/>
            <w:hideMark/>
          </w:tcPr>
          <w:p w14:paraId="67A7881E" w14:textId="77777777" w:rsidR="006C28DF" w:rsidRPr="006C28DF" w:rsidRDefault="006C28DF" w:rsidP="006C28DF">
            <w:pPr>
              <w:jc w:val="right"/>
              <w:rPr>
                <w:sz w:val="20"/>
                <w:szCs w:val="20"/>
                <w:lang w:val="en-CA" w:eastAsia="en-CA"/>
              </w:rPr>
            </w:pPr>
            <w:r w:rsidRPr="006C28DF">
              <w:rPr>
                <w:sz w:val="20"/>
                <w:szCs w:val="20"/>
                <w:lang w:val="en-CA" w:eastAsia="en-CA"/>
              </w:rPr>
              <w:t>13.9</w:t>
            </w:r>
          </w:p>
        </w:tc>
      </w:tr>
      <w:tr w:rsidR="006C28DF" w:rsidRPr="006C28DF" w14:paraId="1037FCC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1FB7059" w14:textId="77777777" w:rsidR="006C28DF" w:rsidRPr="006C28DF" w:rsidRDefault="006C28DF" w:rsidP="006C28DF">
            <w:pPr>
              <w:jc w:val="left"/>
              <w:rPr>
                <w:sz w:val="20"/>
                <w:szCs w:val="20"/>
                <w:lang w:val="en-CA" w:eastAsia="en-CA"/>
              </w:rPr>
            </w:pPr>
            <w:r w:rsidRPr="006C28DF">
              <w:rPr>
                <w:sz w:val="20"/>
                <w:szCs w:val="20"/>
                <w:lang w:val="en-CA" w:eastAsia="en-CA"/>
              </w:rPr>
              <w:t>Egypt</w:t>
            </w:r>
          </w:p>
        </w:tc>
        <w:tc>
          <w:tcPr>
            <w:tcW w:w="980" w:type="dxa"/>
            <w:tcBorders>
              <w:top w:val="nil"/>
              <w:left w:val="nil"/>
              <w:bottom w:val="single" w:sz="4" w:space="0" w:color="auto"/>
              <w:right w:val="single" w:sz="4" w:space="0" w:color="auto"/>
            </w:tcBorders>
            <w:shd w:val="clear" w:color="auto" w:fill="auto"/>
            <w:hideMark/>
          </w:tcPr>
          <w:p w14:paraId="7611B250"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1FF298CE"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38DCE67C"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D83001C" w14:textId="77777777" w:rsidR="006C28DF" w:rsidRPr="006C28DF" w:rsidRDefault="006C28DF" w:rsidP="006C28DF">
            <w:pPr>
              <w:jc w:val="left"/>
              <w:rPr>
                <w:sz w:val="20"/>
                <w:szCs w:val="20"/>
                <w:lang w:val="en-CA" w:eastAsia="en-CA"/>
              </w:rPr>
            </w:pPr>
            <w:r w:rsidRPr="006C28DF">
              <w:rPr>
                <w:sz w:val="20"/>
                <w:szCs w:val="20"/>
                <w:lang w:val="en-CA" w:eastAsia="en-CA"/>
              </w:rPr>
              <w:t>HPMP - Stage I, incl. FOA investment</w:t>
            </w:r>
          </w:p>
        </w:tc>
        <w:tc>
          <w:tcPr>
            <w:tcW w:w="1148" w:type="dxa"/>
            <w:tcBorders>
              <w:top w:val="nil"/>
              <w:left w:val="nil"/>
              <w:bottom w:val="single" w:sz="4" w:space="0" w:color="auto"/>
              <w:right w:val="single" w:sz="4" w:space="0" w:color="auto"/>
            </w:tcBorders>
            <w:shd w:val="clear" w:color="auto" w:fill="auto"/>
            <w:hideMark/>
          </w:tcPr>
          <w:p w14:paraId="75A7FC93" w14:textId="77777777" w:rsidR="006C28DF" w:rsidRPr="006C28DF" w:rsidRDefault="006C28DF" w:rsidP="006C28DF">
            <w:pPr>
              <w:jc w:val="right"/>
              <w:rPr>
                <w:sz w:val="20"/>
                <w:szCs w:val="20"/>
                <w:lang w:val="en-CA" w:eastAsia="en-CA"/>
              </w:rPr>
            </w:pPr>
            <w:r w:rsidRPr="006C28DF">
              <w:rPr>
                <w:sz w:val="20"/>
                <w:szCs w:val="20"/>
                <w:lang w:val="en-CA" w:eastAsia="en-CA"/>
              </w:rPr>
              <w:t>250</w:t>
            </w:r>
          </w:p>
        </w:tc>
        <w:tc>
          <w:tcPr>
            <w:tcW w:w="976" w:type="dxa"/>
            <w:tcBorders>
              <w:top w:val="nil"/>
              <w:left w:val="nil"/>
              <w:bottom w:val="single" w:sz="4" w:space="0" w:color="auto"/>
              <w:right w:val="single" w:sz="4" w:space="0" w:color="auto"/>
            </w:tcBorders>
            <w:shd w:val="clear" w:color="auto" w:fill="auto"/>
            <w:hideMark/>
          </w:tcPr>
          <w:p w14:paraId="48917B67" w14:textId="77777777" w:rsidR="006C28DF" w:rsidRPr="006C28DF" w:rsidRDefault="006C28DF" w:rsidP="006C28DF">
            <w:pPr>
              <w:jc w:val="right"/>
              <w:rPr>
                <w:sz w:val="20"/>
                <w:szCs w:val="20"/>
                <w:lang w:val="en-CA" w:eastAsia="en-CA"/>
              </w:rPr>
            </w:pPr>
            <w:r w:rsidRPr="006C28DF">
              <w:rPr>
                <w:sz w:val="20"/>
                <w:szCs w:val="20"/>
                <w:lang w:val="en-CA" w:eastAsia="en-CA"/>
              </w:rPr>
              <w:t>4.5</w:t>
            </w:r>
          </w:p>
        </w:tc>
      </w:tr>
      <w:tr w:rsidR="006C28DF" w:rsidRPr="006C28DF" w14:paraId="5D7051AC"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EE845E3" w14:textId="77777777" w:rsidR="006C28DF" w:rsidRPr="006C28DF" w:rsidRDefault="006C28DF" w:rsidP="006C28DF">
            <w:pPr>
              <w:jc w:val="left"/>
              <w:rPr>
                <w:sz w:val="20"/>
                <w:szCs w:val="20"/>
                <w:lang w:val="en-CA" w:eastAsia="en-CA"/>
              </w:rPr>
            </w:pPr>
            <w:r w:rsidRPr="006C28DF">
              <w:rPr>
                <w:sz w:val="20"/>
                <w:szCs w:val="20"/>
                <w:lang w:val="en-CA" w:eastAsia="en-CA"/>
              </w:rPr>
              <w:t>El Salvador</w:t>
            </w:r>
          </w:p>
        </w:tc>
        <w:tc>
          <w:tcPr>
            <w:tcW w:w="980" w:type="dxa"/>
            <w:tcBorders>
              <w:top w:val="nil"/>
              <w:left w:val="nil"/>
              <w:bottom w:val="single" w:sz="4" w:space="0" w:color="auto"/>
              <w:right w:val="single" w:sz="4" w:space="0" w:color="auto"/>
            </w:tcBorders>
            <w:shd w:val="clear" w:color="auto" w:fill="auto"/>
            <w:hideMark/>
          </w:tcPr>
          <w:p w14:paraId="3FCE0422"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5D81710E"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9DB04B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250F07D" w14:textId="77777777" w:rsidR="006C28DF" w:rsidRPr="006C28DF" w:rsidRDefault="006C28DF" w:rsidP="006C28DF">
            <w:pPr>
              <w:jc w:val="left"/>
              <w:rPr>
                <w:sz w:val="20"/>
                <w:szCs w:val="20"/>
                <w:lang w:val="en-CA" w:eastAsia="en-CA"/>
              </w:rPr>
            </w:pPr>
            <w:r w:rsidRPr="006C28DF">
              <w:rPr>
                <w:sz w:val="20"/>
                <w:szCs w:val="20"/>
                <w:lang w:val="en-CA" w:eastAsia="en-CA"/>
              </w:rPr>
              <w:t>Stage II HPMP Preparation</w:t>
            </w:r>
          </w:p>
        </w:tc>
        <w:tc>
          <w:tcPr>
            <w:tcW w:w="1148" w:type="dxa"/>
            <w:tcBorders>
              <w:top w:val="nil"/>
              <w:left w:val="nil"/>
              <w:bottom w:val="single" w:sz="4" w:space="0" w:color="auto"/>
              <w:right w:val="single" w:sz="4" w:space="0" w:color="auto"/>
            </w:tcBorders>
            <w:shd w:val="clear" w:color="auto" w:fill="auto"/>
            <w:hideMark/>
          </w:tcPr>
          <w:p w14:paraId="2626EFF6" w14:textId="77777777" w:rsidR="006C28DF" w:rsidRPr="006C28DF" w:rsidRDefault="006C28DF" w:rsidP="006C28DF">
            <w:pPr>
              <w:jc w:val="right"/>
              <w:rPr>
                <w:sz w:val="20"/>
                <w:szCs w:val="20"/>
                <w:lang w:val="en-CA" w:eastAsia="en-CA"/>
              </w:rPr>
            </w:pPr>
            <w:r w:rsidRPr="006C28DF">
              <w:rPr>
                <w:sz w:val="20"/>
                <w:szCs w:val="20"/>
                <w:lang w:val="en-CA" w:eastAsia="en-CA"/>
              </w:rPr>
              <w:t>30</w:t>
            </w:r>
          </w:p>
        </w:tc>
        <w:tc>
          <w:tcPr>
            <w:tcW w:w="976" w:type="dxa"/>
            <w:tcBorders>
              <w:top w:val="nil"/>
              <w:left w:val="nil"/>
              <w:bottom w:val="single" w:sz="4" w:space="0" w:color="auto"/>
              <w:right w:val="single" w:sz="4" w:space="0" w:color="auto"/>
            </w:tcBorders>
            <w:shd w:val="clear" w:color="auto" w:fill="auto"/>
            <w:hideMark/>
          </w:tcPr>
          <w:p w14:paraId="3ED07048"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2099A361"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8FA1352" w14:textId="77777777" w:rsidR="006C28DF" w:rsidRPr="006C28DF" w:rsidRDefault="006C28DF" w:rsidP="006C28DF">
            <w:pPr>
              <w:jc w:val="left"/>
              <w:rPr>
                <w:sz w:val="20"/>
                <w:szCs w:val="20"/>
                <w:lang w:val="en-CA" w:eastAsia="en-CA"/>
              </w:rPr>
            </w:pPr>
            <w:r w:rsidRPr="006C28DF">
              <w:rPr>
                <w:sz w:val="20"/>
                <w:szCs w:val="20"/>
                <w:lang w:val="en-CA" w:eastAsia="en-CA"/>
              </w:rPr>
              <w:t>El Salvador</w:t>
            </w:r>
          </w:p>
        </w:tc>
        <w:tc>
          <w:tcPr>
            <w:tcW w:w="980" w:type="dxa"/>
            <w:tcBorders>
              <w:top w:val="nil"/>
              <w:left w:val="nil"/>
              <w:bottom w:val="single" w:sz="4" w:space="0" w:color="auto"/>
              <w:right w:val="single" w:sz="4" w:space="0" w:color="auto"/>
            </w:tcBorders>
            <w:shd w:val="clear" w:color="auto" w:fill="auto"/>
            <w:hideMark/>
          </w:tcPr>
          <w:p w14:paraId="6CC3F07A"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3ED614C"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34BA668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DFBC1D9"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6E48913F"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70F921FC"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5735333D"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411D8A31" w14:textId="77777777" w:rsidR="006C28DF" w:rsidRPr="006C28DF" w:rsidRDefault="006C28DF" w:rsidP="006C28DF">
            <w:pPr>
              <w:jc w:val="left"/>
              <w:rPr>
                <w:sz w:val="20"/>
                <w:szCs w:val="20"/>
                <w:lang w:val="en-CA" w:eastAsia="en-CA"/>
              </w:rPr>
            </w:pPr>
            <w:r w:rsidRPr="006C28DF">
              <w:rPr>
                <w:sz w:val="20"/>
                <w:szCs w:val="20"/>
                <w:lang w:val="en-CA" w:eastAsia="en-CA"/>
              </w:rPr>
              <w:t>Equatorial Guinea</w:t>
            </w:r>
          </w:p>
        </w:tc>
        <w:tc>
          <w:tcPr>
            <w:tcW w:w="980" w:type="dxa"/>
            <w:tcBorders>
              <w:top w:val="nil"/>
              <w:left w:val="nil"/>
              <w:bottom w:val="single" w:sz="4" w:space="0" w:color="auto"/>
              <w:right w:val="single" w:sz="4" w:space="0" w:color="auto"/>
            </w:tcBorders>
            <w:shd w:val="clear" w:color="auto" w:fill="auto"/>
            <w:hideMark/>
          </w:tcPr>
          <w:p w14:paraId="254B5E5B"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76F99C1"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F6A730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1CACACC"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3BD2E16E" w14:textId="77777777" w:rsidR="006C28DF" w:rsidRPr="006C28DF" w:rsidRDefault="006C28DF" w:rsidP="006C28DF">
            <w:pPr>
              <w:jc w:val="right"/>
              <w:rPr>
                <w:sz w:val="20"/>
                <w:szCs w:val="20"/>
                <w:lang w:val="en-CA" w:eastAsia="en-CA"/>
              </w:rPr>
            </w:pPr>
            <w:r w:rsidRPr="006C28DF">
              <w:rPr>
                <w:sz w:val="20"/>
                <w:szCs w:val="20"/>
                <w:lang w:val="en-CA" w:eastAsia="en-CA"/>
              </w:rPr>
              <w:t>73</w:t>
            </w:r>
          </w:p>
        </w:tc>
        <w:tc>
          <w:tcPr>
            <w:tcW w:w="976" w:type="dxa"/>
            <w:tcBorders>
              <w:top w:val="nil"/>
              <w:left w:val="nil"/>
              <w:bottom w:val="single" w:sz="4" w:space="0" w:color="auto"/>
              <w:right w:val="single" w:sz="4" w:space="0" w:color="auto"/>
            </w:tcBorders>
            <w:shd w:val="clear" w:color="auto" w:fill="auto"/>
            <w:hideMark/>
          </w:tcPr>
          <w:p w14:paraId="241F1354" w14:textId="77777777" w:rsidR="006C28DF" w:rsidRPr="006C28DF" w:rsidRDefault="006C28DF" w:rsidP="006C28DF">
            <w:pPr>
              <w:jc w:val="right"/>
              <w:rPr>
                <w:sz w:val="20"/>
                <w:szCs w:val="20"/>
                <w:lang w:val="en-CA" w:eastAsia="en-CA"/>
              </w:rPr>
            </w:pPr>
            <w:r w:rsidRPr="006C28DF">
              <w:rPr>
                <w:sz w:val="20"/>
                <w:szCs w:val="20"/>
                <w:lang w:val="en-CA" w:eastAsia="en-CA"/>
              </w:rPr>
              <w:t>0.5</w:t>
            </w:r>
          </w:p>
        </w:tc>
      </w:tr>
      <w:tr w:rsidR="006C28DF" w:rsidRPr="006C28DF" w14:paraId="4D08B1F9"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EFB8E11" w14:textId="77777777" w:rsidR="006C28DF" w:rsidRPr="006C28DF" w:rsidRDefault="006C28DF" w:rsidP="006C28DF">
            <w:pPr>
              <w:jc w:val="left"/>
              <w:rPr>
                <w:sz w:val="20"/>
                <w:szCs w:val="20"/>
                <w:lang w:val="en-CA" w:eastAsia="en-CA"/>
              </w:rPr>
            </w:pPr>
            <w:r w:rsidRPr="006C28DF">
              <w:rPr>
                <w:sz w:val="20"/>
                <w:szCs w:val="20"/>
                <w:lang w:val="en-CA" w:eastAsia="en-CA"/>
              </w:rPr>
              <w:t>Equatorial Guinea</w:t>
            </w:r>
          </w:p>
        </w:tc>
        <w:tc>
          <w:tcPr>
            <w:tcW w:w="980" w:type="dxa"/>
            <w:tcBorders>
              <w:top w:val="nil"/>
              <w:left w:val="nil"/>
              <w:bottom w:val="single" w:sz="4" w:space="0" w:color="auto"/>
              <w:right w:val="single" w:sz="4" w:space="0" w:color="auto"/>
            </w:tcBorders>
            <w:shd w:val="clear" w:color="auto" w:fill="auto"/>
            <w:hideMark/>
          </w:tcPr>
          <w:p w14:paraId="0385F307"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4C906A5"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F10BD2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034AF58"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3037B5AF"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6441D802"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BA65340"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1A070DA" w14:textId="77777777" w:rsidR="006C28DF" w:rsidRPr="006C28DF" w:rsidRDefault="006C28DF" w:rsidP="006C28DF">
            <w:pPr>
              <w:jc w:val="left"/>
              <w:rPr>
                <w:sz w:val="20"/>
                <w:szCs w:val="20"/>
                <w:lang w:val="en-CA" w:eastAsia="en-CA"/>
              </w:rPr>
            </w:pPr>
            <w:r w:rsidRPr="006C28DF">
              <w:rPr>
                <w:sz w:val="20"/>
                <w:szCs w:val="20"/>
                <w:lang w:val="en-CA" w:eastAsia="en-CA"/>
              </w:rPr>
              <w:t>Equatorial Guinea</w:t>
            </w:r>
          </w:p>
        </w:tc>
        <w:tc>
          <w:tcPr>
            <w:tcW w:w="980" w:type="dxa"/>
            <w:tcBorders>
              <w:top w:val="nil"/>
              <w:left w:val="nil"/>
              <w:bottom w:val="single" w:sz="4" w:space="0" w:color="auto"/>
              <w:right w:val="single" w:sz="4" w:space="0" w:color="auto"/>
            </w:tcBorders>
            <w:shd w:val="clear" w:color="auto" w:fill="auto"/>
            <w:hideMark/>
          </w:tcPr>
          <w:p w14:paraId="63163B67"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66F1C0F2"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383FEA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9CCEE03" w14:textId="77777777" w:rsidR="006C28DF" w:rsidRPr="006C28DF" w:rsidRDefault="006C28DF" w:rsidP="006C28DF">
            <w:pPr>
              <w:jc w:val="left"/>
              <w:rPr>
                <w:sz w:val="20"/>
                <w:szCs w:val="20"/>
                <w:lang w:val="en-CA" w:eastAsia="en-CA"/>
              </w:rPr>
            </w:pPr>
            <w:r w:rsidRPr="006C28DF">
              <w:rPr>
                <w:sz w:val="20"/>
                <w:szCs w:val="20"/>
                <w:lang w:val="en-CA" w:eastAsia="en-CA"/>
              </w:rPr>
              <w:t>HPMP Stage I</w:t>
            </w:r>
          </w:p>
        </w:tc>
        <w:tc>
          <w:tcPr>
            <w:tcW w:w="1148" w:type="dxa"/>
            <w:tcBorders>
              <w:top w:val="nil"/>
              <w:left w:val="nil"/>
              <w:bottom w:val="single" w:sz="4" w:space="0" w:color="auto"/>
              <w:right w:val="single" w:sz="4" w:space="0" w:color="auto"/>
            </w:tcBorders>
            <w:shd w:val="clear" w:color="auto" w:fill="auto"/>
            <w:hideMark/>
          </w:tcPr>
          <w:p w14:paraId="25D3BC69" w14:textId="77777777" w:rsidR="006C28DF" w:rsidRPr="006C28DF" w:rsidRDefault="006C28DF" w:rsidP="006C28DF">
            <w:pPr>
              <w:jc w:val="right"/>
              <w:rPr>
                <w:sz w:val="20"/>
                <w:szCs w:val="20"/>
                <w:lang w:val="en-CA" w:eastAsia="en-CA"/>
              </w:rPr>
            </w:pPr>
            <w:r w:rsidRPr="006C28DF">
              <w:rPr>
                <w:sz w:val="20"/>
                <w:szCs w:val="20"/>
                <w:lang w:val="en-CA" w:eastAsia="en-CA"/>
              </w:rPr>
              <w:t>82</w:t>
            </w:r>
          </w:p>
        </w:tc>
        <w:tc>
          <w:tcPr>
            <w:tcW w:w="976" w:type="dxa"/>
            <w:tcBorders>
              <w:top w:val="nil"/>
              <w:left w:val="nil"/>
              <w:bottom w:val="single" w:sz="4" w:space="0" w:color="auto"/>
              <w:right w:val="single" w:sz="4" w:space="0" w:color="auto"/>
            </w:tcBorders>
            <w:shd w:val="clear" w:color="auto" w:fill="auto"/>
            <w:hideMark/>
          </w:tcPr>
          <w:p w14:paraId="46EFE162" w14:textId="77777777" w:rsidR="006C28DF" w:rsidRPr="006C28DF" w:rsidRDefault="006C28DF" w:rsidP="006C28DF">
            <w:pPr>
              <w:jc w:val="right"/>
              <w:rPr>
                <w:sz w:val="20"/>
                <w:szCs w:val="20"/>
                <w:lang w:val="en-CA" w:eastAsia="en-CA"/>
              </w:rPr>
            </w:pPr>
            <w:r w:rsidRPr="006C28DF">
              <w:rPr>
                <w:sz w:val="20"/>
                <w:szCs w:val="20"/>
                <w:lang w:val="en-CA" w:eastAsia="en-CA"/>
              </w:rPr>
              <w:t>0.5</w:t>
            </w:r>
          </w:p>
        </w:tc>
      </w:tr>
      <w:tr w:rsidR="006C28DF" w:rsidRPr="006C28DF" w14:paraId="47047CD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6D4B89C" w14:textId="77777777" w:rsidR="006C28DF" w:rsidRPr="006C28DF" w:rsidRDefault="006C28DF" w:rsidP="006C28DF">
            <w:pPr>
              <w:jc w:val="left"/>
              <w:rPr>
                <w:sz w:val="20"/>
                <w:szCs w:val="20"/>
                <w:lang w:val="en-CA" w:eastAsia="en-CA"/>
              </w:rPr>
            </w:pPr>
            <w:r w:rsidRPr="006C28DF">
              <w:rPr>
                <w:sz w:val="20"/>
                <w:szCs w:val="20"/>
                <w:lang w:val="en-CA" w:eastAsia="en-CA"/>
              </w:rPr>
              <w:t>Equatorial Guinea</w:t>
            </w:r>
          </w:p>
        </w:tc>
        <w:tc>
          <w:tcPr>
            <w:tcW w:w="980" w:type="dxa"/>
            <w:tcBorders>
              <w:top w:val="nil"/>
              <w:left w:val="nil"/>
              <w:bottom w:val="single" w:sz="4" w:space="0" w:color="auto"/>
              <w:right w:val="single" w:sz="4" w:space="0" w:color="auto"/>
            </w:tcBorders>
            <w:shd w:val="clear" w:color="auto" w:fill="auto"/>
            <w:hideMark/>
          </w:tcPr>
          <w:p w14:paraId="19BB03FA"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3694565A"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3C18DF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36F28D2"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3A7DEB36"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0BB5582D"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54A25AEC"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236B47B" w14:textId="77777777" w:rsidR="006C28DF" w:rsidRPr="006C28DF" w:rsidRDefault="006C28DF" w:rsidP="006C28DF">
            <w:pPr>
              <w:jc w:val="left"/>
              <w:rPr>
                <w:sz w:val="20"/>
                <w:szCs w:val="20"/>
                <w:lang w:val="en-CA" w:eastAsia="en-CA"/>
              </w:rPr>
            </w:pPr>
            <w:r w:rsidRPr="006C28DF">
              <w:rPr>
                <w:sz w:val="20"/>
                <w:szCs w:val="20"/>
                <w:lang w:val="en-CA" w:eastAsia="en-CA"/>
              </w:rPr>
              <w:t>Eritrea</w:t>
            </w:r>
          </w:p>
        </w:tc>
        <w:tc>
          <w:tcPr>
            <w:tcW w:w="980" w:type="dxa"/>
            <w:tcBorders>
              <w:top w:val="nil"/>
              <w:left w:val="nil"/>
              <w:bottom w:val="single" w:sz="4" w:space="0" w:color="auto"/>
              <w:right w:val="single" w:sz="4" w:space="0" w:color="auto"/>
            </w:tcBorders>
            <w:shd w:val="clear" w:color="auto" w:fill="auto"/>
            <w:hideMark/>
          </w:tcPr>
          <w:p w14:paraId="57B67AC5"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E90B83A"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0F848A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0094395"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6E727515"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38028B2F"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BAD95C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386E932" w14:textId="77777777" w:rsidR="006C28DF" w:rsidRPr="006C28DF" w:rsidRDefault="006C28DF" w:rsidP="006C28DF">
            <w:pPr>
              <w:jc w:val="left"/>
              <w:rPr>
                <w:sz w:val="20"/>
                <w:szCs w:val="20"/>
                <w:lang w:val="en-CA" w:eastAsia="en-CA"/>
              </w:rPr>
            </w:pPr>
            <w:r w:rsidRPr="006C28DF">
              <w:rPr>
                <w:sz w:val="20"/>
                <w:szCs w:val="20"/>
                <w:lang w:val="en-CA" w:eastAsia="en-CA"/>
              </w:rPr>
              <w:t>Eritrea</w:t>
            </w:r>
          </w:p>
        </w:tc>
        <w:tc>
          <w:tcPr>
            <w:tcW w:w="980" w:type="dxa"/>
            <w:tcBorders>
              <w:top w:val="nil"/>
              <w:left w:val="nil"/>
              <w:bottom w:val="single" w:sz="4" w:space="0" w:color="auto"/>
              <w:right w:val="single" w:sz="4" w:space="0" w:color="auto"/>
            </w:tcBorders>
            <w:shd w:val="clear" w:color="auto" w:fill="auto"/>
            <w:hideMark/>
          </w:tcPr>
          <w:p w14:paraId="19AD1EB9"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218066EA"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55F8F254"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A7559C1"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130127C5"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2E5F5E33"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61A5EEC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D56F509" w14:textId="77777777" w:rsidR="006C28DF" w:rsidRPr="006C28DF" w:rsidRDefault="006C28DF" w:rsidP="006C28DF">
            <w:pPr>
              <w:jc w:val="left"/>
              <w:rPr>
                <w:sz w:val="20"/>
                <w:szCs w:val="20"/>
                <w:lang w:val="en-CA" w:eastAsia="en-CA"/>
              </w:rPr>
            </w:pPr>
            <w:r w:rsidRPr="006C28DF">
              <w:rPr>
                <w:sz w:val="20"/>
                <w:szCs w:val="20"/>
                <w:lang w:val="en-CA" w:eastAsia="en-CA"/>
              </w:rPr>
              <w:t>Eritrea</w:t>
            </w:r>
          </w:p>
        </w:tc>
        <w:tc>
          <w:tcPr>
            <w:tcW w:w="980" w:type="dxa"/>
            <w:tcBorders>
              <w:top w:val="nil"/>
              <w:left w:val="nil"/>
              <w:bottom w:val="single" w:sz="4" w:space="0" w:color="auto"/>
              <w:right w:val="single" w:sz="4" w:space="0" w:color="auto"/>
            </w:tcBorders>
            <w:shd w:val="clear" w:color="auto" w:fill="auto"/>
            <w:hideMark/>
          </w:tcPr>
          <w:p w14:paraId="3C035800"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753CA0B"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147B043B"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E5E050E"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07F4B7B7"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5238A1D9"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007F20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5C6262E" w14:textId="77777777" w:rsidR="006C28DF" w:rsidRPr="006C28DF" w:rsidRDefault="006C28DF" w:rsidP="006C28DF">
            <w:pPr>
              <w:jc w:val="left"/>
              <w:rPr>
                <w:sz w:val="20"/>
                <w:szCs w:val="20"/>
                <w:lang w:val="en-CA" w:eastAsia="en-CA"/>
              </w:rPr>
            </w:pPr>
            <w:r w:rsidRPr="006C28DF">
              <w:rPr>
                <w:sz w:val="20"/>
                <w:szCs w:val="20"/>
                <w:lang w:val="en-CA" w:eastAsia="en-CA"/>
              </w:rPr>
              <w:t>Ethiopia</w:t>
            </w:r>
          </w:p>
        </w:tc>
        <w:tc>
          <w:tcPr>
            <w:tcW w:w="980" w:type="dxa"/>
            <w:tcBorders>
              <w:top w:val="nil"/>
              <w:left w:val="nil"/>
              <w:bottom w:val="single" w:sz="4" w:space="0" w:color="auto"/>
              <w:right w:val="single" w:sz="4" w:space="0" w:color="auto"/>
            </w:tcBorders>
            <w:shd w:val="clear" w:color="auto" w:fill="auto"/>
            <w:hideMark/>
          </w:tcPr>
          <w:p w14:paraId="0DB37D0B"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9D0C9AA"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19D56137"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29FF4862"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4188A36E"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31F285E8"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BFEBAE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BDD64E5" w14:textId="77777777" w:rsidR="006C28DF" w:rsidRPr="006C28DF" w:rsidRDefault="006C28DF" w:rsidP="006C28DF">
            <w:pPr>
              <w:jc w:val="left"/>
              <w:rPr>
                <w:sz w:val="20"/>
                <w:szCs w:val="20"/>
                <w:lang w:val="en-CA" w:eastAsia="en-CA"/>
              </w:rPr>
            </w:pPr>
            <w:r w:rsidRPr="006C28DF">
              <w:rPr>
                <w:sz w:val="20"/>
                <w:szCs w:val="20"/>
                <w:lang w:val="en-CA" w:eastAsia="en-CA"/>
              </w:rPr>
              <w:t>Fiji</w:t>
            </w:r>
          </w:p>
        </w:tc>
        <w:tc>
          <w:tcPr>
            <w:tcW w:w="980" w:type="dxa"/>
            <w:tcBorders>
              <w:top w:val="nil"/>
              <w:left w:val="nil"/>
              <w:bottom w:val="single" w:sz="4" w:space="0" w:color="auto"/>
              <w:right w:val="single" w:sz="4" w:space="0" w:color="auto"/>
            </w:tcBorders>
            <w:shd w:val="clear" w:color="auto" w:fill="auto"/>
            <w:hideMark/>
          </w:tcPr>
          <w:p w14:paraId="477450F3"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5452571D"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5E4CF6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5F54A0E" w14:textId="77777777" w:rsidR="006C28DF" w:rsidRPr="006C28DF" w:rsidRDefault="006C28DF" w:rsidP="006C28DF">
            <w:pPr>
              <w:jc w:val="left"/>
              <w:rPr>
                <w:sz w:val="20"/>
                <w:szCs w:val="20"/>
                <w:lang w:val="en-CA" w:eastAsia="en-CA"/>
              </w:rPr>
            </w:pPr>
            <w:r w:rsidRPr="006C28DF">
              <w:rPr>
                <w:sz w:val="20"/>
                <w:szCs w:val="20"/>
                <w:lang w:val="en-CA" w:eastAsia="en-CA"/>
              </w:rPr>
              <w:t>Stage II HPMP Preparation</w:t>
            </w:r>
          </w:p>
        </w:tc>
        <w:tc>
          <w:tcPr>
            <w:tcW w:w="1148" w:type="dxa"/>
            <w:tcBorders>
              <w:top w:val="nil"/>
              <w:left w:val="nil"/>
              <w:bottom w:val="single" w:sz="4" w:space="0" w:color="auto"/>
              <w:right w:val="single" w:sz="4" w:space="0" w:color="auto"/>
            </w:tcBorders>
            <w:shd w:val="clear" w:color="auto" w:fill="auto"/>
            <w:hideMark/>
          </w:tcPr>
          <w:p w14:paraId="0E26D860" w14:textId="77777777" w:rsidR="006C28DF" w:rsidRPr="006C28DF" w:rsidRDefault="006C28DF" w:rsidP="006C28DF">
            <w:pPr>
              <w:jc w:val="right"/>
              <w:rPr>
                <w:sz w:val="20"/>
                <w:szCs w:val="20"/>
                <w:lang w:val="en-CA" w:eastAsia="en-CA"/>
              </w:rPr>
            </w:pPr>
            <w:r w:rsidRPr="006C28DF">
              <w:rPr>
                <w:sz w:val="20"/>
                <w:szCs w:val="20"/>
                <w:lang w:val="en-CA" w:eastAsia="en-CA"/>
              </w:rPr>
              <w:t>12</w:t>
            </w:r>
          </w:p>
        </w:tc>
        <w:tc>
          <w:tcPr>
            <w:tcW w:w="976" w:type="dxa"/>
            <w:tcBorders>
              <w:top w:val="nil"/>
              <w:left w:val="nil"/>
              <w:bottom w:val="single" w:sz="4" w:space="0" w:color="auto"/>
              <w:right w:val="single" w:sz="4" w:space="0" w:color="auto"/>
            </w:tcBorders>
            <w:shd w:val="clear" w:color="auto" w:fill="auto"/>
            <w:hideMark/>
          </w:tcPr>
          <w:p w14:paraId="034793D3"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7E96C4E5"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655F58F" w14:textId="77777777" w:rsidR="006C28DF" w:rsidRPr="006C28DF" w:rsidRDefault="006C28DF" w:rsidP="006C28DF">
            <w:pPr>
              <w:jc w:val="left"/>
              <w:rPr>
                <w:sz w:val="20"/>
                <w:szCs w:val="20"/>
                <w:lang w:val="en-CA" w:eastAsia="en-CA"/>
              </w:rPr>
            </w:pPr>
            <w:r w:rsidRPr="006C28DF">
              <w:rPr>
                <w:sz w:val="20"/>
                <w:szCs w:val="20"/>
                <w:lang w:val="en-CA" w:eastAsia="en-CA"/>
              </w:rPr>
              <w:t>Fiji</w:t>
            </w:r>
          </w:p>
        </w:tc>
        <w:tc>
          <w:tcPr>
            <w:tcW w:w="980" w:type="dxa"/>
            <w:tcBorders>
              <w:top w:val="nil"/>
              <w:left w:val="nil"/>
              <w:bottom w:val="single" w:sz="4" w:space="0" w:color="auto"/>
              <w:right w:val="single" w:sz="4" w:space="0" w:color="auto"/>
            </w:tcBorders>
            <w:shd w:val="clear" w:color="auto" w:fill="auto"/>
            <w:hideMark/>
          </w:tcPr>
          <w:p w14:paraId="4ABA493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7987E47"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03150D1"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EF658C3"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2BB80DD4"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4EF74173"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A300B0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90C8983" w14:textId="77777777" w:rsidR="006C28DF" w:rsidRPr="006C28DF" w:rsidRDefault="006C28DF" w:rsidP="006C28DF">
            <w:pPr>
              <w:jc w:val="left"/>
              <w:rPr>
                <w:sz w:val="20"/>
                <w:szCs w:val="20"/>
                <w:lang w:val="en-CA" w:eastAsia="en-CA"/>
              </w:rPr>
            </w:pPr>
            <w:r w:rsidRPr="006C28DF">
              <w:rPr>
                <w:sz w:val="20"/>
                <w:szCs w:val="20"/>
                <w:lang w:val="en-CA" w:eastAsia="en-CA"/>
              </w:rPr>
              <w:t>Fiji</w:t>
            </w:r>
          </w:p>
        </w:tc>
        <w:tc>
          <w:tcPr>
            <w:tcW w:w="980" w:type="dxa"/>
            <w:tcBorders>
              <w:top w:val="nil"/>
              <w:left w:val="nil"/>
              <w:bottom w:val="single" w:sz="4" w:space="0" w:color="auto"/>
              <w:right w:val="single" w:sz="4" w:space="0" w:color="auto"/>
            </w:tcBorders>
            <w:shd w:val="clear" w:color="auto" w:fill="auto"/>
            <w:hideMark/>
          </w:tcPr>
          <w:p w14:paraId="71045E66"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FA659FA"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BD6AD74"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35C9089E"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7C5C6831"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001614FE"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5F41BF8A"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50249CBB" w14:textId="77777777" w:rsidR="006C28DF" w:rsidRPr="006C28DF" w:rsidRDefault="006C28DF" w:rsidP="006C28DF">
            <w:pPr>
              <w:jc w:val="left"/>
              <w:rPr>
                <w:sz w:val="20"/>
                <w:szCs w:val="20"/>
                <w:lang w:val="en-CA" w:eastAsia="en-CA"/>
              </w:rPr>
            </w:pPr>
            <w:r w:rsidRPr="006C28DF">
              <w:rPr>
                <w:sz w:val="20"/>
                <w:szCs w:val="20"/>
                <w:lang w:val="en-CA" w:eastAsia="en-CA"/>
              </w:rPr>
              <w:t>Gabon</w:t>
            </w:r>
          </w:p>
        </w:tc>
        <w:tc>
          <w:tcPr>
            <w:tcW w:w="980" w:type="dxa"/>
            <w:tcBorders>
              <w:top w:val="nil"/>
              <w:left w:val="nil"/>
              <w:bottom w:val="single" w:sz="4" w:space="0" w:color="auto"/>
              <w:right w:val="single" w:sz="4" w:space="0" w:color="auto"/>
            </w:tcBorders>
            <w:shd w:val="clear" w:color="auto" w:fill="auto"/>
            <w:hideMark/>
          </w:tcPr>
          <w:p w14:paraId="279DA37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59453BC"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065D2EC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FD8A68B"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7579EDF2" w14:textId="77777777" w:rsidR="006C28DF" w:rsidRPr="006C28DF" w:rsidRDefault="006C28DF" w:rsidP="006C28DF">
            <w:pPr>
              <w:jc w:val="right"/>
              <w:rPr>
                <w:sz w:val="20"/>
                <w:szCs w:val="20"/>
                <w:lang w:val="en-CA" w:eastAsia="en-CA"/>
              </w:rPr>
            </w:pPr>
            <w:r w:rsidRPr="006C28DF">
              <w:rPr>
                <w:sz w:val="20"/>
                <w:szCs w:val="20"/>
                <w:lang w:val="en-CA" w:eastAsia="en-CA"/>
              </w:rPr>
              <w:t>57</w:t>
            </w:r>
          </w:p>
        </w:tc>
        <w:tc>
          <w:tcPr>
            <w:tcW w:w="976" w:type="dxa"/>
            <w:tcBorders>
              <w:top w:val="nil"/>
              <w:left w:val="nil"/>
              <w:bottom w:val="single" w:sz="4" w:space="0" w:color="auto"/>
              <w:right w:val="single" w:sz="4" w:space="0" w:color="auto"/>
            </w:tcBorders>
            <w:shd w:val="clear" w:color="auto" w:fill="auto"/>
            <w:hideMark/>
          </w:tcPr>
          <w:p w14:paraId="61AA59BE" w14:textId="77777777" w:rsidR="006C28DF" w:rsidRPr="006C28DF" w:rsidRDefault="006C28DF" w:rsidP="006C28DF">
            <w:pPr>
              <w:jc w:val="right"/>
              <w:rPr>
                <w:sz w:val="20"/>
                <w:szCs w:val="20"/>
                <w:lang w:val="en-CA" w:eastAsia="en-CA"/>
              </w:rPr>
            </w:pPr>
            <w:r w:rsidRPr="006C28DF">
              <w:rPr>
                <w:sz w:val="20"/>
                <w:szCs w:val="20"/>
                <w:lang w:val="en-CA" w:eastAsia="en-CA"/>
              </w:rPr>
              <w:t>1.0</w:t>
            </w:r>
          </w:p>
        </w:tc>
      </w:tr>
      <w:tr w:rsidR="006C28DF" w:rsidRPr="006C28DF" w14:paraId="35DEB96F"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85DF216" w14:textId="77777777" w:rsidR="006C28DF" w:rsidRPr="006C28DF" w:rsidRDefault="006C28DF" w:rsidP="006C28DF">
            <w:pPr>
              <w:jc w:val="left"/>
              <w:rPr>
                <w:sz w:val="20"/>
                <w:szCs w:val="20"/>
                <w:lang w:val="en-CA" w:eastAsia="en-CA"/>
              </w:rPr>
            </w:pPr>
            <w:r w:rsidRPr="006C28DF">
              <w:rPr>
                <w:sz w:val="20"/>
                <w:szCs w:val="20"/>
                <w:lang w:val="en-CA" w:eastAsia="en-CA"/>
              </w:rPr>
              <w:t>Gambia (the)</w:t>
            </w:r>
          </w:p>
        </w:tc>
        <w:tc>
          <w:tcPr>
            <w:tcW w:w="980" w:type="dxa"/>
            <w:tcBorders>
              <w:top w:val="nil"/>
              <w:left w:val="nil"/>
              <w:bottom w:val="single" w:sz="4" w:space="0" w:color="auto"/>
              <w:right w:val="single" w:sz="4" w:space="0" w:color="auto"/>
            </w:tcBorders>
            <w:shd w:val="clear" w:color="auto" w:fill="auto"/>
            <w:hideMark/>
          </w:tcPr>
          <w:p w14:paraId="471D37D8"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6F42B11"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2024FD99"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621A8EE"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145A7DD7" w14:textId="77777777" w:rsidR="006C28DF" w:rsidRPr="006C28DF" w:rsidRDefault="006C28DF" w:rsidP="006C28DF">
            <w:pPr>
              <w:jc w:val="right"/>
              <w:rPr>
                <w:sz w:val="20"/>
                <w:szCs w:val="20"/>
                <w:lang w:val="en-CA" w:eastAsia="en-CA"/>
              </w:rPr>
            </w:pPr>
            <w:r w:rsidRPr="006C28DF">
              <w:rPr>
                <w:sz w:val="20"/>
                <w:szCs w:val="20"/>
                <w:lang w:val="en-CA" w:eastAsia="en-CA"/>
              </w:rPr>
              <w:t>24</w:t>
            </w:r>
          </w:p>
        </w:tc>
        <w:tc>
          <w:tcPr>
            <w:tcW w:w="976" w:type="dxa"/>
            <w:tcBorders>
              <w:top w:val="nil"/>
              <w:left w:val="nil"/>
              <w:bottom w:val="single" w:sz="4" w:space="0" w:color="auto"/>
              <w:right w:val="single" w:sz="4" w:space="0" w:color="auto"/>
            </w:tcBorders>
            <w:shd w:val="clear" w:color="auto" w:fill="auto"/>
            <w:hideMark/>
          </w:tcPr>
          <w:p w14:paraId="6E9A709A" w14:textId="77777777" w:rsidR="006C28DF" w:rsidRPr="006C28DF" w:rsidRDefault="006C28DF" w:rsidP="006C28DF">
            <w:pPr>
              <w:jc w:val="right"/>
              <w:rPr>
                <w:sz w:val="20"/>
                <w:szCs w:val="20"/>
                <w:lang w:val="en-CA" w:eastAsia="en-CA"/>
              </w:rPr>
            </w:pPr>
            <w:r w:rsidRPr="006C28DF">
              <w:rPr>
                <w:sz w:val="20"/>
                <w:szCs w:val="20"/>
                <w:lang w:val="en-CA" w:eastAsia="en-CA"/>
              </w:rPr>
              <w:t>0.1</w:t>
            </w:r>
          </w:p>
        </w:tc>
      </w:tr>
      <w:tr w:rsidR="006C28DF" w:rsidRPr="006C28DF" w14:paraId="73F5D33B"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C7CA9F8" w14:textId="77777777" w:rsidR="006C28DF" w:rsidRPr="006C28DF" w:rsidRDefault="006C28DF" w:rsidP="006C28DF">
            <w:pPr>
              <w:jc w:val="left"/>
              <w:rPr>
                <w:sz w:val="20"/>
                <w:szCs w:val="20"/>
                <w:lang w:val="en-CA" w:eastAsia="en-CA"/>
              </w:rPr>
            </w:pPr>
            <w:r w:rsidRPr="006C28DF">
              <w:rPr>
                <w:sz w:val="20"/>
                <w:szCs w:val="20"/>
                <w:lang w:val="en-CA" w:eastAsia="en-CA"/>
              </w:rPr>
              <w:t>Gambia (the)</w:t>
            </w:r>
          </w:p>
        </w:tc>
        <w:tc>
          <w:tcPr>
            <w:tcW w:w="980" w:type="dxa"/>
            <w:tcBorders>
              <w:top w:val="nil"/>
              <w:left w:val="nil"/>
              <w:bottom w:val="single" w:sz="4" w:space="0" w:color="auto"/>
              <w:right w:val="single" w:sz="4" w:space="0" w:color="auto"/>
            </w:tcBorders>
            <w:shd w:val="clear" w:color="auto" w:fill="auto"/>
            <w:hideMark/>
          </w:tcPr>
          <w:p w14:paraId="15917659"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875F35A"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30056DF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B581490"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5D19B9DE"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3EFC6685"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5930D17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8B5733F" w14:textId="77777777" w:rsidR="006C28DF" w:rsidRPr="006C28DF" w:rsidRDefault="006C28DF" w:rsidP="006C28DF">
            <w:pPr>
              <w:jc w:val="left"/>
              <w:rPr>
                <w:sz w:val="20"/>
                <w:szCs w:val="20"/>
                <w:lang w:val="en-CA" w:eastAsia="en-CA"/>
              </w:rPr>
            </w:pPr>
            <w:r w:rsidRPr="006C28DF">
              <w:rPr>
                <w:sz w:val="20"/>
                <w:szCs w:val="20"/>
                <w:lang w:val="en-CA" w:eastAsia="en-CA"/>
              </w:rPr>
              <w:t>Gambia (the)</w:t>
            </w:r>
          </w:p>
        </w:tc>
        <w:tc>
          <w:tcPr>
            <w:tcW w:w="980" w:type="dxa"/>
            <w:tcBorders>
              <w:top w:val="nil"/>
              <w:left w:val="nil"/>
              <w:bottom w:val="single" w:sz="4" w:space="0" w:color="auto"/>
              <w:right w:val="single" w:sz="4" w:space="0" w:color="auto"/>
            </w:tcBorders>
            <w:shd w:val="clear" w:color="auto" w:fill="auto"/>
            <w:hideMark/>
          </w:tcPr>
          <w:p w14:paraId="2413189F"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0BA45259"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39F7D7DB"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420B6E2"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26150380"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0F3401AC"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343945F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0E1967B" w14:textId="77777777" w:rsidR="006C28DF" w:rsidRPr="006C28DF" w:rsidRDefault="006C28DF" w:rsidP="006C28DF">
            <w:pPr>
              <w:jc w:val="left"/>
              <w:rPr>
                <w:sz w:val="20"/>
                <w:szCs w:val="20"/>
                <w:lang w:val="en-CA" w:eastAsia="en-CA"/>
              </w:rPr>
            </w:pPr>
            <w:r w:rsidRPr="006C28DF">
              <w:rPr>
                <w:sz w:val="20"/>
                <w:szCs w:val="20"/>
                <w:lang w:val="en-CA" w:eastAsia="en-CA"/>
              </w:rPr>
              <w:t>Gambia (the)</w:t>
            </w:r>
          </w:p>
        </w:tc>
        <w:tc>
          <w:tcPr>
            <w:tcW w:w="980" w:type="dxa"/>
            <w:tcBorders>
              <w:top w:val="nil"/>
              <w:left w:val="nil"/>
              <w:bottom w:val="single" w:sz="4" w:space="0" w:color="auto"/>
              <w:right w:val="single" w:sz="4" w:space="0" w:color="auto"/>
            </w:tcBorders>
            <w:shd w:val="clear" w:color="auto" w:fill="auto"/>
            <w:hideMark/>
          </w:tcPr>
          <w:p w14:paraId="2956C001"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010BF9B"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1D935D99"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397A8A94"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2D2328A2"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38DA92AA"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3F9F768"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43F10FF" w14:textId="77777777" w:rsidR="006C28DF" w:rsidRPr="006C28DF" w:rsidRDefault="006C28DF" w:rsidP="006C28DF">
            <w:pPr>
              <w:jc w:val="left"/>
              <w:rPr>
                <w:sz w:val="20"/>
                <w:szCs w:val="20"/>
                <w:lang w:val="en-CA" w:eastAsia="en-CA"/>
              </w:rPr>
            </w:pPr>
            <w:r w:rsidRPr="006C28DF">
              <w:rPr>
                <w:sz w:val="20"/>
                <w:szCs w:val="20"/>
                <w:lang w:val="en-CA" w:eastAsia="en-CA"/>
              </w:rPr>
              <w:t>Georgia</w:t>
            </w:r>
          </w:p>
        </w:tc>
        <w:tc>
          <w:tcPr>
            <w:tcW w:w="980" w:type="dxa"/>
            <w:tcBorders>
              <w:top w:val="nil"/>
              <w:left w:val="nil"/>
              <w:bottom w:val="single" w:sz="4" w:space="0" w:color="auto"/>
              <w:right w:val="single" w:sz="4" w:space="0" w:color="auto"/>
            </w:tcBorders>
            <w:shd w:val="clear" w:color="auto" w:fill="auto"/>
            <w:hideMark/>
          </w:tcPr>
          <w:p w14:paraId="527BB371"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6E9FE7B7"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7894661"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85DA41F" w14:textId="77777777" w:rsidR="006C28DF" w:rsidRPr="006C28DF" w:rsidRDefault="006C28DF" w:rsidP="006C28DF">
            <w:pPr>
              <w:jc w:val="left"/>
              <w:rPr>
                <w:sz w:val="20"/>
                <w:szCs w:val="20"/>
                <w:lang w:val="en-CA" w:eastAsia="en-CA"/>
              </w:rPr>
            </w:pPr>
            <w:r w:rsidRPr="006C28DF">
              <w:rPr>
                <w:sz w:val="20"/>
                <w:szCs w:val="20"/>
                <w:lang w:val="en-CA" w:eastAsia="en-CA"/>
              </w:rPr>
              <w:t>Stage II HPMP Preparation</w:t>
            </w:r>
          </w:p>
        </w:tc>
        <w:tc>
          <w:tcPr>
            <w:tcW w:w="1148" w:type="dxa"/>
            <w:tcBorders>
              <w:top w:val="nil"/>
              <w:left w:val="nil"/>
              <w:bottom w:val="single" w:sz="4" w:space="0" w:color="auto"/>
              <w:right w:val="single" w:sz="4" w:space="0" w:color="auto"/>
            </w:tcBorders>
            <w:shd w:val="clear" w:color="auto" w:fill="auto"/>
            <w:hideMark/>
          </w:tcPr>
          <w:p w14:paraId="7B6E0B88" w14:textId="77777777" w:rsidR="006C28DF" w:rsidRPr="006C28DF" w:rsidRDefault="006C28DF" w:rsidP="006C28DF">
            <w:pPr>
              <w:jc w:val="right"/>
              <w:rPr>
                <w:sz w:val="20"/>
                <w:szCs w:val="20"/>
                <w:lang w:val="en-CA" w:eastAsia="en-CA"/>
              </w:rPr>
            </w:pPr>
            <w:r w:rsidRPr="006C28DF">
              <w:rPr>
                <w:sz w:val="20"/>
                <w:szCs w:val="20"/>
                <w:lang w:val="en-CA" w:eastAsia="en-CA"/>
              </w:rPr>
              <w:t>32</w:t>
            </w:r>
          </w:p>
        </w:tc>
        <w:tc>
          <w:tcPr>
            <w:tcW w:w="976" w:type="dxa"/>
            <w:tcBorders>
              <w:top w:val="nil"/>
              <w:left w:val="nil"/>
              <w:bottom w:val="single" w:sz="4" w:space="0" w:color="auto"/>
              <w:right w:val="single" w:sz="4" w:space="0" w:color="auto"/>
            </w:tcBorders>
            <w:shd w:val="clear" w:color="auto" w:fill="auto"/>
            <w:hideMark/>
          </w:tcPr>
          <w:p w14:paraId="47BD4B2E"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6F8ADFF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795267F" w14:textId="77777777" w:rsidR="006C28DF" w:rsidRPr="006C28DF" w:rsidRDefault="006C28DF" w:rsidP="006C28DF">
            <w:pPr>
              <w:jc w:val="left"/>
              <w:rPr>
                <w:sz w:val="20"/>
                <w:szCs w:val="20"/>
                <w:lang w:val="en-CA" w:eastAsia="en-CA"/>
              </w:rPr>
            </w:pPr>
            <w:r w:rsidRPr="006C28DF">
              <w:rPr>
                <w:sz w:val="20"/>
                <w:szCs w:val="20"/>
                <w:lang w:val="en-CA" w:eastAsia="en-CA"/>
              </w:rPr>
              <w:t>Ghana</w:t>
            </w:r>
          </w:p>
        </w:tc>
        <w:tc>
          <w:tcPr>
            <w:tcW w:w="980" w:type="dxa"/>
            <w:tcBorders>
              <w:top w:val="nil"/>
              <w:left w:val="nil"/>
              <w:bottom w:val="single" w:sz="4" w:space="0" w:color="auto"/>
              <w:right w:val="single" w:sz="4" w:space="0" w:color="auto"/>
            </w:tcBorders>
            <w:shd w:val="clear" w:color="auto" w:fill="auto"/>
            <w:hideMark/>
          </w:tcPr>
          <w:p w14:paraId="5FF2CE8B"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00EAA6BB"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450B0D8E"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5413CE36"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6DAD9D1" w14:textId="77777777" w:rsidR="006C28DF" w:rsidRPr="006C28DF" w:rsidRDefault="006C28DF" w:rsidP="006C28DF">
            <w:pPr>
              <w:jc w:val="right"/>
              <w:rPr>
                <w:sz w:val="20"/>
                <w:szCs w:val="20"/>
                <w:lang w:val="en-CA" w:eastAsia="en-CA"/>
              </w:rPr>
            </w:pPr>
            <w:r w:rsidRPr="006C28DF">
              <w:rPr>
                <w:sz w:val="20"/>
                <w:szCs w:val="20"/>
                <w:lang w:val="en-CA" w:eastAsia="en-CA"/>
              </w:rPr>
              <w:t>191</w:t>
            </w:r>
          </w:p>
        </w:tc>
        <w:tc>
          <w:tcPr>
            <w:tcW w:w="976" w:type="dxa"/>
            <w:tcBorders>
              <w:top w:val="nil"/>
              <w:left w:val="nil"/>
              <w:bottom w:val="single" w:sz="4" w:space="0" w:color="auto"/>
              <w:right w:val="single" w:sz="4" w:space="0" w:color="auto"/>
            </w:tcBorders>
            <w:shd w:val="clear" w:color="auto" w:fill="auto"/>
            <w:hideMark/>
          </w:tcPr>
          <w:p w14:paraId="64E2E57D"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7764177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DBE4A90" w14:textId="77777777" w:rsidR="006C28DF" w:rsidRPr="006C28DF" w:rsidRDefault="006C28DF" w:rsidP="006C28DF">
            <w:pPr>
              <w:jc w:val="left"/>
              <w:rPr>
                <w:sz w:val="20"/>
                <w:szCs w:val="20"/>
                <w:lang w:val="en-CA" w:eastAsia="en-CA"/>
              </w:rPr>
            </w:pPr>
            <w:r w:rsidRPr="006C28DF">
              <w:rPr>
                <w:sz w:val="20"/>
                <w:szCs w:val="20"/>
                <w:lang w:val="en-CA" w:eastAsia="en-CA"/>
              </w:rPr>
              <w:t>Global</w:t>
            </w:r>
          </w:p>
        </w:tc>
        <w:tc>
          <w:tcPr>
            <w:tcW w:w="980" w:type="dxa"/>
            <w:tcBorders>
              <w:top w:val="nil"/>
              <w:left w:val="nil"/>
              <w:bottom w:val="single" w:sz="4" w:space="0" w:color="auto"/>
              <w:right w:val="single" w:sz="4" w:space="0" w:color="auto"/>
            </w:tcBorders>
            <w:shd w:val="clear" w:color="auto" w:fill="auto"/>
            <w:hideMark/>
          </w:tcPr>
          <w:p w14:paraId="483F55B2"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0C77045"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3E2AE268"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0E3C735F" w14:textId="77777777" w:rsidR="006C28DF" w:rsidRPr="006C28DF" w:rsidRDefault="006C28DF" w:rsidP="006C28DF">
            <w:pPr>
              <w:jc w:val="left"/>
              <w:rPr>
                <w:sz w:val="20"/>
                <w:szCs w:val="20"/>
                <w:lang w:val="en-CA" w:eastAsia="en-CA"/>
              </w:rPr>
            </w:pPr>
            <w:r w:rsidRPr="006C28DF">
              <w:rPr>
                <w:sz w:val="20"/>
                <w:szCs w:val="20"/>
                <w:lang w:val="en-CA" w:eastAsia="en-CA"/>
              </w:rPr>
              <w:t>Global CAP 2018 work programme</w:t>
            </w:r>
          </w:p>
        </w:tc>
        <w:tc>
          <w:tcPr>
            <w:tcW w:w="1148" w:type="dxa"/>
            <w:tcBorders>
              <w:top w:val="nil"/>
              <w:left w:val="nil"/>
              <w:bottom w:val="single" w:sz="4" w:space="0" w:color="auto"/>
              <w:right w:val="single" w:sz="4" w:space="0" w:color="auto"/>
            </w:tcBorders>
            <w:shd w:val="clear" w:color="auto" w:fill="auto"/>
            <w:hideMark/>
          </w:tcPr>
          <w:p w14:paraId="4022B0D8" w14:textId="77777777" w:rsidR="006C28DF" w:rsidRPr="006C28DF" w:rsidRDefault="006C28DF" w:rsidP="006C28DF">
            <w:pPr>
              <w:jc w:val="right"/>
              <w:rPr>
                <w:sz w:val="20"/>
                <w:szCs w:val="20"/>
                <w:lang w:val="en-CA" w:eastAsia="en-CA"/>
              </w:rPr>
            </w:pPr>
            <w:r w:rsidRPr="006C28DF">
              <w:rPr>
                <w:sz w:val="20"/>
                <w:szCs w:val="20"/>
                <w:lang w:val="en-CA" w:eastAsia="en-CA"/>
              </w:rPr>
              <w:t>10,972</w:t>
            </w:r>
          </w:p>
        </w:tc>
        <w:tc>
          <w:tcPr>
            <w:tcW w:w="976" w:type="dxa"/>
            <w:tcBorders>
              <w:top w:val="nil"/>
              <w:left w:val="nil"/>
              <w:bottom w:val="single" w:sz="4" w:space="0" w:color="auto"/>
              <w:right w:val="single" w:sz="4" w:space="0" w:color="auto"/>
            </w:tcBorders>
            <w:shd w:val="clear" w:color="auto" w:fill="auto"/>
            <w:hideMark/>
          </w:tcPr>
          <w:p w14:paraId="0DE72431"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4C32C2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5E5C5EA" w14:textId="77777777" w:rsidR="006C28DF" w:rsidRPr="006C28DF" w:rsidRDefault="006C28DF" w:rsidP="006C28DF">
            <w:pPr>
              <w:jc w:val="left"/>
              <w:rPr>
                <w:sz w:val="20"/>
                <w:szCs w:val="20"/>
                <w:lang w:val="en-CA" w:eastAsia="en-CA"/>
              </w:rPr>
            </w:pPr>
            <w:r w:rsidRPr="006C28DF">
              <w:rPr>
                <w:sz w:val="20"/>
                <w:szCs w:val="20"/>
                <w:lang w:val="en-CA" w:eastAsia="en-CA"/>
              </w:rPr>
              <w:t>Global</w:t>
            </w:r>
          </w:p>
        </w:tc>
        <w:tc>
          <w:tcPr>
            <w:tcW w:w="980" w:type="dxa"/>
            <w:tcBorders>
              <w:top w:val="nil"/>
              <w:left w:val="nil"/>
              <w:bottom w:val="single" w:sz="4" w:space="0" w:color="auto"/>
              <w:right w:val="single" w:sz="4" w:space="0" w:color="auto"/>
            </w:tcBorders>
            <w:shd w:val="clear" w:color="auto" w:fill="auto"/>
            <w:hideMark/>
          </w:tcPr>
          <w:p w14:paraId="6AE68223"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281B7AA4"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413CBE38"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525A3F9D" w14:textId="77777777" w:rsidR="006C28DF" w:rsidRPr="006C28DF" w:rsidRDefault="006C28DF" w:rsidP="006C28DF">
            <w:pPr>
              <w:jc w:val="left"/>
              <w:rPr>
                <w:sz w:val="20"/>
                <w:szCs w:val="20"/>
                <w:lang w:val="en-CA" w:eastAsia="en-CA"/>
              </w:rPr>
            </w:pPr>
            <w:r w:rsidRPr="006C28DF">
              <w:rPr>
                <w:sz w:val="20"/>
                <w:szCs w:val="20"/>
                <w:lang w:val="en-CA" w:eastAsia="en-CA"/>
              </w:rPr>
              <w:t>Core Unit</w:t>
            </w:r>
          </w:p>
        </w:tc>
        <w:tc>
          <w:tcPr>
            <w:tcW w:w="1148" w:type="dxa"/>
            <w:tcBorders>
              <w:top w:val="nil"/>
              <w:left w:val="nil"/>
              <w:bottom w:val="single" w:sz="4" w:space="0" w:color="auto"/>
              <w:right w:val="single" w:sz="4" w:space="0" w:color="auto"/>
            </w:tcBorders>
            <w:shd w:val="clear" w:color="auto" w:fill="auto"/>
            <w:hideMark/>
          </w:tcPr>
          <w:p w14:paraId="6B4738A2" w14:textId="77777777" w:rsidR="006C28DF" w:rsidRPr="006C28DF" w:rsidRDefault="006C28DF" w:rsidP="006C28DF">
            <w:pPr>
              <w:jc w:val="right"/>
              <w:rPr>
                <w:sz w:val="20"/>
                <w:szCs w:val="20"/>
                <w:lang w:val="en-CA" w:eastAsia="en-CA"/>
              </w:rPr>
            </w:pPr>
            <w:r w:rsidRPr="006C28DF">
              <w:rPr>
                <w:sz w:val="20"/>
                <w:szCs w:val="20"/>
                <w:lang w:val="en-CA" w:eastAsia="en-CA"/>
              </w:rPr>
              <w:t>1,735</w:t>
            </w:r>
          </w:p>
        </w:tc>
        <w:tc>
          <w:tcPr>
            <w:tcW w:w="976" w:type="dxa"/>
            <w:tcBorders>
              <w:top w:val="nil"/>
              <w:left w:val="nil"/>
              <w:bottom w:val="single" w:sz="4" w:space="0" w:color="auto"/>
              <w:right w:val="single" w:sz="4" w:space="0" w:color="auto"/>
            </w:tcBorders>
            <w:shd w:val="clear" w:color="auto" w:fill="auto"/>
            <w:hideMark/>
          </w:tcPr>
          <w:p w14:paraId="26548D73"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7387ABC"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E819090" w14:textId="77777777" w:rsidR="006C28DF" w:rsidRPr="006C28DF" w:rsidRDefault="006C28DF" w:rsidP="006C28DF">
            <w:pPr>
              <w:jc w:val="left"/>
              <w:rPr>
                <w:sz w:val="20"/>
                <w:szCs w:val="20"/>
                <w:lang w:val="en-CA" w:eastAsia="en-CA"/>
              </w:rPr>
            </w:pPr>
            <w:r w:rsidRPr="006C28DF">
              <w:rPr>
                <w:sz w:val="20"/>
                <w:szCs w:val="20"/>
                <w:lang w:val="en-CA" w:eastAsia="en-CA"/>
              </w:rPr>
              <w:t>Global</w:t>
            </w:r>
          </w:p>
        </w:tc>
        <w:tc>
          <w:tcPr>
            <w:tcW w:w="980" w:type="dxa"/>
            <w:tcBorders>
              <w:top w:val="nil"/>
              <w:left w:val="nil"/>
              <w:bottom w:val="single" w:sz="4" w:space="0" w:color="auto"/>
              <w:right w:val="single" w:sz="4" w:space="0" w:color="auto"/>
            </w:tcBorders>
            <w:shd w:val="clear" w:color="auto" w:fill="auto"/>
            <w:hideMark/>
          </w:tcPr>
          <w:p w14:paraId="6B93A739"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1A83176B"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322611F4"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798B8C50" w14:textId="77777777" w:rsidR="006C28DF" w:rsidRPr="006C28DF" w:rsidRDefault="006C28DF" w:rsidP="006C28DF">
            <w:pPr>
              <w:jc w:val="left"/>
              <w:rPr>
                <w:sz w:val="20"/>
                <w:szCs w:val="20"/>
                <w:lang w:val="en-CA" w:eastAsia="en-CA"/>
              </w:rPr>
            </w:pPr>
            <w:r w:rsidRPr="006C28DF">
              <w:rPr>
                <w:sz w:val="20"/>
                <w:szCs w:val="20"/>
                <w:lang w:val="en-CA" w:eastAsia="en-CA"/>
              </w:rPr>
              <w:t>Core Unit</w:t>
            </w:r>
          </w:p>
        </w:tc>
        <w:tc>
          <w:tcPr>
            <w:tcW w:w="1148" w:type="dxa"/>
            <w:tcBorders>
              <w:top w:val="nil"/>
              <w:left w:val="nil"/>
              <w:bottom w:val="single" w:sz="4" w:space="0" w:color="auto"/>
              <w:right w:val="single" w:sz="4" w:space="0" w:color="auto"/>
            </w:tcBorders>
            <w:shd w:val="clear" w:color="auto" w:fill="auto"/>
            <w:hideMark/>
          </w:tcPr>
          <w:p w14:paraId="7992CE9F" w14:textId="77777777" w:rsidR="006C28DF" w:rsidRPr="006C28DF" w:rsidRDefault="006C28DF" w:rsidP="006C28DF">
            <w:pPr>
              <w:jc w:val="right"/>
              <w:rPr>
                <w:sz w:val="20"/>
                <w:szCs w:val="20"/>
                <w:lang w:val="en-CA" w:eastAsia="en-CA"/>
              </w:rPr>
            </w:pPr>
            <w:r w:rsidRPr="006C28DF">
              <w:rPr>
                <w:sz w:val="20"/>
                <w:szCs w:val="20"/>
                <w:lang w:val="en-CA" w:eastAsia="en-CA"/>
              </w:rPr>
              <w:t>2,084</w:t>
            </w:r>
          </w:p>
        </w:tc>
        <w:tc>
          <w:tcPr>
            <w:tcW w:w="976" w:type="dxa"/>
            <w:tcBorders>
              <w:top w:val="nil"/>
              <w:left w:val="nil"/>
              <w:bottom w:val="single" w:sz="4" w:space="0" w:color="auto"/>
              <w:right w:val="single" w:sz="4" w:space="0" w:color="auto"/>
            </w:tcBorders>
            <w:shd w:val="clear" w:color="auto" w:fill="auto"/>
            <w:hideMark/>
          </w:tcPr>
          <w:p w14:paraId="100DA9D1"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38374721"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CC966E5" w14:textId="77777777" w:rsidR="006C28DF" w:rsidRPr="006C28DF" w:rsidRDefault="006C28DF" w:rsidP="006C28DF">
            <w:pPr>
              <w:jc w:val="left"/>
              <w:rPr>
                <w:sz w:val="20"/>
                <w:szCs w:val="20"/>
                <w:lang w:val="en-CA" w:eastAsia="en-CA"/>
              </w:rPr>
            </w:pPr>
            <w:r w:rsidRPr="006C28DF">
              <w:rPr>
                <w:sz w:val="20"/>
                <w:szCs w:val="20"/>
                <w:lang w:val="en-CA" w:eastAsia="en-CA"/>
              </w:rPr>
              <w:t>Global</w:t>
            </w:r>
          </w:p>
        </w:tc>
        <w:tc>
          <w:tcPr>
            <w:tcW w:w="980" w:type="dxa"/>
            <w:tcBorders>
              <w:top w:val="nil"/>
              <w:left w:val="nil"/>
              <w:bottom w:val="single" w:sz="4" w:space="0" w:color="auto"/>
              <w:right w:val="single" w:sz="4" w:space="0" w:color="auto"/>
            </w:tcBorders>
            <w:shd w:val="clear" w:color="auto" w:fill="auto"/>
            <w:hideMark/>
          </w:tcPr>
          <w:p w14:paraId="657D4EE8"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134913D1"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758A043A" w14:textId="77777777" w:rsidR="006C28DF" w:rsidRPr="006C28DF" w:rsidRDefault="006C28DF" w:rsidP="006C28DF">
            <w:pPr>
              <w:jc w:val="center"/>
              <w:rPr>
                <w:sz w:val="20"/>
                <w:szCs w:val="20"/>
                <w:lang w:val="en-CA" w:eastAsia="en-CA"/>
              </w:rPr>
            </w:pPr>
            <w:r w:rsidRPr="006C28DF">
              <w:rPr>
                <w:sz w:val="20"/>
                <w:szCs w:val="20"/>
                <w:lang w:val="en-CA" w:eastAsia="en-CA"/>
              </w:rPr>
              <w:t> </w:t>
            </w:r>
          </w:p>
        </w:tc>
        <w:tc>
          <w:tcPr>
            <w:tcW w:w="3779" w:type="dxa"/>
            <w:tcBorders>
              <w:top w:val="nil"/>
              <w:left w:val="nil"/>
              <w:bottom w:val="single" w:sz="4" w:space="0" w:color="auto"/>
              <w:right w:val="single" w:sz="4" w:space="0" w:color="auto"/>
            </w:tcBorders>
            <w:shd w:val="clear" w:color="auto" w:fill="auto"/>
            <w:hideMark/>
          </w:tcPr>
          <w:p w14:paraId="4AD113F7" w14:textId="77777777" w:rsidR="006C28DF" w:rsidRPr="006C28DF" w:rsidRDefault="006C28DF" w:rsidP="006C28DF">
            <w:pPr>
              <w:jc w:val="left"/>
              <w:rPr>
                <w:sz w:val="20"/>
                <w:szCs w:val="20"/>
                <w:lang w:val="en-CA" w:eastAsia="en-CA"/>
              </w:rPr>
            </w:pPr>
            <w:r w:rsidRPr="006C28DF">
              <w:rPr>
                <w:sz w:val="20"/>
                <w:szCs w:val="20"/>
                <w:lang w:val="en-CA" w:eastAsia="en-CA"/>
              </w:rPr>
              <w:t>Core Unit</w:t>
            </w:r>
          </w:p>
        </w:tc>
        <w:tc>
          <w:tcPr>
            <w:tcW w:w="1148" w:type="dxa"/>
            <w:tcBorders>
              <w:top w:val="nil"/>
              <w:left w:val="nil"/>
              <w:bottom w:val="single" w:sz="4" w:space="0" w:color="auto"/>
              <w:right w:val="single" w:sz="4" w:space="0" w:color="auto"/>
            </w:tcBorders>
            <w:shd w:val="clear" w:color="auto" w:fill="auto"/>
            <w:hideMark/>
          </w:tcPr>
          <w:p w14:paraId="51F7BDFA" w14:textId="77777777" w:rsidR="006C28DF" w:rsidRPr="006C28DF" w:rsidRDefault="006C28DF" w:rsidP="006C28DF">
            <w:pPr>
              <w:jc w:val="right"/>
              <w:rPr>
                <w:sz w:val="20"/>
                <w:szCs w:val="20"/>
                <w:lang w:val="en-CA" w:eastAsia="en-CA"/>
              </w:rPr>
            </w:pPr>
            <w:r w:rsidRPr="006C28DF">
              <w:rPr>
                <w:sz w:val="20"/>
                <w:szCs w:val="20"/>
                <w:lang w:val="en-CA" w:eastAsia="en-CA"/>
              </w:rPr>
              <w:t>2,084</w:t>
            </w:r>
          </w:p>
        </w:tc>
        <w:tc>
          <w:tcPr>
            <w:tcW w:w="976" w:type="dxa"/>
            <w:tcBorders>
              <w:top w:val="nil"/>
              <w:left w:val="nil"/>
              <w:bottom w:val="single" w:sz="4" w:space="0" w:color="auto"/>
              <w:right w:val="single" w:sz="4" w:space="0" w:color="auto"/>
            </w:tcBorders>
            <w:shd w:val="clear" w:color="auto" w:fill="auto"/>
            <w:hideMark/>
          </w:tcPr>
          <w:p w14:paraId="283FF218"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5670E71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BB0909C" w14:textId="77777777" w:rsidR="006C28DF" w:rsidRPr="006C28DF" w:rsidRDefault="006C28DF" w:rsidP="006C28DF">
            <w:pPr>
              <w:jc w:val="left"/>
              <w:rPr>
                <w:sz w:val="20"/>
                <w:szCs w:val="20"/>
                <w:lang w:val="en-CA" w:eastAsia="en-CA"/>
              </w:rPr>
            </w:pPr>
            <w:r w:rsidRPr="006C28DF">
              <w:rPr>
                <w:sz w:val="20"/>
                <w:szCs w:val="20"/>
                <w:lang w:val="en-CA" w:eastAsia="en-CA"/>
              </w:rPr>
              <w:t>Global</w:t>
            </w:r>
          </w:p>
        </w:tc>
        <w:tc>
          <w:tcPr>
            <w:tcW w:w="980" w:type="dxa"/>
            <w:tcBorders>
              <w:top w:val="nil"/>
              <w:left w:val="nil"/>
              <w:bottom w:val="single" w:sz="4" w:space="0" w:color="auto"/>
              <w:right w:val="single" w:sz="4" w:space="0" w:color="auto"/>
            </w:tcBorders>
            <w:shd w:val="clear" w:color="auto" w:fill="auto"/>
            <w:hideMark/>
          </w:tcPr>
          <w:p w14:paraId="7FA87F6B" w14:textId="77777777" w:rsidR="006C28DF" w:rsidRPr="006C28DF" w:rsidRDefault="006C28DF" w:rsidP="006C28DF">
            <w:pPr>
              <w:jc w:val="center"/>
              <w:rPr>
                <w:sz w:val="20"/>
                <w:szCs w:val="20"/>
                <w:lang w:val="en-CA" w:eastAsia="en-CA"/>
              </w:rPr>
            </w:pPr>
            <w:r w:rsidRPr="006C28DF">
              <w:rPr>
                <w:sz w:val="20"/>
                <w:szCs w:val="20"/>
                <w:lang w:val="en-CA" w:eastAsia="en-CA"/>
              </w:rPr>
              <w:t>ALL</w:t>
            </w:r>
          </w:p>
        </w:tc>
        <w:tc>
          <w:tcPr>
            <w:tcW w:w="721" w:type="dxa"/>
            <w:tcBorders>
              <w:top w:val="nil"/>
              <w:left w:val="nil"/>
              <w:bottom w:val="single" w:sz="4" w:space="0" w:color="auto"/>
              <w:right w:val="single" w:sz="4" w:space="0" w:color="auto"/>
            </w:tcBorders>
            <w:shd w:val="clear" w:color="auto" w:fill="auto"/>
            <w:hideMark/>
          </w:tcPr>
          <w:p w14:paraId="7E2D2866"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2573CD1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68EA9F7" w14:textId="77777777" w:rsidR="006C28DF" w:rsidRPr="006C28DF" w:rsidRDefault="006C28DF" w:rsidP="006C28DF">
            <w:pPr>
              <w:jc w:val="left"/>
              <w:rPr>
                <w:sz w:val="20"/>
                <w:szCs w:val="20"/>
                <w:lang w:val="en-CA" w:eastAsia="en-CA"/>
              </w:rPr>
            </w:pPr>
            <w:r w:rsidRPr="006C28DF">
              <w:rPr>
                <w:sz w:val="20"/>
                <w:szCs w:val="20"/>
                <w:lang w:val="en-CA" w:eastAsia="en-CA"/>
              </w:rPr>
              <w:t>HPMP Verification</w:t>
            </w:r>
          </w:p>
        </w:tc>
        <w:tc>
          <w:tcPr>
            <w:tcW w:w="1148" w:type="dxa"/>
            <w:tcBorders>
              <w:top w:val="nil"/>
              <w:left w:val="nil"/>
              <w:bottom w:val="single" w:sz="4" w:space="0" w:color="auto"/>
              <w:right w:val="single" w:sz="4" w:space="0" w:color="auto"/>
            </w:tcBorders>
            <w:shd w:val="clear" w:color="auto" w:fill="auto"/>
            <w:hideMark/>
          </w:tcPr>
          <w:p w14:paraId="0A1B49B1" w14:textId="77777777" w:rsidR="006C28DF" w:rsidRPr="006C28DF" w:rsidRDefault="006C28DF" w:rsidP="006C28DF">
            <w:pPr>
              <w:jc w:val="right"/>
              <w:rPr>
                <w:sz w:val="20"/>
                <w:szCs w:val="20"/>
                <w:lang w:val="en-CA" w:eastAsia="en-CA"/>
              </w:rPr>
            </w:pPr>
            <w:r w:rsidRPr="006C28DF">
              <w:rPr>
                <w:sz w:val="20"/>
                <w:szCs w:val="20"/>
                <w:lang w:val="en-CA" w:eastAsia="en-CA"/>
              </w:rPr>
              <w:t>589</w:t>
            </w:r>
          </w:p>
        </w:tc>
        <w:tc>
          <w:tcPr>
            <w:tcW w:w="976" w:type="dxa"/>
            <w:tcBorders>
              <w:top w:val="nil"/>
              <w:left w:val="nil"/>
              <w:bottom w:val="single" w:sz="4" w:space="0" w:color="auto"/>
              <w:right w:val="single" w:sz="4" w:space="0" w:color="auto"/>
            </w:tcBorders>
            <w:shd w:val="clear" w:color="auto" w:fill="auto"/>
            <w:hideMark/>
          </w:tcPr>
          <w:p w14:paraId="53E6C06D" w14:textId="77777777" w:rsidR="006C28DF" w:rsidRPr="006C28DF" w:rsidRDefault="006C28DF" w:rsidP="006C28DF">
            <w:pPr>
              <w:jc w:val="left"/>
              <w:rPr>
                <w:sz w:val="20"/>
                <w:szCs w:val="20"/>
                <w:lang w:val="en-CA" w:eastAsia="en-CA"/>
              </w:rPr>
            </w:pPr>
            <w:r w:rsidRPr="006C28DF">
              <w:rPr>
                <w:sz w:val="20"/>
                <w:szCs w:val="20"/>
                <w:lang w:val="en-CA" w:eastAsia="en-CA"/>
              </w:rPr>
              <w:t> </w:t>
            </w:r>
          </w:p>
        </w:tc>
      </w:tr>
      <w:tr w:rsidR="006C28DF" w:rsidRPr="006C28DF" w14:paraId="52C0364D"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445F5BB7" w14:textId="77777777" w:rsidR="006C28DF" w:rsidRPr="006C28DF" w:rsidRDefault="006C28DF" w:rsidP="006C28DF">
            <w:pPr>
              <w:jc w:val="left"/>
              <w:rPr>
                <w:sz w:val="20"/>
                <w:szCs w:val="20"/>
                <w:lang w:val="en-CA" w:eastAsia="en-CA"/>
              </w:rPr>
            </w:pPr>
            <w:r w:rsidRPr="006C28DF">
              <w:rPr>
                <w:sz w:val="20"/>
                <w:szCs w:val="20"/>
                <w:lang w:val="en-CA" w:eastAsia="en-CA"/>
              </w:rPr>
              <w:t>Grenada</w:t>
            </w:r>
          </w:p>
        </w:tc>
        <w:tc>
          <w:tcPr>
            <w:tcW w:w="980" w:type="dxa"/>
            <w:tcBorders>
              <w:top w:val="nil"/>
              <w:left w:val="nil"/>
              <w:bottom w:val="single" w:sz="4" w:space="0" w:color="auto"/>
              <w:right w:val="single" w:sz="4" w:space="0" w:color="auto"/>
            </w:tcBorders>
            <w:shd w:val="clear" w:color="auto" w:fill="auto"/>
            <w:hideMark/>
          </w:tcPr>
          <w:p w14:paraId="194E51F3"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CAAA247"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920772D"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D88DD14"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2696190A"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674B6720"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6A04136"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2F01598" w14:textId="77777777" w:rsidR="006C28DF" w:rsidRPr="006C28DF" w:rsidRDefault="006C28DF" w:rsidP="006C28DF">
            <w:pPr>
              <w:jc w:val="left"/>
              <w:rPr>
                <w:sz w:val="20"/>
                <w:szCs w:val="20"/>
                <w:lang w:val="en-CA" w:eastAsia="en-CA"/>
              </w:rPr>
            </w:pPr>
            <w:r w:rsidRPr="006C28DF">
              <w:rPr>
                <w:sz w:val="20"/>
                <w:szCs w:val="20"/>
                <w:lang w:val="en-CA" w:eastAsia="en-CA"/>
              </w:rPr>
              <w:lastRenderedPageBreak/>
              <w:t>Guatemala</w:t>
            </w:r>
          </w:p>
        </w:tc>
        <w:tc>
          <w:tcPr>
            <w:tcW w:w="980" w:type="dxa"/>
            <w:tcBorders>
              <w:top w:val="nil"/>
              <w:left w:val="nil"/>
              <w:bottom w:val="single" w:sz="4" w:space="0" w:color="auto"/>
              <w:right w:val="single" w:sz="4" w:space="0" w:color="auto"/>
            </w:tcBorders>
            <w:shd w:val="clear" w:color="auto" w:fill="auto"/>
            <w:hideMark/>
          </w:tcPr>
          <w:p w14:paraId="3F793818"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869BC53"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B6A7A31"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EDE92ED"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7BB761F0" w14:textId="77777777" w:rsidR="006C28DF" w:rsidRPr="006C28DF" w:rsidRDefault="006C28DF" w:rsidP="006C28DF">
            <w:pPr>
              <w:jc w:val="right"/>
              <w:rPr>
                <w:sz w:val="20"/>
                <w:szCs w:val="20"/>
                <w:lang w:val="en-CA" w:eastAsia="en-CA"/>
              </w:rPr>
            </w:pPr>
            <w:r w:rsidRPr="006C28DF">
              <w:rPr>
                <w:sz w:val="20"/>
                <w:szCs w:val="20"/>
                <w:lang w:val="en-CA" w:eastAsia="en-CA"/>
              </w:rPr>
              <w:t>17</w:t>
            </w:r>
          </w:p>
        </w:tc>
        <w:tc>
          <w:tcPr>
            <w:tcW w:w="976" w:type="dxa"/>
            <w:tcBorders>
              <w:top w:val="nil"/>
              <w:left w:val="nil"/>
              <w:bottom w:val="single" w:sz="4" w:space="0" w:color="auto"/>
              <w:right w:val="single" w:sz="4" w:space="0" w:color="auto"/>
            </w:tcBorders>
            <w:shd w:val="clear" w:color="auto" w:fill="auto"/>
            <w:hideMark/>
          </w:tcPr>
          <w:p w14:paraId="45353E35"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219FA49"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CF272CE" w14:textId="77777777" w:rsidR="006C28DF" w:rsidRPr="006C28DF" w:rsidRDefault="006C28DF" w:rsidP="006C28DF">
            <w:pPr>
              <w:jc w:val="left"/>
              <w:rPr>
                <w:sz w:val="20"/>
                <w:szCs w:val="20"/>
                <w:lang w:val="en-CA" w:eastAsia="en-CA"/>
              </w:rPr>
            </w:pPr>
            <w:r w:rsidRPr="006C28DF">
              <w:rPr>
                <w:sz w:val="20"/>
                <w:szCs w:val="20"/>
                <w:lang w:val="en-CA" w:eastAsia="en-CA"/>
              </w:rPr>
              <w:t>Guatemala</w:t>
            </w:r>
          </w:p>
        </w:tc>
        <w:tc>
          <w:tcPr>
            <w:tcW w:w="980" w:type="dxa"/>
            <w:tcBorders>
              <w:top w:val="nil"/>
              <w:left w:val="nil"/>
              <w:bottom w:val="single" w:sz="4" w:space="0" w:color="auto"/>
              <w:right w:val="single" w:sz="4" w:space="0" w:color="auto"/>
            </w:tcBorders>
            <w:shd w:val="clear" w:color="auto" w:fill="auto"/>
            <w:hideMark/>
          </w:tcPr>
          <w:p w14:paraId="2C2B3FE6"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123F2629"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1BA7B0F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B3BA9F4"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0AF3A30D" w14:textId="77777777" w:rsidR="006C28DF" w:rsidRPr="006C28DF" w:rsidRDefault="006C28DF" w:rsidP="006C28DF">
            <w:pPr>
              <w:jc w:val="right"/>
              <w:rPr>
                <w:sz w:val="20"/>
                <w:szCs w:val="20"/>
                <w:lang w:val="en-CA" w:eastAsia="en-CA"/>
              </w:rPr>
            </w:pPr>
            <w:r w:rsidRPr="006C28DF">
              <w:rPr>
                <w:sz w:val="20"/>
                <w:szCs w:val="20"/>
                <w:lang w:val="en-CA" w:eastAsia="en-CA"/>
              </w:rPr>
              <w:t>27</w:t>
            </w:r>
          </w:p>
        </w:tc>
        <w:tc>
          <w:tcPr>
            <w:tcW w:w="976" w:type="dxa"/>
            <w:tcBorders>
              <w:top w:val="nil"/>
              <w:left w:val="nil"/>
              <w:bottom w:val="single" w:sz="4" w:space="0" w:color="auto"/>
              <w:right w:val="single" w:sz="4" w:space="0" w:color="auto"/>
            </w:tcBorders>
            <w:shd w:val="clear" w:color="auto" w:fill="auto"/>
            <w:hideMark/>
          </w:tcPr>
          <w:p w14:paraId="3FC2E00C"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18ABF8A5"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9A398C4" w14:textId="77777777" w:rsidR="006C28DF" w:rsidRPr="006C28DF" w:rsidRDefault="006C28DF" w:rsidP="006C28DF">
            <w:pPr>
              <w:jc w:val="left"/>
              <w:rPr>
                <w:sz w:val="20"/>
                <w:szCs w:val="20"/>
                <w:lang w:val="en-CA" w:eastAsia="en-CA"/>
              </w:rPr>
            </w:pPr>
            <w:r w:rsidRPr="006C28DF">
              <w:rPr>
                <w:sz w:val="20"/>
                <w:szCs w:val="20"/>
                <w:lang w:val="en-CA" w:eastAsia="en-CA"/>
              </w:rPr>
              <w:t>Guinea</w:t>
            </w:r>
          </w:p>
        </w:tc>
        <w:tc>
          <w:tcPr>
            <w:tcW w:w="980" w:type="dxa"/>
            <w:tcBorders>
              <w:top w:val="nil"/>
              <w:left w:val="nil"/>
              <w:bottom w:val="single" w:sz="4" w:space="0" w:color="auto"/>
              <w:right w:val="single" w:sz="4" w:space="0" w:color="auto"/>
            </w:tcBorders>
            <w:shd w:val="clear" w:color="auto" w:fill="auto"/>
            <w:hideMark/>
          </w:tcPr>
          <w:p w14:paraId="04284D4E"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92A625C"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0A0C1FAB"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E279819"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2002BAAB" w14:textId="77777777" w:rsidR="006C28DF" w:rsidRPr="006C28DF" w:rsidRDefault="006C28DF" w:rsidP="006C28DF">
            <w:pPr>
              <w:jc w:val="right"/>
              <w:rPr>
                <w:sz w:val="20"/>
                <w:szCs w:val="20"/>
                <w:lang w:val="en-CA" w:eastAsia="en-CA"/>
              </w:rPr>
            </w:pPr>
            <w:r w:rsidRPr="006C28DF">
              <w:rPr>
                <w:sz w:val="20"/>
                <w:szCs w:val="20"/>
                <w:lang w:val="en-CA" w:eastAsia="en-CA"/>
              </w:rPr>
              <w:t>130</w:t>
            </w:r>
          </w:p>
        </w:tc>
        <w:tc>
          <w:tcPr>
            <w:tcW w:w="976" w:type="dxa"/>
            <w:tcBorders>
              <w:top w:val="nil"/>
              <w:left w:val="nil"/>
              <w:bottom w:val="single" w:sz="4" w:space="0" w:color="auto"/>
              <w:right w:val="single" w:sz="4" w:space="0" w:color="auto"/>
            </w:tcBorders>
            <w:shd w:val="clear" w:color="auto" w:fill="auto"/>
            <w:hideMark/>
          </w:tcPr>
          <w:p w14:paraId="23C005D1" w14:textId="77777777" w:rsidR="006C28DF" w:rsidRPr="006C28DF" w:rsidRDefault="006C28DF" w:rsidP="006C28DF">
            <w:pPr>
              <w:jc w:val="right"/>
              <w:rPr>
                <w:sz w:val="20"/>
                <w:szCs w:val="20"/>
                <w:lang w:val="en-CA" w:eastAsia="en-CA"/>
              </w:rPr>
            </w:pPr>
            <w:r w:rsidRPr="006C28DF">
              <w:rPr>
                <w:sz w:val="20"/>
                <w:szCs w:val="20"/>
                <w:lang w:val="en-CA" w:eastAsia="en-CA"/>
              </w:rPr>
              <w:t>1.4</w:t>
            </w:r>
          </w:p>
        </w:tc>
      </w:tr>
      <w:tr w:rsidR="006C28DF" w:rsidRPr="006C28DF" w14:paraId="6FA8BCC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86EA3FE" w14:textId="77777777" w:rsidR="006C28DF" w:rsidRPr="006C28DF" w:rsidRDefault="006C28DF" w:rsidP="006C28DF">
            <w:pPr>
              <w:jc w:val="left"/>
              <w:rPr>
                <w:sz w:val="20"/>
                <w:szCs w:val="20"/>
                <w:lang w:val="en-CA" w:eastAsia="en-CA"/>
              </w:rPr>
            </w:pPr>
            <w:r w:rsidRPr="006C28DF">
              <w:rPr>
                <w:sz w:val="20"/>
                <w:szCs w:val="20"/>
                <w:lang w:val="en-CA" w:eastAsia="en-CA"/>
              </w:rPr>
              <w:t>Guinea</w:t>
            </w:r>
          </w:p>
        </w:tc>
        <w:tc>
          <w:tcPr>
            <w:tcW w:w="980" w:type="dxa"/>
            <w:tcBorders>
              <w:top w:val="nil"/>
              <w:left w:val="nil"/>
              <w:bottom w:val="single" w:sz="4" w:space="0" w:color="auto"/>
              <w:right w:val="single" w:sz="4" w:space="0" w:color="auto"/>
            </w:tcBorders>
            <w:shd w:val="clear" w:color="auto" w:fill="auto"/>
            <w:hideMark/>
          </w:tcPr>
          <w:p w14:paraId="6795F6C7"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7F291046"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562416B"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574869B" w14:textId="77777777" w:rsidR="006C28DF" w:rsidRPr="006C28DF" w:rsidRDefault="006C28DF" w:rsidP="006C28DF">
            <w:pPr>
              <w:jc w:val="left"/>
              <w:rPr>
                <w:sz w:val="20"/>
                <w:szCs w:val="20"/>
                <w:lang w:val="en-CA" w:eastAsia="en-CA"/>
              </w:rPr>
            </w:pPr>
            <w:r w:rsidRPr="006C28DF">
              <w:rPr>
                <w:sz w:val="20"/>
                <w:szCs w:val="20"/>
                <w:lang w:val="en-CA" w:eastAsia="en-CA"/>
              </w:rPr>
              <w:t>HPMP Stage I</w:t>
            </w:r>
          </w:p>
        </w:tc>
        <w:tc>
          <w:tcPr>
            <w:tcW w:w="1148" w:type="dxa"/>
            <w:tcBorders>
              <w:top w:val="nil"/>
              <w:left w:val="nil"/>
              <w:bottom w:val="single" w:sz="4" w:space="0" w:color="auto"/>
              <w:right w:val="single" w:sz="4" w:space="0" w:color="auto"/>
            </w:tcBorders>
            <w:shd w:val="clear" w:color="auto" w:fill="auto"/>
            <w:hideMark/>
          </w:tcPr>
          <w:p w14:paraId="625CAEE4" w14:textId="77777777" w:rsidR="006C28DF" w:rsidRPr="006C28DF" w:rsidRDefault="006C28DF" w:rsidP="006C28DF">
            <w:pPr>
              <w:jc w:val="right"/>
              <w:rPr>
                <w:sz w:val="20"/>
                <w:szCs w:val="20"/>
                <w:lang w:val="en-CA" w:eastAsia="en-CA"/>
              </w:rPr>
            </w:pPr>
            <w:r w:rsidRPr="006C28DF">
              <w:rPr>
                <w:sz w:val="20"/>
                <w:szCs w:val="20"/>
                <w:lang w:val="en-CA" w:eastAsia="en-CA"/>
              </w:rPr>
              <w:t>172</w:t>
            </w:r>
          </w:p>
        </w:tc>
        <w:tc>
          <w:tcPr>
            <w:tcW w:w="976" w:type="dxa"/>
            <w:tcBorders>
              <w:top w:val="nil"/>
              <w:left w:val="nil"/>
              <w:bottom w:val="single" w:sz="4" w:space="0" w:color="auto"/>
              <w:right w:val="single" w:sz="4" w:space="0" w:color="auto"/>
            </w:tcBorders>
            <w:shd w:val="clear" w:color="auto" w:fill="auto"/>
            <w:hideMark/>
          </w:tcPr>
          <w:p w14:paraId="18AE3EB7" w14:textId="77777777" w:rsidR="006C28DF" w:rsidRPr="006C28DF" w:rsidRDefault="006C28DF" w:rsidP="006C28DF">
            <w:pPr>
              <w:jc w:val="right"/>
              <w:rPr>
                <w:sz w:val="20"/>
                <w:szCs w:val="20"/>
                <w:lang w:val="en-CA" w:eastAsia="en-CA"/>
              </w:rPr>
            </w:pPr>
            <w:r w:rsidRPr="006C28DF">
              <w:rPr>
                <w:sz w:val="20"/>
                <w:szCs w:val="20"/>
                <w:lang w:val="en-CA" w:eastAsia="en-CA"/>
              </w:rPr>
              <w:t>2.0</w:t>
            </w:r>
          </w:p>
        </w:tc>
      </w:tr>
      <w:tr w:rsidR="006C28DF" w:rsidRPr="006C28DF" w14:paraId="5145F36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760323B" w14:textId="77777777" w:rsidR="006C28DF" w:rsidRPr="006C28DF" w:rsidRDefault="006C28DF" w:rsidP="006C28DF">
            <w:pPr>
              <w:jc w:val="left"/>
              <w:rPr>
                <w:sz w:val="20"/>
                <w:szCs w:val="20"/>
                <w:lang w:val="en-CA" w:eastAsia="en-CA"/>
              </w:rPr>
            </w:pPr>
            <w:r w:rsidRPr="006C28DF">
              <w:rPr>
                <w:sz w:val="20"/>
                <w:szCs w:val="20"/>
                <w:lang w:val="en-CA" w:eastAsia="en-CA"/>
              </w:rPr>
              <w:t>Guinea-Bissau</w:t>
            </w:r>
          </w:p>
        </w:tc>
        <w:tc>
          <w:tcPr>
            <w:tcW w:w="980" w:type="dxa"/>
            <w:tcBorders>
              <w:top w:val="nil"/>
              <w:left w:val="nil"/>
              <w:bottom w:val="single" w:sz="4" w:space="0" w:color="auto"/>
              <w:right w:val="single" w:sz="4" w:space="0" w:color="auto"/>
            </w:tcBorders>
            <w:shd w:val="clear" w:color="auto" w:fill="auto"/>
            <w:hideMark/>
          </w:tcPr>
          <w:p w14:paraId="0073E3F8"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8FD4F19"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28D06028"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5D05971A"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A829F9B"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4031CB02"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C83F71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398856D" w14:textId="77777777" w:rsidR="006C28DF" w:rsidRPr="006C28DF" w:rsidRDefault="006C28DF" w:rsidP="006C28DF">
            <w:pPr>
              <w:jc w:val="left"/>
              <w:rPr>
                <w:sz w:val="20"/>
                <w:szCs w:val="20"/>
                <w:lang w:val="en-CA" w:eastAsia="en-CA"/>
              </w:rPr>
            </w:pPr>
            <w:r w:rsidRPr="006C28DF">
              <w:rPr>
                <w:sz w:val="20"/>
                <w:szCs w:val="20"/>
                <w:lang w:val="en-CA" w:eastAsia="en-CA"/>
              </w:rPr>
              <w:t>Guyana</w:t>
            </w:r>
          </w:p>
        </w:tc>
        <w:tc>
          <w:tcPr>
            <w:tcW w:w="980" w:type="dxa"/>
            <w:tcBorders>
              <w:top w:val="nil"/>
              <w:left w:val="nil"/>
              <w:bottom w:val="single" w:sz="4" w:space="0" w:color="auto"/>
              <w:right w:val="single" w:sz="4" w:space="0" w:color="auto"/>
            </w:tcBorders>
            <w:shd w:val="clear" w:color="auto" w:fill="auto"/>
            <w:hideMark/>
          </w:tcPr>
          <w:p w14:paraId="0D435E7F"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6C8CF4F1"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769DB457"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B1C51F0" w14:textId="77777777" w:rsidR="006C28DF" w:rsidRPr="006C28DF" w:rsidRDefault="006C28DF" w:rsidP="006C28DF">
            <w:pPr>
              <w:jc w:val="left"/>
              <w:rPr>
                <w:sz w:val="20"/>
                <w:szCs w:val="20"/>
                <w:lang w:val="en-CA" w:eastAsia="en-CA"/>
              </w:rPr>
            </w:pPr>
            <w:r w:rsidRPr="006C28DF">
              <w:rPr>
                <w:sz w:val="20"/>
                <w:szCs w:val="20"/>
                <w:lang w:val="en-CA" w:eastAsia="en-CA"/>
              </w:rPr>
              <w:t>Stage II HPMP (servicing)</w:t>
            </w:r>
          </w:p>
        </w:tc>
        <w:tc>
          <w:tcPr>
            <w:tcW w:w="1148" w:type="dxa"/>
            <w:tcBorders>
              <w:top w:val="nil"/>
              <w:left w:val="nil"/>
              <w:bottom w:val="single" w:sz="4" w:space="0" w:color="auto"/>
              <w:right w:val="single" w:sz="4" w:space="0" w:color="auto"/>
            </w:tcBorders>
            <w:shd w:val="clear" w:color="auto" w:fill="auto"/>
            <w:hideMark/>
          </w:tcPr>
          <w:p w14:paraId="2880200F" w14:textId="77777777" w:rsidR="006C28DF" w:rsidRPr="006C28DF" w:rsidRDefault="006C28DF" w:rsidP="006C28DF">
            <w:pPr>
              <w:jc w:val="right"/>
              <w:rPr>
                <w:sz w:val="20"/>
                <w:szCs w:val="20"/>
                <w:lang w:val="en-CA" w:eastAsia="en-CA"/>
              </w:rPr>
            </w:pPr>
            <w:r w:rsidRPr="006C28DF">
              <w:rPr>
                <w:sz w:val="20"/>
                <w:szCs w:val="20"/>
                <w:lang w:val="en-CA" w:eastAsia="en-CA"/>
              </w:rPr>
              <w:t>71</w:t>
            </w:r>
          </w:p>
        </w:tc>
        <w:tc>
          <w:tcPr>
            <w:tcW w:w="976" w:type="dxa"/>
            <w:tcBorders>
              <w:top w:val="nil"/>
              <w:left w:val="nil"/>
              <w:bottom w:val="single" w:sz="4" w:space="0" w:color="auto"/>
              <w:right w:val="single" w:sz="4" w:space="0" w:color="auto"/>
            </w:tcBorders>
            <w:shd w:val="clear" w:color="auto" w:fill="auto"/>
            <w:hideMark/>
          </w:tcPr>
          <w:p w14:paraId="565A97F2" w14:textId="77777777" w:rsidR="006C28DF" w:rsidRPr="006C28DF" w:rsidRDefault="006C28DF" w:rsidP="006C28DF">
            <w:pPr>
              <w:jc w:val="right"/>
              <w:rPr>
                <w:sz w:val="20"/>
                <w:szCs w:val="20"/>
                <w:lang w:val="en-CA" w:eastAsia="en-CA"/>
              </w:rPr>
            </w:pPr>
            <w:r w:rsidRPr="006C28DF">
              <w:rPr>
                <w:sz w:val="20"/>
                <w:szCs w:val="20"/>
                <w:lang w:val="en-CA" w:eastAsia="en-CA"/>
              </w:rPr>
              <w:t>0.2</w:t>
            </w:r>
          </w:p>
        </w:tc>
      </w:tr>
      <w:tr w:rsidR="006C28DF" w:rsidRPr="006C28DF" w14:paraId="490A4E67"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DAB98A2" w14:textId="77777777" w:rsidR="006C28DF" w:rsidRPr="006C28DF" w:rsidRDefault="006C28DF" w:rsidP="006C28DF">
            <w:pPr>
              <w:jc w:val="left"/>
              <w:rPr>
                <w:sz w:val="20"/>
                <w:szCs w:val="20"/>
                <w:lang w:val="en-CA" w:eastAsia="en-CA"/>
              </w:rPr>
            </w:pPr>
            <w:r w:rsidRPr="006C28DF">
              <w:rPr>
                <w:sz w:val="20"/>
                <w:szCs w:val="20"/>
                <w:lang w:val="en-CA" w:eastAsia="en-CA"/>
              </w:rPr>
              <w:t>Guyana</w:t>
            </w:r>
          </w:p>
        </w:tc>
        <w:tc>
          <w:tcPr>
            <w:tcW w:w="980" w:type="dxa"/>
            <w:tcBorders>
              <w:top w:val="nil"/>
              <w:left w:val="nil"/>
              <w:bottom w:val="single" w:sz="4" w:space="0" w:color="auto"/>
              <w:right w:val="single" w:sz="4" w:space="0" w:color="auto"/>
            </w:tcBorders>
            <w:shd w:val="clear" w:color="auto" w:fill="auto"/>
            <w:hideMark/>
          </w:tcPr>
          <w:p w14:paraId="5B0B3FD0"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99BFAE8"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FF5892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99B3BBE"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(implementation)</w:t>
            </w:r>
          </w:p>
        </w:tc>
        <w:tc>
          <w:tcPr>
            <w:tcW w:w="1148" w:type="dxa"/>
            <w:tcBorders>
              <w:top w:val="nil"/>
              <w:left w:val="nil"/>
              <w:bottom w:val="single" w:sz="4" w:space="0" w:color="auto"/>
              <w:right w:val="single" w:sz="4" w:space="0" w:color="auto"/>
            </w:tcBorders>
            <w:shd w:val="clear" w:color="auto" w:fill="auto"/>
            <w:hideMark/>
          </w:tcPr>
          <w:p w14:paraId="734F9FB1" w14:textId="77777777" w:rsidR="006C28DF" w:rsidRPr="006C28DF" w:rsidRDefault="006C28DF" w:rsidP="006C28DF">
            <w:pPr>
              <w:jc w:val="right"/>
              <w:rPr>
                <w:sz w:val="20"/>
                <w:szCs w:val="20"/>
                <w:lang w:val="en-CA" w:eastAsia="en-CA"/>
              </w:rPr>
            </w:pPr>
            <w:r w:rsidRPr="006C28DF">
              <w:rPr>
                <w:sz w:val="20"/>
                <w:szCs w:val="20"/>
                <w:lang w:val="en-CA" w:eastAsia="en-CA"/>
              </w:rPr>
              <w:t>74</w:t>
            </w:r>
          </w:p>
        </w:tc>
        <w:tc>
          <w:tcPr>
            <w:tcW w:w="976" w:type="dxa"/>
            <w:tcBorders>
              <w:top w:val="nil"/>
              <w:left w:val="nil"/>
              <w:bottom w:val="single" w:sz="4" w:space="0" w:color="auto"/>
              <w:right w:val="single" w:sz="4" w:space="0" w:color="auto"/>
            </w:tcBorders>
            <w:shd w:val="clear" w:color="auto" w:fill="auto"/>
            <w:hideMark/>
          </w:tcPr>
          <w:p w14:paraId="50AE47EE" w14:textId="77777777" w:rsidR="006C28DF" w:rsidRPr="006C28DF" w:rsidRDefault="006C28DF" w:rsidP="006C28DF">
            <w:pPr>
              <w:jc w:val="right"/>
              <w:rPr>
                <w:sz w:val="20"/>
                <w:szCs w:val="20"/>
                <w:lang w:val="en-CA" w:eastAsia="en-CA"/>
              </w:rPr>
            </w:pPr>
            <w:r w:rsidRPr="006C28DF">
              <w:rPr>
                <w:sz w:val="20"/>
                <w:szCs w:val="20"/>
                <w:lang w:val="en-CA" w:eastAsia="en-CA"/>
              </w:rPr>
              <w:t>0.2</w:t>
            </w:r>
          </w:p>
        </w:tc>
      </w:tr>
      <w:tr w:rsidR="006C28DF" w:rsidRPr="006C28DF" w14:paraId="50D9D647"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B6E9033" w14:textId="77777777" w:rsidR="006C28DF" w:rsidRPr="006C28DF" w:rsidRDefault="006C28DF" w:rsidP="006C28DF">
            <w:pPr>
              <w:jc w:val="left"/>
              <w:rPr>
                <w:sz w:val="20"/>
                <w:szCs w:val="20"/>
                <w:lang w:val="en-CA" w:eastAsia="en-CA"/>
              </w:rPr>
            </w:pPr>
            <w:r w:rsidRPr="006C28DF">
              <w:rPr>
                <w:sz w:val="20"/>
                <w:szCs w:val="20"/>
                <w:lang w:val="en-CA" w:eastAsia="en-CA"/>
              </w:rPr>
              <w:t>Haiti</w:t>
            </w:r>
          </w:p>
        </w:tc>
        <w:tc>
          <w:tcPr>
            <w:tcW w:w="980" w:type="dxa"/>
            <w:tcBorders>
              <w:top w:val="nil"/>
              <w:left w:val="nil"/>
              <w:bottom w:val="single" w:sz="4" w:space="0" w:color="auto"/>
              <w:right w:val="single" w:sz="4" w:space="0" w:color="auto"/>
            </w:tcBorders>
            <w:shd w:val="clear" w:color="auto" w:fill="auto"/>
            <w:hideMark/>
          </w:tcPr>
          <w:p w14:paraId="4B9EB2A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2382DAC"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03CEF2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CAEC86A"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784B54E9" w14:textId="77777777" w:rsidR="006C28DF" w:rsidRPr="006C28DF" w:rsidRDefault="006C28DF" w:rsidP="006C28DF">
            <w:pPr>
              <w:jc w:val="right"/>
              <w:rPr>
                <w:sz w:val="20"/>
                <w:szCs w:val="20"/>
                <w:lang w:val="en-CA" w:eastAsia="en-CA"/>
              </w:rPr>
            </w:pPr>
            <w:r w:rsidRPr="006C28DF">
              <w:rPr>
                <w:sz w:val="20"/>
                <w:szCs w:val="20"/>
                <w:lang w:val="en-CA" w:eastAsia="en-CA"/>
              </w:rPr>
              <w:t>96</w:t>
            </w:r>
          </w:p>
        </w:tc>
        <w:tc>
          <w:tcPr>
            <w:tcW w:w="976" w:type="dxa"/>
            <w:tcBorders>
              <w:top w:val="nil"/>
              <w:left w:val="nil"/>
              <w:bottom w:val="single" w:sz="4" w:space="0" w:color="auto"/>
              <w:right w:val="single" w:sz="4" w:space="0" w:color="auto"/>
            </w:tcBorders>
            <w:shd w:val="clear" w:color="auto" w:fill="auto"/>
            <w:hideMark/>
          </w:tcPr>
          <w:p w14:paraId="7D0556A4" w14:textId="77777777" w:rsidR="006C28DF" w:rsidRPr="006C28DF" w:rsidRDefault="006C28DF" w:rsidP="006C28DF">
            <w:pPr>
              <w:jc w:val="right"/>
              <w:rPr>
                <w:sz w:val="20"/>
                <w:szCs w:val="20"/>
                <w:lang w:val="en-CA" w:eastAsia="en-CA"/>
              </w:rPr>
            </w:pPr>
            <w:r w:rsidRPr="006C28DF">
              <w:rPr>
                <w:sz w:val="20"/>
                <w:szCs w:val="20"/>
                <w:lang w:val="en-CA" w:eastAsia="en-CA"/>
              </w:rPr>
              <w:t>0.4</w:t>
            </w:r>
          </w:p>
        </w:tc>
      </w:tr>
      <w:tr w:rsidR="006C28DF" w:rsidRPr="006C28DF" w14:paraId="3765FC00"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FFE2FA5" w14:textId="77777777" w:rsidR="006C28DF" w:rsidRPr="006C28DF" w:rsidRDefault="006C28DF" w:rsidP="006C28DF">
            <w:pPr>
              <w:jc w:val="left"/>
              <w:rPr>
                <w:sz w:val="20"/>
                <w:szCs w:val="20"/>
                <w:lang w:val="en-CA" w:eastAsia="en-CA"/>
              </w:rPr>
            </w:pPr>
            <w:r w:rsidRPr="006C28DF">
              <w:rPr>
                <w:sz w:val="20"/>
                <w:szCs w:val="20"/>
                <w:lang w:val="en-CA" w:eastAsia="en-CA"/>
              </w:rPr>
              <w:t>Haiti</w:t>
            </w:r>
          </w:p>
        </w:tc>
        <w:tc>
          <w:tcPr>
            <w:tcW w:w="980" w:type="dxa"/>
            <w:tcBorders>
              <w:top w:val="nil"/>
              <w:left w:val="nil"/>
              <w:bottom w:val="single" w:sz="4" w:space="0" w:color="auto"/>
              <w:right w:val="single" w:sz="4" w:space="0" w:color="auto"/>
            </w:tcBorders>
            <w:shd w:val="clear" w:color="auto" w:fill="auto"/>
            <w:hideMark/>
          </w:tcPr>
          <w:p w14:paraId="65769C37"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253CA91"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338ED553"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099A90EC" w14:textId="77777777" w:rsidR="006C28DF" w:rsidRPr="006C28DF" w:rsidRDefault="006C28DF" w:rsidP="006C28DF">
            <w:pPr>
              <w:jc w:val="left"/>
              <w:rPr>
                <w:sz w:val="20"/>
                <w:szCs w:val="20"/>
                <w:lang w:val="en-CA" w:eastAsia="en-CA"/>
              </w:rPr>
            </w:pPr>
            <w:r w:rsidRPr="006C28DF">
              <w:rPr>
                <w:sz w:val="20"/>
                <w:szCs w:val="20"/>
                <w:lang w:val="en-CA" w:eastAsia="en-CA"/>
              </w:rPr>
              <w:t>Enabling activities</w:t>
            </w:r>
          </w:p>
        </w:tc>
        <w:tc>
          <w:tcPr>
            <w:tcW w:w="1148" w:type="dxa"/>
            <w:tcBorders>
              <w:top w:val="nil"/>
              <w:left w:val="nil"/>
              <w:bottom w:val="single" w:sz="4" w:space="0" w:color="auto"/>
              <w:right w:val="single" w:sz="4" w:space="0" w:color="auto"/>
            </w:tcBorders>
            <w:shd w:val="clear" w:color="auto" w:fill="auto"/>
            <w:hideMark/>
          </w:tcPr>
          <w:p w14:paraId="09B650F4" w14:textId="77777777" w:rsidR="006C28DF" w:rsidRPr="006C28DF" w:rsidRDefault="006C28DF" w:rsidP="006C28DF">
            <w:pPr>
              <w:jc w:val="right"/>
              <w:rPr>
                <w:sz w:val="20"/>
                <w:szCs w:val="20"/>
                <w:lang w:val="en-CA" w:eastAsia="en-CA"/>
              </w:rPr>
            </w:pPr>
            <w:r w:rsidRPr="006C28DF">
              <w:rPr>
                <w:sz w:val="20"/>
                <w:szCs w:val="20"/>
                <w:lang w:val="en-CA" w:eastAsia="en-CA"/>
              </w:rPr>
              <w:t>102</w:t>
            </w:r>
          </w:p>
        </w:tc>
        <w:tc>
          <w:tcPr>
            <w:tcW w:w="976" w:type="dxa"/>
            <w:tcBorders>
              <w:top w:val="nil"/>
              <w:left w:val="nil"/>
              <w:bottom w:val="single" w:sz="4" w:space="0" w:color="auto"/>
              <w:right w:val="single" w:sz="4" w:space="0" w:color="auto"/>
            </w:tcBorders>
            <w:shd w:val="clear" w:color="auto" w:fill="auto"/>
            <w:hideMark/>
          </w:tcPr>
          <w:p w14:paraId="324C625B"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1B371F4"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E8155A7" w14:textId="77777777" w:rsidR="006C28DF" w:rsidRPr="006C28DF" w:rsidRDefault="006C28DF" w:rsidP="006C28DF">
            <w:pPr>
              <w:jc w:val="left"/>
              <w:rPr>
                <w:sz w:val="20"/>
                <w:szCs w:val="20"/>
                <w:lang w:val="en-CA" w:eastAsia="en-CA"/>
              </w:rPr>
            </w:pPr>
            <w:r w:rsidRPr="006C28DF">
              <w:rPr>
                <w:sz w:val="20"/>
                <w:szCs w:val="20"/>
                <w:lang w:val="en-CA" w:eastAsia="en-CA"/>
              </w:rPr>
              <w:t>Haiti</w:t>
            </w:r>
          </w:p>
        </w:tc>
        <w:tc>
          <w:tcPr>
            <w:tcW w:w="980" w:type="dxa"/>
            <w:tcBorders>
              <w:top w:val="nil"/>
              <w:left w:val="nil"/>
              <w:bottom w:val="single" w:sz="4" w:space="0" w:color="auto"/>
              <w:right w:val="single" w:sz="4" w:space="0" w:color="auto"/>
            </w:tcBorders>
            <w:shd w:val="clear" w:color="auto" w:fill="auto"/>
            <w:hideMark/>
          </w:tcPr>
          <w:p w14:paraId="22BFD6B7"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49CE54D"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02158502"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0E9C3C87"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ACAAD43" w14:textId="77777777" w:rsidR="006C28DF" w:rsidRPr="006C28DF" w:rsidRDefault="006C28DF" w:rsidP="006C28DF">
            <w:pPr>
              <w:jc w:val="right"/>
              <w:rPr>
                <w:sz w:val="20"/>
                <w:szCs w:val="20"/>
                <w:lang w:val="en-CA" w:eastAsia="en-CA"/>
              </w:rPr>
            </w:pPr>
            <w:r w:rsidRPr="006C28DF">
              <w:rPr>
                <w:sz w:val="20"/>
                <w:szCs w:val="20"/>
                <w:lang w:val="en-CA" w:eastAsia="en-CA"/>
              </w:rPr>
              <w:t>128</w:t>
            </w:r>
          </w:p>
        </w:tc>
        <w:tc>
          <w:tcPr>
            <w:tcW w:w="976" w:type="dxa"/>
            <w:tcBorders>
              <w:top w:val="nil"/>
              <w:left w:val="nil"/>
              <w:bottom w:val="single" w:sz="4" w:space="0" w:color="auto"/>
              <w:right w:val="single" w:sz="4" w:space="0" w:color="auto"/>
            </w:tcBorders>
            <w:shd w:val="clear" w:color="auto" w:fill="auto"/>
            <w:hideMark/>
          </w:tcPr>
          <w:p w14:paraId="6C659FE1"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52943A8B"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C2750D1" w14:textId="77777777" w:rsidR="006C28DF" w:rsidRPr="006C28DF" w:rsidRDefault="006C28DF" w:rsidP="006C28DF">
            <w:pPr>
              <w:jc w:val="left"/>
              <w:rPr>
                <w:sz w:val="20"/>
                <w:szCs w:val="20"/>
                <w:lang w:val="en-CA" w:eastAsia="en-CA"/>
              </w:rPr>
            </w:pPr>
            <w:r w:rsidRPr="006C28DF">
              <w:rPr>
                <w:sz w:val="20"/>
                <w:szCs w:val="20"/>
                <w:lang w:val="en-CA" w:eastAsia="en-CA"/>
              </w:rPr>
              <w:t>Honduras</w:t>
            </w:r>
          </w:p>
        </w:tc>
        <w:tc>
          <w:tcPr>
            <w:tcW w:w="980" w:type="dxa"/>
            <w:tcBorders>
              <w:top w:val="nil"/>
              <w:left w:val="nil"/>
              <w:bottom w:val="single" w:sz="4" w:space="0" w:color="auto"/>
              <w:right w:val="single" w:sz="4" w:space="0" w:color="auto"/>
            </w:tcBorders>
            <w:shd w:val="clear" w:color="auto" w:fill="auto"/>
            <w:hideMark/>
          </w:tcPr>
          <w:p w14:paraId="7B543E16"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9DEBBDD"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20DA0074"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6501C95"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2A65740B"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1121A3C3"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62CC5F1"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B96C402" w14:textId="77777777" w:rsidR="006C28DF" w:rsidRPr="006C28DF" w:rsidRDefault="006C28DF" w:rsidP="006C28DF">
            <w:pPr>
              <w:jc w:val="left"/>
              <w:rPr>
                <w:sz w:val="20"/>
                <w:szCs w:val="20"/>
                <w:lang w:val="en-CA" w:eastAsia="en-CA"/>
              </w:rPr>
            </w:pPr>
            <w:r w:rsidRPr="006C28DF">
              <w:rPr>
                <w:sz w:val="20"/>
                <w:szCs w:val="20"/>
                <w:lang w:val="en-CA" w:eastAsia="en-CA"/>
              </w:rPr>
              <w:t>Honduras</w:t>
            </w:r>
          </w:p>
        </w:tc>
        <w:tc>
          <w:tcPr>
            <w:tcW w:w="980" w:type="dxa"/>
            <w:tcBorders>
              <w:top w:val="nil"/>
              <w:left w:val="nil"/>
              <w:bottom w:val="single" w:sz="4" w:space="0" w:color="auto"/>
              <w:right w:val="single" w:sz="4" w:space="0" w:color="auto"/>
            </w:tcBorders>
            <w:shd w:val="clear" w:color="auto" w:fill="auto"/>
            <w:hideMark/>
          </w:tcPr>
          <w:p w14:paraId="01EA4E95"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14D5530B"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56DF8737"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8533EFE"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0CA47356" w14:textId="77777777" w:rsidR="006C28DF" w:rsidRPr="006C28DF" w:rsidRDefault="006C28DF" w:rsidP="006C28DF">
            <w:pPr>
              <w:jc w:val="right"/>
              <w:rPr>
                <w:sz w:val="20"/>
                <w:szCs w:val="20"/>
                <w:lang w:val="en-CA" w:eastAsia="en-CA"/>
              </w:rPr>
            </w:pPr>
            <w:r w:rsidRPr="006C28DF">
              <w:rPr>
                <w:sz w:val="20"/>
                <w:szCs w:val="20"/>
                <w:lang w:val="en-CA" w:eastAsia="en-CA"/>
              </w:rPr>
              <w:t>43</w:t>
            </w:r>
          </w:p>
        </w:tc>
        <w:tc>
          <w:tcPr>
            <w:tcW w:w="976" w:type="dxa"/>
            <w:tcBorders>
              <w:top w:val="nil"/>
              <w:left w:val="nil"/>
              <w:bottom w:val="single" w:sz="4" w:space="0" w:color="auto"/>
              <w:right w:val="single" w:sz="4" w:space="0" w:color="auto"/>
            </w:tcBorders>
            <w:shd w:val="clear" w:color="auto" w:fill="auto"/>
            <w:hideMark/>
          </w:tcPr>
          <w:p w14:paraId="1BE974A6"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78DFCF1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EB28CE2" w14:textId="77777777" w:rsidR="006C28DF" w:rsidRPr="006C28DF" w:rsidRDefault="006C28DF" w:rsidP="006C28DF">
            <w:pPr>
              <w:jc w:val="left"/>
              <w:rPr>
                <w:sz w:val="20"/>
                <w:szCs w:val="20"/>
                <w:lang w:val="en-CA" w:eastAsia="en-CA"/>
              </w:rPr>
            </w:pPr>
            <w:r w:rsidRPr="006C28DF">
              <w:rPr>
                <w:sz w:val="20"/>
                <w:szCs w:val="20"/>
                <w:lang w:val="en-CA" w:eastAsia="en-CA"/>
              </w:rPr>
              <w:t>Honduras</w:t>
            </w:r>
          </w:p>
        </w:tc>
        <w:tc>
          <w:tcPr>
            <w:tcW w:w="980" w:type="dxa"/>
            <w:tcBorders>
              <w:top w:val="nil"/>
              <w:left w:val="nil"/>
              <w:bottom w:val="single" w:sz="4" w:space="0" w:color="auto"/>
              <w:right w:val="single" w:sz="4" w:space="0" w:color="auto"/>
            </w:tcBorders>
            <w:shd w:val="clear" w:color="auto" w:fill="auto"/>
            <w:hideMark/>
          </w:tcPr>
          <w:p w14:paraId="02D3AE3F"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DD048D5"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0A86D1BA"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7128757A"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82FD044"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1D559FCA"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EA7B614"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D19775C" w14:textId="77777777" w:rsidR="006C28DF" w:rsidRPr="006C28DF" w:rsidRDefault="006C28DF" w:rsidP="006C28DF">
            <w:pPr>
              <w:jc w:val="left"/>
              <w:rPr>
                <w:sz w:val="20"/>
                <w:szCs w:val="20"/>
                <w:lang w:val="en-CA" w:eastAsia="en-CA"/>
              </w:rPr>
            </w:pPr>
            <w:r w:rsidRPr="006C28DF">
              <w:rPr>
                <w:sz w:val="20"/>
                <w:szCs w:val="20"/>
                <w:lang w:val="en-CA" w:eastAsia="en-CA"/>
              </w:rPr>
              <w:t>India</w:t>
            </w:r>
          </w:p>
        </w:tc>
        <w:tc>
          <w:tcPr>
            <w:tcW w:w="980" w:type="dxa"/>
            <w:tcBorders>
              <w:top w:val="nil"/>
              <w:left w:val="nil"/>
              <w:bottom w:val="single" w:sz="4" w:space="0" w:color="auto"/>
              <w:right w:val="single" w:sz="4" w:space="0" w:color="auto"/>
            </w:tcBorders>
            <w:shd w:val="clear" w:color="auto" w:fill="auto"/>
            <w:hideMark/>
          </w:tcPr>
          <w:p w14:paraId="1504C696" w14:textId="77777777" w:rsidR="006C28DF" w:rsidRPr="006C28DF" w:rsidRDefault="006C28DF" w:rsidP="006C28DF">
            <w:pPr>
              <w:jc w:val="center"/>
              <w:rPr>
                <w:sz w:val="20"/>
                <w:szCs w:val="20"/>
                <w:lang w:val="en-CA" w:eastAsia="en-CA"/>
              </w:rPr>
            </w:pPr>
            <w:r w:rsidRPr="006C28DF">
              <w:rPr>
                <w:sz w:val="20"/>
                <w:szCs w:val="20"/>
                <w:lang w:val="en-CA" w:eastAsia="en-CA"/>
              </w:rPr>
              <w:t>Germany</w:t>
            </w:r>
          </w:p>
        </w:tc>
        <w:tc>
          <w:tcPr>
            <w:tcW w:w="721" w:type="dxa"/>
            <w:tcBorders>
              <w:top w:val="nil"/>
              <w:left w:val="nil"/>
              <w:bottom w:val="single" w:sz="4" w:space="0" w:color="auto"/>
              <w:right w:val="single" w:sz="4" w:space="0" w:color="auto"/>
            </w:tcBorders>
            <w:shd w:val="clear" w:color="auto" w:fill="auto"/>
            <w:hideMark/>
          </w:tcPr>
          <w:p w14:paraId="73432AE0"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72D0D107"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FEFEAE9" w14:textId="77777777" w:rsidR="006C28DF" w:rsidRPr="006C28DF" w:rsidRDefault="006C28DF" w:rsidP="006C28DF">
            <w:pPr>
              <w:jc w:val="left"/>
              <w:rPr>
                <w:sz w:val="20"/>
                <w:szCs w:val="20"/>
                <w:lang w:val="en-CA" w:eastAsia="en-CA"/>
              </w:rPr>
            </w:pPr>
            <w:r w:rsidRPr="006C28DF">
              <w:rPr>
                <w:sz w:val="20"/>
                <w:szCs w:val="20"/>
                <w:lang w:val="en-CA" w:eastAsia="en-CA"/>
              </w:rPr>
              <w:t>Stage II HCFC Phase-Out Management Plan</w:t>
            </w:r>
          </w:p>
        </w:tc>
        <w:tc>
          <w:tcPr>
            <w:tcW w:w="1148" w:type="dxa"/>
            <w:tcBorders>
              <w:top w:val="nil"/>
              <w:left w:val="nil"/>
              <w:bottom w:val="single" w:sz="4" w:space="0" w:color="auto"/>
              <w:right w:val="single" w:sz="4" w:space="0" w:color="auto"/>
            </w:tcBorders>
            <w:shd w:val="clear" w:color="auto" w:fill="auto"/>
            <w:hideMark/>
          </w:tcPr>
          <w:p w14:paraId="4213BFBD" w14:textId="77777777" w:rsidR="006C28DF" w:rsidRPr="006C28DF" w:rsidRDefault="006C28DF" w:rsidP="006C28DF">
            <w:pPr>
              <w:jc w:val="right"/>
              <w:rPr>
                <w:sz w:val="20"/>
                <w:szCs w:val="20"/>
                <w:lang w:val="en-CA" w:eastAsia="en-CA"/>
              </w:rPr>
            </w:pPr>
            <w:r w:rsidRPr="006C28DF">
              <w:rPr>
                <w:sz w:val="20"/>
                <w:szCs w:val="20"/>
                <w:lang w:val="en-CA" w:eastAsia="en-CA"/>
              </w:rPr>
              <w:t>2,224</w:t>
            </w:r>
          </w:p>
        </w:tc>
        <w:tc>
          <w:tcPr>
            <w:tcW w:w="976" w:type="dxa"/>
            <w:tcBorders>
              <w:top w:val="nil"/>
              <w:left w:val="nil"/>
              <w:bottom w:val="single" w:sz="4" w:space="0" w:color="auto"/>
              <w:right w:val="single" w:sz="4" w:space="0" w:color="auto"/>
            </w:tcBorders>
            <w:shd w:val="clear" w:color="auto" w:fill="auto"/>
            <w:hideMark/>
          </w:tcPr>
          <w:p w14:paraId="0AAFA05D" w14:textId="77777777" w:rsidR="006C28DF" w:rsidRPr="006C28DF" w:rsidRDefault="006C28DF" w:rsidP="006C28DF">
            <w:pPr>
              <w:jc w:val="right"/>
              <w:rPr>
                <w:sz w:val="20"/>
                <w:szCs w:val="20"/>
                <w:lang w:val="en-CA" w:eastAsia="en-CA"/>
              </w:rPr>
            </w:pPr>
            <w:r w:rsidRPr="006C28DF">
              <w:rPr>
                <w:sz w:val="20"/>
                <w:szCs w:val="20"/>
                <w:lang w:val="en-CA" w:eastAsia="en-CA"/>
              </w:rPr>
              <w:t>34.3</w:t>
            </w:r>
          </w:p>
        </w:tc>
      </w:tr>
      <w:tr w:rsidR="006C28DF" w:rsidRPr="006C28DF" w14:paraId="75066D58"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300C9C6" w14:textId="77777777" w:rsidR="006C28DF" w:rsidRPr="006C28DF" w:rsidRDefault="006C28DF" w:rsidP="006C28DF">
            <w:pPr>
              <w:jc w:val="left"/>
              <w:rPr>
                <w:sz w:val="20"/>
                <w:szCs w:val="20"/>
                <w:lang w:val="en-CA" w:eastAsia="en-CA"/>
              </w:rPr>
            </w:pPr>
            <w:r w:rsidRPr="006C28DF">
              <w:rPr>
                <w:sz w:val="20"/>
                <w:szCs w:val="20"/>
                <w:lang w:val="en-CA" w:eastAsia="en-CA"/>
              </w:rPr>
              <w:t>India</w:t>
            </w:r>
          </w:p>
        </w:tc>
        <w:tc>
          <w:tcPr>
            <w:tcW w:w="980" w:type="dxa"/>
            <w:tcBorders>
              <w:top w:val="nil"/>
              <w:left w:val="nil"/>
              <w:bottom w:val="single" w:sz="4" w:space="0" w:color="auto"/>
              <w:right w:val="single" w:sz="4" w:space="0" w:color="auto"/>
            </w:tcBorders>
            <w:shd w:val="clear" w:color="auto" w:fill="auto"/>
            <w:hideMark/>
          </w:tcPr>
          <w:p w14:paraId="604986B9"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7FC24038"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5A269C74"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64CEE94" w14:textId="77777777" w:rsidR="006C28DF" w:rsidRPr="006C28DF" w:rsidRDefault="006C28DF" w:rsidP="006C28DF">
            <w:pPr>
              <w:jc w:val="left"/>
              <w:rPr>
                <w:sz w:val="20"/>
                <w:szCs w:val="20"/>
                <w:lang w:val="en-CA" w:eastAsia="en-CA"/>
              </w:rPr>
            </w:pPr>
            <w:r w:rsidRPr="006C28DF">
              <w:rPr>
                <w:sz w:val="20"/>
                <w:szCs w:val="20"/>
                <w:lang w:val="en-CA" w:eastAsia="en-CA"/>
              </w:rPr>
              <w:t>Stage II HPMP (air conditioning, foam and refrigeration)</w:t>
            </w:r>
          </w:p>
        </w:tc>
        <w:tc>
          <w:tcPr>
            <w:tcW w:w="1148" w:type="dxa"/>
            <w:tcBorders>
              <w:top w:val="nil"/>
              <w:left w:val="nil"/>
              <w:bottom w:val="single" w:sz="4" w:space="0" w:color="auto"/>
              <w:right w:val="single" w:sz="4" w:space="0" w:color="auto"/>
            </w:tcBorders>
            <w:shd w:val="clear" w:color="auto" w:fill="auto"/>
            <w:hideMark/>
          </w:tcPr>
          <w:p w14:paraId="20694E7A" w14:textId="77777777" w:rsidR="006C28DF" w:rsidRPr="006C28DF" w:rsidRDefault="006C28DF" w:rsidP="006C28DF">
            <w:pPr>
              <w:jc w:val="right"/>
              <w:rPr>
                <w:sz w:val="20"/>
                <w:szCs w:val="20"/>
                <w:lang w:val="en-CA" w:eastAsia="en-CA"/>
              </w:rPr>
            </w:pPr>
            <w:r w:rsidRPr="006C28DF">
              <w:rPr>
                <w:sz w:val="20"/>
                <w:szCs w:val="20"/>
                <w:lang w:val="en-CA" w:eastAsia="en-CA"/>
              </w:rPr>
              <w:t>15,631</w:t>
            </w:r>
          </w:p>
        </w:tc>
        <w:tc>
          <w:tcPr>
            <w:tcW w:w="976" w:type="dxa"/>
            <w:tcBorders>
              <w:top w:val="nil"/>
              <w:left w:val="nil"/>
              <w:bottom w:val="single" w:sz="4" w:space="0" w:color="auto"/>
              <w:right w:val="single" w:sz="4" w:space="0" w:color="auto"/>
            </w:tcBorders>
            <w:shd w:val="clear" w:color="auto" w:fill="auto"/>
            <w:hideMark/>
          </w:tcPr>
          <w:p w14:paraId="02F46655" w14:textId="77777777" w:rsidR="006C28DF" w:rsidRPr="006C28DF" w:rsidRDefault="006C28DF" w:rsidP="006C28DF">
            <w:pPr>
              <w:jc w:val="right"/>
              <w:rPr>
                <w:sz w:val="20"/>
                <w:szCs w:val="20"/>
                <w:lang w:val="en-CA" w:eastAsia="en-CA"/>
              </w:rPr>
            </w:pPr>
            <w:r w:rsidRPr="006C28DF">
              <w:rPr>
                <w:sz w:val="20"/>
                <w:szCs w:val="20"/>
                <w:lang w:val="en-CA" w:eastAsia="en-CA"/>
              </w:rPr>
              <w:t>250.3</w:t>
            </w:r>
          </w:p>
        </w:tc>
      </w:tr>
      <w:tr w:rsidR="006C28DF" w:rsidRPr="006C28DF" w14:paraId="73E2AEF7"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29DB818" w14:textId="77777777" w:rsidR="006C28DF" w:rsidRPr="006C28DF" w:rsidRDefault="006C28DF" w:rsidP="006C28DF">
            <w:pPr>
              <w:jc w:val="left"/>
              <w:rPr>
                <w:sz w:val="20"/>
                <w:szCs w:val="20"/>
                <w:lang w:val="en-CA" w:eastAsia="en-CA"/>
              </w:rPr>
            </w:pPr>
            <w:r w:rsidRPr="006C28DF">
              <w:rPr>
                <w:sz w:val="20"/>
                <w:szCs w:val="20"/>
                <w:lang w:val="en-CA" w:eastAsia="en-CA"/>
              </w:rPr>
              <w:t>India</w:t>
            </w:r>
          </w:p>
        </w:tc>
        <w:tc>
          <w:tcPr>
            <w:tcW w:w="980" w:type="dxa"/>
            <w:tcBorders>
              <w:top w:val="nil"/>
              <w:left w:val="nil"/>
              <w:bottom w:val="single" w:sz="4" w:space="0" w:color="auto"/>
              <w:right w:val="single" w:sz="4" w:space="0" w:color="auto"/>
            </w:tcBorders>
            <w:shd w:val="clear" w:color="auto" w:fill="auto"/>
            <w:hideMark/>
          </w:tcPr>
          <w:p w14:paraId="47AC2325"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1CD25A6"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262A17A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7DA9DBD"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(implementation)</w:t>
            </w:r>
          </w:p>
        </w:tc>
        <w:tc>
          <w:tcPr>
            <w:tcW w:w="1148" w:type="dxa"/>
            <w:tcBorders>
              <w:top w:val="nil"/>
              <w:left w:val="nil"/>
              <w:bottom w:val="single" w:sz="4" w:space="0" w:color="auto"/>
              <w:right w:val="single" w:sz="4" w:space="0" w:color="auto"/>
            </w:tcBorders>
            <w:shd w:val="clear" w:color="auto" w:fill="auto"/>
            <w:hideMark/>
          </w:tcPr>
          <w:p w14:paraId="58E2325A" w14:textId="77777777" w:rsidR="006C28DF" w:rsidRPr="006C28DF" w:rsidRDefault="006C28DF" w:rsidP="006C28DF">
            <w:pPr>
              <w:jc w:val="right"/>
              <w:rPr>
                <w:sz w:val="20"/>
                <w:szCs w:val="20"/>
                <w:lang w:val="en-CA" w:eastAsia="en-CA"/>
              </w:rPr>
            </w:pPr>
            <w:r w:rsidRPr="006C28DF">
              <w:rPr>
                <w:sz w:val="20"/>
                <w:szCs w:val="20"/>
                <w:lang w:val="en-CA" w:eastAsia="en-CA"/>
              </w:rPr>
              <w:t>336</w:t>
            </w:r>
          </w:p>
        </w:tc>
        <w:tc>
          <w:tcPr>
            <w:tcW w:w="976" w:type="dxa"/>
            <w:tcBorders>
              <w:top w:val="nil"/>
              <w:left w:val="nil"/>
              <w:bottom w:val="single" w:sz="4" w:space="0" w:color="auto"/>
              <w:right w:val="single" w:sz="4" w:space="0" w:color="auto"/>
            </w:tcBorders>
            <w:shd w:val="clear" w:color="auto" w:fill="auto"/>
            <w:hideMark/>
          </w:tcPr>
          <w:p w14:paraId="78B2869A" w14:textId="77777777" w:rsidR="006C28DF" w:rsidRPr="006C28DF" w:rsidRDefault="006C28DF" w:rsidP="006C28DF">
            <w:pPr>
              <w:jc w:val="right"/>
              <w:rPr>
                <w:sz w:val="20"/>
                <w:szCs w:val="20"/>
                <w:lang w:val="en-CA" w:eastAsia="en-CA"/>
              </w:rPr>
            </w:pPr>
            <w:r w:rsidRPr="006C28DF">
              <w:rPr>
                <w:sz w:val="20"/>
                <w:szCs w:val="20"/>
                <w:lang w:val="en-CA" w:eastAsia="en-CA"/>
              </w:rPr>
              <w:t>5.1</w:t>
            </w:r>
          </w:p>
        </w:tc>
      </w:tr>
      <w:tr w:rsidR="006C28DF" w:rsidRPr="006C28DF" w14:paraId="25EE6F0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A5F1EA8" w14:textId="77777777" w:rsidR="006C28DF" w:rsidRPr="006C28DF" w:rsidRDefault="006C28DF" w:rsidP="006C28DF">
            <w:pPr>
              <w:jc w:val="left"/>
              <w:rPr>
                <w:sz w:val="20"/>
                <w:szCs w:val="20"/>
                <w:lang w:val="en-CA" w:eastAsia="en-CA"/>
              </w:rPr>
            </w:pPr>
            <w:r w:rsidRPr="006C28DF">
              <w:rPr>
                <w:sz w:val="20"/>
                <w:szCs w:val="20"/>
                <w:lang w:val="en-CA" w:eastAsia="en-CA"/>
              </w:rPr>
              <w:t>India</w:t>
            </w:r>
          </w:p>
        </w:tc>
        <w:tc>
          <w:tcPr>
            <w:tcW w:w="980" w:type="dxa"/>
            <w:tcBorders>
              <w:top w:val="nil"/>
              <w:left w:val="nil"/>
              <w:bottom w:val="single" w:sz="4" w:space="0" w:color="auto"/>
              <w:right w:val="single" w:sz="4" w:space="0" w:color="auto"/>
            </w:tcBorders>
            <w:shd w:val="clear" w:color="auto" w:fill="auto"/>
            <w:hideMark/>
          </w:tcPr>
          <w:p w14:paraId="0E2806A6"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3093CC32"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10D755A"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6C5BD9B4"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ABBD0B2" w14:textId="77777777" w:rsidR="006C28DF" w:rsidRPr="006C28DF" w:rsidRDefault="006C28DF" w:rsidP="006C28DF">
            <w:pPr>
              <w:jc w:val="right"/>
              <w:rPr>
                <w:sz w:val="20"/>
                <w:szCs w:val="20"/>
                <w:lang w:val="en-CA" w:eastAsia="en-CA"/>
              </w:rPr>
            </w:pPr>
            <w:r w:rsidRPr="006C28DF">
              <w:rPr>
                <w:sz w:val="20"/>
                <w:szCs w:val="20"/>
                <w:lang w:val="en-CA" w:eastAsia="en-CA"/>
              </w:rPr>
              <w:t>511</w:t>
            </w:r>
          </w:p>
        </w:tc>
        <w:tc>
          <w:tcPr>
            <w:tcW w:w="976" w:type="dxa"/>
            <w:tcBorders>
              <w:top w:val="nil"/>
              <w:left w:val="nil"/>
              <w:bottom w:val="single" w:sz="4" w:space="0" w:color="auto"/>
              <w:right w:val="single" w:sz="4" w:space="0" w:color="auto"/>
            </w:tcBorders>
            <w:shd w:val="clear" w:color="auto" w:fill="auto"/>
            <w:hideMark/>
          </w:tcPr>
          <w:p w14:paraId="3241EB58"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5F17783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7263423" w14:textId="65ECFBD7" w:rsidR="006C28DF" w:rsidRPr="006C28DF" w:rsidRDefault="006C28DF" w:rsidP="006C28DF">
            <w:pPr>
              <w:jc w:val="left"/>
              <w:rPr>
                <w:sz w:val="20"/>
                <w:szCs w:val="20"/>
                <w:lang w:val="en-CA" w:eastAsia="en-CA"/>
              </w:rPr>
            </w:pPr>
            <w:r w:rsidRPr="006C28DF">
              <w:rPr>
                <w:sz w:val="20"/>
                <w:szCs w:val="20"/>
                <w:lang w:val="en-CA" w:eastAsia="en-CA"/>
              </w:rPr>
              <w:t>Indonesia</w:t>
            </w:r>
            <w:r w:rsidR="002C3CFF">
              <w:rPr>
                <w:sz w:val="20"/>
                <w:szCs w:val="20"/>
                <w:lang w:val="en-CA" w:eastAsia="en-CA"/>
              </w:rPr>
              <w:t>*</w:t>
            </w:r>
          </w:p>
        </w:tc>
        <w:tc>
          <w:tcPr>
            <w:tcW w:w="980" w:type="dxa"/>
            <w:tcBorders>
              <w:top w:val="nil"/>
              <w:left w:val="nil"/>
              <w:bottom w:val="single" w:sz="4" w:space="0" w:color="auto"/>
              <w:right w:val="single" w:sz="4" w:space="0" w:color="auto"/>
            </w:tcBorders>
            <w:shd w:val="clear" w:color="auto" w:fill="auto"/>
            <w:hideMark/>
          </w:tcPr>
          <w:p w14:paraId="1FAAFF54"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7E120078"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13A8FC53"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54E4B206" w14:textId="77777777" w:rsidR="006C28DF" w:rsidRPr="006C28DF" w:rsidRDefault="006C28DF" w:rsidP="006C28DF">
            <w:pPr>
              <w:jc w:val="left"/>
              <w:rPr>
                <w:sz w:val="20"/>
                <w:szCs w:val="20"/>
                <w:lang w:val="en-CA" w:eastAsia="en-CA"/>
              </w:rPr>
            </w:pPr>
            <w:r w:rsidRPr="006C28DF">
              <w:rPr>
                <w:sz w:val="20"/>
                <w:szCs w:val="20"/>
                <w:lang w:val="en-CA" w:eastAsia="en-CA"/>
              </w:rPr>
              <w:t>Enabling activities for Kigali Amendment</w:t>
            </w:r>
          </w:p>
        </w:tc>
        <w:tc>
          <w:tcPr>
            <w:tcW w:w="1148" w:type="dxa"/>
            <w:tcBorders>
              <w:top w:val="nil"/>
              <w:left w:val="nil"/>
              <w:bottom w:val="single" w:sz="4" w:space="0" w:color="auto"/>
              <w:right w:val="single" w:sz="4" w:space="0" w:color="auto"/>
            </w:tcBorders>
            <w:shd w:val="clear" w:color="auto" w:fill="auto"/>
            <w:hideMark/>
          </w:tcPr>
          <w:p w14:paraId="648E8105" w14:textId="77777777" w:rsidR="006C28DF" w:rsidRPr="006C28DF" w:rsidRDefault="006C28DF" w:rsidP="006C28DF">
            <w:pPr>
              <w:jc w:val="right"/>
              <w:rPr>
                <w:sz w:val="20"/>
                <w:szCs w:val="20"/>
                <w:lang w:val="en-CA" w:eastAsia="en-CA"/>
              </w:rPr>
            </w:pPr>
            <w:r w:rsidRPr="006C28DF">
              <w:rPr>
                <w:sz w:val="20"/>
                <w:szCs w:val="20"/>
                <w:lang w:val="en-CA" w:eastAsia="en-CA"/>
              </w:rPr>
              <w:t>134</w:t>
            </w:r>
          </w:p>
        </w:tc>
        <w:tc>
          <w:tcPr>
            <w:tcW w:w="976" w:type="dxa"/>
            <w:tcBorders>
              <w:top w:val="nil"/>
              <w:left w:val="nil"/>
              <w:bottom w:val="single" w:sz="4" w:space="0" w:color="auto"/>
              <w:right w:val="single" w:sz="4" w:space="0" w:color="auto"/>
            </w:tcBorders>
            <w:shd w:val="clear" w:color="auto" w:fill="auto"/>
            <w:hideMark/>
          </w:tcPr>
          <w:p w14:paraId="49F88BC9" w14:textId="77777777" w:rsidR="006C28DF" w:rsidRPr="006C28DF" w:rsidRDefault="006C28DF" w:rsidP="006C28DF">
            <w:pPr>
              <w:jc w:val="left"/>
              <w:rPr>
                <w:sz w:val="20"/>
                <w:szCs w:val="20"/>
                <w:lang w:val="en-CA" w:eastAsia="en-CA"/>
              </w:rPr>
            </w:pPr>
            <w:r w:rsidRPr="006C28DF">
              <w:rPr>
                <w:sz w:val="20"/>
                <w:szCs w:val="20"/>
                <w:lang w:val="en-CA" w:eastAsia="en-CA"/>
              </w:rPr>
              <w:t> </w:t>
            </w:r>
          </w:p>
        </w:tc>
      </w:tr>
      <w:tr w:rsidR="006C28DF" w:rsidRPr="006C28DF" w14:paraId="523B42C6"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26C63F3" w14:textId="77777777" w:rsidR="006C28DF" w:rsidRPr="006C28DF" w:rsidRDefault="006C28DF" w:rsidP="002C3CFF">
            <w:pPr>
              <w:ind w:right="-105"/>
              <w:jc w:val="left"/>
              <w:rPr>
                <w:sz w:val="20"/>
                <w:szCs w:val="20"/>
                <w:lang w:val="en-CA" w:eastAsia="en-CA"/>
              </w:rPr>
            </w:pPr>
            <w:r w:rsidRPr="006C28DF">
              <w:rPr>
                <w:sz w:val="20"/>
                <w:szCs w:val="20"/>
                <w:lang w:val="en-CA" w:eastAsia="en-CA"/>
              </w:rPr>
              <w:t>Iran (Islamic Republic of)</w:t>
            </w:r>
          </w:p>
        </w:tc>
        <w:tc>
          <w:tcPr>
            <w:tcW w:w="980" w:type="dxa"/>
            <w:tcBorders>
              <w:top w:val="nil"/>
              <w:left w:val="nil"/>
              <w:bottom w:val="single" w:sz="4" w:space="0" w:color="auto"/>
              <w:right w:val="single" w:sz="4" w:space="0" w:color="auto"/>
            </w:tcBorders>
            <w:shd w:val="clear" w:color="auto" w:fill="auto"/>
            <w:hideMark/>
          </w:tcPr>
          <w:p w14:paraId="33432610" w14:textId="77777777" w:rsidR="006C28DF" w:rsidRPr="006C28DF" w:rsidRDefault="006C28DF" w:rsidP="006C28DF">
            <w:pPr>
              <w:jc w:val="center"/>
              <w:rPr>
                <w:sz w:val="20"/>
                <w:szCs w:val="20"/>
                <w:lang w:val="en-CA" w:eastAsia="en-CA"/>
              </w:rPr>
            </w:pPr>
            <w:r w:rsidRPr="006C28DF">
              <w:rPr>
                <w:sz w:val="20"/>
                <w:szCs w:val="20"/>
                <w:lang w:val="en-CA" w:eastAsia="en-CA"/>
              </w:rPr>
              <w:t>Germany</w:t>
            </w:r>
          </w:p>
        </w:tc>
        <w:tc>
          <w:tcPr>
            <w:tcW w:w="721" w:type="dxa"/>
            <w:tcBorders>
              <w:top w:val="nil"/>
              <w:left w:val="nil"/>
              <w:bottom w:val="single" w:sz="4" w:space="0" w:color="auto"/>
              <w:right w:val="single" w:sz="4" w:space="0" w:color="auto"/>
            </w:tcBorders>
            <w:shd w:val="clear" w:color="auto" w:fill="auto"/>
            <w:hideMark/>
          </w:tcPr>
          <w:p w14:paraId="321803E9"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5E5AE227"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FA2CA35" w14:textId="77777777" w:rsidR="006C28DF" w:rsidRPr="006C28DF" w:rsidRDefault="006C28DF" w:rsidP="006C28DF">
            <w:pPr>
              <w:jc w:val="left"/>
              <w:rPr>
                <w:sz w:val="20"/>
                <w:szCs w:val="20"/>
                <w:lang w:val="en-CA" w:eastAsia="en-CA"/>
              </w:rPr>
            </w:pPr>
            <w:r w:rsidRPr="006C28DF">
              <w:rPr>
                <w:sz w:val="20"/>
                <w:szCs w:val="20"/>
                <w:lang w:val="en-CA" w:eastAsia="en-CA"/>
              </w:rPr>
              <w:t>FOA/Commercial Refrigeration (Stage II)</w:t>
            </w:r>
          </w:p>
        </w:tc>
        <w:tc>
          <w:tcPr>
            <w:tcW w:w="1148" w:type="dxa"/>
            <w:tcBorders>
              <w:top w:val="nil"/>
              <w:left w:val="nil"/>
              <w:bottom w:val="single" w:sz="4" w:space="0" w:color="auto"/>
              <w:right w:val="single" w:sz="4" w:space="0" w:color="auto"/>
            </w:tcBorders>
            <w:shd w:val="clear" w:color="auto" w:fill="auto"/>
            <w:hideMark/>
          </w:tcPr>
          <w:p w14:paraId="03343D82" w14:textId="77777777" w:rsidR="006C28DF" w:rsidRPr="006C28DF" w:rsidRDefault="006C28DF" w:rsidP="006C28DF">
            <w:pPr>
              <w:jc w:val="right"/>
              <w:rPr>
                <w:sz w:val="20"/>
                <w:szCs w:val="20"/>
                <w:lang w:val="en-CA" w:eastAsia="en-CA"/>
              </w:rPr>
            </w:pPr>
            <w:r w:rsidRPr="006C28DF">
              <w:rPr>
                <w:sz w:val="20"/>
                <w:szCs w:val="20"/>
                <w:lang w:val="en-CA" w:eastAsia="en-CA"/>
              </w:rPr>
              <w:t>1,025</w:t>
            </w:r>
          </w:p>
        </w:tc>
        <w:tc>
          <w:tcPr>
            <w:tcW w:w="976" w:type="dxa"/>
            <w:tcBorders>
              <w:top w:val="nil"/>
              <w:left w:val="nil"/>
              <w:bottom w:val="single" w:sz="4" w:space="0" w:color="auto"/>
              <w:right w:val="single" w:sz="4" w:space="0" w:color="auto"/>
            </w:tcBorders>
            <w:shd w:val="clear" w:color="auto" w:fill="auto"/>
            <w:hideMark/>
          </w:tcPr>
          <w:p w14:paraId="06284712" w14:textId="77777777" w:rsidR="006C28DF" w:rsidRPr="006C28DF" w:rsidRDefault="006C28DF" w:rsidP="006C28DF">
            <w:pPr>
              <w:jc w:val="right"/>
              <w:rPr>
                <w:sz w:val="20"/>
                <w:szCs w:val="20"/>
                <w:lang w:val="en-CA" w:eastAsia="en-CA"/>
              </w:rPr>
            </w:pPr>
            <w:r w:rsidRPr="006C28DF">
              <w:rPr>
                <w:sz w:val="20"/>
                <w:szCs w:val="20"/>
                <w:lang w:val="en-CA" w:eastAsia="en-CA"/>
              </w:rPr>
              <w:t>12.2</w:t>
            </w:r>
          </w:p>
        </w:tc>
      </w:tr>
      <w:tr w:rsidR="006C28DF" w:rsidRPr="006C28DF" w14:paraId="474A37B1"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67D9078" w14:textId="77777777" w:rsidR="006C28DF" w:rsidRPr="006C28DF" w:rsidRDefault="006C28DF" w:rsidP="002C3CFF">
            <w:pPr>
              <w:ind w:right="-105"/>
              <w:jc w:val="left"/>
              <w:rPr>
                <w:sz w:val="20"/>
                <w:szCs w:val="20"/>
                <w:lang w:val="en-CA" w:eastAsia="en-CA"/>
              </w:rPr>
            </w:pPr>
            <w:r w:rsidRPr="006C28DF">
              <w:rPr>
                <w:sz w:val="20"/>
                <w:szCs w:val="20"/>
                <w:lang w:val="en-CA" w:eastAsia="en-CA"/>
              </w:rPr>
              <w:t>Iran (Islamic Republic of)</w:t>
            </w:r>
          </w:p>
        </w:tc>
        <w:tc>
          <w:tcPr>
            <w:tcW w:w="980" w:type="dxa"/>
            <w:tcBorders>
              <w:top w:val="nil"/>
              <w:left w:val="nil"/>
              <w:bottom w:val="single" w:sz="4" w:space="0" w:color="auto"/>
              <w:right w:val="single" w:sz="4" w:space="0" w:color="auto"/>
            </w:tcBorders>
            <w:shd w:val="clear" w:color="auto" w:fill="auto"/>
            <w:hideMark/>
          </w:tcPr>
          <w:p w14:paraId="5A1C2163" w14:textId="77777777" w:rsidR="006C28DF" w:rsidRPr="006C28DF" w:rsidRDefault="006C28DF" w:rsidP="006C28DF">
            <w:pPr>
              <w:jc w:val="center"/>
              <w:rPr>
                <w:sz w:val="20"/>
                <w:szCs w:val="20"/>
                <w:lang w:val="en-CA" w:eastAsia="en-CA"/>
              </w:rPr>
            </w:pPr>
            <w:r w:rsidRPr="006C28DF">
              <w:rPr>
                <w:sz w:val="20"/>
                <w:szCs w:val="20"/>
                <w:lang w:val="en-CA" w:eastAsia="en-CA"/>
              </w:rPr>
              <w:t>Italy</w:t>
            </w:r>
          </w:p>
        </w:tc>
        <w:tc>
          <w:tcPr>
            <w:tcW w:w="721" w:type="dxa"/>
            <w:tcBorders>
              <w:top w:val="nil"/>
              <w:left w:val="nil"/>
              <w:bottom w:val="single" w:sz="4" w:space="0" w:color="auto"/>
              <w:right w:val="single" w:sz="4" w:space="0" w:color="auto"/>
            </w:tcBorders>
            <w:shd w:val="clear" w:color="auto" w:fill="auto"/>
            <w:hideMark/>
          </w:tcPr>
          <w:p w14:paraId="0439ABFC"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33878DE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25CC3D1" w14:textId="77777777" w:rsidR="006C28DF" w:rsidRPr="006C28DF" w:rsidRDefault="006C28DF" w:rsidP="006C28DF">
            <w:pPr>
              <w:jc w:val="left"/>
              <w:rPr>
                <w:sz w:val="20"/>
                <w:szCs w:val="20"/>
                <w:lang w:val="en-CA" w:eastAsia="en-CA"/>
              </w:rPr>
            </w:pPr>
            <w:r w:rsidRPr="006C28DF">
              <w:rPr>
                <w:sz w:val="20"/>
                <w:szCs w:val="20"/>
                <w:lang w:val="en-CA" w:eastAsia="en-CA"/>
              </w:rPr>
              <w:t>HPMP Stage II</w:t>
            </w:r>
          </w:p>
        </w:tc>
        <w:tc>
          <w:tcPr>
            <w:tcW w:w="1148" w:type="dxa"/>
            <w:tcBorders>
              <w:top w:val="nil"/>
              <w:left w:val="nil"/>
              <w:bottom w:val="single" w:sz="4" w:space="0" w:color="auto"/>
              <w:right w:val="single" w:sz="4" w:space="0" w:color="auto"/>
            </w:tcBorders>
            <w:shd w:val="clear" w:color="auto" w:fill="auto"/>
            <w:hideMark/>
          </w:tcPr>
          <w:p w14:paraId="6BD11964" w14:textId="77777777" w:rsidR="006C28DF" w:rsidRPr="006C28DF" w:rsidRDefault="006C28DF" w:rsidP="006C28DF">
            <w:pPr>
              <w:jc w:val="right"/>
              <w:rPr>
                <w:sz w:val="20"/>
                <w:szCs w:val="20"/>
                <w:lang w:val="en-CA" w:eastAsia="en-CA"/>
              </w:rPr>
            </w:pPr>
            <w:r w:rsidRPr="006C28DF">
              <w:rPr>
                <w:sz w:val="20"/>
                <w:szCs w:val="20"/>
                <w:lang w:val="en-CA" w:eastAsia="en-CA"/>
              </w:rPr>
              <w:t>565</w:t>
            </w:r>
          </w:p>
        </w:tc>
        <w:tc>
          <w:tcPr>
            <w:tcW w:w="976" w:type="dxa"/>
            <w:tcBorders>
              <w:top w:val="nil"/>
              <w:left w:val="nil"/>
              <w:bottom w:val="single" w:sz="4" w:space="0" w:color="auto"/>
              <w:right w:val="single" w:sz="4" w:space="0" w:color="auto"/>
            </w:tcBorders>
            <w:shd w:val="clear" w:color="auto" w:fill="auto"/>
            <w:hideMark/>
          </w:tcPr>
          <w:p w14:paraId="4FC803E5" w14:textId="77777777" w:rsidR="006C28DF" w:rsidRPr="006C28DF" w:rsidRDefault="006C28DF" w:rsidP="006C28DF">
            <w:pPr>
              <w:jc w:val="right"/>
              <w:rPr>
                <w:sz w:val="20"/>
                <w:szCs w:val="20"/>
                <w:lang w:val="en-CA" w:eastAsia="en-CA"/>
              </w:rPr>
            </w:pPr>
            <w:r w:rsidRPr="006C28DF">
              <w:rPr>
                <w:sz w:val="20"/>
                <w:szCs w:val="20"/>
                <w:lang w:val="en-CA" w:eastAsia="en-CA"/>
              </w:rPr>
              <w:t>7.3</w:t>
            </w:r>
          </w:p>
        </w:tc>
      </w:tr>
      <w:tr w:rsidR="006C28DF" w:rsidRPr="006C28DF" w14:paraId="36292B5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547506E" w14:textId="77777777" w:rsidR="006C28DF" w:rsidRPr="006C28DF" w:rsidRDefault="006C28DF" w:rsidP="002C3CFF">
            <w:pPr>
              <w:ind w:right="-105"/>
              <w:jc w:val="left"/>
              <w:rPr>
                <w:sz w:val="20"/>
                <w:szCs w:val="20"/>
                <w:lang w:val="en-CA" w:eastAsia="en-CA"/>
              </w:rPr>
            </w:pPr>
            <w:r w:rsidRPr="006C28DF">
              <w:rPr>
                <w:sz w:val="20"/>
                <w:szCs w:val="20"/>
                <w:lang w:val="en-CA" w:eastAsia="en-CA"/>
              </w:rPr>
              <w:t>Iran (Islamic Republic of)</w:t>
            </w:r>
          </w:p>
        </w:tc>
        <w:tc>
          <w:tcPr>
            <w:tcW w:w="980" w:type="dxa"/>
            <w:tcBorders>
              <w:top w:val="nil"/>
              <w:left w:val="nil"/>
              <w:bottom w:val="single" w:sz="4" w:space="0" w:color="auto"/>
              <w:right w:val="single" w:sz="4" w:space="0" w:color="auto"/>
            </w:tcBorders>
            <w:shd w:val="clear" w:color="auto" w:fill="auto"/>
            <w:hideMark/>
          </w:tcPr>
          <w:p w14:paraId="1BE5383F"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43AB89C6"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26D1564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7E8E552" w14:textId="77777777" w:rsidR="006C28DF" w:rsidRPr="006C28DF" w:rsidRDefault="006C28DF" w:rsidP="006C28DF">
            <w:pPr>
              <w:jc w:val="left"/>
              <w:rPr>
                <w:sz w:val="20"/>
                <w:szCs w:val="20"/>
                <w:lang w:val="en-CA" w:eastAsia="en-CA"/>
              </w:rPr>
            </w:pPr>
            <w:r w:rsidRPr="006C28DF">
              <w:rPr>
                <w:sz w:val="20"/>
                <w:szCs w:val="20"/>
                <w:lang w:val="en-CA" w:eastAsia="en-CA"/>
              </w:rPr>
              <w:t>Stage II HPMP (refrigeration)</w:t>
            </w:r>
          </w:p>
        </w:tc>
        <w:tc>
          <w:tcPr>
            <w:tcW w:w="1148" w:type="dxa"/>
            <w:tcBorders>
              <w:top w:val="nil"/>
              <w:left w:val="nil"/>
              <w:bottom w:val="single" w:sz="4" w:space="0" w:color="auto"/>
              <w:right w:val="single" w:sz="4" w:space="0" w:color="auto"/>
            </w:tcBorders>
            <w:shd w:val="clear" w:color="auto" w:fill="auto"/>
            <w:hideMark/>
          </w:tcPr>
          <w:p w14:paraId="4CB265B6" w14:textId="77777777" w:rsidR="006C28DF" w:rsidRPr="006C28DF" w:rsidRDefault="006C28DF" w:rsidP="006C28DF">
            <w:pPr>
              <w:jc w:val="right"/>
              <w:rPr>
                <w:sz w:val="20"/>
                <w:szCs w:val="20"/>
                <w:lang w:val="en-CA" w:eastAsia="en-CA"/>
              </w:rPr>
            </w:pPr>
            <w:r w:rsidRPr="006C28DF">
              <w:rPr>
                <w:sz w:val="20"/>
                <w:szCs w:val="20"/>
                <w:lang w:val="en-CA" w:eastAsia="en-CA"/>
              </w:rPr>
              <w:t>1,706</w:t>
            </w:r>
          </w:p>
        </w:tc>
        <w:tc>
          <w:tcPr>
            <w:tcW w:w="976" w:type="dxa"/>
            <w:tcBorders>
              <w:top w:val="nil"/>
              <w:left w:val="nil"/>
              <w:bottom w:val="single" w:sz="4" w:space="0" w:color="auto"/>
              <w:right w:val="single" w:sz="4" w:space="0" w:color="auto"/>
            </w:tcBorders>
            <w:shd w:val="clear" w:color="auto" w:fill="auto"/>
            <w:hideMark/>
          </w:tcPr>
          <w:p w14:paraId="72F4D8AC" w14:textId="77777777" w:rsidR="006C28DF" w:rsidRPr="006C28DF" w:rsidRDefault="006C28DF" w:rsidP="006C28DF">
            <w:pPr>
              <w:jc w:val="right"/>
              <w:rPr>
                <w:sz w:val="20"/>
                <w:szCs w:val="20"/>
                <w:lang w:val="en-CA" w:eastAsia="en-CA"/>
              </w:rPr>
            </w:pPr>
            <w:r w:rsidRPr="006C28DF">
              <w:rPr>
                <w:sz w:val="20"/>
                <w:szCs w:val="20"/>
                <w:lang w:val="en-CA" w:eastAsia="en-CA"/>
              </w:rPr>
              <w:t>22.9</w:t>
            </w:r>
          </w:p>
        </w:tc>
      </w:tr>
      <w:tr w:rsidR="006C28DF" w:rsidRPr="006C28DF" w14:paraId="11C63017"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471190C" w14:textId="77777777" w:rsidR="006C28DF" w:rsidRPr="006C28DF" w:rsidRDefault="006C28DF" w:rsidP="002C3CFF">
            <w:pPr>
              <w:ind w:right="-105"/>
              <w:jc w:val="left"/>
              <w:rPr>
                <w:sz w:val="20"/>
                <w:szCs w:val="20"/>
                <w:lang w:val="en-CA" w:eastAsia="en-CA"/>
              </w:rPr>
            </w:pPr>
            <w:r w:rsidRPr="006C28DF">
              <w:rPr>
                <w:sz w:val="20"/>
                <w:szCs w:val="20"/>
                <w:lang w:val="en-CA" w:eastAsia="en-CA"/>
              </w:rPr>
              <w:t>Iran (Islamic Republic of)</w:t>
            </w:r>
          </w:p>
        </w:tc>
        <w:tc>
          <w:tcPr>
            <w:tcW w:w="980" w:type="dxa"/>
            <w:tcBorders>
              <w:top w:val="nil"/>
              <w:left w:val="nil"/>
              <w:bottom w:val="single" w:sz="4" w:space="0" w:color="auto"/>
              <w:right w:val="single" w:sz="4" w:space="0" w:color="auto"/>
            </w:tcBorders>
            <w:shd w:val="clear" w:color="auto" w:fill="auto"/>
            <w:hideMark/>
          </w:tcPr>
          <w:p w14:paraId="61DADD2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4628A9E"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736C8F6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6C5A774"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(implementation)</w:t>
            </w:r>
          </w:p>
        </w:tc>
        <w:tc>
          <w:tcPr>
            <w:tcW w:w="1148" w:type="dxa"/>
            <w:tcBorders>
              <w:top w:val="nil"/>
              <w:left w:val="nil"/>
              <w:bottom w:val="single" w:sz="4" w:space="0" w:color="auto"/>
              <w:right w:val="single" w:sz="4" w:space="0" w:color="auto"/>
            </w:tcBorders>
            <w:shd w:val="clear" w:color="auto" w:fill="auto"/>
            <w:hideMark/>
          </w:tcPr>
          <w:p w14:paraId="07B5C291" w14:textId="77777777" w:rsidR="006C28DF" w:rsidRPr="006C28DF" w:rsidRDefault="006C28DF" w:rsidP="006C28DF">
            <w:pPr>
              <w:jc w:val="right"/>
              <w:rPr>
                <w:sz w:val="20"/>
                <w:szCs w:val="20"/>
                <w:lang w:val="en-CA" w:eastAsia="en-CA"/>
              </w:rPr>
            </w:pPr>
            <w:r w:rsidRPr="006C28DF">
              <w:rPr>
                <w:sz w:val="20"/>
                <w:szCs w:val="20"/>
                <w:lang w:val="en-CA" w:eastAsia="en-CA"/>
              </w:rPr>
              <w:t>214</w:t>
            </w:r>
          </w:p>
        </w:tc>
        <w:tc>
          <w:tcPr>
            <w:tcW w:w="976" w:type="dxa"/>
            <w:tcBorders>
              <w:top w:val="nil"/>
              <w:left w:val="nil"/>
              <w:bottom w:val="single" w:sz="4" w:space="0" w:color="auto"/>
              <w:right w:val="single" w:sz="4" w:space="0" w:color="auto"/>
            </w:tcBorders>
            <w:shd w:val="clear" w:color="auto" w:fill="auto"/>
            <w:hideMark/>
          </w:tcPr>
          <w:p w14:paraId="62F5FBB5" w14:textId="77777777" w:rsidR="006C28DF" w:rsidRPr="006C28DF" w:rsidRDefault="006C28DF" w:rsidP="006C28DF">
            <w:pPr>
              <w:jc w:val="right"/>
              <w:rPr>
                <w:sz w:val="20"/>
                <w:szCs w:val="20"/>
                <w:lang w:val="en-CA" w:eastAsia="en-CA"/>
              </w:rPr>
            </w:pPr>
            <w:r w:rsidRPr="006C28DF">
              <w:rPr>
                <w:sz w:val="20"/>
                <w:szCs w:val="20"/>
                <w:lang w:val="en-CA" w:eastAsia="en-CA"/>
              </w:rPr>
              <w:t>2.7</w:t>
            </w:r>
          </w:p>
        </w:tc>
      </w:tr>
      <w:tr w:rsidR="006C28DF" w:rsidRPr="006C28DF" w14:paraId="26136A14"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B2F93F4" w14:textId="77777777" w:rsidR="006C28DF" w:rsidRPr="006C28DF" w:rsidRDefault="006C28DF" w:rsidP="002C3CFF">
            <w:pPr>
              <w:ind w:right="-105"/>
              <w:jc w:val="left"/>
              <w:rPr>
                <w:sz w:val="20"/>
                <w:szCs w:val="20"/>
                <w:lang w:val="en-CA" w:eastAsia="en-CA"/>
              </w:rPr>
            </w:pPr>
            <w:r w:rsidRPr="006C28DF">
              <w:rPr>
                <w:sz w:val="20"/>
                <w:szCs w:val="20"/>
                <w:lang w:val="en-CA" w:eastAsia="en-CA"/>
              </w:rPr>
              <w:t>Iran (Islamic Republic of)</w:t>
            </w:r>
          </w:p>
        </w:tc>
        <w:tc>
          <w:tcPr>
            <w:tcW w:w="980" w:type="dxa"/>
            <w:tcBorders>
              <w:top w:val="nil"/>
              <w:left w:val="nil"/>
              <w:bottom w:val="single" w:sz="4" w:space="0" w:color="auto"/>
              <w:right w:val="single" w:sz="4" w:space="0" w:color="auto"/>
            </w:tcBorders>
            <w:shd w:val="clear" w:color="auto" w:fill="auto"/>
            <w:hideMark/>
          </w:tcPr>
          <w:p w14:paraId="6B4C0148"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5DDA1AEB"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13479BA4"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D2A9621" w14:textId="77777777" w:rsidR="006C28DF" w:rsidRPr="006C28DF" w:rsidRDefault="006C28DF" w:rsidP="006C28DF">
            <w:pPr>
              <w:jc w:val="left"/>
              <w:rPr>
                <w:sz w:val="20"/>
                <w:szCs w:val="20"/>
                <w:lang w:val="en-CA" w:eastAsia="en-CA"/>
              </w:rPr>
            </w:pPr>
            <w:r w:rsidRPr="006C28DF">
              <w:rPr>
                <w:sz w:val="20"/>
                <w:szCs w:val="20"/>
                <w:lang w:val="en-CA" w:eastAsia="en-CA"/>
              </w:rPr>
              <w:t>FOA-Rigid PU  foam (Stage II)</w:t>
            </w:r>
          </w:p>
        </w:tc>
        <w:tc>
          <w:tcPr>
            <w:tcW w:w="1148" w:type="dxa"/>
            <w:tcBorders>
              <w:top w:val="nil"/>
              <w:left w:val="nil"/>
              <w:bottom w:val="single" w:sz="4" w:space="0" w:color="auto"/>
              <w:right w:val="single" w:sz="4" w:space="0" w:color="auto"/>
            </w:tcBorders>
            <w:shd w:val="clear" w:color="auto" w:fill="auto"/>
            <w:hideMark/>
          </w:tcPr>
          <w:p w14:paraId="25CE48A1" w14:textId="77777777" w:rsidR="006C28DF" w:rsidRPr="006C28DF" w:rsidRDefault="006C28DF" w:rsidP="006C28DF">
            <w:pPr>
              <w:jc w:val="right"/>
              <w:rPr>
                <w:sz w:val="20"/>
                <w:szCs w:val="20"/>
                <w:lang w:val="en-CA" w:eastAsia="en-CA"/>
              </w:rPr>
            </w:pPr>
            <w:r w:rsidRPr="006C28DF">
              <w:rPr>
                <w:sz w:val="20"/>
                <w:szCs w:val="20"/>
                <w:lang w:val="en-CA" w:eastAsia="en-CA"/>
              </w:rPr>
              <w:t>578</w:t>
            </w:r>
          </w:p>
        </w:tc>
        <w:tc>
          <w:tcPr>
            <w:tcW w:w="976" w:type="dxa"/>
            <w:tcBorders>
              <w:top w:val="nil"/>
              <w:left w:val="nil"/>
              <w:bottom w:val="single" w:sz="4" w:space="0" w:color="auto"/>
              <w:right w:val="single" w:sz="4" w:space="0" w:color="auto"/>
            </w:tcBorders>
            <w:shd w:val="clear" w:color="auto" w:fill="auto"/>
            <w:hideMark/>
          </w:tcPr>
          <w:p w14:paraId="75C51DC1" w14:textId="77777777" w:rsidR="006C28DF" w:rsidRPr="006C28DF" w:rsidRDefault="006C28DF" w:rsidP="006C28DF">
            <w:pPr>
              <w:jc w:val="right"/>
              <w:rPr>
                <w:sz w:val="20"/>
                <w:szCs w:val="20"/>
                <w:lang w:val="en-CA" w:eastAsia="en-CA"/>
              </w:rPr>
            </w:pPr>
            <w:r w:rsidRPr="006C28DF">
              <w:rPr>
                <w:sz w:val="20"/>
                <w:szCs w:val="20"/>
                <w:lang w:val="en-CA" w:eastAsia="en-CA"/>
              </w:rPr>
              <w:t>7.8</w:t>
            </w:r>
          </w:p>
        </w:tc>
      </w:tr>
      <w:tr w:rsidR="006C28DF" w:rsidRPr="006C28DF" w14:paraId="680DEB9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1D94992" w14:textId="77777777" w:rsidR="006C28DF" w:rsidRPr="006C28DF" w:rsidRDefault="006C28DF" w:rsidP="002C3CFF">
            <w:pPr>
              <w:ind w:right="-105"/>
              <w:jc w:val="left"/>
              <w:rPr>
                <w:sz w:val="20"/>
                <w:szCs w:val="20"/>
                <w:lang w:val="en-CA" w:eastAsia="en-CA"/>
              </w:rPr>
            </w:pPr>
            <w:r w:rsidRPr="006C28DF">
              <w:rPr>
                <w:sz w:val="20"/>
                <w:szCs w:val="20"/>
                <w:lang w:val="en-CA" w:eastAsia="en-CA"/>
              </w:rPr>
              <w:t>Iran (Islamic Republic of)</w:t>
            </w:r>
          </w:p>
        </w:tc>
        <w:tc>
          <w:tcPr>
            <w:tcW w:w="980" w:type="dxa"/>
            <w:tcBorders>
              <w:top w:val="nil"/>
              <w:left w:val="nil"/>
              <w:bottom w:val="single" w:sz="4" w:space="0" w:color="auto"/>
              <w:right w:val="single" w:sz="4" w:space="0" w:color="auto"/>
            </w:tcBorders>
            <w:shd w:val="clear" w:color="auto" w:fill="auto"/>
            <w:hideMark/>
          </w:tcPr>
          <w:p w14:paraId="17E84ABF"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458839A8"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1618CBA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04AB065" w14:textId="77777777" w:rsidR="006C28DF" w:rsidRPr="006C28DF" w:rsidRDefault="006C28DF" w:rsidP="006C28DF">
            <w:pPr>
              <w:jc w:val="left"/>
              <w:rPr>
                <w:sz w:val="20"/>
                <w:szCs w:val="20"/>
                <w:lang w:val="en-CA" w:eastAsia="en-CA"/>
              </w:rPr>
            </w:pPr>
            <w:r w:rsidRPr="006C28DF">
              <w:rPr>
                <w:sz w:val="20"/>
                <w:szCs w:val="20"/>
                <w:lang w:val="en-CA" w:eastAsia="en-CA"/>
              </w:rPr>
              <w:t>HPMP - Stage II</w:t>
            </w:r>
          </w:p>
        </w:tc>
        <w:tc>
          <w:tcPr>
            <w:tcW w:w="1148" w:type="dxa"/>
            <w:tcBorders>
              <w:top w:val="nil"/>
              <w:left w:val="nil"/>
              <w:bottom w:val="single" w:sz="4" w:space="0" w:color="auto"/>
              <w:right w:val="single" w:sz="4" w:space="0" w:color="auto"/>
            </w:tcBorders>
            <w:shd w:val="clear" w:color="auto" w:fill="auto"/>
            <w:hideMark/>
          </w:tcPr>
          <w:p w14:paraId="5C5DF8E4" w14:textId="77777777" w:rsidR="006C28DF" w:rsidRPr="006C28DF" w:rsidRDefault="006C28DF" w:rsidP="006C28DF">
            <w:pPr>
              <w:jc w:val="right"/>
              <w:rPr>
                <w:sz w:val="20"/>
                <w:szCs w:val="20"/>
                <w:lang w:val="en-CA" w:eastAsia="en-CA"/>
              </w:rPr>
            </w:pPr>
            <w:r w:rsidRPr="006C28DF">
              <w:rPr>
                <w:sz w:val="20"/>
                <w:szCs w:val="20"/>
                <w:lang w:val="en-CA" w:eastAsia="en-CA"/>
              </w:rPr>
              <w:t>47</w:t>
            </w:r>
          </w:p>
        </w:tc>
        <w:tc>
          <w:tcPr>
            <w:tcW w:w="976" w:type="dxa"/>
            <w:tcBorders>
              <w:top w:val="nil"/>
              <w:left w:val="nil"/>
              <w:bottom w:val="single" w:sz="4" w:space="0" w:color="auto"/>
              <w:right w:val="single" w:sz="4" w:space="0" w:color="auto"/>
            </w:tcBorders>
            <w:shd w:val="clear" w:color="auto" w:fill="auto"/>
            <w:hideMark/>
          </w:tcPr>
          <w:p w14:paraId="1C2239BE" w14:textId="77777777" w:rsidR="006C28DF" w:rsidRPr="006C28DF" w:rsidRDefault="006C28DF" w:rsidP="006C28DF">
            <w:pPr>
              <w:jc w:val="right"/>
              <w:rPr>
                <w:sz w:val="20"/>
                <w:szCs w:val="20"/>
                <w:lang w:val="en-CA" w:eastAsia="en-CA"/>
              </w:rPr>
            </w:pPr>
            <w:r w:rsidRPr="006C28DF">
              <w:rPr>
                <w:sz w:val="20"/>
                <w:szCs w:val="20"/>
                <w:lang w:val="en-CA" w:eastAsia="en-CA"/>
              </w:rPr>
              <w:t>0.6</w:t>
            </w:r>
          </w:p>
        </w:tc>
      </w:tr>
      <w:tr w:rsidR="006C28DF" w:rsidRPr="006C28DF" w14:paraId="5386C4A1"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914CBB6" w14:textId="77777777" w:rsidR="006C28DF" w:rsidRPr="006C28DF" w:rsidRDefault="006C28DF" w:rsidP="002C3CFF">
            <w:pPr>
              <w:ind w:right="-105"/>
              <w:jc w:val="left"/>
              <w:rPr>
                <w:sz w:val="20"/>
                <w:szCs w:val="20"/>
                <w:lang w:val="en-CA" w:eastAsia="en-CA"/>
              </w:rPr>
            </w:pPr>
            <w:r w:rsidRPr="006C28DF">
              <w:rPr>
                <w:sz w:val="20"/>
                <w:szCs w:val="20"/>
                <w:lang w:val="en-CA" w:eastAsia="en-CA"/>
              </w:rPr>
              <w:t>Iran (Islamic Republic of)</w:t>
            </w:r>
          </w:p>
        </w:tc>
        <w:tc>
          <w:tcPr>
            <w:tcW w:w="980" w:type="dxa"/>
            <w:tcBorders>
              <w:top w:val="nil"/>
              <w:left w:val="nil"/>
              <w:bottom w:val="single" w:sz="4" w:space="0" w:color="auto"/>
              <w:right w:val="single" w:sz="4" w:space="0" w:color="auto"/>
            </w:tcBorders>
            <w:shd w:val="clear" w:color="auto" w:fill="auto"/>
            <w:hideMark/>
          </w:tcPr>
          <w:p w14:paraId="2DD7F19D"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505CEE79"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18357B04"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56BD00E0" w14:textId="77777777" w:rsidR="006C28DF" w:rsidRPr="006C28DF" w:rsidRDefault="006C28DF" w:rsidP="006C28DF">
            <w:pPr>
              <w:jc w:val="left"/>
              <w:rPr>
                <w:sz w:val="20"/>
                <w:szCs w:val="20"/>
                <w:lang w:val="en-CA" w:eastAsia="en-CA"/>
              </w:rPr>
            </w:pPr>
            <w:r w:rsidRPr="006C28DF">
              <w:rPr>
                <w:sz w:val="20"/>
                <w:szCs w:val="20"/>
                <w:lang w:val="en-CA" w:eastAsia="en-CA"/>
              </w:rPr>
              <w:t>Enabling activities for Kigali Amendment</w:t>
            </w:r>
          </w:p>
        </w:tc>
        <w:tc>
          <w:tcPr>
            <w:tcW w:w="1148" w:type="dxa"/>
            <w:tcBorders>
              <w:top w:val="nil"/>
              <w:left w:val="nil"/>
              <w:bottom w:val="single" w:sz="4" w:space="0" w:color="auto"/>
              <w:right w:val="single" w:sz="4" w:space="0" w:color="auto"/>
            </w:tcBorders>
            <w:shd w:val="clear" w:color="auto" w:fill="auto"/>
            <w:hideMark/>
          </w:tcPr>
          <w:p w14:paraId="2BD76299" w14:textId="77777777" w:rsidR="006C28DF" w:rsidRPr="006C28DF" w:rsidRDefault="006C28DF" w:rsidP="006C28DF">
            <w:pPr>
              <w:jc w:val="right"/>
              <w:rPr>
                <w:sz w:val="20"/>
                <w:szCs w:val="20"/>
                <w:lang w:val="en-CA" w:eastAsia="en-CA"/>
              </w:rPr>
            </w:pPr>
            <w:r w:rsidRPr="006C28DF">
              <w:rPr>
                <w:sz w:val="20"/>
                <w:szCs w:val="20"/>
                <w:lang w:val="en-CA" w:eastAsia="en-CA"/>
              </w:rPr>
              <w:t>268</w:t>
            </w:r>
          </w:p>
        </w:tc>
        <w:tc>
          <w:tcPr>
            <w:tcW w:w="976" w:type="dxa"/>
            <w:tcBorders>
              <w:top w:val="nil"/>
              <w:left w:val="nil"/>
              <w:bottom w:val="single" w:sz="4" w:space="0" w:color="auto"/>
              <w:right w:val="single" w:sz="4" w:space="0" w:color="auto"/>
            </w:tcBorders>
            <w:shd w:val="clear" w:color="auto" w:fill="auto"/>
            <w:hideMark/>
          </w:tcPr>
          <w:p w14:paraId="00EE5D87" w14:textId="77777777" w:rsidR="006C28DF" w:rsidRPr="006C28DF" w:rsidRDefault="006C28DF" w:rsidP="006C28DF">
            <w:pPr>
              <w:jc w:val="left"/>
              <w:rPr>
                <w:sz w:val="20"/>
                <w:szCs w:val="20"/>
                <w:lang w:val="en-CA" w:eastAsia="en-CA"/>
              </w:rPr>
            </w:pPr>
            <w:r w:rsidRPr="006C28DF">
              <w:rPr>
                <w:sz w:val="20"/>
                <w:szCs w:val="20"/>
                <w:lang w:val="en-CA" w:eastAsia="en-CA"/>
              </w:rPr>
              <w:t> </w:t>
            </w:r>
          </w:p>
        </w:tc>
      </w:tr>
      <w:tr w:rsidR="006C28DF" w:rsidRPr="006C28DF" w14:paraId="0827983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432445B" w14:textId="77777777" w:rsidR="006C28DF" w:rsidRPr="006C28DF" w:rsidRDefault="006C28DF" w:rsidP="002C3CFF">
            <w:pPr>
              <w:ind w:right="-105"/>
              <w:jc w:val="left"/>
              <w:rPr>
                <w:sz w:val="20"/>
                <w:szCs w:val="20"/>
                <w:lang w:val="en-CA" w:eastAsia="en-CA"/>
              </w:rPr>
            </w:pPr>
            <w:r w:rsidRPr="006C28DF">
              <w:rPr>
                <w:sz w:val="20"/>
                <w:szCs w:val="20"/>
                <w:lang w:val="en-CA" w:eastAsia="en-CA"/>
              </w:rPr>
              <w:t>Iran (Islamic Republic of)</w:t>
            </w:r>
          </w:p>
        </w:tc>
        <w:tc>
          <w:tcPr>
            <w:tcW w:w="980" w:type="dxa"/>
            <w:tcBorders>
              <w:top w:val="nil"/>
              <w:left w:val="nil"/>
              <w:bottom w:val="single" w:sz="4" w:space="0" w:color="auto"/>
              <w:right w:val="single" w:sz="4" w:space="0" w:color="auto"/>
            </w:tcBorders>
            <w:shd w:val="clear" w:color="auto" w:fill="auto"/>
            <w:hideMark/>
          </w:tcPr>
          <w:p w14:paraId="477543A1"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78B058F8"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20520800"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06099CAE"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9CC66EC" w14:textId="77777777" w:rsidR="006C28DF" w:rsidRPr="006C28DF" w:rsidRDefault="006C28DF" w:rsidP="006C28DF">
            <w:pPr>
              <w:jc w:val="right"/>
              <w:rPr>
                <w:sz w:val="20"/>
                <w:szCs w:val="20"/>
                <w:lang w:val="en-CA" w:eastAsia="en-CA"/>
              </w:rPr>
            </w:pPr>
            <w:r w:rsidRPr="006C28DF">
              <w:rPr>
                <w:sz w:val="20"/>
                <w:szCs w:val="20"/>
                <w:lang w:val="en-CA" w:eastAsia="en-CA"/>
              </w:rPr>
              <w:t>238</w:t>
            </w:r>
          </w:p>
        </w:tc>
        <w:tc>
          <w:tcPr>
            <w:tcW w:w="976" w:type="dxa"/>
            <w:tcBorders>
              <w:top w:val="nil"/>
              <w:left w:val="nil"/>
              <w:bottom w:val="single" w:sz="4" w:space="0" w:color="auto"/>
              <w:right w:val="single" w:sz="4" w:space="0" w:color="auto"/>
            </w:tcBorders>
            <w:shd w:val="clear" w:color="auto" w:fill="auto"/>
            <w:hideMark/>
          </w:tcPr>
          <w:p w14:paraId="71954FE9"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112A54E0"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207C933" w14:textId="77777777" w:rsidR="006C28DF" w:rsidRPr="006C28DF" w:rsidRDefault="006C28DF" w:rsidP="006C28DF">
            <w:pPr>
              <w:jc w:val="left"/>
              <w:rPr>
                <w:sz w:val="20"/>
                <w:szCs w:val="20"/>
                <w:lang w:val="en-CA" w:eastAsia="en-CA"/>
              </w:rPr>
            </w:pPr>
            <w:r w:rsidRPr="006C28DF">
              <w:rPr>
                <w:sz w:val="20"/>
                <w:szCs w:val="20"/>
                <w:lang w:val="en-CA" w:eastAsia="en-CA"/>
              </w:rPr>
              <w:t>Iraq</w:t>
            </w:r>
          </w:p>
        </w:tc>
        <w:tc>
          <w:tcPr>
            <w:tcW w:w="980" w:type="dxa"/>
            <w:tcBorders>
              <w:top w:val="nil"/>
              <w:left w:val="nil"/>
              <w:bottom w:val="single" w:sz="4" w:space="0" w:color="auto"/>
              <w:right w:val="single" w:sz="4" w:space="0" w:color="auto"/>
            </w:tcBorders>
            <w:shd w:val="clear" w:color="auto" w:fill="auto"/>
            <w:hideMark/>
          </w:tcPr>
          <w:p w14:paraId="2FBEAB7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0C459C8"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7B522ED"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B09ACB3"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0D331743" w14:textId="77777777" w:rsidR="006C28DF" w:rsidRPr="006C28DF" w:rsidRDefault="006C28DF" w:rsidP="006C28DF">
            <w:pPr>
              <w:jc w:val="right"/>
              <w:rPr>
                <w:sz w:val="20"/>
                <w:szCs w:val="20"/>
                <w:lang w:val="en-CA" w:eastAsia="en-CA"/>
              </w:rPr>
            </w:pPr>
            <w:r w:rsidRPr="006C28DF">
              <w:rPr>
                <w:sz w:val="20"/>
                <w:szCs w:val="20"/>
                <w:lang w:val="en-CA" w:eastAsia="en-CA"/>
              </w:rPr>
              <w:t>248</w:t>
            </w:r>
          </w:p>
        </w:tc>
        <w:tc>
          <w:tcPr>
            <w:tcW w:w="976" w:type="dxa"/>
            <w:tcBorders>
              <w:top w:val="nil"/>
              <w:left w:val="nil"/>
              <w:bottom w:val="single" w:sz="4" w:space="0" w:color="auto"/>
              <w:right w:val="single" w:sz="4" w:space="0" w:color="auto"/>
            </w:tcBorders>
            <w:shd w:val="clear" w:color="auto" w:fill="auto"/>
            <w:hideMark/>
          </w:tcPr>
          <w:p w14:paraId="7C101CB5" w14:textId="77777777" w:rsidR="006C28DF" w:rsidRPr="006C28DF" w:rsidRDefault="006C28DF" w:rsidP="006C28DF">
            <w:pPr>
              <w:jc w:val="right"/>
              <w:rPr>
                <w:sz w:val="20"/>
                <w:szCs w:val="20"/>
                <w:lang w:val="en-CA" w:eastAsia="en-CA"/>
              </w:rPr>
            </w:pPr>
            <w:r w:rsidRPr="006C28DF">
              <w:rPr>
                <w:sz w:val="20"/>
                <w:szCs w:val="20"/>
                <w:lang w:val="en-CA" w:eastAsia="en-CA"/>
              </w:rPr>
              <w:t>2.8</w:t>
            </w:r>
          </w:p>
        </w:tc>
      </w:tr>
      <w:tr w:rsidR="006C28DF" w:rsidRPr="006C28DF" w14:paraId="66366D4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006D870" w14:textId="77777777" w:rsidR="006C28DF" w:rsidRPr="006C28DF" w:rsidRDefault="006C28DF" w:rsidP="006C28DF">
            <w:pPr>
              <w:jc w:val="left"/>
              <w:rPr>
                <w:sz w:val="20"/>
                <w:szCs w:val="20"/>
                <w:lang w:val="en-CA" w:eastAsia="en-CA"/>
              </w:rPr>
            </w:pPr>
            <w:r w:rsidRPr="006C28DF">
              <w:rPr>
                <w:sz w:val="20"/>
                <w:szCs w:val="20"/>
                <w:lang w:val="en-CA" w:eastAsia="en-CA"/>
              </w:rPr>
              <w:t>Iraq</w:t>
            </w:r>
          </w:p>
        </w:tc>
        <w:tc>
          <w:tcPr>
            <w:tcW w:w="980" w:type="dxa"/>
            <w:tcBorders>
              <w:top w:val="nil"/>
              <w:left w:val="nil"/>
              <w:bottom w:val="single" w:sz="4" w:space="0" w:color="auto"/>
              <w:right w:val="single" w:sz="4" w:space="0" w:color="auto"/>
            </w:tcBorders>
            <w:shd w:val="clear" w:color="auto" w:fill="auto"/>
            <w:hideMark/>
          </w:tcPr>
          <w:p w14:paraId="41AA09F8"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334D3B4C"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34E8A209"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B9CFB6D" w14:textId="77777777" w:rsidR="006C28DF" w:rsidRPr="006C28DF" w:rsidRDefault="006C28DF" w:rsidP="006C28DF">
            <w:pPr>
              <w:jc w:val="left"/>
              <w:rPr>
                <w:sz w:val="20"/>
                <w:szCs w:val="20"/>
                <w:lang w:val="en-CA" w:eastAsia="en-CA"/>
              </w:rPr>
            </w:pPr>
            <w:r w:rsidRPr="006C28DF">
              <w:rPr>
                <w:sz w:val="20"/>
                <w:szCs w:val="20"/>
                <w:lang w:val="en-CA" w:eastAsia="en-CA"/>
              </w:rPr>
              <w:t>HPMP - Stage I</w:t>
            </w:r>
          </w:p>
        </w:tc>
        <w:tc>
          <w:tcPr>
            <w:tcW w:w="1148" w:type="dxa"/>
            <w:tcBorders>
              <w:top w:val="nil"/>
              <w:left w:val="nil"/>
              <w:bottom w:val="single" w:sz="4" w:space="0" w:color="auto"/>
              <w:right w:val="single" w:sz="4" w:space="0" w:color="auto"/>
            </w:tcBorders>
            <w:shd w:val="clear" w:color="auto" w:fill="auto"/>
            <w:hideMark/>
          </w:tcPr>
          <w:p w14:paraId="30665B5E" w14:textId="77777777" w:rsidR="006C28DF" w:rsidRPr="006C28DF" w:rsidRDefault="006C28DF" w:rsidP="006C28DF">
            <w:pPr>
              <w:jc w:val="right"/>
              <w:rPr>
                <w:sz w:val="20"/>
                <w:szCs w:val="20"/>
                <w:lang w:val="en-CA" w:eastAsia="en-CA"/>
              </w:rPr>
            </w:pPr>
            <w:r w:rsidRPr="006C28DF">
              <w:rPr>
                <w:sz w:val="20"/>
                <w:szCs w:val="20"/>
                <w:lang w:val="en-CA" w:eastAsia="en-CA"/>
              </w:rPr>
              <w:t>226</w:t>
            </w:r>
          </w:p>
        </w:tc>
        <w:tc>
          <w:tcPr>
            <w:tcW w:w="976" w:type="dxa"/>
            <w:tcBorders>
              <w:top w:val="nil"/>
              <w:left w:val="nil"/>
              <w:bottom w:val="single" w:sz="4" w:space="0" w:color="auto"/>
              <w:right w:val="single" w:sz="4" w:space="0" w:color="auto"/>
            </w:tcBorders>
            <w:shd w:val="clear" w:color="auto" w:fill="auto"/>
            <w:hideMark/>
          </w:tcPr>
          <w:p w14:paraId="61CBE5A9" w14:textId="77777777" w:rsidR="006C28DF" w:rsidRPr="006C28DF" w:rsidRDefault="006C28DF" w:rsidP="006C28DF">
            <w:pPr>
              <w:jc w:val="right"/>
              <w:rPr>
                <w:sz w:val="20"/>
                <w:szCs w:val="20"/>
                <w:lang w:val="en-CA" w:eastAsia="en-CA"/>
              </w:rPr>
            </w:pPr>
            <w:r w:rsidRPr="006C28DF">
              <w:rPr>
                <w:sz w:val="20"/>
                <w:szCs w:val="20"/>
                <w:lang w:val="en-CA" w:eastAsia="en-CA"/>
              </w:rPr>
              <w:t>2.7</w:t>
            </w:r>
          </w:p>
        </w:tc>
      </w:tr>
      <w:tr w:rsidR="006C28DF" w:rsidRPr="006C28DF" w14:paraId="3D8B1586"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10BBB79" w14:textId="77777777" w:rsidR="006C28DF" w:rsidRPr="006C28DF" w:rsidRDefault="006C28DF" w:rsidP="006C28DF">
            <w:pPr>
              <w:jc w:val="left"/>
              <w:rPr>
                <w:sz w:val="20"/>
                <w:szCs w:val="20"/>
                <w:lang w:val="en-CA" w:eastAsia="en-CA"/>
              </w:rPr>
            </w:pPr>
            <w:r w:rsidRPr="006C28DF">
              <w:rPr>
                <w:sz w:val="20"/>
                <w:szCs w:val="20"/>
                <w:lang w:val="en-CA" w:eastAsia="en-CA"/>
              </w:rPr>
              <w:t>Iraq</w:t>
            </w:r>
          </w:p>
        </w:tc>
        <w:tc>
          <w:tcPr>
            <w:tcW w:w="980" w:type="dxa"/>
            <w:tcBorders>
              <w:top w:val="nil"/>
              <w:left w:val="nil"/>
              <w:bottom w:val="single" w:sz="4" w:space="0" w:color="auto"/>
              <w:right w:val="single" w:sz="4" w:space="0" w:color="auto"/>
            </w:tcBorders>
            <w:shd w:val="clear" w:color="auto" w:fill="auto"/>
            <w:hideMark/>
          </w:tcPr>
          <w:p w14:paraId="4A23FA02"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13AEB87"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2C6A7ADA"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0BF7CAC0"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C29DB27" w14:textId="77777777" w:rsidR="006C28DF" w:rsidRPr="006C28DF" w:rsidRDefault="006C28DF" w:rsidP="006C28DF">
            <w:pPr>
              <w:jc w:val="right"/>
              <w:rPr>
                <w:sz w:val="20"/>
                <w:szCs w:val="20"/>
                <w:lang w:val="en-CA" w:eastAsia="en-CA"/>
              </w:rPr>
            </w:pPr>
            <w:r w:rsidRPr="006C28DF">
              <w:rPr>
                <w:sz w:val="20"/>
                <w:szCs w:val="20"/>
                <w:lang w:val="en-CA" w:eastAsia="en-CA"/>
              </w:rPr>
              <w:t>307</w:t>
            </w:r>
          </w:p>
        </w:tc>
        <w:tc>
          <w:tcPr>
            <w:tcW w:w="976" w:type="dxa"/>
            <w:tcBorders>
              <w:top w:val="nil"/>
              <w:left w:val="nil"/>
              <w:bottom w:val="single" w:sz="4" w:space="0" w:color="auto"/>
              <w:right w:val="single" w:sz="4" w:space="0" w:color="auto"/>
            </w:tcBorders>
            <w:shd w:val="clear" w:color="auto" w:fill="auto"/>
            <w:hideMark/>
          </w:tcPr>
          <w:p w14:paraId="2CC931DF"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2A718D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BC58388" w14:textId="77777777" w:rsidR="006C28DF" w:rsidRPr="006C28DF" w:rsidRDefault="006C28DF" w:rsidP="006C28DF">
            <w:pPr>
              <w:jc w:val="left"/>
              <w:rPr>
                <w:sz w:val="20"/>
                <w:szCs w:val="20"/>
                <w:lang w:val="en-CA" w:eastAsia="en-CA"/>
              </w:rPr>
            </w:pPr>
            <w:r w:rsidRPr="006C28DF">
              <w:rPr>
                <w:sz w:val="20"/>
                <w:szCs w:val="20"/>
                <w:lang w:val="en-CA" w:eastAsia="en-CA"/>
              </w:rPr>
              <w:t>Jamaica</w:t>
            </w:r>
          </w:p>
        </w:tc>
        <w:tc>
          <w:tcPr>
            <w:tcW w:w="980" w:type="dxa"/>
            <w:tcBorders>
              <w:top w:val="nil"/>
              <w:left w:val="nil"/>
              <w:bottom w:val="single" w:sz="4" w:space="0" w:color="auto"/>
              <w:right w:val="single" w:sz="4" w:space="0" w:color="auto"/>
            </w:tcBorders>
            <w:shd w:val="clear" w:color="auto" w:fill="auto"/>
            <w:hideMark/>
          </w:tcPr>
          <w:p w14:paraId="0353C7AF"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0203ECB"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015D0C2"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FF6793E"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D962667"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444BFFF4"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865780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F71E5B3" w14:textId="77777777" w:rsidR="006C28DF" w:rsidRPr="006C28DF" w:rsidRDefault="006C28DF" w:rsidP="006C28DF">
            <w:pPr>
              <w:jc w:val="left"/>
              <w:rPr>
                <w:sz w:val="20"/>
                <w:szCs w:val="20"/>
                <w:lang w:val="en-CA" w:eastAsia="en-CA"/>
              </w:rPr>
            </w:pPr>
            <w:r w:rsidRPr="006C28DF">
              <w:rPr>
                <w:sz w:val="20"/>
                <w:szCs w:val="20"/>
                <w:lang w:val="en-CA" w:eastAsia="en-CA"/>
              </w:rPr>
              <w:t>Jordan</w:t>
            </w:r>
          </w:p>
        </w:tc>
        <w:tc>
          <w:tcPr>
            <w:tcW w:w="980" w:type="dxa"/>
            <w:tcBorders>
              <w:top w:val="nil"/>
              <w:left w:val="nil"/>
              <w:bottom w:val="single" w:sz="4" w:space="0" w:color="auto"/>
              <w:right w:val="single" w:sz="4" w:space="0" w:color="auto"/>
            </w:tcBorders>
            <w:shd w:val="clear" w:color="auto" w:fill="auto"/>
            <w:hideMark/>
          </w:tcPr>
          <w:p w14:paraId="5F85D0D4"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2BA935D3"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1582AD3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13B7DA7" w14:textId="77777777" w:rsidR="006C28DF" w:rsidRPr="006C28DF" w:rsidRDefault="006C28DF" w:rsidP="006C28DF">
            <w:pPr>
              <w:jc w:val="left"/>
              <w:rPr>
                <w:sz w:val="20"/>
                <w:szCs w:val="20"/>
                <w:lang w:val="en-CA" w:eastAsia="en-CA"/>
              </w:rPr>
            </w:pPr>
            <w:r w:rsidRPr="006C28DF">
              <w:rPr>
                <w:sz w:val="20"/>
                <w:szCs w:val="20"/>
                <w:lang w:val="en-CA" w:eastAsia="en-CA"/>
              </w:rPr>
              <w:t>FOA - Rigid PU foam (Stage II)</w:t>
            </w:r>
          </w:p>
        </w:tc>
        <w:tc>
          <w:tcPr>
            <w:tcW w:w="1148" w:type="dxa"/>
            <w:tcBorders>
              <w:top w:val="nil"/>
              <w:left w:val="nil"/>
              <w:bottom w:val="single" w:sz="4" w:space="0" w:color="auto"/>
              <w:right w:val="single" w:sz="4" w:space="0" w:color="auto"/>
            </w:tcBorders>
            <w:shd w:val="clear" w:color="auto" w:fill="auto"/>
            <w:hideMark/>
          </w:tcPr>
          <w:p w14:paraId="725060BB" w14:textId="77777777" w:rsidR="006C28DF" w:rsidRPr="006C28DF" w:rsidRDefault="006C28DF" w:rsidP="006C28DF">
            <w:pPr>
              <w:jc w:val="right"/>
              <w:rPr>
                <w:sz w:val="20"/>
                <w:szCs w:val="20"/>
                <w:lang w:val="en-CA" w:eastAsia="en-CA"/>
              </w:rPr>
            </w:pPr>
            <w:r w:rsidRPr="006C28DF">
              <w:rPr>
                <w:sz w:val="20"/>
                <w:szCs w:val="20"/>
                <w:lang w:val="en-CA" w:eastAsia="en-CA"/>
              </w:rPr>
              <w:t>1,085</w:t>
            </w:r>
          </w:p>
        </w:tc>
        <w:tc>
          <w:tcPr>
            <w:tcW w:w="976" w:type="dxa"/>
            <w:tcBorders>
              <w:top w:val="nil"/>
              <w:left w:val="nil"/>
              <w:bottom w:val="single" w:sz="4" w:space="0" w:color="auto"/>
              <w:right w:val="single" w:sz="4" w:space="0" w:color="auto"/>
            </w:tcBorders>
            <w:shd w:val="clear" w:color="auto" w:fill="auto"/>
            <w:hideMark/>
          </w:tcPr>
          <w:p w14:paraId="109BE9D0" w14:textId="77777777" w:rsidR="006C28DF" w:rsidRPr="006C28DF" w:rsidRDefault="006C28DF" w:rsidP="006C28DF">
            <w:pPr>
              <w:jc w:val="right"/>
              <w:rPr>
                <w:sz w:val="20"/>
                <w:szCs w:val="20"/>
                <w:lang w:val="en-CA" w:eastAsia="en-CA"/>
              </w:rPr>
            </w:pPr>
            <w:r w:rsidRPr="006C28DF">
              <w:rPr>
                <w:sz w:val="20"/>
                <w:szCs w:val="20"/>
                <w:lang w:val="en-CA" w:eastAsia="en-CA"/>
              </w:rPr>
              <w:t>14.8</w:t>
            </w:r>
          </w:p>
        </w:tc>
      </w:tr>
      <w:tr w:rsidR="006C28DF" w:rsidRPr="006C28DF" w14:paraId="491BE1F8"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7BB59FE" w14:textId="77777777" w:rsidR="006C28DF" w:rsidRPr="006C28DF" w:rsidRDefault="006C28DF" w:rsidP="006C28DF">
            <w:pPr>
              <w:jc w:val="left"/>
              <w:rPr>
                <w:sz w:val="20"/>
                <w:szCs w:val="20"/>
                <w:lang w:val="en-CA" w:eastAsia="en-CA"/>
              </w:rPr>
            </w:pPr>
            <w:r w:rsidRPr="006C28DF">
              <w:rPr>
                <w:sz w:val="20"/>
                <w:szCs w:val="20"/>
                <w:lang w:val="en-CA" w:eastAsia="en-CA"/>
              </w:rPr>
              <w:t>Jordan</w:t>
            </w:r>
          </w:p>
        </w:tc>
        <w:tc>
          <w:tcPr>
            <w:tcW w:w="980" w:type="dxa"/>
            <w:tcBorders>
              <w:top w:val="nil"/>
              <w:left w:val="nil"/>
              <w:bottom w:val="single" w:sz="4" w:space="0" w:color="auto"/>
              <w:right w:val="single" w:sz="4" w:space="0" w:color="auto"/>
            </w:tcBorders>
            <w:shd w:val="clear" w:color="auto" w:fill="auto"/>
            <w:hideMark/>
          </w:tcPr>
          <w:p w14:paraId="69786C38"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4BDC7F6D"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51165B1"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777231F" w14:textId="77777777" w:rsidR="006C28DF" w:rsidRPr="006C28DF" w:rsidRDefault="006C28DF" w:rsidP="006C28DF">
            <w:pPr>
              <w:jc w:val="left"/>
              <w:rPr>
                <w:sz w:val="20"/>
                <w:szCs w:val="20"/>
                <w:lang w:val="en-CA" w:eastAsia="en-CA"/>
              </w:rPr>
            </w:pPr>
            <w:r w:rsidRPr="006C28DF">
              <w:rPr>
                <w:sz w:val="20"/>
                <w:szCs w:val="20"/>
                <w:lang w:val="en-CA" w:eastAsia="en-CA"/>
              </w:rPr>
              <w:t>FOA-Rigid PU foam (Stage II)</w:t>
            </w:r>
          </w:p>
        </w:tc>
        <w:tc>
          <w:tcPr>
            <w:tcW w:w="1148" w:type="dxa"/>
            <w:tcBorders>
              <w:top w:val="nil"/>
              <w:left w:val="nil"/>
              <w:bottom w:val="single" w:sz="4" w:space="0" w:color="auto"/>
              <w:right w:val="single" w:sz="4" w:space="0" w:color="auto"/>
            </w:tcBorders>
            <w:shd w:val="clear" w:color="auto" w:fill="auto"/>
            <w:hideMark/>
          </w:tcPr>
          <w:p w14:paraId="608B44B6" w14:textId="77777777" w:rsidR="006C28DF" w:rsidRPr="006C28DF" w:rsidRDefault="006C28DF" w:rsidP="006C28DF">
            <w:pPr>
              <w:jc w:val="right"/>
              <w:rPr>
                <w:sz w:val="20"/>
                <w:szCs w:val="20"/>
                <w:lang w:val="en-CA" w:eastAsia="en-CA"/>
              </w:rPr>
            </w:pPr>
            <w:r w:rsidRPr="006C28DF">
              <w:rPr>
                <w:sz w:val="20"/>
                <w:szCs w:val="20"/>
                <w:lang w:val="en-CA" w:eastAsia="en-CA"/>
              </w:rPr>
              <w:t>264</w:t>
            </w:r>
          </w:p>
        </w:tc>
        <w:tc>
          <w:tcPr>
            <w:tcW w:w="976" w:type="dxa"/>
            <w:tcBorders>
              <w:top w:val="nil"/>
              <w:left w:val="nil"/>
              <w:bottom w:val="single" w:sz="4" w:space="0" w:color="auto"/>
              <w:right w:val="single" w:sz="4" w:space="0" w:color="auto"/>
            </w:tcBorders>
            <w:shd w:val="clear" w:color="auto" w:fill="auto"/>
            <w:hideMark/>
          </w:tcPr>
          <w:p w14:paraId="59D7DBE6" w14:textId="77777777" w:rsidR="006C28DF" w:rsidRPr="006C28DF" w:rsidRDefault="006C28DF" w:rsidP="006C28DF">
            <w:pPr>
              <w:jc w:val="right"/>
              <w:rPr>
                <w:sz w:val="20"/>
                <w:szCs w:val="20"/>
                <w:lang w:val="en-CA" w:eastAsia="en-CA"/>
              </w:rPr>
            </w:pPr>
            <w:r w:rsidRPr="006C28DF">
              <w:rPr>
                <w:sz w:val="20"/>
                <w:szCs w:val="20"/>
                <w:lang w:val="en-CA" w:eastAsia="en-CA"/>
              </w:rPr>
              <w:t>3.6</w:t>
            </w:r>
          </w:p>
        </w:tc>
      </w:tr>
      <w:tr w:rsidR="006C28DF" w:rsidRPr="006C28DF" w14:paraId="2BA3F5B3"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DB8B1A6" w14:textId="77777777" w:rsidR="006C28DF" w:rsidRPr="006C28DF" w:rsidRDefault="006C28DF" w:rsidP="006C28DF">
            <w:pPr>
              <w:jc w:val="left"/>
              <w:rPr>
                <w:sz w:val="20"/>
                <w:szCs w:val="20"/>
                <w:lang w:val="en-CA" w:eastAsia="en-CA"/>
              </w:rPr>
            </w:pPr>
            <w:r w:rsidRPr="006C28DF">
              <w:rPr>
                <w:sz w:val="20"/>
                <w:szCs w:val="20"/>
                <w:lang w:val="en-CA" w:eastAsia="en-CA"/>
              </w:rPr>
              <w:t>Jordan</w:t>
            </w:r>
          </w:p>
        </w:tc>
        <w:tc>
          <w:tcPr>
            <w:tcW w:w="980" w:type="dxa"/>
            <w:tcBorders>
              <w:top w:val="nil"/>
              <w:left w:val="nil"/>
              <w:bottom w:val="single" w:sz="4" w:space="0" w:color="auto"/>
              <w:right w:val="single" w:sz="4" w:space="0" w:color="auto"/>
            </w:tcBorders>
            <w:shd w:val="clear" w:color="auto" w:fill="auto"/>
            <w:hideMark/>
          </w:tcPr>
          <w:p w14:paraId="4183FCE1"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7F8919D4"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9B0CEE7"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EFE5B8C" w14:textId="77777777" w:rsidR="006C28DF" w:rsidRPr="006C28DF" w:rsidRDefault="006C28DF" w:rsidP="006C28DF">
            <w:pPr>
              <w:jc w:val="left"/>
              <w:rPr>
                <w:sz w:val="20"/>
                <w:szCs w:val="20"/>
                <w:lang w:val="en-CA" w:eastAsia="en-CA"/>
              </w:rPr>
            </w:pPr>
            <w:r w:rsidRPr="006C28DF">
              <w:rPr>
                <w:sz w:val="20"/>
                <w:szCs w:val="20"/>
                <w:lang w:val="en-CA" w:eastAsia="en-CA"/>
              </w:rPr>
              <w:t>HPMP - Stage II</w:t>
            </w:r>
          </w:p>
        </w:tc>
        <w:tc>
          <w:tcPr>
            <w:tcW w:w="1148" w:type="dxa"/>
            <w:tcBorders>
              <w:top w:val="nil"/>
              <w:left w:val="nil"/>
              <w:bottom w:val="single" w:sz="4" w:space="0" w:color="auto"/>
              <w:right w:val="single" w:sz="4" w:space="0" w:color="auto"/>
            </w:tcBorders>
            <w:shd w:val="clear" w:color="auto" w:fill="auto"/>
            <w:hideMark/>
          </w:tcPr>
          <w:p w14:paraId="1F0AC55B" w14:textId="77777777" w:rsidR="006C28DF" w:rsidRPr="006C28DF" w:rsidRDefault="006C28DF" w:rsidP="006C28DF">
            <w:pPr>
              <w:jc w:val="right"/>
              <w:rPr>
                <w:sz w:val="20"/>
                <w:szCs w:val="20"/>
                <w:lang w:val="en-CA" w:eastAsia="en-CA"/>
              </w:rPr>
            </w:pPr>
            <w:r w:rsidRPr="006C28DF">
              <w:rPr>
                <w:sz w:val="20"/>
                <w:szCs w:val="20"/>
                <w:lang w:val="en-CA" w:eastAsia="en-CA"/>
              </w:rPr>
              <w:t>315</w:t>
            </w:r>
          </w:p>
        </w:tc>
        <w:tc>
          <w:tcPr>
            <w:tcW w:w="976" w:type="dxa"/>
            <w:tcBorders>
              <w:top w:val="nil"/>
              <w:left w:val="nil"/>
              <w:bottom w:val="single" w:sz="4" w:space="0" w:color="auto"/>
              <w:right w:val="single" w:sz="4" w:space="0" w:color="auto"/>
            </w:tcBorders>
            <w:shd w:val="clear" w:color="auto" w:fill="auto"/>
            <w:hideMark/>
          </w:tcPr>
          <w:p w14:paraId="7B41F013" w14:textId="77777777" w:rsidR="006C28DF" w:rsidRPr="006C28DF" w:rsidRDefault="006C28DF" w:rsidP="006C28DF">
            <w:pPr>
              <w:jc w:val="right"/>
              <w:rPr>
                <w:sz w:val="20"/>
                <w:szCs w:val="20"/>
                <w:lang w:val="en-CA" w:eastAsia="en-CA"/>
              </w:rPr>
            </w:pPr>
            <w:r w:rsidRPr="006C28DF">
              <w:rPr>
                <w:sz w:val="20"/>
                <w:szCs w:val="20"/>
                <w:lang w:val="en-CA" w:eastAsia="en-CA"/>
              </w:rPr>
              <w:t>4.3</w:t>
            </w:r>
          </w:p>
        </w:tc>
      </w:tr>
      <w:tr w:rsidR="006C28DF" w:rsidRPr="006C28DF" w14:paraId="17EAA024"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C15A3FA" w14:textId="77777777" w:rsidR="006C28DF" w:rsidRPr="006C28DF" w:rsidRDefault="006C28DF" w:rsidP="006C28DF">
            <w:pPr>
              <w:jc w:val="left"/>
              <w:rPr>
                <w:sz w:val="20"/>
                <w:szCs w:val="20"/>
                <w:lang w:val="en-CA" w:eastAsia="en-CA"/>
              </w:rPr>
            </w:pPr>
            <w:r w:rsidRPr="006C28DF">
              <w:rPr>
                <w:sz w:val="20"/>
                <w:szCs w:val="20"/>
                <w:lang w:val="en-CA" w:eastAsia="en-CA"/>
              </w:rPr>
              <w:t>Jordan</w:t>
            </w:r>
          </w:p>
        </w:tc>
        <w:tc>
          <w:tcPr>
            <w:tcW w:w="980" w:type="dxa"/>
            <w:tcBorders>
              <w:top w:val="nil"/>
              <w:left w:val="nil"/>
              <w:bottom w:val="single" w:sz="4" w:space="0" w:color="auto"/>
              <w:right w:val="single" w:sz="4" w:space="0" w:color="auto"/>
            </w:tcBorders>
            <w:shd w:val="clear" w:color="auto" w:fill="auto"/>
            <w:hideMark/>
          </w:tcPr>
          <w:p w14:paraId="75408063"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468A5C9C"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450FB63F"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06CF661B"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5D8CDDC4" w14:textId="77777777" w:rsidR="006C28DF" w:rsidRPr="006C28DF" w:rsidRDefault="006C28DF" w:rsidP="006C28DF">
            <w:pPr>
              <w:jc w:val="right"/>
              <w:rPr>
                <w:sz w:val="20"/>
                <w:szCs w:val="20"/>
                <w:lang w:val="en-CA" w:eastAsia="en-CA"/>
              </w:rPr>
            </w:pPr>
            <w:r w:rsidRPr="006C28DF">
              <w:rPr>
                <w:sz w:val="20"/>
                <w:szCs w:val="20"/>
                <w:lang w:val="en-CA" w:eastAsia="en-CA"/>
              </w:rPr>
              <w:t>202</w:t>
            </w:r>
          </w:p>
        </w:tc>
        <w:tc>
          <w:tcPr>
            <w:tcW w:w="976" w:type="dxa"/>
            <w:tcBorders>
              <w:top w:val="nil"/>
              <w:left w:val="nil"/>
              <w:bottom w:val="single" w:sz="4" w:space="0" w:color="auto"/>
              <w:right w:val="single" w:sz="4" w:space="0" w:color="auto"/>
            </w:tcBorders>
            <w:shd w:val="clear" w:color="auto" w:fill="auto"/>
            <w:hideMark/>
          </w:tcPr>
          <w:p w14:paraId="00249EBE"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E3D9BD8"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F0E32A3" w14:textId="77777777" w:rsidR="006C28DF" w:rsidRPr="006C28DF" w:rsidRDefault="006C28DF" w:rsidP="006C28DF">
            <w:pPr>
              <w:jc w:val="left"/>
              <w:rPr>
                <w:sz w:val="20"/>
                <w:szCs w:val="20"/>
                <w:lang w:val="en-CA" w:eastAsia="en-CA"/>
              </w:rPr>
            </w:pPr>
            <w:r w:rsidRPr="006C28DF">
              <w:rPr>
                <w:sz w:val="20"/>
                <w:szCs w:val="20"/>
                <w:lang w:val="en-CA" w:eastAsia="en-CA"/>
              </w:rPr>
              <w:t>Kiribati</w:t>
            </w:r>
          </w:p>
        </w:tc>
        <w:tc>
          <w:tcPr>
            <w:tcW w:w="980" w:type="dxa"/>
            <w:tcBorders>
              <w:top w:val="nil"/>
              <w:left w:val="nil"/>
              <w:bottom w:val="single" w:sz="4" w:space="0" w:color="auto"/>
              <w:right w:val="single" w:sz="4" w:space="0" w:color="auto"/>
            </w:tcBorders>
            <w:shd w:val="clear" w:color="auto" w:fill="auto"/>
            <w:hideMark/>
          </w:tcPr>
          <w:p w14:paraId="7EB969D7"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A1E4C3A"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75F0EE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4CCB3B3"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7C16C1CD"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1015C545"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7CD7609"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C9074A7" w14:textId="77777777" w:rsidR="006C28DF" w:rsidRPr="006C28DF" w:rsidRDefault="006C28DF" w:rsidP="006C28DF">
            <w:pPr>
              <w:jc w:val="left"/>
              <w:rPr>
                <w:sz w:val="20"/>
                <w:szCs w:val="20"/>
                <w:lang w:val="en-CA" w:eastAsia="en-CA"/>
              </w:rPr>
            </w:pPr>
            <w:r w:rsidRPr="006C28DF">
              <w:rPr>
                <w:sz w:val="20"/>
                <w:szCs w:val="20"/>
                <w:lang w:val="en-CA" w:eastAsia="en-CA"/>
              </w:rPr>
              <w:t>Kiribati</w:t>
            </w:r>
          </w:p>
        </w:tc>
        <w:tc>
          <w:tcPr>
            <w:tcW w:w="980" w:type="dxa"/>
            <w:tcBorders>
              <w:top w:val="nil"/>
              <w:left w:val="nil"/>
              <w:bottom w:val="single" w:sz="4" w:space="0" w:color="auto"/>
              <w:right w:val="single" w:sz="4" w:space="0" w:color="auto"/>
            </w:tcBorders>
            <w:shd w:val="clear" w:color="auto" w:fill="auto"/>
            <w:hideMark/>
          </w:tcPr>
          <w:p w14:paraId="1CD7F393"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3A81E21"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039895A9"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0FB21451"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DC22970"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5CBC8880"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FDB0BC6"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0360173" w14:textId="77777777" w:rsidR="006C28DF" w:rsidRPr="006C28DF" w:rsidRDefault="006C28DF" w:rsidP="006C28DF">
            <w:pPr>
              <w:jc w:val="left"/>
              <w:rPr>
                <w:sz w:val="20"/>
                <w:szCs w:val="20"/>
                <w:lang w:val="en-CA" w:eastAsia="en-CA"/>
              </w:rPr>
            </w:pPr>
            <w:r w:rsidRPr="006C28DF">
              <w:rPr>
                <w:sz w:val="20"/>
                <w:szCs w:val="20"/>
                <w:lang w:val="en-CA" w:eastAsia="en-CA"/>
              </w:rPr>
              <w:t>Kuwait</w:t>
            </w:r>
          </w:p>
        </w:tc>
        <w:tc>
          <w:tcPr>
            <w:tcW w:w="980" w:type="dxa"/>
            <w:tcBorders>
              <w:top w:val="nil"/>
              <w:left w:val="nil"/>
              <w:bottom w:val="single" w:sz="4" w:space="0" w:color="auto"/>
              <w:right w:val="single" w:sz="4" w:space="0" w:color="auto"/>
            </w:tcBorders>
            <w:shd w:val="clear" w:color="auto" w:fill="auto"/>
            <w:hideMark/>
          </w:tcPr>
          <w:p w14:paraId="22E26BE0"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35134B5"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3D5FF6C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58AB670"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5585BC7B" w14:textId="77777777" w:rsidR="006C28DF" w:rsidRPr="006C28DF" w:rsidRDefault="006C28DF" w:rsidP="006C28DF">
            <w:pPr>
              <w:jc w:val="right"/>
              <w:rPr>
                <w:sz w:val="20"/>
                <w:szCs w:val="20"/>
                <w:lang w:val="en-CA" w:eastAsia="en-CA"/>
              </w:rPr>
            </w:pPr>
            <w:r w:rsidRPr="006C28DF">
              <w:rPr>
                <w:sz w:val="20"/>
                <w:szCs w:val="20"/>
                <w:lang w:val="en-CA" w:eastAsia="en-CA"/>
              </w:rPr>
              <w:t>372</w:t>
            </w:r>
          </w:p>
        </w:tc>
        <w:tc>
          <w:tcPr>
            <w:tcW w:w="976" w:type="dxa"/>
            <w:tcBorders>
              <w:top w:val="nil"/>
              <w:left w:val="nil"/>
              <w:bottom w:val="single" w:sz="4" w:space="0" w:color="auto"/>
              <w:right w:val="single" w:sz="4" w:space="0" w:color="auto"/>
            </w:tcBorders>
            <w:shd w:val="clear" w:color="auto" w:fill="auto"/>
            <w:hideMark/>
          </w:tcPr>
          <w:p w14:paraId="069C93B4" w14:textId="77777777" w:rsidR="006C28DF" w:rsidRPr="006C28DF" w:rsidRDefault="006C28DF" w:rsidP="006C28DF">
            <w:pPr>
              <w:jc w:val="right"/>
              <w:rPr>
                <w:sz w:val="20"/>
                <w:szCs w:val="20"/>
                <w:lang w:val="en-CA" w:eastAsia="en-CA"/>
              </w:rPr>
            </w:pPr>
            <w:r w:rsidRPr="006C28DF">
              <w:rPr>
                <w:sz w:val="20"/>
                <w:szCs w:val="20"/>
                <w:lang w:val="en-CA" w:eastAsia="en-CA"/>
              </w:rPr>
              <w:t>8.0</w:t>
            </w:r>
          </w:p>
        </w:tc>
      </w:tr>
      <w:tr w:rsidR="006C28DF" w:rsidRPr="006C28DF" w14:paraId="7292A0E0"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515F8B49" w14:textId="77777777" w:rsidR="006C28DF" w:rsidRPr="006C28DF" w:rsidRDefault="006C28DF" w:rsidP="006C28DF">
            <w:pPr>
              <w:jc w:val="left"/>
              <w:rPr>
                <w:sz w:val="20"/>
                <w:szCs w:val="20"/>
                <w:lang w:val="en-CA" w:eastAsia="en-CA"/>
              </w:rPr>
            </w:pPr>
            <w:r w:rsidRPr="006C28DF">
              <w:rPr>
                <w:sz w:val="20"/>
                <w:szCs w:val="20"/>
                <w:lang w:val="en-CA" w:eastAsia="en-CA"/>
              </w:rPr>
              <w:t>Kuwait</w:t>
            </w:r>
          </w:p>
        </w:tc>
        <w:tc>
          <w:tcPr>
            <w:tcW w:w="980" w:type="dxa"/>
            <w:tcBorders>
              <w:top w:val="nil"/>
              <w:left w:val="nil"/>
              <w:bottom w:val="single" w:sz="4" w:space="0" w:color="auto"/>
              <w:right w:val="single" w:sz="4" w:space="0" w:color="auto"/>
            </w:tcBorders>
            <w:shd w:val="clear" w:color="auto" w:fill="auto"/>
            <w:hideMark/>
          </w:tcPr>
          <w:p w14:paraId="596F5FFC"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0C2390A"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5612FD1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18427A2"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35F1483F" w14:textId="77777777" w:rsidR="006C28DF" w:rsidRPr="006C28DF" w:rsidRDefault="006C28DF" w:rsidP="006C28DF">
            <w:pPr>
              <w:jc w:val="right"/>
              <w:rPr>
                <w:sz w:val="20"/>
                <w:szCs w:val="20"/>
                <w:lang w:val="en-CA" w:eastAsia="en-CA"/>
              </w:rPr>
            </w:pPr>
            <w:r w:rsidRPr="006C28DF">
              <w:rPr>
                <w:sz w:val="20"/>
                <w:szCs w:val="20"/>
                <w:lang w:val="en-CA" w:eastAsia="en-CA"/>
              </w:rPr>
              <w:t>68</w:t>
            </w:r>
          </w:p>
        </w:tc>
        <w:tc>
          <w:tcPr>
            <w:tcW w:w="976" w:type="dxa"/>
            <w:tcBorders>
              <w:top w:val="nil"/>
              <w:left w:val="nil"/>
              <w:bottom w:val="single" w:sz="4" w:space="0" w:color="auto"/>
              <w:right w:val="single" w:sz="4" w:space="0" w:color="auto"/>
            </w:tcBorders>
            <w:shd w:val="clear" w:color="auto" w:fill="auto"/>
            <w:hideMark/>
          </w:tcPr>
          <w:p w14:paraId="046D5CED"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982F5B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E3294BA" w14:textId="77777777" w:rsidR="006C28DF" w:rsidRPr="006C28DF" w:rsidRDefault="006C28DF" w:rsidP="006C28DF">
            <w:pPr>
              <w:jc w:val="left"/>
              <w:rPr>
                <w:sz w:val="20"/>
                <w:szCs w:val="20"/>
                <w:lang w:val="en-CA" w:eastAsia="en-CA"/>
              </w:rPr>
            </w:pPr>
            <w:r w:rsidRPr="006C28DF">
              <w:rPr>
                <w:sz w:val="20"/>
                <w:szCs w:val="20"/>
                <w:lang w:val="en-CA" w:eastAsia="en-CA"/>
              </w:rPr>
              <w:t>Kuwait</w:t>
            </w:r>
          </w:p>
        </w:tc>
        <w:tc>
          <w:tcPr>
            <w:tcW w:w="980" w:type="dxa"/>
            <w:tcBorders>
              <w:top w:val="nil"/>
              <w:left w:val="nil"/>
              <w:bottom w:val="single" w:sz="4" w:space="0" w:color="auto"/>
              <w:right w:val="single" w:sz="4" w:space="0" w:color="auto"/>
            </w:tcBorders>
            <w:shd w:val="clear" w:color="auto" w:fill="auto"/>
            <w:hideMark/>
          </w:tcPr>
          <w:p w14:paraId="75809E60"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6248BDFC"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1BAD692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6A7D9A1" w14:textId="77777777" w:rsidR="006C28DF" w:rsidRPr="006C28DF" w:rsidRDefault="006C28DF" w:rsidP="006C28DF">
            <w:pPr>
              <w:jc w:val="left"/>
              <w:rPr>
                <w:sz w:val="20"/>
                <w:szCs w:val="20"/>
                <w:lang w:val="en-CA" w:eastAsia="en-CA"/>
              </w:rPr>
            </w:pPr>
            <w:r w:rsidRPr="006C28DF">
              <w:rPr>
                <w:sz w:val="20"/>
                <w:szCs w:val="20"/>
                <w:lang w:val="en-CA" w:eastAsia="en-CA"/>
              </w:rPr>
              <w:t>FOA-XPS (Stage I)</w:t>
            </w:r>
          </w:p>
        </w:tc>
        <w:tc>
          <w:tcPr>
            <w:tcW w:w="1148" w:type="dxa"/>
            <w:tcBorders>
              <w:top w:val="nil"/>
              <w:left w:val="nil"/>
              <w:bottom w:val="single" w:sz="4" w:space="0" w:color="auto"/>
              <w:right w:val="single" w:sz="4" w:space="0" w:color="auto"/>
            </w:tcBorders>
            <w:shd w:val="clear" w:color="auto" w:fill="auto"/>
            <w:hideMark/>
          </w:tcPr>
          <w:p w14:paraId="5054D4DF" w14:textId="77777777" w:rsidR="006C28DF" w:rsidRPr="006C28DF" w:rsidRDefault="006C28DF" w:rsidP="006C28DF">
            <w:pPr>
              <w:jc w:val="right"/>
              <w:rPr>
                <w:sz w:val="20"/>
                <w:szCs w:val="20"/>
                <w:lang w:val="en-CA" w:eastAsia="en-CA"/>
              </w:rPr>
            </w:pPr>
            <w:r w:rsidRPr="006C28DF">
              <w:rPr>
                <w:sz w:val="20"/>
                <w:szCs w:val="20"/>
                <w:lang w:val="en-CA" w:eastAsia="en-CA"/>
              </w:rPr>
              <w:t>1,129</w:t>
            </w:r>
          </w:p>
        </w:tc>
        <w:tc>
          <w:tcPr>
            <w:tcW w:w="976" w:type="dxa"/>
            <w:tcBorders>
              <w:top w:val="nil"/>
              <w:left w:val="nil"/>
              <w:bottom w:val="single" w:sz="4" w:space="0" w:color="auto"/>
              <w:right w:val="single" w:sz="4" w:space="0" w:color="auto"/>
            </w:tcBorders>
            <w:shd w:val="clear" w:color="auto" w:fill="auto"/>
            <w:hideMark/>
          </w:tcPr>
          <w:p w14:paraId="6177519E" w14:textId="77777777" w:rsidR="006C28DF" w:rsidRPr="006C28DF" w:rsidRDefault="006C28DF" w:rsidP="006C28DF">
            <w:pPr>
              <w:jc w:val="right"/>
              <w:rPr>
                <w:sz w:val="20"/>
                <w:szCs w:val="20"/>
                <w:lang w:val="en-CA" w:eastAsia="en-CA"/>
              </w:rPr>
            </w:pPr>
            <w:r w:rsidRPr="006C28DF">
              <w:rPr>
                <w:sz w:val="20"/>
                <w:szCs w:val="20"/>
                <w:lang w:val="en-CA" w:eastAsia="en-CA"/>
              </w:rPr>
              <w:t>25.5</w:t>
            </w:r>
          </w:p>
        </w:tc>
      </w:tr>
      <w:tr w:rsidR="006C28DF" w:rsidRPr="006C28DF" w14:paraId="13570DA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01A173E" w14:textId="77777777" w:rsidR="006C28DF" w:rsidRPr="006C28DF" w:rsidRDefault="006C28DF" w:rsidP="006C28DF">
            <w:pPr>
              <w:jc w:val="left"/>
              <w:rPr>
                <w:sz w:val="20"/>
                <w:szCs w:val="20"/>
                <w:lang w:val="en-CA" w:eastAsia="en-CA"/>
              </w:rPr>
            </w:pPr>
            <w:r w:rsidRPr="006C28DF">
              <w:rPr>
                <w:sz w:val="20"/>
                <w:szCs w:val="20"/>
                <w:lang w:val="en-CA" w:eastAsia="en-CA"/>
              </w:rPr>
              <w:t>Kuwait</w:t>
            </w:r>
          </w:p>
        </w:tc>
        <w:tc>
          <w:tcPr>
            <w:tcW w:w="980" w:type="dxa"/>
            <w:tcBorders>
              <w:top w:val="nil"/>
              <w:left w:val="nil"/>
              <w:bottom w:val="single" w:sz="4" w:space="0" w:color="auto"/>
              <w:right w:val="single" w:sz="4" w:space="0" w:color="auto"/>
            </w:tcBorders>
            <w:shd w:val="clear" w:color="auto" w:fill="auto"/>
            <w:hideMark/>
          </w:tcPr>
          <w:p w14:paraId="33FA9F95"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30C8ECEC"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2735F2C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BAE817F" w14:textId="77777777" w:rsidR="006C28DF" w:rsidRPr="006C28DF" w:rsidRDefault="006C28DF" w:rsidP="006C28DF">
            <w:pPr>
              <w:jc w:val="left"/>
              <w:rPr>
                <w:sz w:val="20"/>
                <w:szCs w:val="20"/>
                <w:lang w:val="en-CA" w:eastAsia="en-CA"/>
              </w:rPr>
            </w:pPr>
            <w:r w:rsidRPr="006C28DF">
              <w:rPr>
                <w:sz w:val="20"/>
                <w:szCs w:val="20"/>
                <w:lang w:val="en-CA" w:eastAsia="en-CA"/>
              </w:rPr>
              <w:t>FOA-Rigid PU foam (Stage II)</w:t>
            </w:r>
          </w:p>
        </w:tc>
        <w:tc>
          <w:tcPr>
            <w:tcW w:w="1148" w:type="dxa"/>
            <w:tcBorders>
              <w:top w:val="nil"/>
              <w:left w:val="nil"/>
              <w:bottom w:val="single" w:sz="4" w:space="0" w:color="auto"/>
              <w:right w:val="single" w:sz="4" w:space="0" w:color="auto"/>
            </w:tcBorders>
            <w:shd w:val="clear" w:color="auto" w:fill="auto"/>
            <w:hideMark/>
          </w:tcPr>
          <w:p w14:paraId="50AAC57E" w14:textId="77777777" w:rsidR="006C28DF" w:rsidRPr="006C28DF" w:rsidRDefault="006C28DF" w:rsidP="006C28DF">
            <w:pPr>
              <w:jc w:val="right"/>
              <w:rPr>
                <w:sz w:val="20"/>
                <w:szCs w:val="20"/>
                <w:lang w:val="en-CA" w:eastAsia="en-CA"/>
              </w:rPr>
            </w:pPr>
            <w:r w:rsidRPr="006C28DF">
              <w:rPr>
                <w:sz w:val="20"/>
                <w:szCs w:val="20"/>
                <w:lang w:val="en-CA" w:eastAsia="en-CA"/>
              </w:rPr>
              <w:t>86</w:t>
            </w:r>
          </w:p>
        </w:tc>
        <w:tc>
          <w:tcPr>
            <w:tcW w:w="976" w:type="dxa"/>
            <w:tcBorders>
              <w:top w:val="nil"/>
              <w:left w:val="nil"/>
              <w:bottom w:val="single" w:sz="4" w:space="0" w:color="auto"/>
              <w:right w:val="single" w:sz="4" w:space="0" w:color="auto"/>
            </w:tcBorders>
            <w:shd w:val="clear" w:color="auto" w:fill="auto"/>
            <w:hideMark/>
          </w:tcPr>
          <w:p w14:paraId="4267633E"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72D62CE8"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DB38821" w14:textId="77777777" w:rsidR="006C28DF" w:rsidRPr="006C28DF" w:rsidRDefault="006C28DF" w:rsidP="006C28DF">
            <w:pPr>
              <w:jc w:val="left"/>
              <w:rPr>
                <w:sz w:val="20"/>
                <w:szCs w:val="20"/>
                <w:lang w:val="en-CA" w:eastAsia="en-CA"/>
              </w:rPr>
            </w:pPr>
            <w:r w:rsidRPr="006C28DF">
              <w:rPr>
                <w:sz w:val="20"/>
                <w:szCs w:val="20"/>
                <w:lang w:val="en-CA" w:eastAsia="en-CA"/>
              </w:rPr>
              <w:lastRenderedPageBreak/>
              <w:t>Kuwait</w:t>
            </w:r>
          </w:p>
        </w:tc>
        <w:tc>
          <w:tcPr>
            <w:tcW w:w="980" w:type="dxa"/>
            <w:tcBorders>
              <w:top w:val="nil"/>
              <w:left w:val="nil"/>
              <w:bottom w:val="single" w:sz="4" w:space="0" w:color="auto"/>
              <w:right w:val="single" w:sz="4" w:space="0" w:color="auto"/>
            </w:tcBorders>
            <w:shd w:val="clear" w:color="auto" w:fill="auto"/>
            <w:hideMark/>
          </w:tcPr>
          <w:p w14:paraId="3B79FFE7"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525B174F"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B9A1C1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234C23A" w14:textId="77777777" w:rsidR="006C28DF" w:rsidRPr="006C28DF" w:rsidRDefault="006C28DF" w:rsidP="006C28DF">
            <w:pPr>
              <w:jc w:val="left"/>
              <w:rPr>
                <w:sz w:val="20"/>
                <w:szCs w:val="20"/>
                <w:lang w:val="en-CA" w:eastAsia="en-CA"/>
              </w:rPr>
            </w:pPr>
            <w:r w:rsidRPr="006C28DF">
              <w:rPr>
                <w:sz w:val="20"/>
                <w:szCs w:val="20"/>
                <w:lang w:val="en-CA" w:eastAsia="en-CA"/>
              </w:rPr>
              <w:t>REF-Air Conditioning (Stage II)</w:t>
            </w:r>
          </w:p>
        </w:tc>
        <w:tc>
          <w:tcPr>
            <w:tcW w:w="1148" w:type="dxa"/>
            <w:tcBorders>
              <w:top w:val="nil"/>
              <w:left w:val="nil"/>
              <w:bottom w:val="single" w:sz="4" w:space="0" w:color="auto"/>
              <w:right w:val="single" w:sz="4" w:space="0" w:color="auto"/>
            </w:tcBorders>
            <w:shd w:val="clear" w:color="auto" w:fill="auto"/>
            <w:hideMark/>
          </w:tcPr>
          <w:p w14:paraId="2D0BE810" w14:textId="77777777" w:rsidR="006C28DF" w:rsidRPr="006C28DF" w:rsidRDefault="006C28DF" w:rsidP="006C28DF">
            <w:pPr>
              <w:jc w:val="right"/>
              <w:rPr>
                <w:sz w:val="20"/>
                <w:szCs w:val="20"/>
                <w:lang w:val="en-CA" w:eastAsia="en-CA"/>
              </w:rPr>
            </w:pPr>
            <w:r w:rsidRPr="006C28DF">
              <w:rPr>
                <w:sz w:val="20"/>
                <w:szCs w:val="20"/>
                <w:lang w:val="en-CA" w:eastAsia="en-CA"/>
              </w:rPr>
              <w:t>86</w:t>
            </w:r>
          </w:p>
        </w:tc>
        <w:tc>
          <w:tcPr>
            <w:tcW w:w="976" w:type="dxa"/>
            <w:tcBorders>
              <w:top w:val="nil"/>
              <w:left w:val="nil"/>
              <w:bottom w:val="single" w:sz="4" w:space="0" w:color="auto"/>
              <w:right w:val="single" w:sz="4" w:space="0" w:color="auto"/>
            </w:tcBorders>
            <w:shd w:val="clear" w:color="auto" w:fill="auto"/>
            <w:hideMark/>
          </w:tcPr>
          <w:p w14:paraId="3CD2821B"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7DDF5A9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D85BE17" w14:textId="77777777" w:rsidR="006C28DF" w:rsidRPr="006C28DF" w:rsidRDefault="006C28DF" w:rsidP="006C28DF">
            <w:pPr>
              <w:jc w:val="left"/>
              <w:rPr>
                <w:sz w:val="20"/>
                <w:szCs w:val="20"/>
                <w:lang w:val="en-CA" w:eastAsia="en-CA"/>
              </w:rPr>
            </w:pPr>
            <w:r w:rsidRPr="006C28DF">
              <w:rPr>
                <w:sz w:val="20"/>
                <w:szCs w:val="20"/>
                <w:lang w:val="en-CA" w:eastAsia="en-CA"/>
              </w:rPr>
              <w:t>Kuwait</w:t>
            </w:r>
          </w:p>
        </w:tc>
        <w:tc>
          <w:tcPr>
            <w:tcW w:w="980" w:type="dxa"/>
            <w:tcBorders>
              <w:top w:val="nil"/>
              <w:left w:val="nil"/>
              <w:bottom w:val="single" w:sz="4" w:space="0" w:color="auto"/>
              <w:right w:val="single" w:sz="4" w:space="0" w:color="auto"/>
            </w:tcBorders>
            <w:shd w:val="clear" w:color="auto" w:fill="auto"/>
            <w:hideMark/>
          </w:tcPr>
          <w:p w14:paraId="2EDA2AEF"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02ADDD9B"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31B416C"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7A9BC55" w14:textId="77777777" w:rsidR="006C28DF" w:rsidRPr="006C28DF" w:rsidRDefault="006C28DF" w:rsidP="006C28DF">
            <w:pPr>
              <w:jc w:val="left"/>
              <w:rPr>
                <w:sz w:val="20"/>
                <w:szCs w:val="20"/>
                <w:lang w:val="en-CA" w:eastAsia="en-CA"/>
              </w:rPr>
            </w:pPr>
            <w:r w:rsidRPr="006C28DF">
              <w:rPr>
                <w:sz w:val="20"/>
                <w:szCs w:val="20"/>
                <w:lang w:val="en-CA" w:eastAsia="en-CA"/>
              </w:rPr>
              <w:t>REF-Servicing (Stage II)</w:t>
            </w:r>
          </w:p>
        </w:tc>
        <w:tc>
          <w:tcPr>
            <w:tcW w:w="1148" w:type="dxa"/>
            <w:tcBorders>
              <w:top w:val="nil"/>
              <w:left w:val="nil"/>
              <w:bottom w:val="single" w:sz="4" w:space="0" w:color="auto"/>
              <w:right w:val="single" w:sz="4" w:space="0" w:color="auto"/>
            </w:tcBorders>
            <w:shd w:val="clear" w:color="auto" w:fill="auto"/>
            <w:hideMark/>
          </w:tcPr>
          <w:p w14:paraId="35AAC92B" w14:textId="77777777" w:rsidR="006C28DF" w:rsidRPr="006C28DF" w:rsidRDefault="006C28DF" w:rsidP="006C28DF">
            <w:pPr>
              <w:jc w:val="right"/>
              <w:rPr>
                <w:sz w:val="20"/>
                <w:szCs w:val="20"/>
                <w:lang w:val="en-CA" w:eastAsia="en-CA"/>
              </w:rPr>
            </w:pPr>
            <w:r w:rsidRPr="006C28DF">
              <w:rPr>
                <w:sz w:val="20"/>
                <w:szCs w:val="20"/>
                <w:lang w:val="en-CA" w:eastAsia="en-CA"/>
              </w:rPr>
              <w:t>32</w:t>
            </w:r>
          </w:p>
        </w:tc>
        <w:tc>
          <w:tcPr>
            <w:tcW w:w="976" w:type="dxa"/>
            <w:tcBorders>
              <w:top w:val="nil"/>
              <w:left w:val="nil"/>
              <w:bottom w:val="single" w:sz="4" w:space="0" w:color="auto"/>
              <w:right w:val="single" w:sz="4" w:space="0" w:color="auto"/>
            </w:tcBorders>
            <w:shd w:val="clear" w:color="auto" w:fill="auto"/>
            <w:hideMark/>
          </w:tcPr>
          <w:p w14:paraId="73F44A9D"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4CDD04AD"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CA4940C" w14:textId="77777777" w:rsidR="006C28DF" w:rsidRPr="006C28DF" w:rsidRDefault="006C28DF" w:rsidP="006C28DF">
            <w:pPr>
              <w:jc w:val="left"/>
              <w:rPr>
                <w:sz w:val="20"/>
                <w:szCs w:val="20"/>
                <w:lang w:val="en-CA" w:eastAsia="en-CA"/>
              </w:rPr>
            </w:pPr>
            <w:r w:rsidRPr="006C28DF">
              <w:rPr>
                <w:sz w:val="20"/>
                <w:szCs w:val="20"/>
                <w:lang w:val="en-CA" w:eastAsia="en-CA"/>
              </w:rPr>
              <w:t>Lao People's Democratic Republic (the)</w:t>
            </w:r>
          </w:p>
        </w:tc>
        <w:tc>
          <w:tcPr>
            <w:tcW w:w="980" w:type="dxa"/>
            <w:tcBorders>
              <w:top w:val="nil"/>
              <w:left w:val="nil"/>
              <w:bottom w:val="single" w:sz="4" w:space="0" w:color="auto"/>
              <w:right w:val="single" w:sz="4" w:space="0" w:color="auto"/>
            </w:tcBorders>
            <w:shd w:val="clear" w:color="auto" w:fill="auto"/>
            <w:hideMark/>
          </w:tcPr>
          <w:p w14:paraId="50D08E2A"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BEABA32"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26F6014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69CF1F7"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0DFB6866"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00E0D877"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230592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6094A92" w14:textId="77777777" w:rsidR="006C28DF" w:rsidRPr="006C28DF" w:rsidRDefault="006C28DF" w:rsidP="006C28DF">
            <w:pPr>
              <w:jc w:val="left"/>
              <w:rPr>
                <w:sz w:val="20"/>
                <w:szCs w:val="20"/>
                <w:lang w:val="en-CA" w:eastAsia="en-CA"/>
              </w:rPr>
            </w:pPr>
            <w:r w:rsidRPr="006C28DF">
              <w:rPr>
                <w:sz w:val="20"/>
                <w:szCs w:val="20"/>
                <w:lang w:val="en-CA" w:eastAsia="en-CA"/>
              </w:rPr>
              <w:t>Lebanon</w:t>
            </w:r>
          </w:p>
        </w:tc>
        <w:tc>
          <w:tcPr>
            <w:tcW w:w="980" w:type="dxa"/>
            <w:tcBorders>
              <w:top w:val="nil"/>
              <w:left w:val="nil"/>
              <w:bottom w:val="single" w:sz="4" w:space="0" w:color="auto"/>
              <w:right w:val="single" w:sz="4" w:space="0" w:color="auto"/>
            </w:tcBorders>
            <w:shd w:val="clear" w:color="auto" w:fill="auto"/>
            <w:hideMark/>
          </w:tcPr>
          <w:p w14:paraId="3D7EB3A8"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40BF0E18"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7C8C954B"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384851A3"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4970A990" w14:textId="77777777" w:rsidR="006C28DF" w:rsidRPr="006C28DF" w:rsidRDefault="006C28DF" w:rsidP="006C28DF">
            <w:pPr>
              <w:jc w:val="right"/>
              <w:rPr>
                <w:sz w:val="20"/>
                <w:szCs w:val="20"/>
                <w:lang w:val="en-CA" w:eastAsia="en-CA"/>
              </w:rPr>
            </w:pPr>
            <w:r w:rsidRPr="006C28DF">
              <w:rPr>
                <w:sz w:val="20"/>
                <w:szCs w:val="20"/>
                <w:lang w:val="en-CA" w:eastAsia="en-CA"/>
              </w:rPr>
              <w:t>212</w:t>
            </w:r>
          </w:p>
        </w:tc>
        <w:tc>
          <w:tcPr>
            <w:tcW w:w="976" w:type="dxa"/>
            <w:tcBorders>
              <w:top w:val="nil"/>
              <w:left w:val="nil"/>
              <w:bottom w:val="single" w:sz="4" w:space="0" w:color="auto"/>
              <w:right w:val="single" w:sz="4" w:space="0" w:color="auto"/>
            </w:tcBorders>
            <w:shd w:val="clear" w:color="auto" w:fill="auto"/>
            <w:hideMark/>
          </w:tcPr>
          <w:p w14:paraId="0225E0DE"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795D63A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3D9D37E" w14:textId="77777777" w:rsidR="006C28DF" w:rsidRPr="006C28DF" w:rsidRDefault="006C28DF" w:rsidP="006C28DF">
            <w:pPr>
              <w:jc w:val="left"/>
              <w:rPr>
                <w:sz w:val="20"/>
                <w:szCs w:val="20"/>
                <w:lang w:val="en-CA" w:eastAsia="en-CA"/>
              </w:rPr>
            </w:pPr>
            <w:r w:rsidRPr="006C28DF">
              <w:rPr>
                <w:sz w:val="20"/>
                <w:szCs w:val="20"/>
                <w:lang w:val="en-CA" w:eastAsia="en-CA"/>
              </w:rPr>
              <w:t>Lesotho</w:t>
            </w:r>
          </w:p>
        </w:tc>
        <w:tc>
          <w:tcPr>
            <w:tcW w:w="980" w:type="dxa"/>
            <w:tcBorders>
              <w:top w:val="nil"/>
              <w:left w:val="nil"/>
              <w:bottom w:val="single" w:sz="4" w:space="0" w:color="auto"/>
              <w:right w:val="single" w:sz="4" w:space="0" w:color="auto"/>
            </w:tcBorders>
            <w:shd w:val="clear" w:color="auto" w:fill="auto"/>
            <w:hideMark/>
          </w:tcPr>
          <w:p w14:paraId="26933F78"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9F6A15F"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0599ABC8"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735FCB47"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D0668C4"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39EDF85A"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A28780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EC58232" w14:textId="77777777" w:rsidR="006C28DF" w:rsidRPr="006C28DF" w:rsidRDefault="006C28DF" w:rsidP="006C28DF">
            <w:pPr>
              <w:jc w:val="left"/>
              <w:rPr>
                <w:sz w:val="20"/>
                <w:szCs w:val="20"/>
                <w:lang w:val="en-CA" w:eastAsia="en-CA"/>
              </w:rPr>
            </w:pPr>
            <w:r w:rsidRPr="006C28DF">
              <w:rPr>
                <w:sz w:val="20"/>
                <w:szCs w:val="20"/>
                <w:lang w:val="en-CA" w:eastAsia="en-CA"/>
              </w:rPr>
              <w:t>Libyan Arab Jamahiriya</w:t>
            </w:r>
          </w:p>
        </w:tc>
        <w:tc>
          <w:tcPr>
            <w:tcW w:w="980" w:type="dxa"/>
            <w:tcBorders>
              <w:top w:val="nil"/>
              <w:left w:val="nil"/>
              <w:bottom w:val="single" w:sz="4" w:space="0" w:color="auto"/>
              <w:right w:val="single" w:sz="4" w:space="0" w:color="auto"/>
            </w:tcBorders>
            <w:shd w:val="clear" w:color="auto" w:fill="auto"/>
            <w:hideMark/>
          </w:tcPr>
          <w:p w14:paraId="4A20815E"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5C0FDEBE"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7E118E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186509B" w14:textId="77777777" w:rsidR="006C28DF" w:rsidRPr="006C28DF" w:rsidRDefault="006C28DF" w:rsidP="006C28DF">
            <w:pPr>
              <w:jc w:val="left"/>
              <w:rPr>
                <w:sz w:val="20"/>
                <w:szCs w:val="20"/>
                <w:lang w:val="en-CA" w:eastAsia="en-CA"/>
              </w:rPr>
            </w:pPr>
            <w:r w:rsidRPr="006C28DF">
              <w:rPr>
                <w:sz w:val="20"/>
                <w:szCs w:val="20"/>
                <w:lang w:val="en-CA" w:eastAsia="en-CA"/>
              </w:rPr>
              <w:t>HPMP - Stage I</w:t>
            </w:r>
          </w:p>
        </w:tc>
        <w:tc>
          <w:tcPr>
            <w:tcW w:w="1148" w:type="dxa"/>
            <w:tcBorders>
              <w:top w:val="nil"/>
              <w:left w:val="nil"/>
              <w:bottom w:val="single" w:sz="4" w:space="0" w:color="auto"/>
              <w:right w:val="single" w:sz="4" w:space="0" w:color="auto"/>
            </w:tcBorders>
            <w:shd w:val="clear" w:color="auto" w:fill="auto"/>
            <w:hideMark/>
          </w:tcPr>
          <w:p w14:paraId="58CF2499" w14:textId="77777777" w:rsidR="006C28DF" w:rsidRPr="006C28DF" w:rsidRDefault="006C28DF" w:rsidP="006C28DF">
            <w:pPr>
              <w:jc w:val="right"/>
              <w:rPr>
                <w:sz w:val="20"/>
                <w:szCs w:val="20"/>
                <w:lang w:val="en-CA" w:eastAsia="en-CA"/>
              </w:rPr>
            </w:pPr>
            <w:r w:rsidRPr="006C28DF">
              <w:rPr>
                <w:sz w:val="20"/>
                <w:szCs w:val="20"/>
                <w:lang w:val="en-CA" w:eastAsia="en-CA"/>
              </w:rPr>
              <w:t>204</w:t>
            </w:r>
          </w:p>
        </w:tc>
        <w:tc>
          <w:tcPr>
            <w:tcW w:w="976" w:type="dxa"/>
            <w:tcBorders>
              <w:top w:val="nil"/>
              <w:left w:val="nil"/>
              <w:bottom w:val="single" w:sz="4" w:space="0" w:color="auto"/>
              <w:right w:val="single" w:sz="4" w:space="0" w:color="auto"/>
            </w:tcBorders>
            <w:shd w:val="clear" w:color="auto" w:fill="auto"/>
            <w:hideMark/>
          </w:tcPr>
          <w:p w14:paraId="1DBBD6B4" w14:textId="77777777" w:rsidR="006C28DF" w:rsidRPr="006C28DF" w:rsidRDefault="006C28DF" w:rsidP="006C28DF">
            <w:pPr>
              <w:jc w:val="right"/>
              <w:rPr>
                <w:sz w:val="20"/>
                <w:szCs w:val="20"/>
                <w:lang w:val="en-CA" w:eastAsia="en-CA"/>
              </w:rPr>
            </w:pPr>
            <w:r w:rsidRPr="006C28DF">
              <w:rPr>
                <w:sz w:val="20"/>
                <w:szCs w:val="20"/>
                <w:lang w:val="en-CA" w:eastAsia="en-CA"/>
              </w:rPr>
              <w:t>2.7</w:t>
            </w:r>
          </w:p>
        </w:tc>
      </w:tr>
      <w:tr w:rsidR="006C28DF" w:rsidRPr="006C28DF" w14:paraId="74B02654"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D928190" w14:textId="77777777" w:rsidR="006C28DF" w:rsidRPr="006C28DF" w:rsidRDefault="006C28DF" w:rsidP="006C28DF">
            <w:pPr>
              <w:jc w:val="left"/>
              <w:rPr>
                <w:sz w:val="20"/>
                <w:szCs w:val="20"/>
                <w:lang w:val="en-CA" w:eastAsia="en-CA"/>
              </w:rPr>
            </w:pPr>
            <w:r w:rsidRPr="006C28DF">
              <w:rPr>
                <w:sz w:val="20"/>
                <w:szCs w:val="20"/>
                <w:lang w:val="en-CA" w:eastAsia="en-CA"/>
              </w:rPr>
              <w:t>Libyan Arab Jamahiriya</w:t>
            </w:r>
          </w:p>
        </w:tc>
        <w:tc>
          <w:tcPr>
            <w:tcW w:w="980" w:type="dxa"/>
            <w:tcBorders>
              <w:top w:val="nil"/>
              <w:left w:val="nil"/>
              <w:bottom w:val="single" w:sz="4" w:space="0" w:color="auto"/>
              <w:right w:val="single" w:sz="4" w:space="0" w:color="auto"/>
            </w:tcBorders>
            <w:shd w:val="clear" w:color="auto" w:fill="auto"/>
            <w:hideMark/>
          </w:tcPr>
          <w:p w14:paraId="488127EF"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1DE5E5A0"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17A6F0E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A73EC0F" w14:textId="77777777" w:rsidR="006C28DF" w:rsidRPr="006C28DF" w:rsidRDefault="006C28DF" w:rsidP="006C28DF">
            <w:pPr>
              <w:jc w:val="left"/>
              <w:rPr>
                <w:sz w:val="20"/>
                <w:szCs w:val="20"/>
                <w:lang w:val="en-CA" w:eastAsia="en-CA"/>
              </w:rPr>
            </w:pPr>
            <w:r w:rsidRPr="006C28DF">
              <w:rPr>
                <w:sz w:val="20"/>
                <w:szCs w:val="20"/>
                <w:lang w:val="en-CA" w:eastAsia="en-CA"/>
              </w:rPr>
              <w:t>FOA-Rigid PU foam (Stage II)</w:t>
            </w:r>
          </w:p>
        </w:tc>
        <w:tc>
          <w:tcPr>
            <w:tcW w:w="1148" w:type="dxa"/>
            <w:tcBorders>
              <w:top w:val="nil"/>
              <w:left w:val="nil"/>
              <w:bottom w:val="single" w:sz="4" w:space="0" w:color="auto"/>
              <w:right w:val="single" w:sz="4" w:space="0" w:color="auto"/>
            </w:tcBorders>
            <w:shd w:val="clear" w:color="auto" w:fill="auto"/>
            <w:hideMark/>
          </w:tcPr>
          <w:p w14:paraId="4C33F31C" w14:textId="77777777" w:rsidR="006C28DF" w:rsidRPr="006C28DF" w:rsidRDefault="006C28DF" w:rsidP="006C28DF">
            <w:pPr>
              <w:jc w:val="right"/>
              <w:rPr>
                <w:sz w:val="20"/>
                <w:szCs w:val="20"/>
                <w:lang w:val="en-CA" w:eastAsia="en-CA"/>
              </w:rPr>
            </w:pPr>
            <w:r w:rsidRPr="006C28DF">
              <w:rPr>
                <w:sz w:val="20"/>
                <w:szCs w:val="20"/>
                <w:lang w:val="en-CA" w:eastAsia="en-CA"/>
              </w:rPr>
              <w:t>87</w:t>
            </w:r>
          </w:p>
        </w:tc>
        <w:tc>
          <w:tcPr>
            <w:tcW w:w="976" w:type="dxa"/>
            <w:tcBorders>
              <w:top w:val="nil"/>
              <w:left w:val="nil"/>
              <w:bottom w:val="single" w:sz="4" w:space="0" w:color="auto"/>
              <w:right w:val="single" w:sz="4" w:space="0" w:color="auto"/>
            </w:tcBorders>
            <w:shd w:val="clear" w:color="auto" w:fill="auto"/>
            <w:hideMark/>
          </w:tcPr>
          <w:p w14:paraId="0002562A"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62FA0DA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4BB50A4" w14:textId="77777777" w:rsidR="006C28DF" w:rsidRPr="006C28DF" w:rsidRDefault="006C28DF" w:rsidP="006C28DF">
            <w:pPr>
              <w:jc w:val="left"/>
              <w:rPr>
                <w:sz w:val="20"/>
                <w:szCs w:val="20"/>
                <w:lang w:val="en-CA" w:eastAsia="en-CA"/>
              </w:rPr>
            </w:pPr>
            <w:r w:rsidRPr="006C28DF">
              <w:rPr>
                <w:sz w:val="20"/>
                <w:szCs w:val="20"/>
                <w:lang w:val="en-CA" w:eastAsia="en-CA"/>
              </w:rPr>
              <w:t>Libyan Arab Jamahiriya</w:t>
            </w:r>
          </w:p>
        </w:tc>
        <w:tc>
          <w:tcPr>
            <w:tcW w:w="980" w:type="dxa"/>
            <w:tcBorders>
              <w:top w:val="nil"/>
              <w:left w:val="nil"/>
              <w:bottom w:val="single" w:sz="4" w:space="0" w:color="auto"/>
              <w:right w:val="single" w:sz="4" w:space="0" w:color="auto"/>
            </w:tcBorders>
            <w:shd w:val="clear" w:color="auto" w:fill="auto"/>
            <w:hideMark/>
          </w:tcPr>
          <w:p w14:paraId="41116909"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53F766B8"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552C82A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79C0F8A" w14:textId="77777777" w:rsidR="006C28DF" w:rsidRPr="006C28DF" w:rsidRDefault="006C28DF" w:rsidP="006C28DF">
            <w:pPr>
              <w:jc w:val="left"/>
              <w:rPr>
                <w:sz w:val="20"/>
                <w:szCs w:val="20"/>
                <w:lang w:val="en-CA" w:eastAsia="en-CA"/>
              </w:rPr>
            </w:pPr>
            <w:r w:rsidRPr="006C28DF">
              <w:rPr>
                <w:sz w:val="20"/>
                <w:szCs w:val="20"/>
                <w:lang w:val="en-CA" w:eastAsia="en-CA"/>
              </w:rPr>
              <w:t>REF-Servicing (Stage II)</w:t>
            </w:r>
          </w:p>
        </w:tc>
        <w:tc>
          <w:tcPr>
            <w:tcW w:w="1148" w:type="dxa"/>
            <w:tcBorders>
              <w:top w:val="nil"/>
              <w:left w:val="nil"/>
              <w:bottom w:val="single" w:sz="4" w:space="0" w:color="auto"/>
              <w:right w:val="single" w:sz="4" w:space="0" w:color="auto"/>
            </w:tcBorders>
            <w:shd w:val="clear" w:color="auto" w:fill="auto"/>
            <w:hideMark/>
          </w:tcPr>
          <w:p w14:paraId="290CEBB0" w14:textId="77777777" w:rsidR="006C28DF" w:rsidRPr="006C28DF" w:rsidRDefault="006C28DF" w:rsidP="006C28DF">
            <w:pPr>
              <w:jc w:val="right"/>
              <w:rPr>
                <w:sz w:val="20"/>
                <w:szCs w:val="20"/>
                <w:lang w:val="en-CA" w:eastAsia="en-CA"/>
              </w:rPr>
            </w:pPr>
            <w:r w:rsidRPr="006C28DF">
              <w:rPr>
                <w:sz w:val="20"/>
                <w:szCs w:val="20"/>
                <w:lang w:val="en-CA" w:eastAsia="en-CA"/>
              </w:rPr>
              <w:t>95</w:t>
            </w:r>
          </w:p>
        </w:tc>
        <w:tc>
          <w:tcPr>
            <w:tcW w:w="976" w:type="dxa"/>
            <w:tcBorders>
              <w:top w:val="nil"/>
              <w:left w:val="nil"/>
              <w:bottom w:val="single" w:sz="4" w:space="0" w:color="auto"/>
              <w:right w:val="single" w:sz="4" w:space="0" w:color="auto"/>
            </w:tcBorders>
            <w:shd w:val="clear" w:color="auto" w:fill="auto"/>
            <w:hideMark/>
          </w:tcPr>
          <w:p w14:paraId="6FBA8E82"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0B0C6016"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DEBC12D" w14:textId="77777777" w:rsidR="006C28DF" w:rsidRPr="006C28DF" w:rsidRDefault="006C28DF" w:rsidP="006C28DF">
            <w:pPr>
              <w:jc w:val="left"/>
              <w:rPr>
                <w:sz w:val="20"/>
                <w:szCs w:val="20"/>
                <w:lang w:val="en-CA" w:eastAsia="en-CA"/>
              </w:rPr>
            </w:pPr>
            <w:r w:rsidRPr="006C28DF">
              <w:rPr>
                <w:sz w:val="20"/>
                <w:szCs w:val="20"/>
                <w:lang w:val="en-CA" w:eastAsia="en-CA"/>
              </w:rPr>
              <w:t>Madagascar</w:t>
            </w:r>
          </w:p>
        </w:tc>
        <w:tc>
          <w:tcPr>
            <w:tcW w:w="980" w:type="dxa"/>
            <w:tcBorders>
              <w:top w:val="nil"/>
              <w:left w:val="nil"/>
              <w:bottom w:val="single" w:sz="4" w:space="0" w:color="auto"/>
              <w:right w:val="single" w:sz="4" w:space="0" w:color="auto"/>
            </w:tcBorders>
            <w:shd w:val="clear" w:color="auto" w:fill="auto"/>
            <w:hideMark/>
          </w:tcPr>
          <w:p w14:paraId="485EA39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1B64280"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78220B41"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D16A609"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78EC96FC"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27693B15"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EC9D18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4CEDC18" w14:textId="77777777" w:rsidR="006C28DF" w:rsidRPr="006C28DF" w:rsidRDefault="006C28DF" w:rsidP="006C28DF">
            <w:pPr>
              <w:jc w:val="left"/>
              <w:rPr>
                <w:sz w:val="20"/>
                <w:szCs w:val="20"/>
                <w:lang w:val="en-CA" w:eastAsia="en-CA"/>
              </w:rPr>
            </w:pPr>
            <w:r w:rsidRPr="006C28DF">
              <w:rPr>
                <w:sz w:val="20"/>
                <w:szCs w:val="20"/>
                <w:lang w:val="en-CA" w:eastAsia="en-CA"/>
              </w:rPr>
              <w:t>Malawi</w:t>
            </w:r>
          </w:p>
        </w:tc>
        <w:tc>
          <w:tcPr>
            <w:tcW w:w="980" w:type="dxa"/>
            <w:tcBorders>
              <w:top w:val="nil"/>
              <w:left w:val="nil"/>
              <w:bottom w:val="single" w:sz="4" w:space="0" w:color="auto"/>
              <w:right w:val="single" w:sz="4" w:space="0" w:color="auto"/>
            </w:tcBorders>
            <w:shd w:val="clear" w:color="auto" w:fill="auto"/>
            <w:hideMark/>
          </w:tcPr>
          <w:p w14:paraId="3EDE7616"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764FD16"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784E1FB0"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682295F3"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1DF8497"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46EE4B41"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78EF376"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F773A59" w14:textId="77777777" w:rsidR="006C28DF" w:rsidRPr="006C28DF" w:rsidRDefault="006C28DF" w:rsidP="006C28DF">
            <w:pPr>
              <w:jc w:val="left"/>
              <w:rPr>
                <w:sz w:val="20"/>
                <w:szCs w:val="20"/>
                <w:lang w:val="en-CA" w:eastAsia="en-CA"/>
              </w:rPr>
            </w:pPr>
            <w:r w:rsidRPr="006C28DF">
              <w:rPr>
                <w:sz w:val="20"/>
                <w:szCs w:val="20"/>
                <w:lang w:val="en-CA" w:eastAsia="en-CA"/>
              </w:rPr>
              <w:t>Mali</w:t>
            </w:r>
          </w:p>
        </w:tc>
        <w:tc>
          <w:tcPr>
            <w:tcW w:w="980" w:type="dxa"/>
            <w:tcBorders>
              <w:top w:val="nil"/>
              <w:left w:val="nil"/>
              <w:bottom w:val="single" w:sz="4" w:space="0" w:color="auto"/>
              <w:right w:val="single" w:sz="4" w:space="0" w:color="auto"/>
            </w:tcBorders>
            <w:shd w:val="clear" w:color="auto" w:fill="auto"/>
            <w:hideMark/>
          </w:tcPr>
          <w:p w14:paraId="7C06452A"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17985E7C"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B6D893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4352E50" w14:textId="77777777" w:rsidR="006C28DF" w:rsidRPr="006C28DF" w:rsidRDefault="006C28DF" w:rsidP="006C28DF">
            <w:pPr>
              <w:jc w:val="left"/>
              <w:rPr>
                <w:sz w:val="20"/>
                <w:szCs w:val="20"/>
                <w:lang w:val="en-CA" w:eastAsia="en-CA"/>
              </w:rPr>
            </w:pPr>
            <w:r w:rsidRPr="006C28DF">
              <w:rPr>
                <w:sz w:val="20"/>
                <w:szCs w:val="20"/>
                <w:lang w:val="en-CA" w:eastAsia="en-CA"/>
              </w:rPr>
              <w:t>Stage II HPMP Preparation</w:t>
            </w:r>
          </w:p>
        </w:tc>
        <w:tc>
          <w:tcPr>
            <w:tcW w:w="1148" w:type="dxa"/>
            <w:tcBorders>
              <w:top w:val="nil"/>
              <w:left w:val="nil"/>
              <w:bottom w:val="single" w:sz="4" w:space="0" w:color="auto"/>
              <w:right w:val="single" w:sz="4" w:space="0" w:color="auto"/>
            </w:tcBorders>
            <w:shd w:val="clear" w:color="auto" w:fill="auto"/>
            <w:hideMark/>
          </w:tcPr>
          <w:p w14:paraId="473E8329"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443A9C67"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571F27C8"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21EB9C0" w14:textId="77777777" w:rsidR="006C28DF" w:rsidRPr="006C28DF" w:rsidRDefault="006C28DF" w:rsidP="006C28DF">
            <w:pPr>
              <w:jc w:val="left"/>
              <w:rPr>
                <w:sz w:val="20"/>
                <w:szCs w:val="20"/>
                <w:lang w:val="en-CA" w:eastAsia="en-CA"/>
              </w:rPr>
            </w:pPr>
            <w:r w:rsidRPr="006C28DF">
              <w:rPr>
                <w:sz w:val="20"/>
                <w:szCs w:val="20"/>
                <w:lang w:val="en-CA" w:eastAsia="en-CA"/>
              </w:rPr>
              <w:t>Mali</w:t>
            </w:r>
          </w:p>
        </w:tc>
        <w:tc>
          <w:tcPr>
            <w:tcW w:w="980" w:type="dxa"/>
            <w:tcBorders>
              <w:top w:val="nil"/>
              <w:left w:val="nil"/>
              <w:bottom w:val="single" w:sz="4" w:space="0" w:color="auto"/>
              <w:right w:val="single" w:sz="4" w:space="0" w:color="auto"/>
            </w:tcBorders>
            <w:shd w:val="clear" w:color="auto" w:fill="auto"/>
            <w:hideMark/>
          </w:tcPr>
          <w:p w14:paraId="4FC8EA51"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9D21105"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3AE3E6B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417355A"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196697FD" w14:textId="77777777" w:rsidR="006C28DF" w:rsidRPr="006C28DF" w:rsidRDefault="006C28DF" w:rsidP="006C28DF">
            <w:pPr>
              <w:jc w:val="right"/>
              <w:rPr>
                <w:sz w:val="20"/>
                <w:szCs w:val="20"/>
                <w:lang w:val="en-CA" w:eastAsia="en-CA"/>
              </w:rPr>
            </w:pPr>
            <w:r w:rsidRPr="006C28DF">
              <w:rPr>
                <w:sz w:val="20"/>
                <w:szCs w:val="20"/>
                <w:lang w:val="en-CA" w:eastAsia="en-CA"/>
              </w:rPr>
              <w:t>59</w:t>
            </w:r>
          </w:p>
        </w:tc>
        <w:tc>
          <w:tcPr>
            <w:tcW w:w="976" w:type="dxa"/>
            <w:tcBorders>
              <w:top w:val="nil"/>
              <w:left w:val="nil"/>
              <w:bottom w:val="single" w:sz="4" w:space="0" w:color="auto"/>
              <w:right w:val="single" w:sz="4" w:space="0" w:color="auto"/>
            </w:tcBorders>
            <w:shd w:val="clear" w:color="auto" w:fill="auto"/>
            <w:hideMark/>
          </w:tcPr>
          <w:p w14:paraId="0FE173AB" w14:textId="77777777" w:rsidR="006C28DF" w:rsidRPr="006C28DF" w:rsidRDefault="006C28DF" w:rsidP="006C28DF">
            <w:pPr>
              <w:jc w:val="right"/>
              <w:rPr>
                <w:sz w:val="20"/>
                <w:szCs w:val="20"/>
                <w:lang w:val="en-CA" w:eastAsia="en-CA"/>
              </w:rPr>
            </w:pPr>
            <w:r w:rsidRPr="006C28DF">
              <w:rPr>
                <w:sz w:val="20"/>
                <w:szCs w:val="20"/>
                <w:lang w:val="en-CA" w:eastAsia="en-CA"/>
              </w:rPr>
              <w:t>0.5</w:t>
            </w:r>
          </w:p>
        </w:tc>
      </w:tr>
      <w:tr w:rsidR="006C28DF" w:rsidRPr="006C28DF" w14:paraId="7D1A9310"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1461A7E" w14:textId="77777777" w:rsidR="006C28DF" w:rsidRPr="006C28DF" w:rsidRDefault="006C28DF" w:rsidP="006C28DF">
            <w:pPr>
              <w:jc w:val="left"/>
              <w:rPr>
                <w:sz w:val="20"/>
                <w:szCs w:val="20"/>
                <w:lang w:val="en-CA" w:eastAsia="en-CA"/>
              </w:rPr>
            </w:pPr>
            <w:r w:rsidRPr="006C28DF">
              <w:rPr>
                <w:sz w:val="20"/>
                <w:szCs w:val="20"/>
                <w:lang w:val="en-CA" w:eastAsia="en-CA"/>
              </w:rPr>
              <w:t>Mali</w:t>
            </w:r>
          </w:p>
        </w:tc>
        <w:tc>
          <w:tcPr>
            <w:tcW w:w="980" w:type="dxa"/>
            <w:tcBorders>
              <w:top w:val="nil"/>
              <w:left w:val="nil"/>
              <w:bottom w:val="single" w:sz="4" w:space="0" w:color="auto"/>
              <w:right w:val="single" w:sz="4" w:space="0" w:color="auto"/>
            </w:tcBorders>
            <w:shd w:val="clear" w:color="auto" w:fill="auto"/>
            <w:hideMark/>
          </w:tcPr>
          <w:p w14:paraId="597330C2"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3226C47"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AA0A58D"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FFBF030"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4F3A0C5F" w14:textId="77777777" w:rsidR="006C28DF" w:rsidRPr="006C28DF" w:rsidRDefault="006C28DF" w:rsidP="006C28DF">
            <w:pPr>
              <w:jc w:val="right"/>
              <w:rPr>
                <w:sz w:val="20"/>
                <w:szCs w:val="20"/>
                <w:lang w:val="en-CA" w:eastAsia="en-CA"/>
              </w:rPr>
            </w:pPr>
            <w:r w:rsidRPr="006C28DF">
              <w:rPr>
                <w:sz w:val="20"/>
                <w:szCs w:val="20"/>
                <w:lang w:val="en-CA" w:eastAsia="en-CA"/>
              </w:rPr>
              <w:t>33</w:t>
            </w:r>
          </w:p>
        </w:tc>
        <w:tc>
          <w:tcPr>
            <w:tcW w:w="976" w:type="dxa"/>
            <w:tcBorders>
              <w:top w:val="nil"/>
              <w:left w:val="nil"/>
              <w:bottom w:val="single" w:sz="4" w:space="0" w:color="auto"/>
              <w:right w:val="single" w:sz="4" w:space="0" w:color="auto"/>
            </w:tcBorders>
            <w:shd w:val="clear" w:color="auto" w:fill="auto"/>
            <w:hideMark/>
          </w:tcPr>
          <w:p w14:paraId="00F9756D"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A8A9EB1"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F88BD0D" w14:textId="77777777" w:rsidR="006C28DF" w:rsidRPr="006C28DF" w:rsidRDefault="006C28DF" w:rsidP="006C28DF">
            <w:pPr>
              <w:jc w:val="left"/>
              <w:rPr>
                <w:sz w:val="20"/>
                <w:szCs w:val="20"/>
                <w:lang w:val="en-CA" w:eastAsia="en-CA"/>
              </w:rPr>
            </w:pPr>
            <w:r w:rsidRPr="006C28DF">
              <w:rPr>
                <w:sz w:val="20"/>
                <w:szCs w:val="20"/>
                <w:lang w:val="en-CA" w:eastAsia="en-CA"/>
              </w:rPr>
              <w:t>Marshall Islands (the)</w:t>
            </w:r>
          </w:p>
        </w:tc>
        <w:tc>
          <w:tcPr>
            <w:tcW w:w="980" w:type="dxa"/>
            <w:tcBorders>
              <w:top w:val="nil"/>
              <w:left w:val="nil"/>
              <w:bottom w:val="single" w:sz="4" w:space="0" w:color="auto"/>
              <w:right w:val="single" w:sz="4" w:space="0" w:color="auto"/>
            </w:tcBorders>
            <w:shd w:val="clear" w:color="auto" w:fill="auto"/>
            <w:hideMark/>
          </w:tcPr>
          <w:p w14:paraId="3BC9AB36"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2BA0A76"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630348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25BC27C"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0540E5BE"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25BA6392"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669E91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2F6F785" w14:textId="77777777" w:rsidR="006C28DF" w:rsidRPr="006C28DF" w:rsidRDefault="006C28DF" w:rsidP="006C28DF">
            <w:pPr>
              <w:jc w:val="left"/>
              <w:rPr>
                <w:sz w:val="20"/>
                <w:szCs w:val="20"/>
                <w:lang w:val="en-CA" w:eastAsia="en-CA"/>
              </w:rPr>
            </w:pPr>
            <w:r w:rsidRPr="006C28DF">
              <w:rPr>
                <w:sz w:val="20"/>
                <w:szCs w:val="20"/>
                <w:lang w:val="en-CA" w:eastAsia="en-CA"/>
              </w:rPr>
              <w:t>Mauritius</w:t>
            </w:r>
          </w:p>
        </w:tc>
        <w:tc>
          <w:tcPr>
            <w:tcW w:w="980" w:type="dxa"/>
            <w:tcBorders>
              <w:top w:val="nil"/>
              <w:left w:val="nil"/>
              <w:bottom w:val="single" w:sz="4" w:space="0" w:color="auto"/>
              <w:right w:val="single" w:sz="4" w:space="0" w:color="auto"/>
            </w:tcBorders>
            <w:shd w:val="clear" w:color="auto" w:fill="auto"/>
            <w:hideMark/>
          </w:tcPr>
          <w:p w14:paraId="47826FA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20308D3"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797683B4"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52A796BC"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024E9E5D"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1D1E1720"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5A532FA0" w14:textId="77777777" w:rsidTr="002C3CFF">
        <w:trPr>
          <w:trHeight w:val="612"/>
        </w:trPr>
        <w:tc>
          <w:tcPr>
            <w:tcW w:w="2269" w:type="dxa"/>
            <w:tcBorders>
              <w:top w:val="nil"/>
              <w:left w:val="single" w:sz="4" w:space="0" w:color="auto"/>
              <w:bottom w:val="single" w:sz="4" w:space="0" w:color="auto"/>
              <w:right w:val="single" w:sz="4" w:space="0" w:color="auto"/>
            </w:tcBorders>
            <w:shd w:val="clear" w:color="auto" w:fill="auto"/>
            <w:hideMark/>
          </w:tcPr>
          <w:p w14:paraId="481FE641" w14:textId="77777777" w:rsidR="006C28DF" w:rsidRPr="006C28DF" w:rsidRDefault="006C28DF" w:rsidP="006C28DF">
            <w:pPr>
              <w:jc w:val="left"/>
              <w:rPr>
                <w:sz w:val="20"/>
                <w:szCs w:val="20"/>
                <w:lang w:val="en-CA" w:eastAsia="en-CA"/>
              </w:rPr>
            </w:pPr>
            <w:r w:rsidRPr="006C28DF">
              <w:rPr>
                <w:sz w:val="20"/>
                <w:szCs w:val="20"/>
                <w:lang w:val="en-CA" w:eastAsia="en-CA"/>
              </w:rPr>
              <w:t>Mexico</w:t>
            </w:r>
          </w:p>
        </w:tc>
        <w:tc>
          <w:tcPr>
            <w:tcW w:w="980" w:type="dxa"/>
            <w:tcBorders>
              <w:top w:val="nil"/>
              <w:left w:val="nil"/>
              <w:bottom w:val="single" w:sz="4" w:space="0" w:color="auto"/>
              <w:right w:val="single" w:sz="4" w:space="0" w:color="auto"/>
            </w:tcBorders>
            <w:shd w:val="clear" w:color="auto" w:fill="auto"/>
            <w:hideMark/>
          </w:tcPr>
          <w:p w14:paraId="0AD12FB9"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16207319"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75EC43F8"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03F882A6" w14:textId="77777777" w:rsidR="006C28DF" w:rsidRPr="006C28DF" w:rsidRDefault="006C28DF" w:rsidP="006C28DF">
            <w:pPr>
              <w:jc w:val="left"/>
              <w:rPr>
                <w:sz w:val="20"/>
                <w:szCs w:val="20"/>
                <w:lang w:val="en-CA" w:eastAsia="en-CA"/>
              </w:rPr>
            </w:pPr>
            <w:r w:rsidRPr="006C28DF">
              <w:rPr>
                <w:sz w:val="20"/>
                <w:szCs w:val="20"/>
                <w:lang w:val="en-CA" w:eastAsia="en-CA"/>
              </w:rPr>
              <w:t xml:space="preserve"> Demonstration project to provide experience in ICCs and IOCs associated with the phase-down of HFCs to Fersa enterprise</w:t>
            </w:r>
          </w:p>
        </w:tc>
        <w:tc>
          <w:tcPr>
            <w:tcW w:w="1148" w:type="dxa"/>
            <w:tcBorders>
              <w:top w:val="nil"/>
              <w:left w:val="nil"/>
              <w:bottom w:val="single" w:sz="4" w:space="0" w:color="auto"/>
              <w:right w:val="single" w:sz="4" w:space="0" w:color="auto"/>
            </w:tcBorders>
            <w:shd w:val="clear" w:color="auto" w:fill="auto"/>
            <w:hideMark/>
          </w:tcPr>
          <w:p w14:paraId="6FB8D007" w14:textId="77777777" w:rsidR="006C28DF" w:rsidRPr="006C28DF" w:rsidRDefault="006C28DF" w:rsidP="006C28DF">
            <w:pPr>
              <w:jc w:val="right"/>
              <w:rPr>
                <w:sz w:val="20"/>
                <w:szCs w:val="20"/>
                <w:lang w:val="en-CA" w:eastAsia="en-CA"/>
              </w:rPr>
            </w:pPr>
            <w:r w:rsidRPr="006C28DF">
              <w:rPr>
                <w:sz w:val="20"/>
                <w:szCs w:val="20"/>
                <w:lang w:val="en-CA" w:eastAsia="en-CA"/>
              </w:rPr>
              <w:t>92</w:t>
            </w:r>
          </w:p>
        </w:tc>
        <w:tc>
          <w:tcPr>
            <w:tcW w:w="976" w:type="dxa"/>
            <w:tcBorders>
              <w:top w:val="nil"/>
              <w:left w:val="nil"/>
              <w:bottom w:val="single" w:sz="4" w:space="0" w:color="auto"/>
              <w:right w:val="single" w:sz="4" w:space="0" w:color="auto"/>
            </w:tcBorders>
            <w:shd w:val="clear" w:color="auto" w:fill="auto"/>
            <w:hideMark/>
          </w:tcPr>
          <w:p w14:paraId="20117F73"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615CBD6"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4456E697" w14:textId="77777777" w:rsidR="006C28DF" w:rsidRPr="006C28DF" w:rsidRDefault="006C28DF" w:rsidP="006C28DF">
            <w:pPr>
              <w:jc w:val="left"/>
              <w:rPr>
                <w:sz w:val="20"/>
                <w:szCs w:val="20"/>
                <w:lang w:val="en-CA" w:eastAsia="en-CA"/>
              </w:rPr>
            </w:pPr>
            <w:r w:rsidRPr="006C28DF">
              <w:rPr>
                <w:sz w:val="20"/>
                <w:szCs w:val="20"/>
                <w:lang w:val="en-CA" w:eastAsia="en-CA"/>
              </w:rPr>
              <w:t>Micronesia (Federated States of)</w:t>
            </w:r>
          </w:p>
        </w:tc>
        <w:tc>
          <w:tcPr>
            <w:tcW w:w="980" w:type="dxa"/>
            <w:tcBorders>
              <w:top w:val="nil"/>
              <w:left w:val="nil"/>
              <w:bottom w:val="single" w:sz="4" w:space="0" w:color="auto"/>
              <w:right w:val="single" w:sz="4" w:space="0" w:color="auto"/>
            </w:tcBorders>
            <w:shd w:val="clear" w:color="auto" w:fill="auto"/>
            <w:hideMark/>
          </w:tcPr>
          <w:p w14:paraId="54D9040C"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47D2E5B"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168256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3700A81"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3C4FDD4A"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5EE94556"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5736C9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D39912D" w14:textId="77777777" w:rsidR="006C28DF" w:rsidRPr="006C28DF" w:rsidRDefault="006C28DF" w:rsidP="006C28DF">
            <w:pPr>
              <w:jc w:val="left"/>
              <w:rPr>
                <w:sz w:val="20"/>
                <w:szCs w:val="20"/>
                <w:lang w:val="en-CA" w:eastAsia="en-CA"/>
              </w:rPr>
            </w:pPr>
            <w:r w:rsidRPr="006C28DF">
              <w:rPr>
                <w:sz w:val="20"/>
                <w:szCs w:val="20"/>
                <w:lang w:val="en-CA" w:eastAsia="en-CA"/>
              </w:rPr>
              <w:t>Micronesia (Federated States of)</w:t>
            </w:r>
          </w:p>
        </w:tc>
        <w:tc>
          <w:tcPr>
            <w:tcW w:w="980" w:type="dxa"/>
            <w:tcBorders>
              <w:top w:val="nil"/>
              <w:left w:val="nil"/>
              <w:bottom w:val="single" w:sz="4" w:space="0" w:color="auto"/>
              <w:right w:val="single" w:sz="4" w:space="0" w:color="auto"/>
            </w:tcBorders>
            <w:shd w:val="clear" w:color="auto" w:fill="auto"/>
            <w:hideMark/>
          </w:tcPr>
          <w:p w14:paraId="248373A5"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1F84400"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0C55A3A6"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C73BD25"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0F2C03DE"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269D23CE"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F833AE0"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81A36D2" w14:textId="77777777" w:rsidR="006C28DF" w:rsidRPr="006C28DF" w:rsidRDefault="006C28DF" w:rsidP="006C28DF">
            <w:pPr>
              <w:jc w:val="left"/>
              <w:rPr>
                <w:sz w:val="20"/>
                <w:szCs w:val="20"/>
                <w:lang w:val="en-CA" w:eastAsia="en-CA"/>
              </w:rPr>
            </w:pPr>
            <w:r w:rsidRPr="006C28DF">
              <w:rPr>
                <w:sz w:val="20"/>
                <w:szCs w:val="20"/>
                <w:lang w:val="en-CA" w:eastAsia="en-CA"/>
              </w:rPr>
              <w:t>Mongolia</w:t>
            </w:r>
          </w:p>
        </w:tc>
        <w:tc>
          <w:tcPr>
            <w:tcW w:w="980" w:type="dxa"/>
            <w:tcBorders>
              <w:top w:val="nil"/>
              <w:left w:val="nil"/>
              <w:bottom w:val="single" w:sz="4" w:space="0" w:color="auto"/>
              <w:right w:val="single" w:sz="4" w:space="0" w:color="auto"/>
            </w:tcBorders>
            <w:shd w:val="clear" w:color="auto" w:fill="auto"/>
            <w:hideMark/>
          </w:tcPr>
          <w:p w14:paraId="50B5FF43"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10E9989"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582501B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EBEFD48"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2007710D"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5888B48C"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D297D24"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87658F3" w14:textId="77777777" w:rsidR="006C28DF" w:rsidRPr="006C28DF" w:rsidRDefault="006C28DF" w:rsidP="006C28DF">
            <w:pPr>
              <w:jc w:val="left"/>
              <w:rPr>
                <w:sz w:val="20"/>
                <w:szCs w:val="20"/>
                <w:lang w:val="en-CA" w:eastAsia="en-CA"/>
              </w:rPr>
            </w:pPr>
            <w:r w:rsidRPr="006C28DF">
              <w:rPr>
                <w:sz w:val="20"/>
                <w:szCs w:val="20"/>
                <w:lang w:val="en-CA" w:eastAsia="en-CA"/>
              </w:rPr>
              <w:t>Montenegro</w:t>
            </w:r>
          </w:p>
        </w:tc>
        <w:tc>
          <w:tcPr>
            <w:tcW w:w="980" w:type="dxa"/>
            <w:tcBorders>
              <w:top w:val="nil"/>
              <w:left w:val="nil"/>
              <w:bottom w:val="single" w:sz="4" w:space="0" w:color="auto"/>
              <w:right w:val="single" w:sz="4" w:space="0" w:color="auto"/>
            </w:tcBorders>
            <w:shd w:val="clear" w:color="auto" w:fill="auto"/>
            <w:hideMark/>
          </w:tcPr>
          <w:p w14:paraId="2F3F373F"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273744FA"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E5E038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7BA7B02"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580DC634" w14:textId="77777777" w:rsidR="006C28DF" w:rsidRPr="006C28DF" w:rsidRDefault="006C28DF" w:rsidP="006C28DF">
            <w:pPr>
              <w:jc w:val="right"/>
              <w:rPr>
                <w:sz w:val="20"/>
                <w:szCs w:val="20"/>
                <w:lang w:val="en-CA" w:eastAsia="en-CA"/>
              </w:rPr>
            </w:pPr>
            <w:r w:rsidRPr="006C28DF">
              <w:rPr>
                <w:sz w:val="20"/>
                <w:szCs w:val="20"/>
                <w:lang w:val="en-CA" w:eastAsia="en-CA"/>
              </w:rPr>
              <w:t>32</w:t>
            </w:r>
          </w:p>
        </w:tc>
        <w:tc>
          <w:tcPr>
            <w:tcW w:w="976" w:type="dxa"/>
            <w:tcBorders>
              <w:top w:val="nil"/>
              <w:left w:val="nil"/>
              <w:bottom w:val="single" w:sz="4" w:space="0" w:color="auto"/>
              <w:right w:val="single" w:sz="4" w:space="0" w:color="auto"/>
            </w:tcBorders>
            <w:shd w:val="clear" w:color="auto" w:fill="auto"/>
            <w:hideMark/>
          </w:tcPr>
          <w:p w14:paraId="2379A7DD"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1B48A9F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BB275DE" w14:textId="77777777" w:rsidR="006C28DF" w:rsidRPr="006C28DF" w:rsidRDefault="006C28DF" w:rsidP="006C28DF">
            <w:pPr>
              <w:jc w:val="left"/>
              <w:rPr>
                <w:sz w:val="20"/>
                <w:szCs w:val="20"/>
                <w:lang w:val="en-CA" w:eastAsia="en-CA"/>
              </w:rPr>
            </w:pPr>
            <w:r w:rsidRPr="006C28DF">
              <w:rPr>
                <w:sz w:val="20"/>
                <w:szCs w:val="20"/>
                <w:lang w:val="en-CA" w:eastAsia="en-CA"/>
              </w:rPr>
              <w:t>Morocco</w:t>
            </w:r>
          </w:p>
        </w:tc>
        <w:tc>
          <w:tcPr>
            <w:tcW w:w="980" w:type="dxa"/>
            <w:tcBorders>
              <w:top w:val="nil"/>
              <w:left w:val="nil"/>
              <w:bottom w:val="single" w:sz="4" w:space="0" w:color="auto"/>
              <w:right w:val="single" w:sz="4" w:space="0" w:color="auto"/>
            </w:tcBorders>
            <w:shd w:val="clear" w:color="auto" w:fill="auto"/>
            <w:hideMark/>
          </w:tcPr>
          <w:p w14:paraId="58608A6E"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0AAB946D"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7369D3BD"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DECF811" w14:textId="77777777" w:rsidR="006C28DF" w:rsidRPr="006C28DF" w:rsidRDefault="006C28DF" w:rsidP="006C28DF">
            <w:pPr>
              <w:jc w:val="left"/>
              <w:rPr>
                <w:sz w:val="20"/>
                <w:szCs w:val="20"/>
                <w:lang w:val="en-CA" w:eastAsia="en-CA"/>
              </w:rPr>
            </w:pPr>
            <w:r w:rsidRPr="006C28DF">
              <w:rPr>
                <w:sz w:val="20"/>
                <w:szCs w:val="20"/>
                <w:lang w:val="en-CA" w:eastAsia="en-CA"/>
              </w:rPr>
              <w:t>HPMP - Stage I, incl. FOA investment</w:t>
            </w:r>
          </w:p>
        </w:tc>
        <w:tc>
          <w:tcPr>
            <w:tcW w:w="1148" w:type="dxa"/>
            <w:tcBorders>
              <w:top w:val="nil"/>
              <w:left w:val="nil"/>
              <w:bottom w:val="single" w:sz="4" w:space="0" w:color="auto"/>
              <w:right w:val="single" w:sz="4" w:space="0" w:color="auto"/>
            </w:tcBorders>
            <w:shd w:val="clear" w:color="auto" w:fill="auto"/>
            <w:hideMark/>
          </w:tcPr>
          <w:p w14:paraId="46F56823" w14:textId="77777777" w:rsidR="006C28DF" w:rsidRPr="006C28DF" w:rsidRDefault="006C28DF" w:rsidP="006C28DF">
            <w:pPr>
              <w:jc w:val="right"/>
              <w:rPr>
                <w:sz w:val="20"/>
                <w:szCs w:val="20"/>
                <w:lang w:val="en-CA" w:eastAsia="en-CA"/>
              </w:rPr>
            </w:pPr>
            <w:r w:rsidRPr="006C28DF">
              <w:rPr>
                <w:sz w:val="20"/>
                <w:szCs w:val="20"/>
                <w:lang w:val="en-CA" w:eastAsia="en-CA"/>
              </w:rPr>
              <w:t>38</w:t>
            </w:r>
          </w:p>
        </w:tc>
        <w:tc>
          <w:tcPr>
            <w:tcW w:w="976" w:type="dxa"/>
            <w:tcBorders>
              <w:top w:val="nil"/>
              <w:left w:val="nil"/>
              <w:bottom w:val="single" w:sz="4" w:space="0" w:color="auto"/>
              <w:right w:val="single" w:sz="4" w:space="0" w:color="auto"/>
            </w:tcBorders>
            <w:shd w:val="clear" w:color="auto" w:fill="auto"/>
            <w:hideMark/>
          </w:tcPr>
          <w:p w14:paraId="4FA8D6E3" w14:textId="77777777" w:rsidR="006C28DF" w:rsidRPr="006C28DF" w:rsidRDefault="006C28DF" w:rsidP="006C28DF">
            <w:pPr>
              <w:jc w:val="right"/>
              <w:rPr>
                <w:sz w:val="20"/>
                <w:szCs w:val="20"/>
                <w:lang w:val="en-CA" w:eastAsia="en-CA"/>
              </w:rPr>
            </w:pPr>
            <w:r w:rsidRPr="006C28DF">
              <w:rPr>
                <w:sz w:val="20"/>
                <w:szCs w:val="20"/>
                <w:lang w:val="en-CA" w:eastAsia="en-CA"/>
              </w:rPr>
              <w:t>0.6</w:t>
            </w:r>
          </w:p>
        </w:tc>
      </w:tr>
      <w:tr w:rsidR="006C28DF" w:rsidRPr="006C28DF" w14:paraId="790C90E2" w14:textId="77777777" w:rsidTr="002C3CFF">
        <w:trPr>
          <w:trHeight w:val="816"/>
        </w:trPr>
        <w:tc>
          <w:tcPr>
            <w:tcW w:w="2269" w:type="dxa"/>
            <w:tcBorders>
              <w:top w:val="nil"/>
              <w:left w:val="single" w:sz="4" w:space="0" w:color="auto"/>
              <w:bottom w:val="single" w:sz="4" w:space="0" w:color="auto"/>
              <w:right w:val="single" w:sz="4" w:space="0" w:color="auto"/>
            </w:tcBorders>
            <w:shd w:val="clear" w:color="auto" w:fill="auto"/>
            <w:hideMark/>
          </w:tcPr>
          <w:p w14:paraId="4DAC5678" w14:textId="77777777" w:rsidR="006C28DF" w:rsidRPr="006C28DF" w:rsidRDefault="006C28DF" w:rsidP="006C28DF">
            <w:pPr>
              <w:jc w:val="left"/>
              <w:rPr>
                <w:sz w:val="20"/>
                <w:szCs w:val="20"/>
                <w:lang w:val="en-CA" w:eastAsia="en-CA"/>
              </w:rPr>
            </w:pPr>
            <w:r w:rsidRPr="006C28DF">
              <w:rPr>
                <w:sz w:val="20"/>
                <w:szCs w:val="20"/>
                <w:lang w:val="en-CA" w:eastAsia="en-CA"/>
              </w:rPr>
              <w:t>Morocco</w:t>
            </w:r>
          </w:p>
        </w:tc>
        <w:tc>
          <w:tcPr>
            <w:tcW w:w="980" w:type="dxa"/>
            <w:tcBorders>
              <w:top w:val="nil"/>
              <w:left w:val="nil"/>
              <w:bottom w:val="single" w:sz="4" w:space="0" w:color="auto"/>
              <w:right w:val="single" w:sz="4" w:space="0" w:color="auto"/>
            </w:tcBorders>
            <w:shd w:val="clear" w:color="auto" w:fill="auto"/>
            <w:hideMark/>
          </w:tcPr>
          <w:p w14:paraId="677E2437"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6D403E06"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54986989"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76158242" w14:textId="77777777" w:rsidR="006C28DF" w:rsidRPr="006C28DF" w:rsidRDefault="006C28DF" w:rsidP="006C28DF">
            <w:pPr>
              <w:jc w:val="left"/>
              <w:rPr>
                <w:sz w:val="20"/>
                <w:szCs w:val="20"/>
                <w:lang w:val="en-CA" w:eastAsia="en-CA"/>
              </w:rPr>
            </w:pPr>
            <w:r w:rsidRPr="006C28DF">
              <w:rPr>
                <w:sz w:val="20"/>
                <w:szCs w:val="20"/>
                <w:lang w:val="en-CA" w:eastAsia="en-CA"/>
              </w:rPr>
              <w:t>Demo project on conversion of domestic refrigeration manufacturing from R-134a to hydrocarbons in order to gain experience in ICCs and IOCs associated with the phase-down of HFCs</w:t>
            </w:r>
          </w:p>
        </w:tc>
        <w:tc>
          <w:tcPr>
            <w:tcW w:w="1148" w:type="dxa"/>
            <w:tcBorders>
              <w:top w:val="nil"/>
              <w:left w:val="nil"/>
              <w:bottom w:val="single" w:sz="4" w:space="0" w:color="auto"/>
              <w:right w:val="single" w:sz="4" w:space="0" w:color="auto"/>
            </w:tcBorders>
            <w:shd w:val="clear" w:color="auto" w:fill="auto"/>
            <w:hideMark/>
          </w:tcPr>
          <w:p w14:paraId="323327D9" w14:textId="77777777" w:rsidR="006C28DF" w:rsidRPr="006C28DF" w:rsidRDefault="006C28DF" w:rsidP="006C28DF">
            <w:pPr>
              <w:jc w:val="right"/>
              <w:rPr>
                <w:sz w:val="20"/>
                <w:szCs w:val="20"/>
                <w:lang w:val="en-CA" w:eastAsia="en-CA"/>
              </w:rPr>
            </w:pPr>
            <w:r w:rsidRPr="006C28DF">
              <w:rPr>
                <w:sz w:val="20"/>
                <w:szCs w:val="20"/>
                <w:lang w:val="en-CA" w:eastAsia="en-CA"/>
              </w:rPr>
              <w:t>195</w:t>
            </w:r>
          </w:p>
        </w:tc>
        <w:tc>
          <w:tcPr>
            <w:tcW w:w="976" w:type="dxa"/>
            <w:tcBorders>
              <w:top w:val="nil"/>
              <w:left w:val="nil"/>
              <w:bottom w:val="single" w:sz="4" w:space="0" w:color="auto"/>
              <w:right w:val="single" w:sz="4" w:space="0" w:color="auto"/>
            </w:tcBorders>
            <w:shd w:val="clear" w:color="auto" w:fill="auto"/>
            <w:hideMark/>
          </w:tcPr>
          <w:p w14:paraId="6F8C6BB2"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F50F64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21F2CCD" w14:textId="77777777" w:rsidR="006C28DF" w:rsidRPr="006C28DF" w:rsidRDefault="006C28DF" w:rsidP="006C28DF">
            <w:pPr>
              <w:jc w:val="left"/>
              <w:rPr>
                <w:sz w:val="20"/>
                <w:szCs w:val="20"/>
                <w:lang w:val="en-CA" w:eastAsia="en-CA"/>
              </w:rPr>
            </w:pPr>
            <w:r w:rsidRPr="006C28DF">
              <w:rPr>
                <w:sz w:val="20"/>
                <w:szCs w:val="20"/>
                <w:lang w:val="en-CA" w:eastAsia="en-CA"/>
              </w:rPr>
              <w:t>Morocco</w:t>
            </w:r>
          </w:p>
        </w:tc>
        <w:tc>
          <w:tcPr>
            <w:tcW w:w="980" w:type="dxa"/>
            <w:tcBorders>
              <w:top w:val="nil"/>
              <w:left w:val="nil"/>
              <w:bottom w:val="single" w:sz="4" w:space="0" w:color="auto"/>
              <w:right w:val="single" w:sz="4" w:space="0" w:color="auto"/>
            </w:tcBorders>
            <w:shd w:val="clear" w:color="auto" w:fill="auto"/>
            <w:hideMark/>
          </w:tcPr>
          <w:p w14:paraId="3106BAAC"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A34183F"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6B9318D4"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052C6518"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32F08BD" w14:textId="77777777" w:rsidR="006C28DF" w:rsidRPr="006C28DF" w:rsidRDefault="006C28DF" w:rsidP="006C28DF">
            <w:pPr>
              <w:jc w:val="right"/>
              <w:rPr>
                <w:sz w:val="20"/>
                <w:szCs w:val="20"/>
                <w:lang w:val="en-CA" w:eastAsia="en-CA"/>
              </w:rPr>
            </w:pPr>
            <w:r w:rsidRPr="006C28DF">
              <w:rPr>
                <w:sz w:val="20"/>
                <w:szCs w:val="20"/>
                <w:lang w:val="en-CA" w:eastAsia="en-CA"/>
              </w:rPr>
              <w:t>200</w:t>
            </w:r>
          </w:p>
        </w:tc>
        <w:tc>
          <w:tcPr>
            <w:tcW w:w="976" w:type="dxa"/>
            <w:tcBorders>
              <w:top w:val="nil"/>
              <w:left w:val="nil"/>
              <w:bottom w:val="single" w:sz="4" w:space="0" w:color="auto"/>
              <w:right w:val="single" w:sz="4" w:space="0" w:color="auto"/>
            </w:tcBorders>
            <w:shd w:val="clear" w:color="auto" w:fill="auto"/>
            <w:hideMark/>
          </w:tcPr>
          <w:p w14:paraId="0E6EE4EC"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6396832"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0057CCD" w14:textId="77777777" w:rsidR="006C28DF" w:rsidRPr="006C28DF" w:rsidRDefault="006C28DF" w:rsidP="006C28DF">
            <w:pPr>
              <w:jc w:val="left"/>
              <w:rPr>
                <w:sz w:val="20"/>
                <w:szCs w:val="20"/>
                <w:lang w:val="en-CA" w:eastAsia="en-CA"/>
              </w:rPr>
            </w:pPr>
            <w:r w:rsidRPr="006C28DF">
              <w:rPr>
                <w:sz w:val="20"/>
                <w:szCs w:val="20"/>
                <w:lang w:val="en-CA" w:eastAsia="en-CA"/>
              </w:rPr>
              <w:t>Mozambique</w:t>
            </w:r>
          </w:p>
        </w:tc>
        <w:tc>
          <w:tcPr>
            <w:tcW w:w="980" w:type="dxa"/>
            <w:tcBorders>
              <w:top w:val="nil"/>
              <w:left w:val="nil"/>
              <w:bottom w:val="single" w:sz="4" w:space="0" w:color="auto"/>
              <w:right w:val="single" w:sz="4" w:space="0" w:color="auto"/>
            </w:tcBorders>
            <w:shd w:val="clear" w:color="auto" w:fill="auto"/>
            <w:hideMark/>
          </w:tcPr>
          <w:p w14:paraId="1D91B159"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94D53F5"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269AD9C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DA1D08F"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63CABDF0" w14:textId="77777777" w:rsidR="006C28DF" w:rsidRPr="006C28DF" w:rsidRDefault="006C28DF" w:rsidP="006C28DF">
            <w:pPr>
              <w:jc w:val="right"/>
              <w:rPr>
                <w:sz w:val="20"/>
                <w:szCs w:val="20"/>
                <w:lang w:val="en-CA" w:eastAsia="en-CA"/>
              </w:rPr>
            </w:pPr>
            <w:r w:rsidRPr="006C28DF">
              <w:rPr>
                <w:sz w:val="20"/>
                <w:szCs w:val="20"/>
                <w:lang w:val="en-CA" w:eastAsia="en-CA"/>
              </w:rPr>
              <w:t>68</w:t>
            </w:r>
          </w:p>
        </w:tc>
        <w:tc>
          <w:tcPr>
            <w:tcW w:w="976" w:type="dxa"/>
            <w:tcBorders>
              <w:top w:val="nil"/>
              <w:left w:val="nil"/>
              <w:bottom w:val="single" w:sz="4" w:space="0" w:color="auto"/>
              <w:right w:val="single" w:sz="4" w:space="0" w:color="auto"/>
            </w:tcBorders>
            <w:shd w:val="clear" w:color="auto" w:fill="auto"/>
            <w:hideMark/>
          </w:tcPr>
          <w:p w14:paraId="73E57EAB" w14:textId="77777777" w:rsidR="006C28DF" w:rsidRPr="006C28DF" w:rsidRDefault="006C28DF" w:rsidP="006C28DF">
            <w:pPr>
              <w:jc w:val="right"/>
              <w:rPr>
                <w:sz w:val="20"/>
                <w:szCs w:val="20"/>
                <w:lang w:val="en-CA" w:eastAsia="en-CA"/>
              </w:rPr>
            </w:pPr>
            <w:r w:rsidRPr="006C28DF">
              <w:rPr>
                <w:sz w:val="20"/>
                <w:szCs w:val="20"/>
                <w:lang w:val="en-CA" w:eastAsia="en-CA"/>
              </w:rPr>
              <w:t>0.4</w:t>
            </w:r>
          </w:p>
        </w:tc>
      </w:tr>
      <w:tr w:rsidR="006C28DF" w:rsidRPr="006C28DF" w14:paraId="75AE019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35F2C98" w14:textId="77777777" w:rsidR="006C28DF" w:rsidRPr="006C28DF" w:rsidRDefault="006C28DF" w:rsidP="006C28DF">
            <w:pPr>
              <w:jc w:val="left"/>
              <w:rPr>
                <w:sz w:val="20"/>
                <w:szCs w:val="20"/>
                <w:lang w:val="en-CA" w:eastAsia="en-CA"/>
              </w:rPr>
            </w:pPr>
            <w:r w:rsidRPr="006C28DF">
              <w:rPr>
                <w:sz w:val="20"/>
                <w:szCs w:val="20"/>
                <w:lang w:val="en-CA" w:eastAsia="en-CA"/>
              </w:rPr>
              <w:t>Mozambique</w:t>
            </w:r>
          </w:p>
        </w:tc>
        <w:tc>
          <w:tcPr>
            <w:tcW w:w="980" w:type="dxa"/>
            <w:tcBorders>
              <w:top w:val="nil"/>
              <w:left w:val="nil"/>
              <w:bottom w:val="single" w:sz="4" w:space="0" w:color="auto"/>
              <w:right w:val="single" w:sz="4" w:space="0" w:color="auto"/>
            </w:tcBorders>
            <w:shd w:val="clear" w:color="auto" w:fill="auto"/>
            <w:hideMark/>
          </w:tcPr>
          <w:p w14:paraId="153E8250"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1A19E84B"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EF145A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90B2C82" w14:textId="77777777" w:rsidR="006C28DF" w:rsidRPr="006C28DF" w:rsidRDefault="006C28DF" w:rsidP="006C28DF">
            <w:pPr>
              <w:jc w:val="left"/>
              <w:rPr>
                <w:sz w:val="20"/>
                <w:szCs w:val="20"/>
                <w:lang w:val="en-CA" w:eastAsia="en-CA"/>
              </w:rPr>
            </w:pPr>
            <w:r w:rsidRPr="006C28DF">
              <w:rPr>
                <w:sz w:val="20"/>
                <w:szCs w:val="20"/>
                <w:lang w:val="en-CA" w:eastAsia="en-CA"/>
              </w:rPr>
              <w:t>HPMP - Stage I</w:t>
            </w:r>
          </w:p>
        </w:tc>
        <w:tc>
          <w:tcPr>
            <w:tcW w:w="1148" w:type="dxa"/>
            <w:tcBorders>
              <w:top w:val="nil"/>
              <w:left w:val="nil"/>
              <w:bottom w:val="single" w:sz="4" w:space="0" w:color="auto"/>
              <w:right w:val="single" w:sz="4" w:space="0" w:color="auto"/>
            </w:tcBorders>
            <w:shd w:val="clear" w:color="auto" w:fill="auto"/>
            <w:hideMark/>
          </w:tcPr>
          <w:p w14:paraId="7CB73A49" w14:textId="77777777" w:rsidR="006C28DF" w:rsidRPr="006C28DF" w:rsidRDefault="006C28DF" w:rsidP="006C28DF">
            <w:pPr>
              <w:jc w:val="right"/>
              <w:rPr>
                <w:sz w:val="20"/>
                <w:szCs w:val="20"/>
                <w:lang w:val="en-CA" w:eastAsia="en-CA"/>
              </w:rPr>
            </w:pPr>
            <w:r w:rsidRPr="006C28DF">
              <w:rPr>
                <w:sz w:val="20"/>
                <w:szCs w:val="20"/>
                <w:lang w:val="en-CA" w:eastAsia="en-CA"/>
              </w:rPr>
              <w:t>82</w:t>
            </w:r>
          </w:p>
        </w:tc>
        <w:tc>
          <w:tcPr>
            <w:tcW w:w="976" w:type="dxa"/>
            <w:tcBorders>
              <w:top w:val="nil"/>
              <w:left w:val="nil"/>
              <w:bottom w:val="single" w:sz="4" w:space="0" w:color="auto"/>
              <w:right w:val="single" w:sz="4" w:space="0" w:color="auto"/>
            </w:tcBorders>
            <w:shd w:val="clear" w:color="auto" w:fill="auto"/>
            <w:hideMark/>
          </w:tcPr>
          <w:p w14:paraId="1C43F22A" w14:textId="77777777" w:rsidR="006C28DF" w:rsidRPr="006C28DF" w:rsidRDefault="006C28DF" w:rsidP="006C28DF">
            <w:pPr>
              <w:jc w:val="right"/>
              <w:rPr>
                <w:sz w:val="20"/>
                <w:szCs w:val="20"/>
                <w:lang w:val="en-CA" w:eastAsia="en-CA"/>
              </w:rPr>
            </w:pPr>
            <w:r w:rsidRPr="006C28DF">
              <w:rPr>
                <w:sz w:val="20"/>
                <w:szCs w:val="20"/>
                <w:lang w:val="en-CA" w:eastAsia="en-CA"/>
              </w:rPr>
              <w:t>0.5</w:t>
            </w:r>
          </w:p>
        </w:tc>
      </w:tr>
      <w:tr w:rsidR="006C28DF" w:rsidRPr="006C28DF" w14:paraId="7609F695"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F809B09" w14:textId="77777777" w:rsidR="006C28DF" w:rsidRPr="006C28DF" w:rsidRDefault="006C28DF" w:rsidP="006C28DF">
            <w:pPr>
              <w:jc w:val="left"/>
              <w:rPr>
                <w:sz w:val="20"/>
                <w:szCs w:val="20"/>
                <w:lang w:val="en-CA" w:eastAsia="en-CA"/>
              </w:rPr>
            </w:pPr>
            <w:r w:rsidRPr="006C28DF">
              <w:rPr>
                <w:sz w:val="20"/>
                <w:szCs w:val="20"/>
                <w:lang w:val="en-CA" w:eastAsia="en-CA"/>
              </w:rPr>
              <w:t>Mozambique</w:t>
            </w:r>
          </w:p>
        </w:tc>
        <w:tc>
          <w:tcPr>
            <w:tcW w:w="980" w:type="dxa"/>
            <w:tcBorders>
              <w:top w:val="nil"/>
              <w:left w:val="nil"/>
              <w:bottom w:val="single" w:sz="4" w:space="0" w:color="auto"/>
              <w:right w:val="single" w:sz="4" w:space="0" w:color="auto"/>
            </w:tcBorders>
            <w:shd w:val="clear" w:color="auto" w:fill="auto"/>
            <w:hideMark/>
          </w:tcPr>
          <w:p w14:paraId="73C86855"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A576A54"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697169F"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5D4BA023"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94B3868" w14:textId="77777777" w:rsidR="006C28DF" w:rsidRPr="006C28DF" w:rsidRDefault="006C28DF" w:rsidP="006C28DF">
            <w:pPr>
              <w:jc w:val="right"/>
              <w:rPr>
                <w:sz w:val="20"/>
                <w:szCs w:val="20"/>
                <w:lang w:val="en-CA" w:eastAsia="en-CA"/>
              </w:rPr>
            </w:pPr>
            <w:r w:rsidRPr="006C28DF">
              <w:rPr>
                <w:sz w:val="20"/>
                <w:szCs w:val="20"/>
                <w:lang w:val="en-CA" w:eastAsia="en-CA"/>
              </w:rPr>
              <w:t>103</w:t>
            </w:r>
          </w:p>
        </w:tc>
        <w:tc>
          <w:tcPr>
            <w:tcW w:w="976" w:type="dxa"/>
            <w:tcBorders>
              <w:top w:val="nil"/>
              <w:left w:val="nil"/>
              <w:bottom w:val="single" w:sz="4" w:space="0" w:color="auto"/>
              <w:right w:val="single" w:sz="4" w:space="0" w:color="auto"/>
            </w:tcBorders>
            <w:shd w:val="clear" w:color="auto" w:fill="auto"/>
            <w:hideMark/>
          </w:tcPr>
          <w:p w14:paraId="15BFB185"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9A55848"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745A5F7" w14:textId="77777777" w:rsidR="006C28DF" w:rsidRPr="006C28DF" w:rsidRDefault="006C28DF" w:rsidP="006C28DF">
            <w:pPr>
              <w:jc w:val="left"/>
              <w:rPr>
                <w:sz w:val="20"/>
                <w:szCs w:val="20"/>
                <w:lang w:val="en-CA" w:eastAsia="en-CA"/>
              </w:rPr>
            </w:pPr>
            <w:r w:rsidRPr="006C28DF">
              <w:rPr>
                <w:sz w:val="20"/>
                <w:szCs w:val="20"/>
                <w:lang w:val="en-CA" w:eastAsia="en-CA"/>
              </w:rPr>
              <w:t>Myanmar</w:t>
            </w:r>
          </w:p>
        </w:tc>
        <w:tc>
          <w:tcPr>
            <w:tcW w:w="980" w:type="dxa"/>
            <w:tcBorders>
              <w:top w:val="nil"/>
              <w:left w:val="nil"/>
              <w:bottom w:val="single" w:sz="4" w:space="0" w:color="auto"/>
              <w:right w:val="single" w:sz="4" w:space="0" w:color="auto"/>
            </w:tcBorders>
            <w:shd w:val="clear" w:color="auto" w:fill="auto"/>
            <w:hideMark/>
          </w:tcPr>
          <w:p w14:paraId="45FCEE0A"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344D279"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524B2174"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274F5382"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29435913"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17BD063F"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E78997D"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738A13D" w14:textId="77777777" w:rsidR="006C28DF" w:rsidRPr="006C28DF" w:rsidRDefault="006C28DF" w:rsidP="006C28DF">
            <w:pPr>
              <w:jc w:val="left"/>
              <w:rPr>
                <w:sz w:val="20"/>
                <w:szCs w:val="20"/>
                <w:lang w:val="en-CA" w:eastAsia="en-CA"/>
              </w:rPr>
            </w:pPr>
            <w:r w:rsidRPr="006C28DF">
              <w:rPr>
                <w:sz w:val="20"/>
                <w:szCs w:val="20"/>
                <w:lang w:val="en-CA" w:eastAsia="en-CA"/>
              </w:rPr>
              <w:t>Nauru</w:t>
            </w:r>
          </w:p>
        </w:tc>
        <w:tc>
          <w:tcPr>
            <w:tcW w:w="980" w:type="dxa"/>
            <w:tcBorders>
              <w:top w:val="nil"/>
              <w:left w:val="nil"/>
              <w:bottom w:val="single" w:sz="4" w:space="0" w:color="auto"/>
              <w:right w:val="single" w:sz="4" w:space="0" w:color="auto"/>
            </w:tcBorders>
            <w:shd w:val="clear" w:color="auto" w:fill="auto"/>
            <w:hideMark/>
          </w:tcPr>
          <w:p w14:paraId="028E8E43"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1F43F70"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2326DC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3AA3DB6"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150E67D5"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64B21265"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A713AE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3A5205D" w14:textId="77777777" w:rsidR="006C28DF" w:rsidRPr="006C28DF" w:rsidRDefault="006C28DF" w:rsidP="006C28DF">
            <w:pPr>
              <w:jc w:val="left"/>
              <w:rPr>
                <w:sz w:val="20"/>
                <w:szCs w:val="20"/>
                <w:lang w:val="en-CA" w:eastAsia="en-CA"/>
              </w:rPr>
            </w:pPr>
            <w:r w:rsidRPr="006C28DF">
              <w:rPr>
                <w:sz w:val="20"/>
                <w:szCs w:val="20"/>
                <w:lang w:val="en-CA" w:eastAsia="en-CA"/>
              </w:rPr>
              <w:t>Nauru</w:t>
            </w:r>
          </w:p>
        </w:tc>
        <w:tc>
          <w:tcPr>
            <w:tcW w:w="980" w:type="dxa"/>
            <w:tcBorders>
              <w:top w:val="nil"/>
              <w:left w:val="nil"/>
              <w:bottom w:val="single" w:sz="4" w:space="0" w:color="auto"/>
              <w:right w:val="single" w:sz="4" w:space="0" w:color="auto"/>
            </w:tcBorders>
            <w:shd w:val="clear" w:color="auto" w:fill="auto"/>
            <w:hideMark/>
          </w:tcPr>
          <w:p w14:paraId="40D73BFE"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C255F8F"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60CFB415"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1B3C803E"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7B10929A"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45D5141B"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2895B33"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4ECB93C" w14:textId="77777777" w:rsidR="006C28DF" w:rsidRPr="006C28DF" w:rsidRDefault="006C28DF" w:rsidP="006C28DF">
            <w:pPr>
              <w:jc w:val="left"/>
              <w:rPr>
                <w:sz w:val="20"/>
                <w:szCs w:val="20"/>
                <w:lang w:val="en-CA" w:eastAsia="en-CA"/>
              </w:rPr>
            </w:pPr>
            <w:r w:rsidRPr="006C28DF">
              <w:rPr>
                <w:sz w:val="20"/>
                <w:szCs w:val="20"/>
                <w:lang w:val="en-CA" w:eastAsia="en-CA"/>
              </w:rPr>
              <w:t>Nepal</w:t>
            </w:r>
          </w:p>
        </w:tc>
        <w:tc>
          <w:tcPr>
            <w:tcW w:w="980" w:type="dxa"/>
            <w:tcBorders>
              <w:top w:val="nil"/>
              <w:left w:val="nil"/>
              <w:bottom w:val="single" w:sz="4" w:space="0" w:color="auto"/>
              <w:right w:val="single" w:sz="4" w:space="0" w:color="auto"/>
            </w:tcBorders>
            <w:shd w:val="clear" w:color="auto" w:fill="auto"/>
            <w:hideMark/>
          </w:tcPr>
          <w:p w14:paraId="088AF111"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554ECA7A"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ABA9817"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369882A" w14:textId="77777777" w:rsidR="006C28DF" w:rsidRPr="006C28DF" w:rsidRDefault="006C28DF" w:rsidP="006C28DF">
            <w:pPr>
              <w:jc w:val="left"/>
              <w:rPr>
                <w:sz w:val="20"/>
                <w:szCs w:val="20"/>
                <w:lang w:val="en-CA" w:eastAsia="en-CA"/>
              </w:rPr>
            </w:pPr>
            <w:r w:rsidRPr="006C28DF">
              <w:rPr>
                <w:sz w:val="20"/>
                <w:szCs w:val="20"/>
                <w:lang w:val="en-CA" w:eastAsia="en-CA"/>
              </w:rPr>
              <w:t>Stage II HPMP Preparation</w:t>
            </w:r>
          </w:p>
        </w:tc>
        <w:tc>
          <w:tcPr>
            <w:tcW w:w="1148" w:type="dxa"/>
            <w:tcBorders>
              <w:top w:val="nil"/>
              <w:left w:val="nil"/>
              <w:bottom w:val="single" w:sz="4" w:space="0" w:color="auto"/>
              <w:right w:val="single" w:sz="4" w:space="0" w:color="auto"/>
            </w:tcBorders>
            <w:shd w:val="clear" w:color="auto" w:fill="auto"/>
            <w:hideMark/>
          </w:tcPr>
          <w:p w14:paraId="32999CFC" w14:textId="77777777" w:rsidR="006C28DF" w:rsidRPr="006C28DF" w:rsidRDefault="006C28DF" w:rsidP="006C28DF">
            <w:pPr>
              <w:jc w:val="right"/>
              <w:rPr>
                <w:sz w:val="20"/>
                <w:szCs w:val="20"/>
                <w:lang w:val="en-CA" w:eastAsia="en-CA"/>
              </w:rPr>
            </w:pPr>
            <w:r w:rsidRPr="006C28DF">
              <w:rPr>
                <w:sz w:val="20"/>
                <w:szCs w:val="20"/>
                <w:lang w:val="en-CA" w:eastAsia="en-CA"/>
              </w:rPr>
              <w:t>10</w:t>
            </w:r>
          </w:p>
        </w:tc>
        <w:tc>
          <w:tcPr>
            <w:tcW w:w="976" w:type="dxa"/>
            <w:tcBorders>
              <w:top w:val="nil"/>
              <w:left w:val="nil"/>
              <w:bottom w:val="single" w:sz="4" w:space="0" w:color="auto"/>
              <w:right w:val="single" w:sz="4" w:space="0" w:color="auto"/>
            </w:tcBorders>
            <w:shd w:val="clear" w:color="auto" w:fill="auto"/>
            <w:hideMark/>
          </w:tcPr>
          <w:p w14:paraId="4A282E69"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7168A324"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A7C59F7" w14:textId="77777777" w:rsidR="006C28DF" w:rsidRPr="006C28DF" w:rsidRDefault="006C28DF" w:rsidP="006C28DF">
            <w:pPr>
              <w:jc w:val="left"/>
              <w:rPr>
                <w:sz w:val="20"/>
                <w:szCs w:val="20"/>
                <w:lang w:val="en-CA" w:eastAsia="en-CA"/>
              </w:rPr>
            </w:pPr>
            <w:r w:rsidRPr="006C28DF">
              <w:rPr>
                <w:sz w:val="20"/>
                <w:szCs w:val="20"/>
                <w:lang w:val="en-CA" w:eastAsia="en-CA"/>
              </w:rPr>
              <w:t>Nepal</w:t>
            </w:r>
          </w:p>
        </w:tc>
        <w:tc>
          <w:tcPr>
            <w:tcW w:w="980" w:type="dxa"/>
            <w:tcBorders>
              <w:top w:val="nil"/>
              <w:left w:val="nil"/>
              <w:bottom w:val="single" w:sz="4" w:space="0" w:color="auto"/>
              <w:right w:val="single" w:sz="4" w:space="0" w:color="auto"/>
            </w:tcBorders>
            <w:shd w:val="clear" w:color="auto" w:fill="auto"/>
            <w:hideMark/>
          </w:tcPr>
          <w:p w14:paraId="3F94398A"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47047B0"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527AFBA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31467BE"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50DCC175"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3FF692C0"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F3EAD3E"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5647A2A6" w14:textId="77777777" w:rsidR="006C28DF" w:rsidRPr="006C28DF" w:rsidRDefault="006C28DF" w:rsidP="006C28DF">
            <w:pPr>
              <w:jc w:val="left"/>
              <w:rPr>
                <w:sz w:val="20"/>
                <w:szCs w:val="20"/>
                <w:lang w:val="en-CA" w:eastAsia="en-CA"/>
              </w:rPr>
            </w:pPr>
            <w:r w:rsidRPr="006C28DF">
              <w:rPr>
                <w:sz w:val="20"/>
                <w:szCs w:val="20"/>
                <w:lang w:val="en-CA" w:eastAsia="en-CA"/>
              </w:rPr>
              <w:t>Nicaragua</w:t>
            </w:r>
          </w:p>
        </w:tc>
        <w:tc>
          <w:tcPr>
            <w:tcW w:w="980" w:type="dxa"/>
            <w:tcBorders>
              <w:top w:val="nil"/>
              <w:left w:val="nil"/>
              <w:bottom w:val="single" w:sz="4" w:space="0" w:color="auto"/>
              <w:right w:val="single" w:sz="4" w:space="0" w:color="auto"/>
            </w:tcBorders>
            <w:shd w:val="clear" w:color="auto" w:fill="auto"/>
            <w:hideMark/>
          </w:tcPr>
          <w:p w14:paraId="15379CD7"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188921D"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3F5A2A3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1135FD9"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5F50BAB5"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37179868"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13DB4B5"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288E6BC" w14:textId="77777777" w:rsidR="006C28DF" w:rsidRPr="006C28DF" w:rsidRDefault="006C28DF" w:rsidP="006C28DF">
            <w:pPr>
              <w:jc w:val="left"/>
              <w:rPr>
                <w:sz w:val="20"/>
                <w:szCs w:val="20"/>
                <w:lang w:val="en-CA" w:eastAsia="en-CA"/>
              </w:rPr>
            </w:pPr>
            <w:r w:rsidRPr="006C28DF">
              <w:rPr>
                <w:sz w:val="20"/>
                <w:szCs w:val="20"/>
                <w:lang w:val="en-CA" w:eastAsia="en-CA"/>
              </w:rPr>
              <w:t>Nicaragua</w:t>
            </w:r>
          </w:p>
        </w:tc>
        <w:tc>
          <w:tcPr>
            <w:tcW w:w="980" w:type="dxa"/>
            <w:tcBorders>
              <w:top w:val="nil"/>
              <w:left w:val="nil"/>
              <w:bottom w:val="single" w:sz="4" w:space="0" w:color="auto"/>
              <w:right w:val="single" w:sz="4" w:space="0" w:color="auto"/>
            </w:tcBorders>
            <w:shd w:val="clear" w:color="auto" w:fill="auto"/>
            <w:hideMark/>
          </w:tcPr>
          <w:p w14:paraId="19089184"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78C338E9"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46B392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07D8156"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79D7A22C"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60755B55"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3AA0E0F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74A3BA7" w14:textId="630FD8E0" w:rsidR="006C28DF" w:rsidRPr="006C28DF" w:rsidRDefault="006C28DF" w:rsidP="006C28DF">
            <w:pPr>
              <w:jc w:val="left"/>
              <w:rPr>
                <w:sz w:val="20"/>
                <w:szCs w:val="20"/>
                <w:lang w:val="en-CA" w:eastAsia="en-CA"/>
              </w:rPr>
            </w:pPr>
            <w:r w:rsidRPr="006C28DF">
              <w:rPr>
                <w:sz w:val="20"/>
                <w:szCs w:val="20"/>
                <w:lang w:val="en-CA" w:eastAsia="en-CA"/>
              </w:rPr>
              <w:t>Nicaragua</w:t>
            </w:r>
            <w:r w:rsidR="002C3CFF">
              <w:rPr>
                <w:sz w:val="20"/>
                <w:szCs w:val="20"/>
                <w:lang w:val="en-CA" w:eastAsia="en-CA"/>
              </w:rPr>
              <w:t>*</w:t>
            </w:r>
          </w:p>
        </w:tc>
        <w:tc>
          <w:tcPr>
            <w:tcW w:w="980" w:type="dxa"/>
            <w:tcBorders>
              <w:top w:val="nil"/>
              <w:left w:val="nil"/>
              <w:bottom w:val="single" w:sz="4" w:space="0" w:color="auto"/>
              <w:right w:val="single" w:sz="4" w:space="0" w:color="auto"/>
            </w:tcBorders>
            <w:shd w:val="clear" w:color="auto" w:fill="auto"/>
            <w:hideMark/>
          </w:tcPr>
          <w:p w14:paraId="45DF3C7A"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01FE0C0"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01FDE3B8"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0415C5A4" w14:textId="77777777" w:rsidR="006C28DF" w:rsidRPr="006C28DF" w:rsidRDefault="006C28DF" w:rsidP="006C28DF">
            <w:pPr>
              <w:jc w:val="left"/>
              <w:rPr>
                <w:sz w:val="20"/>
                <w:szCs w:val="20"/>
                <w:lang w:val="en-CA" w:eastAsia="en-CA"/>
              </w:rPr>
            </w:pPr>
            <w:r w:rsidRPr="006C28DF">
              <w:rPr>
                <w:sz w:val="20"/>
                <w:szCs w:val="20"/>
                <w:lang w:val="en-CA" w:eastAsia="en-CA"/>
              </w:rPr>
              <w:t>Enabling activities</w:t>
            </w:r>
          </w:p>
        </w:tc>
        <w:tc>
          <w:tcPr>
            <w:tcW w:w="1148" w:type="dxa"/>
            <w:tcBorders>
              <w:top w:val="nil"/>
              <w:left w:val="nil"/>
              <w:bottom w:val="single" w:sz="4" w:space="0" w:color="auto"/>
              <w:right w:val="single" w:sz="4" w:space="0" w:color="auto"/>
            </w:tcBorders>
            <w:shd w:val="clear" w:color="auto" w:fill="auto"/>
            <w:hideMark/>
          </w:tcPr>
          <w:p w14:paraId="524BD61B" w14:textId="77777777" w:rsidR="006C28DF" w:rsidRPr="006C28DF" w:rsidRDefault="006C28DF" w:rsidP="006C28DF">
            <w:pPr>
              <w:jc w:val="right"/>
              <w:rPr>
                <w:sz w:val="20"/>
                <w:szCs w:val="20"/>
                <w:lang w:val="en-CA" w:eastAsia="en-CA"/>
              </w:rPr>
            </w:pPr>
            <w:r w:rsidRPr="006C28DF">
              <w:rPr>
                <w:sz w:val="20"/>
                <w:szCs w:val="20"/>
                <w:lang w:val="en-CA" w:eastAsia="en-CA"/>
              </w:rPr>
              <w:t>102</w:t>
            </w:r>
          </w:p>
        </w:tc>
        <w:tc>
          <w:tcPr>
            <w:tcW w:w="976" w:type="dxa"/>
            <w:tcBorders>
              <w:top w:val="nil"/>
              <w:left w:val="nil"/>
              <w:bottom w:val="single" w:sz="4" w:space="0" w:color="auto"/>
              <w:right w:val="single" w:sz="4" w:space="0" w:color="auto"/>
            </w:tcBorders>
            <w:shd w:val="clear" w:color="auto" w:fill="auto"/>
            <w:hideMark/>
          </w:tcPr>
          <w:p w14:paraId="4261BD1D"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7D7F5F4"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48E459D9" w14:textId="77777777" w:rsidR="006C28DF" w:rsidRPr="006C28DF" w:rsidRDefault="006C28DF" w:rsidP="006C28DF">
            <w:pPr>
              <w:jc w:val="left"/>
              <w:rPr>
                <w:sz w:val="20"/>
                <w:szCs w:val="20"/>
                <w:lang w:val="en-CA" w:eastAsia="en-CA"/>
              </w:rPr>
            </w:pPr>
            <w:r w:rsidRPr="006C28DF">
              <w:rPr>
                <w:sz w:val="20"/>
                <w:szCs w:val="20"/>
                <w:lang w:val="en-CA" w:eastAsia="en-CA"/>
              </w:rPr>
              <w:lastRenderedPageBreak/>
              <w:t>Niger (the)</w:t>
            </w:r>
          </w:p>
        </w:tc>
        <w:tc>
          <w:tcPr>
            <w:tcW w:w="980" w:type="dxa"/>
            <w:tcBorders>
              <w:top w:val="nil"/>
              <w:left w:val="nil"/>
              <w:bottom w:val="single" w:sz="4" w:space="0" w:color="auto"/>
              <w:right w:val="single" w:sz="4" w:space="0" w:color="auto"/>
            </w:tcBorders>
            <w:shd w:val="clear" w:color="auto" w:fill="auto"/>
            <w:hideMark/>
          </w:tcPr>
          <w:p w14:paraId="7B57B10C"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E3003AE"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30A20D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69A06CE"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0E0409F8" w14:textId="77777777" w:rsidR="006C28DF" w:rsidRPr="006C28DF" w:rsidRDefault="006C28DF" w:rsidP="006C28DF">
            <w:pPr>
              <w:jc w:val="right"/>
              <w:rPr>
                <w:sz w:val="20"/>
                <w:szCs w:val="20"/>
                <w:lang w:val="en-CA" w:eastAsia="en-CA"/>
              </w:rPr>
            </w:pPr>
            <w:r w:rsidRPr="006C28DF">
              <w:rPr>
                <w:sz w:val="20"/>
                <w:szCs w:val="20"/>
                <w:lang w:val="en-CA" w:eastAsia="en-CA"/>
              </w:rPr>
              <w:t>141</w:t>
            </w:r>
          </w:p>
        </w:tc>
        <w:tc>
          <w:tcPr>
            <w:tcW w:w="976" w:type="dxa"/>
            <w:tcBorders>
              <w:top w:val="nil"/>
              <w:left w:val="nil"/>
              <w:bottom w:val="single" w:sz="4" w:space="0" w:color="auto"/>
              <w:right w:val="single" w:sz="4" w:space="0" w:color="auto"/>
            </w:tcBorders>
            <w:shd w:val="clear" w:color="auto" w:fill="auto"/>
            <w:hideMark/>
          </w:tcPr>
          <w:p w14:paraId="4BFF2FC2" w14:textId="77777777" w:rsidR="006C28DF" w:rsidRPr="006C28DF" w:rsidRDefault="006C28DF" w:rsidP="006C28DF">
            <w:pPr>
              <w:jc w:val="right"/>
              <w:rPr>
                <w:sz w:val="20"/>
                <w:szCs w:val="20"/>
                <w:lang w:val="en-CA" w:eastAsia="en-CA"/>
              </w:rPr>
            </w:pPr>
            <w:r w:rsidRPr="006C28DF">
              <w:rPr>
                <w:sz w:val="20"/>
                <w:szCs w:val="20"/>
                <w:lang w:val="en-CA" w:eastAsia="en-CA"/>
              </w:rPr>
              <w:t>1.3</w:t>
            </w:r>
          </w:p>
        </w:tc>
      </w:tr>
      <w:tr w:rsidR="006C28DF" w:rsidRPr="006C28DF" w14:paraId="4761E387"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53034843" w14:textId="77777777" w:rsidR="006C28DF" w:rsidRPr="006C28DF" w:rsidRDefault="006C28DF" w:rsidP="006C28DF">
            <w:pPr>
              <w:jc w:val="left"/>
              <w:rPr>
                <w:sz w:val="20"/>
                <w:szCs w:val="20"/>
                <w:lang w:val="en-CA" w:eastAsia="en-CA"/>
              </w:rPr>
            </w:pPr>
            <w:r w:rsidRPr="006C28DF">
              <w:rPr>
                <w:sz w:val="20"/>
                <w:szCs w:val="20"/>
                <w:lang w:val="en-CA" w:eastAsia="en-CA"/>
              </w:rPr>
              <w:t>Niger (the)</w:t>
            </w:r>
          </w:p>
        </w:tc>
        <w:tc>
          <w:tcPr>
            <w:tcW w:w="980" w:type="dxa"/>
            <w:tcBorders>
              <w:top w:val="nil"/>
              <w:left w:val="nil"/>
              <w:bottom w:val="single" w:sz="4" w:space="0" w:color="auto"/>
              <w:right w:val="single" w:sz="4" w:space="0" w:color="auto"/>
            </w:tcBorders>
            <w:shd w:val="clear" w:color="auto" w:fill="auto"/>
            <w:hideMark/>
          </w:tcPr>
          <w:p w14:paraId="3FF81C2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C5C56D7"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D7C2DB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FF223B0"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174FF3ED"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714D8E88"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E9E38A4"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1629015" w14:textId="77777777" w:rsidR="006C28DF" w:rsidRPr="006C28DF" w:rsidRDefault="006C28DF" w:rsidP="006C28DF">
            <w:pPr>
              <w:jc w:val="left"/>
              <w:rPr>
                <w:sz w:val="20"/>
                <w:szCs w:val="20"/>
                <w:lang w:val="en-CA" w:eastAsia="en-CA"/>
              </w:rPr>
            </w:pPr>
            <w:r w:rsidRPr="006C28DF">
              <w:rPr>
                <w:sz w:val="20"/>
                <w:szCs w:val="20"/>
                <w:lang w:val="en-CA" w:eastAsia="en-CA"/>
              </w:rPr>
              <w:t>Niger (the)</w:t>
            </w:r>
          </w:p>
        </w:tc>
        <w:tc>
          <w:tcPr>
            <w:tcW w:w="980" w:type="dxa"/>
            <w:tcBorders>
              <w:top w:val="nil"/>
              <w:left w:val="nil"/>
              <w:bottom w:val="single" w:sz="4" w:space="0" w:color="auto"/>
              <w:right w:val="single" w:sz="4" w:space="0" w:color="auto"/>
            </w:tcBorders>
            <w:shd w:val="clear" w:color="auto" w:fill="auto"/>
            <w:hideMark/>
          </w:tcPr>
          <w:p w14:paraId="0D3E2789"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247F6533"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65A125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87F8CE0" w14:textId="77777777" w:rsidR="006C28DF" w:rsidRPr="006C28DF" w:rsidRDefault="006C28DF" w:rsidP="006C28DF">
            <w:pPr>
              <w:jc w:val="left"/>
              <w:rPr>
                <w:sz w:val="20"/>
                <w:szCs w:val="20"/>
                <w:lang w:val="en-CA" w:eastAsia="en-CA"/>
              </w:rPr>
            </w:pPr>
            <w:r w:rsidRPr="006C28DF">
              <w:rPr>
                <w:sz w:val="20"/>
                <w:szCs w:val="20"/>
                <w:lang w:val="en-CA" w:eastAsia="en-CA"/>
              </w:rPr>
              <w:t>HPMP - Stage I</w:t>
            </w:r>
          </w:p>
        </w:tc>
        <w:tc>
          <w:tcPr>
            <w:tcW w:w="1148" w:type="dxa"/>
            <w:tcBorders>
              <w:top w:val="nil"/>
              <w:left w:val="nil"/>
              <w:bottom w:val="single" w:sz="4" w:space="0" w:color="auto"/>
              <w:right w:val="single" w:sz="4" w:space="0" w:color="auto"/>
            </w:tcBorders>
            <w:shd w:val="clear" w:color="auto" w:fill="auto"/>
            <w:hideMark/>
          </w:tcPr>
          <w:p w14:paraId="204C0FFE" w14:textId="77777777" w:rsidR="006C28DF" w:rsidRPr="006C28DF" w:rsidRDefault="006C28DF" w:rsidP="006C28DF">
            <w:pPr>
              <w:jc w:val="right"/>
              <w:rPr>
                <w:sz w:val="20"/>
                <w:szCs w:val="20"/>
                <w:lang w:val="en-CA" w:eastAsia="en-CA"/>
              </w:rPr>
            </w:pPr>
            <w:r w:rsidRPr="006C28DF">
              <w:rPr>
                <w:sz w:val="20"/>
                <w:szCs w:val="20"/>
                <w:lang w:val="en-CA" w:eastAsia="en-CA"/>
              </w:rPr>
              <w:t>97</w:t>
            </w:r>
          </w:p>
        </w:tc>
        <w:tc>
          <w:tcPr>
            <w:tcW w:w="976" w:type="dxa"/>
            <w:tcBorders>
              <w:top w:val="nil"/>
              <w:left w:val="nil"/>
              <w:bottom w:val="single" w:sz="4" w:space="0" w:color="auto"/>
              <w:right w:val="single" w:sz="4" w:space="0" w:color="auto"/>
            </w:tcBorders>
            <w:shd w:val="clear" w:color="auto" w:fill="auto"/>
            <w:hideMark/>
          </w:tcPr>
          <w:p w14:paraId="210E59F8" w14:textId="77777777" w:rsidR="006C28DF" w:rsidRPr="006C28DF" w:rsidRDefault="006C28DF" w:rsidP="006C28DF">
            <w:pPr>
              <w:jc w:val="right"/>
              <w:rPr>
                <w:sz w:val="20"/>
                <w:szCs w:val="20"/>
                <w:lang w:val="en-CA" w:eastAsia="en-CA"/>
              </w:rPr>
            </w:pPr>
            <w:r w:rsidRPr="006C28DF">
              <w:rPr>
                <w:sz w:val="20"/>
                <w:szCs w:val="20"/>
                <w:lang w:val="en-CA" w:eastAsia="en-CA"/>
              </w:rPr>
              <w:t>0.9</w:t>
            </w:r>
          </w:p>
        </w:tc>
      </w:tr>
      <w:tr w:rsidR="006C28DF" w:rsidRPr="006C28DF" w14:paraId="425A77D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6EFB23C" w14:textId="77777777" w:rsidR="006C28DF" w:rsidRPr="006C28DF" w:rsidRDefault="006C28DF" w:rsidP="006C28DF">
            <w:pPr>
              <w:jc w:val="left"/>
              <w:rPr>
                <w:sz w:val="20"/>
                <w:szCs w:val="20"/>
                <w:lang w:val="en-CA" w:eastAsia="en-CA"/>
              </w:rPr>
            </w:pPr>
            <w:r w:rsidRPr="006C28DF">
              <w:rPr>
                <w:sz w:val="20"/>
                <w:szCs w:val="20"/>
                <w:lang w:val="en-CA" w:eastAsia="en-CA"/>
              </w:rPr>
              <w:t>Niger (the)</w:t>
            </w:r>
          </w:p>
        </w:tc>
        <w:tc>
          <w:tcPr>
            <w:tcW w:w="980" w:type="dxa"/>
            <w:tcBorders>
              <w:top w:val="nil"/>
              <w:left w:val="nil"/>
              <w:bottom w:val="single" w:sz="4" w:space="0" w:color="auto"/>
              <w:right w:val="single" w:sz="4" w:space="0" w:color="auto"/>
            </w:tcBorders>
            <w:shd w:val="clear" w:color="auto" w:fill="auto"/>
            <w:hideMark/>
          </w:tcPr>
          <w:p w14:paraId="44958CA7"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3841A8E0"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9F87AC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C8B2997"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61C76503" w14:textId="77777777" w:rsidR="006C28DF" w:rsidRPr="006C28DF" w:rsidRDefault="006C28DF" w:rsidP="006C28DF">
            <w:pPr>
              <w:jc w:val="right"/>
              <w:rPr>
                <w:sz w:val="20"/>
                <w:szCs w:val="20"/>
                <w:lang w:val="en-CA" w:eastAsia="en-CA"/>
              </w:rPr>
            </w:pPr>
            <w:r w:rsidRPr="006C28DF">
              <w:rPr>
                <w:sz w:val="20"/>
                <w:szCs w:val="20"/>
                <w:lang w:val="en-CA" w:eastAsia="en-CA"/>
              </w:rPr>
              <w:t>43</w:t>
            </w:r>
          </w:p>
        </w:tc>
        <w:tc>
          <w:tcPr>
            <w:tcW w:w="976" w:type="dxa"/>
            <w:tcBorders>
              <w:top w:val="nil"/>
              <w:left w:val="nil"/>
              <w:bottom w:val="single" w:sz="4" w:space="0" w:color="auto"/>
              <w:right w:val="single" w:sz="4" w:space="0" w:color="auto"/>
            </w:tcBorders>
            <w:shd w:val="clear" w:color="auto" w:fill="auto"/>
            <w:hideMark/>
          </w:tcPr>
          <w:p w14:paraId="397B1828"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17927C5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3B5687A" w14:textId="77777777" w:rsidR="006C28DF" w:rsidRPr="006C28DF" w:rsidRDefault="006C28DF" w:rsidP="006C28DF">
            <w:pPr>
              <w:jc w:val="left"/>
              <w:rPr>
                <w:sz w:val="20"/>
                <w:szCs w:val="20"/>
                <w:lang w:val="en-CA" w:eastAsia="en-CA"/>
              </w:rPr>
            </w:pPr>
            <w:r w:rsidRPr="006C28DF">
              <w:rPr>
                <w:sz w:val="20"/>
                <w:szCs w:val="20"/>
                <w:lang w:val="en-CA" w:eastAsia="en-CA"/>
              </w:rPr>
              <w:t>Nigeria</w:t>
            </w:r>
          </w:p>
        </w:tc>
        <w:tc>
          <w:tcPr>
            <w:tcW w:w="980" w:type="dxa"/>
            <w:tcBorders>
              <w:top w:val="nil"/>
              <w:left w:val="nil"/>
              <w:bottom w:val="single" w:sz="4" w:space="0" w:color="auto"/>
              <w:right w:val="single" w:sz="4" w:space="0" w:color="auto"/>
            </w:tcBorders>
            <w:shd w:val="clear" w:color="auto" w:fill="auto"/>
            <w:hideMark/>
          </w:tcPr>
          <w:p w14:paraId="0175C839"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1E8ED327"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68474B98"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122BF60D"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B8B1B34" w14:textId="77777777" w:rsidR="006C28DF" w:rsidRPr="006C28DF" w:rsidRDefault="006C28DF" w:rsidP="006C28DF">
            <w:pPr>
              <w:jc w:val="right"/>
              <w:rPr>
                <w:sz w:val="20"/>
                <w:szCs w:val="20"/>
                <w:lang w:val="en-CA" w:eastAsia="en-CA"/>
              </w:rPr>
            </w:pPr>
            <w:r w:rsidRPr="006C28DF">
              <w:rPr>
                <w:sz w:val="20"/>
                <w:szCs w:val="20"/>
                <w:lang w:val="en-CA" w:eastAsia="en-CA"/>
              </w:rPr>
              <w:t>356</w:t>
            </w:r>
          </w:p>
        </w:tc>
        <w:tc>
          <w:tcPr>
            <w:tcW w:w="976" w:type="dxa"/>
            <w:tcBorders>
              <w:top w:val="nil"/>
              <w:left w:val="nil"/>
              <w:bottom w:val="single" w:sz="4" w:space="0" w:color="auto"/>
              <w:right w:val="single" w:sz="4" w:space="0" w:color="auto"/>
            </w:tcBorders>
            <w:shd w:val="clear" w:color="auto" w:fill="auto"/>
            <w:hideMark/>
          </w:tcPr>
          <w:p w14:paraId="629F627F"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3385E962"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9B956D8" w14:textId="77777777" w:rsidR="006C28DF" w:rsidRPr="006C28DF" w:rsidRDefault="006C28DF" w:rsidP="006C28DF">
            <w:pPr>
              <w:jc w:val="left"/>
              <w:rPr>
                <w:sz w:val="20"/>
                <w:szCs w:val="20"/>
                <w:lang w:val="en-CA" w:eastAsia="en-CA"/>
              </w:rPr>
            </w:pPr>
            <w:r w:rsidRPr="006C28DF">
              <w:rPr>
                <w:sz w:val="20"/>
                <w:szCs w:val="20"/>
                <w:lang w:val="en-CA" w:eastAsia="en-CA"/>
              </w:rPr>
              <w:t>Niue</w:t>
            </w:r>
          </w:p>
        </w:tc>
        <w:tc>
          <w:tcPr>
            <w:tcW w:w="980" w:type="dxa"/>
            <w:tcBorders>
              <w:top w:val="nil"/>
              <w:left w:val="nil"/>
              <w:bottom w:val="single" w:sz="4" w:space="0" w:color="auto"/>
              <w:right w:val="single" w:sz="4" w:space="0" w:color="auto"/>
            </w:tcBorders>
            <w:shd w:val="clear" w:color="auto" w:fill="auto"/>
            <w:hideMark/>
          </w:tcPr>
          <w:p w14:paraId="0645879F"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470887F"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5C3150A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AEFA1FB"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06260470"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7B84DFAD"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D2A2A70"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357200E" w14:textId="77777777" w:rsidR="006C28DF" w:rsidRPr="006C28DF" w:rsidRDefault="006C28DF" w:rsidP="006C28DF">
            <w:pPr>
              <w:jc w:val="left"/>
              <w:rPr>
                <w:sz w:val="20"/>
                <w:szCs w:val="20"/>
                <w:lang w:val="en-CA" w:eastAsia="en-CA"/>
              </w:rPr>
            </w:pPr>
            <w:r w:rsidRPr="006C28DF">
              <w:rPr>
                <w:sz w:val="20"/>
                <w:szCs w:val="20"/>
                <w:lang w:val="en-CA" w:eastAsia="en-CA"/>
              </w:rPr>
              <w:t>Niue</w:t>
            </w:r>
          </w:p>
        </w:tc>
        <w:tc>
          <w:tcPr>
            <w:tcW w:w="980" w:type="dxa"/>
            <w:tcBorders>
              <w:top w:val="nil"/>
              <w:left w:val="nil"/>
              <w:bottom w:val="single" w:sz="4" w:space="0" w:color="auto"/>
              <w:right w:val="single" w:sz="4" w:space="0" w:color="auto"/>
            </w:tcBorders>
            <w:shd w:val="clear" w:color="auto" w:fill="auto"/>
            <w:hideMark/>
          </w:tcPr>
          <w:p w14:paraId="30758F8E"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9110597"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0D1044E1"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42F291B"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6048C194"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623743A0"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339A97B"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55AAF84E" w14:textId="77777777" w:rsidR="006C28DF" w:rsidRPr="006C28DF" w:rsidRDefault="006C28DF" w:rsidP="006C28DF">
            <w:pPr>
              <w:jc w:val="left"/>
              <w:rPr>
                <w:sz w:val="20"/>
                <w:szCs w:val="20"/>
                <w:lang w:val="en-CA" w:eastAsia="en-CA"/>
              </w:rPr>
            </w:pPr>
            <w:r w:rsidRPr="006C28DF">
              <w:rPr>
                <w:sz w:val="20"/>
                <w:szCs w:val="20"/>
                <w:lang w:val="en-CA" w:eastAsia="en-CA"/>
              </w:rPr>
              <w:t>Oman</w:t>
            </w:r>
          </w:p>
        </w:tc>
        <w:tc>
          <w:tcPr>
            <w:tcW w:w="980" w:type="dxa"/>
            <w:tcBorders>
              <w:top w:val="nil"/>
              <w:left w:val="nil"/>
              <w:bottom w:val="single" w:sz="4" w:space="0" w:color="auto"/>
              <w:right w:val="single" w:sz="4" w:space="0" w:color="auto"/>
            </w:tcBorders>
            <w:shd w:val="clear" w:color="auto" w:fill="auto"/>
            <w:hideMark/>
          </w:tcPr>
          <w:p w14:paraId="1B04BEA6"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012B8E1"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094B49A9"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8559B88"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(implementation)</w:t>
            </w:r>
          </w:p>
        </w:tc>
        <w:tc>
          <w:tcPr>
            <w:tcW w:w="1148" w:type="dxa"/>
            <w:tcBorders>
              <w:top w:val="nil"/>
              <w:left w:val="nil"/>
              <w:bottom w:val="single" w:sz="4" w:space="0" w:color="auto"/>
              <w:right w:val="single" w:sz="4" w:space="0" w:color="auto"/>
            </w:tcBorders>
            <w:shd w:val="clear" w:color="auto" w:fill="auto"/>
            <w:hideMark/>
          </w:tcPr>
          <w:p w14:paraId="773C80A7" w14:textId="77777777" w:rsidR="006C28DF" w:rsidRPr="006C28DF" w:rsidRDefault="006C28DF" w:rsidP="006C28DF">
            <w:pPr>
              <w:jc w:val="right"/>
              <w:rPr>
                <w:sz w:val="20"/>
                <w:szCs w:val="20"/>
                <w:lang w:val="en-CA" w:eastAsia="en-CA"/>
              </w:rPr>
            </w:pPr>
            <w:r w:rsidRPr="006C28DF">
              <w:rPr>
                <w:sz w:val="20"/>
                <w:szCs w:val="20"/>
                <w:lang w:val="en-CA" w:eastAsia="en-CA"/>
              </w:rPr>
              <w:t>67</w:t>
            </w:r>
          </w:p>
        </w:tc>
        <w:tc>
          <w:tcPr>
            <w:tcW w:w="976" w:type="dxa"/>
            <w:tcBorders>
              <w:top w:val="nil"/>
              <w:left w:val="nil"/>
              <w:bottom w:val="single" w:sz="4" w:space="0" w:color="auto"/>
              <w:right w:val="single" w:sz="4" w:space="0" w:color="auto"/>
            </w:tcBorders>
            <w:shd w:val="clear" w:color="auto" w:fill="auto"/>
            <w:hideMark/>
          </w:tcPr>
          <w:p w14:paraId="6720751C" w14:textId="77777777" w:rsidR="006C28DF" w:rsidRPr="006C28DF" w:rsidRDefault="006C28DF" w:rsidP="006C28DF">
            <w:pPr>
              <w:jc w:val="right"/>
              <w:rPr>
                <w:sz w:val="20"/>
                <w:szCs w:val="20"/>
                <w:lang w:val="en-CA" w:eastAsia="en-CA"/>
              </w:rPr>
            </w:pPr>
            <w:r w:rsidRPr="006C28DF">
              <w:rPr>
                <w:sz w:val="20"/>
                <w:szCs w:val="20"/>
                <w:lang w:val="en-CA" w:eastAsia="en-CA"/>
              </w:rPr>
              <w:t>0.7</w:t>
            </w:r>
          </w:p>
        </w:tc>
      </w:tr>
      <w:tr w:rsidR="006C28DF" w:rsidRPr="006C28DF" w14:paraId="747366C3"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627CC9E" w14:textId="77777777" w:rsidR="006C28DF" w:rsidRPr="006C28DF" w:rsidRDefault="006C28DF" w:rsidP="006C28DF">
            <w:pPr>
              <w:jc w:val="left"/>
              <w:rPr>
                <w:sz w:val="20"/>
                <w:szCs w:val="20"/>
                <w:lang w:val="en-CA" w:eastAsia="en-CA"/>
              </w:rPr>
            </w:pPr>
            <w:r w:rsidRPr="006C28DF">
              <w:rPr>
                <w:sz w:val="20"/>
                <w:szCs w:val="20"/>
                <w:lang w:val="en-CA" w:eastAsia="en-CA"/>
              </w:rPr>
              <w:t>Oman</w:t>
            </w:r>
          </w:p>
        </w:tc>
        <w:tc>
          <w:tcPr>
            <w:tcW w:w="980" w:type="dxa"/>
            <w:tcBorders>
              <w:top w:val="nil"/>
              <w:left w:val="nil"/>
              <w:bottom w:val="single" w:sz="4" w:space="0" w:color="auto"/>
              <w:right w:val="single" w:sz="4" w:space="0" w:color="auto"/>
            </w:tcBorders>
            <w:shd w:val="clear" w:color="auto" w:fill="auto"/>
            <w:hideMark/>
          </w:tcPr>
          <w:p w14:paraId="2FE1A9AF"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7F3761B5"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0AAC535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007054F" w14:textId="77777777" w:rsidR="006C28DF" w:rsidRPr="006C28DF" w:rsidRDefault="006C28DF" w:rsidP="006C28DF">
            <w:pPr>
              <w:jc w:val="left"/>
              <w:rPr>
                <w:sz w:val="20"/>
                <w:szCs w:val="20"/>
                <w:lang w:val="en-CA" w:eastAsia="en-CA"/>
              </w:rPr>
            </w:pPr>
            <w:r w:rsidRPr="006C28DF">
              <w:rPr>
                <w:sz w:val="20"/>
                <w:szCs w:val="20"/>
                <w:lang w:val="en-CA" w:eastAsia="en-CA"/>
              </w:rPr>
              <w:t>HPMP - Stage II</w:t>
            </w:r>
          </w:p>
        </w:tc>
        <w:tc>
          <w:tcPr>
            <w:tcW w:w="1148" w:type="dxa"/>
            <w:tcBorders>
              <w:top w:val="nil"/>
              <w:left w:val="nil"/>
              <w:bottom w:val="single" w:sz="4" w:space="0" w:color="auto"/>
              <w:right w:val="single" w:sz="4" w:space="0" w:color="auto"/>
            </w:tcBorders>
            <w:shd w:val="clear" w:color="auto" w:fill="auto"/>
            <w:hideMark/>
          </w:tcPr>
          <w:p w14:paraId="7863581A" w14:textId="77777777" w:rsidR="006C28DF" w:rsidRPr="006C28DF" w:rsidRDefault="006C28DF" w:rsidP="006C28DF">
            <w:pPr>
              <w:jc w:val="right"/>
              <w:rPr>
                <w:sz w:val="20"/>
                <w:szCs w:val="20"/>
                <w:lang w:val="en-CA" w:eastAsia="en-CA"/>
              </w:rPr>
            </w:pPr>
            <w:r w:rsidRPr="006C28DF">
              <w:rPr>
                <w:sz w:val="20"/>
                <w:szCs w:val="20"/>
                <w:lang w:val="en-CA" w:eastAsia="en-CA"/>
              </w:rPr>
              <w:t>54</w:t>
            </w:r>
          </w:p>
        </w:tc>
        <w:tc>
          <w:tcPr>
            <w:tcW w:w="976" w:type="dxa"/>
            <w:tcBorders>
              <w:top w:val="nil"/>
              <w:left w:val="nil"/>
              <w:bottom w:val="single" w:sz="4" w:space="0" w:color="auto"/>
              <w:right w:val="single" w:sz="4" w:space="0" w:color="auto"/>
            </w:tcBorders>
            <w:shd w:val="clear" w:color="auto" w:fill="auto"/>
            <w:hideMark/>
          </w:tcPr>
          <w:p w14:paraId="1637C453" w14:textId="77777777" w:rsidR="006C28DF" w:rsidRPr="006C28DF" w:rsidRDefault="006C28DF" w:rsidP="006C28DF">
            <w:pPr>
              <w:jc w:val="right"/>
              <w:rPr>
                <w:sz w:val="20"/>
                <w:szCs w:val="20"/>
                <w:lang w:val="en-CA" w:eastAsia="en-CA"/>
              </w:rPr>
            </w:pPr>
            <w:r w:rsidRPr="006C28DF">
              <w:rPr>
                <w:sz w:val="20"/>
                <w:szCs w:val="20"/>
                <w:lang w:val="en-CA" w:eastAsia="en-CA"/>
              </w:rPr>
              <w:t>0.6</w:t>
            </w:r>
          </w:p>
        </w:tc>
      </w:tr>
      <w:tr w:rsidR="006C28DF" w:rsidRPr="006C28DF" w14:paraId="390F9A73"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A3A330A" w14:textId="77777777" w:rsidR="006C28DF" w:rsidRPr="006C28DF" w:rsidRDefault="006C28DF" w:rsidP="006C28DF">
            <w:pPr>
              <w:jc w:val="left"/>
              <w:rPr>
                <w:sz w:val="20"/>
                <w:szCs w:val="20"/>
                <w:lang w:val="en-CA" w:eastAsia="en-CA"/>
              </w:rPr>
            </w:pPr>
            <w:r w:rsidRPr="006C28DF">
              <w:rPr>
                <w:sz w:val="20"/>
                <w:szCs w:val="20"/>
                <w:lang w:val="en-CA" w:eastAsia="en-CA"/>
              </w:rPr>
              <w:t>Oman</w:t>
            </w:r>
          </w:p>
        </w:tc>
        <w:tc>
          <w:tcPr>
            <w:tcW w:w="980" w:type="dxa"/>
            <w:tcBorders>
              <w:top w:val="nil"/>
              <w:left w:val="nil"/>
              <w:bottom w:val="single" w:sz="4" w:space="0" w:color="auto"/>
              <w:right w:val="single" w:sz="4" w:space="0" w:color="auto"/>
            </w:tcBorders>
            <w:shd w:val="clear" w:color="auto" w:fill="auto"/>
            <w:hideMark/>
          </w:tcPr>
          <w:p w14:paraId="75C4C532"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18CE02B5"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24A90D4"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71A2DBE5"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0FDAD9F4" w14:textId="77777777" w:rsidR="006C28DF" w:rsidRPr="006C28DF" w:rsidRDefault="006C28DF" w:rsidP="006C28DF">
            <w:pPr>
              <w:jc w:val="right"/>
              <w:rPr>
                <w:sz w:val="20"/>
                <w:szCs w:val="20"/>
                <w:lang w:val="en-CA" w:eastAsia="en-CA"/>
              </w:rPr>
            </w:pPr>
            <w:r w:rsidRPr="006C28DF">
              <w:rPr>
                <w:sz w:val="20"/>
                <w:szCs w:val="20"/>
                <w:lang w:val="en-CA" w:eastAsia="en-CA"/>
              </w:rPr>
              <w:t>94</w:t>
            </w:r>
          </w:p>
        </w:tc>
        <w:tc>
          <w:tcPr>
            <w:tcW w:w="976" w:type="dxa"/>
            <w:tcBorders>
              <w:top w:val="nil"/>
              <w:left w:val="nil"/>
              <w:bottom w:val="single" w:sz="4" w:space="0" w:color="auto"/>
              <w:right w:val="single" w:sz="4" w:space="0" w:color="auto"/>
            </w:tcBorders>
            <w:shd w:val="clear" w:color="auto" w:fill="auto"/>
            <w:hideMark/>
          </w:tcPr>
          <w:p w14:paraId="59E81F8F"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07FD194A"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6A4FE07" w14:textId="77777777" w:rsidR="006C28DF" w:rsidRPr="006C28DF" w:rsidRDefault="006C28DF" w:rsidP="006C28DF">
            <w:pPr>
              <w:jc w:val="left"/>
              <w:rPr>
                <w:sz w:val="20"/>
                <w:szCs w:val="20"/>
                <w:lang w:val="en-CA" w:eastAsia="en-CA"/>
              </w:rPr>
            </w:pPr>
            <w:r w:rsidRPr="006C28DF">
              <w:rPr>
                <w:sz w:val="20"/>
                <w:szCs w:val="20"/>
                <w:lang w:val="en-CA" w:eastAsia="en-CA"/>
              </w:rPr>
              <w:t>Pakistan</w:t>
            </w:r>
          </w:p>
        </w:tc>
        <w:tc>
          <w:tcPr>
            <w:tcW w:w="980" w:type="dxa"/>
            <w:tcBorders>
              <w:top w:val="nil"/>
              <w:left w:val="nil"/>
              <w:bottom w:val="single" w:sz="4" w:space="0" w:color="auto"/>
              <w:right w:val="single" w:sz="4" w:space="0" w:color="auto"/>
            </w:tcBorders>
            <w:shd w:val="clear" w:color="auto" w:fill="auto"/>
            <w:hideMark/>
          </w:tcPr>
          <w:p w14:paraId="22B21AA0"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5B43BED"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0E6BB7BC"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5746975"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(implementation)</w:t>
            </w:r>
          </w:p>
        </w:tc>
        <w:tc>
          <w:tcPr>
            <w:tcW w:w="1148" w:type="dxa"/>
            <w:tcBorders>
              <w:top w:val="nil"/>
              <w:left w:val="nil"/>
              <w:bottom w:val="single" w:sz="4" w:space="0" w:color="auto"/>
              <w:right w:val="single" w:sz="4" w:space="0" w:color="auto"/>
            </w:tcBorders>
            <w:shd w:val="clear" w:color="auto" w:fill="auto"/>
            <w:hideMark/>
          </w:tcPr>
          <w:p w14:paraId="6DFE9640" w14:textId="77777777" w:rsidR="006C28DF" w:rsidRPr="006C28DF" w:rsidRDefault="006C28DF" w:rsidP="006C28DF">
            <w:pPr>
              <w:jc w:val="right"/>
              <w:rPr>
                <w:sz w:val="20"/>
                <w:szCs w:val="20"/>
                <w:lang w:val="en-CA" w:eastAsia="en-CA"/>
              </w:rPr>
            </w:pPr>
            <w:r w:rsidRPr="006C28DF">
              <w:rPr>
                <w:sz w:val="20"/>
                <w:szCs w:val="20"/>
                <w:lang w:val="en-CA" w:eastAsia="en-CA"/>
              </w:rPr>
              <w:t>226</w:t>
            </w:r>
          </w:p>
        </w:tc>
        <w:tc>
          <w:tcPr>
            <w:tcW w:w="976" w:type="dxa"/>
            <w:tcBorders>
              <w:top w:val="nil"/>
              <w:left w:val="nil"/>
              <w:bottom w:val="single" w:sz="4" w:space="0" w:color="auto"/>
              <w:right w:val="single" w:sz="4" w:space="0" w:color="auto"/>
            </w:tcBorders>
            <w:shd w:val="clear" w:color="auto" w:fill="auto"/>
            <w:hideMark/>
          </w:tcPr>
          <w:p w14:paraId="5AD712E7" w14:textId="77777777" w:rsidR="006C28DF" w:rsidRPr="006C28DF" w:rsidRDefault="006C28DF" w:rsidP="006C28DF">
            <w:pPr>
              <w:jc w:val="right"/>
              <w:rPr>
                <w:sz w:val="20"/>
                <w:szCs w:val="20"/>
                <w:lang w:val="en-CA" w:eastAsia="en-CA"/>
              </w:rPr>
            </w:pPr>
            <w:r w:rsidRPr="006C28DF">
              <w:rPr>
                <w:sz w:val="20"/>
                <w:szCs w:val="20"/>
                <w:lang w:val="en-CA" w:eastAsia="en-CA"/>
              </w:rPr>
              <w:t>2.8</w:t>
            </w:r>
          </w:p>
        </w:tc>
      </w:tr>
      <w:tr w:rsidR="006C28DF" w:rsidRPr="006C28DF" w14:paraId="6A086C19"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3BFD88B" w14:textId="77777777" w:rsidR="006C28DF" w:rsidRPr="006C28DF" w:rsidRDefault="006C28DF" w:rsidP="006C28DF">
            <w:pPr>
              <w:jc w:val="left"/>
              <w:rPr>
                <w:sz w:val="20"/>
                <w:szCs w:val="20"/>
                <w:lang w:val="en-CA" w:eastAsia="en-CA"/>
              </w:rPr>
            </w:pPr>
            <w:r w:rsidRPr="006C28DF">
              <w:rPr>
                <w:sz w:val="20"/>
                <w:szCs w:val="20"/>
                <w:lang w:val="en-CA" w:eastAsia="en-CA"/>
              </w:rPr>
              <w:t>Pakistan</w:t>
            </w:r>
          </w:p>
        </w:tc>
        <w:tc>
          <w:tcPr>
            <w:tcW w:w="980" w:type="dxa"/>
            <w:tcBorders>
              <w:top w:val="nil"/>
              <w:left w:val="nil"/>
              <w:bottom w:val="single" w:sz="4" w:space="0" w:color="auto"/>
              <w:right w:val="single" w:sz="4" w:space="0" w:color="auto"/>
            </w:tcBorders>
            <w:shd w:val="clear" w:color="auto" w:fill="auto"/>
            <w:hideMark/>
          </w:tcPr>
          <w:p w14:paraId="41E309DD"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3DFE340F"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5C1FF5F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12B1E3A" w14:textId="77777777" w:rsidR="006C28DF" w:rsidRPr="006C28DF" w:rsidRDefault="006C28DF" w:rsidP="006C28DF">
            <w:pPr>
              <w:jc w:val="left"/>
              <w:rPr>
                <w:sz w:val="20"/>
                <w:szCs w:val="20"/>
                <w:lang w:val="en-CA" w:eastAsia="en-CA"/>
              </w:rPr>
            </w:pPr>
            <w:r w:rsidRPr="006C28DF">
              <w:rPr>
                <w:sz w:val="20"/>
                <w:szCs w:val="20"/>
                <w:lang w:val="en-CA" w:eastAsia="en-CA"/>
              </w:rPr>
              <w:t>HPMP - Stage II, incl. FOA &amp; REF investment</w:t>
            </w:r>
          </w:p>
        </w:tc>
        <w:tc>
          <w:tcPr>
            <w:tcW w:w="1148" w:type="dxa"/>
            <w:tcBorders>
              <w:top w:val="nil"/>
              <w:left w:val="nil"/>
              <w:bottom w:val="single" w:sz="4" w:space="0" w:color="auto"/>
              <w:right w:val="single" w:sz="4" w:space="0" w:color="auto"/>
            </w:tcBorders>
            <w:shd w:val="clear" w:color="auto" w:fill="auto"/>
            <w:hideMark/>
          </w:tcPr>
          <w:p w14:paraId="7E3384B0" w14:textId="77777777" w:rsidR="006C28DF" w:rsidRPr="006C28DF" w:rsidRDefault="006C28DF" w:rsidP="006C28DF">
            <w:pPr>
              <w:jc w:val="right"/>
              <w:rPr>
                <w:sz w:val="20"/>
                <w:szCs w:val="20"/>
                <w:lang w:val="en-CA" w:eastAsia="en-CA"/>
              </w:rPr>
            </w:pPr>
            <w:r w:rsidRPr="006C28DF">
              <w:rPr>
                <w:sz w:val="20"/>
                <w:szCs w:val="20"/>
                <w:lang w:val="en-CA" w:eastAsia="en-CA"/>
              </w:rPr>
              <w:t>2,118</w:t>
            </w:r>
          </w:p>
        </w:tc>
        <w:tc>
          <w:tcPr>
            <w:tcW w:w="976" w:type="dxa"/>
            <w:tcBorders>
              <w:top w:val="nil"/>
              <w:left w:val="nil"/>
              <w:bottom w:val="single" w:sz="4" w:space="0" w:color="auto"/>
              <w:right w:val="single" w:sz="4" w:space="0" w:color="auto"/>
            </w:tcBorders>
            <w:shd w:val="clear" w:color="auto" w:fill="auto"/>
            <w:hideMark/>
          </w:tcPr>
          <w:p w14:paraId="19764A2D" w14:textId="77777777" w:rsidR="006C28DF" w:rsidRPr="006C28DF" w:rsidRDefault="006C28DF" w:rsidP="006C28DF">
            <w:pPr>
              <w:jc w:val="right"/>
              <w:rPr>
                <w:sz w:val="20"/>
                <w:szCs w:val="20"/>
                <w:lang w:val="en-CA" w:eastAsia="en-CA"/>
              </w:rPr>
            </w:pPr>
            <w:r w:rsidRPr="006C28DF">
              <w:rPr>
                <w:sz w:val="20"/>
                <w:szCs w:val="20"/>
                <w:lang w:val="en-CA" w:eastAsia="en-CA"/>
              </w:rPr>
              <w:t>27.4</w:t>
            </w:r>
          </w:p>
        </w:tc>
      </w:tr>
      <w:tr w:rsidR="006C28DF" w:rsidRPr="006C28DF" w14:paraId="2AEF5A9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027ED6C" w14:textId="77777777" w:rsidR="006C28DF" w:rsidRPr="006C28DF" w:rsidRDefault="006C28DF" w:rsidP="006C28DF">
            <w:pPr>
              <w:jc w:val="left"/>
              <w:rPr>
                <w:sz w:val="20"/>
                <w:szCs w:val="20"/>
                <w:lang w:val="en-CA" w:eastAsia="en-CA"/>
              </w:rPr>
            </w:pPr>
            <w:r w:rsidRPr="006C28DF">
              <w:rPr>
                <w:sz w:val="20"/>
                <w:szCs w:val="20"/>
                <w:lang w:val="en-CA" w:eastAsia="en-CA"/>
              </w:rPr>
              <w:t>Pakistan</w:t>
            </w:r>
          </w:p>
        </w:tc>
        <w:tc>
          <w:tcPr>
            <w:tcW w:w="980" w:type="dxa"/>
            <w:tcBorders>
              <w:top w:val="nil"/>
              <w:left w:val="nil"/>
              <w:bottom w:val="single" w:sz="4" w:space="0" w:color="auto"/>
              <w:right w:val="single" w:sz="4" w:space="0" w:color="auto"/>
            </w:tcBorders>
            <w:shd w:val="clear" w:color="auto" w:fill="auto"/>
            <w:hideMark/>
          </w:tcPr>
          <w:p w14:paraId="76CC291D"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1152386C"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1A4B3684"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52773108"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41A0D9E5" w14:textId="77777777" w:rsidR="006C28DF" w:rsidRPr="006C28DF" w:rsidRDefault="006C28DF" w:rsidP="006C28DF">
            <w:pPr>
              <w:jc w:val="right"/>
              <w:rPr>
                <w:sz w:val="20"/>
                <w:szCs w:val="20"/>
                <w:lang w:val="en-CA" w:eastAsia="en-CA"/>
              </w:rPr>
            </w:pPr>
            <w:r w:rsidRPr="006C28DF">
              <w:rPr>
                <w:sz w:val="20"/>
                <w:szCs w:val="20"/>
                <w:lang w:val="en-CA" w:eastAsia="en-CA"/>
              </w:rPr>
              <w:t>307</w:t>
            </w:r>
          </w:p>
        </w:tc>
        <w:tc>
          <w:tcPr>
            <w:tcW w:w="976" w:type="dxa"/>
            <w:tcBorders>
              <w:top w:val="nil"/>
              <w:left w:val="nil"/>
              <w:bottom w:val="single" w:sz="4" w:space="0" w:color="auto"/>
              <w:right w:val="single" w:sz="4" w:space="0" w:color="auto"/>
            </w:tcBorders>
            <w:shd w:val="clear" w:color="auto" w:fill="auto"/>
            <w:hideMark/>
          </w:tcPr>
          <w:p w14:paraId="52D405CD"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171E7923"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B7454BD" w14:textId="77777777" w:rsidR="006C28DF" w:rsidRPr="006C28DF" w:rsidRDefault="006C28DF" w:rsidP="006C28DF">
            <w:pPr>
              <w:jc w:val="left"/>
              <w:rPr>
                <w:sz w:val="20"/>
                <w:szCs w:val="20"/>
                <w:lang w:val="en-CA" w:eastAsia="en-CA"/>
              </w:rPr>
            </w:pPr>
            <w:r w:rsidRPr="006C28DF">
              <w:rPr>
                <w:sz w:val="20"/>
                <w:szCs w:val="20"/>
                <w:lang w:val="en-CA" w:eastAsia="en-CA"/>
              </w:rPr>
              <w:t>Palau</w:t>
            </w:r>
          </w:p>
        </w:tc>
        <w:tc>
          <w:tcPr>
            <w:tcW w:w="980" w:type="dxa"/>
            <w:tcBorders>
              <w:top w:val="nil"/>
              <w:left w:val="nil"/>
              <w:bottom w:val="single" w:sz="4" w:space="0" w:color="auto"/>
              <w:right w:val="single" w:sz="4" w:space="0" w:color="auto"/>
            </w:tcBorders>
            <w:shd w:val="clear" w:color="auto" w:fill="auto"/>
            <w:hideMark/>
          </w:tcPr>
          <w:p w14:paraId="78E39B5E"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ECC54A4"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FD7FC3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BF354EB"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710DA923"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341EA7F7"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97AEE0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719F55B" w14:textId="77777777" w:rsidR="006C28DF" w:rsidRPr="006C28DF" w:rsidRDefault="006C28DF" w:rsidP="006C28DF">
            <w:pPr>
              <w:jc w:val="left"/>
              <w:rPr>
                <w:sz w:val="20"/>
                <w:szCs w:val="20"/>
                <w:lang w:val="en-CA" w:eastAsia="en-CA"/>
              </w:rPr>
            </w:pPr>
            <w:r w:rsidRPr="006C28DF">
              <w:rPr>
                <w:sz w:val="20"/>
                <w:szCs w:val="20"/>
                <w:lang w:val="en-CA" w:eastAsia="en-CA"/>
              </w:rPr>
              <w:t>Panama</w:t>
            </w:r>
          </w:p>
        </w:tc>
        <w:tc>
          <w:tcPr>
            <w:tcW w:w="980" w:type="dxa"/>
            <w:tcBorders>
              <w:top w:val="nil"/>
              <w:left w:val="nil"/>
              <w:bottom w:val="single" w:sz="4" w:space="0" w:color="auto"/>
              <w:right w:val="single" w:sz="4" w:space="0" w:color="auto"/>
            </w:tcBorders>
            <w:shd w:val="clear" w:color="auto" w:fill="auto"/>
            <w:hideMark/>
          </w:tcPr>
          <w:p w14:paraId="09E65C09"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65656CAE"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7F073DE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3DDC571" w14:textId="77777777" w:rsidR="006C28DF" w:rsidRPr="006C28DF" w:rsidRDefault="006C28DF" w:rsidP="006C28DF">
            <w:pPr>
              <w:jc w:val="left"/>
              <w:rPr>
                <w:sz w:val="20"/>
                <w:szCs w:val="20"/>
                <w:lang w:val="en-CA" w:eastAsia="en-CA"/>
              </w:rPr>
            </w:pPr>
            <w:r w:rsidRPr="006C28DF">
              <w:rPr>
                <w:sz w:val="20"/>
                <w:szCs w:val="20"/>
                <w:lang w:val="en-CA" w:eastAsia="en-CA"/>
              </w:rPr>
              <w:t>Stage II HPMP</w:t>
            </w:r>
          </w:p>
        </w:tc>
        <w:tc>
          <w:tcPr>
            <w:tcW w:w="1148" w:type="dxa"/>
            <w:tcBorders>
              <w:top w:val="nil"/>
              <w:left w:val="nil"/>
              <w:bottom w:val="single" w:sz="4" w:space="0" w:color="auto"/>
              <w:right w:val="single" w:sz="4" w:space="0" w:color="auto"/>
            </w:tcBorders>
            <w:shd w:val="clear" w:color="auto" w:fill="auto"/>
            <w:hideMark/>
          </w:tcPr>
          <w:p w14:paraId="7DEC5EAF" w14:textId="77777777" w:rsidR="006C28DF" w:rsidRPr="006C28DF" w:rsidRDefault="006C28DF" w:rsidP="006C28DF">
            <w:pPr>
              <w:jc w:val="right"/>
              <w:rPr>
                <w:sz w:val="20"/>
                <w:szCs w:val="20"/>
                <w:lang w:val="en-CA" w:eastAsia="en-CA"/>
              </w:rPr>
            </w:pPr>
            <w:r w:rsidRPr="006C28DF">
              <w:rPr>
                <w:sz w:val="20"/>
                <w:szCs w:val="20"/>
                <w:lang w:val="en-CA" w:eastAsia="en-CA"/>
              </w:rPr>
              <w:t>413</w:t>
            </w:r>
          </w:p>
        </w:tc>
        <w:tc>
          <w:tcPr>
            <w:tcW w:w="976" w:type="dxa"/>
            <w:tcBorders>
              <w:top w:val="nil"/>
              <w:left w:val="nil"/>
              <w:bottom w:val="single" w:sz="4" w:space="0" w:color="auto"/>
              <w:right w:val="single" w:sz="4" w:space="0" w:color="auto"/>
            </w:tcBorders>
            <w:shd w:val="clear" w:color="auto" w:fill="auto"/>
            <w:hideMark/>
          </w:tcPr>
          <w:p w14:paraId="6FF94938" w14:textId="77777777" w:rsidR="006C28DF" w:rsidRPr="006C28DF" w:rsidRDefault="006C28DF" w:rsidP="006C28DF">
            <w:pPr>
              <w:jc w:val="right"/>
              <w:rPr>
                <w:sz w:val="20"/>
                <w:szCs w:val="20"/>
                <w:lang w:val="en-CA" w:eastAsia="en-CA"/>
              </w:rPr>
            </w:pPr>
            <w:r w:rsidRPr="006C28DF">
              <w:rPr>
                <w:sz w:val="20"/>
                <w:szCs w:val="20"/>
                <w:lang w:val="en-CA" w:eastAsia="en-CA"/>
              </w:rPr>
              <w:t>4.9</w:t>
            </w:r>
          </w:p>
        </w:tc>
      </w:tr>
      <w:tr w:rsidR="006C28DF" w:rsidRPr="006C28DF" w14:paraId="7FED0E00"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C0AE9DA" w14:textId="77777777" w:rsidR="006C28DF" w:rsidRPr="006C28DF" w:rsidRDefault="006C28DF" w:rsidP="006C28DF">
            <w:pPr>
              <w:jc w:val="left"/>
              <w:rPr>
                <w:sz w:val="20"/>
                <w:szCs w:val="20"/>
                <w:lang w:val="en-CA" w:eastAsia="en-CA"/>
              </w:rPr>
            </w:pPr>
            <w:r w:rsidRPr="006C28DF">
              <w:rPr>
                <w:sz w:val="20"/>
                <w:szCs w:val="20"/>
                <w:lang w:val="en-CA" w:eastAsia="en-CA"/>
              </w:rPr>
              <w:t>Paraguay</w:t>
            </w:r>
          </w:p>
        </w:tc>
        <w:tc>
          <w:tcPr>
            <w:tcW w:w="980" w:type="dxa"/>
            <w:tcBorders>
              <w:top w:val="nil"/>
              <w:left w:val="nil"/>
              <w:bottom w:val="single" w:sz="4" w:space="0" w:color="auto"/>
              <w:right w:val="single" w:sz="4" w:space="0" w:color="auto"/>
            </w:tcBorders>
            <w:shd w:val="clear" w:color="auto" w:fill="auto"/>
            <w:hideMark/>
          </w:tcPr>
          <w:p w14:paraId="19B9F91C"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0E966165"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3A23185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F69815E" w14:textId="77777777" w:rsidR="006C28DF" w:rsidRPr="006C28DF" w:rsidRDefault="006C28DF" w:rsidP="006C28DF">
            <w:pPr>
              <w:jc w:val="left"/>
              <w:rPr>
                <w:sz w:val="20"/>
                <w:szCs w:val="20"/>
                <w:lang w:val="en-CA" w:eastAsia="en-CA"/>
              </w:rPr>
            </w:pPr>
            <w:r w:rsidRPr="006C28DF">
              <w:rPr>
                <w:sz w:val="20"/>
                <w:szCs w:val="20"/>
                <w:lang w:val="en-CA" w:eastAsia="en-CA"/>
              </w:rPr>
              <w:t>Stage I HPMP (foam)</w:t>
            </w:r>
          </w:p>
        </w:tc>
        <w:tc>
          <w:tcPr>
            <w:tcW w:w="1148" w:type="dxa"/>
            <w:tcBorders>
              <w:top w:val="nil"/>
              <w:left w:val="nil"/>
              <w:bottom w:val="single" w:sz="4" w:space="0" w:color="auto"/>
              <w:right w:val="single" w:sz="4" w:space="0" w:color="auto"/>
            </w:tcBorders>
            <w:shd w:val="clear" w:color="auto" w:fill="auto"/>
            <w:hideMark/>
          </w:tcPr>
          <w:p w14:paraId="3D94E317" w14:textId="77777777" w:rsidR="006C28DF" w:rsidRPr="006C28DF" w:rsidRDefault="006C28DF" w:rsidP="006C28DF">
            <w:pPr>
              <w:jc w:val="right"/>
              <w:rPr>
                <w:sz w:val="20"/>
                <w:szCs w:val="20"/>
                <w:lang w:val="en-CA" w:eastAsia="en-CA"/>
              </w:rPr>
            </w:pPr>
            <w:r w:rsidRPr="006C28DF">
              <w:rPr>
                <w:sz w:val="20"/>
                <w:szCs w:val="20"/>
                <w:lang w:val="en-CA" w:eastAsia="en-CA"/>
              </w:rPr>
              <w:t>36</w:t>
            </w:r>
          </w:p>
        </w:tc>
        <w:tc>
          <w:tcPr>
            <w:tcW w:w="976" w:type="dxa"/>
            <w:tcBorders>
              <w:top w:val="nil"/>
              <w:left w:val="nil"/>
              <w:bottom w:val="single" w:sz="4" w:space="0" w:color="auto"/>
              <w:right w:val="single" w:sz="4" w:space="0" w:color="auto"/>
            </w:tcBorders>
            <w:shd w:val="clear" w:color="auto" w:fill="auto"/>
            <w:hideMark/>
          </w:tcPr>
          <w:p w14:paraId="13D8D195" w14:textId="77777777" w:rsidR="006C28DF" w:rsidRPr="006C28DF" w:rsidRDefault="006C28DF" w:rsidP="006C28DF">
            <w:pPr>
              <w:jc w:val="right"/>
              <w:rPr>
                <w:sz w:val="20"/>
                <w:szCs w:val="20"/>
                <w:lang w:val="en-CA" w:eastAsia="en-CA"/>
              </w:rPr>
            </w:pPr>
            <w:r w:rsidRPr="006C28DF">
              <w:rPr>
                <w:sz w:val="20"/>
                <w:szCs w:val="20"/>
                <w:lang w:val="en-CA" w:eastAsia="en-CA"/>
              </w:rPr>
              <w:t>1.4</w:t>
            </w:r>
          </w:p>
        </w:tc>
      </w:tr>
      <w:tr w:rsidR="006C28DF" w:rsidRPr="006C28DF" w14:paraId="5D6F6F86"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43F2424" w14:textId="77777777" w:rsidR="006C28DF" w:rsidRPr="006C28DF" w:rsidRDefault="006C28DF" w:rsidP="006C28DF">
            <w:pPr>
              <w:jc w:val="left"/>
              <w:rPr>
                <w:sz w:val="20"/>
                <w:szCs w:val="20"/>
                <w:lang w:val="en-CA" w:eastAsia="en-CA"/>
              </w:rPr>
            </w:pPr>
            <w:r w:rsidRPr="006C28DF">
              <w:rPr>
                <w:sz w:val="20"/>
                <w:szCs w:val="20"/>
                <w:lang w:val="en-CA" w:eastAsia="en-CA"/>
              </w:rPr>
              <w:t>Paraguay</w:t>
            </w:r>
          </w:p>
        </w:tc>
        <w:tc>
          <w:tcPr>
            <w:tcW w:w="980" w:type="dxa"/>
            <w:tcBorders>
              <w:top w:val="nil"/>
              <w:left w:val="nil"/>
              <w:bottom w:val="single" w:sz="4" w:space="0" w:color="auto"/>
              <w:right w:val="single" w:sz="4" w:space="0" w:color="auto"/>
            </w:tcBorders>
            <w:shd w:val="clear" w:color="auto" w:fill="auto"/>
            <w:hideMark/>
          </w:tcPr>
          <w:p w14:paraId="455A4295"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32B92F3D"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555FA3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E6D25FD" w14:textId="23F15DC8" w:rsidR="006C28DF" w:rsidRPr="006C28DF" w:rsidRDefault="00BE08A4" w:rsidP="006C28DF">
            <w:pPr>
              <w:jc w:val="left"/>
              <w:rPr>
                <w:sz w:val="20"/>
                <w:szCs w:val="20"/>
                <w:lang w:val="en-CA" w:eastAsia="en-CA"/>
              </w:rPr>
            </w:pPr>
            <w:r>
              <w:rPr>
                <w:sz w:val="20"/>
                <w:szCs w:val="20"/>
                <w:lang w:val="en-CA" w:eastAsia="en-CA"/>
              </w:rPr>
              <w:t>Stage II HPMP Preparation (refrigeration</w:t>
            </w:r>
            <w:r w:rsidR="006C28DF" w:rsidRPr="006C28DF">
              <w:rPr>
                <w:sz w:val="20"/>
                <w:szCs w:val="20"/>
                <w:lang w:val="en-CA" w:eastAsia="en-CA"/>
              </w:rPr>
              <w:t xml:space="preserve"> servicing)</w:t>
            </w:r>
          </w:p>
        </w:tc>
        <w:tc>
          <w:tcPr>
            <w:tcW w:w="1148" w:type="dxa"/>
            <w:tcBorders>
              <w:top w:val="nil"/>
              <w:left w:val="nil"/>
              <w:bottom w:val="single" w:sz="4" w:space="0" w:color="auto"/>
              <w:right w:val="single" w:sz="4" w:space="0" w:color="auto"/>
            </w:tcBorders>
            <w:shd w:val="clear" w:color="auto" w:fill="auto"/>
            <w:hideMark/>
          </w:tcPr>
          <w:p w14:paraId="4C57271D" w14:textId="77777777" w:rsidR="006C28DF" w:rsidRPr="006C28DF" w:rsidRDefault="006C28DF" w:rsidP="006C28DF">
            <w:pPr>
              <w:jc w:val="right"/>
              <w:rPr>
                <w:sz w:val="20"/>
                <w:szCs w:val="20"/>
                <w:lang w:val="en-CA" w:eastAsia="en-CA"/>
              </w:rPr>
            </w:pPr>
            <w:r w:rsidRPr="006C28DF">
              <w:rPr>
                <w:sz w:val="20"/>
                <w:szCs w:val="20"/>
                <w:lang w:val="en-CA" w:eastAsia="en-CA"/>
              </w:rPr>
              <w:t>32</w:t>
            </w:r>
          </w:p>
        </w:tc>
        <w:tc>
          <w:tcPr>
            <w:tcW w:w="976" w:type="dxa"/>
            <w:tcBorders>
              <w:top w:val="nil"/>
              <w:left w:val="nil"/>
              <w:bottom w:val="single" w:sz="4" w:space="0" w:color="auto"/>
              <w:right w:val="single" w:sz="4" w:space="0" w:color="auto"/>
            </w:tcBorders>
            <w:shd w:val="clear" w:color="auto" w:fill="auto"/>
            <w:hideMark/>
          </w:tcPr>
          <w:p w14:paraId="468452F6"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26F8E678"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7163E73" w14:textId="77777777" w:rsidR="006C28DF" w:rsidRPr="006C28DF" w:rsidRDefault="006C28DF" w:rsidP="006C28DF">
            <w:pPr>
              <w:jc w:val="left"/>
              <w:rPr>
                <w:sz w:val="20"/>
                <w:szCs w:val="20"/>
                <w:lang w:val="en-CA" w:eastAsia="en-CA"/>
              </w:rPr>
            </w:pPr>
            <w:r w:rsidRPr="006C28DF">
              <w:rPr>
                <w:sz w:val="20"/>
                <w:szCs w:val="20"/>
                <w:lang w:val="en-CA" w:eastAsia="en-CA"/>
              </w:rPr>
              <w:t>Paraguay</w:t>
            </w:r>
          </w:p>
        </w:tc>
        <w:tc>
          <w:tcPr>
            <w:tcW w:w="980" w:type="dxa"/>
            <w:tcBorders>
              <w:top w:val="nil"/>
              <w:left w:val="nil"/>
              <w:bottom w:val="single" w:sz="4" w:space="0" w:color="auto"/>
              <w:right w:val="single" w:sz="4" w:space="0" w:color="auto"/>
            </w:tcBorders>
            <w:shd w:val="clear" w:color="auto" w:fill="auto"/>
            <w:hideMark/>
          </w:tcPr>
          <w:p w14:paraId="4B66824A"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6A139C9"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23292E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939D127"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4A1991F8"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5201B7E6"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55DE99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5AE635C" w14:textId="77777777" w:rsidR="006C28DF" w:rsidRPr="006C28DF" w:rsidRDefault="006C28DF" w:rsidP="006C28DF">
            <w:pPr>
              <w:jc w:val="left"/>
              <w:rPr>
                <w:sz w:val="20"/>
                <w:szCs w:val="20"/>
                <w:lang w:val="en-CA" w:eastAsia="en-CA"/>
              </w:rPr>
            </w:pPr>
            <w:r w:rsidRPr="006C28DF">
              <w:rPr>
                <w:sz w:val="20"/>
                <w:szCs w:val="20"/>
                <w:lang w:val="en-CA" w:eastAsia="en-CA"/>
              </w:rPr>
              <w:t>Paraguay</w:t>
            </w:r>
          </w:p>
        </w:tc>
        <w:tc>
          <w:tcPr>
            <w:tcW w:w="980" w:type="dxa"/>
            <w:tcBorders>
              <w:top w:val="nil"/>
              <w:left w:val="nil"/>
              <w:bottom w:val="single" w:sz="4" w:space="0" w:color="auto"/>
              <w:right w:val="single" w:sz="4" w:space="0" w:color="auto"/>
            </w:tcBorders>
            <w:shd w:val="clear" w:color="auto" w:fill="auto"/>
            <w:hideMark/>
          </w:tcPr>
          <w:p w14:paraId="7E268B1F"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7B42823"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45749491"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24744DF4"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CDF43DD"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3C3B2DEE"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F1420B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ED70F6F" w14:textId="77777777" w:rsidR="006C28DF" w:rsidRPr="006C28DF" w:rsidRDefault="006C28DF" w:rsidP="006C28DF">
            <w:pPr>
              <w:jc w:val="left"/>
              <w:rPr>
                <w:sz w:val="20"/>
                <w:szCs w:val="20"/>
                <w:lang w:val="en-CA" w:eastAsia="en-CA"/>
              </w:rPr>
            </w:pPr>
            <w:r w:rsidRPr="006C28DF">
              <w:rPr>
                <w:sz w:val="20"/>
                <w:szCs w:val="20"/>
                <w:lang w:val="en-CA" w:eastAsia="en-CA"/>
              </w:rPr>
              <w:t>Qatar</w:t>
            </w:r>
          </w:p>
        </w:tc>
        <w:tc>
          <w:tcPr>
            <w:tcW w:w="980" w:type="dxa"/>
            <w:tcBorders>
              <w:top w:val="nil"/>
              <w:left w:val="nil"/>
              <w:bottom w:val="single" w:sz="4" w:space="0" w:color="auto"/>
              <w:right w:val="single" w:sz="4" w:space="0" w:color="auto"/>
            </w:tcBorders>
            <w:shd w:val="clear" w:color="auto" w:fill="auto"/>
            <w:hideMark/>
          </w:tcPr>
          <w:p w14:paraId="5B77FD66"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541175C"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D29EE1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C9F3DF2" w14:textId="77777777" w:rsidR="006C28DF" w:rsidRPr="006C28DF" w:rsidRDefault="006C28DF" w:rsidP="006C28DF">
            <w:pPr>
              <w:jc w:val="left"/>
              <w:rPr>
                <w:sz w:val="20"/>
                <w:szCs w:val="20"/>
                <w:lang w:val="en-CA" w:eastAsia="en-CA"/>
              </w:rPr>
            </w:pPr>
            <w:r w:rsidRPr="006C28DF">
              <w:rPr>
                <w:sz w:val="20"/>
                <w:szCs w:val="20"/>
                <w:lang w:val="en-CA" w:eastAsia="en-CA"/>
              </w:rPr>
              <w:t>HPMP Stage I</w:t>
            </w:r>
          </w:p>
        </w:tc>
        <w:tc>
          <w:tcPr>
            <w:tcW w:w="1148" w:type="dxa"/>
            <w:tcBorders>
              <w:top w:val="nil"/>
              <w:left w:val="nil"/>
              <w:bottom w:val="single" w:sz="4" w:space="0" w:color="auto"/>
              <w:right w:val="single" w:sz="4" w:space="0" w:color="auto"/>
            </w:tcBorders>
            <w:shd w:val="clear" w:color="auto" w:fill="auto"/>
            <w:hideMark/>
          </w:tcPr>
          <w:p w14:paraId="64184E18" w14:textId="77777777" w:rsidR="006C28DF" w:rsidRPr="006C28DF" w:rsidRDefault="006C28DF" w:rsidP="006C28DF">
            <w:pPr>
              <w:jc w:val="right"/>
              <w:rPr>
                <w:sz w:val="20"/>
                <w:szCs w:val="20"/>
                <w:lang w:val="en-CA" w:eastAsia="en-CA"/>
              </w:rPr>
            </w:pPr>
            <w:r w:rsidRPr="006C28DF">
              <w:rPr>
                <w:sz w:val="20"/>
                <w:szCs w:val="20"/>
                <w:lang w:val="en-CA" w:eastAsia="en-CA"/>
              </w:rPr>
              <w:t>170</w:t>
            </w:r>
          </w:p>
        </w:tc>
        <w:tc>
          <w:tcPr>
            <w:tcW w:w="976" w:type="dxa"/>
            <w:tcBorders>
              <w:top w:val="nil"/>
              <w:left w:val="nil"/>
              <w:bottom w:val="single" w:sz="4" w:space="0" w:color="auto"/>
              <w:right w:val="single" w:sz="4" w:space="0" w:color="auto"/>
            </w:tcBorders>
            <w:shd w:val="clear" w:color="auto" w:fill="auto"/>
            <w:hideMark/>
          </w:tcPr>
          <w:p w14:paraId="1378DF1D" w14:textId="77777777" w:rsidR="006C28DF" w:rsidRPr="006C28DF" w:rsidRDefault="006C28DF" w:rsidP="006C28DF">
            <w:pPr>
              <w:jc w:val="right"/>
              <w:rPr>
                <w:sz w:val="20"/>
                <w:szCs w:val="20"/>
                <w:lang w:val="en-CA" w:eastAsia="en-CA"/>
              </w:rPr>
            </w:pPr>
            <w:r w:rsidRPr="006C28DF">
              <w:rPr>
                <w:sz w:val="20"/>
                <w:szCs w:val="20"/>
                <w:lang w:val="en-CA" w:eastAsia="en-CA"/>
              </w:rPr>
              <w:t>4.3</w:t>
            </w:r>
          </w:p>
        </w:tc>
      </w:tr>
      <w:tr w:rsidR="006C28DF" w:rsidRPr="006C28DF" w14:paraId="71019599"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237193D" w14:textId="77777777" w:rsidR="006C28DF" w:rsidRPr="006C28DF" w:rsidRDefault="006C28DF" w:rsidP="006C28DF">
            <w:pPr>
              <w:jc w:val="left"/>
              <w:rPr>
                <w:sz w:val="20"/>
                <w:szCs w:val="20"/>
                <w:lang w:val="en-CA" w:eastAsia="en-CA"/>
              </w:rPr>
            </w:pPr>
            <w:r w:rsidRPr="006C28DF">
              <w:rPr>
                <w:sz w:val="20"/>
                <w:szCs w:val="20"/>
                <w:lang w:val="en-CA" w:eastAsia="en-CA"/>
              </w:rPr>
              <w:t>Qatar</w:t>
            </w:r>
          </w:p>
        </w:tc>
        <w:tc>
          <w:tcPr>
            <w:tcW w:w="980" w:type="dxa"/>
            <w:tcBorders>
              <w:top w:val="nil"/>
              <w:left w:val="nil"/>
              <w:bottom w:val="single" w:sz="4" w:space="0" w:color="auto"/>
              <w:right w:val="single" w:sz="4" w:space="0" w:color="auto"/>
            </w:tcBorders>
            <w:shd w:val="clear" w:color="auto" w:fill="auto"/>
            <w:hideMark/>
          </w:tcPr>
          <w:p w14:paraId="76D02B6C"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B1ECE83"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57E5503B"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343BCB4"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(implementation) </w:t>
            </w:r>
          </w:p>
        </w:tc>
        <w:tc>
          <w:tcPr>
            <w:tcW w:w="1148" w:type="dxa"/>
            <w:tcBorders>
              <w:top w:val="nil"/>
              <w:left w:val="nil"/>
              <w:bottom w:val="single" w:sz="4" w:space="0" w:color="auto"/>
              <w:right w:val="single" w:sz="4" w:space="0" w:color="auto"/>
            </w:tcBorders>
            <w:shd w:val="clear" w:color="auto" w:fill="auto"/>
            <w:hideMark/>
          </w:tcPr>
          <w:p w14:paraId="28AB13FE" w14:textId="77777777" w:rsidR="006C28DF" w:rsidRPr="006C28DF" w:rsidRDefault="006C28DF" w:rsidP="006C28DF">
            <w:pPr>
              <w:jc w:val="right"/>
              <w:rPr>
                <w:sz w:val="20"/>
                <w:szCs w:val="20"/>
                <w:lang w:val="en-CA" w:eastAsia="en-CA"/>
              </w:rPr>
            </w:pPr>
            <w:r w:rsidRPr="006C28DF">
              <w:rPr>
                <w:sz w:val="20"/>
                <w:szCs w:val="20"/>
                <w:lang w:val="en-CA" w:eastAsia="en-CA"/>
              </w:rPr>
              <w:t>75</w:t>
            </w:r>
          </w:p>
        </w:tc>
        <w:tc>
          <w:tcPr>
            <w:tcW w:w="976" w:type="dxa"/>
            <w:tcBorders>
              <w:top w:val="nil"/>
              <w:left w:val="nil"/>
              <w:bottom w:val="single" w:sz="4" w:space="0" w:color="auto"/>
              <w:right w:val="single" w:sz="4" w:space="0" w:color="auto"/>
            </w:tcBorders>
            <w:shd w:val="clear" w:color="auto" w:fill="auto"/>
            <w:hideMark/>
          </w:tcPr>
          <w:p w14:paraId="462ABF81" w14:textId="77777777" w:rsidR="006C28DF" w:rsidRPr="006C28DF" w:rsidRDefault="006C28DF" w:rsidP="006C28DF">
            <w:pPr>
              <w:jc w:val="right"/>
              <w:rPr>
                <w:sz w:val="20"/>
                <w:szCs w:val="20"/>
                <w:lang w:val="en-CA" w:eastAsia="en-CA"/>
              </w:rPr>
            </w:pPr>
            <w:r w:rsidRPr="006C28DF">
              <w:rPr>
                <w:sz w:val="20"/>
                <w:szCs w:val="20"/>
                <w:lang w:val="en-CA" w:eastAsia="en-CA"/>
              </w:rPr>
              <w:t>2.0</w:t>
            </w:r>
          </w:p>
        </w:tc>
      </w:tr>
      <w:tr w:rsidR="006C28DF" w:rsidRPr="006C28DF" w14:paraId="32DFC4A1"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4D4F156" w14:textId="77777777" w:rsidR="006C28DF" w:rsidRPr="006C28DF" w:rsidRDefault="006C28DF" w:rsidP="006C28DF">
            <w:pPr>
              <w:jc w:val="left"/>
              <w:rPr>
                <w:sz w:val="20"/>
                <w:szCs w:val="20"/>
                <w:lang w:val="en-CA" w:eastAsia="en-CA"/>
              </w:rPr>
            </w:pPr>
            <w:r w:rsidRPr="006C28DF">
              <w:rPr>
                <w:sz w:val="20"/>
                <w:szCs w:val="20"/>
                <w:lang w:val="en-CA" w:eastAsia="en-CA"/>
              </w:rPr>
              <w:t>Qatar</w:t>
            </w:r>
          </w:p>
        </w:tc>
        <w:tc>
          <w:tcPr>
            <w:tcW w:w="980" w:type="dxa"/>
            <w:tcBorders>
              <w:top w:val="nil"/>
              <w:left w:val="nil"/>
              <w:bottom w:val="single" w:sz="4" w:space="0" w:color="auto"/>
              <w:right w:val="single" w:sz="4" w:space="0" w:color="auto"/>
            </w:tcBorders>
            <w:shd w:val="clear" w:color="auto" w:fill="auto"/>
            <w:hideMark/>
          </w:tcPr>
          <w:p w14:paraId="583B59AA"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77EBBE66"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29F4419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A864043" w14:textId="77777777" w:rsidR="006C28DF" w:rsidRPr="006C28DF" w:rsidRDefault="006C28DF" w:rsidP="006C28DF">
            <w:pPr>
              <w:jc w:val="left"/>
              <w:rPr>
                <w:sz w:val="20"/>
                <w:szCs w:val="20"/>
                <w:lang w:val="en-CA" w:eastAsia="en-CA"/>
              </w:rPr>
            </w:pPr>
            <w:r w:rsidRPr="006C28DF">
              <w:rPr>
                <w:sz w:val="20"/>
                <w:szCs w:val="20"/>
                <w:lang w:val="en-CA" w:eastAsia="en-CA"/>
              </w:rPr>
              <w:t>HPMP Stage I</w:t>
            </w:r>
          </w:p>
        </w:tc>
        <w:tc>
          <w:tcPr>
            <w:tcW w:w="1148" w:type="dxa"/>
            <w:tcBorders>
              <w:top w:val="nil"/>
              <w:left w:val="nil"/>
              <w:bottom w:val="single" w:sz="4" w:space="0" w:color="auto"/>
              <w:right w:val="single" w:sz="4" w:space="0" w:color="auto"/>
            </w:tcBorders>
            <w:shd w:val="clear" w:color="auto" w:fill="auto"/>
            <w:hideMark/>
          </w:tcPr>
          <w:p w14:paraId="2B5C1977" w14:textId="77777777" w:rsidR="006C28DF" w:rsidRPr="006C28DF" w:rsidRDefault="006C28DF" w:rsidP="006C28DF">
            <w:pPr>
              <w:jc w:val="right"/>
              <w:rPr>
                <w:sz w:val="20"/>
                <w:szCs w:val="20"/>
                <w:lang w:val="en-CA" w:eastAsia="en-CA"/>
              </w:rPr>
            </w:pPr>
            <w:r w:rsidRPr="006C28DF">
              <w:rPr>
                <w:sz w:val="20"/>
                <w:szCs w:val="20"/>
                <w:lang w:val="en-CA" w:eastAsia="en-CA"/>
              </w:rPr>
              <w:t>572</w:t>
            </w:r>
          </w:p>
        </w:tc>
        <w:tc>
          <w:tcPr>
            <w:tcW w:w="976" w:type="dxa"/>
            <w:tcBorders>
              <w:top w:val="nil"/>
              <w:left w:val="nil"/>
              <w:bottom w:val="single" w:sz="4" w:space="0" w:color="auto"/>
              <w:right w:val="single" w:sz="4" w:space="0" w:color="auto"/>
            </w:tcBorders>
            <w:shd w:val="clear" w:color="auto" w:fill="auto"/>
            <w:hideMark/>
          </w:tcPr>
          <w:p w14:paraId="0749BCE1" w14:textId="77777777" w:rsidR="006C28DF" w:rsidRPr="006C28DF" w:rsidRDefault="006C28DF" w:rsidP="006C28DF">
            <w:pPr>
              <w:jc w:val="right"/>
              <w:rPr>
                <w:sz w:val="20"/>
                <w:szCs w:val="20"/>
                <w:lang w:val="en-CA" w:eastAsia="en-CA"/>
              </w:rPr>
            </w:pPr>
            <w:r w:rsidRPr="006C28DF">
              <w:rPr>
                <w:sz w:val="20"/>
                <w:szCs w:val="20"/>
                <w:lang w:val="en-CA" w:eastAsia="en-CA"/>
              </w:rPr>
              <w:t>15.1</w:t>
            </w:r>
          </w:p>
        </w:tc>
      </w:tr>
      <w:tr w:rsidR="006C28DF" w:rsidRPr="006C28DF" w14:paraId="367CE8B9"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4D871381" w14:textId="77777777" w:rsidR="006C28DF" w:rsidRPr="006C28DF" w:rsidRDefault="006C28DF" w:rsidP="006C28DF">
            <w:pPr>
              <w:jc w:val="left"/>
              <w:rPr>
                <w:sz w:val="20"/>
                <w:szCs w:val="20"/>
                <w:lang w:val="en-CA" w:eastAsia="en-CA"/>
              </w:rPr>
            </w:pPr>
            <w:r w:rsidRPr="006C28DF">
              <w:rPr>
                <w:sz w:val="20"/>
                <w:szCs w:val="20"/>
                <w:lang w:val="en-CA" w:eastAsia="en-CA"/>
              </w:rPr>
              <w:t>Region: ASP</w:t>
            </w:r>
          </w:p>
        </w:tc>
        <w:tc>
          <w:tcPr>
            <w:tcW w:w="980" w:type="dxa"/>
            <w:tcBorders>
              <w:top w:val="nil"/>
              <w:left w:val="nil"/>
              <w:bottom w:val="single" w:sz="4" w:space="0" w:color="auto"/>
              <w:right w:val="single" w:sz="4" w:space="0" w:color="auto"/>
            </w:tcBorders>
            <w:shd w:val="clear" w:color="auto" w:fill="auto"/>
            <w:hideMark/>
          </w:tcPr>
          <w:p w14:paraId="52040C7C"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05FDBF9"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78869AA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EE7BF2D" w14:textId="77777777" w:rsidR="006C28DF" w:rsidRPr="006C28DF" w:rsidRDefault="006C28DF" w:rsidP="006C28DF">
            <w:pPr>
              <w:jc w:val="left"/>
              <w:rPr>
                <w:sz w:val="20"/>
                <w:szCs w:val="20"/>
                <w:lang w:val="en-CA" w:eastAsia="en-CA"/>
              </w:rPr>
            </w:pPr>
            <w:r w:rsidRPr="006C28DF">
              <w:rPr>
                <w:sz w:val="20"/>
                <w:szCs w:val="20"/>
                <w:lang w:val="en-CA" w:eastAsia="en-CA"/>
              </w:rPr>
              <w:t>Harmonization of safety and energy labelling standards in SA</w:t>
            </w:r>
          </w:p>
        </w:tc>
        <w:tc>
          <w:tcPr>
            <w:tcW w:w="1148" w:type="dxa"/>
            <w:tcBorders>
              <w:top w:val="nil"/>
              <w:left w:val="nil"/>
              <w:bottom w:val="single" w:sz="4" w:space="0" w:color="auto"/>
              <w:right w:val="single" w:sz="4" w:space="0" w:color="auto"/>
            </w:tcBorders>
            <w:shd w:val="clear" w:color="auto" w:fill="auto"/>
            <w:hideMark/>
          </w:tcPr>
          <w:p w14:paraId="7B9E06B9" w14:textId="77777777" w:rsidR="006C28DF" w:rsidRPr="006C28DF" w:rsidRDefault="006C28DF" w:rsidP="006C28DF">
            <w:pPr>
              <w:jc w:val="right"/>
              <w:rPr>
                <w:sz w:val="20"/>
                <w:szCs w:val="20"/>
                <w:lang w:val="en-CA" w:eastAsia="en-CA"/>
              </w:rPr>
            </w:pPr>
            <w:r w:rsidRPr="006C28DF">
              <w:rPr>
                <w:sz w:val="20"/>
                <w:szCs w:val="20"/>
                <w:lang w:val="en-CA" w:eastAsia="en-CA"/>
              </w:rPr>
              <w:t>152</w:t>
            </w:r>
          </w:p>
        </w:tc>
        <w:tc>
          <w:tcPr>
            <w:tcW w:w="976" w:type="dxa"/>
            <w:tcBorders>
              <w:top w:val="nil"/>
              <w:left w:val="nil"/>
              <w:bottom w:val="single" w:sz="4" w:space="0" w:color="auto"/>
              <w:right w:val="single" w:sz="4" w:space="0" w:color="auto"/>
            </w:tcBorders>
            <w:shd w:val="clear" w:color="auto" w:fill="auto"/>
            <w:hideMark/>
          </w:tcPr>
          <w:p w14:paraId="7874DE31"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B1D9F34"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0F8E2D6" w14:textId="77777777" w:rsidR="006C28DF" w:rsidRPr="006C28DF" w:rsidRDefault="006C28DF" w:rsidP="002C3CFF">
            <w:pPr>
              <w:ind w:right="-105"/>
              <w:jc w:val="left"/>
              <w:rPr>
                <w:sz w:val="20"/>
                <w:szCs w:val="20"/>
                <w:lang w:val="en-CA" w:eastAsia="en-CA"/>
              </w:rPr>
            </w:pPr>
            <w:r w:rsidRPr="006C28DF">
              <w:rPr>
                <w:sz w:val="20"/>
                <w:szCs w:val="20"/>
                <w:lang w:val="en-CA" w:eastAsia="en-CA"/>
              </w:rPr>
              <w:t>Republic of Moldova (the)</w:t>
            </w:r>
          </w:p>
        </w:tc>
        <w:tc>
          <w:tcPr>
            <w:tcW w:w="980" w:type="dxa"/>
            <w:tcBorders>
              <w:top w:val="nil"/>
              <w:left w:val="nil"/>
              <w:bottom w:val="single" w:sz="4" w:space="0" w:color="auto"/>
              <w:right w:val="single" w:sz="4" w:space="0" w:color="auto"/>
            </w:tcBorders>
            <w:shd w:val="clear" w:color="auto" w:fill="auto"/>
            <w:hideMark/>
          </w:tcPr>
          <w:p w14:paraId="17231F96"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97F6A13"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81537A9"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10549A8"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(implementation) </w:t>
            </w:r>
          </w:p>
        </w:tc>
        <w:tc>
          <w:tcPr>
            <w:tcW w:w="1148" w:type="dxa"/>
            <w:tcBorders>
              <w:top w:val="nil"/>
              <w:left w:val="nil"/>
              <w:bottom w:val="single" w:sz="4" w:space="0" w:color="auto"/>
              <w:right w:val="single" w:sz="4" w:space="0" w:color="auto"/>
            </w:tcBorders>
            <w:shd w:val="clear" w:color="auto" w:fill="auto"/>
            <w:hideMark/>
          </w:tcPr>
          <w:p w14:paraId="12E75DCB" w14:textId="77777777" w:rsidR="006C28DF" w:rsidRPr="006C28DF" w:rsidRDefault="006C28DF" w:rsidP="006C28DF">
            <w:pPr>
              <w:jc w:val="right"/>
              <w:rPr>
                <w:sz w:val="20"/>
                <w:szCs w:val="20"/>
                <w:lang w:val="en-CA" w:eastAsia="en-CA"/>
              </w:rPr>
            </w:pPr>
            <w:r w:rsidRPr="006C28DF">
              <w:rPr>
                <w:sz w:val="20"/>
                <w:szCs w:val="20"/>
                <w:lang w:val="en-CA" w:eastAsia="en-CA"/>
              </w:rPr>
              <w:t>29</w:t>
            </w:r>
          </w:p>
        </w:tc>
        <w:tc>
          <w:tcPr>
            <w:tcW w:w="976" w:type="dxa"/>
            <w:tcBorders>
              <w:top w:val="nil"/>
              <w:left w:val="nil"/>
              <w:bottom w:val="single" w:sz="4" w:space="0" w:color="auto"/>
              <w:right w:val="single" w:sz="4" w:space="0" w:color="auto"/>
            </w:tcBorders>
            <w:shd w:val="clear" w:color="auto" w:fill="auto"/>
            <w:hideMark/>
          </w:tcPr>
          <w:p w14:paraId="5105EB38"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2B8243A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A718241" w14:textId="77777777" w:rsidR="006C28DF" w:rsidRPr="006C28DF" w:rsidRDefault="006C28DF" w:rsidP="002C3CFF">
            <w:pPr>
              <w:ind w:right="-105"/>
              <w:jc w:val="left"/>
              <w:rPr>
                <w:sz w:val="20"/>
                <w:szCs w:val="20"/>
                <w:lang w:val="en-CA" w:eastAsia="en-CA"/>
              </w:rPr>
            </w:pPr>
            <w:r w:rsidRPr="006C28DF">
              <w:rPr>
                <w:sz w:val="20"/>
                <w:szCs w:val="20"/>
                <w:lang w:val="en-CA" w:eastAsia="en-CA"/>
              </w:rPr>
              <w:t>Republic of Moldova (the)</w:t>
            </w:r>
          </w:p>
        </w:tc>
        <w:tc>
          <w:tcPr>
            <w:tcW w:w="980" w:type="dxa"/>
            <w:tcBorders>
              <w:top w:val="nil"/>
              <w:left w:val="nil"/>
              <w:bottom w:val="single" w:sz="4" w:space="0" w:color="auto"/>
              <w:right w:val="single" w:sz="4" w:space="0" w:color="auto"/>
            </w:tcBorders>
            <w:shd w:val="clear" w:color="auto" w:fill="auto"/>
            <w:hideMark/>
          </w:tcPr>
          <w:p w14:paraId="1F9ED4E7"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B5A5ADD"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445CABEC"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323C5C32"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50A9AD60" w14:textId="77777777" w:rsidR="006C28DF" w:rsidRPr="006C28DF" w:rsidRDefault="006C28DF" w:rsidP="006C28DF">
            <w:pPr>
              <w:jc w:val="right"/>
              <w:rPr>
                <w:sz w:val="20"/>
                <w:szCs w:val="20"/>
                <w:lang w:val="en-CA" w:eastAsia="en-CA"/>
              </w:rPr>
            </w:pPr>
            <w:r w:rsidRPr="006C28DF">
              <w:rPr>
                <w:sz w:val="20"/>
                <w:szCs w:val="20"/>
                <w:lang w:val="en-CA" w:eastAsia="en-CA"/>
              </w:rPr>
              <w:t>89</w:t>
            </w:r>
          </w:p>
        </w:tc>
        <w:tc>
          <w:tcPr>
            <w:tcW w:w="976" w:type="dxa"/>
            <w:tcBorders>
              <w:top w:val="nil"/>
              <w:left w:val="nil"/>
              <w:bottom w:val="single" w:sz="4" w:space="0" w:color="auto"/>
              <w:right w:val="single" w:sz="4" w:space="0" w:color="auto"/>
            </w:tcBorders>
            <w:shd w:val="clear" w:color="auto" w:fill="auto"/>
            <w:hideMark/>
          </w:tcPr>
          <w:p w14:paraId="186D1318"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0598256"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F6B3A62" w14:textId="77777777" w:rsidR="006C28DF" w:rsidRPr="006C28DF" w:rsidRDefault="006C28DF" w:rsidP="006C28DF">
            <w:pPr>
              <w:jc w:val="left"/>
              <w:rPr>
                <w:sz w:val="20"/>
                <w:szCs w:val="20"/>
                <w:lang w:val="en-CA" w:eastAsia="en-CA"/>
              </w:rPr>
            </w:pPr>
            <w:r w:rsidRPr="006C28DF">
              <w:rPr>
                <w:sz w:val="20"/>
                <w:szCs w:val="20"/>
                <w:lang w:val="en-CA" w:eastAsia="en-CA"/>
              </w:rPr>
              <w:t>Rwanda</w:t>
            </w:r>
          </w:p>
        </w:tc>
        <w:tc>
          <w:tcPr>
            <w:tcW w:w="980" w:type="dxa"/>
            <w:tcBorders>
              <w:top w:val="nil"/>
              <w:left w:val="nil"/>
              <w:bottom w:val="single" w:sz="4" w:space="0" w:color="auto"/>
              <w:right w:val="single" w:sz="4" w:space="0" w:color="auto"/>
            </w:tcBorders>
            <w:shd w:val="clear" w:color="auto" w:fill="auto"/>
            <w:hideMark/>
          </w:tcPr>
          <w:p w14:paraId="0FABA915"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782382F"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9B24DB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85B91B5"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6BF1CA1B"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35E369AA" w14:textId="77777777" w:rsidR="006C28DF" w:rsidRPr="006C28DF" w:rsidRDefault="006C28DF" w:rsidP="006C28DF">
            <w:pPr>
              <w:jc w:val="right"/>
              <w:rPr>
                <w:sz w:val="20"/>
                <w:szCs w:val="20"/>
                <w:lang w:val="en-CA" w:eastAsia="en-CA"/>
              </w:rPr>
            </w:pPr>
            <w:r w:rsidRPr="006C28DF">
              <w:rPr>
                <w:sz w:val="20"/>
                <w:szCs w:val="20"/>
                <w:lang w:val="en-CA" w:eastAsia="en-CA"/>
              </w:rPr>
              <w:t>0.2</w:t>
            </w:r>
          </w:p>
        </w:tc>
      </w:tr>
      <w:tr w:rsidR="006C28DF" w:rsidRPr="006C28DF" w14:paraId="676E665D"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4EA0671" w14:textId="77777777" w:rsidR="006C28DF" w:rsidRPr="006C28DF" w:rsidRDefault="006C28DF" w:rsidP="006C28DF">
            <w:pPr>
              <w:jc w:val="left"/>
              <w:rPr>
                <w:sz w:val="20"/>
                <w:szCs w:val="20"/>
                <w:lang w:val="en-CA" w:eastAsia="en-CA"/>
              </w:rPr>
            </w:pPr>
            <w:r w:rsidRPr="006C28DF">
              <w:rPr>
                <w:sz w:val="20"/>
                <w:szCs w:val="20"/>
                <w:lang w:val="en-CA" w:eastAsia="en-CA"/>
              </w:rPr>
              <w:t>Saint Lucia</w:t>
            </w:r>
          </w:p>
        </w:tc>
        <w:tc>
          <w:tcPr>
            <w:tcW w:w="980" w:type="dxa"/>
            <w:tcBorders>
              <w:top w:val="nil"/>
              <w:left w:val="nil"/>
              <w:bottom w:val="single" w:sz="4" w:space="0" w:color="auto"/>
              <w:right w:val="single" w:sz="4" w:space="0" w:color="auto"/>
            </w:tcBorders>
            <w:shd w:val="clear" w:color="auto" w:fill="auto"/>
            <w:hideMark/>
          </w:tcPr>
          <w:p w14:paraId="1105F7CB"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CFFD8F3"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E32B09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9ACF07D"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6A92B344" w14:textId="77777777" w:rsidR="006C28DF" w:rsidRPr="006C28DF" w:rsidRDefault="006C28DF" w:rsidP="006C28DF">
            <w:pPr>
              <w:jc w:val="right"/>
              <w:rPr>
                <w:sz w:val="20"/>
                <w:szCs w:val="20"/>
                <w:lang w:val="en-CA" w:eastAsia="en-CA"/>
              </w:rPr>
            </w:pPr>
            <w:r w:rsidRPr="006C28DF">
              <w:rPr>
                <w:sz w:val="20"/>
                <w:szCs w:val="20"/>
                <w:lang w:val="en-CA" w:eastAsia="en-CA"/>
              </w:rPr>
              <w:t>10</w:t>
            </w:r>
          </w:p>
        </w:tc>
        <w:tc>
          <w:tcPr>
            <w:tcW w:w="976" w:type="dxa"/>
            <w:tcBorders>
              <w:top w:val="nil"/>
              <w:left w:val="nil"/>
              <w:bottom w:val="single" w:sz="4" w:space="0" w:color="auto"/>
              <w:right w:val="single" w:sz="4" w:space="0" w:color="auto"/>
            </w:tcBorders>
            <w:shd w:val="clear" w:color="auto" w:fill="auto"/>
            <w:hideMark/>
          </w:tcPr>
          <w:p w14:paraId="18F418F6"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01EE809E"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159E530" w14:textId="77777777" w:rsidR="006C28DF" w:rsidRPr="006C28DF" w:rsidRDefault="006C28DF" w:rsidP="006C28DF">
            <w:pPr>
              <w:jc w:val="left"/>
              <w:rPr>
                <w:sz w:val="20"/>
                <w:szCs w:val="20"/>
                <w:lang w:val="en-CA" w:eastAsia="en-CA"/>
              </w:rPr>
            </w:pPr>
            <w:r w:rsidRPr="006C28DF">
              <w:rPr>
                <w:sz w:val="20"/>
                <w:szCs w:val="20"/>
                <w:lang w:val="en-CA" w:eastAsia="en-CA"/>
              </w:rPr>
              <w:t>Saint Lucia</w:t>
            </w:r>
          </w:p>
        </w:tc>
        <w:tc>
          <w:tcPr>
            <w:tcW w:w="980" w:type="dxa"/>
            <w:tcBorders>
              <w:top w:val="nil"/>
              <w:left w:val="nil"/>
              <w:bottom w:val="single" w:sz="4" w:space="0" w:color="auto"/>
              <w:right w:val="single" w:sz="4" w:space="0" w:color="auto"/>
            </w:tcBorders>
            <w:shd w:val="clear" w:color="auto" w:fill="auto"/>
            <w:hideMark/>
          </w:tcPr>
          <w:p w14:paraId="40BA2F6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1B8D7B6"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B38266C"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426FE1C"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46EF6232"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6896F2D3"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302F40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5C8D975" w14:textId="77777777" w:rsidR="006C28DF" w:rsidRPr="006C28DF" w:rsidRDefault="006C28DF" w:rsidP="006C28DF">
            <w:pPr>
              <w:jc w:val="left"/>
              <w:rPr>
                <w:sz w:val="20"/>
                <w:szCs w:val="20"/>
                <w:lang w:val="en-CA" w:eastAsia="en-CA"/>
              </w:rPr>
            </w:pPr>
            <w:r w:rsidRPr="006C28DF">
              <w:rPr>
                <w:sz w:val="20"/>
                <w:szCs w:val="20"/>
                <w:lang w:val="en-CA" w:eastAsia="en-CA"/>
              </w:rPr>
              <w:t>Saint Lucia</w:t>
            </w:r>
          </w:p>
        </w:tc>
        <w:tc>
          <w:tcPr>
            <w:tcW w:w="980" w:type="dxa"/>
            <w:tcBorders>
              <w:top w:val="nil"/>
              <w:left w:val="nil"/>
              <w:bottom w:val="single" w:sz="4" w:space="0" w:color="auto"/>
              <w:right w:val="single" w:sz="4" w:space="0" w:color="auto"/>
            </w:tcBorders>
            <w:shd w:val="clear" w:color="auto" w:fill="auto"/>
            <w:hideMark/>
          </w:tcPr>
          <w:p w14:paraId="754B2FD9"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6077A093"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858144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60E9859"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48F75CC8"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54AF4550"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29A1EFF4"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035905A5" w14:textId="77777777" w:rsidR="006C28DF" w:rsidRPr="006C28DF" w:rsidRDefault="006C28DF" w:rsidP="006C28DF">
            <w:pPr>
              <w:jc w:val="left"/>
              <w:rPr>
                <w:sz w:val="20"/>
                <w:szCs w:val="20"/>
                <w:lang w:val="en-CA" w:eastAsia="en-CA"/>
              </w:rPr>
            </w:pPr>
            <w:r w:rsidRPr="006C28DF">
              <w:rPr>
                <w:sz w:val="20"/>
                <w:szCs w:val="20"/>
                <w:lang w:val="en-CA" w:eastAsia="en-CA"/>
              </w:rPr>
              <w:t>Saint Vincent and the Grenadines</w:t>
            </w:r>
          </w:p>
        </w:tc>
        <w:tc>
          <w:tcPr>
            <w:tcW w:w="980" w:type="dxa"/>
            <w:tcBorders>
              <w:top w:val="nil"/>
              <w:left w:val="nil"/>
              <w:bottom w:val="single" w:sz="4" w:space="0" w:color="auto"/>
              <w:right w:val="single" w:sz="4" w:space="0" w:color="auto"/>
            </w:tcBorders>
            <w:shd w:val="clear" w:color="auto" w:fill="auto"/>
            <w:hideMark/>
          </w:tcPr>
          <w:p w14:paraId="093A2E89"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817FBF6"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B29DD1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012A0B4"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25ABF6D4" w14:textId="77777777" w:rsidR="006C28DF" w:rsidRPr="006C28DF" w:rsidRDefault="006C28DF" w:rsidP="006C28DF">
            <w:pPr>
              <w:jc w:val="right"/>
              <w:rPr>
                <w:sz w:val="20"/>
                <w:szCs w:val="20"/>
                <w:lang w:val="en-CA" w:eastAsia="en-CA"/>
              </w:rPr>
            </w:pPr>
            <w:r w:rsidRPr="006C28DF">
              <w:rPr>
                <w:sz w:val="20"/>
                <w:szCs w:val="20"/>
                <w:lang w:val="en-CA" w:eastAsia="en-CA"/>
              </w:rPr>
              <w:t>116</w:t>
            </w:r>
          </w:p>
        </w:tc>
        <w:tc>
          <w:tcPr>
            <w:tcW w:w="976" w:type="dxa"/>
            <w:tcBorders>
              <w:top w:val="nil"/>
              <w:left w:val="nil"/>
              <w:bottom w:val="single" w:sz="4" w:space="0" w:color="auto"/>
              <w:right w:val="single" w:sz="4" w:space="0" w:color="auto"/>
            </w:tcBorders>
            <w:shd w:val="clear" w:color="auto" w:fill="auto"/>
            <w:hideMark/>
          </w:tcPr>
          <w:p w14:paraId="5128E9E6" w14:textId="77777777" w:rsidR="006C28DF" w:rsidRPr="006C28DF" w:rsidRDefault="006C28DF" w:rsidP="006C28DF">
            <w:pPr>
              <w:jc w:val="right"/>
              <w:rPr>
                <w:sz w:val="20"/>
                <w:szCs w:val="20"/>
                <w:lang w:val="en-CA" w:eastAsia="en-CA"/>
              </w:rPr>
            </w:pPr>
            <w:r w:rsidRPr="006C28DF">
              <w:rPr>
                <w:sz w:val="20"/>
                <w:szCs w:val="20"/>
                <w:lang w:val="en-CA" w:eastAsia="en-CA"/>
              </w:rPr>
              <w:t>0.1</w:t>
            </w:r>
          </w:p>
        </w:tc>
      </w:tr>
      <w:tr w:rsidR="006C28DF" w:rsidRPr="006C28DF" w14:paraId="79B3BF7A"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447F1D7C" w14:textId="77777777" w:rsidR="006C28DF" w:rsidRPr="006C28DF" w:rsidRDefault="006C28DF" w:rsidP="006C28DF">
            <w:pPr>
              <w:jc w:val="left"/>
              <w:rPr>
                <w:sz w:val="20"/>
                <w:szCs w:val="20"/>
                <w:lang w:val="en-CA" w:eastAsia="en-CA"/>
              </w:rPr>
            </w:pPr>
            <w:r w:rsidRPr="006C28DF">
              <w:rPr>
                <w:sz w:val="20"/>
                <w:szCs w:val="20"/>
                <w:lang w:val="en-CA" w:eastAsia="en-CA"/>
              </w:rPr>
              <w:t>Samoa</w:t>
            </w:r>
          </w:p>
        </w:tc>
        <w:tc>
          <w:tcPr>
            <w:tcW w:w="980" w:type="dxa"/>
            <w:tcBorders>
              <w:top w:val="nil"/>
              <w:left w:val="nil"/>
              <w:bottom w:val="single" w:sz="4" w:space="0" w:color="auto"/>
              <w:right w:val="single" w:sz="4" w:space="0" w:color="auto"/>
            </w:tcBorders>
            <w:shd w:val="clear" w:color="auto" w:fill="auto"/>
            <w:hideMark/>
          </w:tcPr>
          <w:p w14:paraId="5B9B009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4720222"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4C8C06D"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48AC28E"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7A569AD3"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677E774D"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918486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FC5AAD8" w14:textId="77777777" w:rsidR="006C28DF" w:rsidRPr="006C28DF" w:rsidRDefault="006C28DF" w:rsidP="006C28DF">
            <w:pPr>
              <w:jc w:val="left"/>
              <w:rPr>
                <w:sz w:val="20"/>
                <w:szCs w:val="20"/>
                <w:lang w:val="en-CA" w:eastAsia="en-CA"/>
              </w:rPr>
            </w:pPr>
            <w:r w:rsidRPr="006C28DF">
              <w:rPr>
                <w:sz w:val="20"/>
                <w:szCs w:val="20"/>
                <w:lang w:val="en-CA" w:eastAsia="en-CA"/>
              </w:rPr>
              <w:t>Sao Tome and Principe</w:t>
            </w:r>
          </w:p>
        </w:tc>
        <w:tc>
          <w:tcPr>
            <w:tcW w:w="980" w:type="dxa"/>
            <w:tcBorders>
              <w:top w:val="nil"/>
              <w:left w:val="nil"/>
              <w:bottom w:val="single" w:sz="4" w:space="0" w:color="auto"/>
              <w:right w:val="single" w:sz="4" w:space="0" w:color="auto"/>
            </w:tcBorders>
            <w:shd w:val="clear" w:color="auto" w:fill="auto"/>
            <w:hideMark/>
          </w:tcPr>
          <w:p w14:paraId="5D3826AA"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4E302DE2"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295D270C"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5AFB912"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715BCCD7"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69CE441F"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2279C65C"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39D9964" w14:textId="77777777" w:rsidR="006C28DF" w:rsidRPr="006C28DF" w:rsidRDefault="006C28DF" w:rsidP="006C28DF">
            <w:pPr>
              <w:jc w:val="left"/>
              <w:rPr>
                <w:sz w:val="20"/>
                <w:szCs w:val="20"/>
                <w:lang w:val="en-CA" w:eastAsia="en-CA"/>
              </w:rPr>
            </w:pPr>
            <w:r w:rsidRPr="006C28DF">
              <w:rPr>
                <w:sz w:val="20"/>
                <w:szCs w:val="20"/>
                <w:lang w:val="en-CA" w:eastAsia="en-CA"/>
              </w:rPr>
              <w:t>Sao Tome and Principe</w:t>
            </w:r>
          </w:p>
        </w:tc>
        <w:tc>
          <w:tcPr>
            <w:tcW w:w="980" w:type="dxa"/>
            <w:tcBorders>
              <w:top w:val="nil"/>
              <w:left w:val="nil"/>
              <w:bottom w:val="single" w:sz="4" w:space="0" w:color="auto"/>
              <w:right w:val="single" w:sz="4" w:space="0" w:color="auto"/>
            </w:tcBorders>
            <w:shd w:val="clear" w:color="auto" w:fill="auto"/>
            <w:hideMark/>
          </w:tcPr>
          <w:p w14:paraId="7012573C"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AA984B2"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245469B9"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55689581"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283C51A7"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2D153AB4"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3ABB59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4BB8F64" w14:textId="77777777" w:rsidR="006C28DF" w:rsidRPr="006C28DF" w:rsidRDefault="006C28DF" w:rsidP="006C28DF">
            <w:pPr>
              <w:jc w:val="left"/>
              <w:rPr>
                <w:sz w:val="20"/>
                <w:szCs w:val="20"/>
                <w:lang w:val="en-CA" w:eastAsia="en-CA"/>
              </w:rPr>
            </w:pPr>
            <w:r w:rsidRPr="006C28DF">
              <w:rPr>
                <w:sz w:val="20"/>
                <w:szCs w:val="20"/>
                <w:lang w:val="en-CA" w:eastAsia="en-CA"/>
              </w:rPr>
              <w:t>Saudi Arabia</w:t>
            </w:r>
          </w:p>
        </w:tc>
        <w:tc>
          <w:tcPr>
            <w:tcW w:w="980" w:type="dxa"/>
            <w:tcBorders>
              <w:top w:val="nil"/>
              <w:left w:val="nil"/>
              <w:bottom w:val="single" w:sz="4" w:space="0" w:color="auto"/>
              <w:right w:val="single" w:sz="4" w:space="0" w:color="auto"/>
            </w:tcBorders>
            <w:shd w:val="clear" w:color="auto" w:fill="auto"/>
            <w:hideMark/>
          </w:tcPr>
          <w:p w14:paraId="1A78AC3F"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2274BA37"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731894D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112D32D" w14:textId="77777777" w:rsidR="006C28DF" w:rsidRPr="006C28DF" w:rsidRDefault="006C28DF" w:rsidP="006C28DF">
            <w:pPr>
              <w:jc w:val="left"/>
              <w:rPr>
                <w:sz w:val="20"/>
                <w:szCs w:val="20"/>
                <w:lang w:val="en-CA" w:eastAsia="en-CA"/>
              </w:rPr>
            </w:pPr>
            <w:r w:rsidRPr="006C28DF">
              <w:rPr>
                <w:sz w:val="20"/>
                <w:szCs w:val="20"/>
                <w:lang w:val="en-CA" w:eastAsia="en-CA"/>
              </w:rPr>
              <w:t>HPMP - Stage I</w:t>
            </w:r>
          </w:p>
        </w:tc>
        <w:tc>
          <w:tcPr>
            <w:tcW w:w="1148" w:type="dxa"/>
            <w:tcBorders>
              <w:top w:val="nil"/>
              <w:left w:val="nil"/>
              <w:bottom w:val="single" w:sz="4" w:space="0" w:color="auto"/>
              <w:right w:val="single" w:sz="4" w:space="0" w:color="auto"/>
            </w:tcBorders>
            <w:shd w:val="clear" w:color="auto" w:fill="auto"/>
            <w:hideMark/>
          </w:tcPr>
          <w:p w14:paraId="1A3C1B86" w14:textId="77777777" w:rsidR="006C28DF" w:rsidRPr="006C28DF" w:rsidRDefault="006C28DF" w:rsidP="006C28DF">
            <w:pPr>
              <w:jc w:val="right"/>
              <w:rPr>
                <w:sz w:val="20"/>
                <w:szCs w:val="20"/>
                <w:lang w:val="en-CA" w:eastAsia="en-CA"/>
              </w:rPr>
            </w:pPr>
            <w:r w:rsidRPr="006C28DF">
              <w:rPr>
                <w:sz w:val="20"/>
                <w:szCs w:val="20"/>
                <w:lang w:val="en-CA" w:eastAsia="en-CA"/>
              </w:rPr>
              <w:t>910</w:t>
            </w:r>
          </w:p>
        </w:tc>
        <w:tc>
          <w:tcPr>
            <w:tcW w:w="976" w:type="dxa"/>
            <w:tcBorders>
              <w:top w:val="nil"/>
              <w:left w:val="nil"/>
              <w:bottom w:val="single" w:sz="4" w:space="0" w:color="auto"/>
              <w:right w:val="single" w:sz="4" w:space="0" w:color="auto"/>
            </w:tcBorders>
            <w:shd w:val="clear" w:color="auto" w:fill="auto"/>
            <w:hideMark/>
          </w:tcPr>
          <w:p w14:paraId="0EF8A3AC" w14:textId="77777777" w:rsidR="006C28DF" w:rsidRPr="006C28DF" w:rsidRDefault="006C28DF" w:rsidP="006C28DF">
            <w:pPr>
              <w:jc w:val="right"/>
              <w:rPr>
                <w:sz w:val="20"/>
                <w:szCs w:val="20"/>
                <w:lang w:val="en-CA" w:eastAsia="en-CA"/>
              </w:rPr>
            </w:pPr>
            <w:r w:rsidRPr="006C28DF">
              <w:rPr>
                <w:sz w:val="20"/>
                <w:szCs w:val="20"/>
                <w:lang w:val="en-CA" w:eastAsia="en-CA"/>
              </w:rPr>
              <w:t>38.7</w:t>
            </w:r>
          </w:p>
        </w:tc>
      </w:tr>
      <w:tr w:rsidR="006C28DF" w:rsidRPr="006C28DF" w14:paraId="4D9BF55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D62D706" w14:textId="77777777" w:rsidR="006C28DF" w:rsidRPr="006C28DF" w:rsidRDefault="006C28DF" w:rsidP="006C28DF">
            <w:pPr>
              <w:jc w:val="left"/>
              <w:rPr>
                <w:sz w:val="20"/>
                <w:szCs w:val="20"/>
                <w:lang w:val="en-CA" w:eastAsia="en-CA"/>
              </w:rPr>
            </w:pPr>
            <w:r w:rsidRPr="006C28DF">
              <w:rPr>
                <w:sz w:val="20"/>
                <w:szCs w:val="20"/>
                <w:lang w:val="en-CA" w:eastAsia="en-CA"/>
              </w:rPr>
              <w:t>Saudi Arabia</w:t>
            </w:r>
          </w:p>
        </w:tc>
        <w:tc>
          <w:tcPr>
            <w:tcW w:w="980" w:type="dxa"/>
            <w:tcBorders>
              <w:top w:val="nil"/>
              <w:left w:val="nil"/>
              <w:bottom w:val="single" w:sz="4" w:space="0" w:color="auto"/>
              <w:right w:val="single" w:sz="4" w:space="0" w:color="auto"/>
            </w:tcBorders>
            <w:shd w:val="clear" w:color="auto" w:fill="auto"/>
            <w:hideMark/>
          </w:tcPr>
          <w:p w14:paraId="73DFC13E"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A054CF9"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6866EA8F"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F4164B0"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AC08DA1" w14:textId="77777777" w:rsidR="006C28DF" w:rsidRPr="006C28DF" w:rsidRDefault="006C28DF" w:rsidP="006C28DF">
            <w:pPr>
              <w:jc w:val="right"/>
              <w:rPr>
                <w:sz w:val="20"/>
                <w:szCs w:val="20"/>
                <w:lang w:val="en-CA" w:eastAsia="en-CA"/>
              </w:rPr>
            </w:pPr>
            <w:r w:rsidRPr="006C28DF">
              <w:rPr>
                <w:sz w:val="20"/>
                <w:szCs w:val="20"/>
                <w:lang w:val="en-CA" w:eastAsia="en-CA"/>
              </w:rPr>
              <w:t>256</w:t>
            </w:r>
          </w:p>
        </w:tc>
        <w:tc>
          <w:tcPr>
            <w:tcW w:w="976" w:type="dxa"/>
            <w:tcBorders>
              <w:top w:val="nil"/>
              <w:left w:val="nil"/>
              <w:bottom w:val="single" w:sz="4" w:space="0" w:color="auto"/>
              <w:right w:val="single" w:sz="4" w:space="0" w:color="auto"/>
            </w:tcBorders>
            <w:shd w:val="clear" w:color="auto" w:fill="auto"/>
            <w:hideMark/>
          </w:tcPr>
          <w:p w14:paraId="68061D39"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8CB5FA7"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31FD814" w14:textId="77777777" w:rsidR="006C28DF" w:rsidRPr="006C28DF" w:rsidRDefault="006C28DF" w:rsidP="006C28DF">
            <w:pPr>
              <w:jc w:val="left"/>
              <w:rPr>
                <w:sz w:val="20"/>
                <w:szCs w:val="20"/>
                <w:lang w:val="en-CA" w:eastAsia="en-CA"/>
              </w:rPr>
            </w:pPr>
            <w:r w:rsidRPr="006C28DF">
              <w:rPr>
                <w:sz w:val="20"/>
                <w:szCs w:val="20"/>
                <w:lang w:val="en-CA" w:eastAsia="en-CA"/>
              </w:rPr>
              <w:lastRenderedPageBreak/>
              <w:t>Senegal</w:t>
            </w:r>
          </w:p>
        </w:tc>
        <w:tc>
          <w:tcPr>
            <w:tcW w:w="980" w:type="dxa"/>
            <w:tcBorders>
              <w:top w:val="nil"/>
              <w:left w:val="nil"/>
              <w:bottom w:val="single" w:sz="4" w:space="0" w:color="auto"/>
              <w:right w:val="single" w:sz="4" w:space="0" w:color="auto"/>
            </w:tcBorders>
            <w:shd w:val="clear" w:color="auto" w:fill="auto"/>
            <w:hideMark/>
          </w:tcPr>
          <w:p w14:paraId="27B1706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D32D47F"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020EF03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22347C7"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6E855B2F" w14:textId="77777777" w:rsidR="006C28DF" w:rsidRPr="006C28DF" w:rsidRDefault="006C28DF" w:rsidP="006C28DF">
            <w:pPr>
              <w:jc w:val="right"/>
              <w:rPr>
                <w:sz w:val="20"/>
                <w:szCs w:val="20"/>
                <w:lang w:val="en-CA" w:eastAsia="en-CA"/>
              </w:rPr>
            </w:pPr>
            <w:r w:rsidRPr="006C28DF">
              <w:rPr>
                <w:sz w:val="20"/>
                <w:szCs w:val="20"/>
                <w:lang w:val="en-CA" w:eastAsia="en-CA"/>
              </w:rPr>
              <w:t>90</w:t>
            </w:r>
          </w:p>
        </w:tc>
        <w:tc>
          <w:tcPr>
            <w:tcW w:w="976" w:type="dxa"/>
            <w:tcBorders>
              <w:top w:val="nil"/>
              <w:left w:val="nil"/>
              <w:bottom w:val="single" w:sz="4" w:space="0" w:color="auto"/>
              <w:right w:val="single" w:sz="4" w:space="0" w:color="auto"/>
            </w:tcBorders>
            <w:shd w:val="clear" w:color="auto" w:fill="auto"/>
            <w:hideMark/>
          </w:tcPr>
          <w:p w14:paraId="0D080C45" w14:textId="77777777" w:rsidR="006C28DF" w:rsidRPr="006C28DF" w:rsidRDefault="006C28DF" w:rsidP="006C28DF">
            <w:pPr>
              <w:jc w:val="right"/>
              <w:rPr>
                <w:sz w:val="20"/>
                <w:szCs w:val="20"/>
                <w:lang w:val="en-CA" w:eastAsia="en-CA"/>
              </w:rPr>
            </w:pPr>
            <w:r w:rsidRPr="006C28DF">
              <w:rPr>
                <w:sz w:val="20"/>
                <w:szCs w:val="20"/>
                <w:lang w:val="en-CA" w:eastAsia="en-CA"/>
              </w:rPr>
              <w:t>0.9</w:t>
            </w:r>
          </w:p>
        </w:tc>
      </w:tr>
      <w:tr w:rsidR="006C28DF" w:rsidRPr="006C28DF" w14:paraId="1D730EB8"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7D214010" w14:textId="77777777" w:rsidR="006C28DF" w:rsidRPr="006C28DF" w:rsidRDefault="006C28DF" w:rsidP="006C28DF">
            <w:pPr>
              <w:jc w:val="left"/>
              <w:rPr>
                <w:sz w:val="20"/>
                <w:szCs w:val="20"/>
                <w:lang w:val="en-CA" w:eastAsia="en-CA"/>
              </w:rPr>
            </w:pPr>
            <w:r w:rsidRPr="006C28DF">
              <w:rPr>
                <w:sz w:val="20"/>
                <w:szCs w:val="20"/>
                <w:lang w:val="en-CA" w:eastAsia="en-CA"/>
              </w:rPr>
              <w:t>Senegal</w:t>
            </w:r>
          </w:p>
        </w:tc>
        <w:tc>
          <w:tcPr>
            <w:tcW w:w="980" w:type="dxa"/>
            <w:tcBorders>
              <w:top w:val="nil"/>
              <w:left w:val="nil"/>
              <w:bottom w:val="single" w:sz="4" w:space="0" w:color="auto"/>
              <w:right w:val="single" w:sz="4" w:space="0" w:color="auto"/>
            </w:tcBorders>
            <w:shd w:val="clear" w:color="auto" w:fill="auto"/>
            <w:hideMark/>
          </w:tcPr>
          <w:p w14:paraId="7FA3A111"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36701BC"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61BA6D2D"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7FB360F"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0B55A7B5"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700F7E74"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1AEE935"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20875F1" w14:textId="77777777" w:rsidR="006C28DF" w:rsidRPr="006C28DF" w:rsidRDefault="006C28DF" w:rsidP="006C28DF">
            <w:pPr>
              <w:jc w:val="left"/>
              <w:rPr>
                <w:sz w:val="20"/>
                <w:szCs w:val="20"/>
                <w:lang w:val="en-CA" w:eastAsia="en-CA"/>
              </w:rPr>
            </w:pPr>
            <w:r w:rsidRPr="006C28DF">
              <w:rPr>
                <w:sz w:val="20"/>
                <w:szCs w:val="20"/>
                <w:lang w:val="en-CA" w:eastAsia="en-CA"/>
              </w:rPr>
              <w:t>Senegal</w:t>
            </w:r>
          </w:p>
        </w:tc>
        <w:tc>
          <w:tcPr>
            <w:tcW w:w="980" w:type="dxa"/>
            <w:tcBorders>
              <w:top w:val="nil"/>
              <w:left w:val="nil"/>
              <w:bottom w:val="single" w:sz="4" w:space="0" w:color="auto"/>
              <w:right w:val="single" w:sz="4" w:space="0" w:color="auto"/>
            </w:tcBorders>
            <w:shd w:val="clear" w:color="auto" w:fill="auto"/>
            <w:hideMark/>
          </w:tcPr>
          <w:p w14:paraId="79A19B3A"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47CD09DD"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20003EA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46F43B6" w14:textId="77777777" w:rsidR="006C28DF" w:rsidRPr="006C28DF" w:rsidRDefault="006C28DF" w:rsidP="006C28DF">
            <w:pPr>
              <w:jc w:val="left"/>
              <w:rPr>
                <w:sz w:val="20"/>
                <w:szCs w:val="20"/>
                <w:lang w:val="en-CA" w:eastAsia="en-CA"/>
              </w:rPr>
            </w:pPr>
            <w:r w:rsidRPr="006C28DF">
              <w:rPr>
                <w:sz w:val="20"/>
                <w:szCs w:val="20"/>
                <w:lang w:val="en-CA" w:eastAsia="en-CA"/>
              </w:rPr>
              <w:t>HPMP - Stage I</w:t>
            </w:r>
          </w:p>
        </w:tc>
        <w:tc>
          <w:tcPr>
            <w:tcW w:w="1148" w:type="dxa"/>
            <w:tcBorders>
              <w:top w:val="nil"/>
              <w:left w:val="nil"/>
              <w:bottom w:val="single" w:sz="4" w:space="0" w:color="auto"/>
              <w:right w:val="single" w:sz="4" w:space="0" w:color="auto"/>
            </w:tcBorders>
            <w:shd w:val="clear" w:color="auto" w:fill="auto"/>
            <w:hideMark/>
          </w:tcPr>
          <w:p w14:paraId="7B8570CF" w14:textId="77777777" w:rsidR="006C28DF" w:rsidRPr="006C28DF" w:rsidRDefault="006C28DF" w:rsidP="006C28DF">
            <w:pPr>
              <w:jc w:val="right"/>
              <w:rPr>
                <w:sz w:val="20"/>
                <w:szCs w:val="20"/>
                <w:lang w:val="en-CA" w:eastAsia="en-CA"/>
              </w:rPr>
            </w:pPr>
            <w:r w:rsidRPr="006C28DF">
              <w:rPr>
                <w:sz w:val="20"/>
                <w:szCs w:val="20"/>
                <w:lang w:val="en-CA" w:eastAsia="en-CA"/>
              </w:rPr>
              <w:t>22</w:t>
            </w:r>
          </w:p>
        </w:tc>
        <w:tc>
          <w:tcPr>
            <w:tcW w:w="976" w:type="dxa"/>
            <w:tcBorders>
              <w:top w:val="nil"/>
              <w:left w:val="nil"/>
              <w:bottom w:val="single" w:sz="4" w:space="0" w:color="auto"/>
              <w:right w:val="single" w:sz="4" w:space="0" w:color="auto"/>
            </w:tcBorders>
            <w:shd w:val="clear" w:color="auto" w:fill="auto"/>
            <w:hideMark/>
          </w:tcPr>
          <w:p w14:paraId="4945B148" w14:textId="77777777" w:rsidR="006C28DF" w:rsidRPr="006C28DF" w:rsidRDefault="006C28DF" w:rsidP="006C28DF">
            <w:pPr>
              <w:jc w:val="right"/>
              <w:rPr>
                <w:sz w:val="20"/>
                <w:szCs w:val="20"/>
                <w:lang w:val="en-CA" w:eastAsia="en-CA"/>
              </w:rPr>
            </w:pPr>
            <w:r w:rsidRPr="006C28DF">
              <w:rPr>
                <w:sz w:val="20"/>
                <w:szCs w:val="20"/>
                <w:lang w:val="en-CA" w:eastAsia="en-CA"/>
              </w:rPr>
              <w:t>0.2</w:t>
            </w:r>
          </w:p>
        </w:tc>
      </w:tr>
      <w:tr w:rsidR="006C28DF" w:rsidRPr="006C28DF" w14:paraId="34B764C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E3545C1" w14:textId="77777777" w:rsidR="006C28DF" w:rsidRPr="006C28DF" w:rsidRDefault="006C28DF" w:rsidP="006C28DF">
            <w:pPr>
              <w:jc w:val="left"/>
              <w:rPr>
                <w:sz w:val="20"/>
                <w:szCs w:val="20"/>
                <w:lang w:val="en-CA" w:eastAsia="en-CA"/>
              </w:rPr>
            </w:pPr>
            <w:r w:rsidRPr="006C28DF">
              <w:rPr>
                <w:sz w:val="20"/>
                <w:szCs w:val="20"/>
                <w:lang w:val="en-CA" w:eastAsia="en-CA"/>
              </w:rPr>
              <w:t>Senegal</w:t>
            </w:r>
          </w:p>
        </w:tc>
        <w:tc>
          <w:tcPr>
            <w:tcW w:w="980" w:type="dxa"/>
            <w:tcBorders>
              <w:top w:val="nil"/>
              <w:left w:val="nil"/>
              <w:bottom w:val="single" w:sz="4" w:space="0" w:color="auto"/>
              <w:right w:val="single" w:sz="4" w:space="0" w:color="auto"/>
            </w:tcBorders>
            <w:shd w:val="clear" w:color="auto" w:fill="auto"/>
            <w:hideMark/>
          </w:tcPr>
          <w:p w14:paraId="5CC20375"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1A0B9392"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929096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65990B3" w14:textId="77777777" w:rsidR="006C28DF" w:rsidRPr="006C28DF" w:rsidRDefault="006C28DF" w:rsidP="006C28DF">
            <w:pPr>
              <w:jc w:val="left"/>
              <w:rPr>
                <w:sz w:val="20"/>
                <w:szCs w:val="20"/>
                <w:lang w:val="en-CA" w:eastAsia="en-CA"/>
              </w:rPr>
            </w:pPr>
            <w:r w:rsidRPr="006C28DF">
              <w:rPr>
                <w:sz w:val="20"/>
                <w:szCs w:val="20"/>
                <w:lang w:val="en-CA" w:eastAsia="en-CA"/>
              </w:rPr>
              <w:t>REF-Servicing (Stage II)</w:t>
            </w:r>
          </w:p>
        </w:tc>
        <w:tc>
          <w:tcPr>
            <w:tcW w:w="1148" w:type="dxa"/>
            <w:tcBorders>
              <w:top w:val="nil"/>
              <w:left w:val="nil"/>
              <w:bottom w:val="single" w:sz="4" w:space="0" w:color="auto"/>
              <w:right w:val="single" w:sz="4" w:space="0" w:color="auto"/>
            </w:tcBorders>
            <w:shd w:val="clear" w:color="auto" w:fill="auto"/>
            <w:hideMark/>
          </w:tcPr>
          <w:p w14:paraId="75110149" w14:textId="77777777" w:rsidR="006C28DF" w:rsidRPr="006C28DF" w:rsidRDefault="006C28DF" w:rsidP="006C28DF">
            <w:pPr>
              <w:jc w:val="right"/>
              <w:rPr>
                <w:sz w:val="20"/>
                <w:szCs w:val="20"/>
                <w:lang w:val="en-CA" w:eastAsia="en-CA"/>
              </w:rPr>
            </w:pPr>
            <w:r w:rsidRPr="006C28DF">
              <w:rPr>
                <w:sz w:val="20"/>
                <w:szCs w:val="20"/>
                <w:lang w:val="en-CA" w:eastAsia="en-CA"/>
              </w:rPr>
              <w:t>43</w:t>
            </w:r>
          </w:p>
        </w:tc>
        <w:tc>
          <w:tcPr>
            <w:tcW w:w="976" w:type="dxa"/>
            <w:tcBorders>
              <w:top w:val="nil"/>
              <w:left w:val="nil"/>
              <w:bottom w:val="single" w:sz="4" w:space="0" w:color="auto"/>
              <w:right w:val="single" w:sz="4" w:space="0" w:color="auto"/>
            </w:tcBorders>
            <w:shd w:val="clear" w:color="auto" w:fill="auto"/>
            <w:hideMark/>
          </w:tcPr>
          <w:p w14:paraId="286B3AB1"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400A67F5"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AA2F7C4" w14:textId="77777777" w:rsidR="006C28DF" w:rsidRPr="006C28DF" w:rsidRDefault="006C28DF" w:rsidP="006C28DF">
            <w:pPr>
              <w:jc w:val="left"/>
              <w:rPr>
                <w:sz w:val="20"/>
                <w:szCs w:val="20"/>
                <w:lang w:val="en-CA" w:eastAsia="en-CA"/>
              </w:rPr>
            </w:pPr>
            <w:r w:rsidRPr="006C28DF">
              <w:rPr>
                <w:sz w:val="20"/>
                <w:szCs w:val="20"/>
                <w:lang w:val="en-CA" w:eastAsia="en-CA"/>
              </w:rPr>
              <w:t>Serbia</w:t>
            </w:r>
          </w:p>
        </w:tc>
        <w:tc>
          <w:tcPr>
            <w:tcW w:w="980" w:type="dxa"/>
            <w:tcBorders>
              <w:top w:val="nil"/>
              <w:left w:val="nil"/>
              <w:bottom w:val="single" w:sz="4" w:space="0" w:color="auto"/>
              <w:right w:val="single" w:sz="4" w:space="0" w:color="auto"/>
            </w:tcBorders>
            <w:shd w:val="clear" w:color="auto" w:fill="auto"/>
            <w:hideMark/>
          </w:tcPr>
          <w:p w14:paraId="59081E9A"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278AD24A"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13B21A4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2A6F4E1"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4A0D2278" w14:textId="77777777" w:rsidR="006C28DF" w:rsidRPr="006C28DF" w:rsidRDefault="006C28DF" w:rsidP="006C28DF">
            <w:pPr>
              <w:jc w:val="right"/>
              <w:rPr>
                <w:sz w:val="20"/>
                <w:szCs w:val="20"/>
                <w:lang w:val="en-CA" w:eastAsia="en-CA"/>
              </w:rPr>
            </w:pPr>
            <w:r w:rsidRPr="006C28DF">
              <w:rPr>
                <w:sz w:val="20"/>
                <w:szCs w:val="20"/>
                <w:lang w:val="en-CA" w:eastAsia="en-CA"/>
              </w:rPr>
              <w:t>27</w:t>
            </w:r>
          </w:p>
        </w:tc>
        <w:tc>
          <w:tcPr>
            <w:tcW w:w="976" w:type="dxa"/>
            <w:tcBorders>
              <w:top w:val="nil"/>
              <w:left w:val="nil"/>
              <w:bottom w:val="single" w:sz="4" w:space="0" w:color="auto"/>
              <w:right w:val="single" w:sz="4" w:space="0" w:color="auto"/>
            </w:tcBorders>
            <w:shd w:val="clear" w:color="auto" w:fill="auto"/>
            <w:hideMark/>
          </w:tcPr>
          <w:p w14:paraId="74F0416A"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6BC371E4"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A4303EF" w14:textId="77777777" w:rsidR="006C28DF" w:rsidRPr="006C28DF" w:rsidRDefault="006C28DF" w:rsidP="006C28DF">
            <w:pPr>
              <w:jc w:val="left"/>
              <w:rPr>
                <w:sz w:val="20"/>
                <w:szCs w:val="20"/>
                <w:lang w:val="en-CA" w:eastAsia="en-CA"/>
              </w:rPr>
            </w:pPr>
            <w:r w:rsidRPr="006C28DF">
              <w:rPr>
                <w:sz w:val="20"/>
                <w:szCs w:val="20"/>
                <w:lang w:val="en-CA" w:eastAsia="en-CA"/>
              </w:rPr>
              <w:t>Sierra Leone</w:t>
            </w:r>
          </w:p>
        </w:tc>
        <w:tc>
          <w:tcPr>
            <w:tcW w:w="980" w:type="dxa"/>
            <w:tcBorders>
              <w:top w:val="nil"/>
              <w:left w:val="nil"/>
              <w:bottom w:val="single" w:sz="4" w:space="0" w:color="auto"/>
              <w:right w:val="single" w:sz="4" w:space="0" w:color="auto"/>
            </w:tcBorders>
            <w:shd w:val="clear" w:color="auto" w:fill="auto"/>
            <w:hideMark/>
          </w:tcPr>
          <w:p w14:paraId="27FAD12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C376DA8"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5576BCB7"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732ADE5"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7E45F5DE" w14:textId="77777777" w:rsidR="006C28DF" w:rsidRPr="006C28DF" w:rsidRDefault="006C28DF" w:rsidP="006C28DF">
            <w:pPr>
              <w:jc w:val="right"/>
              <w:rPr>
                <w:sz w:val="20"/>
                <w:szCs w:val="20"/>
                <w:lang w:val="en-CA" w:eastAsia="en-CA"/>
              </w:rPr>
            </w:pPr>
            <w:r w:rsidRPr="006C28DF">
              <w:rPr>
                <w:sz w:val="20"/>
                <w:szCs w:val="20"/>
                <w:lang w:val="en-CA" w:eastAsia="en-CA"/>
              </w:rPr>
              <w:t>24</w:t>
            </w:r>
          </w:p>
        </w:tc>
        <w:tc>
          <w:tcPr>
            <w:tcW w:w="976" w:type="dxa"/>
            <w:tcBorders>
              <w:top w:val="nil"/>
              <w:left w:val="nil"/>
              <w:bottom w:val="single" w:sz="4" w:space="0" w:color="auto"/>
              <w:right w:val="single" w:sz="4" w:space="0" w:color="auto"/>
            </w:tcBorders>
            <w:shd w:val="clear" w:color="auto" w:fill="auto"/>
            <w:hideMark/>
          </w:tcPr>
          <w:p w14:paraId="5CF63105" w14:textId="77777777" w:rsidR="006C28DF" w:rsidRPr="006C28DF" w:rsidRDefault="006C28DF" w:rsidP="006C28DF">
            <w:pPr>
              <w:jc w:val="right"/>
              <w:rPr>
                <w:sz w:val="20"/>
                <w:szCs w:val="20"/>
                <w:lang w:val="en-CA" w:eastAsia="en-CA"/>
              </w:rPr>
            </w:pPr>
            <w:r w:rsidRPr="006C28DF">
              <w:rPr>
                <w:sz w:val="20"/>
                <w:szCs w:val="20"/>
                <w:lang w:val="en-CA" w:eastAsia="en-CA"/>
              </w:rPr>
              <w:t>0.1</w:t>
            </w:r>
          </w:p>
        </w:tc>
      </w:tr>
      <w:tr w:rsidR="006C28DF" w:rsidRPr="006C28DF" w14:paraId="616599A0"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43F5394E" w14:textId="77777777" w:rsidR="006C28DF" w:rsidRPr="006C28DF" w:rsidRDefault="006C28DF" w:rsidP="006C28DF">
            <w:pPr>
              <w:jc w:val="left"/>
              <w:rPr>
                <w:sz w:val="20"/>
                <w:szCs w:val="20"/>
                <w:lang w:val="en-CA" w:eastAsia="en-CA"/>
              </w:rPr>
            </w:pPr>
            <w:r w:rsidRPr="006C28DF">
              <w:rPr>
                <w:sz w:val="20"/>
                <w:szCs w:val="20"/>
                <w:lang w:val="en-CA" w:eastAsia="en-CA"/>
              </w:rPr>
              <w:t>Sierra Leone</w:t>
            </w:r>
          </w:p>
        </w:tc>
        <w:tc>
          <w:tcPr>
            <w:tcW w:w="980" w:type="dxa"/>
            <w:tcBorders>
              <w:top w:val="nil"/>
              <w:left w:val="nil"/>
              <w:bottom w:val="single" w:sz="4" w:space="0" w:color="auto"/>
              <w:right w:val="single" w:sz="4" w:space="0" w:color="auto"/>
            </w:tcBorders>
            <w:shd w:val="clear" w:color="auto" w:fill="auto"/>
            <w:hideMark/>
          </w:tcPr>
          <w:p w14:paraId="31A43A61"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4607B4D"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466E73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AC09280"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48C125D2"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34D4C3BB"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0E69799"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1C36DEA" w14:textId="77777777" w:rsidR="006C28DF" w:rsidRPr="006C28DF" w:rsidRDefault="006C28DF" w:rsidP="006C28DF">
            <w:pPr>
              <w:jc w:val="left"/>
              <w:rPr>
                <w:sz w:val="20"/>
                <w:szCs w:val="20"/>
                <w:lang w:val="en-CA" w:eastAsia="en-CA"/>
              </w:rPr>
            </w:pPr>
            <w:r w:rsidRPr="006C28DF">
              <w:rPr>
                <w:sz w:val="20"/>
                <w:szCs w:val="20"/>
                <w:lang w:val="en-CA" w:eastAsia="en-CA"/>
              </w:rPr>
              <w:t>Sierra Leone</w:t>
            </w:r>
          </w:p>
        </w:tc>
        <w:tc>
          <w:tcPr>
            <w:tcW w:w="980" w:type="dxa"/>
            <w:tcBorders>
              <w:top w:val="nil"/>
              <w:left w:val="nil"/>
              <w:bottom w:val="single" w:sz="4" w:space="0" w:color="auto"/>
              <w:right w:val="single" w:sz="4" w:space="0" w:color="auto"/>
            </w:tcBorders>
            <w:shd w:val="clear" w:color="auto" w:fill="auto"/>
            <w:hideMark/>
          </w:tcPr>
          <w:p w14:paraId="115C54DF"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1E309E98"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A40EDC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7EFE7B4"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0998C580"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44DD8290"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2FF99575"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9526E6C" w14:textId="77777777" w:rsidR="006C28DF" w:rsidRPr="006C28DF" w:rsidRDefault="006C28DF" w:rsidP="006C28DF">
            <w:pPr>
              <w:jc w:val="left"/>
              <w:rPr>
                <w:sz w:val="20"/>
                <w:szCs w:val="20"/>
                <w:lang w:val="en-CA" w:eastAsia="en-CA"/>
              </w:rPr>
            </w:pPr>
            <w:r w:rsidRPr="006C28DF">
              <w:rPr>
                <w:sz w:val="20"/>
                <w:szCs w:val="20"/>
                <w:lang w:val="en-CA" w:eastAsia="en-CA"/>
              </w:rPr>
              <w:t>Sierra Leone</w:t>
            </w:r>
          </w:p>
        </w:tc>
        <w:tc>
          <w:tcPr>
            <w:tcW w:w="980" w:type="dxa"/>
            <w:tcBorders>
              <w:top w:val="nil"/>
              <w:left w:val="nil"/>
              <w:bottom w:val="single" w:sz="4" w:space="0" w:color="auto"/>
              <w:right w:val="single" w:sz="4" w:space="0" w:color="auto"/>
            </w:tcBorders>
            <w:shd w:val="clear" w:color="auto" w:fill="auto"/>
            <w:hideMark/>
          </w:tcPr>
          <w:p w14:paraId="5A62F4A9"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150CB0E"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38A972D"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66D670F0"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4BB78DFD" w14:textId="77777777" w:rsidR="006C28DF" w:rsidRPr="006C28DF" w:rsidRDefault="006C28DF" w:rsidP="006C28DF">
            <w:pPr>
              <w:jc w:val="right"/>
              <w:rPr>
                <w:sz w:val="20"/>
                <w:szCs w:val="20"/>
                <w:lang w:val="en-CA" w:eastAsia="en-CA"/>
              </w:rPr>
            </w:pPr>
            <w:r w:rsidRPr="006C28DF">
              <w:rPr>
                <w:sz w:val="20"/>
                <w:szCs w:val="20"/>
                <w:lang w:val="en-CA" w:eastAsia="en-CA"/>
              </w:rPr>
              <w:t>110</w:t>
            </w:r>
          </w:p>
        </w:tc>
        <w:tc>
          <w:tcPr>
            <w:tcW w:w="976" w:type="dxa"/>
            <w:tcBorders>
              <w:top w:val="nil"/>
              <w:left w:val="nil"/>
              <w:bottom w:val="single" w:sz="4" w:space="0" w:color="auto"/>
              <w:right w:val="single" w:sz="4" w:space="0" w:color="auto"/>
            </w:tcBorders>
            <w:shd w:val="clear" w:color="auto" w:fill="auto"/>
            <w:hideMark/>
          </w:tcPr>
          <w:p w14:paraId="5BCF04D7"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3826BAA"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4E76BD2" w14:textId="77777777" w:rsidR="006C28DF" w:rsidRPr="006C28DF" w:rsidRDefault="006C28DF" w:rsidP="006C28DF">
            <w:pPr>
              <w:jc w:val="left"/>
              <w:rPr>
                <w:sz w:val="20"/>
                <w:szCs w:val="20"/>
                <w:lang w:val="en-CA" w:eastAsia="en-CA"/>
              </w:rPr>
            </w:pPr>
            <w:r w:rsidRPr="006C28DF">
              <w:rPr>
                <w:sz w:val="20"/>
                <w:szCs w:val="20"/>
                <w:lang w:val="en-CA" w:eastAsia="en-CA"/>
              </w:rPr>
              <w:t>Solomon Islands</w:t>
            </w:r>
          </w:p>
        </w:tc>
        <w:tc>
          <w:tcPr>
            <w:tcW w:w="980" w:type="dxa"/>
            <w:tcBorders>
              <w:top w:val="nil"/>
              <w:left w:val="nil"/>
              <w:bottom w:val="single" w:sz="4" w:space="0" w:color="auto"/>
              <w:right w:val="single" w:sz="4" w:space="0" w:color="auto"/>
            </w:tcBorders>
            <w:shd w:val="clear" w:color="auto" w:fill="auto"/>
            <w:hideMark/>
          </w:tcPr>
          <w:p w14:paraId="0D200141"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FDCC34D"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33D2CA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CE6C7AE"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0C871CEE"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366D8B36"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E69C2F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D691273" w14:textId="77777777" w:rsidR="006C28DF" w:rsidRPr="006C28DF" w:rsidRDefault="006C28DF" w:rsidP="006C28DF">
            <w:pPr>
              <w:jc w:val="left"/>
              <w:rPr>
                <w:sz w:val="20"/>
                <w:szCs w:val="20"/>
                <w:lang w:val="en-CA" w:eastAsia="en-CA"/>
              </w:rPr>
            </w:pPr>
            <w:r w:rsidRPr="006C28DF">
              <w:rPr>
                <w:sz w:val="20"/>
                <w:szCs w:val="20"/>
                <w:lang w:val="en-CA" w:eastAsia="en-CA"/>
              </w:rPr>
              <w:t>Somalia</w:t>
            </w:r>
          </w:p>
        </w:tc>
        <w:tc>
          <w:tcPr>
            <w:tcW w:w="980" w:type="dxa"/>
            <w:tcBorders>
              <w:top w:val="nil"/>
              <w:left w:val="nil"/>
              <w:bottom w:val="single" w:sz="4" w:space="0" w:color="auto"/>
              <w:right w:val="single" w:sz="4" w:space="0" w:color="auto"/>
            </w:tcBorders>
            <w:shd w:val="clear" w:color="auto" w:fill="auto"/>
            <w:hideMark/>
          </w:tcPr>
          <w:p w14:paraId="22F5C0BD"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48EFC8E8"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31FB599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2A94350" w14:textId="77777777" w:rsidR="006C28DF" w:rsidRPr="006C28DF" w:rsidRDefault="006C28DF" w:rsidP="006C28DF">
            <w:pPr>
              <w:jc w:val="left"/>
              <w:rPr>
                <w:sz w:val="20"/>
                <w:szCs w:val="20"/>
                <w:lang w:val="en-CA" w:eastAsia="en-CA"/>
              </w:rPr>
            </w:pPr>
            <w:r w:rsidRPr="006C28DF">
              <w:rPr>
                <w:sz w:val="20"/>
                <w:szCs w:val="20"/>
                <w:lang w:val="en-CA" w:eastAsia="en-CA"/>
              </w:rPr>
              <w:t>FOA-Rigid PU foam (Stage II)</w:t>
            </w:r>
          </w:p>
        </w:tc>
        <w:tc>
          <w:tcPr>
            <w:tcW w:w="1148" w:type="dxa"/>
            <w:tcBorders>
              <w:top w:val="nil"/>
              <w:left w:val="nil"/>
              <w:bottom w:val="single" w:sz="4" w:space="0" w:color="auto"/>
              <w:right w:val="single" w:sz="4" w:space="0" w:color="auto"/>
            </w:tcBorders>
            <w:shd w:val="clear" w:color="auto" w:fill="auto"/>
            <w:hideMark/>
          </w:tcPr>
          <w:p w14:paraId="028809CA" w14:textId="77777777" w:rsidR="006C28DF" w:rsidRPr="006C28DF" w:rsidRDefault="006C28DF" w:rsidP="006C28DF">
            <w:pPr>
              <w:jc w:val="right"/>
              <w:rPr>
                <w:sz w:val="20"/>
                <w:szCs w:val="20"/>
                <w:lang w:val="en-CA" w:eastAsia="en-CA"/>
              </w:rPr>
            </w:pPr>
            <w:r w:rsidRPr="006C28DF">
              <w:rPr>
                <w:sz w:val="20"/>
                <w:szCs w:val="20"/>
                <w:lang w:val="en-CA" w:eastAsia="en-CA"/>
              </w:rPr>
              <w:t>32</w:t>
            </w:r>
          </w:p>
        </w:tc>
        <w:tc>
          <w:tcPr>
            <w:tcW w:w="976" w:type="dxa"/>
            <w:tcBorders>
              <w:top w:val="nil"/>
              <w:left w:val="nil"/>
              <w:bottom w:val="single" w:sz="4" w:space="0" w:color="auto"/>
              <w:right w:val="single" w:sz="4" w:space="0" w:color="auto"/>
            </w:tcBorders>
            <w:shd w:val="clear" w:color="auto" w:fill="auto"/>
            <w:hideMark/>
          </w:tcPr>
          <w:p w14:paraId="37EC46ED"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3FB83E5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A68AE62" w14:textId="77777777" w:rsidR="006C28DF" w:rsidRPr="006C28DF" w:rsidRDefault="006C28DF" w:rsidP="006C28DF">
            <w:pPr>
              <w:jc w:val="left"/>
              <w:rPr>
                <w:sz w:val="20"/>
                <w:szCs w:val="20"/>
                <w:lang w:val="en-CA" w:eastAsia="en-CA"/>
              </w:rPr>
            </w:pPr>
            <w:r w:rsidRPr="006C28DF">
              <w:rPr>
                <w:sz w:val="20"/>
                <w:szCs w:val="20"/>
                <w:lang w:val="en-CA" w:eastAsia="en-CA"/>
              </w:rPr>
              <w:t>Somalia</w:t>
            </w:r>
          </w:p>
        </w:tc>
        <w:tc>
          <w:tcPr>
            <w:tcW w:w="980" w:type="dxa"/>
            <w:tcBorders>
              <w:top w:val="nil"/>
              <w:left w:val="nil"/>
              <w:bottom w:val="single" w:sz="4" w:space="0" w:color="auto"/>
              <w:right w:val="single" w:sz="4" w:space="0" w:color="auto"/>
            </w:tcBorders>
            <w:shd w:val="clear" w:color="auto" w:fill="auto"/>
            <w:hideMark/>
          </w:tcPr>
          <w:p w14:paraId="5CF6B1CD"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7F0FFB42"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2327017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A713BFB" w14:textId="77777777" w:rsidR="006C28DF" w:rsidRPr="006C28DF" w:rsidRDefault="006C28DF" w:rsidP="006C28DF">
            <w:pPr>
              <w:jc w:val="left"/>
              <w:rPr>
                <w:sz w:val="20"/>
                <w:szCs w:val="20"/>
                <w:lang w:val="en-CA" w:eastAsia="en-CA"/>
              </w:rPr>
            </w:pPr>
            <w:r w:rsidRPr="006C28DF">
              <w:rPr>
                <w:sz w:val="20"/>
                <w:szCs w:val="20"/>
                <w:lang w:val="en-CA" w:eastAsia="en-CA"/>
              </w:rPr>
              <w:t>REF-Servicing (Stage II)</w:t>
            </w:r>
          </w:p>
        </w:tc>
        <w:tc>
          <w:tcPr>
            <w:tcW w:w="1148" w:type="dxa"/>
            <w:tcBorders>
              <w:top w:val="nil"/>
              <w:left w:val="nil"/>
              <w:bottom w:val="single" w:sz="4" w:space="0" w:color="auto"/>
              <w:right w:val="single" w:sz="4" w:space="0" w:color="auto"/>
            </w:tcBorders>
            <w:shd w:val="clear" w:color="auto" w:fill="auto"/>
            <w:hideMark/>
          </w:tcPr>
          <w:p w14:paraId="5516D3AA" w14:textId="77777777" w:rsidR="006C28DF" w:rsidRPr="006C28DF" w:rsidRDefault="006C28DF" w:rsidP="006C28DF">
            <w:pPr>
              <w:jc w:val="right"/>
              <w:rPr>
                <w:sz w:val="20"/>
                <w:szCs w:val="20"/>
                <w:lang w:val="en-CA" w:eastAsia="en-CA"/>
              </w:rPr>
            </w:pPr>
            <w:r w:rsidRPr="006C28DF">
              <w:rPr>
                <w:sz w:val="20"/>
                <w:szCs w:val="20"/>
                <w:lang w:val="en-CA" w:eastAsia="en-CA"/>
              </w:rPr>
              <w:t>32</w:t>
            </w:r>
          </w:p>
        </w:tc>
        <w:tc>
          <w:tcPr>
            <w:tcW w:w="976" w:type="dxa"/>
            <w:tcBorders>
              <w:top w:val="nil"/>
              <w:left w:val="nil"/>
              <w:bottom w:val="single" w:sz="4" w:space="0" w:color="auto"/>
              <w:right w:val="single" w:sz="4" w:space="0" w:color="auto"/>
            </w:tcBorders>
            <w:shd w:val="clear" w:color="auto" w:fill="auto"/>
            <w:hideMark/>
          </w:tcPr>
          <w:p w14:paraId="67C30589"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58CB26C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A3DA80B" w14:textId="77777777" w:rsidR="006C28DF" w:rsidRPr="006C28DF" w:rsidRDefault="006C28DF" w:rsidP="006C28DF">
            <w:pPr>
              <w:jc w:val="left"/>
              <w:rPr>
                <w:sz w:val="20"/>
                <w:szCs w:val="20"/>
                <w:lang w:val="en-CA" w:eastAsia="en-CA"/>
              </w:rPr>
            </w:pPr>
            <w:r w:rsidRPr="006C28DF">
              <w:rPr>
                <w:sz w:val="20"/>
                <w:szCs w:val="20"/>
                <w:lang w:val="en-CA" w:eastAsia="en-CA"/>
              </w:rPr>
              <w:t>Somalia</w:t>
            </w:r>
          </w:p>
        </w:tc>
        <w:tc>
          <w:tcPr>
            <w:tcW w:w="980" w:type="dxa"/>
            <w:tcBorders>
              <w:top w:val="nil"/>
              <w:left w:val="nil"/>
              <w:bottom w:val="single" w:sz="4" w:space="0" w:color="auto"/>
              <w:right w:val="single" w:sz="4" w:space="0" w:color="auto"/>
            </w:tcBorders>
            <w:shd w:val="clear" w:color="auto" w:fill="auto"/>
            <w:hideMark/>
          </w:tcPr>
          <w:p w14:paraId="4A646631"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8B1487C"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143678FE"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08CC67BE"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24B491BB"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3E478521"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6B3003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49C117E" w14:textId="77777777" w:rsidR="006C28DF" w:rsidRPr="006C28DF" w:rsidRDefault="006C28DF" w:rsidP="006C28DF">
            <w:pPr>
              <w:jc w:val="left"/>
              <w:rPr>
                <w:sz w:val="20"/>
                <w:szCs w:val="20"/>
                <w:lang w:val="en-CA" w:eastAsia="en-CA"/>
              </w:rPr>
            </w:pPr>
            <w:r w:rsidRPr="006C28DF">
              <w:rPr>
                <w:sz w:val="20"/>
                <w:szCs w:val="20"/>
                <w:lang w:val="en-CA" w:eastAsia="en-CA"/>
              </w:rPr>
              <w:t>South Africa</w:t>
            </w:r>
          </w:p>
        </w:tc>
        <w:tc>
          <w:tcPr>
            <w:tcW w:w="980" w:type="dxa"/>
            <w:tcBorders>
              <w:top w:val="nil"/>
              <w:left w:val="nil"/>
              <w:bottom w:val="single" w:sz="4" w:space="0" w:color="auto"/>
              <w:right w:val="single" w:sz="4" w:space="0" w:color="auto"/>
            </w:tcBorders>
            <w:shd w:val="clear" w:color="auto" w:fill="auto"/>
            <w:hideMark/>
          </w:tcPr>
          <w:p w14:paraId="7257B6C8" w14:textId="77777777" w:rsidR="006C28DF" w:rsidRPr="006C28DF" w:rsidRDefault="006C28DF" w:rsidP="006C28DF">
            <w:pPr>
              <w:jc w:val="center"/>
              <w:rPr>
                <w:sz w:val="20"/>
                <w:szCs w:val="20"/>
                <w:lang w:val="en-CA" w:eastAsia="en-CA"/>
              </w:rPr>
            </w:pPr>
            <w:r w:rsidRPr="006C28DF">
              <w:rPr>
                <w:sz w:val="20"/>
                <w:szCs w:val="20"/>
                <w:lang w:val="en-CA" w:eastAsia="en-CA"/>
              </w:rPr>
              <w:t>Germany</w:t>
            </w:r>
          </w:p>
        </w:tc>
        <w:tc>
          <w:tcPr>
            <w:tcW w:w="721" w:type="dxa"/>
            <w:tcBorders>
              <w:top w:val="nil"/>
              <w:left w:val="nil"/>
              <w:bottom w:val="single" w:sz="4" w:space="0" w:color="auto"/>
              <w:right w:val="single" w:sz="4" w:space="0" w:color="auto"/>
            </w:tcBorders>
            <w:shd w:val="clear" w:color="auto" w:fill="auto"/>
            <w:hideMark/>
          </w:tcPr>
          <w:p w14:paraId="2A0C16B6"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2CD007E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3CCF7B3" w14:textId="77777777" w:rsidR="006C28DF" w:rsidRPr="006C28DF" w:rsidRDefault="006C28DF" w:rsidP="006C28DF">
            <w:pPr>
              <w:jc w:val="left"/>
              <w:rPr>
                <w:sz w:val="20"/>
                <w:szCs w:val="20"/>
                <w:lang w:val="en-CA" w:eastAsia="en-CA"/>
              </w:rPr>
            </w:pPr>
            <w:r w:rsidRPr="006C28DF">
              <w:rPr>
                <w:sz w:val="20"/>
                <w:szCs w:val="20"/>
                <w:lang w:val="en-CA" w:eastAsia="en-CA"/>
              </w:rPr>
              <w:t>REF-Servicing (Stage II)</w:t>
            </w:r>
          </w:p>
        </w:tc>
        <w:tc>
          <w:tcPr>
            <w:tcW w:w="1148" w:type="dxa"/>
            <w:tcBorders>
              <w:top w:val="nil"/>
              <w:left w:val="nil"/>
              <w:bottom w:val="single" w:sz="4" w:space="0" w:color="auto"/>
              <w:right w:val="single" w:sz="4" w:space="0" w:color="auto"/>
            </w:tcBorders>
            <w:shd w:val="clear" w:color="auto" w:fill="auto"/>
            <w:hideMark/>
          </w:tcPr>
          <w:p w14:paraId="29475762" w14:textId="77777777" w:rsidR="006C28DF" w:rsidRPr="006C28DF" w:rsidRDefault="006C28DF" w:rsidP="006C28DF">
            <w:pPr>
              <w:jc w:val="right"/>
              <w:rPr>
                <w:sz w:val="20"/>
                <w:szCs w:val="20"/>
                <w:lang w:val="en-CA" w:eastAsia="en-CA"/>
              </w:rPr>
            </w:pPr>
            <w:r w:rsidRPr="006C28DF">
              <w:rPr>
                <w:sz w:val="20"/>
                <w:szCs w:val="20"/>
                <w:lang w:val="en-CA" w:eastAsia="en-CA"/>
              </w:rPr>
              <w:t>89</w:t>
            </w:r>
          </w:p>
        </w:tc>
        <w:tc>
          <w:tcPr>
            <w:tcW w:w="976" w:type="dxa"/>
            <w:tcBorders>
              <w:top w:val="nil"/>
              <w:left w:val="nil"/>
              <w:bottom w:val="single" w:sz="4" w:space="0" w:color="auto"/>
              <w:right w:val="single" w:sz="4" w:space="0" w:color="auto"/>
            </w:tcBorders>
            <w:shd w:val="clear" w:color="auto" w:fill="auto"/>
            <w:hideMark/>
          </w:tcPr>
          <w:p w14:paraId="30F01DC6" w14:textId="77777777" w:rsidR="006C28DF" w:rsidRPr="006C28DF" w:rsidRDefault="006C28DF" w:rsidP="006C28DF">
            <w:pPr>
              <w:jc w:val="right"/>
              <w:rPr>
                <w:sz w:val="20"/>
                <w:szCs w:val="20"/>
                <w:lang w:val="en-CA" w:eastAsia="en-CA"/>
              </w:rPr>
            </w:pPr>
            <w:r w:rsidRPr="006C28DF">
              <w:rPr>
                <w:sz w:val="20"/>
                <w:szCs w:val="20"/>
                <w:lang w:val="en-CA" w:eastAsia="en-CA"/>
              </w:rPr>
              <w:t>3.0</w:t>
            </w:r>
          </w:p>
        </w:tc>
      </w:tr>
      <w:tr w:rsidR="006C28DF" w:rsidRPr="006C28DF" w14:paraId="4034218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C1CC654" w14:textId="77777777" w:rsidR="006C28DF" w:rsidRPr="006C28DF" w:rsidRDefault="006C28DF" w:rsidP="006C28DF">
            <w:pPr>
              <w:jc w:val="left"/>
              <w:rPr>
                <w:sz w:val="20"/>
                <w:szCs w:val="20"/>
                <w:lang w:val="en-CA" w:eastAsia="en-CA"/>
              </w:rPr>
            </w:pPr>
            <w:r w:rsidRPr="006C28DF">
              <w:rPr>
                <w:sz w:val="20"/>
                <w:szCs w:val="20"/>
                <w:lang w:val="en-CA" w:eastAsia="en-CA"/>
              </w:rPr>
              <w:t>South Africa</w:t>
            </w:r>
          </w:p>
        </w:tc>
        <w:tc>
          <w:tcPr>
            <w:tcW w:w="980" w:type="dxa"/>
            <w:tcBorders>
              <w:top w:val="nil"/>
              <w:left w:val="nil"/>
              <w:bottom w:val="single" w:sz="4" w:space="0" w:color="auto"/>
              <w:right w:val="single" w:sz="4" w:space="0" w:color="auto"/>
            </w:tcBorders>
            <w:shd w:val="clear" w:color="auto" w:fill="auto"/>
            <w:hideMark/>
          </w:tcPr>
          <w:p w14:paraId="16F157C4"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43C0A61C"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50B16AF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1609989" w14:textId="77777777" w:rsidR="006C28DF" w:rsidRPr="006C28DF" w:rsidRDefault="006C28DF" w:rsidP="006C28DF">
            <w:pPr>
              <w:jc w:val="left"/>
              <w:rPr>
                <w:sz w:val="20"/>
                <w:szCs w:val="20"/>
                <w:lang w:val="en-CA" w:eastAsia="en-CA"/>
              </w:rPr>
            </w:pPr>
            <w:r w:rsidRPr="006C28DF">
              <w:rPr>
                <w:sz w:val="20"/>
                <w:szCs w:val="20"/>
                <w:lang w:val="en-CA" w:eastAsia="en-CA"/>
              </w:rPr>
              <w:t>FOA-Rigid PU foam and REF (Stage I)</w:t>
            </w:r>
          </w:p>
        </w:tc>
        <w:tc>
          <w:tcPr>
            <w:tcW w:w="1148" w:type="dxa"/>
            <w:tcBorders>
              <w:top w:val="nil"/>
              <w:left w:val="nil"/>
              <w:bottom w:val="single" w:sz="4" w:space="0" w:color="auto"/>
              <w:right w:val="single" w:sz="4" w:space="0" w:color="auto"/>
            </w:tcBorders>
            <w:shd w:val="clear" w:color="auto" w:fill="auto"/>
            <w:hideMark/>
          </w:tcPr>
          <w:p w14:paraId="31EEEB85" w14:textId="77777777" w:rsidR="006C28DF" w:rsidRPr="006C28DF" w:rsidRDefault="006C28DF" w:rsidP="006C28DF">
            <w:pPr>
              <w:jc w:val="right"/>
              <w:rPr>
                <w:sz w:val="20"/>
                <w:szCs w:val="20"/>
                <w:lang w:val="en-CA" w:eastAsia="en-CA"/>
              </w:rPr>
            </w:pPr>
            <w:r w:rsidRPr="006C28DF">
              <w:rPr>
                <w:sz w:val="20"/>
                <w:szCs w:val="20"/>
                <w:lang w:val="en-CA" w:eastAsia="en-CA"/>
              </w:rPr>
              <w:t>535</w:t>
            </w:r>
          </w:p>
        </w:tc>
        <w:tc>
          <w:tcPr>
            <w:tcW w:w="976" w:type="dxa"/>
            <w:tcBorders>
              <w:top w:val="nil"/>
              <w:left w:val="nil"/>
              <w:bottom w:val="single" w:sz="4" w:space="0" w:color="auto"/>
              <w:right w:val="single" w:sz="4" w:space="0" w:color="auto"/>
            </w:tcBorders>
            <w:shd w:val="clear" w:color="auto" w:fill="auto"/>
            <w:hideMark/>
          </w:tcPr>
          <w:p w14:paraId="35CE237C" w14:textId="77777777" w:rsidR="006C28DF" w:rsidRPr="006C28DF" w:rsidRDefault="006C28DF" w:rsidP="006C28DF">
            <w:pPr>
              <w:jc w:val="right"/>
              <w:rPr>
                <w:sz w:val="20"/>
                <w:szCs w:val="20"/>
                <w:lang w:val="en-CA" w:eastAsia="en-CA"/>
              </w:rPr>
            </w:pPr>
            <w:r w:rsidRPr="006C28DF">
              <w:rPr>
                <w:sz w:val="20"/>
                <w:szCs w:val="20"/>
                <w:lang w:val="en-CA" w:eastAsia="en-CA"/>
              </w:rPr>
              <w:t>13.5</w:t>
            </w:r>
          </w:p>
        </w:tc>
      </w:tr>
      <w:tr w:rsidR="006C28DF" w:rsidRPr="006C28DF" w14:paraId="718178B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AF78EA4" w14:textId="77777777" w:rsidR="006C28DF" w:rsidRPr="006C28DF" w:rsidRDefault="006C28DF" w:rsidP="006C28DF">
            <w:pPr>
              <w:jc w:val="left"/>
              <w:rPr>
                <w:sz w:val="20"/>
                <w:szCs w:val="20"/>
                <w:lang w:val="en-CA" w:eastAsia="en-CA"/>
              </w:rPr>
            </w:pPr>
            <w:r w:rsidRPr="006C28DF">
              <w:rPr>
                <w:sz w:val="20"/>
                <w:szCs w:val="20"/>
                <w:lang w:val="en-CA" w:eastAsia="en-CA"/>
              </w:rPr>
              <w:t>South Africa</w:t>
            </w:r>
          </w:p>
        </w:tc>
        <w:tc>
          <w:tcPr>
            <w:tcW w:w="980" w:type="dxa"/>
            <w:tcBorders>
              <w:top w:val="nil"/>
              <w:left w:val="nil"/>
              <w:bottom w:val="single" w:sz="4" w:space="0" w:color="auto"/>
              <w:right w:val="single" w:sz="4" w:space="0" w:color="auto"/>
            </w:tcBorders>
            <w:shd w:val="clear" w:color="auto" w:fill="auto"/>
            <w:hideMark/>
          </w:tcPr>
          <w:p w14:paraId="7627E571"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739A2545"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B94C6C4"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59A5367" w14:textId="77777777" w:rsidR="006C28DF" w:rsidRPr="006C28DF" w:rsidRDefault="006C28DF" w:rsidP="006C28DF">
            <w:pPr>
              <w:jc w:val="left"/>
              <w:rPr>
                <w:sz w:val="20"/>
                <w:szCs w:val="20"/>
                <w:lang w:val="en-CA" w:eastAsia="en-CA"/>
              </w:rPr>
            </w:pPr>
            <w:r w:rsidRPr="006C28DF">
              <w:rPr>
                <w:sz w:val="20"/>
                <w:szCs w:val="20"/>
                <w:lang w:val="en-CA" w:eastAsia="en-CA"/>
              </w:rPr>
              <w:t>REF-Manufacturing (Stage II)</w:t>
            </w:r>
          </w:p>
        </w:tc>
        <w:tc>
          <w:tcPr>
            <w:tcW w:w="1148" w:type="dxa"/>
            <w:tcBorders>
              <w:top w:val="nil"/>
              <w:left w:val="nil"/>
              <w:bottom w:val="single" w:sz="4" w:space="0" w:color="auto"/>
              <w:right w:val="single" w:sz="4" w:space="0" w:color="auto"/>
            </w:tcBorders>
            <w:shd w:val="clear" w:color="auto" w:fill="auto"/>
            <w:hideMark/>
          </w:tcPr>
          <w:p w14:paraId="5C7E562E" w14:textId="77777777" w:rsidR="006C28DF" w:rsidRPr="006C28DF" w:rsidRDefault="006C28DF" w:rsidP="006C28DF">
            <w:pPr>
              <w:jc w:val="right"/>
              <w:rPr>
                <w:sz w:val="20"/>
                <w:szCs w:val="20"/>
                <w:lang w:val="en-CA" w:eastAsia="en-CA"/>
              </w:rPr>
            </w:pPr>
            <w:r w:rsidRPr="006C28DF">
              <w:rPr>
                <w:sz w:val="20"/>
                <w:szCs w:val="20"/>
                <w:lang w:val="en-CA" w:eastAsia="en-CA"/>
              </w:rPr>
              <w:t>161</w:t>
            </w:r>
          </w:p>
        </w:tc>
        <w:tc>
          <w:tcPr>
            <w:tcW w:w="976" w:type="dxa"/>
            <w:tcBorders>
              <w:top w:val="nil"/>
              <w:left w:val="nil"/>
              <w:bottom w:val="single" w:sz="4" w:space="0" w:color="auto"/>
              <w:right w:val="single" w:sz="4" w:space="0" w:color="auto"/>
            </w:tcBorders>
            <w:shd w:val="clear" w:color="auto" w:fill="auto"/>
            <w:hideMark/>
          </w:tcPr>
          <w:p w14:paraId="75BD12A7"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14282518"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F01F668" w14:textId="77777777" w:rsidR="006C28DF" w:rsidRPr="006C28DF" w:rsidRDefault="006C28DF" w:rsidP="006C28DF">
            <w:pPr>
              <w:jc w:val="left"/>
              <w:rPr>
                <w:sz w:val="20"/>
                <w:szCs w:val="20"/>
                <w:lang w:val="en-CA" w:eastAsia="en-CA"/>
              </w:rPr>
            </w:pPr>
            <w:r w:rsidRPr="006C28DF">
              <w:rPr>
                <w:sz w:val="20"/>
                <w:szCs w:val="20"/>
                <w:lang w:val="en-CA" w:eastAsia="en-CA"/>
              </w:rPr>
              <w:t>South Africa</w:t>
            </w:r>
          </w:p>
        </w:tc>
        <w:tc>
          <w:tcPr>
            <w:tcW w:w="980" w:type="dxa"/>
            <w:tcBorders>
              <w:top w:val="nil"/>
              <w:left w:val="nil"/>
              <w:bottom w:val="single" w:sz="4" w:space="0" w:color="auto"/>
              <w:right w:val="single" w:sz="4" w:space="0" w:color="auto"/>
            </w:tcBorders>
            <w:shd w:val="clear" w:color="auto" w:fill="auto"/>
            <w:hideMark/>
          </w:tcPr>
          <w:p w14:paraId="59569E1D"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6AFCB06D"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B09230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891D73A" w14:textId="77777777" w:rsidR="006C28DF" w:rsidRPr="006C28DF" w:rsidRDefault="006C28DF" w:rsidP="006C28DF">
            <w:pPr>
              <w:jc w:val="left"/>
              <w:rPr>
                <w:sz w:val="20"/>
                <w:szCs w:val="20"/>
                <w:lang w:val="en-CA" w:eastAsia="en-CA"/>
              </w:rPr>
            </w:pPr>
            <w:r w:rsidRPr="006C28DF">
              <w:rPr>
                <w:sz w:val="20"/>
                <w:szCs w:val="20"/>
                <w:lang w:val="en-CA" w:eastAsia="en-CA"/>
              </w:rPr>
              <w:t>REF-Servicing (Stage II)</w:t>
            </w:r>
          </w:p>
        </w:tc>
        <w:tc>
          <w:tcPr>
            <w:tcW w:w="1148" w:type="dxa"/>
            <w:tcBorders>
              <w:top w:val="nil"/>
              <w:left w:val="nil"/>
              <w:bottom w:val="single" w:sz="4" w:space="0" w:color="auto"/>
              <w:right w:val="single" w:sz="4" w:space="0" w:color="auto"/>
            </w:tcBorders>
            <w:shd w:val="clear" w:color="auto" w:fill="auto"/>
            <w:hideMark/>
          </w:tcPr>
          <w:p w14:paraId="7DFAA681" w14:textId="77777777" w:rsidR="006C28DF" w:rsidRPr="006C28DF" w:rsidRDefault="006C28DF" w:rsidP="006C28DF">
            <w:pPr>
              <w:jc w:val="right"/>
              <w:rPr>
                <w:sz w:val="20"/>
                <w:szCs w:val="20"/>
                <w:lang w:val="en-CA" w:eastAsia="en-CA"/>
              </w:rPr>
            </w:pPr>
            <w:r w:rsidRPr="006C28DF">
              <w:rPr>
                <w:sz w:val="20"/>
                <w:szCs w:val="20"/>
                <w:lang w:val="en-CA" w:eastAsia="en-CA"/>
              </w:rPr>
              <w:t>96</w:t>
            </w:r>
          </w:p>
        </w:tc>
        <w:tc>
          <w:tcPr>
            <w:tcW w:w="976" w:type="dxa"/>
            <w:tcBorders>
              <w:top w:val="nil"/>
              <w:left w:val="nil"/>
              <w:bottom w:val="single" w:sz="4" w:space="0" w:color="auto"/>
              <w:right w:val="single" w:sz="4" w:space="0" w:color="auto"/>
            </w:tcBorders>
            <w:shd w:val="clear" w:color="auto" w:fill="auto"/>
            <w:hideMark/>
          </w:tcPr>
          <w:p w14:paraId="13D2AC49"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6F9A160C"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323C283" w14:textId="77777777" w:rsidR="006C28DF" w:rsidRPr="006C28DF" w:rsidRDefault="006C28DF" w:rsidP="006C28DF">
            <w:pPr>
              <w:jc w:val="left"/>
              <w:rPr>
                <w:sz w:val="20"/>
                <w:szCs w:val="20"/>
                <w:lang w:val="en-CA" w:eastAsia="en-CA"/>
              </w:rPr>
            </w:pPr>
            <w:r w:rsidRPr="006C28DF">
              <w:rPr>
                <w:sz w:val="20"/>
                <w:szCs w:val="20"/>
                <w:lang w:val="en-CA" w:eastAsia="en-CA"/>
              </w:rPr>
              <w:t>South Sudan</w:t>
            </w:r>
          </w:p>
        </w:tc>
        <w:tc>
          <w:tcPr>
            <w:tcW w:w="980" w:type="dxa"/>
            <w:tcBorders>
              <w:top w:val="nil"/>
              <w:left w:val="nil"/>
              <w:bottom w:val="single" w:sz="4" w:space="0" w:color="auto"/>
              <w:right w:val="single" w:sz="4" w:space="0" w:color="auto"/>
            </w:tcBorders>
            <w:shd w:val="clear" w:color="auto" w:fill="auto"/>
            <w:hideMark/>
          </w:tcPr>
          <w:p w14:paraId="6DEA0FA7"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4767615E"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640F3BF9"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77C9DB8" w14:textId="77777777" w:rsidR="006C28DF" w:rsidRPr="006C28DF" w:rsidRDefault="006C28DF" w:rsidP="006C28DF">
            <w:pPr>
              <w:jc w:val="left"/>
              <w:rPr>
                <w:sz w:val="20"/>
                <w:szCs w:val="20"/>
                <w:lang w:val="en-CA" w:eastAsia="en-CA"/>
              </w:rPr>
            </w:pPr>
            <w:r w:rsidRPr="006C28DF">
              <w:rPr>
                <w:sz w:val="20"/>
                <w:szCs w:val="20"/>
                <w:lang w:val="en-CA" w:eastAsia="en-CA"/>
              </w:rPr>
              <w:t>Stage I CP/HPMP</w:t>
            </w:r>
          </w:p>
        </w:tc>
        <w:tc>
          <w:tcPr>
            <w:tcW w:w="1148" w:type="dxa"/>
            <w:tcBorders>
              <w:top w:val="nil"/>
              <w:left w:val="nil"/>
              <w:bottom w:val="single" w:sz="4" w:space="0" w:color="auto"/>
              <w:right w:val="single" w:sz="4" w:space="0" w:color="auto"/>
            </w:tcBorders>
            <w:shd w:val="clear" w:color="auto" w:fill="auto"/>
            <w:hideMark/>
          </w:tcPr>
          <w:p w14:paraId="42BB62A7" w14:textId="77777777" w:rsidR="006C28DF" w:rsidRPr="006C28DF" w:rsidRDefault="006C28DF" w:rsidP="006C28DF">
            <w:pPr>
              <w:jc w:val="right"/>
              <w:rPr>
                <w:sz w:val="20"/>
                <w:szCs w:val="20"/>
                <w:lang w:val="en-CA" w:eastAsia="en-CA"/>
              </w:rPr>
            </w:pPr>
            <w:r w:rsidRPr="006C28DF">
              <w:rPr>
                <w:sz w:val="20"/>
                <w:szCs w:val="20"/>
                <w:lang w:val="en-CA" w:eastAsia="en-CA"/>
              </w:rPr>
              <w:t>55</w:t>
            </w:r>
          </w:p>
        </w:tc>
        <w:tc>
          <w:tcPr>
            <w:tcW w:w="976" w:type="dxa"/>
            <w:tcBorders>
              <w:top w:val="nil"/>
              <w:left w:val="nil"/>
              <w:bottom w:val="single" w:sz="4" w:space="0" w:color="auto"/>
              <w:right w:val="single" w:sz="4" w:space="0" w:color="auto"/>
            </w:tcBorders>
            <w:shd w:val="clear" w:color="auto" w:fill="auto"/>
            <w:hideMark/>
          </w:tcPr>
          <w:p w14:paraId="29C46D19" w14:textId="77777777" w:rsidR="006C28DF" w:rsidRPr="006C28DF" w:rsidRDefault="006C28DF" w:rsidP="006C28DF">
            <w:pPr>
              <w:jc w:val="right"/>
              <w:rPr>
                <w:sz w:val="20"/>
                <w:szCs w:val="20"/>
                <w:lang w:val="en-CA" w:eastAsia="en-CA"/>
              </w:rPr>
            </w:pPr>
            <w:r w:rsidRPr="006C28DF">
              <w:rPr>
                <w:sz w:val="20"/>
                <w:szCs w:val="20"/>
                <w:lang w:val="en-CA" w:eastAsia="en-CA"/>
              </w:rPr>
              <w:t>0.1</w:t>
            </w:r>
          </w:p>
        </w:tc>
      </w:tr>
      <w:tr w:rsidR="006C28DF" w:rsidRPr="006C28DF" w14:paraId="365ADD5D"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054CAC85" w14:textId="77777777" w:rsidR="006C28DF" w:rsidRPr="006C28DF" w:rsidRDefault="006C28DF" w:rsidP="006C28DF">
            <w:pPr>
              <w:jc w:val="left"/>
              <w:rPr>
                <w:sz w:val="20"/>
                <w:szCs w:val="20"/>
                <w:lang w:val="en-CA" w:eastAsia="en-CA"/>
              </w:rPr>
            </w:pPr>
            <w:r w:rsidRPr="006C28DF">
              <w:rPr>
                <w:sz w:val="20"/>
                <w:szCs w:val="20"/>
                <w:lang w:val="en-CA" w:eastAsia="en-CA"/>
              </w:rPr>
              <w:t>South Sudan</w:t>
            </w:r>
          </w:p>
        </w:tc>
        <w:tc>
          <w:tcPr>
            <w:tcW w:w="980" w:type="dxa"/>
            <w:tcBorders>
              <w:top w:val="nil"/>
              <w:left w:val="nil"/>
              <w:bottom w:val="single" w:sz="4" w:space="0" w:color="auto"/>
              <w:right w:val="single" w:sz="4" w:space="0" w:color="auto"/>
            </w:tcBorders>
            <w:shd w:val="clear" w:color="auto" w:fill="auto"/>
            <w:hideMark/>
          </w:tcPr>
          <w:p w14:paraId="69831BFE"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5D5C985"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55A0E2E2"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82CE3B4"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0D281D93" w14:textId="77777777" w:rsidR="006C28DF" w:rsidRPr="006C28DF" w:rsidRDefault="006C28DF" w:rsidP="006C28DF">
            <w:pPr>
              <w:jc w:val="right"/>
              <w:rPr>
                <w:sz w:val="20"/>
                <w:szCs w:val="20"/>
                <w:lang w:val="en-CA" w:eastAsia="en-CA"/>
              </w:rPr>
            </w:pPr>
            <w:r w:rsidRPr="006C28DF">
              <w:rPr>
                <w:sz w:val="20"/>
                <w:szCs w:val="20"/>
                <w:lang w:val="en-CA" w:eastAsia="en-CA"/>
              </w:rPr>
              <w:t>80</w:t>
            </w:r>
          </w:p>
        </w:tc>
        <w:tc>
          <w:tcPr>
            <w:tcW w:w="976" w:type="dxa"/>
            <w:tcBorders>
              <w:top w:val="nil"/>
              <w:left w:val="nil"/>
              <w:bottom w:val="single" w:sz="4" w:space="0" w:color="auto"/>
              <w:right w:val="single" w:sz="4" w:space="0" w:color="auto"/>
            </w:tcBorders>
            <w:shd w:val="clear" w:color="auto" w:fill="auto"/>
            <w:hideMark/>
          </w:tcPr>
          <w:p w14:paraId="5703582F" w14:textId="77777777" w:rsidR="006C28DF" w:rsidRPr="006C28DF" w:rsidRDefault="006C28DF" w:rsidP="006C28DF">
            <w:pPr>
              <w:jc w:val="right"/>
              <w:rPr>
                <w:sz w:val="20"/>
                <w:szCs w:val="20"/>
                <w:lang w:val="en-CA" w:eastAsia="en-CA"/>
              </w:rPr>
            </w:pPr>
            <w:r w:rsidRPr="006C28DF">
              <w:rPr>
                <w:sz w:val="20"/>
                <w:szCs w:val="20"/>
                <w:lang w:val="en-CA" w:eastAsia="en-CA"/>
              </w:rPr>
              <w:t>0.2</w:t>
            </w:r>
          </w:p>
        </w:tc>
      </w:tr>
      <w:tr w:rsidR="006C28DF" w:rsidRPr="006C28DF" w14:paraId="3B8D82E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6EB0DE7" w14:textId="77777777" w:rsidR="006C28DF" w:rsidRPr="006C28DF" w:rsidRDefault="006C28DF" w:rsidP="006C28DF">
            <w:pPr>
              <w:jc w:val="left"/>
              <w:rPr>
                <w:sz w:val="20"/>
                <w:szCs w:val="20"/>
                <w:lang w:val="en-CA" w:eastAsia="en-CA"/>
              </w:rPr>
            </w:pPr>
            <w:r w:rsidRPr="006C28DF">
              <w:rPr>
                <w:sz w:val="20"/>
                <w:szCs w:val="20"/>
                <w:lang w:val="en-CA" w:eastAsia="en-CA"/>
              </w:rPr>
              <w:t>South Sudan</w:t>
            </w:r>
          </w:p>
        </w:tc>
        <w:tc>
          <w:tcPr>
            <w:tcW w:w="980" w:type="dxa"/>
            <w:tcBorders>
              <w:top w:val="nil"/>
              <w:left w:val="nil"/>
              <w:bottom w:val="single" w:sz="4" w:space="0" w:color="auto"/>
              <w:right w:val="single" w:sz="4" w:space="0" w:color="auto"/>
            </w:tcBorders>
            <w:shd w:val="clear" w:color="auto" w:fill="auto"/>
            <w:hideMark/>
          </w:tcPr>
          <w:p w14:paraId="12813DF3"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3323D64"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969DBF4"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2D27E314"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6E3F5306"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0E610871"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BDC3C1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EE2FBE8" w14:textId="77777777" w:rsidR="006C28DF" w:rsidRPr="006C28DF" w:rsidRDefault="006C28DF" w:rsidP="006C28DF">
            <w:pPr>
              <w:jc w:val="left"/>
              <w:rPr>
                <w:sz w:val="20"/>
                <w:szCs w:val="20"/>
                <w:lang w:val="en-CA" w:eastAsia="en-CA"/>
              </w:rPr>
            </w:pPr>
            <w:r w:rsidRPr="006C28DF">
              <w:rPr>
                <w:sz w:val="20"/>
                <w:szCs w:val="20"/>
                <w:lang w:val="en-CA" w:eastAsia="en-CA"/>
              </w:rPr>
              <w:t>Sri Lanka</w:t>
            </w:r>
          </w:p>
        </w:tc>
        <w:tc>
          <w:tcPr>
            <w:tcW w:w="980" w:type="dxa"/>
            <w:tcBorders>
              <w:top w:val="nil"/>
              <w:left w:val="nil"/>
              <w:bottom w:val="single" w:sz="4" w:space="0" w:color="auto"/>
              <w:right w:val="single" w:sz="4" w:space="0" w:color="auto"/>
            </w:tcBorders>
            <w:shd w:val="clear" w:color="auto" w:fill="auto"/>
            <w:hideMark/>
          </w:tcPr>
          <w:p w14:paraId="24E6CB06"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4507738E"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9E8E84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723AF88" w14:textId="77777777" w:rsidR="006C28DF" w:rsidRPr="006C28DF" w:rsidRDefault="006C28DF" w:rsidP="006C28DF">
            <w:pPr>
              <w:jc w:val="left"/>
              <w:rPr>
                <w:sz w:val="20"/>
                <w:szCs w:val="20"/>
                <w:lang w:val="en-CA" w:eastAsia="en-CA"/>
              </w:rPr>
            </w:pPr>
            <w:r w:rsidRPr="006C28DF">
              <w:rPr>
                <w:sz w:val="20"/>
                <w:szCs w:val="20"/>
                <w:lang w:val="en-CA" w:eastAsia="en-CA"/>
              </w:rPr>
              <w:t>Stage II HPMP Preparation</w:t>
            </w:r>
          </w:p>
        </w:tc>
        <w:tc>
          <w:tcPr>
            <w:tcW w:w="1148" w:type="dxa"/>
            <w:tcBorders>
              <w:top w:val="nil"/>
              <w:left w:val="nil"/>
              <w:bottom w:val="single" w:sz="4" w:space="0" w:color="auto"/>
              <w:right w:val="single" w:sz="4" w:space="0" w:color="auto"/>
            </w:tcBorders>
            <w:shd w:val="clear" w:color="auto" w:fill="auto"/>
            <w:hideMark/>
          </w:tcPr>
          <w:p w14:paraId="7F11AFAC" w14:textId="77777777" w:rsidR="006C28DF" w:rsidRPr="006C28DF" w:rsidRDefault="006C28DF" w:rsidP="006C28DF">
            <w:pPr>
              <w:jc w:val="right"/>
              <w:rPr>
                <w:sz w:val="20"/>
                <w:szCs w:val="20"/>
                <w:lang w:val="en-CA" w:eastAsia="en-CA"/>
              </w:rPr>
            </w:pPr>
            <w:r w:rsidRPr="006C28DF">
              <w:rPr>
                <w:sz w:val="20"/>
                <w:szCs w:val="20"/>
                <w:lang w:val="en-CA" w:eastAsia="en-CA"/>
              </w:rPr>
              <w:t>30</w:t>
            </w:r>
          </w:p>
        </w:tc>
        <w:tc>
          <w:tcPr>
            <w:tcW w:w="976" w:type="dxa"/>
            <w:tcBorders>
              <w:top w:val="nil"/>
              <w:left w:val="nil"/>
              <w:bottom w:val="single" w:sz="4" w:space="0" w:color="auto"/>
              <w:right w:val="single" w:sz="4" w:space="0" w:color="auto"/>
            </w:tcBorders>
            <w:shd w:val="clear" w:color="auto" w:fill="auto"/>
            <w:hideMark/>
          </w:tcPr>
          <w:p w14:paraId="648D4D52"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5F68E3AC"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AFA67D7" w14:textId="77777777" w:rsidR="006C28DF" w:rsidRPr="006C28DF" w:rsidRDefault="006C28DF" w:rsidP="006C28DF">
            <w:pPr>
              <w:jc w:val="left"/>
              <w:rPr>
                <w:sz w:val="20"/>
                <w:szCs w:val="20"/>
                <w:lang w:val="en-CA" w:eastAsia="en-CA"/>
              </w:rPr>
            </w:pPr>
            <w:r w:rsidRPr="006C28DF">
              <w:rPr>
                <w:sz w:val="20"/>
                <w:szCs w:val="20"/>
                <w:lang w:val="en-CA" w:eastAsia="en-CA"/>
              </w:rPr>
              <w:t>Sri Lanka</w:t>
            </w:r>
          </w:p>
        </w:tc>
        <w:tc>
          <w:tcPr>
            <w:tcW w:w="980" w:type="dxa"/>
            <w:tcBorders>
              <w:top w:val="nil"/>
              <w:left w:val="nil"/>
              <w:bottom w:val="single" w:sz="4" w:space="0" w:color="auto"/>
              <w:right w:val="single" w:sz="4" w:space="0" w:color="auto"/>
            </w:tcBorders>
            <w:shd w:val="clear" w:color="auto" w:fill="auto"/>
            <w:hideMark/>
          </w:tcPr>
          <w:p w14:paraId="236E9E5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5BE27FB"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B10ABFD"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9A2E0A6"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5891350B"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55ACC0AF"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492CB96"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5F31F1D" w14:textId="77777777" w:rsidR="006C28DF" w:rsidRPr="006C28DF" w:rsidRDefault="006C28DF" w:rsidP="006C28DF">
            <w:pPr>
              <w:jc w:val="left"/>
              <w:rPr>
                <w:sz w:val="20"/>
                <w:szCs w:val="20"/>
                <w:lang w:val="en-CA" w:eastAsia="en-CA"/>
              </w:rPr>
            </w:pPr>
            <w:r w:rsidRPr="006C28DF">
              <w:rPr>
                <w:sz w:val="20"/>
                <w:szCs w:val="20"/>
                <w:lang w:val="en-CA" w:eastAsia="en-CA"/>
              </w:rPr>
              <w:t>Sri Lanka</w:t>
            </w:r>
          </w:p>
        </w:tc>
        <w:tc>
          <w:tcPr>
            <w:tcW w:w="980" w:type="dxa"/>
            <w:tcBorders>
              <w:top w:val="nil"/>
              <w:left w:val="nil"/>
              <w:bottom w:val="single" w:sz="4" w:space="0" w:color="auto"/>
              <w:right w:val="single" w:sz="4" w:space="0" w:color="auto"/>
            </w:tcBorders>
            <w:shd w:val="clear" w:color="auto" w:fill="auto"/>
            <w:hideMark/>
          </w:tcPr>
          <w:p w14:paraId="6AFD8F5F"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1C7228AC"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628F1D62"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27671CB5"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9C51901" w14:textId="77777777" w:rsidR="006C28DF" w:rsidRPr="006C28DF" w:rsidRDefault="006C28DF" w:rsidP="006C28DF">
            <w:pPr>
              <w:jc w:val="right"/>
              <w:rPr>
                <w:sz w:val="20"/>
                <w:szCs w:val="20"/>
                <w:lang w:val="en-CA" w:eastAsia="en-CA"/>
              </w:rPr>
            </w:pPr>
            <w:r w:rsidRPr="006C28DF">
              <w:rPr>
                <w:sz w:val="20"/>
                <w:szCs w:val="20"/>
                <w:lang w:val="en-CA" w:eastAsia="en-CA"/>
              </w:rPr>
              <w:t>184</w:t>
            </w:r>
          </w:p>
        </w:tc>
        <w:tc>
          <w:tcPr>
            <w:tcW w:w="976" w:type="dxa"/>
            <w:tcBorders>
              <w:top w:val="nil"/>
              <w:left w:val="nil"/>
              <w:bottom w:val="single" w:sz="4" w:space="0" w:color="auto"/>
              <w:right w:val="single" w:sz="4" w:space="0" w:color="auto"/>
            </w:tcBorders>
            <w:shd w:val="clear" w:color="auto" w:fill="auto"/>
            <w:hideMark/>
          </w:tcPr>
          <w:p w14:paraId="595D1F9E"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2EA7064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E991580" w14:textId="77777777" w:rsidR="006C28DF" w:rsidRPr="006C28DF" w:rsidRDefault="006C28DF" w:rsidP="006C28DF">
            <w:pPr>
              <w:jc w:val="left"/>
              <w:rPr>
                <w:sz w:val="20"/>
                <w:szCs w:val="20"/>
                <w:lang w:val="en-CA" w:eastAsia="en-CA"/>
              </w:rPr>
            </w:pPr>
            <w:r w:rsidRPr="006C28DF">
              <w:rPr>
                <w:sz w:val="20"/>
                <w:szCs w:val="20"/>
                <w:lang w:val="en-CA" w:eastAsia="en-CA"/>
              </w:rPr>
              <w:t>Sudan (the)</w:t>
            </w:r>
          </w:p>
        </w:tc>
        <w:tc>
          <w:tcPr>
            <w:tcW w:w="980" w:type="dxa"/>
            <w:tcBorders>
              <w:top w:val="nil"/>
              <w:left w:val="nil"/>
              <w:bottom w:val="single" w:sz="4" w:space="0" w:color="auto"/>
              <w:right w:val="single" w:sz="4" w:space="0" w:color="auto"/>
            </w:tcBorders>
            <w:shd w:val="clear" w:color="auto" w:fill="auto"/>
            <w:hideMark/>
          </w:tcPr>
          <w:p w14:paraId="01DAD1CE"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42AF7A84"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0FBFA0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DB330B0" w14:textId="77777777" w:rsidR="006C28DF" w:rsidRPr="006C28DF" w:rsidRDefault="006C28DF" w:rsidP="006C28DF">
            <w:pPr>
              <w:jc w:val="left"/>
              <w:rPr>
                <w:sz w:val="20"/>
                <w:szCs w:val="20"/>
                <w:lang w:val="en-CA" w:eastAsia="en-CA"/>
              </w:rPr>
            </w:pPr>
            <w:r w:rsidRPr="006C28DF">
              <w:rPr>
                <w:sz w:val="20"/>
                <w:szCs w:val="20"/>
                <w:lang w:val="en-CA" w:eastAsia="en-CA"/>
              </w:rPr>
              <w:t>HPMP - Stage II</w:t>
            </w:r>
          </w:p>
        </w:tc>
        <w:tc>
          <w:tcPr>
            <w:tcW w:w="1148" w:type="dxa"/>
            <w:tcBorders>
              <w:top w:val="nil"/>
              <w:left w:val="nil"/>
              <w:bottom w:val="single" w:sz="4" w:space="0" w:color="auto"/>
              <w:right w:val="single" w:sz="4" w:space="0" w:color="auto"/>
            </w:tcBorders>
            <w:shd w:val="clear" w:color="auto" w:fill="auto"/>
            <w:hideMark/>
          </w:tcPr>
          <w:p w14:paraId="1E5FA37C" w14:textId="77777777" w:rsidR="006C28DF" w:rsidRPr="006C28DF" w:rsidRDefault="006C28DF" w:rsidP="006C28DF">
            <w:pPr>
              <w:jc w:val="right"/>
              <w:rPr>
                <w:sz w:val="20"/>
                <w:szCs w:val="20"/>
                <w:lang w:val="en-CA" w:eastAsia="en-CA"/>
              </w:rPr>
            </w:pPr>
            <w:r w:rsidRPr="006C28DF">
              <w:rPr>
                <w:sz w:val="20"/>
                <w:szCs w:val="20"/>
                <w:lang w:val="en-CA" w:eastAsia="en-CA"/>
              </w:rPr>
              <w:t>354</w:t>
            </w:r>
          </w:p>
        </w:tc>
        <w:tc>
          <w:tcPr>
            <w:tcW w:w="976" w:type="dxa"/>
            <w:tcBorders>
              <w:top w:val="nil"/>
              <w:left w:val="nil"/>
              <w:bottom w:val="single" w:sz="4" w:space="0" w:color="auto"/>
              <w:right w:val="single" w:sz="4" w:space="0" w:color="auto"/>
            </w:tcBorders>
            <w:shd w:val="clear" w:color="auto" w:fill="auto"/>
            <w:hideMark/>
          </w:tcPr>
          <w:p w14:paraId="560F93D4" w14:textId="77777777" w:rsidR="006C28DF" w:rsidRPr="006C28DF" w:rsidRDefault="006C28DF" w:rsidP="006C28DF">
            <w:pPr>
              <w:jc w:val="right"/>
              <w:rPr>
                <w:sz w:val="20"/>
                <w:szCs w:val="20"/>
                <w:lang w:val="en-CA" w:eastAsia="en-CA"/>
              </w:rPr>
            </w:pPr>
            <w:r w:rsidRPr="006C28DF">
              <w:rPr>
                <w:sz w:val="20"/>
                <w:szCs w:val="20"/>
                <w:lang w:val="en-CA" w:eastAsia="en-CA"/>
              </w:rPr>
              <w:t>3.8</w:t>
            </w:r>
          </w:p>
        </w:tc>
      </w:tr>
      <w:tr w:rsidR="006C28DF" w:rsidRPr="006C28DF" w14:paraId="4AF28CF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8A9B374" w14:textId="77777777" w:rsidR="006C28DF" w:rsidRPr="006C28DF" w:rsidRDefault="006C28DF" w:rsidP="006C28DF">
            <w:pPr>
              <w:jc w:val="left"/>
              <w:rPr>
                <w:sz w:val="20"/>
                <w:szCs w:val="20"/>
                <w:lang w:val="en-CA" w:eastAsia="en-CA"/>
              </w:rPr>
            </w:pPr>
            <w:r w:rsidRPr="006C28DF">
              <w:rPr>
                <w:sz w:val="20"/>
                <w:szCs w:val="20"/>
                <w:lang w:val="en-CA" w:eastAsia="en-CA"/>
              </w:rPr>
              <w:t>Suriname</w:t>
            </w:r>
          </w:p>
        </w:tc>
        <w:tc>
          <w:tcPr>
            <w:tcW w:w="980" w:type="dxa"/>
            <w:tcBorders>
              <w:top w:val="nil"/>
              <w:left w:val="nil"/>
              <w:bottom w:val="single" w:sz="4" w:space="0" w:color="auto"/>
              <w:right w:val="single" w:sz="4" w:space="0" w:color="auto"/>
            </w:tcBorders>
            <w:shd w:val="clear" w:color="auto" w:fill="auto"/>
            <w:hideMark/>
          </w:tcPr>
          <w:p w14:paraId="0156502C"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74E5218"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42B03FB5"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7E88D1A6"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61DFD7C5" w14:textId="77777777" w:rsidR="006C28DF" w:rsidRPr="006C28DF" w:rsidRDefault="006C28DF" w:rsidP="006C28DF">
            <w:pPr>
              <w:jc w:val="right"/>
              <w:rPr>
                <w:sz w:val="20"/>
                <w:szCs w:val="20"/>
                <w:lang w:val="en-CA" w:eastAsia="en-CA"/>
              </w:rPr>
            </w:pPr>
            <w:r w:rsidRPr="006C28DF">
              <w:rPr>
                <w:sz w:val="20"/>
                <w:szCs w:val="20"/>
                <w:lang w:val="en-CA" w:eastAsia="en-CA"/>
              </w:rPr>
              <w:t>94</w:t>
            </w:r>
          </w:p>
        </w:tc>
        <w:tc>
          <w:tcPr>
            <w:tcW w:w="976" w:type="dxa"/>
            <w:tcBorders>
              <w:top w:val="nil"/>
              <w:left w:val="nil"/>
              <w:bottom w:val="single" w:sz="4" w:space="0" w:color="auto"/>
              <w:right w:val="single" w:sz="4" w:space="0" w:color="auto"/>
            </w:tcBorders>
            <w:shd w:val="clear" w:color="auto" w:fill="auto"/>
            <w:hideMark/>
          </w:tcPr>
          <w:p w14:paraId="6365942E"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5F2B9CF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616BAEB" w14:textId="77777777" w:rsidR="006C28DF" w:rsidRPr="006C28DF" w:rsidRDefault="006C28DF" w:rsidP="006C28DF">
            <w:pPr>
              <w:jc w:val="left"/>
              <w:rPr>
                <w:sz w:val="20"/>
                <w:szCs w:val="20"/>
                <w:lang w:val="en-CA" w:eastAsia="en-CA"/>
              </w:rPr>
            </w:pPr>
            <w:r w:rsidRPr="006C28DF">
              <w:rPr>
                <w:sz w:val="20"/>
                <w:szCs w:val="20"/>
                <w:lang w:val="en-CA" w:eastAsia="en-CA"/>
              </w:rPr>
              <w:t>Swaziland</w:t>
            </w:r>
          </w:p>
        </w:tc>
        <w:tc>
          <w:tcPr>
            <w:tcW w:w="980" w:type="dxa"/>
            <w:tcBorders>
              <w:top w:val="nil"/>
              <w:left w:val="nil"/>
              <w:bottom w:val="single" w:sz="4" w:space="0" w:color="auto"/>
              <w:right w:val="single" w:sz="4" w:space="0" w:color="auto"/>
            </w:tcBorders>
            <w:shd w:val="clear" w:color="auto" w:fill="auto"/>
            <w:hideMark/>
          </w:tcPr>
          <w:p w14:paraId="410DA562"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438E7C8A"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C4C8F1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01AB189" w14:textId="77777777" w:rsidR="006C28DF" w:rsidRPr="006C28DF" w:rsidRDefault="006C28DF" w:rsidP="006C28DF">
            <w:pPr>
              <w:jc w:val="left"/>
              <w:rPr>
                <w:sz w:val="20"/>
                <w:szCs w:val="20"/>
                <w:lang w:val="en-CA" w:eastAsia="en-CA"/>
              </w:rPr>
            </w:pPr>
            <w:r w:rsidRPr="006C28DF">
              <w:rPr>
                <w:sz w:val="20"/>
                <w:szCs w:val="20"/>
                <w:lang w:val="en-CA" w:eastAsia="en-CA"/>
              </w:rPr>
              <w:t>Stage II HPMP Preparation</w:t>
            </w:r>
          </w:p>
        </w:tc>
        <w:tc>
          <w:tcPr>
            <w:tcW w:w="1148" w:type="dxa"/>
            <w:tcBorders>
              <w:top w:val="nil"/>
              <w:left w:val="nil"/>
              <w:bottom w:val="single" w:sz="4" w:space="0" w:color="auto"/>
              <w:right w:val="single" w:sz="4" w:space="0" w:color="auto"/>
            </w:tcBorders>
            <w:shd w:val="clear" w:color="auto" w:fill="auto"/>
            <w:hideMark/>
          </w:tcPr>
          <w:p w14:paraId="0B19AD7D"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73214A48"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33ED8977"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732D1C2" w14:textId="77777777" w:rsidR="006C28DF" w:rsidRPr="006C28DF" w:rsidRDefault="006C28DF" w:rsidP="006C28DF">
            <w:pPr>
              <w:jc w:val="left"/>
              <w:rPr>
                <w:sz w:val="20"/>
                <w:szCs w:val="20"/>
                <w:lang w:val="en-CA" w:eastAsia="en-CA"/>
              </w:rPr>
            </w:pPr>
            <w:r w:rsidRPr="006C28DF">
              <w:rPr>
                <w:sz w:val="20"/>
                <w:szCs w:val="20"/>
                <w:lang w:val="en-CA" w:eastAsia="en-CA"/>
              </w:rPr>
              <w:t>Swaziland</w:t>
            </w:r>
          </w:p>
        </w:tc>
        <w:tc>
          <w:tcPr>
            <w:tcW w:w="980" w:type="dxa"/>
            <w:tcBorders>
              <w:top w:val="nil"/>
              <w:left w:val="nil"/>
              <w:bottom w:val="single" w:sz="4" w:space="0" w:color="auto"/>
              <w:right w:val="single" w:sz="4" w:space="0" w:color="auto"/>
            </w:tcBorders>
            <w:shd w:val="clear" w:color="auto" w:fill="auto"/>
            <w:hideMark/>
          </w:tcPr>
          <w:p w14:paraId="63A5C143"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8F4139C"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6A13391"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1443119" w14:textId="77777777" w:rsidR="006C28DF" w:rsidRPr="006C28DF" w:rsidRDefault="006C28DF" w:rsidP="006C28DF">
            <w:pPr>
              <w:jc w:val="left"/>
              <w:rPr>
                <w:sz w:val="20"/>
                <w:szCs w:val="20"/>
                <w:lang w:val="en-CA" w:eastAsia="en-CA"/>
              </w:rPr>
            </w:pPr>
            <w:r w:rsidRPr="006C28DF">
              <w:rPr>
                <w:sz w:val="20"/>
                <w:szCs w:val="20"/>
                <w:lang w:val="en-CA" w:eastAsia="en-CA"/>
              </w:rPr>
              <w:t xml:space="preserve">Stage 2 - HCFC Phase-out Management Plan (preparation) </w:t>
            </w:r>
          </w:p>
        </w:tc>
        <w:tc>
          <w:tcPr>
            <w:tcW w:w="1148" w:type="dxa"/>
            <w:tcBorders>
              <w:top w:val="nil"/>
              <w:left w:val="nil"/>
              <w:bottom w:val="single" w:sz="4" w:space="0" w:color="auto"/>
              <w:right w:val="single" w:sz="4" w:space="0" w:color="auto"/>
            </w:tcBorders>
            <w:shd w:val="clear" w:color="auto" w:fill="auto"/>
            <w:hideMark/>
          </w:tcPr>
          <w:p w14:paraId="501C4374"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67549BE5"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676E7E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ABF7BF0" w14:textId="77777777" w:rsidR="006C28DF" w:rsidRPr="006C28DF" w:rsidRDefault="006C28DF" w:rsidP="006C28DF">
            <w:pPr>
              <w:jc w:val="left"/>
              <w:rPr>
                <w:sz w:val="20"/>
                <w:szCs w:val="20"/>
                <w:lang w:val="en-CA" w:eastAsia="en-CA"/>
              </w:rPr>
            </w:pPr>
            <w:r w:rsidRPr="006C28DF">
              <w:rPr>
                <w:sz w:val="20"/>
                <w:szCs w:val="20"/>
                <w:lang w:val="en-CA" w:eastAsia="en-CA"/>
              </w:rPr>
              <w:t>Swaziland</w:t>
            </w:r>
          </w:p>
        </w:tc>
        <w:tc>
          <w:tcPr>
            <w:tcW w:w="980" w:type="dxa"/>
            <w:tcBorders>
              <w:top w:val="nil"/>
              <w:left w:val="nil"/>
              <w:bottom w:val="single" w:sz="4" w:space="0" w:color="auto"/>
              <w:right w:val="single" w:sz="4" w:space="0" w:color="auto"/>
            </w:tcBorders>
            <w:shd w:val="clear" w:color="auto" w:fill="auto"/>
            <w:hideMark/>
          </w:tcPr>
          <w:p w14:paraId="5F027AA1"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D276786"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6BBB753D"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118DA537"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0207F2CB"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05FA17FD"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8EDA5C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AAB7314" w14:textId="77777777" w:rsidR="006C28DF" w:rsidRPr="006C28DF" w:rsidRDefault="006C28DF" w:rsidP="006C28DF">
            <w:pPr>
              <w:jc w:val="left"/>
              <w:rPr>
                <w:sz w:val="20"/>
                <w:szCs w:val="20"/>
                <w:lang w:val="en-CA" w:eastAsia="en-CA"/>
              </w:rPr>
            </w:pPr>
            <w:r w:rsidRPr="006C28DF">
              <w:rPr>
                <w:sz w:val="20"/>
                <w:szCs w:val="20"/>
                <w:lang w:val="en-CA" w:eastAsia="en-CA"/>
              </w:rPr>
              <w:t>Syrian Arab Republic</w:t>
            </w:r>
          </w:p>
        </w:tc>
        <w:tc>
          <w:tcPr>
            <w:tcW w:w="980" w:type="dxa"/>
            <w:tcBorders>
              <w:top w:val="nil"/>
              <w:left w:val="nil"/>
              <w:bottom w:val="single" w:sz="4" w:space="0" w:color="auto"/>
              <w:right w:val="single" w:sz="4" w:space="0" w:color="auto"/>
            </w:tcBorders>
            <w:shd w:val="clear" w:color="auto" w:fill="auto"/>
            <w:hideMark/>
          </w:tcPr>
          <w:p w14:paraId="1E6AC5F2"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1389C2D"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73CC13DB"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7722AA86" w14:textId="77777777" w:rsidR="006C28DF" w:rsidRPr="006C28DF" w:rsidRDefault="006C28DF" w:rsidP="006C28DF">
            <w:pPr>
              <w:jc w:val="left"/>
              <w:rPr>
                <w:sz w:val="20"/>
                <w:szCs w:val="20"/>
                <w:lang w:val="en-CA" w:eastAsia="en-CA"/>
              </w:rPr>
            </w:pPr>
            <w:r w:rsidRPr="006C28DF">
              <w:rPr>
                <w:sz w:val="20"/>
                <w:szCs w:val="20"/>
                <w:lang w:val="en-CA" w:eastAsia="en-CA"/>
              </w:rPr>
              <w:t>Enabling activities</w:t>
            </w:r>
          </w:p>
        </w:tc>
        <w:tc>
          <w:tcPr>
            <w:tcW w:w="1148" w:type="dxa"/>
            <w:tcBorders>
              <w:top w:val="nil"/>
              <w:left w:val="nil"/>
              <w:bottom w:val="single" w:sz="4" w:space="0" w:color="auto"/>
              <w:right w:val="single" w:sz="4" w:space="0" w:color="auto"/>
            </w:tcBorders>
            <w:shd w:val="clear" w:color="auto" w:fill="auto"/>
            <w:hideMark/>
          </w:tcPr>
          <w:p w14:paraId="07F4C6B4" w14:textId="77777777" w:rsidR="006C28DF" w:rsidRPr="006C28DF" w:rsidRDefault="006C28DF" w:rsidP="006C28DF">
            <w:pPr>
              <w:jc w:val="right"/>
              <w:rPr>
                <w:sz w:val="20"/>
                <w:szCs w:val="20"/>
                <w:lang w:val="en-CA" w:eastAsia="en-CA"/>
              </w:rPr>
            </w:pPr>
            <w:r w:rsidRPr="006C28DF">
              <w:rPr>
                <w:sz w:val="20"/>
                <w:szCs w:val="20"/>
                <w:lang w:val="en-CA" w:eastAsia="en-CA"/>
              </w:rPr>
              <w:t>268</w:t>
            </w:r>
          </w:p>
        </w:tc>
        <w:tc>
          <w:tcPr>
            <w:tcW w:w="976" w:type="dxa"/>
            <w:tcBorders>
              <w:top w:val="nil"/>
              <w:left w:val="nil"/>
              <w:bottom w:val="single" w:sz="4" w:space="0" w:color="auto"/>
              <w:right w:val="single" w:sz="4" w:space="0" w:color="auto"/>
            </w:tcBorders>
            <w:shd w:val="clear" w:color="auto" w:fill="auto"/>
            <w:hideMark/>
          </w:tcPr>
          <w:p w14:paraId="547789C8"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CC0A6A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FFEBC1C" w14:textId="77777777" w:rsidR="006C28DF" w:rsidRPr="006C28DF" w:rsidRDefault="006C28DF" w:rsidP="006C28DF">
            <w:pPr>
              <w:jc w:val="left"/>
              <w:rPr>
                <w:sz w:val="20"/>
                <w:szCs w:val="20"/>
                <w:lang w:val="en-CA" w:eastAsia="en-CA"/>
              </w:rPr>
            </w:pPr>
            <w:r w:rsidRPr="006C28DF">
              <w:rPr>
                <w:sz w:val="20"/>
                <w:szCs w:val="20"/>
                <w:lang w:val="en-CA" w:eastAsia="en-CA"/>
              </w:rPr>
              <w:t>Thailand</w:t>
            </w:r>
          </w:p>
        </w:tc>
        <w:tc>
          <w:tcPr>
            <w:tcW w:w="980" w:type="dxa"/>
            <w:tcBorders>
              <w:top w:val="nil"/>
              <w:left w:val="nil"/>
              <w:bottom w:val="single" w:sz="4" w:space="0" w:color="auto"/>
              <w:right w:val="single" w:sz="4" w:space="0" w:color="auto"/>
            </w:tcBorders>
            <w:shd w:val="clear" w:color="auto" w:fill="auto"/>
            <w:hideMark/>
          </w:tcPr>
          <w:p w14:paraId="0A8343B5"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68C93FCF"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0BA1C5DD"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83064B5" w14:textId="77777777" w:rsidR="006C28DF" w:rsidRPr="006C28DF" w:rsidRDefault="006C28DF" w:rsidP="006C28DF">
            <w:pPr>
              <w:jc w:val="left"/>
              <w:rPr>
                <w:sz w:val="20"/>
                <w:szCs w:val="20"/>
                <w:lang w:val="en-CA" w:eastAsia="en-CA"/>
              </w:rPr>
            </w:pPr>
            <w:r w:rsidRPr="006C28DF">
              <w:rPr>
                <w:sz w:val="20"/>
                <w:szCs w:val="20"/>
                <w:lang w:val="en-CA" w:eastAsia="en-CA"/>
              </w:rPr>
              <w:t>FOA - Rigid PU foam (Stage II)</w:t>
            </w:r>
          </w:p>
        </w:tc>
        <w:tc>
          <w:tcPr>
            <w:tcW w:w="1148" w:type="dxa"/>
            <w:tcBorders>
              <w:top w:val="nil"/>
              <w:left w:val="nil"/>
              <w:bottom w:val="single" w:sz="4" w:space="0" w:color="auto"/>
              <w:right w:val="single" w:sz="4" w:space="0" w:color="auto"/>
            </w:tcBorders>
            <w:shd w:val="clear" w:color="auto" w:fill="auto"/>
            <w:hideMark/>
          </w:tcPr>
          <w:p w14:paraId="53946126" w14:textId="77777777" w:rsidR="006C28DF" w:rsidRPr="006C28DF" w:rsidRDefault="006C28DF" w:rsidP="006C28DF">
            <w:pPr>
              <w:jc w:val="right"/>
              <w:rPr>
                <w:sz w:val="20"/>
                <w:szCs w:val="20"/>
                <w:lang w:val="en-CA" w:eastAsia="en-CA"/>
              </w:rPr>
            </w:pPr>
            <w:r w:rsidRPr="006C28DF">
              <w:rPr>
                <w:sz w:val="20"/>
                <w:szCs w:val="20"/>
                <w:lang w:val="en-CA" w:eastAsia="en-CA"/>
              </w:rPr>
              <w:t>298</w:t>
            </w:r>
          </w:p>
        </w:tc>
        <w:tc>
          <w:tcPr>
            <w:tcW w:w="976" w:type="dxa"/>
            <w:tcBorders>
              <w:top w:val="nil"/>
              <w:left w:val="nil"/>
              <w:bottom w:val="single" w:sz="4" w:space="0" w:color="auto"/>
              <w:right w:val="single" w:sz="4" w:space="0" w:color="auto"/>
            </w:tcBorders>
            <w:shd w:val="clear" w:color="auto" w:fill="auto"/>
            <w:hideMark/>
          </w:tcPr>
          <w:p w14:paraId="7E5FD022" w14:textId="77777777" w:rsidR="006C28DF" w:rsidRPr="006C28DF" w:rsidRDefault="006C28DF" w:rsidP="006C28DF">
            <w:pPr>
              <w:jc w:val="right"/>
              <w:rPr>
                <w:sz w:val="20"/>
                <w:szCs w:val="20"/>
                <w:lang w:val="en-CA" w:eastAsia="en-CA"/>
              </w:rPr>
            </w:pPr>
            <w:r w:rsidRPr="006C28DF">
              <w:rPr>
                <w:sz w:val="20"/>
                <w:szCs w:val="20"/>
                <w:lang w:val="en-CA" w:eastAsia="en-CA"/>
              </w:rPr>
              <w:t>12.8</w:t>
            </w:r>
          </w:p>
        </w:tc>
      </w:tr>
      <w:tr w:rsidR="006C28DF" w:rsidRPr="006C28DF" w14:paraId="31D77EA1"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5C744A4" w14:textId="77777777" w:rsidR="006C28DF" w:rsidRPr="006C28DF" w:rsidRDefault="006C28DF" w:rsidP="006C28DF">
            <w:pPr>
              <w:jc w:val="left"/>
              <w:rPr>
                <w:sz w:val="20"/>
                <w:szCs w:val="20"/>
                <w:lang w:val="en-CA" w:eastAsia="en-CA"/>
              </w:rPr>
            </w:pPr>
            <w:r w:rsidRPr="006C28DF">
              <w:rPr>
                <w:sz w:val="20"/>
                <w:szCs w:val="20"/>
                <w:lang w:val="en-CA" w:eastAsia="en-CA"/>
              </w:rPr>
              <w:t>Thailand</w:t>
            </w:r>
          </w:p>
        </w:tc>
        <w:tc>
          <w:tcPr>
            <w:tcW w:w="980" w:type="dxa"/>
            <w:tcBorders>
              <w:top w:val="nil"/>
              <w:left w:val="nil"/>
              <w:bottom w:val="single" w:sz="4" w:space="0" w:color="auto"/>
              <w:right w:val="single" w:sz="4" w:space="0" w:color="auto"/>
            </w:tcBorders>
            <w:shd w:val="clear" w:color="auto" w:fill="auto"/>
            <w:hideMark/>
          </w:tcPr>
          <w:p w14:paraId="08A122D8"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28C27516"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712A4C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1496E8B" w14:textId="77777777" w:rsidR="006C28DF" w:rsidRPr="006C28DF" w:rsidRDefault="006C28DF" w:rsidP="006C28DF">
            <w:pPr>
              <w:jc w:val="left"/>
              <w:rPr>
                <w:sz w:val="20"/>
                <w:szCs w:val="20"/>
                <w:lang w:val="en-CA" w:eastAsia="en-CA"/>
              </w:rPr>
            </w:pPr>
            <w:r w:rsidRPr="006C28DF">
              <w:rPr>
                <w:sz w:val="20"/>
                <w:szCs w:val="20"/>
                <w:lang w:val="en-CA" w:eastAsia="en-CA"/>
              </w:rPr>
              <w:t>REF - Commercial refrigeration (Stage II)</w:t>
            </w:r>
          </w:p>
        </w:tc>
        <w:tc>
          <w:tcPr>
            <w:tcW w:w="1148" w:type="dxa"/>
            <w:tcBorders>
              <w:top w:val="nil"/>
              <w:left w:val="nil"/>
              <w:bottom w:val="single" w:sz="4" w:space="0" w:color="auto"/>
              <w:right w:val="single" w:sz="4" w:space="0" w:color="auto"/>
            </w:tcBorders>
            <w:shd w:val="clear" w:color="auto" w:fill="auto"/>
            <w:hideMark/>
          </w:tcPr>
          <w:p w14:paraId="6922A010" w14:textId="77777777" w:rsidR="006C28DF" w:rsidRPr="006C28DF" w:rsidRDefault="006C28DF" w:rsidP="006C28DF">
            <w:pPr>
              <w:jc w:val="right"/>
              <w:rPr>
                <w:sz w:val="20"/>
                <w:szCs w:val="20"/>
                <w:lang w:val="en-CA" w:eastAsia="en-CA"/>
              </w:rPr>
            </w:pPr>
            <w:r w:rsidRPr="006C28DF">
              <w:rPr>
                <w:sz w:val="20"/>
                <w:szCs w:val="20"/>
                <w:lang w:val="en-CA" w:eastAsia="en-CA"/>
              </w:rPr>
              <w:t>307</w:t>
            </w:r>
          </w:p>
        </w:tc>
        <w:tc>
          <w:tcPr>
            <w:tcW w:w="976" w:type="dxa"/>
            <w:tcBorders>
              <w:top w:val="nil"/>
              <w:left w:val="nil"/>
              <w:bottom w:val="single" w:sz="4" w:space="0" w:color="auto"/>
              <w:right w:val="single" w:sz="4" w:space="0" w:color="auto"/>
            </w:tcBorders>
            <w:shd w:val="clear" w:color="auto" w:fill="auto"/>
            <w:hideMark/>
          </w:tcPr>
          <w:p w14:paraId="70637048" w14:textId="77777777" w:rsidR="006C28DF" w:rsidRPr="006C28DF" w:rsidRDefault="006C28DF" w:rsidP="006C28DF">
            <w:pPr>
              <w:jc w:val="right"/>
              <w:rPr>
                <w:sz w:val="20"/>
                <w:szCs w:val="20"/>
                <w:lang w:val="en-CA" w:eastAsia="en-CA"/>
              </w:rPr>
            </w:pPr>
            <w:r w:rsidRPr="006C28DF">
              <w:rPr>
                <w:sz w:val="20"/>
                <w:szCs w:val="20"/>
                <w:lang w:val="en-CA" w:eastAsia="en-CA"/>
              </w:rPr>
              <w:t>5.5</w:t>
            </w:r>
          </w:p>
        </w:tc>
      </w:tr>
      <w:tr w:rsidR="006C28DF" w:rsidRPr="006C28DF" w14:paraId="307782C3"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321C5B9" w14:textId="77777777" w:rsidR="006C28DF" w:rsidRPr="006C28DF" w:rsidRDefault="006C28DF" w:rsidP="006C28DF">
            <w:pPr>
              <w:jc w:val="left"/>
              <w:rPr>
                <w:sz w:val="20"/>
                <w:szCs w:val="20"/>
                <w:lang w:val="en-CA" w:eastAsia="en-CA"/>
              </w:rPr>
            </w:pPr>
            <w:r w:rsidRPr="006C28DF">
              <w:rPr>
                <w:sz w:val="20"/>
                <w:szCs w:val="20"/>
                <w:lang w:val="en-CA" w:eastAsia="en-CA"/>
              </w:rPr>
              <w:t>Thailand</w:t>
            </w:r>
          </w:p>
        </w:tc>
        <w:tc>
          <w:tcPr>
            <w:tcW w:w="980" w:type="dxa"/>
            <w:tcBorders>
              <w:top w:val="nil"/>
              <w:left w:val="nil"/>
              <w:bottom w:val="single" w:sz="4" w:space="0" w:color="auto"/>
              <w:right w:val="single" w:sz="4" w:space="0" w:color="auto"/>
            </w:tcBorders>
            <w:shd w:val="clear" w:color="auto" w:fill="auto"/>
            <w:hideMark/>
          </w:tcPr>
          <w:p w14:paraId="31AB1EE1"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0CCC5AF5"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16CA2BD8"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500B1D7" w14:textId="77777777" w:rsidR="006C28DF" w:rsidRPr="006C28DF" w:rsidRDefault="006C28DF" w:rsidP="006C28DF">
            <w:pPr>
              <w:jc w:val="left"/>
              <w:rPr>
                <w:sz w:val="20"/>
                <w:szCs w:val="20"/>
                <w:lang w:val="en-CA" w:eastAsia="en-CA"/>
              </w:rPr>
            </w:pPr>
            <w:r w:rsidRPr="006C28DF">
              <w:rPr>
                <w:sz w:val="20"/>
                <w:szCs w:val="20"/>
                <w:lang w:val="en-CA" w:eastAsia="en-CA"/>
              </w:rPr>
              <w:t>REF-Servicing (Stage II)</w:t>
            </w:r>
          </w:p>
        </w:tc>
        <w:tc>
          <w:tcPr>
            <w:tcW w:w="1148" w:type="dxa"/>
            <w:tcBorders>
              <w:top w:val="nil"/>
              <w:left w:val="nil"/>
              <w:bottom w:val="single" w:sz="4" w:space="0" w:color="auto"/>
              <w:right w:val="single" w:sz="4" w:space="0" w:color="auto"/>
            </w:tcBorders>
            <w:shd w:val="clear" w:color="auto" w:fill="auto"/>
            <w:hideMark/>
          </w:tcPr>
          <w:p w14:paraId="66B38408" w14:textId="77777777" w:rsidR="006C28DF" w:rsidRPr="006C28DF" w:rsidRDefault="006C28DF" w:rsidP="006C28DF">
            <w:pPr>
              <w:jc w:val="right"/>
              <w:rPr>
                <w:sz w:val="20"/>
                <w:szCs w:val="20"/>
                <w:lang w:val="en-CA" w:eastAsia="en-CA"/>
              </w:rPr>
            </w:pPr>
            <w:r w:rsidRPr="006C28DF">
              <w:rPr>
                <w:sz w:val="20"/>
                <w:szCs w:val="20"/>
                <w:lang w:val="en-CA" w:eastAsia="en-CA"/>
              </w:rPr>
              <w:t>1,199</w:t>
            </w:r>
          </w:p>
        </w:tc>
        <w:tc>
          <w:tcPr>
            <w:tcW w:w="976" w:type="dxa"/>
            <w:tcBorders>
              <w:top w:val="nil"/>
              <w:left w:val="nil"/>
              <w:bottom w:val="single" w:sz="4" w:space="0" w:color="auto"/>
              <w:right w:val="single" w:sz="4" w:space="0" w:color="auto"/>
            </w:tcBorders>
            <w:shd w:val="clear" w:color="auto" w:fill="auto"/>
            <w:hideMark/>
          </w:tcPr>
          <w:p w14:paraId="0FDD1B93" w14:textId="77777777" w:rsidR="006C28DF" w:rsidRPr="006C28DF" w:rsidRDefault="006C28DF" w:rsidP="006C28DF">
            <w:pPr>
              <w:jc w:val="right"/>
              <w:rPr>
                <w:sz w:val="20"/>
                <w:szCs w:val="20"/>
                <w:lang w:val="en-CA" w:eastAsia="en-CA"/>
              </w:rPr>
            </w:pPr>
            <w:r w:rsidRPr="006C28DF">
              <w:rPr>
                <w:sz w:val="20"/>
                <w:szCs w:val="20"/>
                <w:lang w:val="en-CA" w:eastAsia="en-CA"/>
              </w:rPr>
              <w:t>37.6</w:t>
            </w:r>
          </w:p>
        </w:tc>
      </w:tr>
      <w:tr w:rsidR="006C28DF" w:rsidRPr="006C28DF" w14:paraId="00BB695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3E03AB1" w14:textId="77777777" w:rsidR="006C28DF" w:rsidRPr="006C28DF" w:rsidRDefault="006C28DF" w:rsidP="006C28DF">
            <w:pPr>
              <w:jc w:val="left"/>
              <w:rPr>
                <w:sz w:val="20"/>
                <w:szCs w:val="20"/>
                <w:lang w:val="en-CA" w:eastAsia="en-CA"/>
              </w:rPr>
            </w:pPr>
            <w:r w:rsidRPr="006C28DF">
              <w:rPr>
                <w:sz w:val="20"/>
                <w:szCs w:val="20"/>
                <w:lang w:val="en-CA" w:eastAsia="en-CA"/>
              </w:rPr>
              <w:t>Thailand</w:t>
            </w:r>
          </w:p>
        </w:tc>
        <w:tc>
          <w:tcPr>
            <w:tcW w:w="980" w:type="dxa"/>
            <w:tcBorders>
              <w:top w:val="nil"/>
              <w:left w:val="nil"/>
              <w:bottom w:val="single" w:sz="4" w:space="0" w:color="auto"/>
              <w:right w:val="single" w:sz="4" w:space="0" w:color="auto"/>
            </w:tcBorders>
            <w:shd w:val="clear" w:color="auto" w:fill="auto"/>
            <w:hideMark/>
          </w:tcPr>
          <w:p w14:paraId="7C389FEB"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235BF1E2"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195B3A27"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BD2B5D8" w14:textId="77777777" w:rsidR="006C28DF" w:rsidRPr="006C28DF" w:rsidRDefault="006C28DF" w:rsidP="006C28DF">
            <w:pPr>
              <w:jc w:val="left"/>
              <w:rPr>
                <w:sz w:val="20"/>
                <w:szCs w:val="20"/>
                <w:lang w:val="en-CA" w:eastAsia="en-CA"/>
              </w:rPr>
            </w:pPr>
            <w:r w:rsidRPr="006C28DF">
              <w:rPr>
                <w:sz w:val="20"/>
                <w:szCs w:val="20"/>
                <w:lang w:val="en-CA" w:eastAsia="en-CA"/>
              </w:rPr>
              <w:t>Solvent (Stage II)</w:t>
            </w:r>
          </w:p>
        </w:tc>
        <w:tc>
          <w:tcPr>
            <w:tcW w:w="1148" w:type="dxa"/>
            <w:tcBorders>
              <w:top w:val="nil"/>
              <w:left w:val="nil"/>
              <w:bottom w:val="single" w:sz="4" w:space="0" w:color="auto"/>
              <w:right w:val="single" w:sz="4" w:space="0" w:color="auto"/>
            </w:tcBorders>
            <w:shd w:val="clear" w:color="auto" w:fill="auto"/>
            <w:hideMark/>
          </w:tcPr>
          <w:p w14:paraId="3D970AD7" w14:textId="77777777" w:rsidR="006C28DF" w:rsidRPr="006C28DF" w:rsidRDefault="006C28DF" w:rsidP="006C28DF">
            <w:pPr>
              <w:jc w:val="right"/>
              <w:rPr>
                <w:sz w:val="20"/>
                <w:szCs w:val="20"/>
                <w:lang w:val="en-CA" w:eastAsia="en-CA"/>
              </w:rPr>
            </w:pPr>
            <w:r w:rsidRPr="006C28DF">
              <w:rPr>
                <w:sz w:val="20"/>
                <w:szCs w:val="20"/>
                <w:lang w:val="en-CA" w:eastAsia="en-CA"/>
              </w:rPr>
              <w:t>179</w:t>
            </w:r>
          </w:p>
        </w:tc>
        <w:tc>
          <w:tcPr>
            <w:tcW w:w="976" w:type="dxa"/>
            <w:tcBorders>
              <w:top w:val="nil"/>
              <w:left w:val="nil"/>
              <w:bottom w:val="single" w:sz="4" w:space="0" w:color="auto"/>
              <w:right w:val="single" w:sz="4" w:space="0" w:color="auto"/>
            </w:tcBorders>
            <w:shd w:val="clear" w:color="auto" w:fill="auto"/>
            <w:hideMark/>
          </w:tcPr>
          <w:p w14:paraId="6687BF1B" w14:textId="77777777" w:rsidR="006C28DF" w:rsidRPr="006C28DF" w:rsidRDefault="006C28DF" w:rsidP="006C28DF">
            <w:pPr>
              <w:jc w:val="right"/>
              <w:rPr>
                <w:sz w:val="20"/>
                <w:szCs w:val="20"/>
                <w:lang w:val="en-CA" w:eastAsia="en-CA"/>
              </w:rPr>
            </w:pPr>
            <w:r w:rsidRPr="006C28DF">
              <w:rPr>
                <w:sz w:val="20"/>
                <w:szCs w:val="20"/>
                <w:lang w:val="en-CA" w:eastAsia="en-CA"/>
              </w:rPr>
              <w:t>6.0</w:t>
            </w:r>
          </w:p>
        </w:tc>
      </w:tr>
      <w:tr w:rsidR="006C28DF" w:rsidRPr="006C28DF" w14:paraId="32FABEB4" w14:textId="77777777" w:rsidTr="002C3CFF">
        <w:trPr>
          <w:trHeight w:val="816"/>
        </w:trPr>
        <w:tc>
          <w:tcPr>
            <w:tcW w:w="2269" w:type="dxa"/>
            <w:tcBorders>
              <w:top w:val="nil"/>
              <w:left w:val="single" w:sz="4" w:space="0" w:color="auto"/>
              <w:bottom w:val="single" w:sz="4" w:space="0" w:color="auto"/>
              <w:right w:val="single" w:sz="4" w:space="0" w:color="auto"/>
            </w:tcBorders>
            <w:shd w:val="clear" w:color="auto" w:fill="auto"/>
            <w:hideMark/>
          </w:tcPr>
          <w:p w14:paraId="30C42197" w14:textId="77777777" w:rsidR="006C28DF" w:rsidRPr="006C28DF" w:rsidRDefault="006C28DF" w:rsidP="006C28DF">
            <w:pPr>
              <w:jc w:val="left"/>
              <w:rPr>
                <w:sz w:val="20"/>
                <w:szCs w:val="20"/>
                <w:lang w:val="en-CA" w:eastAsia="en-CA"/>
              </w:rPr>
            </w:pPr>
            <w:r w:rsidRPr="006C28DF">
              <w:rPr>
                <w:sz w:val="20"/>
                <w:szCs w:val="20"/>
                <w:lang w:val="en-CA" w:eastAsia="en-CA"/>
              </w:rPr>
              <w:t>Thailand</w:t>
            </w:r>
          </w:p>
        </w:tc>
        <w:tc>
          <w:tcPr>
            <w:tcW w:w="980" w:type="dxa"/>
            <w:tcBorders>
              <w:top w:val="nil"/>
              <w:left w:val="nil"/>
              <w:bottom w:val="single" w:sz="4" w:space="0" w:color="auto"/>
              <w:right w:val="single" w:sz="4" w:space="0" w:color="auto"/>
            </w:tcBorders>
            <w:shd w:val="clear" w:color="auto" w:fill="auto"/>
            <w:hideMark/>
          </w:tcPr>
          <w:p w14:paraId="6F497D8A"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7161FABF"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56DD714A"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08500020" w14:textId="77777777" w:rsidR="006C28DF" w:rsidRPr="006C28DF" w:rsidRDefault="006C28DF" w:rsidP="006C28DF">
            <w:pPr>
              <w:jc w:val="left"/>
              <w:rPr>
                <w:sz w:val="20"/>
                <w:szCs w:val="20"/>
                <w:lang w:val="en-CA" w:eastAsia="en-CA"/>
              </w:rPr>
            </w:pPr>
            <w:r w:rsidRPr="006C28DF">
              <w:rPr>
                <w:sz w:val="20"/>
                <w:szCs w:val="20"/>
                <w:lang w:val="en-CA" w:eastAsia="en-CA"/>
              </w:rPr>
              <w:t>Conversion from HFC to HFO-based or other low-GWP refrigerant in the production of commercial refrigeration equipment at Pattana Intercool and System Forms Co., Ltd.</w:t>
            </w:r>
          </w:p>
        </w:tc>
        <w:tc>
          <w:tcPr>
            <w:tcW w:w="1148" w:type="dxa"/>
            <w:tcBorders>
              <w:top w:val="nil"/>
              <w:left w:val="nil"/>
              <w:bottom w:val="single" w:sz="4" w:space="0" w:color="auto"/>
              <w:right w:val="single" w:sz="4" w:space="0" w:color="auto"/>
            </w:tcBorders>
            <w:shd w:val="clear" w:color="auto" w:fill="auto"/>
            <w:hideMark/>
          </w:tcPr>
          <w:p w14:paraId="00216FBF" w14:textId="77777777" w:rsidR="006C28DF" w:rsidRPr="006C28DF" w:rsidRDefault="006C28DF" w:rsidP="006C28DF">
            <w:pPr>
              <w:jc w:val="right"/>
              <w:rPr>
                <w:sz w:val="20"/>
                <w:szCs w:val="20"/>
                <w:lang w:val="en-CA" w:eastAsia="en-CA"/>
              </w:rPr>
            </w:pPr>
            <w:r w:rsidRPr="006C28DF">
              <w:rPr>
                <w:sz w:val="20"/>
                <w:szCs w:val="20"/>
                <w:lang w:val="en-CA" w:eastAsia="en-CA"/>
              </w:rPr>
              <w:t>325</w:t>
            </w:r>
          </w:p>
        </w:tc>
        <w:tc>
          <w:tcPr>
            <w:tcW w:w="976" w:type="dxa"/>
            <w:tcBorders>
              <w:top w:val="nil"/>
              <w:left w:val="nil"/>
              <w:bottom w:val="single" w:sz="4" w:space="0" w:color="auto"/>
              <w:right w:val="single" w:sz="4" w:space="0" w:color="auto"/>
            </w:tcBorders>
            <w:shd w:val="clear" w:color="auto" w:fill="auto"/>
            <w:hideMark/>
          </w:tcPr>
          <w:p w14:paraId="1DC894A2"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B19857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872DBED" w14:textId="77777777" w:rsidR="006C28DF" w:rsidRPr="006C28DF" w:rsidRDefault="006C28DF" w:rsidP="006C28DF">
            <w:pPr>
              <w:jc w:val="left"/>
              <w:rPr>
                <w:sz w:val="20"/>
                <w:szCs w:val="20"/>
                <w:lang w:val="en-CA" w:eastAsia="en-CA"/>
              </w:rPr>
            </w:pPr>
            <w:r w:rsidRPr="006C28DF">
              <w:rPr>
                <w:sz w:val="20"/>
                <w:szCs w:val="20"/>
                <w:lang w:val="en-CA" w:eastAsia="en-CA"/>
              </w:rPr>
              <w:t>Thailand</w:t>
            </w:r>
          </w:p>
        </w:tc>
        <w:tc>
          <w:tcPr>
            <w:tcW w:w="980" w:type="dxa"/>
            <w:tcBorders>
              <w:top w:val="nil"/>
              <w:left w:val="nil"/>
              <w:bottom w:val="single" w:sz="4" w:space="0" w:color="auto"/>
              <w:right w:val="single" w:sz="4" w:space="0" w:color="auto"/>
            </w:tcBorders>
            <w:shd w:val="clear" w:color="auto" w:fill="auto"/>
            <w:hideMark/>
          </w:tcPr>
          <w:p w14:paraId="496BF973"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4E4D8F43"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107DD90E"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6FCAE26"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66B1CD41" w14:textId="77777777" w:rsidR="006C28DF" w:rsidRPr="006C28DF" w:rsidRDefault="006C28DF" w:rsidP="006C28DF">
            <w:pPr>
              <w:jc w:val="right"/>
              <w:rPr>
                <w:sz w:val="20"/>
                <w:szCs w:val="20"/>
                <w:lang w:val="en-CA" w:eastAsia="en-CA"/>
              </w:rPr>
            </w:pPr>
            <w:r w:rsidRPr="006C28DF">
              <w:rPr>
                <w:sz w:val="20"/>
                <w:szCs w:val="20"/>
                <w:lang w:val="en-CA" w:eastAsia="en-CA"/>
              </w:rPr>
              <w:t>475</w:t>
            </w:r>
          </w:p>
        </w:tc>
        <w:tc>
          <w:tcPr>
            <w:tcW w:w="976" w:type="dxa"/>
            <w:tcBorders>
              <w:top w:val="nil"/>
              <w:left w:val="nil"/>
              <w:bottom w:val="single" w:sz="4" w:space="0" w:color="auto"/>
              <w:right w:val="single" w:sz="4" w:space="0" w:color="auto"/>
            </w:tcBorders>
            <w:shd w:val="clear" w:color="auto" w:fill="auto"/>
            <w:hideMark/>
          </w:tcPr>
          <w:p w14:paraId="4E1C3491"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60B11FB"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0D227B41" w14:textId="77777777" w:rsidR="006C28DF" w:rsidRPr="006C28DF" w:rsidRDefault="006C28DF" w:rsidP="006C28DF">
            <w:pPr>
              <w:jc w:val="left"/>
              <w:rPr>
                <w:sz w:val="20"/>
                <w:szCs w:val="20"/>
                <w:lang w:val="en-CA" w:eastAsia="en-CA"/>
              </w:rPr>
            </w:pPr>
            <w:r w:rsidRPr="006C28DF">
              <w:rPr>
                <w:sz w:val="20"/>
                <w:szCs w:val="20"/>
                <w:lang w:val="en-CA" w:eastAsia="en-CA"/>
              </w:rPr>
              <w:t>The Former Yugoslav Republic of Macedonia</w:t>
            </w:r>
          </w:p>
        </w:tc>
        <w:tc>
          <w:tcPr>
            <w:tcW w:w="980" w:type="dxa"/>
            <w:tcBorders>
              <w:top w:val="nil"/>
              <w:left w:val="nil"/>
              <w:bottom w:val="single" w:sz="4" w:space="0" w:color="auto"/>
              <w:right w:val="single" w:sz="4" w:space="0" w:color="auto"/>
            </w:tcBorders>
            <w:shd w:val="clear" w:color="auto" w:fill="auto"/>
            <w:hideMark/>
          </w:tcPr>
          <w:p w14:paraId="7EDF2F98"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5331E942"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3CCE596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3478DE4" w14:textId="77777777" w:rsidR="006C28DF" w:rsidRPr="006C28DF" w:rsidRDefault="006C28DF" w:rsidP="006C28DF">
            <w:pPr>
              <w:jc w:val="left"/>
              <w:rPr>
                <w:sz w:val="20"/>
                <w:szCs w:val="20"/>
                <w:lang w:val="en-CA" w:eastAsia="en-CA"/>
              </w:rPr>
            </w:pPr>
            <w:r w:rsidRPr="006C28DF">
              <w:rPr>
                <w:sz w:val="20"/>
                <w:szCs w:val="20"/>
                <w:lang w:val="en-CA" w:eastAsia="en-CA"/>
              </w:rPr>
              <w:t>HPMP - Stage I, incl. FOA investment &amp; IS</w:t>
            </w:r>
          </w:p>
        </w:tc>
        <w:tc>
          <w:tcPr>
            <w:tcW w:w="1148" w:type="dxa"/>
            <w:tcBorders>
              <w:top w:val="nil"/>
              <w:left w:val="nil"/>
              <w:bottom w:val="single" w:sz="4" w:space="0" w:color="auto"/>
              <w:right w:val="single" w:sz="4" w:space="0" w:color="auto"/>
            </w:tcBorders>
            <w:shd w:val="clear" w:color="auto" w:fill="auto"/>
            <w:hideMark/>
          </w:tcPr>
          <w:p w14:paraId="7B1B51BF" w14:textId="77777777" w:rsidR="006C28DF" w:rsidRPr="006C28DF" w:rsidRDefault="006C28DF" w:rsidP="006C28DF">
            <w:pPr>
              <w:jc w:val="right"/>
              <w:rPr>
                <w:sz w:val="20"/>
                <w:szCs w:val="20"/>
                <w:lang w:val="en-CA" w:eastAsia="en-CA"/>
              </w:rPr>
            </w:pPr>
            <w:r w:rsidRPr="006C28DF">
              <w:rPr>
                <w:sz w:val="20"/>
                <w:szCs w:val="20"/>
                <w:lang w:val="en-CA" w:eastAsia="en-CA"/>
              </w:rPr>
              <w:t>141</w:t>
            </w:r>
          </w:p>
        </w:tc>
        <w:tc>
          <w:tcPr>
            <w:tcW w:w="976" w:type="dxa"/>
            <w:tcBorders>
              <w:top w:val="nil"/>
              <w:left w:val="nil"/>
              <w:bottom w:val="single" w:sz="4" w:space="0" w:color="auto"/>
              <w:right w:val="single" w:sz="4" w:space="0" w:color="auto"/>
            </w:tcBorders>
            <w:shd w:val="clear" w:color="auto" w:fill="auto"/>
            <w:hideMark/>
          </w:tcPr>
          <w:p w14:paraId="621BF822" w14:textId="77777777" w:rsidR="006C28DF" w:rsidRPr="006C28DF" w:rsidRDefault="006C28DF" w:rsidP="006C28DF">
            <w:pPr>
              <w:jc w:val="right"/>
              <w:rPr>
                <w:sz w:val="20"/>
                <w:szCs w:val="20"/>
                <w:lang w:val="en-CA" w:eastAsia="en-CA"/>
              </w:rPr>
            </w:pPr>
            <w:r w:rsidRPr="006C28DF">
              <w:rPr>
                <w:sz w:val="20"/>
                <w:szCs w:val="20"/>
                <w:lang w:val="en-CA" w:eastAsia="en-CA"/>
              </w:rPr>
              <w:t>0.2</w:t>
            </w:r>
          </w:p>
        </w:tc>
      </w:tr>
      <w:tr w:rsidR="006C28DF" w:rsidRPr="006C28DF" w14:paraId="4EA8307E"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51BDBE06" w14:textId="77777777" w:rsidR="006C28DF" w:rsidRPr="006C28DF" w:rsidRDefault="006C28DF" w:rsidP="006C28DF">
            <w:pPr>
              <w:jc w:val="left"/>
              <w:rPr>
                <w:sz w:val="20"/>
                <w:szCs w:val="20"/>
                <w:lang w:val="en-CA" w:eastAsia="en-CA"/>
              </w:rPr>
            </w:pPr>
            <w:r w:rsidRPr="006C28DF">
              <w:rPr>
                <w:sz w:val="20"/>
                <w:szCs w:val="20"/>
                <w:lang w:val="en-CA" w:eastAsia="en-CA"/>
              </w:rPr>
              <w:t>The Former Yugoslav Republic of Macedonia</w:t>
            </w:r>
          </w:p>
        </w:tc>
        <w:tc>
          <w:tcPr>
            <w:tcW w:w="980" w:type="dxa"/>
            <w:tcBorders>
              <w:top w:val="nil"/>
              <w:left w:val="nil"/>
              <w:bottom w:val="single" w:sz="4" w:space="0" w:color="auto"/>
              <w:right w:val="single" w:sz="4" w:space="0" w:color="auto"/>
            </w:tcBorders>
            <w:shd w:val="clear" w:color="auto" w:fill="auto"/>
            <w:hideMark/>
          </w:tcPr>
          <w:p w14:paraId="772FBEF9"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7DBE4BA4"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0868D61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38E98EB7"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7314C6F6" w14:textId="77777777" w:rsidR="006C28DF" w:rsidRPr="006C28DF" w:rsidRDefault="006C28DF" w:rsidP="006C28DF">
            <w:pPr>
              <w:jc w:val="right"/>
              <w:rPr>
                <w:sz w:val="20"/>
                <w:szCs w:val="20"/>
                <w:lang w:val="en-CA" w:eastAsia="en-CA"/>
              </w:rPr>
            </w:pPr>
            <w:r w:rsidRPr="006C28DF">
              <w:rPr>
                <w:sz w:val="20"/>
                <w:szCs w:val="20"/>
                <w:lang w:val="en-CA" w:eastAsia="en-CA"/>
              </w:rPr>
              <w:t>32</w:t>
            </w:r>
          </w:p>
        </w:tc>
        <w:tc>
          <w:tcPr>
            <w:tcW w:w="976" w:type="dxa"/>
            <w:tcBorders>
              <w:top w:val="nil"/>
              <w:left w:val="nil"/>
              <w:bottom w:val="single" w:sz="4" w:space="0" w:color="auto"/>
              <w:right w:val="single" w:sz="4" w:space="0" w:color="auto"/>
            </w:tcBorders>
            <w:shd w:val="clear" w:color="auto" w:fill="auto"/>
            <w:hideMark/>
          </w:tcPr>
          <w:p w14:paraId="7F21CC51"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0B45FA7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5592F5C" w14:textId="77777777" w:rsidR="006C28DF" w:rsidRPr="006C28DF" w:rsidRDefault="006C28DF" w:rsidP="006C28DF">
            <w:pPr>
              <w:jc w:val="left"/>
              <w:rPr>
                <w:sz w:val="20"/>
                <w:szCs w:val="20"/>
                <w:lang w:val="en-CA" w:eastAsia="en-CA"/>
              </w:rPr>
            </w:pPr>
            <w:r w:rsidRPr="006C28DF">
              <w:rPr>
                <w:sz w:val="20"/>
                <w:szCs w:val="20"/>
                <w:lang w:val="en-CA" w:eastAsia="en-CA"/>
              </w:rPr>
              <w:t>Timor-Leste</w:t>
            </w:r>
          </w:p>
        </w:tc>
        <w:tc>
          <w:tcPr>
            <w:tcW w:w="980" w:type="dxa"/>
            <w:tcBorders>
              <w:top w:val="nil"/>
              <w:left w:val="nil"/>
              <w:bottom w:val="single" w:sz="4" w:space="0" w:color="auto"/>
              <w:right w:val="single" w:sz="4" w:space="0" w:color="auto"/>
            </w:tcBorders>
            <w:shd w:val="clear" w:color="auto" w:fill="auto"/>
            <w:hideMark/>
          </w:tcPr>
          <w:p w14:paraId="697AB13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2EE62AE"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2E4C67CE"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44372553" w14:textId="77777777" w:rsidR="006C28DF" w:rsidRPr="006C28DF" w:rsidRDefault="006C28DF" w:rsidP="006C28DF">
            <w:pPr>
              <w:jc w:val="left"/>
              <w:rPr>
                <w:sz w:val="20"/>
                <w:szCs w:val="20"/>
                <w:lang w:val="en-CA" w:eastAsia="en-CA"/>
              </w:rPr>
            </w:pPr>
            <w:r w:rsidRPr="006C28DF">
              <w:rPr>
                <w:sz w:val="20"/>
                <w:szCs w:val="20"/>
                <w:lang w:val="en-CA" w:eastAsia="en-CA"/>
              </w:rPr>
              <w:t>Enabling activities</w:t>
            </w:r>
          </w:p>
        </w:tc>
        <w:tc>
          <w:tcPr>
            <w:tcW w:w="1148" w:type="dxa"/>
            <w:tcBorders>
              <w:top w:val="nil"/>
              <w:left w:val="nil"/>
              <w:bottom w:val="single" w:sz="4" w:space="0" w:color="auto"/>
              <w:right w:val="single" w:sz="4" w:space="0" w:color="auto"/>
            </w:tcBorders>
            <w:shd w:val="clear" w:color="auto" w:fill="auto"/>
            <w:hideMark/>
          </w:tcPr>
          <w:p w14:paraId="129FB2AD" w14:textId="77777777" w:rsidR="006C28DF" w:rsidRPr="006C28DF" w:rsidRDefault="006C28DF" w:rsidP="006C28DF">
            <w:pPr>
              <w:jc w:val="right"/>
              <w:rPr>
                <w:sz w:val="20"/>
                <w:szCs w:val="20"/>
                <w:lang w:val="en-CA" w:eastAsia="en-CA"/>
              </w:rPr>
            </w:pPr>
            <w:r w:rsidRPr="006C28DF">
              <w:rPr>
                <w:sz w:val="20"/>
                <w:szCs w:val="20"/>
                <w:lang w:val="en-CA" w:eastAsia="en-CA"/>
              </w:rPr>
              <w:t>54</w:t>
            </w:r>
          </w:p>
        </w:tc>
        <w:tc>
          <w:tcPr>
            <w:tcW w:w="976" w:type="dxa"/>
            <w:tcBorders>
              <w:top w:val="nil"/>
              <w:left w:val="nil"/>
              <w:bottom w:val="single" w:sz="4" w:space="0" w:color="auto"/>
              <w:right w:val="single" w:sz="4" w:space="0" w:color="auto"/>
            </w:tcBorders>
            <w:shd w:val="clear" w:color="auto" w:fill="auto"/>
            <w:hideMark/>
          </w:tcPr>
          <w:p w14:paraId="1396624E"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2678E93A"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6A58C0F" w14:textId="77777777" w:rsidR="006C28DF" w:rsidRPr="006C28DF" w:rsidRDefault="006C28DF" w:rsidP="006C28DF">
            <w:pPr>
              <w:jc w:val="left"/>
              <w:rPr>
                <w:sz w:val="20"/>
                <w:szCs w:val="20"/>
                <w:lang w:val="en-CA" w:eastAsia="en-CA"/>
              </w:rPr>
            </w:pPr>
            <w:r w:rsidRPr="006C28DF">
              <w:rPr>
                <w:sz w:val="20"/>
                <w:szCs w:val="20"/>
                <w:lang w:val="en-CA" w:eastAsia="en-CA"/>
              </w:rPr>
              <w:t>Timor-Leste</w:t>
            </w:r>
          </w:p>
        </w:tc>
        <w:tc>
          <w:tcPr>
            <w:tcW w:w="980" w:type="dxa"/>
            <w:tcBorders>
              <w:top w:val="nil"/>
              <w:left w:val="nil"/>
              <w:bottom w:val="single" w:sz="4" w:space="0" w:color="auto"/>
              <w:right w:val="single" w:sz="4" w:space="0" w:color="auto"/>
            </w:tcBorders>
            <w:shd w:val="clear" w:color="auto" w:fill="auto"/>
            <w:hideMark/>
          </w:tcPr>
          <w:p w14:paraId="67FAC81B"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ADB978A"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755159E7"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CF2EBC7"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E4C0AAF"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6642A9CC"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77610BBE"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0798220D" w14:textId="77777777" w:rsidR="006C28DF" w:rsidRPr="006C28DF" w:rsidRDefault="006C28DF" w:rsidP="006C28DF">
            <w:pPr>
              <w:jc w:val="left"/>
              <w:rPr>
                <w:sz w:val="20"/>
                <w:szCs w:val="20"/>
                <w:lang w:val="en-CA" w:eastAsia="en-CA"/>
              </w:rPr>
            </w:pPr>
            <w:r w:rsidRPr="006C28DF">
              <w:rPr>
                <w:sz w:val="20"/>
                <w:szCs w:val="20"/>
                <w:lang w:val="en-CA" w:eastAsia="en-CA"/>
              </w:rPr>
              <w:lastRenderedPageBreak/>
              <w:t>Togo</w:t>
            </w:r>
          </w:p>
        </w:tc>
        <w:tc>
          <w:tcPr>
            <w:tcW w:w="980" w:type="dxa"/>
            <w:tcBorders>
              <w:top w:val="nil"/>
              <w:left w:val="nil"/>
              <w:bottom w:val="single" w:sz="4" w:space="0" w:color="auto"/>
              <w:right w:val="single" w:sz="4" w:space="0" w:color="auto"/>
            </w:tcBorders>
            <w:shd w:val="clear" w:color="auto" w:fill="auto"/>
            <w:hideMark/>
          </w:tcPr>
          <w:p w14:paraId="725F073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2A5AA0B"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8793DA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E3E87A9"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0FE71206" w14:textId="77777777" w:rsidR="006C28DF" w:rsidRPr="006C28DF" w:rsidRDefault="006C28DF" w:rsidP="006C28DF">
            <w:pPr>
              <w:jc w:val="right"/>
              <w:rPr>
                <w:sz w:val="20"/>
                <w:szCs w:val="20"/>
                <w:lang w:val="en-CA" w:eastAsia="en-CA"/>
              </w:rPr>
            </w:pPr>
            <w:r w:rsidRPr="006C28DF">
              <w:rPr>
                <w:sz w:val="20"/>
                <w:szCs w:val="20"/>
                <w:lang w:val="en-CA" w:eastAsia="en-CA"/>
              </w:rPr>
              <w:t>45</w:t>
            </w:r>
          </w:p>
        </w:tc>
        <w:tc>
          <w:tcPr>
            <w:tcW w:w="976" w:type="dxa"/>
            <w:tcBorders>
              <w:top w:val="nil"/>
              <w:left w:val="nil"/>
              <w:bottom w:val="single" w:sz="4" w:space="0" w:color="auto"/>
              <w:right w:val="single" w:sz="4" w:space="0" w:color="auto"/>
            </w:tcBorders>
            <w:shd w:val="clear" w:color="auto" w:fill="auto"/>
            <w:hideMark/>
          </w:tcPr>
          <w:p w14:paraId="2EAB296D" w14:textId="77777777" w:rsidR="006C28DF" w:rsidRPr="006C28DF" w:rsidRDefault="006C28DF" w:rsidP="006C28DF">
            <w:pPr>
              <w:jc w:val="right"/>
              <w:rPr>
                <w:sz w:val="20"/>
                <w:szCs w:val="20"/>
                <w:lang w:val="en-CA" w:eastAsia="en-CA"/>
              </w:rPr>
            </w:pPr>
            <w:r w:rsidRPr="006C28DF">
              <w:rPr>
                <w:sz w:val="20"/>
                <w:szCs w:val="20"/>
                <w:lang w:val="en-CA" w:eastAsia="en-CA"/>
              </w:rPr>
              <w:t>0.4</w:t>
            </w:r>
          </w:p>
        </w:tc>
      </w:tr>
      <w:tr w:rsidR="006C28DF" w:rsidRPr="006C28DF" w14:paraId="02587EA0"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10C6D5C" w14:textId="77777777" w:rsidR="006C28DF" w:rsidRPr="006C28DF" w:rsidRDefault="006C28DF" w:rsidP="006C28DF">
            <w:pPr>
              <w:jc w:val="left"/>
              <w:rPr>
                <w:sz w:val="20"/>
                <w:szCs w:val="20"/>
                <w:lang w:val="en-CA" w:eastAsia="en-CA"/>
              </w:rPr>
            </w:pPr>
            <w:r w:rsidRPr="006C28DF">
              <w:rPr>
                <w:sz w:val="20"/>
                <w:szCs w:val="20"/>
                <w:lang w:val="en-CA" w:eastAsia="en-CA"/>
              </w:rPr>
              <w:t>Togo</w:t>
            </w:r>
          </w:p>
        </w:tc>
        <w:tc>
          <w:tcPr>
            <w:tcW w:w="980" w:type="dxa"/>
            <w:tcBorders>
              <w:top w:val="nil"/>
              <w:left w:val="nil"/>
              <w:bottom w:val="single" w:sz="4" w:space="0" w:color="auto"/>
              <w:right w:val="single" w:sz="4" w:space="0" w:color="auto"/>
            </w:tcBorders>
            <w:shd w:val="clear" w:color="auto" w:fill="auto"/>
            <w:hideMark/>
          </w:tcPr>
          <w:p w14:paraId="34CC4DA5"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CCB8A03"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477A4B1D"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39A06FF4"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5AF3A401"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4FE79553"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7EFC97A"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7FE8211" w14:textId="77777777" w:rsidR="006C28DF" w:rsidRPr="006C28DF" w:rsidRDefault="006C28DF" w:rsidP="006C28DF">
            <w:pPr>
              <w:jc w:val="left"/>
              <w:rPr>
                <w:sz w:val="20"/>
                <w:szCs w:val="20"/>
                <w:lang w:val="en-CA" w:eastAsia="en-CA"/>
              </w:rPr>
            </w:pPr>
            <w:r w:rsidRPr="006C28DF">
              <w:rPr>
                <w:sz w:val="20"/>
                <w:szCs w:val="20"/>
                <w:lang w:val="en-CA" w:eastAsia="en-CA"/>
              </w:rPr>
              <w:t>Tonga</w:t>
            </w:r>
          </w:p>
        </w:tc>
        <w:tc>
          <w:tcPr>
            <w:tcW w:w="980" w:type="dxa"/>
            <w:tcBorders>
              <w:top w:val="nil"/>
              <w:left w:val="nil"/>
              <w:bottom w:val="single" w:sz="4" w:space="0" w:color="auto"/>
              <w:right w:val="single" w:sz="4" w:space="0" w:color="auto"/>
            </w:tcBorders>
            <w:shd w:val="clear" w:color="auto" w:fill="auto"/>
            <w:hideMark/>
          </w:tcPr>
          <w:p w14:paraId="19D073AA"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CF1EEB0"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185EBD0B"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5870014"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(preparation)</w:t>
            </w:r>
          </w:p>
        </w:tc>
        <w:tc>
          <w:tcPr>
            <w:tcW w:w="1148" w:type="dxa"/>
            <w:tcBorders>
              <w:top w:val="nil"/>
              <w:left w:val="nil"/>
              <w:bottom w:val="single" w:sz="4" w:space="0" w:color="auto"/>
              <w:right w:val="single" w:sz="4" w:space="0" w:color="auto"/>
            </w:tcBorders>
            <w:shd w:val="clear" w:color="auto" w:fill="auto"/>
            <w:hideMark/>
          </w:tcPr>
          <w:p w14:paraId="271AB1C5"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46229660"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3A16470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51116AE" w14:textId="77777777" w:rsidR="006C28DF" w:rsidRPr="006C28DF" w:rsidRDefault="006C28DF" w:rsidP="006C28DF">
            <w:pPr>
              <w:jc w:val="left"/>
              <w:rPr>
                <w:sz w:val="20"/>
                <w:szCs w:val="20"/>
                <w:lang w:val="en-CA" w:eastAsia="en-CA"/>
              </w:rPr>
            </w:pPr>
            <w:r w:rsidRPr="006C28DF">
              <w:rPr>
                <w:sz w:val="20"/>
                <w:szCs w:val="20"/>
                <w:lang w:val="en-CA" w:eastAsia="en-CA"/>
              </w:rPr>
              <w:t>Trinidad and Tobago</w:t>
            </w:r>
          </w:p>
        </w:tc>
        <w:tc>
          <w:tcPr>
            <w:tcW w:w="980" w:type="dxa"/>
            <w:tcBorders>
              <w:top w:val="nil"/>
              <w:left w:val="nil"/>
              <w:bottom w:val="single" w:sz="4" w:space="0" w:color="auto"/>
              <w:right w:val="single" w:sz="4" w:space="0" w:color="auto"/>
            </w:tcBorders>
            <w:shd w:val="clear" w:color="auto" w:fill="auto"/>
            <w:hideMark/>
          </w:tcPr>
          <w:p w14:paraId="7B9FBE04"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3A49911F"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33511AD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98090DD" w14:textId="77777777" w:rsidR="006C28DF" w:rsidRPr="006C28DF" w:rsidRDefault="006C28DF" w:rsidP="006C28DF">
            <w:pPr>
              <w:jc w:val="left"/>
              <w:rPr>
                <w:sz w:val="20"/>
                <w:szCs w:val="20"/>
                <w:lang w:val="en-CA" w:eastAsia="en-CA"/>
              </w:rPr>
            </w:pPr>
            <w:r w:rsidRPr="006C28DF">
              <w:rPr>
                <w:sz w:val="20"/>
                <w:szCs w:val="20"/>
                <w:lang w:val="en-CA" w:eastAsia="en-CA"/>
              </w:rPr>
              <w:t>Stage II HPMP Preparation</w:t>
            </w:r>
          </w:p>
        </w:tc>
        <w:tc>
          <w:tcPr>
            <w:tcW w:w="1148" w:type="dxa"/>
            <w:tcBorders>
              <w:top w:val="nil"/>
              <w:left w:val="nil"/>
              <w:bottom w:val="single" w:sz="4" w:space="0" w:color="auto"/>
              <w:right w:val="single" w:sz="4" w:space="0" w:color="auto"/>
            </w:tcBorders>
            <w:shd w:val="clear" w:color="auto" w:fill="auto"/>
            <w:hideMark/>
          </w:tcPr>
          <w:p w14:paraId="64423C6F" w14:textId="77777777" w:rsidR="006C28DF" w:rsidRPr="006C28DF" w:rsidRDefault="006C28DF" w:rsidP="006C28DF">
            <w:pPr>
              <w:jc w:val="right"/>
              <w:rPr>
                <w:sz w:val="20"/>
                <w:szCs w:val="20"/>
                <w:lang w:val="en-CA" w:eastAsia="en-CA"/>
              </w:rPr>
            </w:pPr>
            <w:r w:rsidRPr="006C28DF">
              <w:rPr>
                <w:sz w:val="20"/>
                <w:szCs w:val="20"/>
                <w:lang w:val="en-CA" w:eastAsia="en-CA"/>
              </w:rPr>
              <w:t>64</w:t>
            </w:r>
          </w:p>
        </w:tc>
        <w:tc>
          <w:tcPr>
            <w:tcW w:w="976" w:type="dxa"/>
            <w:tcBorders>
              <w:top w:val="nil"/>
              <w:left w:val="nil"/>
              <w:bottom w:val="single" w:sz="4" w:space="0" w:color="auto"/>
              <w:right w:val="single" w:sz="4" w:space="0" w:color="auto"/>
            </w:tcBorders>
            <w:shd w:val="clear" w:color="auto" w:fill="auto"/>
            <w:hideMark/>
          </w:tcPr>
          <w:p w14:paraId="5C155978"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3601E2E1"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3B0C499" w14:textId="77777777" w:rsidR="006C28DF" w:rsidRPr="006C28DF" w:rsidRDefault="006C28DF" w:rsidP="006C28DF">
            <w:pPr>
              <w:jc w:val="left"/>
              <w:rPr>
                <w:sz w:val="20"/>
                <w:szCs w:val="20"/>
                <w:lang w:val="en-CA" w:eastAsia="en-CA"/>
              </w:rPr>
            </w:pPr>
            <w:r w:rsidRPr="006C28DF">
              <w:rPr>
                <w:sz w:val="20"/>
                <w:szCs w:val="20"/>
                <w:lang w:val="en-CA" w:eastAsia="en-CA"/>
              </w:rPr>
              <w:t>Tunisia</w:t>
            </w:r>
          </w:p>
        </w:tc>
        <w:tc>
          <w:tcPr>
            <w:tcW w:w="980" w:type="dxa"/>
            <w:tcBorders>
              <w:top w:val="nil"/>
              <w:left w:val="nil"/>
              <w:bottom w:val="single" w:sz="4" w:space="0" w:color="auto"/>
              <w:right w:val="single" w:sz="4" w:space="0" w:color="auto"/>
            </w:tcBorders>
            <w:shd w:val="clear" w:color="auto" w:fill="auto"/>
            <w:hideMark/>
          </w:tcPr>
          <w:p w14:paraId="2F72D343" w14:textId="77777777" w:rsidR="006C28DF" w:rsidRPr="006C28DF" w:rsidRDefault="006C28DF" w:rsidP="006C28DF">
            <w:pPr>
              <w:jc w:val="center"/>
              <w:rPr>
                <w:sz w:val="20"/>
                <w:szCs w:val="20"/>
                <w:lang w:val="en-CA" w:eastAsia="en-CA"/>
              </w:rPr>
            </w:pPr>
            <w:r w:rsidRPr="006C28DF">
              <w:rPr>
                <w:sz w:val="20"/>
                <w:szCs w:val="20"/>
                <w:lang w:val="en-CA" w:eastAsia="en-CA"/>
              </w:rPr>
              <w:t>France</w:t>
            </w:r>
          </w:p>
        </w:tc>
        <w:tc>
          <w:tcPr>
            <w:tcW w:w="721" w:type="dxa"/>
            <w:tcBorders>
              <w:top w:val="nil"/>
              <w:left w:val="nil"/>
              <w:bottom w:val="single" w:sz="4" w:space="0" w:color="auto"/>
              <w:right w:val="single" w:sz="4" w:space="0" w:color="auto"/>
            </w:tcBorders>
            <w:shd w:val="clear" w:color="auto" w:fill="auto"/>
            <w:hideMark/>
          </w:tcPr>
          <w:p w14:paraId="631F7539"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48E0FB4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A149806" w14:textId="77777777" w:rsidR="006C28DF" w:rsidRPr="006C28DF" w:rsidRDefault="006C28DF" w:rsidP="006C28DF">
            <w:pPr>
              <w:jc w:val="left"/>
              <w:rPr>
                <w:sz w:val="20"/>
                <w:szCs w:val="20"/>
                <w:lang w:val="en-CA" w:eastAsia="en-CA"/>
              </w:rPr>
            </w:pPr>
            <w:r w:rsidRPr="006C28DF">
              <w:rPr>
                <w:sz w:val="20"/>
                <w:szCs w:val="20"/>
                <w:lang w:val="en-CA" w:eastAsia="en-CA"/>
              </w:rPr>
              <w:t>HPMP Stage I</w:t>
            </w:r>
          </w:p>
        </w:tc>
        <w:tc>
          <w:tcPr>
            <w:tcW w:w="1148" w:type="dxa"/>
            <w:tcBorders>
              <w:top w:val="nil"/>
              <w:left w:val="nil"/>
              <w:bottom w:val="single" w:sz="4" w:space="0" w:color="auto"/>
              <w:right w:val="single" w:sz="4" w:space="0" w:color="auto"/>
            </w:tcBorders>
            <w:shd w:val="clear" w:color="auto" w:fill="auto"/>
            <w:hideMark/>
          </w:tcPr>
          <w:p w14:paraId="03191818" w14:textId="77777777" w:rsidR="006C28DF" w:rsidRPr="006C28DF" w:rsidRDefault="006C28DF" w:rsidP="006C28DF">
            <w:pPr>
              <w:jc w:val="right"/>
              <w:rPr>
                <w:sz w:val="20"/>
                <w:szCs w:val="20"/>
                <w:lang w:val="en-CA" w:eastAsia="en-CA"/>
              </w:rPr>
            </w:pPr>
            <w:r w:rsidRPr="006C28DF">
              <w:rPr>
                <w:sz w:val="20"/>
                <w:szCs w:val="20"/>
                <w:lang w:val="en-CA" w:eastAsia="en-CA"/>
              </w:rPr>
              <w:t>79</w:t>
            </w:r>
          </w:p>
        </w:tc>
        <w:tc>
          <w:tcPr>
            <w:tcW w:w="976" w:type="dxa"/>
            <w:tcBorders>
              <w:top w:val="nil"/>
              <w:left w:val="nil"/>
              <w:bottom w:val="single" w:sz="4" w:space="0" w:color="auto"/>
              <w:right w:val="single" w:sz="4" w:space="0" w:color="auto"/>
            </w:tcBorders>
            <w:shd w:val="clear" w:color="auto" w:fill="auto"/>
            <w:hideMark/>
          </w:tcPr>
          <w:p w14:paraId="74BDF235" w14:textId="77777777" w:rsidR="006C28DF" w:rsidRPr="006C28DF" w:rsidRDefault="006C28DF" w:rsidP="006C28DF">
            <w:pPr>
              <w:jc w:val="right"/>
              <w:rPr>
                <w:sz w:val="20"/>
                <w:szCs w:val="20"/>
                <w:lang w:val="en-CA" w:eastAsia="en-CA"/>
              </w:rPr>
            </w:pPr>
            <w:r w:rsidRPr="006C28DF">
              <w:rPr>
                <w:sz w:val="20"/>
                <w:szCs w:val="20"/>
                <w:lang w:val="en-CA" w:eastAsia="en-CA"/>
              </w:rPr>
              <w:t>0.4</w:t>
            </w:r>
          </w:p>
        </w:tc>
      </w:tr>
      <w:tr w:rsidR="006C28DF" w:rsidRPr="006C28DF" w14:paraId="1DF722C4"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01699374" w14:textId="77777777" w:rsidR="006C28DF" w:rsidRPr="006C28DF" w:rsidRDefault="006C28DF" w:rsidP="006C28DF">
            <w:pPr>
              <w:jc w:val="left"/>
              <w:rPr>
                <w:sz w:val="20"/>
                <w:szCs w:val="20"/>
                <w:lang w:val="en-CA" w:eastAsia="en-CA"/>
              </w:rPr>
            </w:pPr>
            <w:r w:rsidRPr="006C28DF">
              <w:rPr>
                <w:sz w:val="20"/>
                <w:szCs w:val="20"/>
                <w:lang w:val="en-CA" w:eastAsia="en-CA"/>
              </w:rPr>
              <w:t>Tunisia</w:t>
            </w:r>
          </w:p>
        </w:tc>
        <w:tc>
          <w:tcPr>
            <w:tcW w:w="980" w:type="dxa"/>
            <w:tcBorders>
              <w:top w:val="nil"/>
              <w:left w:val="nil"/>
              <w:bottom w:val="single" w:sz="4" w:space="0" w:color="auto"/>
              <w:right w:val="single" w:sz="4" w:space="0" w:color="auto"/>
            </w:tcBorders>
            <w:shd w:val="clear" w:color="auto" w:fill="auto"/>
            <w:hideMark/>
          </w:tcPr>
          <w:p w14:paraId="4A4A8815"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8535749"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20485FAB"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38AD5ED"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503D9E6B" w14:textId="77777777" w:rsidR="006C28DF" w:rsidRPr="006C28DF" w:rsidRDefault="006C28DF" w:rsidP="006C28DF">
            <w:pPr>
              <w:jc w:val="right"/>
              <w:rPr>
                <w:sz w:val="20"/>
                <w:szCs w:val="20"/>
                <w:lang w:val="en-CA" w:eastAsia="en-CA"/>
              </w:rPr>
            </w:pPr>
            <w:r w:rsidRPr="006C28DF">
              <w:rPr>
                <w:sz w:val="20"/>
                <w:szCs w:val="20"/>
                <w:lang w:val="en-CA" w:eastAsia="en-CA"/>
              </w:rPr>
              <w:t>17</w:t>
            </w:r>
          </w:p>
        </w:tc>
        <w:tc>
          <w:tcPr>
            <w:tcW w:w="976" w:type="dxa"/>
            <w:tcBorders>
              <w:top w:val="nil"/>
              <w:left w:val="nil"/>
              <w:bottom w:val="single" w:sz="4" w:space="0" w:color="auto"/>
              <w:right w:val="single" w:sz="4" w:space="0" w:color="auto"/>
            </w:tcBorders>
            <w:shd w:val="clear" w:color="auto" w:fill="auto"/>
            <w:hideMark/>
          </w:tcPr>
          <w:p w14:paraId="66F346FC" w14:textId="77777777" w:rsidR="006C28DF" w:rsidRPr="006C28DF" w:rsidRDefault="006C28DF" w:rsidP="006C28DF">
            <w:pPr>
              <w:jc w:val="right"/>
              <w:rPr>
                <w:sz w:val="20"/>
                <w:szCs w:val="20"/>
                <w:lang w:val="en-CA" w:eastAsia="en-CA"/>
              </w:rPr>
            </w:pPr>
            <w:r w:rsidRPr="006C28DF">
              <w:rPr>
                <w:sz w:val="20"/>
                <w:szCs w:val="20"/>
                <w:lang w:val="en-CA" w:eastAsia="en-CA"/>
              </w:rPr>
              <w:t>0.1</w:t>
            </w:r>
          </w:p>
        </w:tc>
      </w:tr>
      <w:tr w:rsidR="006C28DF" w:rsidRPr="006C28DF" w14:paraId="4D3A40B4"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CFD7E4A" w14:textId="77777777" w:rsidR="006C28DF" w:rsidRPr="006C28DF" w:rsidRDefault="006C28DF" w:rsidP="006C28DF">
            <w:pPr>
              <w:jc w:val="left"/>
              <w:rPr>
                <w:sz w:val="20"/>
                <w:szCs w:val="20"/>
                <w:lang w:val="en-CA" w:eastAsia="en-CA"/>
              </w:rPr>
            </w:pPr>
            <w:r w:rsidRPr="006C28DF">
              <w:rPr>
                <w:sz w:val="20"/>
                <w:szCs w:val="20"/>
                <w:lang w:val="en-CA" w:eastAsia="en-CA"/>
              </w:rPr>
              <w:t>Tunisia</w:t>
            </w:r>
          </w:p>
        </w:tc>
        <w:tc>
          <w:tcPr>
            <w:tcW w:w="980" w:type="dxa"/>
            <w:tcBorders>
              <w:top w:val="nil"/>
              <w:left w:val="nil"/>
              <w:bottom w:val="single" w:sz="4" w:space="0" w:color="auto"/>
              <w:right w:val="single" w:sz="4" w:space="0" w:color="auto"/>
            </w:tcBorders>
            <w:shd w:val="clear" w:color="auto" w:fill="auto"/>
            <w:hideMark/>
          </w:tcPr>
          <w:p w14:paraId="13E2A27F"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78808BCB"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767FEAA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459BE8B" w14:textId="77777777" w:rsidR="006C28DF" w:rsidRPr="006C28DF" w:rsidRDefault="006C28DF" w:rsidP="006C28DF">
            <w:pPr>
              <w:jc w:val="left"/>
              <w:rPr>
                <w:sz w:val="20"/>
                <w:szCs w:val="20"/>
                <w:lang w:val="en-CA" w:eastAsia="en-CA"/>
              </w:rPr>
            </w:pPr>
            <w:r w:rsidRPr="006C28DF">
              <w:rPr>
                <w:sz w:val="20"/>
                <w:szCs w:val="20"/>
                <w:lang w:val="en-CA" w:eastAsia="en-CA"/>
              </w:rPr>
              <w:t>HPMP - Stage I</w:t>
            </w:r>
          </w:p>
        </w:tc>
        <w:tc>
          <w:tcPr>
            <w:tcW w:w="1148" w:type="dxa"/>
            <w:tcBorders>
              <w:top w:val="nil"/>
              <w:left w:val="nil"/>
              <w:bottom w:val="single" w:sz="4" w:space="0" w:color="auto"/>
              <w:right w:val="single" w:sz="4" w:space="0" w:color="auto"/>
            </w:tcBorders>
            <w:shd w:val="clear" w:color="auto" w:fill="auto"/>
            <w:hideMark/>
          </w:tcPr>
          <w:p w14:paraId="21EFA50D" w14:textId="77777777" w:rsidR="006C28DF" w:rsidRPr="006C28DF" w:rsidRDefault="006C28DF" w:rsidP="006C28DF">
            <w:pPr>
              <w:jc w:val="right"/>
              <w:rPr>
                <w:sz w:val="20"/>
                <w:szCs w:val="20"/>
                <w:lang w:val="en-CA" w:eastAsia="en-CA"/>
              </w:rPr>
            </w:pPr>
            <w:r w:rsidRPr="006C28DF">
              <w:rPr>
                <w:sz w:val="20"/>
                <w:szCs w:val="20"/>
                <w:lang w:val="en-CA" w:eastAsia="en-CA"/>
              </w:rPr>
              <w:t>116</w:t>
            </w:r>
          </w:p>
        </w:tc>
        <w:tc>
          <w:tcPr>
            <w:tcW w:w="976" w:type="dxa"/>
            <w:tcBorders>
              <w:top w:val="nil"/>
              <w:left w:val="nil"/>
              <w:bottom w:val="single" w:sz="4" w:space="0" w:color="auto"/>
              <w:right w:val="single" w:sz="4" w:space="0" w:color="auto"/>
            </w:tcBorders>
            <w:shd w:val="clear" w:color="auto" w:fill="auto"/>
            <w:hideMark/>
          </w:tcPr>
          <w:p w14:paraId="019BB34D" w14:textId="77777777" w:rsidR="006C28DF" w:rsidRPr="006C28DF" w:rsidRDefault="006C28DF" w:rsidP="006C28DF">
            <w:pPr>
              <w:jc w:val="right"/>
              <w:rPr>
                <w:sz w:val="20"/>
                <w:szCs w:val="20"/>
                <w:lang w:val="en-CA" w:eastAsia="en-CA"/>
              </w:rPr>
            </w:pPr>
            <w:r w:rsidRPr="006C28DF">
              <w:rPr>
                <w:sz w:val="20"/>
                <w:szCs w:val="20"/>
                <w:lang w:val="en-CA" w:eastAsia="en-CA"/>
              </w:rPr>
              <w:t>0.6</w:t>
            </w:r>
          </w:p>
        </w:tc>
      </w:tr>
      <w:tr w:rsidR="006C28DF" w:rsidRPr="006C28DF" w14:paraId="2FADCE7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ED107EB" w14:textId="77777777" w:rsidR="006C28DF" w:rsidRPr="006C28DF" w:rsidRDefault="006C28DF" w:rsidP="006C28DF">
            <w:pPr>
              <w:jc w:val="left"/>
              <w:rPr>
                <w:sz w:val="20"/>
                <w:szCs w:val="20"/>
                <w:lang w:val="en-CA" w:eastAsia="en-CA"/>
              </w:rPr>
            </w:pPr>
            <w:r w:rsidRPr="006C28DF">
              <w:rPr>
                <w:sz w:val="20"/>
                <w:szCs w:val="20"/>
                <w:lang w:val="en-CA" w:eastAsia="en-CA"/>
              </w:rPr>
              <w:t>Tunisia</w:t>
            </w:r>
          </w:p>
        </w:tc>
        <w:tc>
          <w:tcPr>
            <w:tcW w:w="980" w:type="dxa"/>
            <w:tcBorders>
              <w:top w:val="nil"/>
              <w:left w:val="nil"/>
              <w:bottom w:val="single" w:sz="4" w:space="0" w:color="auto"/>
              <w:right w:val="single" w:sz="4" w:space="0" w:color="auto"/>
            </w:tcBorders>
            <w:shd w:val="clear" w:color="auto" w:fill="auto"/>
            <w:hideMark/>
          </w:tcPr>
          <w:p w14:paraId="44298F19"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09638BED"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4AFBAE68"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345EA52C"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2DF35736" w14:textId="77777777" w:rsidR="006C28DF" w:rsidRPr="006C28DF" w:rsidRDefault="006C28DF" w:rsidP="006C28DF">
            <w:pPr>
              <w:jc w:val="right"/>
              <w:rPr>
                <w:sz w:val="20"/>
                <w:szCs w:val="20"/>
                <w:lang w:val="en-CA" w:eastAsia="en-CA"/>
              </w:rPr>
            </w:pPr>
            <w:r w:rsidRPr="006C28DF">
              <w:rPr>
                <w:sz w:val="20"/>
                <w:szCs w:val="20"/>
                <w:lang w:val="en-CA" w:eastAsia="en-CA"/>
              </w:rPr>
              <w:t>339</w:t>
            </w:r>
          </w:p>
        </w:tc>
        <w:tc>
          <w:tcPr>
            <w:tcW w:w="976" w:type="dxa"/>
            <w:tcBorders>
              <w:top w:val="nil"/>
              <w:left w:val="nil"/>
              <w:bottom w:val="single" w:sz="4" w:space="0" w:color="auto"/>
              <w:right w:val="single" w:sz="4" w:space="0" w:color="auto"/>
            </w:tcBorders>
            <w:shd w:val="clear" w:color="auto" w:fill="auto"/>
            <w:hideMark/>
          </w:tcPr>
          <w:p w14:paraId="6B657E5E"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1895924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9D77271" w14:textId="77777777" w:rsidR="006C28DF" w:rsidRPr="006C28DF" w:rsidRDefault="006C28DF" w:rsidP="006C28DF">
            <w:pPr>
              <w:jc w:val="left"/>
              <w:rPr>
                <w:sz w:val="20"/>
                <w:szCs w:val="20"/>
                <w:lang w:val="en-CA" w:eastAsia="en-CA"/>
              </w:rPr>
            </w:pPr>
            <w:r w:rsidRPr="006C28DF">
              <w:rPr>
                <w:sz w:val="20"/>
                <w:szCs w:val="20"/>
                <w:lang w:val="en-CA" w:eastAsia="en-CA"/>
              </w:rPr>
              <w:t>Turkey</w:t>
            </w:r>
          </w:p>
        </w:tc>
        <w:tc>
          <w:tcPr>
            <w:tcW w:w="980" w:type="dxa"/>
            <w:tcBorders>
              <w:top w:val="nil"/>
              <w:left w:val="nil"/>
              <w:bottom w:val="single" w:sz="4" w:space="0" w:color="auto"/>
              <w:right w:val="single" w:sz="4" w:space="0" w:color="auto"/>
            </w:tcBorders>
            <w:shd w:val="clear" w:color="auto" w:fill="auto"/>
            <w:hideMark/>
          </w:tcPr>
          <w:p w14:paraId="194E3B82"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694DB7A0"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658A675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9AA6160" w14:textId="77777777" w:rsidR="006C28DF" w:rsidRPr="006C28DF" w:rsidRDefault="006C28DF" w:rsidP="006C28DF">
            <w:pPr>
              <w:jc w:val="left"/>
              <w:rPr>
                <w:sz w:val="20"/>
                <w:szCs w:val="20"/>
                <w:lang w:val="en-CA" w:eastAsia="en-CA"/>
              </w:rPr>
            </w:pPr>
            <w:r w:rsidRPr="006C28DF">
              <w:rPr>
                <w:sz w:val="20"/>
                <w:szCs w:val="20"/>
                <w:lang w:val="en-CA" w:eastAsia="en-CA"/>
              </w:rPr>
              <w:t>HPMP Stage I</w:t>
            </w:r>
          </w:p>
        </w:tc>
        <w:tc>
          <w:tcPr>
            <w:tcW w:w="1148" w:type="dxa"/>
            <w:tcBorders>
              <w:top w:val="nil"/>
              <w:left w:val="nil"/>
              <w:bottom w:val="single" w:sz="4" w:space="0" w:color="auto"/>
              <w:right w:val="single" w:sz="4" w:space="0" w:color="auto"/>
            </w:tcBorders>
            <w:shd w:val="clear" w:color="auto" w:fill="auto"/>
            <w:hideMark/>
          </w:tcPr>
          <w:p w14:paraId="68665645" w14:textId="77777777" w:rsidR="006C28DF" w:rsidRPr="006C28DF" w:rsidRDefault="006C28DF" w:rsidP="006C28DF">
            <w:pPr>
              <w:jc w:val="right"/>
              <w:rPr>
                <w:sz w:val="20"/>
                <w:szCs w:val="20"/>
                <w:lang w:val="en-CA" w:eastAsia="en-CA"/>
              </w:rPr>
            </w:pPr>
            <w:r w:rsidRPr="006C28DF">
              <w:rPr>
                <w:sz w:val="20"/>
                <w:szCs w:val="20"/>
                <w:lang w:val="en-CA" w:eastAsia="en-CA"/>
              </w:rPr>
              <w:t>1,711</w:t>
            </w:r>
          </w:p>
        </w:tc>
        <w:tc>
          <w:tcPr>
            <w:tcW w:w="976" w:type="dxa"/>
            <w:tcBorders>
              <w:top w:val="nil"/>
              <w:left w:val="nil"/>
              <w:bottom w:val="single" w:sz="4" w:space="0" w:color="auto"/>
              <w:right w:val="single" w:sz="4" w:space="0" w:color="auto"/>
            </w:tcBorders>
            <w:shd w:val="clear" w:color="auto" w:fill="auto"/>
            <w:hideMark/>
          </w:tcPr>
          <w:p w14:paraId="39089053" w14:textId="77777777" w:rsidR="006C28DF" w:rsidRPr="006C28DF" w:rsidRDefault="006C28DF" w:rsidP="006C28DF">
            <w:pPr>
              <w:jc w:val="right"/>
              <w:rPr>
                <w:sz w:val="20"/>
                <w:szCs w:val="20"/>
                <w:lang w:val="en-CA" w:eastAsia="en-CA"/>
              </w:rPr>
            </w:pPr>
            <w:r w:rsidRPr="006C28DF">
              <w:rPr>
                <w:sz w:val="20"/>
                <w:szCs w:val="20"/>
                <w:lang w:val="en-CA" w:eastAsia="en-CA"/>
              </w:rPr>
              <w:t>52.6</w:t>
            </w:r>
          </w:p>
        </w:tc>
      </w:tr>
      <w:tr w:rsidR="006C28DF" w:rsidRPr="006C28DF" w14:paraId="1BFC77F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3D196444" w14:textId="77777777" w:rsidR="006C28DF" w:rsidRPr="006C28DF" w:rsidRDefault="006C28DF" w:rsidP="006C28DF">
            <w:pPr>
              <w:jc w:val="left"/>
              <w:rPr>
                <w:sz w:val="20"/>
                <w:szCs w:val="20"/>
                <w:lang w:val="en-CA" w:eastAsia="en-CA"/>
              </w:rPr>
            </w:pPr>
            <w:r w:rsidRPr="006C28DF">
              <w:rPr>
                <w:sz w:val="20"/>
                <w:szCs w:val="20"/>
                <w:lang w:val="en-CA" w:eastAsia="en-CA"/>
              </w:rPr>
              <w:t>Turkmenistan</w:t>
            </w:r>
          </w:p>
        </w:tc>
        <w:tc>
          <w:tcPr>
            <w:tcW w:w="980" w:type="dxa"/>
            <w:tcBorders>
              <w:top w:val="nil"/>
              <w:left w:val="nil"/>
              <w:bottom w:val="single" w:sz="4" w:space="0" w:color="auto"/>
              <w:right w:val="single" w:sz="4" w:space="0" w:color="auto"/>
            </w:tcBorders>
            <w:shd w:val="clear" w:color="auto" w:fill="auto"/>
            <w:hideMark/>
          </w:tcPr>
          <w:p w14:paraId="12286091"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320D68AD"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4775920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47121CB"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032A2225" w14:textId="77777777" w:rsidR="006C28DF" w:rsidRPr="006C28DF" w:rsidRDefault="006C28DF" w:rsidP="006C28DF">
            <w:pPr>
              <w:jc w:val="right"/>
              <w:rPr>
                <w:sz w:val="20"/>
                <w:szCs w:val="20"/>
                <w:lang w:val="en-CA" w:eastAsia="en-CA"/>
              </w:rPr>
            </w:pPr>
            <w:r w:rsidRPr="006C28DF">
              <w:rPr>
                <w:sz w:val="20"/>
                <w:szCs w:val="20"/>
                <w:lang w:val="en-CA" w:eastAsia="en-CA"/>
              </w:rPr>
              <w:t>32</w:t>
            </w:r>
          </w:p>
        </w:tc>
        <w:tc>
          <w:tcPr>
            <w:tcW w:w="976" w:type="dxa"/>
            <w:tcBorders>
              <w:top w:val="nil"/>
              <w:left w:val="nil"/>
              <w:bottom w:val="single" w:sz="4" w:space="0" w:color="auto"/>
              <w:right w:val="single" w:sz="4" w:space="0" w:color="auto"/>
            </w:tcBorders>
            <w:shd w:val="clear" w:color="auto" w:fill="auto"/>
            <w:hideMark/>
          </w:tcPr>
          <w:p w14:paraId="026C9E2B"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0EB74176"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3F9427BB" w14:textId="77777777" w:rsidR="006C28DF" w:rsidRPr="006C28DF" w:rsidRDefault="006C28DF" w:rsidP="006C28DF">
            <w:pPr>
              <w:jc w:val="left"/>
              <w:rPr>
                <w:sz w:val="20"/>
                <w:szCs w:val="20"/>
                <w:lang w:val="en-CA" w:eastAsia="en-CA"/>
              </w:rPr>
            </w:pPr>
            <w:r w:rsidRPr="006C28DF">
              <w:rPr>
                <w:sz w:val="20"/>
                <w:szCs w:val="20"/>
                <w:lang w:val="en-CA" w:eastAsia="en-CA"/>
              </w:rPr>
              <w:t>Tuvalu</w:t>
            </w:r>
          </w:p>
        </w:tc>
        <w:tc>
          <w:tcPr>
            <w:tcW w:w="980" w:type="dxa"/>
            <w:tcBorders>
              <w:top w:val="nil"/>
              <w:left w:val="nil"/>
              <w:bottom w:val="single" w:sz="4" w:space="0" w:color="auto"/>
              <w:right w:val="single" w:sz="4" w:space="0" w:color="auto"/>
            </w:tcBorders>
            <w:shd w:val="clear" w:color="auto" w:fill="auto"/>
            <w:hideMark/>
          </w:tcPr>
          <w:p w14:paraId="31C508AD"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EEAA338"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3A849B6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C4A5BDE"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(preparation)</w:t>
            </w:r>
          </w:p>
        </w:tc>
        <w:tc>
          <w:tcPr>
            <w:tcW w:w="1148" w:type="dxa"/>
            <w:tcBorders>
              <w:top w:val="nil"/>
              <w:left w:val="nil"/>
              <w:bottom w:val="single" w:sz="4" w:space="0" w:color="auto"/>
              <w:right w:val="single" w:sz="4" w:space="0" w:color="auto"/>
            </w:tcBorders>
            <w:shd w:val="clear" w:color="auto" w:fill="auto"/>
            <w:hideMark/>
          </w:tcPr>
          <w:p w14:paraId="1BB315E3"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405B6ED2"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6E58152C"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757172C" w14:textId="77777777" w:rsidR="006C28DF" w:rsidRPr="006C28DF" w:rsidRDefault="006C28DF" w:rsidP="006C28DF">
            <w:pPr>
              <w:jc w:val="left"/>
              <w:rPr>
                <w:sz w:val="20"/>
                <w:szCs w:val="20"/>
                <w:lang w:val="en-CA" w:eastAsia="en-CA"/>
              </w:rPr>
            </w:pPr>
            <w:r w:rsidRPr="006C28DF">
              <w:rPr>
                <w:sz w:val="20"/>
                <w:szCs w:val="20"/>
                <w:lang w:val="en-CA" w:eastAsia="en-CA"/>
              </w:rPr>
              <w:t>Tuvalu</w:t>
            </w:r>
          </w:p>
        </w:tc>
        <w:tc>
          <w:tcPr>
            <w:tcW w:w="980" w:type="dxa"/>
            <w:tcBorders>
              <w:top w:val="nil"/>
              <w:left w:val="nil"/>
              <w:bottom w:val="single" w:sz="4" w:space="0" w:color="auto"/>
              <w:right w:val="single" w:sz="4" w:space="0" w:color="auto"/>
            </w:tcBorders>
            <w:shd w:val="clear" w:color="auto" w:fill="auto"/>
            <w:hideMark/>
          </w:tcPr>
          <w:p w14:paraId="5320BB8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29C68A33"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40B098CD"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51E2B4E2"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014215BA"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5F4828F5"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C4081B8"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443119F1" w14:textId="77777777" w:rsidR="006C28DF" w:rsidRPr="006C28DF" w:rsidRDefault="006C28DF" w:rsidP="006C28DF">
            <w:pPr>
              <w:jc w:val="left"/>
              <w:rPr>
                <w:sz w:val="20"/>
                <w:szCs w:val="20"/>
                <w:lang w:val="en-CA" w:eastAsia="en-CA"/>
              </w:rPr>
            </w:pPr>
            <w:r w:rsidRPr="006C28DF">
              <w:rPr>
                <w:sz w:val="20"/>
                <w:szCs w:val="20"/>
                <w:lang w:val="en-CA" w:eastAsia="en-CA"/>
              </w:rPr>
              <w:t>Uganda</w:t>
            </w:r>
          </w:p>
        </w:tc>
        <w:tc>
          <w:tcPr>
            <w:tcW w:w="980" w:type="dxa"/>
            <w:tcBorders>
              <w:top w:val="nil"/>
              <w:left w:val="nil"/>
              <w:bottom w:val="single" w:sz="4" w:space="0" w:color="auto"/>
              <w:right w:val="single" w:sz="4" w:space="0" w:color="auto"/>
            </w:tcBorders>
            <w:shd w:val="clear" w:color="auto" w:fill="auto"/>
            <w:hideMark/>
          </w:tcPr>
          <w:p w14:paraId="2ABD0E31"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1D626E6"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7F9F08C3"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13201E6C"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(preparation)</w:t>
            </w:r>
          </w:p>
        </w:tc>
        <w:tc>
          <w:tcPr>
            <w:tcW w:w="1148" w:type="dxa"/>
            <w:tcBorders>
              <w:top w:val="nil"/>
              <w:left w:val="nil"/>
              <w:bottom w:val="single" w:sz="4" w:space="0" w:color="auto"/>
              <w:right w:val="single" w:sz="4" w:space="0" w:color="auto"/>
            </w:tcBorders>
            <w:shd w:val="clear" w:color="auto" w:fill="auto"/>
            <w:hideMark/>
          </w:tcPr>
          <w:p w14:paraId="523BD932"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5D082356"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5441FB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1BD43C3" w14:textId="77777777" w:rsidR="006C28DF" w:rsidRPr="006C28DF" w:rsidRDefault="006C28DF" w:rsidP="006C28DF">
            <w:pPr>
              <w:jc w:val="left"/>
              <w:rPr>
                <w:sz w:val="20"/>
                <w:szCs w:val="20"/>
                <w:lang w:val="en-CA" w:eastAsia="en-CA"/>
              </w:rPr>
            </w:pPr>
            <w:r w:rsidRPr="006C28DF">
              <w:rPr>
                <w:sz w:val="20"/>
                <w:szCs w:val="20"/>
                <w:lang w:val="en-CA" w:eastAsia="en-CA"/>
              </w:rPr>
              <w:t>Uganda</w:t>
            </w:r>
          </w:p>
        </w:tc>
        <w:tc>
          <w:tcPr>
            <w:tcW w:w="980" w:type="dxa"/>
            <w:tcBorders>
              <w:top w:val="nil"/>
              <w:left w:val="nil"/>
              <w:bottom w:val="single" w:sz="4" w:space="0" w:color="auto"/>
              <w:right w:val="single" w:sz="4" w:space="0" w:color="auto"/>
            </w:tcBorders>
            <w:shd w:val="clear" w:color="auto" w:fill="auto"/>
            <w:hideMark/>
          </w:tcPr>
          <w:p w14:paraId="04DD7A77"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3FAFECFD"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5B2383D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C86D34E"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5B655A9C"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5A51F580"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727571C3"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7182999B" w14:textId="3D18FAC1" w:rsidR="006C28DF" w:rsidRPr="006C28DF" w:rsidRDefault="006C28DF" w:rsidP="006C28DF">
            <w:pPr>
              <w:jc w:val="left"/>
              <w:rPr>
                <w:sz w:val="20"/>
                <w:szCs w:val="20"/>
                <w:lang w:val="en-CA" w:eastAsia="en-CA"/>
              </w:rPr>
            </w:pPr>
            <w:r w:rsidRPr="006C28DF">
              <w:rPr>
                <w:sz w:val="20"/>
                <w:szCs w:val="20"/>
                <w:lang w:val="en-CA" w:eastAsia="en-CA"/>
              </w:rPr>
              <w:t>Uganda</w:t>
            </w:r>
            <w:r w:rsidR="002C3CFF">
              <w:rPr>
                <w:sz w:val="20"/>
                <w:szCs w:val="20"/>
                <w:lang w:val="en-CA" w:eastAsia="en-CA"/>
              </w:rPr>
              <w:t>*</w:t>
            </w:r>
          </w:p>
        </w:tc>
        <w:tc>
          <w:tcPr>
            <w:tcW w:w="980" w:type="dxa"/>
            <w:tcBorders>
              <w:top w:val="nil"/>
              <w:left w:val="nil"/>
              <w:bottom w:val="single" w:sz="4" w:space="0" w:color="auto"/>
              <w:right w:val="single" w:sz="4" w:space="0" w:color="auto"/>
            </w:tcBorders>
            <w:shd w:val="clear" w:color="auto" w:fill="auto"/>
            <w:hideMark/>
          </w:tcPr>
          <w:p w14:paraId="3A4BCA7E"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08A40EEE"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18DD7B0F"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03C6A394" w14:textId="77777777" w:rsidR="006C28DF" w:rsidRPr="006C28DF" w:rsidRDefault="006C28DF" w:rsidP="006C28DF">
            <w:pPr>
              <w:jc w:val="left"/>
              <w:rPr>
                <w:sz w:val="20"/>
                <w:szCs w:val="20"/>
                <w:lang w:val="en-CA" w:eastAsia="en-CA"/>
              </w:rPr>
            </w:pPr>
            <w:r w:rsidRPr="006C28DF">
              <w:rPr>
                <w:sz w:val="20"/>
                <w:szCs w:val="20"/>
                <w:lang w:val="en-CA" w:eastAsia="en-CA"/>
              </w:rPr>
              <w:t xml:space="preserve">Enabling activities </w:t>
            </w:r>
          </w:p>
        </w:tc>
        <w:tc>
          <w:tcPr>
            <w:tcW w:w="1148" w:type="dxa"/>
            <w:tcBorders>
              <w:top w:val="nil"/>
              <w:left w:val="nil"/>
              <w:bottom w:val="single" w:sz="4" w:space="0" w:color="auto"/>
              <w:right w:val="single" w:sz="4" w:space="0" w:color="auto"/>
            </w:tcBorders>
            <w:shd w:val="clear" w:color="auto" w:fill="auto"/>
            <w:hideMark/>
          </w:tcPr>
          <w:p w14:paraId="767E0FEC" w14:textId="77777777" w:rsidR="006C28DF" w:rsidRPr="006C28DF" w:rsidRDefault="006C28DF" w:rsidP="006C28DF">
            <w:pPr>
              <w:jc w:val="right"/>
              <w:rPr>
                <w:sz w:val="20"/>
                <w:szCs w:val="20"/>
                <w:lang w:val="en-CA" w:eastAsia="en-CA"/>
              </w:rPr>
            </w:pPr>
            <w:r w:rsidRPr="006C28DF">
              <w:rPr>
                <w:sz w:val="20"/>
                <w:szCs w:val="20"/>
                <w:lang w:val="en-CA" w:eastAsia="en-CA"/>
              </w:rPr>
              <w:t>18</w:t>
            </w:r>
          </w:p>
        </w:tc>
        <w:tc>
          <w:tcPr>
            <w:tcW w:w="976" w:type="dxa"/>
            <w:tcBorders>
              <w:top w:val="nil"/>
              <w:left w:val="nil"/>
              <w:bottom w:val="single" w:sz="4" w:space="0" w:color="auto"/>
              <w:right w:val="single" w:sz="4" w:space="0" w:color="auto"/>
            </w:tcBorders>
            <w:shd w:val="clear" w:color="auto" w:fill="auto"/>
            <w:hideMark/>
          </w:tcPr>
          <w:p w14:paraId="5D35C28D"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55862DF6"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E9A3E2D" w14:textId="77777777" w:rsidR="006C28DF" w:rsidRPr="006C28DF" w:rsidRDefault="006C28DF" w:rsidP="006C28DF">
            <w:pPr>
              <w:jc w:val="left"/>
              <w:rPr>
                <w:sz w:val="20"/>
                <w:szCs w:val="20"/>
                <w:lang w:val="en-CA" w:eastAsia="en-CA"/>
              </w:rPr>
            </w:pPr>
            <w:r w:rsidRPr="006C28DF">
              <w:rPr>
                <w:sz w:val="20"/>
                <w:szCs w:val="20"/>
                <w:lang w:val="en-CA" w:eastAsia="en-CA"/>
              </w:rPr>
              <w:t>Uganda</w:t>
            </w:r>
          </w:p>
        </w:tc>
        <w:tc>
          <w:tcPr>
            <w:tcW w:w="980" w:type="dxa"/>
            <w:tcBorders>
              <w:top w:val="nil"/>
              <w:left w:val="nil"/>
              <w:bottom w:val="single" w:sz="4" w:space="0" w:color="auto"/>
              <w:right w:val="single" w:sz="4" w:space="0" w:color="auto"/>
            </w:tcBorders>
            <w:shd w:val="clear" w:color="auto" w:fill="auto"/>
            <w:hideMark/>
          </w:tcPr>
          <w:p w14:paraId="1E501366"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0104FBBD"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73A204F"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4BF63557"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F692A37"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40855121"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87D3912"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179E2171" w14:textId="77777777" w:rsidR="006C28DF" w:rsidRPr="006C28DF" w:rsidRDefault="006C28DF" w:rsidP="006C28DF">
            <w:pPr>
              <w:jc w:val="left"/>
              <w:rPr>
                <w:sz w:val="20"/>
                <w:szCs w:val="20"/>
                <w:lang w:val="en-CA" w:eastAsia="en-CA"/>
              </w:rPr>
            </w:pPr>
            <w:r w:rsidRPr="006C28DF">
              <w:rPr>
                <w:sz w:val="20"/>
                <w:szCs w:val="20"/>
                <w:lang w:val="en-CA" w:eastAsia="en-CA"/>
              </w:rPr>
              <w:t>United Republic of Tanzania (the)</w:t>
            </w:r>
          </w:p>
        </w:tc>
        <w:tc>
          <w:tcPr>
            <w:tcW w:w="980" w:type="dxa"/>
            <w:tcBorders>
              <w:top w:val="nil"/>
              <w:left w:val="nil"/>
              <w:bottom w:val="single" w:sz="4" w:space="0" w:color="auto"/>
              <w:right w:val="single" w:sz="4" w:space="0" w:color="auto"/>
            </w:tcBorders>
            <w:shd w:val="clear" w:color="auto" w:fill="auto"/>
            <w:hideMark/>
          </w:tcPr>
          <w:p w14:paraId="2875B52F"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6B48A57"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172C034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0E865BD7"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(preparation)</w:t>
            </w:r>
          </w:p>
        </w:tc>
        <w:tc>
          <w:tcPr>
            <w:tcW w:w="1148" w:type="dxa"/>
            <w:tcBorders>
              <w:top w:val="nil"/>
              <w:left w:val="nil"/>
              <w:bottom w:val="single" w:sz="4" w:space="0" w:color="auto"/>
              <w:right w:val="single" w:sz="4" w:space="0" w:color="auto"/>
            </w:tcBorders>
            <w:shd w:val="clear" w:color="auto" w:fill="auto"/>
            <w:hideMark/>
          </w:tcPr>
          <w:p w14:paraId="537DFE8D" w14:textId="77777777" w:rsidR="006C28DF" w:rsidRPr="006C28DF" w:rsidRDefault="006C28DF" w:rsidP="006C28DF">
            <w:pPr>
              <w:jc w:val="right"/>
              <w:rPr>
                <w:sz w:val="20"/>
                <w:szCs w:val="20"/>
                <w:lang w:val="en-CA" w:eastAsia="en-CA"/>
              </w:rPr>
            </w:pPr>
            <w:r w:rsidRPr="006C28DF">
              <w:rPr>
                <w:sz w:val="20"/>
                <w:szCs w:val="20"/>
                <w:lang w:val="en-CA" w:eastAsia="en-CA"/>
              </w:rPr>
              <w:t>23</w:t>
            </w:r>
          </w:p>
        </w:tc>
        <w:tc>
          <w:tcPr>
            <w:tcW w:w="976" w:type="dxa"/>
            <w:tcBorders>
              <w:top w:val="nil"/>
              <w:left w:val="nil"/>
              <w:bottom w:val="single" w:sz="4" w:space="0" w:color="auto"/>
              <w:right w:val="single" w:sz="4" w:space="0" w:color="auto"/>
            </w:tcBorders>
            <w:shd w:val="clear" w:color="auto" w:fill="auto"/>
            <w:hideMark/>
          </w:tcPr>
          <w:p w14:paraId="239B50F3"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1FE4C5A6"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7032342" w14:textId="77777777" w:rsidR="006C28DF" w:rsidRPr="006C28DF" w:rsidRDefault="006C28DF" w:rsidP="006C28DF">
            <w:pPr>
              <w:jc w:val="left"/>
              <w:rPr>
                <w:sz w:val="20"/>
                <w:szCs w:val="20"/>
                <w:lang w:val="en-CA" w:eastAsia="en-CA"/>
              </w:rPr>
            </w:pPr>
            <w:r w:rsidRPr="006C28DF">
              <w:rPr>
                <w:sz w:val="20"/>
                <w:szCs w:val="20"/>
                <w:lang w:val="en-CA" w:eastAsia="en-CA"/>
              </w:rPr>
              <w:t>United Republic of Tanzania (the)</w:t>
            </w:r>
          </w:p>
        </w:tc>
        <w:tc>
          <w:tcPr>
            <w:tcW w:w="980" w:type="dxa"/>
            <w:tcBorders>
              <w:top w:val="nil"/>
              <w:left w:val="nil"/>
              <w:bottom w:val="single" w:sz="4" w:space="0" w:color="auto"/>
              <w:right w:val="single" w:sz="4" w:space="0" w:color="auto"/>
            </w:tcBorders>
            <w:shd w:val="clear" w:color="auto" w:fill="auto"/>
            <w:hideMark/>
          </w:tcPr>
          <w:p w14:paraId="6E6C6BE6"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507436FD"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156E590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55B636C" w14:textId="77777777" w:rsidR="006C28DF" w:rsidRPr="006C28DF" w:rsidRDefault="006C28DF" w:rsidP="006C28DF">
            <w:pPr>
              <w:jc w:val="left"/>
              <w:rPr>
                <w:sz w:val="20"/>
                <w:szCs w:val="20"/>
                <w:lang w:val="en-CA" w:eastAsia="en-CA"/>
              </w:rPr>
            </w:pPr>
            <w:r w:rsidRPr="006C28DF">
              <w:rPr>
                <w:sz w:val="20"/>
                <w:szCs w:val="20"/>
                <w:lang w:val="en-CA" w:eastAsia="en-CA"/>
              </w:rPr>
              <w:t>REF-Servicing - Stage II</w:t>
            </w:r>
          </w:p>
        </w:tc>
        <w:tc>
          <w:tcPr>
            <w:tcW w:w="1148" w:type="dxa"/>
            <w:tcBorders>
              <w:top w:val="nil"/>
              <w:left w:val="nil"/>
              <w:bottom w:val="single" w:sz="4" w:space="0" w:color="auto"/>
              <w:right w:val="single" w:sz="4" w:space="0" w:color="auto"/>
            </w:tcBorders>
            <w:shd w:val="clear" w:color="auto" w:fill="auto"/>
            <w:hideMark/>
          </w:tcPr>
          <w:p w14:paraId="5E02114E" w14:textId="77777777" w:rsidR="006C28DF" w:rsidRPr="006C28DF" w:rsidRDefault="006C28DF" w:rsidP="006C28DF">
            <w:pPr>
              <w:jc w:val="right"/>
              <w:rPr>
                <w:sz w:val="20"/>
                <w:szCs w:val="20"/>
                <w:lang w:val="en-CA" w:eastAsia="en-CA"/>
              </w:rPr>
            </w:pPr>
            <w:r w:rsidRPr="006C28DF">
              <w:rPr>
                <w:sz w:val="20"/>
                <w:szCs w:val="20"/>
                <w:lang w:val="en-CA" w:eastAsia="en-CA"/>
              </w:rPr>
              <w:t>11</w:t>
            </w:r>
          </w:p>
        </w:tc>
        <w:tc>
          <w:tcPr>
            <w:tcW w:w="976" w:type="dxa"/>
            <w:tcBorders>
              <w:top w:val="nil"/>
              <w:left w:val="nil"/>
              <w:bottom w:val="single" w:sz="4" w:space="0" w:color="auto"/>
              <w:right w:val="single" w:sz="4" w:space="0" w:color="auto"/>
            </w:tcBorders>
            <w:shd w:val="clear" w:color="auto" w:fill="auto"/>
            <w:hideMark/>
          </w:tcPr>
          <w:p w14:paraId="105ECCD5"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29F1530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67F229C" w14:textId="77777777" w:rsidR="006C28DF" w:rsidRPr="006C28DF" w:rsidRDefault="006C28DF" w:rsidP="006C28DF">
            <w:pPr>
              <w:jc w:val="left"/>
              <w:rPr>
                <w:sz w:val="20"/>
                <w:szCs w:val="20"/>
                <w:lang w:val="en-CA" w:eastAsia="en-CA"/>
              </w:rPr>
            </w:pPr>
            <w:r w:rsidRPr="006C28DF">
              <w:rPr>
                <w:sz w:val="20"/>
                <w:szCs w:val="20"/>
                <w:lang w:val="en-CA" w:eastAsia="en-CA"/>
              </w:rPr>
              <w:t>United Republic of Tanzania (the)</w:t>
            </w:r>
          </w:p>
        </w:tc>
        <w:tc>
          <w:tcPr>
            <w:tcW w:w="980" w:type="dxa"/>
            <w:tcBorders>
              <w:top w:val="nil"/>
              <w:left w:val="nil"/>
              <w:bottom w:val="single" w:sz="4" w:space="0" w:color="auto"/>
              <w:right w:val="single" w:sz="4" w:space="0" w:color="auto"/>
            </w:tcBorders>
            <w:shd w:val="clear" w:color="auto" w:fill="auto"/>
            <w:hideMark/>
          </w:tcPr>
          <w:p w14:paraId="765F8213"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490E1713"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C981DA0"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32B56848"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746E4DDF"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46AE5B4C"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839BEE7"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A0B9E12" w14:textId="77777777" w:rsidR="006C28DF" w:rsidRPr="006C28DF" w:rsidRDefault="006C28DF" w:rsidP="006C28DF">
            <w:pPr>
              <w:jc w:val="left"/>
              <w:rPr>
                <w:sz w:val="20"/>
                <w:szCs w:val="20"/>
                <w:lang w:val="en-CA" w:eastAsia="en-CA"/>
              </w:rPr>
            </w:pPr>
            <w:r w:rsidRPr="006C28DF">
              <w:rPr>
                <w:sz w:val="20"/>
                <w:szCs w:val="20"/>
                <w:lang w:val="en-CA" w:eastAsia="en-CA"/>
              </w:rPr>
              <w:t>Uruguay</w:t>
            </w:r>
          </w:p>
        </w:tc>
        <w:tc>
          <w:tcPr>
            <w:tcW w:w="980" w:type="dxa"/>
            <w:tcBorders>
              <w:top w:val="nil"/>
              <w:left w:val="nil"/>
              <w:bottom w:val="single" w:sz="4" w:space="0" w:color="auto"/>
              <w:right w:val="single" w:sz="4" w:space="0" w:color="auto"/>
            </w:tcBorders>
            <w:shd w:val="clear" w:color="auto" w:fill="auto"/>
            <w:hideMark/>
          </w:tcPr>
          <w:p w14:paraId="1ABBE08C"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34A223B1"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4B40060E"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2352F3C" w14:textId="77777777" w:rsidR="006C28DF" w:rsidRPr="006C28DF" w:rsidRDefault="006C28DF" w:rsidP="006C28DF">
            <w:pPr>
              <w:jc w:val="left"/>
              <w:rPr>
                <w:sz w:val="20"/>
                <w:szCs w:val="20"/>
                <w:lang w:val="en-CA" w:eastAsia="en-CA"/>
              </w:rPr>
            </w:pPr>
            <w:r w:rsidRPr="006C28DF">
              <w:rPr>
                <w:sz w:val="20"/>
                <w:szCs w:val="20"/>
                <w:lang w:val="en-CA" w:eastAsia="en-CA"/>
              </w:rPr>
              <w:t>Stage II HPMP (rigid foam &amp; servicing)</w:t>
            </w:r>
          </w:p>
        </w:tc>
        <w:tc>
          <w:tcPr>
            <w:tcW w:w="1148" w:type="dxa"/>
            <w:tcBorders>
              <w:top w:val="nil"/>
              <w:left w:val="nil"/>
              <w:bottom w:val="single" w:sz="4" w:space="0" w:color="auto"/>
              <w:right w:val="single" w:sz="4" w:space="0" w:color="auto"/>
            </w:tcBorders>
            <w:shd w:val="clear" w:color="auto" w:fill="auto"/>
            <w:hideMark/>
          </w:tcPr>
          <w:p w14:paraId="7D61FD11" w14:textId="77777777" w:rsidR="006C28DF" w:rsidRPr="006C28DF" w:rsidRDefault="006C28DF" w:rsidP="006C28DF">
            <w:pPr>
              <w:jc w:val="right"/>
              <w:rPr>
                <w:sz w:val="20"/>
                <w:szCs w:val="20"/>
                <w:lang w:val="en-CA" w:eastAsia="en-CA"/>
              </w:rPr>
            </w:pPr>
            <w:r w:rsidRPr="006C28DF">
              <w:rPr>
                <w:sz w:val="20"/>
                <w:szCs w:val="20"/>
                <w:lang w:val="en-CA" w:eastAsia="en-CA"/>
              </w:rPr>
              <w:t>727</w:t>
            </w:r>
          </w:p>
        </w:tc>
        <w:tc>
          <w:tcPr>
            <w:tcW w:w="976" w:type="dxa"/>
            <w:tcBorders>
              <w:top w:val="nil"/>
              <w:left w:val="nil"/>
              <w:bottom w:val="single" w:sz="4" w:space="0" w:color="auto"/>
              <w:right w:val="single" w:sz="4" w:space="0" w:color="auto"/>
            </w:tcBorders>
            <w:shd w:val="clear" w:color="auto" w:fill="auto"/>
            <w:hideMark/>
          </w:tcPr>
          <w:p w14:paraId="33366126" w14:textId="77777777" w:rsidR="006C28DF" w:rsidRPr="006C28DF" w:rsidRDefault="006C28DF" w:rsidP="006C28DF">
            <w:pPr>
              <w:jc w:val="right"/>
              <w:rPr>
                <w:sz w:val="20"/>
                <w:szCs w:val="20"/>
                <w:lang w:val="en-CA" w:eastAsia="en-CA"/>
              </w:rPr>
            </w:pPr>
            <w:r w:rsidRPr="006C28DF">
              <w:rPr>
                <w:sz w:val="20"/>
                <w:szCs w:val="20"/>
                <w:lang w:val="en-CA" w:eastAsia="en-CA"/>
              </w:rPr>
              <w:t>6.8</w:t>
            </w:r>
          </w:p>
        </w:tc>
      </w:tr>
      <w:tr w:rsidR="006C28DF" w:rsidRPr="006C28DF" w14:paraId="78DD7A79"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6A5D846C" w14:textId="77777777" w:rsidR="006C28DF" w:rsidRPr="006C28DF" w:rsidRDefault="006C28DF" w:rsidP="006C28DF">
            <w:pPr>
              <w:jc w:val="left"/>
              <w:rPr>
                <w:sz w:val="20"/>
                <w:szCs w:val="20"/>
                <w:lang w:val="en-CA" w:eastAsia="en-CA"/>
              </w:rPr>
            </w:pPr>
            <w:r w:rsidRPr="006C28DF">
              <w:rPr>
                <w:sz w:val="20"/>
                <w:szCs w:val="20"/>
                <w:lang w:val="en-CA" w:eastAsia="en-CA"/>
              </w:rPr>
              <w:t>Vanuatu</w:t>
            </w:r>
          </w:p>
        </w:tc>
        <w:tc>
          <w:tcPr>
            <w:tcW w:w="980" w:type="dxa"/>
            <w:tcBorders>
              <w:top w:val="nil"/>
              <w:left w:val="nil"/>
              <w:bottom w:val="single" w:sz="4" w:space="0" w:color="auto"/>
              <w:right w:val="single" w:sz="4" w:space="0" w:color="auto"/>
            </w:tcBorders>
            <w:shd w:val="clear" w:color="auto" w:fill="auto"/>
            <w:hideMark/>
          </w:tcPr>
          <w:p w14:paraId="20AE21A4"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534D5476" w14:textId="77777777" w:rsidR="006C28DF" w:rsidRPr="006C28DF" w:rsidRDefault="006C28DF" w:rsidP="006C28DF">
            <w:pPr>
              <w:jc w:val="center"/>
              <w:rPr>
                <w:sz w:val="20"/>
                <w:szCs w:val="20"/>
                <w:lang w:val="en-CA" w:eastAsia="en-CA"/>
              </w:rPr>
            </w:pPr>
            <w:r w:rsidRPr="006C28DF">
              <w:rPr>
                <w:sz w:val="20"/>
                <w:szCs w:val="20"/>
                <w:lang w:val="en-CA" w:eastAsia="en-CA"/>
              </w:rPr>
              <w:t>PRP</w:t>
            </w:r>
          </w:p>
        </w:tc>
        <w:tc>
          <w:tcPr>
            <w:tcW w:w="1027" w:type="dxa"/>
            <w:tcBorders>
              <w:top w:val="nil"/>
              <w:left w:val="nil"/>
              <w:bottom w:val="single" w:sz="4" w:space="0" w:color="auto"/>
              <w:right w:val="single" w:sz="4" w:space="0" w:color="auto"/>
            </w:tcBorders>
            <w:shd w:val="clear" w:color="auto" w:fill="auto"/>
            <w:hideMark/>
          </w:tcPr>
          <w:p w14:paraId="58AE226F"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2B6BE7EC" w14:textId="77777777" w:rsidR="006C28DF" w:rsidRPr="006C28DF" w:rsidRDefault="006C28DF" w:rsidP="006C28DF">
            <w:pPr>
              <w:jc w:val="left"/>
              <w:rPr>
                <w:sz w:val="20"/>
                <w:szCs w:val="20"/>
                <w:lang w:val="en-CA" w:eastAsia="en-CA"/>
              </w:rPr>
            </w:pPr>
            <w:r w:rsidRPr="006C28DF">
              <w:rPr>
                <w:sz w:val="20"/>
                <w:szCs w:val="20"/>
                <w:lang w:val="en-CA" w:eastAsia="en-CA"/>
              </w:rPr>
              <w:t>Stage 2 - HCFC Phase-out Management Plan (preparation)</w:t>
            </w:r>
          </w:p>
        </w:tc>
        <w:tc>
          <w:tcPr>
            <w:tcW w:w="1148" w:type="dxa"/>
            <w:tcBorders>
              <w:top w:val="nil"/>
              <w:left w:val="nil"/>
              <w:bottom w:val="single" w:sz="4" w:space="0" w:color="auto"/>
              <w:right w:val="single" w:sz="4" w:space="0" w:color="auto"/>
            </w:tcBorders>
            <w:shd w:val="clear" w:color="auto" w:fill="auto"/>
            <w:hideMark/>
          </w:tcPr>
          <w:p w14:paraId="65AD1C47" w14:textId="77777777" w:rsidR="006C28DF" w:rsidRPr="006C28DF" w:rsidRDefault="006C28DF" w:rsidP="006C28DF">
            <w:pPr>
              <w:jc w:val="right"/>
              <w:rPr>
                <w:sz w:val="20"/>
                <w:szCs w:val="20"/>
                <w:lang w:val="en-CA" w:eastAsia="en-CA"/>
              </w:rPr>
            </w:pPr>
            <w:r w:rsidRPr="006C28DF">
              <w:rPr>
                <w:sz w:val="20"/>
                <w:szCs w:val="20"/>
                <w:lang w:val="en-CA" w:eastAsia="en-CA"/>
              </w:rPr>
              <w:t>34</w:t>
            </w:r>
          </w:p>
        </w:tc>
        <w:tc>
          <w:tcPr>
            <w:tcW w:w="976" w:type="dxa"/>
            <w:tcBorders>
              <w:top w:val="nil"/>
              <w:left w:val="nil"/>
              <w:bottom w:val="single" w:sz="4" w:space="0" w:color="auto"/>
              <w:right w:val="single" w:sz="4" w:space="0" w:color="auto"/>
            </w:tcBorders>
            <w:shd w:val="clear" w:color="auto" w:fill="auto"/>
            <w:hideMark/>
          </w:tcPr>
          <w:p w14:paraId="3D22BDF0"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0AB165C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63B06F70" w14:textId="77777777" w:rsidR="006C28DF" w:rsidRPr="006C28DF" w:rsidRDefault="006C28DF" w:rsidP="006C28DF">
            <w:pPr>
              <w:jc w:val="left"/>
              <w:rPr>
                <w:sz w:val="20"/>
                <w:szCs w:val="20"/>
                <w:lang w:val="en-CA" w:eastAsia="en-CA"/>
              </w:rPr>
            </w:pPr>
            <w:r w:rsidRPr="006C28DF">
              <w:rPr>
                <w:sz w:val="20"/>
                <w:szCs w:val="20"/>
                <w:lang w:val="en-CA" w:eastAsia="en-CA"/>
              </w:rPr>
              <w:t>Vanuatu</w:t>
            </w:r>
          </w:p>
        </w:tc>
        <w:tc>
          <w:tcPr>
            <w:tcW w:w="980" w:type="dxa"/>
            <w:tcBorders>
              <w:top w:val="nil"/>
              <w:left w:val="nil"/>
              <w:bottom w:val="single" w:sz="4" w:space="0" w:color="auto"/>
              <w:right w:val="single" w:sz="4" w:space="0" w:color="auto"/>
            </w:tcBorders>
            <w:shd w:val="clear" w:color="auto" w:fill="auto"/>
            <w:hideMark/>
          </w:tcPr>
          <w:p w14:paraId="02B002B8"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3564F6F4"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7D62CBA0"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522AB9ED"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4C2B9C3A"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401542D3"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25B7C09"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299736E" w14:textId="77777777" w:rsidR="006C28DF" w:rsidRPr="006C28DF" w:rsidRDefault="006C28DF" w:rsidP="006C28DF">
            <w:pPr>
              <w:jc w:val="left"/>
              <w:rPr>
                <w:sz w:val="20"/>
                <w:szCs w:val="20"/>
                <w:lang w:val="en-CA" w:eastAsia="en-CA"/>
              </w:rPr>
            </w:pPr>
            <w:r w:rsidRPr="006C28DF">
              <w:rPr>
                <w:sz w:val="20"/>
                <w:szCs w:val="20"/>
                <w:lang w:val="en-CA" w:eastAsia="en-CA"/>
              </w:rPr>
              <w:t>Venezuela (Bolivarian Republic of)</w:t>
            </w:r>
          </w:p>
        </w:tc>
        <w:tc>
          <w:tcPr>
            <w:tcW w:w="980" w:type="dxa"/>
            <w:tcBorders>
              <w:top w:val="nil"/>
              <w:left w:val="nil"/>
              <w:bottom w:val="single" w:sz="4" w:space="0" w:color="auto"/>
              <w:right w:val="single" w:sz="4" w:space="0" w:color="auto"/>
            </w:tcBorders>
            <w:shd w:val="clear" w:color="auto" w:fill="auto"/>
            <w:hideMark/>
          </w:tcPr>
          <w:p w14:paraId="63EE2664"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4243A597"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383474D6"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4F730D8F" w14:textId="77777777" w:rsidR="006C28DF" w:rsidRPr="006C28DF" w:rsidRDefault="006C28DF" w:rsidP="006C28DF">
            <w:pPr>
              <w:jc w:val="left"/>
              <w:rPr>
                <w:sz w:val="20"/>
                <w:szCs w:val="20"/>
                <w:lang w:val="en-CA" w:eastAsia="en-CA"/>
              </w:rPr>
            </w:pPr>
            <w:r w:rsidRPr="006C28DF">
              <w:rPr>
                <w:sz w:val="20"/>
                <w:szCs w:val="20"/>
                <w:lang w:val="en-CA" w:eastAsia="en-CA"/>
              </w:rPr>
              <w:t>Stage II HPMP</w:t>
            </w:r>
          </w:p>
        </w:tc>
        <w:tc>
          <w:tcPr>
            <w:tcW w:w="1148" w:type="dxa"/>
            <w:tcBorders>
              <w:top w:val="nil"/>
              <w:left w:val="nil"/>
              <w:bottom w:val="single" w:sz="4" w:space="0" w:color="auto"/>
              <w:right w:val="single" w:sz="4" w:space="0" w:color="auto"/>
            </w:tcBorders>
            <w:shd w:val="clear" w:color="auto" w:fill="auto"/>
            <w:hideMark/>
          </w:tcPr>
          <w:p w14:paraId="0BDBFC4C" w14:textId="77777777" w:rsidR="006C28DF" w:rsidRPr="006C28DF" w:rsidRDefault="006C28DF" w:rsidP="006C28DF">
            <w:pPr>
              <w:jc w:val="right"/>
              <w:rPr>
                <w:sz w:val="20"/>
                <w:szCs w:val="20"/>
                <w:lang w:val="en-CA" w:eastAsia="en-CA"/>
              </w:rPr>
            </w:pPr>
            <w:r w:rsidRPr="006C28DF">
              <w:rPr>
                <w:sz w:val="20"/>
                <w:szCs w:val="20"/>
                <w:lang w:val="en-CA" w:eastAsia="en-CA"/>
              </w:rPr>
              <w:t>214</w:t>
            </w:r>
          </w:p>
        </w:tc>
        <w:tc>
          <w:tcPr>
            <w:tcW w:w="976" w:type="dxa"/>
            <w:tcBorders>
              <w:top w:val="nil"/>
              <w:left w:val="nil"/>
              <w:bottom w:val="single" w:sz="4" w:space="0" w:color="auto"/>
              <w:right w:val="single" w:sz="4" w:space="0" w:color="auto"/>
            </w:tcBorders>
            <w:shd w:val="clear" w:color="auto" w:fill="auto"/>
            <w:hideMark/>
          </w:tcPr>
          <w:p w14:paraId="116A9ED1" w14:textId="77777777" w:rsidR="006C28DF" w:rsidRPr="006C28DF" w:rsidRDefault="006C28DF" w:rsidP="006C28DF">
            <w:pPr>
              <w:jc w:val="right"/>
              <w:rPr>
                <w:sz w:val="20"/>
                <w:szCs w:val="20"/>
                <w:lang w:val="en-CA" w:eastAsia="en-CA"/>
              </w:rPr>
            </w:pPr>
            <w:r w:rsidRPr="006C28DF">
              <w:rPr>
                <w:sz w:val="20"/>
                <w:szCs w:val="20"/>
                <w:lang w:val="en-CA" w:eastAsia="en-CA"/>
              </w:rPr>
              <w:t>3.9</w:t>
            </w:r>
          </w:p>
        </w:tc>
      </w:tr>
      <w:tr w:rsidR="006C28DF" w:rsidRPr="006C28DF" w14:paraId="3C867F52"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4AB24361" w14:textId="77777777" w:rsidR="006C28DF" w:rsidRPr="006C28DF" w:rsidRDefault="006C28DF" w:rsidP="006C28DF">
            <w:pPr>
              <w:jc w:val="left"/>
              <w:rPr>
                <w:sz w:val="20"/>
                <w:szCs w:val="20"/>
                <w:lang w:val="en-CA" w:eastAsia="en-CA"/>
              </w:rPr>
            </w:pPr>
            <w:r w:rsidRPr="006C28DF">
              <w:rPr>
                <w:sz w:val="20"/>
                <w:szCs w:val="20"/>
                <w:lang w:val="en-CA" w:eastAsia="en-CA"/>
              </w:rPr>
              <w:t>Venezuela (Bolivarian Republic of)</w:t>
            </w:r>
          </w:p>
        </w:tc>
        <w:tc>
          <w:tcPr>
            <w:tcW w:w="980" w:type="dxa"/>
            <w:tcBorders>
              <w:top w:val="nil"/>
              <w:left w:val="nil"/>
              <w:bottom w:val="single" w:sz="4" w:space="0" w:color="auto"/>
              <w:right w:val="single" w:sz="4" w:space="0" w:color="auto"/>
            </w:tcBorders>
            <w:shd w:val="clear" w:color="auto" w:fill="auto"/>
            <w:hideMark/>
          </w:tcPr>
          <w:p w14:paraId="33CFBF79"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43F159A0" w14:textId="77777777" w:rsidR="006C28DF" w:rsidRPr="006C28DF" w:rsidRDefault="006C28DF" w:rsidP="006C28DF">
            <w:pPr>
              <w:jc w:val="center"/>
              <w:rPr>
                <w:sz w:val="20"/>
                <w:szCs w:val="20"/>
                <w:lang w:val="en-CA" w:eastAsia="en-CA"/>
              </w:rPr>
            </w:pPr>
            <w:r w:rsidRPr="006C28DF">
              <w:rPr>
                <w:sz w:val="20"/>
                <w:szCs w:val="20"/>
                <w:lang w:val="en-CA" w:eastAsia="en-CA"/>
              </w:rPr>
              <w:t>TAS</w:t>
            </w:r>
          </w:p>
        </w:tc>
        <w:tc>
          <w:tcPr>
            <w:tcW w:w="1027" w:type="dxa"/>
            <w:tcBorders>
              <w:top w:val="nil"/>
              <w:left w:val="nil"/>
              <w:bottom w:val="single" w:sz="4" w:space="0" w:color="auto"/>
              <w:right w:val="single" w:sz="4" w:space="0" w:color="auto"/>
            </w:tcBorders>
            <w:shd w:val="clear" w:color="auto" w:fill="auto"/>
            <w:hideMark/>
          </w:tcPr>
          <w:p w14:paraId="1D0832B5"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5E8E0C97" w14:textId="77777777" w:rsidR="006C28DF" w:rsidRPr="006C28DF" w:rsidRDefault="006C28DF" w:rsidP="006C28DF">
            <w:pPr>
              <w:jc w:val="left"/>
              <w:rPr>
                <w:sz w:val="20"/>
                <w:szCs w:val="20"/>
                <w:lang w:val="en-CA" w:eastAsia="en-CA"/>
              </w:rPr>
            </w:pPr>
            <w:r w:rsidRPr="006C28DF">
              <w:rPr>
                <w:sz w:val="20"/>
                <w:szCs w:val="20"/>
                <w:lang w:val="en-CA" w:eastAsia="en-CA"/>
              </w:rPr>
              <w:t>HPMP - Stage II</w:t>
            </w:r>
          </w:p>
        </w:tc>
        <w:tc>
          <w:tcPr>
            <w:tcW w:w="1148" w:type="dxa"/>
            <w:tcBorders>
              <w:top w:val="nil"/>
              <w:left w:val="nil"/>
              <w:bottom w:val="single" w:sz="4" w:space="0" w:color="auto"/>
              <w:right w:val="single" w:sz="4" w:space="0" w:color="auto"/>
            </w:tcBorders>
            <w:shd w:val="clear" w:color="auto" w:fill="auto"/>
            <w:hideMark/>
          </w:tcPr>
          <w:p w14:paraId="0A85D799" w14:textId="77777777" w:rsidR="006C28DF" w:rsidRPr="006C28DF" w:rsidRDefault="006C28DF" w:rsidP="006C28DF">
            <w:pPr>
              <w:jc w:val="right"/>
              <w:rPr>
                <w:sz w:val="20"/>
                <w:szCs w:val="20"/>
                <w:lang w:val="en-CA" w:eastAsia="en-CA"/>
              </w:rPr>
            </w:pPr>
            <w:r w:rsidRPr="006C28DF">
              <w:rPr>
                <w:sz w:val="20"/>
                <w:szCs w:val="20"/>
                <w:lang w:val="en-CA" w:eastAsia="en-CA"/>
              </w:rPr>
              <w:t>615</w:t>
            </w:r>
          </w:p>
        </w:tc>
        <w:tc>
          <w:tcPr>
            <w:tcW w:w="976" w:type="dxa"/>
            <w:tcBorders>
              <w:top w:val="nil"/>
              <w:left w:val="nil"/>
              <w:bottom w:val="single" w:sz="4" w:space="0" w:color="auto"/>
              <w:right w:val="single" w:sz="4" w:space="0" w:color="auto"/>
            </w:tcBorders>
            <w:shd w:val="clear" w:color="auto" w:fill="auto"/>
            <w:hideMark/>
          </w:tcPr>
          <w:p w14:paraId="4BACBAC9" w14:textId="77777777" w:rsidR="006C28DF" w:rsidRPr="006C28DF" w:rsidRDefault="006C28DF" w:rsidP="006C28DF">
            <w:pPr>
              <w:jc w:val="right"/>
              <w:rPr>
                <w:sz w:val="20"/>
                <w:szCs w:val="20"/>
                <w:lang w:val="en-CA" w:eastAsia="en-CA"/>
              </w:rPr>
            </w:pPr>
            <w:r w:rsidRPr="006C28DF">
              <w:rPr>
                <w:sz w:val="20"/>
                <w:szCs w:val="20"/>
                <w:lang w:val="en-CA" w:eastAsia="en-CA"/>
              </w:rPr>
              <w:t>11.2</w:t>
            </w:r>
          </w:p>
        </w:tc>
      </w:tr>
      <w:tr w:rsidR="006C28DF" w:rsidRPr="006C28DF" w14:paraId="466B7BEB"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ECF3F83" w14:textId="77777777" w:rsidR="006C28DF" w:rsidRPr="006C28DF" w:rsidRDefault="006C28DF" w:rsidP="006C28DF">
            <w:pPr>
              <w:jc w:val="left"/>
              <w:rPr>
                <w:sz w:val="20"/>
                <w:szCs w:val="20"/>
                <w:lang w:val="en-CA" w:eastAsia="en-CA"/>
              </w:rPr>
            </w:pPr>
            <w:r w:rsidRPr="006C28DF">
              <w:rPr>
                <w:sz w:val="20"/>
                <w:szCs w:val="20"/>
                <w:lang w:val="en-CA" w:eastAsia="en-CA"/>
              </w:rPr>
              <w:t>Venezuela (Bolivarian Republic of)</w:t>
            </w:r>
          </w:p>
        </w:tc>
        <w:tc>
          <w:tcPr>
            <w:tcW w:w="980" w:type="dxa"/>
            <w:tcBorders>
              <w:top w:val="nil"/>
              <w:left w:val="nil"/>
              <w:bottom w:val="single" w:sz="4" w:space="0" w:color="auto"/>
              <w:right w:val="single" w:sz="4" w:space="0" w:color="auto"/>
            </w:tcBorders>
            <w:shd w:val="clear" w:color="auto" w:fill="auto"/>
            <w:hideMark/>
          </w:tcPr>
          <w:p w14:paraId="3FC44C72" w14:textId="77777777" w:rsidR="006C28DF" w:rsidRPr="006C28DF" w:rsidRDefault="006C28DF" w:rsidP="006C28DF">
            <w:pPr>
              <w:jc w:val="center"/>
              <w:rPr>
                <w:sz w:val="20"/>
                <w:szCs w:val="20"/>
                <w:lang w:val="en-CA" w:eastAsia="en-CA"/>
              </w:rPr>
            </w:pPr>
            <w:r w:rsidRPr="006C28DF">
              <w:rPr>
                <w:sz w:val="20"/>
                <w:szCs w:val="20"/>
                <w:lang w:val="en-CA" w:eastAsia="en-CA"/>
              </w:rPr>
              <w:t>UNDP</w:t>
            </w:r>
          </w:p>
        </w:tc>
        <w:tc>
          <w:tcPr>
            <w:tcW w:w="721" w:type="dxa"/>
            <w:tcBorders>
              <w:top w:val="nil"/>
              <w:left w:val="nil"/>
              <w:bottom w:val="single" w:sz="4" w:space="0" w:color="auto"/>
              <w:right w:val="single" w:sz="4" w:space="0" w:color="auto"/>
            </w:tcBorders>
            <w:shd w:val="clear" w:color="auto" w:fill="auto"/>
            <w:hideMark/>
          </w:tcPr>
          <w:p w14:paraId="68B592AB"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18C8A17C"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63E7D315"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4F99BFF1" w14:textId="77777777" w:rsidR="006C28DF" w:rsidRPr="006C28DF" w:rsidRDefault="006C28DF" w:rsidP="006C28DF">
            <w:pPr>
              <w:jc w:val="right"/>
              <w:rPr>
                <w:sz w:val="20"/>
                <w:szCs w:val="20"/>
                <w:lang w:val="en-CA" w:eastAsia="en-CA"/>
              </w:rPr>
            </w:pPr>
            <w:r w:rsidRPr="006C28DF">
              <w:rPr>
                <w:sz w:val="20"/>
                <w:szCs w:val="20"/>
                <w:lang w:val="en-CA" w:eastAsia="en-CA"/>
              </w:rPr>
              <w:t>391</w:t>
            </w:r>
          </w:p>
        </w:tc>
        <w:tc>
          <w:tcPr>
            <w:tcW w:w="976" w:type="dxa"/>
            <w:tcBorders>
              <w:top w:val="nil"/>
              <w:left w:val="nil"/>
              <w:bottom w:val="single" w:sz="4" w:space="0" w:color="auto"/>
              <w:right w:val="single" w:sz="4" w:space="0" w:color="auto"/>
            </w:tcBorders>
            <w:shd w:val="clear" w:color="auto" w:fill="auto"/>
            <w:hideMark/>
          </w:tcPr>
          <w:p w14:paraId="58656F4B" w14:textId="77777777" w:rsidR="006C28DF" w:rsidRPr="006C28DF" w:rsidRDefault="006C28DF" w:rsidP="006C28DF">
            <w:pPr>
              <w:jc w:val="right"/>
              <w:rPr>
                <w:sz w:val="20"/>
                <w:szCs w:val="20"/>
                <w:lang w:val="en-CA" w:eastAsia="en-CA"/>
              </w:rPr>
            </w:pPr>
            <w:r w:rsidRPr="006C28DF">
              <w:rPr>
                <w:sz w:val="20"/>
                <w:szCs w:val="20"/>
                <w:lang w:val="en-CA" w:eastAsia="en-CA"/>
              </w:rPr>
              <w:t>0.0</w:t>
            </w:r>
          </w:p>
        </w:tc>
      </w:tr>
      <w:tr w:rsidR="006C28DF" w:rsidRPr="006C28DF" w14:paraId="0B219005"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47DC0E3" w14:textId="77777777" w:rsidR="006C28DF" w:rsidRPr="006C28DF" w:rsidRDefault="006C28DF" w:rsidP="006C28DF">
            <w:pPr>
              <w:jc w:val="left"/>
              <w:rPr>
                <w:sz w:val="20"/>
                <w:szCs w:val="20"/>
                <w:lang w:val="en-CA" w:eastAsia="en-CA"/>
              </w:rPr>
            </w:pPr>
            <w:r w:rsidRPr="006C28DF">
              <w:rPr>
                <w:sz w:val="20"/>
                <w:szCs w:val="20"/>
                <w:lang w:val="en-CA" w:eastAsia="en-CA"/>
              </w:rPr>
              <w:t>Vietnam</w:t>
            </w:r>
          </w:p>
        </w:tc>
        <w:tc>
          <w:tcPr>
            <w:tcW w:w="980" w:type="dxa"/>
            <w:tcBorders>
              <w:top w:val="nil"/>
              <w:left w:val="nil"/>
              <w:bottom w:val="single" w:sz="4" w:space="0" w:color="auto"/>
              <w:right w:val="single" w:sz="4" w:space="0" w:color="auto"/>
            </w:tcBorders>
            <w:shd w:val="clear" w:color="auto" w:fill="auto"/>
            <w:hideMark/>
          </w:tcPr>
          <w:p w14:paraId="075D8821" w14:textId="77777777" w:rsidR="006C28DF" w:rsidRPr="006C28DF" w:rsidRDefault="006C28DF" w:rsidP="006C28DF">
            <w:pPr>
              <w:jc w:val="center"/>
              <w:rPr>
                <w:sz w:val="20"/>
                <w:szCs w:val="20"/>
                <w:lang w:val="en-CA" w:eastAsia="en-CA"/>
              </w:rPr>
            </w:pPr>
            <w:r w:rsidRPr="006C28DF">
              <w:rPr>
                <w:sz w:val="20"/>
                <w:szCs w:val="20"/>
                <w:lang w:val="en-CA" w:eastAsia="en-CA"/>
              </w:rPr>
              <w:t>IBRD</w:t>
            </w:r>
          </w:p>
        </w:tc>
        <w:tc>
          <w:tcPr>
            <w:tcW w:w="721" w:type="dxa"/>
            <w:tcBorders>
              <w:top w:val="nil"/>
              <w:left w:val="nil"/>
              <w:bottom w:val="single" w:sz="4" w:space="0" w:color="auto"/>
              <w:right w:val="single" w:sz="4" w:space="0" w:color="auto"/>
            </w:tcBorders>
            <w:shd w:val="clear" w:color="auto" w:fill="auto"/>
            <w:hideMark/>
          </w:tcPr>
          <w:p w14:paraId="2A3C0E4A"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5CFCFE7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0BB871A" w14:textId="4C075303" w:rsidR="006C28DF" w:rsidRPr="006C28DF" w:rsidRDefault="006C28DF" w:rsidP="006C28DF">
            <w:pPr>
              <w:jc w:val="left"/>
              <w:rPr>
                <w:sz w:val="20"/>
                <w:szCs w:val="20"/>
                <w:lang w:val="en-CA" w:eastAsia="en-CA"/>
              </w:rPr>
            </w:pPr>
            <w:r w:rsidRPr="006C28DF">
              <w:rPr>
                <w:sz w:val="20"/>
                <w:szCs w:val="20"/>
                <w:lang w:val="en-CA" w:eastAsia="en-CA"/>
              </w:rPr>
              <w:t>FOA - Rigid PU foam &amp; REF- (Air conditioning/</w:t>
            </w:r>
            <w:r w:rsidR="00BE08A4" w:rsidRPr="006C28DF">
              <w:rPr>
                <w:sz w:val="20"/>
                <w:szCs w:val="20"/>
                <w:lang w:val="en-CA" w:eastAsia="en-CA"/>
              </w:rPr>
              <w:t>Commercial</w:t>
            </w:r>
            <w:r w:rsidRPr="006C28DF">
              <w:rPr>
                <w:sz w:val="20"/>
                <w:szCs w:val="20"/>
                <w:lang w:val="en-CA" w:eastAsia="en-CA"/>
              </w:rPr>
              <w:t xml:space="preserve"> ref/Servicing) (Stage II)</w:t>
            </w:r>
          </w:p>
        </w:tc>
        <w:tc>
          <w:tcPr>
            <w:tcW w:w="1148" w:type="dxa"/>
            <w:tcBorders>
              <w:top w:val="nil"/>
              <w:left w:val="nil"/>
              <w:bottom w:val="single" w:sz="4" w:space="0" w:color="auto"/>
              <w:right w:val="single" w:sz="4" w:space="0" w:color="auto"/>
            </w:tcBorders>
            <w:shd w:val="clear" w:color="auto" w:fill="auto"/>
            <w:hideMark/>
          </w:tcPr>
          <w:p w14:paraId="653AE927" w14:textId="77777777" w:rsidR="006C28DF" w:rsidRPr="006C28DF" w:rsidRDefault="006C28DF" w:rsidP="006C28DF">
            <w:pPr>
              <w:jc w:val="right"/>
              <w:rPr>
                <w:sz w:val="20"/>
                <w:szCs w:val="20"/>
                <w:lang w:val="en-CA" w:eastAsia="en-CA"/>
              </w:rPr>
            </w:pPr>
            <w:r w:rsidRPr="006C28DF">
              <w:rPr>
                <w:sz w:val="20"/>
                <w:szCs w:val="20"/>
                <w:lang w:val="en-CA" w:eastAsia="en-CA"/>
              </w:rPr>
              <w:t>2,332</w:t>
            </w:r>
          </w:p>
        </w:tc>
        <w:tc>
          <w:tcPr>
            <w:tcW w:w="976" w:type="dxa"/>
            <w:tcBorders>
              <w:top w:val="nil"/>
              <w:left w:val="nil"/>
              <w:bottom w:val="single" w:sz="4" w:space="0" w:color="auto"/>
              <w:right w:val="single" w:sz="4" w:space="0" w:color="auto"/>
            </w:tcBorders>
            <w:shd w:val="clear" w:color="auto" w:fill="auto"/>
            <w:hideMark/>
          </w:tcPr>
          <w:p w14:paraId="200F6EFC" w14:textId="77777777" w:rsidR="006C28DF" w:rsidRPr="006C28DF" w:rsidRDefault="006C28DF" w:rsidP="006C28DF">
            <w:pPr>
              <w:jc w:val="right"/>
              <w:rPr>
                <w:sz w:val="20"/>
                <w:szCs w:val="20"/>
                <w:lang w:val="en-CA" w:eastAsia="en-CA"/>
              </w:rPr>
            </w:pPr>
            <w:r w:rsidRPr="006C28DF">
              <w:rPr>
                <w:sz w:val="20"/>
                <w:szCs w:val="20"/>
                <w:lang w:val="en-CA" w:eastAsia="en-CA"/>
              </w:rPr>
              <w:t>19.4</w:t>
            </w:r>
          </w:p>
        </w:tc>
      </w:tr>
      <w:tr w:rsidR="006C28DF" w:rsidRPr="006C28DF" w14:paraId="22E102AD"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219EB475" w14:textId="77777777" w:rsidR="006C28DF" w:rsidRPr="006C28DF" w:rsidRDefault="006C28DF" w:rsidP="006C28DF">
            <w:pPr>
              <w:jc w:val="left"/>
              <w:rPr>
                <w:sz w:val="20"/>
                <w:szCs w:val="20"/>
                <w:lang w:val="en-CA" w:eastAsia="en-CA"/>
              </w:rPr>
            </w:pPr>
            <w:r w:rsidRPr="006C28DF">
              <w:rPr>
                <w:sz w:val="20"/>
                <w:szCs w:val="20"/>
                <w:lang w:val="en-CA" w:eastAsia="en-CA"/>
              </w:rPr>
              <w:t>Vietnam</w:t>
            </w:r>
          </w:p>
        </w:tc>
        <w:tc>
          <w:tcPr>
            <w:tcW w:w="980" w:type="dxa"/>
            <w:tcBorders>
              <w:top w:val="nil"/>
              <w:left w:val="nil"/>
              <w:bottom w:val="single" w:sz="4" w:space="0" w:color="auto"/>
              <w:right w:val="single" w:sz="4" w:space="0" w:color="auto"/>
            </w:tcBorders>
            <w:shd w:val="clear" w:color="auto" w:fill="auto"/>
            <w:hideMark/>
          </w:tcPr>
          <w:p w14:paraId="607DBF86" w14:textId="77777777" w:rsidR="006C28DF" w:rsidRPr="006C28DF" w:rsidRDefault="006C28DF" w:rsidP="006C28DF">
            <w:pPr>
              <w:jc w:val="center"/>
              <w:rPr>
                <w:sz w:val="20"/>
                <w:szCs w:val="20"/>
                <w:lang w:val="en-CA" w:eastAsia="en-CA"/>
              </w:rPr>
            </w:pPr>
            <w:r w:rsidRPr="006C28DF">
              <w:rPr>
                <w:sz w:val="20"/>
                <w:szCs w:val="20"/>
                <w:lang w:val="en-CA" w:eastAsia="en-CA"/>
              </w:rPr>
              <w:t>Japan</w:t>
            </w:r>
          </w:p>
        </w:tc>
        <w:tc>
          <w:tcPr>
            <w:tcW w:w="721" w:type="dxa"/>
            <w:tcBorders>
              <w:top w:val="nil"/>
              <w:left w:val="nil"/>
              <w:bottom w:val="single" w:sz="4" w:space="0" w:color="auto"/>
              <w:right w:val="single" w:sz="4" w:space="0" w:color="auto"/>
            </w:tcBorders>
            <w:shd w:val="clear" w:color="auto" w:fill="auto"/>
            <w:hideMark/>
          </w:tcPr>
          <w:p w14:paraId="53295B69"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74A49BEA"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69FE58DD" w14:textId="77777777" w:rsidR="006C28DF" w:rsidRPr="006C28DF" w:rsidRDefault="006C28DF" w:rsidP="006C28DF">
            <w:pPr>
              <w:jc w:val="left"/>
              <w:rPr>
                <w:sz w:val="20"/>
                <w:szCs w:val="20"/>
                <w:lang w:val="en-CA" w:eastAsia="en-CA"/>
              </w:rPr>
            </w:pPr>
            <w:r w:rsidRPr="006C28DF">
              <w:rPr>
                <w:sz w:val="20"/>
                <w:szCs w:val="20"/>
                <w:lang w:val="en-CA" w:eastAsia="en-CA"/>
              </w:rPr>
              <w:t>HPMP Stage II</w:t>
            </w:r>
          </w:p>
        </w:tc>
        <w:tc>
          <w:tcPr>
            <w:tcW w:w="1148" w:type="dxa"/>
            <w:tcBorders>
              <w:top w:val="nil"/>
              <w:left w:val="nil"/>
              <w:bottom w:val="single" w:sz="4" w:space="0" w:color="auto"/>
              <w:right w:val="single" w:sz="4" w:space="0" w:color="auto"/>
            </w:tcBorders>
            <w:shd w:val="clear" w:color="auto" w:fill="auto"/>
            <w:hideMark/>
          </w:tcPr>
          <w:p w14:paraId="5DA41609" w14:textId="77777777" w:rsidR="006C28DF" w:rsidRPr="006C28DF" w:rsidRDefault="006C28DF" w:rsidP="006C28DF">
            <w:pPr>
              <w:jc w:val="right"/>
              <w:rPr>
                <w:sz w:val="20"/>
                <w:szCs w:val="20"/>
                <w:lang w:val="en-CA" w:eastAsia="en-CA"/>
              </w:rPr>
            </w:pPr>
            <w:r w:rsidRPr="006C28DF">
              <w:rPr>
                <w:sz w:val="20"/>
                <w:szCs w:val="20"/>
                <w:lang w:val="en-CA" w:eastAsia="en-CA"/>
              </w:rPr>
              <w:t>185</w:t>
            </w:r>
          </w:p>
        </w:tc>
        <w:tc>
          <w:tcPr>
            <w:tcW w:w="976" w:type="dxa"/>
            <w:tcBorders>
              <w:top w:val="nil"/>
              <w:left w:val="nil"/>
              <w:bottom w:val="single" w:sz="4" w:space="0" w:color="auto"/>
              <w:right w:val="single" w:sz="4" w:space="0" w:color="auto"/>
            </w:tcBorders>
            <w:shd w:val="clear" w:color="auto" w:fill="auto"/>
            <w:hideMark/>
          </w:tcPr>
          <w:p w14:paraId="7AEE4BDB" w14:textId="77777777" w:rsidR="006C28DF" w:rsidRPr="006C28DF" w:rsidRDefault="006C28DF" w:rsidP="006C28DF">
            <w:pPr>
              <w:jc w:val="right"/>
              <w:rPr>
                <w:sz w:val="20"/>
                <w:szCs w:val="20"/>
                <w:lang w:val="en-CA" w:eastAsia="en-CA"/>
              </w:rPr>
            </w:pPr>
            <w:r w:rsidRPr="006C28DF">
              <w:rPr>
                <w:sz w:val="20"/>
                <w:szCs w:val="20"/>
                <w:lang w:val="en-CA" w:eastAsia="en-CA"/>
              </w:rPr>
              <w:t>1.5</w:t>
            </w:r>
          </w:p>
        </w:tc>
      </w:tr>
      <w:tr w:rsidR="006C28DF" w:rsidRPr="006C28DF" w14:paraId="1B5CC212" w14:textId="77777777" w:rsidTr="002C3CFF">
        <w:trPr>
          <w:trHeight w:val="612"/>
        </w:trPr>
        <w:tc>
          <w:tcPr>
            <w:tcW w:w="2269" w:type="dxa"/>
            <w:tcBorders>
              <w:top w:val="nil"/>
              <w:left w:val="single" w:sz="4" w:space="0" w:color="auto"/>
              <w:bottom w:val="single" w:sz="4" w:space="0" w:color="auto"/>
              <w:right w:val="single" w:sz="4" w:space="0" w:color="auto"/>
            </w:tcBorders>
            <w:shd w:val="clear" w:color="auto" w:fill="auto"/>
            <w:hideMark/>
          </w:tcPr>
          <w:p w14:paraId="2D3072E7" w14:textId="77777777" w:rsidR="006C28DF" w:rsidRPr="006C28DF" w:rsidRDefault="006C28DF" w:rsidP="006C28DF">
            <w:pPr>
              <w:jc w:val="left"/>
              <w:rPr>
                <w:sz w:val="20"/>
                <w:szCs w:val="20"/>
                <w:lang w:val="en-CA" w:eastAsia="en-CA"/>
              </w:rPr>
            </w:pPr>
            <w:r w:rsidRPr="006C28DF">
              <w:rPr>
                <w:sz w:val="20"/>
                <w:szCs w:val="20"/>
                <w:lang w:val="en-CA" w:eastAsia="en-CA"/>
              </w:rPr>
              <w:t>Vietnam</w:t>
            </w:r>
          </w:p>
        </w:tc>
        <w:tc>
          <w:tcPr>
            <w:tcW w:w="980" w:type="dxa"/>
            <w:tcBorders>
              <w:top w:val="nil"/>
              <w:left w:val="nil"/>
              <w:bottom w:val="single" w:sz="4" w:space="0" w:color="auto"/>
              <w:right w:val="single" w:sz="4" w:space="0" w:color="auto"/>
            </w:tcBorders>
            <w:shd w:val="clear" w:color="auto" w:fill="auto"/>
            <w:hideMark/>
          </w:tcPr>
          <w:p w14:paraId="36B4C968" w14:textId="77777777" w:rsidR="006C28DF" w:rsidRPr="006C28DF" w:rsidRDefault="006C28DF" w:rsidP="006C28DF">
            <w:pPr>
              <w:jc w:val="center"/>
              <w:rPr>
                <w:sz w:val="20"/>
                <w:szCs w:val="20"/>
                <w:lang w:val="en-CA" w:eastAsia="en-CA"/>
              </w:rPr>
            </w:pPr>
            <w:r w:rsidRPr="006C28DF">
              <w:rPr>
                <w:sz w:val="20"/>
                <w:szCs w:val="20"/>
                <w:lang w:val="en-CA" w:eastAsia="en-CA"/>
              </w:rPr>
              <w:t>UNIDO</w:t>
            </w:r>
          </w:p>
        </w:tc>
        <w:tc>
          <w:tcPr>
            <w:tcW w:w="721" w:type="dxa"/>
            <w:tcBorders>
              <w:top w:val="nil"/>
              <w:left w:val="nil"/>
              <w:bottom w:val="single" w:sz="4" w:space="0" w:color="auto"/>
              <w:right w:val="single" w:sz="4" w:space="0" w:color="auto"/>
            </w:tcBorders>
            <w:shd w:val="clear" w:color="auto" w:fill="auto"/>
            <w:hideMark/>
          </w:tcPr>
          <w:p w14:paraId="509F6B2E" w14:textId="77777777" w:rsidR="006C28DF" w:rsidRPr="006C28DF" w:rsidRDefault="006C28DF" w:rsidP="006C28DF">
            <w:pPr>
              <w:jc w:val="center"/>
              <w:rPr>
                <w:sz w:val="20"/>
                <w:szCs w:val="20"/>
                <w:lang w:val="en-CA" w:eastAsia="en-CA"/>
              </w:rPr>
            </w:pPr>
            <w:r w:rsidRPr="006C28DF">
              <w:rPr>
                <w:sz w:val="20"/>
                <w:szCs w:val="20"/>
                <w:lang w:val="en-CA" w:eastAsia="en-CA"/>
              </w:rPr>
              <w:t>INV</w:t>
            </w:r>
          </w:p>
        </w:tc>
        <w:tc>
          <w:tcPr>
            <w:tcW w:w="1027" w:type="dxa"/>
            <w:tcBorders>
              <w:top w:val="nil"/>
              <w:left w:val="nil"/>
              <w:bottom w:val="single" w:sz="4" w:space="0" w:color="auto"/>
              <w:right w:val="single" w:sz="4" w:space="0" w:color="auto"/>
            </w:tcBorders>
            <w:shd w:val="clear" w:color="auto" w:fill="auto"/>
            <w:hideMark/>
          </w:tcPr>
          <w:p w14:paraId="0EDF99BB" w14:textId="77777777" w:rsidR="006C28DF" w:rsidRPr="006C28DF" w:rsidRDefault="006C28DF" w:rsidP="006C28DF">
            <w:pPr>
              <w:jc w:val="center"/>
              <w:rPr>
                <w:sz w:val="20"/>
                <w:szCs w:val="20"/>
                <w:lang w:val="en-CA" w:eastAsia="en-CA"/>
              </w:rPr>
            </w:pPr>
            <w:r w:rsidRPr="006C28DF">
              <w:rPr>
                <w:sz w:val="20"/>
                <w:szCs w:val="20"/>
                <w:lang w:val="en-CA" w:eastAsia="en-CA"/>
              </w:rPr>
              <w:t>HFC</w:t>
            </w:r>
          </w:p>
        </w:tc>
        <w:tc>
          <w:tcPr>
            <w:tcW w:w="3779" w:type="dxa"/>
            <w:tcBorders>
              <w:top w:val="nil"/>
              <w:left w:val="nil"/>
              <w:bottom w:val="single" w:sz="4" w:space="0" w:color="auto"/>
              <w:right w:val="single" w:sz="4" w:space="0" w:color="auto"/>
            </w:tcBorders>
            <w:shd w:val="clear" w:color="auto" w:fill="auto"/>
            <w:hideMark/>
          </w:tcPr>
          <w:p w14:paraId="3319627E" w14:textId="77777777" w:rsidR="006C28DF" w:rsidRPr="006C28DF" w:rsidRDefault="006C28DF" w:rsidP="006C28DF">
            <w:pPr>
              <w:jc w:val="left"/>
              <w:rPr>
                <w:sz w:val="20"/>
                <w:szCs w:val="20"/>
                <w:lang w:val="en-CA" w:eastAsia="en-CA"/>
              </w:rPr>
            </w:pPr>
            <w:r w:rsidRPr="006C28DF">
              <w:rPr>
                <w:sz w:val="20"/>
                <w:szCs w:val="20"/>
                <w:lang w:val="en-CA" w:eastAsia="en-CA"/>
              </w:rPr>
              <w:t>HFC-related projects in the manufacturing sector at Nagakawa Vietnam Company to gain experience in ICCs and IOCs associated with the phase-down of HFCs</w:t>
            </w:r>
          </w:p>
        </w:tc>
        <w:tc>
          <w:tcPr>
            <w:tcW w:w="1148" w:type="dxa"/>
            <w:tcBorders>
              <w:top w:val="nil"/>
              <w:left w:val="nil"/>
              <w:bottom w:val="single" w:sz="4" w:space="0" w:color="auto"/>
              <w:right w:val="single" w:sz="4" w:space="0" w:color="auto"/>
            </w:tcBorders>
            <w:shd w:val="clear" w:color="auto" w:fill="auto"/>
            <w:hideMark/>
          </w:tcPr>
          <w:p w14:paraId="6FE44128" w14:textId="77777777" w:rsidR="006C28DF" w:rsidRPr="006C28DF" w:rsidRDefault="006C28DF" w:rsidP="006C28DF">
            <w:pPr>
              <w:jc w:val="right"/>
              <w:rPr>
                <w:sz w:val="20"/>
                <w:szCs w:val="20"/>
                <w:lang w:val="en-CA" w:eastAsia="en-CA"/>
              </w:rPr>
            </w:pPr>
            <w:r w:rsidRPr="006C28DF">
              <w:rPr>
                <w:sz w:val="20"/>
                <w:szCs w:val="20"/>
                <w:lang w:val="en-CA" w:eastAsia="en-CA"/>
              </w:rPr>
              <w:t>3</w:t>
            </w:r>
          </w:p>
        </w:tc>
        <w:tc>
          <w:tcPr>
            <w:tcW w:w="976" w:type="dxa"/>
            <w:tcBorders>
              <w:top w:val="nil"/>
              <w:left w:val="nil"/>
              <w:bottom w:val="single" w:sz="4" w:space="0" w:color="auto"/>
              <w:right w:val="single" w:sz="4" w:space="0" w:color="auto"/>
            </w:tcBorders>
            <w:shd w:val="clear" w:color="auto" w:fill="auto"/>
            <w:hideMark/>
          </w:tcPr>
          <w:p w14:paraId="22A47D04"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5835D32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508DE82E" w14:textId="77777777" w:rsidR="006C28DF" w:rsidRPr="006C28DF" w:rsidRDefault="006C28DF" w:rsidP="006C28DF">
            <w:pPr>
              <w:jc w:val="left"/>
              <w:rPr>
                <w:sz w:val="20"/>
                <w:szCs w:val="20"/>
                <w:lang w:val="en-CA" w:eastAsia="en-CA"/>
              </w:rPr>
            </w:pPr>
            <w:r w:rsidRPr="006C28DF">
              <w:rPr>
                <w:sz w:val="20"/>
                <w:szCs w:val="20"/>
                <w:lang w:val="en-CA" w:eastAsia="en-CA"/>
              </w:rPr>
              <w:t>Vietnam</w:t>
            </w:r>
          </w:p>
        </w:tc>
        <w:tc>
          <w:tcPr>
            <w:tcW w:w="980" w:type="dxa"/>
            <w:tcBorders>
              <w:top w:val="nil"/>
              <w:left w:val="nil"/>
              <w:bottom w:val="single" w:sz="4" w:space="0" w:color="auto"/>
              <w:right w:val="single" w:sz="4" w:space="0" w:color="auto"/>
            </w:tcBorders>
            <w:shd w:val="clear" w:color="auto" w:fill="auto"/>
            <w:hideMark/>
          </w:tcPr>
          <w:p w14:paraId="6F111D07"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E937A18"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7ABFE1ED"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2E4B4100"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1809793D" w14:textId="77777777" w:rsidR="006C28DF" w:rsidRPr="006C28DF" w:rsidRDefault="006C28DF" w:rsidP="006C28DF">
            <w:pPr>
              <w:jc w:val="right"/>
              <w:rPr>
                <w:sz w:val="20"/>
                <w:szCs w:val="20"/>
                <w:lang w:val="en-CA" w:eastAsia="en-CA"/>
              </w:rPr>
            </w:pPr>
            <w:r w:rsidRPr="006C28DF">
              <w:rPr>
                <w:sz w:val="20"/>
                <w:szCs w:val="20"/>
                <w:lang w:val="en-CA" w:eastAsia="en-CA"/>
              </w:rPr>
              <w:t>152</w:t>
            </w:r>
          </w:p>
        </w:tc>
        <w:tc>
          <w:tcPr>
            <w:tcW w:w="976" w:type="dxa"/>
            <w:tcBorders>
              <w:top w:val="nil"/>
              <w:left w:val="nil"/>
              <w:bottom w:val="single" w:sz="4" w:space="0" w:color="auto"/>
              <w:right w:val="single" w:sz="4" w:space="0" w:color="auto"/>
            </w:tcBorders>
            <w:shd w:val="clear" w:color="auto" w:fill="auto"/>
            <w:hideMark/>
          </w:tcPr>
          <w:p w14:paraId="3E7CE3A4"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5EB28E7E" w14:textId="77777777" w:rsidTr="002C3CFF">
        <w:trPr>
          <w:trHeight w:val="408"/>
        </w:trPr>
        <w:tc>
          <w:tcPr>
            <w:tcW w:w="2269" w:type="dxa"/>
            <w:tcBorders>
              <w:top w:val="nil"/>
              <w:left w:val="single" w:sz="4" w:space="0" w:color="auto"/>
              <w:bottom w:val="single" w:sz="4" w:space="0" w:color="auto"/>
              <w:right w:val="single" w:sz="4" w:space="0" w:color="auto"/>
            </w:tcBorders>
            <w:shd w:val="clear" w:color="auto" w:fill="auto"/>
            <w:hideMark/>
          </w:tcPr>
          <w:p w14:paraId="23F38C4A" w14:textId="77777777" w:rsidR="006C28DF" w:rsidRPr="006C28DF" w:rsidRDefault="006C28DF" w:rsidP="006C28DF">
            <w:pPr>
              <w:jc w:val="left"/>
              <w:rPr>
                <w:sz w:val="20"/>
                <w:szCs w:val="20"/>
                <w:lang w:val="en-CA" w:eastAsia="en-CA"/>
              </w:rPr>
            </w:pPr>
            <w:r w:rsidRPr="006C28DF">
              <w:rPr>
                <w:sz w:val="20"/>
                <w:szCs w:val="20"/>
                <w:lang w:val="en-CA" w:eastAsia="en-CA"/>
              </w:rPr>
              <w:t>Yemen</w:t>
            </w:r>
          </w:p>
        </w:tc>
        <w:tc>
          <w:tcPr>
            <w:tcW w:w="980" w:type="dxa"/>
            <w:tcBorders>
              <w:top w:val="nil"/>
              <w:left w:val="nil"/>
              <w:bottom w:val="single" w:sz="4" w:space="0" w:color="auto"/>
              <w:right w:val="single" w:sz="4" w:space="0" w:color="auto"/>
            </w:tcBorders>
            <w:shd w:val="clear" w:color="auto" w:fill="auto"/>
            <w:hideMark/>
          </w:tcPr>
          <w:p w14:paraId="5159C108"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7B4F3B0D" w14:textId="77777777" w:rsidR="006C28DF" w:rsidRPr="006C28DF" w:rsidRDefault="006C28DF" w:rsidP="006C28DF">
            <w:pPr>
              <w:jc w:val="center"/>
              <w:rPr>
                <w:sz w:val="20"/>
                <w:szCs w:val="20"/>
                <w:lang w:val="en-CA" w:eastAsia="en-CA"/>
              </w:rPr>
            </w:pPr>
            <w:r w:rsidRPr="006C28DF">
              <w:rPr>
                <w:sz w:val="20"/>
                <w:szCs w:val="20"/>
                <w:lang w:val="en-CA" w:eastAsia="en-CA"/>
              </w:rPr>
              <w:t>PHA</w:t>
            </w:r>
          </w:p>
        </w:tc>
        <w:tc>
          <w:tcPr>
            <w:tcW w:w="1027" w:type="dxa"/>
            <w:tcBorders>
              <w:top w:val="nil"/>
              <w:left w:val="nil"/>
              <w:bottom w:val="single" w:sz="4" w:space="0" w:color="auto"/>
              <w:right w:val="single" w:sz="4" w:space="0" w:color="auto"/>
            </w:tcBorders>
            <w:shd w:val="clear" w:color="auto" w:fill="auto"/>
            <w:hideMark/>
          </w:tcPr>
          <w:p w14:paraId="29995830" w14:textId="77777777" w:rsidR="006C28DF" w:rsidRPr="006C28DF" w:rsidRDefault="006C28DF" w:rsidP="006C28DF">
            <w:pPr>
              <w:jc w:val="center"/>
              <w:rPr>
                <w:sz w:val="20"/>
                <w:szCs w:val="20"/>
                <w:lang w:val="en-CA" w:eastAsia="en-CA"/>
              </w:rPr>
            </w:pPr>
            <w:r w:rsidRPr="006C28DF">
              <w:rPr>
                <w:sz w:val="20"/>
                <w:szCs w:val="20"/>
                <w:lang w:val="en-CA" w:eastAsia="en-CA"/>
              </w:rPr>
              <w:t>HCFC</w:t>
            </w:r>
          </w:p>
        </w:tc>
        <w:tc>
          <w:tcPr>
            <w:tcW w:w="3779" w:type="dxa"/>
            <w:tcBorders>
              <w:top w:val="nil"/>
              <w:left w:val="nil"/>
              <w:bottom w:val="single" w:sz="4" w:space="0" w:color="auto"/>
              <w:right w:val="single" w:sz="4" w:space="0" w:color="auto"/>
            </w:tcBorders>
            <w:shd w:val="clear" w:color="auto" w:fill="auto"/>
            <w:hideMark/>
          </w:tcPr>
          <w:p w14:paraId="7AD8E3A7" w14:textId="77777777" w:rsidR="006C28DF" w:rsidRPr="006C28DF" w:rsidRDefault="006C28DF" w:rsidP="006C28DF">
            <w:pPr>
              <w:jc w:val="left"/>
              <w:rPr>
                <w:sz w:val="20"/>
                <w:szCs w:val="20"/>
                <w:lang w:val="en-CA" w:eastAsia="en-CA"/>
              </w:rPr>
            </w:pPr>
            <w:r w:rsidRPr="006C28DF">
              <w:rPr>
                <w:sz w:val="20"/>
                <w:szCs w:val="20"/>
                <w:lang w:val="en-CA" w:eastAsia="en-CA"/>
              </w:rPr>
              <w:t>HCFC Phase-out Management Plan (implementation) (Stage I)</w:t>
            </w:r>
          </w:p>
        </w:tc>
        <w:tc>
          <w:tcPr>
            <w:tcW w:w="1148" w:type="dxa"/>
            <w:tcBorders>
              <w:top w:val="nil"/>
              <w:left w:val="nil"/>
              <w:bottom w:val="single" w:sz="4" w:space="0" w:color="auto"/>
              <w:right w:val="single" w:sz="4" w:space="0" w:color="auto"/>
            </w:tcBorders>
            <w:shd w:val="clear" w:color="auto" w:fill="auto"/>
            <w:hideMark/>
          </w:tcPr>
          <w:p w14:paraId="6DA2830A" w14:textId="77777777" w:rsidR="006C28DF" w:rsidRPr="006C28DF" w:rsidRDefault="006C28DF" w:rsidP="006C28DF">
            <w:pPr>
              <w:jc w:val="right"/>
              <w:rPr>
                <w:sz w:val="20"/>
                <w:szCs w:val="20"/>
                <w:lang w:val="en-CA" w:eastAsia="en-CA"/>
              </w:rPr>
            </w:pPr>
            <w:r w:rsidRPr="006C28DF">
              <w:rPr>
                <w:sz w:val="20"/>
                <w:szCs w:val="20"/>
                <w:lang w:val="en-CA" w:eastAsia="en-CA"/>
              </w:rPr>
              <w:t>186</w:t>
            </w:r>
          </w:p>
        </w:tc>
        <w:tc>
          <w:tcPr>
            <w:tcW w:w="976" w:type="dxa"/>
            <w:tcBorders>
              <w:top w:val="nil"/>
              <w:left w:val="nil"/>
              <w:bottom w:val="single" w:sz="4" w:space="0" w:color="auto"/>
              <w:right w:val="single" w:sz="4" w:space="0" w:color="auto"/>
            </w:tcBorders>
            <w:shd w:val="clear" w:color="auto" w:fill="auto"/>
            <w:hideMark/>
          </w:tcPr>
          <w:p w14:paraId="0E89FCC3" w14:textId="77777777" w:rsidR="006C28DF" w:rsidRPr="006C28DF" w:rsidRDefault="006C28DF" w:rsidP="006C28DF">
            <w:pPr>
              <w:jc w:val="right"/>
              <w:rPr>
                <w:sz w:val="20"/>
                <w:szCs w:val="20"/>
                <w:lang w:val="en-CA" w:eastAsia="en-CA"/>
              </w:rPr>
            </w:pPr>
            <w:r w:rsidRPr="006C28DF">
              <w:rPr>
                <w:sz w:val="20"/>
                <w:szCs w:val="20"/>
                <w:lang w:val="en-CA" w:eastAsia="en-CA"/>
              </w:rPr>
              <w:t>13.2</w:t>
            </w:r>
          </w:p>
        </w:tc>
      </w:tr>
      <w:tr w:rsidR="006C28DF" w:rsidRPr="006C28DF" w14:paraId="5341C1CE"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031166D2" w14:textId="77777777" w:rsidR="006C28DF" w:rsidRPr="006C28DF" w:rsidRDefault="006C28DF" w:rsidP="006C28DF">
            <w:pPr>
              <w:jc w:val="left"/>
              <w:rPr>
                <w:sz w:val="20"/>
                <w:szCs w:val="20"/>
                <w:lang w:val="en-CA" w:eastAsia="en-CA"/>
              </w:rPr>
            </w:pPr>
            <w:r w:rsidRPr="006C28DF">
              <w:rPr>
                <w:sz w:val="20"/>
                <w:szCs w:val="20"/>
                <w:lang w:val="en-CA" w:eastAsia="en-CA"/>
              </w:rPr>
              <w:t>Yemen</w:t>
            </w:r>
          </w:p>
        </w:tc>
        <w:tc>
          <w:tcPr>
            <w:tcW w:w="980" w:type="dxa"/>
            <w:tcBorders>
              <w:top w:val="nil"/>
              <w:left w:val="nil"/>
              <w:bottom w:val="single" w:sz="4" w:space="0" w:color="auto"/>
              <w:right w:val="single" w:sz="4" w:space="0" w:color="auto"/>
            </w:tcBorders>
            <w:shd w:val="clear" w:color="auto" w:fill="auto"/>
            <w:hideMark/>
          </w:tcPr>
          <w:p w14:paraId="4DA2411B"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64A89934"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330A3C0E"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2AAEA899"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0986C250" w14:textId="77777777" w:rsidR="006C28DF" w:rsidRPr="006C28DF" w:rsidRDefault="006C28DF" w:rsidP="006C28DF">
            <w:pPr>
              <w:jc w:val="right"/>
              <w:rPr>
                <w:sz w:val="20"/>
                <w:szCs w:val="20"/>
                <w:lang w:val="en-CA" w:eastAsia="en-CA"/>
              </w:rPr>
            </w:pPr>
            <w:r w:rsidRPr="006C28DF">
              <w:rPr>
                <w:sz w:val="20"/>
                <w:szCs w:val="20"/>
                <w:lang w:val="en-CA" w:eastAsia="en-CA"/>
              </w:rPr>
              <w:t>218</w:t>
            </w:r>
          </w:p>
        </w:tc>
        <w:tc>
          <w:tcPr>
            <w:tcW w:w="976" w:type="dxa"/>
            <w:tcBorders>
              <w:top w:val="nil"/>
              <w:left w:val="nil"/>
              <w:bottom w:val="single" w:sz="4" w:space="0" w:color="auto"/>
              <w:right w:val="single" w:sz="4" w:space="0" w:color="auto"/>
            </w:tcBorders>
            <w:shd w:val="clear" w:color="auto" w:fill="auto"/>
            <w:hideMark/>
          </w:tcPr>
          <w:p w14:paraId="11D92A8B"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r w:rsidR="006C28DF" w:rsidRPr="006C28DF" w14:paraId="4BD80A0F" w14:textId="77777777" w:rsidTr="002C3CFF">
        <w:trPr>
          <w:trHeight w:val="204"/>
        </w:trPr>
        <w:tc>
          <w:tcPr>
            <w:tcW w:w="2269" w:type="dxa"/>
            <w:tcBorders>
              <w:top w:val="nil"/>
              <w:left w:val="single" w:sz="4" w:space="0" w:color="auto"/>
              <w:bottom w:val="single" w:sz="4" w:space="0" w:color="auto"/>
              <w:right w:val="single" w:sz="4" w:space="0" w:color="auto"/>
            </w:tcBorders>
            <w:shd w:val="clear" w:color="auto" w:fill="auto"/>
            <w:hideMark/>
          </w:tcPr>
          <w:p w14:paraId="1CB4D53A" w14:textId="77777777" w:rsidR="006C28DF" w:rsidRPr="006C28DF" w:rsidRDefault="006C28DF" w:rsidP="006C28DF">
            <w:pPr>
              <w:jc w:val="left"/>
              <w:rPr>
                <w:sz w:val="20"/>
                <w:szCs w:val="20"/>
                <w:lang w:val="en-CA" w:eastAsia="en-CA"/>
              </w:rPr>
            </w:pPr>
            <w:r w:rsidRPr="006C28DF">
              <w:rPr>
                <w:sz w:val="20"/>
                <w:szCs w:val="20"/>
                <w:lang w:val="en-CA" w:eastAsia="en-CA"/>
              </w:rPr>
              <w:t>Zambia</w:t>
            </w:r>
          </w:p>
        </w:tc>
        <w:tc>
          <w:tcPr>
            <w:tcW w:w="980" w:type="dxa"/>
            <w:tcBorders>
              <w:top w:val="nil"/>
              <w:left w:val="nil"/>
              <w:bottom w:val="single" w:sz="4" w:space="0" w:color="auto"/>
              <w:right w:val="single" w:sz="4" w:space="0" w:color="auto"/>
            </w:tcBorders>
            <w:shd w:val="clear" w:color="auto" w:fill="auto"/>
            <w:hideMark/>
          </w:tcPr>
          <w:p w14:paraId="6064E04B" w14:textId="77777777" w:rsidR="006C28DF" w:rsidRPr="006C28DF" w:rsidRDefault="006C28DF" w:rsidP="006C28DF">
            <w:pPr>
              <w:jc w:val="center"/>
              <w:rPr>
                <w:sz w:val="20"/>
                <w:szCs w:val="20"/>
                <w:lang w:val="en-CA" w:eastAsia="en-CA"/>
              </w:rPr>
            </w:pPr>
            <w:r w:rsidRPr="006C28DF">
              <w:rPr>
                <w:sz w:val="20"/>
                <w:szCs w:val="20"/>
                <w:lang w:val="en-CA" w:eastAsia="en-CA"/>
              </w:rPr>
              <w:t>UNEP</w:t>
            </w:r>
          </w:p>
        </w:tc>
        <w:tc>
          <w:tcPr>
            <w:tcW w:w="721" w:type="dxa"/>
            <w:tcBorders>
              <w:top w:val="nil"/>
              <w:left w:val="nil"/>
              <w:bottom w:val="single" w:sz="4" w:space="0" w:color="auto"/>
              <w:right w:val="single" w:sz="4" w:space="0" w:color="auto"/>
            </w:tcBorders>
            <w:shd w:val="clear" w:color="auto" w:fill="auto"/>
            <w:hideMark/>
          </w:tcPr>
          <w:p w14:paraId="18FD8F5D" w14:textId="77777777" w:rsidR="006C28DF" w:rsidRPr="006C28DF" w:rsidRDefault="006C28DF" w:rsidP="006C28DF">
            <w:pPr>
              <w:jc w:val="center"/>
              <w:rPr>
                <w:sz w:val="20"/>
                <w:szCs w:val="20"/>
                <w:lang w:val="en-CA" w:eastAsia="en-CA"/>
              </w:rPr>
            </w:pPr>
            <w:r w:rsidRPr="006C28DF">
              <w:rPr>
                <w:sz w:val="20"/>
                <w:szCs w:val="20"/>
                <w:lang w:val="en-CA" w:eastAsia="en-CA"/>
              </w:rPr>
              <w:t>INS</w:t>
            </w:r>
          </w:p>
        </w:tc>
        <w:tc>
          <w:tcPr>
            <w:tcW w:w="1027" w:type="dxa"/>
            <w:tcBorders>
              <w:top w:val="nil"/>
              <w:left w:val="nil"/>
              <w:bottom w:val="single" w:sz="4" w:space="0" w:color="auto"/>
              <w:right w:val="single" w:sz="4" w:space="0" w:color="auto"/>
            </w:tcBorders>
            <w:shd w:val="clear" w:color="auto" w:fill="auto"/>
            <w:hideMark/>
          </w:tcPr>
          <w:p w14:paraId="5271AEC3" w14:textId="77777777" w:rsidR="006C28DF" w:rsidRPr="006C28DF" w:rsidRDefault="006C28DF" w:rsidP="006C28DF">
            <w:pPr>
              <w:jc w:val="center"/>
              <w:rPr>
                <w:sz w:val="20"/>
                <w:szCs w:val="20"/>
                <w:lang w:val="en-CA" w:eastAsia="en-CA"/>
              </w:rPr>
            </w:pPr>
            <w:r w:rsidRPr="006C28DF">
              <w:rPr>
                <w:sz w:val="20"/>
                <w:szCs w:val="20"/>
                <w:lang w:val="en-CA" w:eastAsia="en-CA"/>
              </w:rPr>
              <w:t>SEV</w:t>
            </w:r>
          </w:p>
        </w:tc>
        <w:tc>
          <w:tcPr>
            <w:tcW w:w="3779" w:type="dxa"/>
            <w:tcBorders>
              <w:top w:val="nil"/>
              <w:left w:val="nil"/>
              <w:bottom w:val="single" w:sz="4" w:space="0" w:color="auto"/>
              <w:right w:val="single" w:sz="4" w:space="0" w:color="auto"/>
            </w:tcBorders>
            <w:shd w:val="clear" w:color="auto" w:fill="auto"/>
            <w:hideMark/>
          </w:tcPr>
          <w:p w14:paraId="6E4A4FB8" w14:textId="77777777" w:rsidR="006C28DF" w:rsidRPr="006C28DF" w:rsidRDefault="006C28DF" w:rsidP="006C28DF">
            <w:pPr>
              <w:jc w:val="left"/>
              <w:rPr>
                <w:sz w:val="20"/>
                <w:szCs w:val="20"/>
                <w:lang w:val="en-CA" w:eastAsia="en-CA"/>
              </w:rPr>
            </w:pPr>
            <w:r w:rsidRPr="006C28DF">
              <w:rPr>
                <w:sz w:val="20"/>
                <w:szCs w:val="20"/>
                <w:lang w:val="en-CA" w:eastAsia="en-CA"/>
              </w:rPr>
              <w:t>Institutional Strengthening</w:t>
            </w:r>
          </w:p>
        </w:tc>
        <w:tc>
          <w:tcPr>
            <w:tcW w:w="1148" w:type="dxa"/>
            <w:tcBorders>
              <w:top w:val="nil"/>
              <w:left w:val="nil"/>
              <w:bottom w:val="single" w:sz="4" w:space="0" w:color="auto"/>
              <w:right w:val="single" w:sz="4" w:space="0" w:color="auto"/>
            </w:tcBorders>
            <w:shd w:val="clear" w:color="auto" w:fill="auto"/>
            <w:hideMark/>
          </w:tcPr>
          <w:p w14:paraId="33E140BA" w14:textId="77777777" w:rsidR="006C28DF" w:rsidRPr="006C28DF" w:rsidRDefault="006C28DF" w:rsidP="006C28DF">
            <w:pPr>
              <w:jc w:val="right"/>
              <w:rPr>
                <w:sz w:val="20"/>
                <w:szCs w:val="20"/>
                <w:lang w:val="en-CA" w:eastAsia="en-CA"/>
              </w:rPr>
            </w:pPr>
            <w:r w:rsidRPr="006C28DF">
              <w:rPr>
                <w:sz w:val="20"/>
                <w:szCs w:val="20"/>
                <w:lang w:val="en-CA" w:eastAsia="en-CA"/>
              </w:rPr>
              <w:t>85</w:t>
            </w:r>
          </w:p>
        </w:tc>
        <w:tc>
          <w:tcPr>
            <w:tcW w:w="976" w:type="dxa"/>
            <w:tcBorders>
              <w:top w:val="nil"/>
              <w:left w:val="nil"/>
              <w:bottom w:val="single" w:sz="4" w:space="0" w:color="auto"/>
              <w:right w:val="single" w:sz="4" w:space="0" w:color="auto"/>
            </w:tcBorders>
            <w:shd w:val="clear" w:color="auto" w:fill="auto"/>
            <w:hideMark/>
          </w:tcPr>
          <w:p w14:paraId="637CF536" w14:textId="77777777" w:rsidR="006C28DF" w:rsidRPr="006C28DF" w:rsidRDefault="006C28DF" w:rsidP="006C28DF">
            <w:pPr>
              <w:jc w:val="right"/>
              <w:rPr>
                <w:sz w:val="20"/>
                <w:szCs w:val="20"/>
                <w:lang w:val="en-CA" w:eastAsia="en-CA"/>
              </w:rPr>
            </w:pPr>
            <w:r w:rsidRPr="006C28DF">
              <w:rPr>
                <w:sz w:val="20"/>
                <w:szCs w:val="20"/>
                <w:lang w:val="en-CA" w:eastAsia="en-CA"/>
              </w:rPr>
              <w:t> </w:t>
            </w:r>
          </w:p>
        </w:tc>
      </w:tr>
    </w:tbl>
    <w:p w14:paraId="22FB867E" w14:textId="42E9551A" w:rsidR="00AE74F8" w:rsidRPr="002A19A6" w:rsidRDefault="001C276F" w:rsidP="00FA688C">
      <w:pPr>
        <w:ind w:left="-630"/>
        <w:jc w:val="left"/>
        <w:rPr>
          <w:bCs/>
          <w:color w:val="000000" w:themeColor="text1"/>
          <w:sz w:val="20"/>
          <w:szCs w:val="20"/>
          <w:lang w:val="en-CA"/>
        </w:rPr>
      </w:pPr>
      <w:r>
        <w:rPr>
          <w:bCs/>
          <w:color w:val="000000" w:themeColor="text1"/>
          <w:sz w:val="20"/>
          <w:szCs w:val="20"/>
          <w:lang w:val="en-CA"/>
        </w:rPr>
        <w:t xml:space="preserve"> </w:t>
      </w:r>
      <w:r w:rsidR="004B4FFC" w:rsidRPr="002A19A6">
        <w:rPr>
          <w:bCs/>
          <w:color w:val="000000" w:themeColor="text1"/>
          <w:sz w:val="20"/>
          <w:szCs w:val="20"/>
          <w:lang w:val="en-CA"/>
        </w:rPr>
        <w:t>*Submitted to the 81</w:t>
      </w:r>
      <w:r w:rsidR="004B4FFC" w:rsidRPr="002A19A6">
        <w:rPr>
          <w:bCs/>
          <w:color w:val="000000" w:themeColor="text1"/>
          <w:sz w:val="20"/>
          <w:szCs w:val="20"/>
          <w:vertAlign w:val="superscript"/>
          <w:lang w:val="en-CA"/>
        </w:rPr>
        <w:t>st</w:t>
      </w:r>
      <w:r w:rsidR="004B4FFC" w:rsidRPr="002A19A6">
        <w:rPr>
          <w:bCs/>
          <w:color w:val="000000" w:themeColor="text1"/>
          <w:sz w:val="20"/>
          <w:szCs w:val="20"/>
          <w:lang w:val="en-CA"/>
        </w:rPr>
        <w:t xml:space="preserve"> meeting by another implementing agency.</w:t>
      </w:r>
    </w:p>
    <w:p w14:paraId="5CF90008" w14:textId="77777777" w:rsidR="00F61534" w:rsidRPr="00FA688C" w:rsidRDefault="00F61534" w:rsidP="00FA688C">
      <w:pPr>
        <w:jc w:val="center"/>
        <w:rPr>
          <w:b/>
          <w:bCs/>
          <w:color w:val="000000" w:themeColor="text1"/>
          <w:lang w:val="en-CA"/>
        </w:rPr>
      </w:pPr>
    </w:p>
    <w:p w14:paraId="70F63319" w14:textId="3F0D736D" w:rsidR="004854C6" w:rsidRPr="00FA688C" w:rsidRDefault="00945E0C" w:rsidP="00FA688C">
      <w:pPr>
        <w:jc w:val="center"/>
        <w:rPr>
          <w:b/>
          <w:color w:val="000000" w:themeColor="text1"/>
          <w:lang w:val="en-CA"/>
        </w:rPr>
      </w:pPr>
      <w:r w:rsidRPr="00FA688C">
        <w:rPr>
          <w:b/>
          <w:color w:val="000000" w:themeColor="text1"/>
          <w:lang w:val="en-CA"/>
        </w:rPr>
        <w:t>-----</w:t>
      </w:r>
    </w:p>
    <w:sectPr w:rsidR="004854C6" w:rsidRPr="00FA688C" w:rsidSect="002C04D2">
      <w:headerReference w:type="even" r:id="rId20"/>
      <w:headerReference w:type="default" r:id="rId21"/>
      <w:headerReference w:type="first" r:id="rId22"/>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82EB3" w14:textId="77777777" w:rsidR="006C28DF" w:rsidRDefault="006C28DF" w:rsidP="004A504B">
      <w:r>
        <w:separator/>
      </w:r>
    </w:p>
  </w:endnote>
  <w:endnote w:type="continuationSeparator" w:id="0">
    <w:p w14:paraId="515D701E" w14:textId="77777777" w:rsidR="006C28DF" w:rsidRDefault="006C28DF" w:rsidP="004A504B">
      <w:r>
        <w:continuationSeparator/>
      </w:r>
    </w:p>
  </w:endnote>
  <w:endnote w:type="continuationNotice" w:id="1">
    <w:p w14:paraId="2F4FCEF9" w14:textId="77777777" w:rsidR="006C28DF" w:rsidRDefault="006C2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60EE" w14:textId="513AB170" w:rsidR="006C28DF" w:rsidRPr="0033525D" w:rsidRDefault="006C28DF">
    <w:pPr>
      <w:jc w:val="center"/>
    </w:pPr>
    <w:r>
      <w:fldChar w:fldCharType="begin"/>
    </w:r>
    <w:r>
      <w:instrText xml:space="preserve"> PAGE </w:instrText>
    </w:r>
    <w:r>
      <w:fldChar w:fldCharType="separate"/>
    </w:r>
    <w:r w:rsidR="0042532C">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25A6" w14:textId="54043748" w:rsidR="006C28DF" w:rsidRPr="0033525D" w:rsidRDefault="006C28DF">
    <w:pPr>
      <w:jc w:val="center"/>
    </w:pPr>
    <w:r>
      <w:fldChar w:fldCharType="begin"/>
    </w:r>
    <w:r>
      <w:instrText xml:space="preserve"> PAGE </w:instrText>
    </w:r>
    <w:r>
      <w:fldChar w:fldCharType="separate"/>
    </w:r>
    <w:r w:rsidR="0042532C">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7A90" w14:textId="77777777" w:rsidR="006C28DF" w:rsidRDefault="006C28DF"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749B49D" w14:textId="77777777" w:rsidR="006C28DF" w:rsidRDefault="006C28DF"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553325"/>
      <w:docPartObj>
        <w:docPartGallery w:val="Page Numbers (Bottom of Page)"/>
        <w:docPartUnique/>
      </w:docPartObj>
    </w:sdtPr>
    <w:sdtEndPr>
      <w:rPr>
        <w:noProof/>
      </w:rPr>
    </w:sdtEndPr>
    <w:sdtContent>
      <w:p w14:paraId="5C8F3B93" w14:textId="5193D004" w:rsidR="00BE08A4" w:rsidRDefault="00BE08A4">
        <w:pPr>
          <w:pStyle w:val="Footer"/>
          <w:jc w:val="center"/>
        </w:pPr>
        <w:r>
          <w:fldChar w:fldCharType="begin"/>
        </w:r>
        <w:r>
          <w:instrText xml:space="preserve"> PAGE   \* MERGEFORMAT </w:instrText>
        </w:r>
        <w:r>
          <w:fldChar w:fldCharType="separate"/>
        </w:r>
        <w:r w:rsidR="0042532C">
          <w:rPr>
            <w:noProof/>
          </w:rPr>
          <w:t>1</w:t>
        </w:r>
        <w:r>
          <w:rPr>
            <w:noProof/>
          </w:rPr>
          <w:fldChar w:fldCharType="end"/>
        </w:r>
      </w:p>
    </w:sdtContent>
  </w:sdt>
  <w:p w14:paraId="3A8A73B5" w14:textId="77777777" w:rsidR="00BE08A4" w:rsidRPr="00BE08A4" w:rsidRDefault="00BE08A4" w:rsidP="00BE08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AFD3" w14:textId="77777777" w:rsidR="006C28DF" w:rsidRDefault="006C28DF" w:rsidP="004A504B">
      <w:r>
        <w:separator/>
      </w:r>
    </w:p>
  </w:footnote>
  <w:footnote w:type="continuationSeparator" w:id="0">
    <w:p w14:paraId="202F3F53" w14:textId="77777777" w:rsidR="006C28DF" w:rsidRDefault="006C28DF" w:rsidP="004A504B">
      <w:r>
        <w:continuationSeparator/>
      </w:r>
    </w:p>
  </w:footnote>
  <w:footnote w:type="continuationNotice" w:id="1">
    <w:p w14:paraId="11C03C46" w14:textId="77777777" w:rsidR="006C28DF" w:rsidRDefault="006C28DF"/>
  </w:footnote>
  <w:footnote w:id="2">
    <w:p w14:paraId="4B90981B" w14:textId="1418BD6D" w:rsidR="006C28DF" w:rsidRPr="004F0FA9" w:rsidRDefault="006C28DF" w:rsidP="0037741E">
      <w:pPr>
        <w:pStyle w:val="FootnoteText"/>
      </w:pPr>
      <w:r w:rsidRPr="00773C39">
        <w:rPr>
          <w:rStyle w:val="FootnoteReference"/>
        </w:rPr>
        <w:footnoteRef/>
      </w:r>
      <w:r w:rsidRPr="00773C39">
        <w:t xml:space="preserve"> </w:t>
      </w:r>
      <w:r w:rsidRPr="004F0FA9">
        <w:t>HPMP stage II project preparation for Lesotho (Germany); HFC enabling activities for Bangladesh (UNEP), Democratic Republic of the Congo (UNEP), Egypt (UNIDO), Kuwait (UNEP), Morocco (UNIDO), Nicaragua (UNIDO), Paraguay (UNEP) and Venezuela</w:t>
      </w:r>
      <w:r>
        <w:t xml:space="preserve"> (</w:t>
      </w:r>
      <w:r w:rsidRPr="006A3718">
        <w:t>Bolivarian Republic of</w:t>
      </w:r>
      <w:r>
        <w:t>)</w:t>
      </w:r>
      <w:r w:rsidRPr="006A3718">
        <w:t xml:space="preserve"> </w:t>
      </w:r>
      <w:r w:rsidRPr="004F0FA9">
        <w:t>(UNIDO); and HFC investment activities for Argentina (UNIDO), China (UNDP), Colombia (UNDP), Egypt (UNDP), Islamic Republic of Iran (UNIDO), Jordan (UNIDO), Mexico (UNDP) and Zimbabwe (UNDP).</w:t>
      </w:r>
    </w:p>
  </w:footnote>
  <w:footnote w:id="3">
    <w:p w14:paraId="5AC67B31" w14:textId="77CD9B26" w:rsidR="006C28DF" w:rsidRPr="00C065D2" w:rsidRDefault="006C28DF" w:rsidP="00A3176E">
      <w:pPr>
        <w:pStyle w:val="FootnoteText"/>
      </w:pPr>
      <w:r w:rsidRPr="004F0FA9">
        <w:rPr>
          <w:rStyle w:val="FootnoteReference"/>
        </w:rPr>
        <w:footnoteRef/>
      </w:r>
      <w:r w:rsidRPr="004F0FA9">
        <w:t xml:space="preserve"> These activities include</w:t>
      </w:r>
      <w:r w:rsidRPr="00D16C50">
        <w:t>: 195 HCFC activities for 100 countries (US $132.4 million), 21</w:t>
      </w:r>
      <w:r w:rsidRPr="004F0FA9">
        <w:t xml:space="preserve"> HFC activities for 20</w:t>
      </w:r>
      <w:r w:rsidR="00A420FD">
        <w:t> </w:t>
      </w:r>
      <w:r w:rsidRPr="004F0FA9">
        <w:t>countries) (</w:t>
      </w:r>
      <w:r>
        <w:t>US $</w:t>
      </w:r>
      <w:r w:rsidRPr="004F0FA9">
        <w:t>5.8 million), 67 IS activities (</w:t>
      </w:r>
      <w:r>
        <w:t>US $</w:t>
      </w:r>
      <w:r w:rsidRPr="004F0FA9">
        <w:t>11.07 million), core unit (</w:t>
      </w:r>
      <w:r>
        <w:t>US $</w:t>
      </w:r>
      <w:r w:rsidRPr="004F0FA9">
        <w:t>5.9 million) and CAP (</w:t>
      </w:r>
      <w:r>
        <w:t>US $</w:t>
      </w:r>
      <w:r w:rsidRPr="004F0FA9">
        <w:t>10.97 million).</w:t>
      </w:r>
    </w:p>
  </w:footnote>
  <w:footnote w:id="4">
    <w:p w14:paraId="66B10437" w14:textId="41DB00D1" w:rsidR="00A420FD" w:rsidRPr="00A420FD" w:rsidRDefault="00A420FD">
      <w:pPr>
        <w:pStyle w:val="FootnoteText"/>
        <w:rPr>
          <w:lang w:val="en-CA"/>
        </w:rPr>
      </w:pPr>
      <w:r>
        <w:rPr>
          <w:rStyle w:val="FootnoteReference"/>
        </w:rPr>
        <w:footnoteRef/>
      </w:r>
      <w:r>
        <w:t xml:space="preserve"> </w:t>
      </w:r>
      <w:r w:rsidRPr="00A420FD">
        <w:t>As at 3 May 2018, per Annex I of UNEP/OzL.Pro/ExCom/81/3, Status of contributions and disbursements.</w:t>
      </w:r>
    </w:p>
  </w:footnote>
  <w:footnote w:id="5">
    <w:p w14:paraId="7CEB34A2" w14:textId="1E7B4071" w:rsidR="006C28DF" w:rsidRPr="00B70313" w:rsidRDefault="006C28DF">
      <w:pPr>
        <w:pStyle w:val="FootnoteText"/>
        <w:rPr>
          <w:lang w:val="en-CA"/>
        </w:rPr>
      </w:pPr>
      <w:r w:rsidRPr="004F0FA9">
        <w:rPr>
          <w:rStyle w:val="FootnoteReference"/>
        </w:rPr>
        <w:footnoteRef/>
      </w:r>
      <w:r w:rsidRPr="004F0FA9">
        <w:t xml:space="preserve"> As at </w:t>
      </w:r>
      <w:r>
        <w:t>25</w:t>
      </w:r>
      <w:r w:rsidRPr="004F0FA9">
        <w:t xml:space="preserve"> May 2018 per Annex I of UNEP/OzL.Pro/ExCom/81/3, Status of contributions and disbursements.</w:t>
      </w:r>
    </w:p>
  </w:footnote>
  <w:footnote w:id="6">
    <w:p w14:paraId="36C7DF3C" w14:textId="2ED4A2B9" w:rsidR="006C28DF" w:rsidRPr="00CA727B" w:rsidRDefault="006C28DF">
      <w:pPr>
        <w:pStyle w:val="FootnoteText"/>
      </w:pPr>
      <w:r>
        <w:rPr>
          <w:rStyle w:val="FootnoteReference"/>
        </w:rPr>
        <w:footnoteRef/>
      </w:r>
      <w:r>
        <w:t xml:space="preserve"> </w:t>
      </w:r>
      <w:r w:rsidRPr="00CA727B">
        <w:t xml:space="preserve">At </w:t>
      </w:r>
      <w:r>
        <w:t xml:space="preserve">the </w:t>
      </w:r>
      <w:r w:rsidRPr="00CA727B">
        <w:t>Twenty Ninth Meeting, the Parties agreed to extend the FERM to the 2018-2020 triennium (decision XXIX/2)</w:t>
      </w:r>
      <w:r>
        <w:t>.</w:t>
      </w:r>
    </w:p>
  </w:footnote>
  <w:footnote w:id="7">
    <w:p w14:paraId="530891E6" w14:textId="6A41AA3D" w:rsidR="006C28DF" w:rsidRPr="00485D67" w:rsidRDefault="006C28DF">
      <w:pPr>
        <w:pStyle w:val="FootnoteText"/>
        <w:rPr>
          <w:lang w:val="en-CA"/>
        </w:rPr>
      </w:pPr>
      <w:r>
        <w:rPr>
          <w:rStyle w:val="FootnoteReference"/>
        </w:rPr>
        <w:footnoteRef/>
      </w:r>
      <w:r>
        <w:t xml:space="preserve"> UNEP/OzL.Pro/ExCom/81/3</w:t>
      </w:r>
    </w:p>
  </w:footnote>
  <w:footnote w:id="8">
    <w:p w14:paraId="3AE81A0C" w14:textId="315297DE" w:rsidR="006C28DF" w:rsidRPr="008943D1" w:rsidRDefault="006C28DF">
      <w:pPr>
        <w:pStyle w:val="FootnoteText"/>
        <w:rPr>
          <w:lang w:val="en-CA"/>
        </w:rPr>
      </w:pPr>
      <w:r w:rsidRPr="00805383">
        <w:rPr>
          <w:rStyle w:val="FootnoteReference"/>
        </w:rPr>
        <w:footnoteRef/>
      </w:r>
      <w:r w:rsidRPr="00805383">
        <w:t xml:space="preserve"> https://tradingeconomics.com/forecast/currency</w:t>
      </w:r>
    </w:p>
  </w:footnote>
  <w:footnote w:id="9">
    <w:p w14:paraId="78A05774" w14:textId="64B10E03" w:rsidR="006C28DF" w:rsidRPr="00ED39E0" w:rsidRDefault="006C28DF">
      <w:pPr>
        <w:pStyle w:val="FootnoteText"/>
        <w:rPr>
          <w:lang w:val="en-CA"/>
        </w:rPr>
      </w:pPr>
      <w:r>
        <w:rPr>
          <w:rStyle w:val="FootnoteReference"/>
        </w:rPr>
        <w:footnoteRef/>
      </w:r>
      <w:r>
        <w:t xml:space="preserve"> Section on </w:t>
      </w:r>
      <w:r w:rsidRPr="00ED39E0">
        <w:t>HFC-related projects submitted to the 81</w:t>
      </w:r>
      <w:r w:rsidRPr="00ED39E0">
        <w:rPr>
          <w:vertAlign w:val="superscript"/>
        </w:rPr>
        <w:t>st</w:t>
      </w:r>
      <w:r>
        <w:t xml:space="preserve"> </w:t>
      </w:r>
      <w:r w:rsidRPr="00ED39E0">
        <w:t xml:space="preserve">meeting </w:t>
      </w:r>
      <w:r>
        <w:t xml:space="preserve">in document </w:t>
      </w:r>
      <w:r w:rsidRPr="00ED39E0">
        <w:t>UNEP/OzL.Pro/ExCom/81/</w:t>
      </w:r>
      <w:r>
        <w:t>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2C0" w14:textId="4008E5A2" w:rsidR="006C28DF" w:rsidRPr="0033525D" w:rsidRDefault="0042532C">
    <w:r>
      <w:fldChar w:fldCharType="begin"/>
    </w:r>
    <w:r>
      <w:instrText xml:space="preserve"> DOCPROPERTY "Document number"  \* MERGEFORMAT </w:instrText>
    </w:r>
    <w:r>
      <w:fldChar w:fldCharType="separate"/>
    </w:r>
    <w:r w:rsidR="002C04D2">
      <w:t>UNEP/OzL.Pro/ExCom/81/12</w:t>
    </w:r>
    <w:r>
      <w:fldChar w:fldCharType="end"/>
    </w:r>
  </w:p>
  <w:p w14:paraId="6D0930AC" w14:textId="77777777" w:rsidR="006C28DF" w:rsidRPr="0033525D" w:rsidRDefault="006C28DF"/>
  <w:p w14:paraId="149D16EC" w14:textId="77777777" w:rsidR="006C28DF" w:rsidRPr="0033525D" w:rsidRDefault="006C28D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EB4B" w14:textId="2F1FF193" w:rsidR="006C28DF" w:rsidRDefault="0042532C">
    <w:pPr>
      <w:jc w:val="right"/>
    </w:pPr>
    <w:r>
      <w:fldChar w:fldCharType="begin"/>
    </w:r>
    <w:r>
      <w:instrText xml:space="preserve"> DOCPROPERTY "Document number"  \* MERGEFORMAT </w:instrText>
    </w:r>
    <w:r>
      <w:fldChar w:fldCharType="separate"/>
    </w:r>
    <w:r w:rsidR="002C04D2">
      <w:t>UNEP/OzL.Pro/ExCom/81/12</w:t>
    </w:r>
    <w:r>
      <w:fldChar w:fldCharType="end"/>
    </w:r>
  </w:p>
  <w:p w14:paraId="5AEA60F4" w14:textId="77777777" w:rsidR="006C28DF" w:rsidRPr="0033525D" w:rsidRDefault="006C28DF"/>
  <w:p w14:paraId="6C966022" w14:textId="77777777" w:rsidR="006C28DF" w:rsidRPr="0033525D" w:rsidRDefault="006C28D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F403" w14:textId="77777777" w:rsidR="002C04D2" w:rsidRDefault="002C04D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2776" w14:textId="07711A7A" w:rsidR="006C28DF" w:rsidRPr="0033525D" w:rsidRDefault="0042532C">
    <w:r>
      <w:fldChar w:fldCharType="begin"/>
    </w:r>
    <w:r>
      <w:instrText xml:space="preserve"> DOCPROPERTY "Document number"  \* MERGEFORMAT </w:instrText>
    </w:r>
    <w:r>
      <w:fldChar w:fldCharType="separate"/>
    </w:r>
    <w:r w:rsidR="002C04D2">
      <w:t>UNEP/OzL.Pro/ExCom/81/12</w:t>
    </w:r>
    <w:r>
      <w:fldChar w:fldCharType="end"/>
    </w:r>
  </w:p>
  <w:p w14:paraId="5BA699B4" w14:textId="497DC1C2" w:rsidR="006C28DF" w:rsidRDefault="00BE08A4">
    <w:r>
      <w:t>Annex I</w:t>
    </w:r>
  </w:p>
  <w:p w14:paraId="1877D444" w14:textId="77777777" w:rsidR="00BE08A4" w:rsidRPr="0033525D" w:rsidRDefault="00BE08A4"/>
  <w:p w14:paraId="2163854E" w14:textId="77777777" w:rsidR="006C28DF" w:rsidRPr="0033525D" w:rsidRDefault="006C28D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0315" w14:textId="08C54645" w:rsidR="002C04D2" w:rsidRDefault="0042532C">
    <w:pPr>
      <w:jc w:val="right"/>
    </w:pPr>
    <w:r>
      <w:fldChar w:fldCharType="begin"/>
    </w:r>
    <w:r>
      <w:instrText xml:space="preserve"> DOCPROPERTY "Document number"  \* MERGEFORMAT </w:instrText>
    </w:r>
    <w:r>
      <w:fldChar w:fldCharType="separate"/>
    </w:r>
    <w:r w:rsidR="002C04D2">
      <w:t>UNEP/OzL.Pro/ExCom/81/12</w:t>
    </w:r>
    <w:r>
      <w:fldChar w:fldCharType="end"/>
    </w:r>
  </w:p>
  <w:p w14:paraId="13258AAE" w14:textId="483D1610" w:rsidR="002C04D2" w:rsidRDefault="002C04D2">
    <w:pPr>
      <w:jc w:val="right"/>
    </w:pPr>
    <w:r>
      <w:t>Annex I</w:t>
    </w:r>
  </w:p>
  <w:p w14:paraId="3F8CF0DB" w14:textId="77777777" w:rsidR="002C04D2" w:rsidRPr="0033525D" w:rsidRDefault="002C04D2"/>
  <w:p w14:paraId="1D00CC31" w14:textId="77777777" w:rsidR="002C04D2" w:rsidRPr="0033525D" w:rsidRDefault="002C04D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6FC6" w14:textId="4BEA8593" w:rsidR="006C28DF" w:rsidRPr="0033525D" w:rsidRDefault="0042532C" w:rsidP="0051215C">
    <w:pPr>
      <w:jc w:val="right"/>
    </w:pPr>
    <w:r>
      <w:fldChar w:fldCharType="begin"/>
    </w:r>
    <w:r>
      <w:instrText xml:space="preserve"> DOCPROPERTY "Document number"  \* MERGEFORMAT </w:instrText>
    </w:r>
    <w:r>
      <w:fldChar w:fldCharType="separate"/>
    </w:r>
    <w:r w:rsidR="002C04D2">
      <w:t>UNEP/OzL.Pro/ExCom/81/12</w:t>
    </w:r>
    <w:r>
      <w:fldChar w:fldCharType="end"/>
    </w:r>
  </w:p>
  <w:p w14:paraId="52D6EB6D" w14:textId="62C1826B" w:rsidR="006C28DF" w:rsidRDefault="006C28DF" w:rsidP="0051215C">
    <w:pPr>
      <w:pStyle w:val="Header"/>
      <w:jc w:val="right"/>
    </w:pPr>
    <w:r>
      <w:t>Annex I</w:t>
    </w:r>
  </w:p>
  <w:p w14:paraId="34B533B7" w14:textId="77777777" w:rsidR="00BE08A4" w:rsidRDefault="00BE08A4" w:rsidP="0051215C">
    <w:pPr>
      <w:pStyle w:val="Header"/>
      <w:jc w:val="right"/>
    </w:pPr>
  </w:p>
  <w:p w14:paraId="1A12A61E" w14:textId="77777777" w:rsidR="006C28DF" w:rsidRDefault="006C28DF" w:rsidP="0051215C">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CB637" w14:textId="77777777" w:rsidR="00952CAD" w:rsidRPr="0033525D" w:rsidRDefault="0042532C">
    <w:r>
      <w:fldChar w:fldCharType="begin"/>
    </w:r>
    <w:r>
      <w:instrText xml:space="preserve"> DOCPROPERTY "Document number"  \* MERGEFORMAT </w:instrText>
    </w:r>
    <w:r>
      <w:fldChar w:fldCharType="separate"/>
    </w:r>
    <w:r w:rsidR="00952CAD">
      <w:t>UNEP/OzL.Pro/ExCom/81/12</w:t>
    </w:r>
    <w:r>
      <w:fldChar w:fldCharType="end"/>
    </w:r>
  </w:p>
  <w:p w14:paraId="55374F98" w14:textId="05F97A28" w:rsidR="00952CAD" w:rsidRDefault="00952CAD">
    <w:r>
      <w:t>Annex II</w:t>
    </w:r>
  </w:p>
  <w:p w14:paraId="45F55E8C" w14:textId="77777777" w:rsidR="00952CAD" w:rsidRPr="0033525D" w:rsidRDefault="00952CAD"/>
  <w:p w14:paraId="71390303" w14:textId="77777777" w:rsidR="00952CAD" w:rsidRPr="0033525D" w:rsidRDefault="00952CA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FE0A" w14:textId="77777777" w:rsidR="002C04D2" w:rsidRDefault="0042532C">
    <w:pPr>
      <w:jc w:val="right"/>
    </w:pPr>
    <w:r>
      <w:fldChar w:fldCharType="begin"/>
    </w:r>
    <w:r>
      <w:instrText xml:space="preserve"> DOCPROPERTY "Document number"  \* MERGEFORMAT </w:instrText>
    </w:r>
    <w:r>
      <w:fldChar w:fldCharType="separate"/>
    </w:r>
    <w:r w:rsidR="002C04D2">
      <w:t>UNEP/OzL.Pro/ExCom/81/12</w:t>
    </w:r>
    <w:r>
      <w:fldChar w:fldCharType="end"/>
    </w:r>
  </w:p>
  <w:p w14:paraId="3C71A3F8" w14:textId="5B72A5E3" w:rsidR="002C04D2" w:rsidRPr="0033525D" w:rsidRDefault="002C04D2">
    <w:pPr>
      <w:jc w:val="right"/>
    </w:pPr>
    <w:r>
      <w:t>Annex II</w:t>
    </w:r>
  </w:p>
  <w:p w14:paraId="6EAC2EDE" w14:textId="77777777" w:rsidR="002C04D2" w:rsidRPr="0033525D" w:rsidRDefault="002C04D2"/>
  <w:p w14:paraId="5E8EE951" w14:textId="77777777" w:rsidR="002C04D2" w:rsidRPr="0033525D" w:rsidRDefault="002C04D2">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0797" w14:textId="202A72CC" w:rsidR="006C28DF" w:rsidRPr="0033525D" w:rsidRDefault="0042532C" w:rsidP="0051215C">
    <w:pPr>
      <w:jc w:val="right"/>
    </w:pPr>
    <w:r>
      <w:fldChar w:fldCharType="begin"/>
    </w:r>
    <w:r>
      <w:instrText xml:space="preserve"> DOCPROPERTY "Document number"  \* MERGEFORMAT </w:instrText>
    </w:r>
    <w:r>
      <w:fldChar w:fldCharType="separate"/>
    </w:r>
    <w:r w:rsidR="002C04D2">
      <w:t>UNEP/OzL.Pro/ExCom/81/12</w:t>
    </w:r>
    <w:r>
      <w:fldChar w:fldCharType="end"/>
    </w:r>
  </w:p>
  <w:p w14:paraId="5BBBF270" w14:textId="3F65E3F7" w:rsidR="006C28DF" w:rsidRDefault="006C28DF" w:rsidP="0051215C">
    <w:pPr>
      <w:pStyle w:val="Header"/>
      <w:jc w:val="right"/>
    </w:pPr>
    <w:r>
      <w:t>Annex V</w:t>
    </w:r>
  </w:p>
  <w:p w14:paraId="54509092" w14:textId="77777777" w:rsidR="006C28DF" w:rsidRDefault="006C28DF" w:rsidP="0051215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3849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F890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B0C0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A4C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8A8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1EB1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7E47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4B6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0A4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A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FE245F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D6F55C7"/>
    <w:multiLevelType w:val="multilevel"/>
    <w:tmpl w:val="5546BCFA"/>
    <w:lvl w:ilvl="0">
      <w:start w:val="1"/>
      <w:numFmt w:val="decimal"/>
      <w:lvlText w:val="%1."/>
      <w:lvlJc w:val="left"/>
      <w:pPr>
        <w:tabs>
          <w:tab w:val="num" w:pos="0"/>
        </w:tabs>
        <w:ind w:left="0" w:firstLine="0"/>
      </w:pPr>
      <w:rPr>
        <w:rFonts w:hint="default"/>
        <w:b w:val="0"/>
      </w:rPr>
    </w:lvl>
    <w:lvl w:ilvl="1">
      <w:start w:val="2"/>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 w15:restartNumberingAfterBreak="0">
    <w:nsid w:val="20F50E71"/>
    <w:multiLevelType w:val="hybridMultilevel"/>
    <w:tmpl w:val="91AACDCE"/>
    <w:lvl w:ilvl="0" w:tplc="A4E0BCE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EE2B6D"/>
    <w:multiLevelType w:val="hybridMultilevel"/>
    <w:tmpl w:val="4F8AECE8"/>
    <w:lvl w:ilvl="0" w:tplc="0409000F">
      <w:start w:val="1"/>
      <w:numFmt w:val="decimal"/>
      <w:lvlText w:val="%1."/>
      <w:lvlJc w:val="left"/>
      <w:pPr>
        <w:ind w:left="1228" w:hanging="360"/>
      </w:p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4E60CA1"/>
    <w:multiLevelType w:val="hybridMultilevel"/>
    <w:tmpl w:val="5CDCD7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8104BD8"/>
    <w:multiLevelType w:val="hybridMultilevel"/>
    <w:tmpl w:val="A23E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26B60EF"/>
    <w:multiLevelType w:val="multilevel"/>
    <w:tmpl w:val="C6A2B77C"/>
    <w:lvl w:ilvl="0">
      <w:start w:val="1"/>
      <w:numFmt w:val="decimal"/>
      <w:lvlText w:val="%1."/>
      <w:lvlJc w:val="left"/>
      <w:pPr>
        <w:tabs>
          <w:tab w:val="num" w:pos="0"/>
        </w:tabs>
        <w:ind w:left="0" w:firstLine="0"/>
      </w:pPr>
      <w:rPr>
        <w:rFonts w:hint="default"/>
        <w:b w:val="0"/>
      </w:rPr>
    </w:lvl>
    <w:lvl w:ilvl="1">
      <w:start w:val="2"/>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15:restartNumberingAfterBreak="0">
    <w:nsid w:val="66D553C0"/>
    <w:multiLevelType w:val="hybridMultilevel"/>
    <w:tmpl w:val="51EAD978"/>
    <w:lvl w:ilvl="0" w:tplc="FFFFFFFF">
      <w:start w:val="1"/>
      <w:numFmt w:val="decimal"/>
      <w:lvlText w:val="%1."/>
      <w:lvlJc w:val="left"/>
      <w:pPr>
        <w:tabs>
          <w:tab w:val="num" w:pos="2591"/>
        </w:tabs>
        <w:ind w:left="2591" w:hanging="360"/>
      </w:pPr>
    </w:lvl>
    <w:lvl w:ilvl="1" w:tplc="FFFFFFFF" w:tentative="1">
      <w:start w:val="1"/>
      <w:numFmt w:val="lowerLetter"/>
      <w:lvlText w:val="%2."/>
      <w:lvlJc w:val="left"/>
      <w:pPr>
        <w:tabs>
          <w:tab w:val="num" w:pos="3311"/>
        </w:tabs>
        <w:ind w:left="3311" w:hanging="360"/>
      </w:pPr>
    </w:lvl>
    <w:lvl w:ilvl="2" w:tplc="FFFFFFFF" w:tentative="1">
      <w:start w:val="1"/>
      <w:numFmt w:val="lowerRoman"/>
      <w:lvlText w:val="%3."/>
      <w:lvlJc w:val="right"/>
      <w:pPr>
        <w:tabs>
          <w:tab w:val="num" w:pos="4031"/>
        </w:tabs>
        <w:ind w:left="4031" w:hanging="180"/>
      </w:pPr>
    </w:lvl>
    <w:lvl w:ilvl="3" w:tplc="FFFFFFFF" w:tentative="1">
      <w:start w:val="1"/>
      <w:numFmt w:val="decimal"/>
      <w:lvlText w:val="%4."/>
      <w:lvlJc w:val="left"/>
      <w:pPr>
        <w:tabs>
          <w:tab w:val="num" w:pos="4751"/>
        </w:tabs>
        <w:ind w:left="4751" w:hanging="360"/>
      </w:pPr>
    </w:lvl>
    <w:lvl w:ilvl="4" w:tplc="FFFFFFFF" w:tentative="1">
      <w:start w:val="1"/>
      <w:numFmt w:val="lowerLetter"/>
      <w:lvlText w:val="%5."/>
      <w:lvlJc w:val="left"/>
      <w:pPr>
        <w:tabs>
          <w:tab w:val="num" w:pos="5471"/>
        </w:tabs>
        <w:ind w:left="5471" w:hanging="360"/>
      </w:pPr>
    </w:lvl>
    <w:lvl w:ilvl="5" w:tplc="FFFFFFFF" w:tentative="1">
      <w:start w:val="1"/>
      <w:numFmt w:val="lowerRoman"/>
      <w:lvlText w:val="%6."/>
      <w:lvlJc w:val="right"/>
      <w:pPr>
        <w:tabs>
          <w:tab w:val="num" w:pos="6191"/>
        </w:tabs>
        <w:ind w:left="6191" w:hanging="180"/>
      </w:pPr>
    </w:lvl>
    <w:lvl w:ilvl="6" w:tplc="FFFFFFFF" w:tentative="1">
      <w:start w:val="1"/>
      <w:numFmt w:val="decimal"/>
      <w:lvlText w:val="%7."/>
      <w:lvlJc w:val="left"/>
      <w:pPr>
        <w:tabs>
          <w:tab w:val="num" w:pos="6911"/>
        </w:tabs>
        <w:ind w:left="6911" w:hanging="360"/>
      </w:pPr>
    </w:lvl>
    <w:lvl w:ilvl="7" w:tplc="FFFFFFFF" w:tentative="1">
      <w:start w:val="1"/>
      <w:numFmt w:val="lowerLetter"/>
      <w:lvlText w:val="%8."/>
      <w:lvlJc w:val="left"/>
      <w:pPr>
        <w:tabs>
          <w:tab w:val="num" w:pos="7631"/>
        </w:tabs>
        <w:ind w:left="7631" w:hanging="360"/>
      </w:pPr>
    </w:lvl>
    <w:lvl w:ilvl="8" w:tplc="FFFFFFFF" w:tentative="1">
      <w:start w:val="1"/>
      <w:numFmt w:val="lowerRoman"/>
      <w:lvlText w:val="%9."/>
      <w:lvlJc w:val="right"/>
      <w:pPr>
        <w:tabs>
          <w:tab w:val="num" w:pos="8351"/>
        </w:tabs>
        <w:ind w:left="8351" w:hanging="180"/>
      </w:pPr>
    </w:lvl>
  </w:abstractNum>
  <w:abstractNum w:abstractNumId="22" w15:restartNumberingAfterBreak="0">
    <w:nsid w:val="74A957C0"/>
    <w:multiLevelType w:val="hybridMultilevel"/>
    <w:tmpl w:val="444C6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9"/>
  </w:num>
  <w:num w:numId="19">
    <w:abstractNumId w:val="23"/>
  </w:num>
  <w:num w:numId="20">
    <w:abstractNumId w:val="15"/>
  </w:num>
  <w:num w:numId="21">
    <w:abstractNumId w:val="23"/>
    <w:lvlOverride w:ilvl="0">
      <w:startOverride w:val="1"/>
    </w:lvlOverride>
  </w:num>
  <w:num w:numId="22">
    <w:abstractNumId w:val="17"/>
  </w:num>
  <w:num w:numId="23">
    <w:abstractNumId w:val="22"/>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0"/>
  </w:num>
  <w:num w:numId="29">
    <w:abstractNumId w:val="11"/>
  </w:num>
  <w:num w:numId="30">
    <w:abstractNumId w:val="1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2"/>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0"/>
  </w:num>
  <w:num w:numId="42">
    <w:abstractNumId w:val="10"/>
    <w:lvlOverride w:ilvl="0">
      <w:startOverride w:val="2"/>
    </w:lvlOverride>
  </w:num>
  <w:num w:numId="43">
    <w:abstractNumId w:val="10"/>
    <w:lvlOverride w:ilvl="0">
      <w:startOverride w:val="3"/>
    </w:lvlOverride>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D7"/>
    <w:rsid w:val="00000FED"/>
    <w:rsid w:val="0000434E"/>
    <w:rsid w:val="00006BC2"/>
    <w:rsid w:val="000112A2"/>
    <w:rsid w:val="00011F9F"/>
    <w:rsid w:val="00012621"/>
    <w:rsid w:val="000211A9"/>
    <w:rsid w:val="0003089B"/>
    <w:rsid w:val="00031260"/>
    <w:rsid w:val="00031336"/>
    <w:rsid w:val="000335AF"/>
    <w:rsid w:val="000348FE"/>
    <w:rsid w:val="000362D8"/>
    <w:rsid w:val="0003681A"/>
    <w:rsid w:val="0003696D"/>
    <w:rsid w:val="00037F24"/>
    <w:rsid w:val="00040F65"/>
    <w:rsid w:val="000461BF"/>
    <w:rsid w:val="0004782C"/>
    <w:rsid w:val="00051924"/>
    <w:rsid w:val="0005192F"/>
    <w:rsid w:val="000542E8"/>
    <w:rsid w:val="0005454B"/>
    <w:rsid w:val="00055565"/>
    <w:rsid w:val="0005771A"/>
    <w:rsid w:val="00061D9F"/>
    <w:rsid w:val="00063029"/>
    <w:rsid w:val="000722F8"/>
    <w:rsid w:val="00072F4E"/>
    <w:rsid w:val="00080ED0"/>
    <w:rsid w:val="00081775"/>
    <w:rsid w:val="00084648"/>
    <w:rsid w:val="00085B8F"/>
    <w:rsid w:val="00086FFD"/>
    <w:rsid w:val="00090481"/>
    <w:rsid w:val="0009056C"/>
    <w:rsid w:val="00091601"/>
    <w:rsid w:val="00092FDA"/>
    <w:rsid w:val="00093044"/>
    <w:rsid w:val="000959EE"/>
    <w:rsid w:val="000A09A3"/>
    <w:rsid w:val="000A1AFF"/>
    <w:rsid w:val="000A25FB"/>
    <w:rsid w:val="000A699C"/>
    <w:rsid w:val="000B1315"/>
    <w:rsid w:val="000B13F7"/>
    <w:rsid w:val="000B754D"/>
    <w:rsid w:val="000C080C"/>
    <w:rsid w:val="000C0EDB"/>
    <w:rsid w:val="000D0E04"/>
    <w:rsid w:val="000D149B"/>
    <w:rsid w:val="000D16D6"/>
    <w:rsid w:val="000E07BC"/>
    <w:rsid w:val="000E3C0E"/>
    <w:rsid w:val="000E3EF1"/>
    <w:rsid w:val="000F123E"/>
    <w:rsid w:val="000F1CD4"/>
    <w:rsid w:val="000F1CFC"/>
    <w:rsid w:val="000F3057"/>
    <w:rsid w:val="000F4103"/>
    <w:rsid w:val="000F6C15"/>
    <w:rsid w:val="000F70A7"/>
    <w:rsid w:val="000F744B"/>
    <w:rsid w:val="00104F13"/>
    <w:rsid w:val="00105135"/>
    <w:rsid w:val="001072FB"/>
    <w:rsid w:val="0010797E"/>
    <w:rsid w:val="00111998"/>
    <w:rsid w:val="001159DF"/>
    <w:rsid w:val="001163C9"/>
    <w:rsid w:val="0012442F"/>
    <w:rsid w:val="001336B8"/>
    <w:rsid w:val="00135980"/>
    <w:rsid w:val="001363A5"/>
    <w:rsid w:val="001409A9"/>
    <w:rsid w:val="00151087"/>
    <w:rsid w:val="00152191"/>
    <w:rsid w:val="0015268C"/>
    <w:rsid w:val="001634C3"/>
    <w:rsid w:val="00163FB1"/>
    <w:rsid w:val="00164719"/>
    <w:rsid w:val="001647AC"/>
    <w:rsid w:val="00166FC4"/>
    <w:rsid w:val="001677AC"/>
    <w:rsid w:val="00170CB9"/>
    <w:rsid w:val="00174BFE"/>
    <w:rsid w:val="00176AD9"/>
    <w:rsid w:val="00176FC0"/>
    <w:rsid w:val="001804EA"/>
    <w:rsid w:val="00182501"/>
    <w:rsid w:val="001863B0"/>
    <w:rsid w:val="001866F5"/>
    <w:rsid w:val="00190A61"/>
    <w:rsid w:val="00190B82"/>
    <w:rsid w:val="001911BE"/>
    <w:rsid w:val="00193AC9"/>
    <w:rsid w:val="00197566"/>
    <w:rsid w:val="001A22E9"/>
    <w:rsid w:val="001A3342"/>
    <w:rsid w:val="001A3E3D"/>
    <w:rsid w:val="001A53F3"/>
    <w:rsid w:val="001A6514"/>
    <w:rsid w:val="001A7049"/>
    <w:rsid w:val="001B0906"/>
    <w:rsid w:val="001B1618"/>
    <w:rsid w:val="001B1E40"/>
    <w:rsid w:val="001B40D4"/>
    <w:rsid w:val="001B49A9"/>
    <w:rsid w:val="001B4A59"/>
    <w:rsid w:val="001B6100"/>
    <w:rsid w:val="001B782F"/>
    <w:rsid w:val="001C1127"/>
    <w:rsid w:val="001C276F"/>
    <w:rsid w:val="001C2E93"/>
    <w:rsid w:val="001C764E"/>
    <w:rsid w:val="001D2756"/>
    <w:rsid w:val="001D2FA3"/>
    <w:rsid w:val="001D3522"/>
    <w:rsid w:val="001E0F8F"/>
    <w:rsid w:val="001E1052"/>
    <w:rsid w:val="001E1061"/>
    <w:rsid w:val="001E21B1"/>
    <w:rsid w:val="001E2F93"/>
    <w:rsid w:val="001E61E5"/>
    <w:rsid w:val="001E6395"/>
    <w:rsid w:val="001E64B4"/>
    <w:rsid w:val="001F072E"/>
    <w:rsid w:val="001F2159"/>
    <w:rsid w:val="001F297A"/>
    <w:rsid w:val="001F34A8"/>
    <w:rsid w:val="002037ED"/>
    <w:rsid w:val="00204CEF"/>
    <w:rsid w:val="00210D28"/>
    <w:rsid w:val="0021115B"/>
    <w:rsid w:val="002156B4"/>
    <w:rsid w:val="0022523D"/>
    <w:rsid w:val="002263E4"/>
    <w:rsid w:val="00227BFF"/>
    <w:rsid w:val="00231B70"/>
    <w:rsid w:val="00235923"/>
    <w:rsid w:val="002379A5"/>
    <w:rsid w:val="00241CCE"/>
    <w:rsid w:val="002526A4"/>
    <w:rsid w:val="00253222"/>
    <w:rsid w:val="002553DC"/>
    <w:rsid w:val="002559B7"/>
    <w:rsid w:val="00261D3C"/>
    <w:rsid w:val="00262847"/>
    <w:rsid w:val="00264C19"/>
    <w:rsid w:val="00276E08"/>
    <w:rsid w:val="00286664"/>
    <w:rsid w:val="00286D2F"/>
    <w:rsid w:val="002A19A6"/>
    <w:rsid w:val="002B28BA"/>
    <w:rsid w:val="002B72E9"/>
    <w:rsid w:val="002C04D2"/>
    <w:rsid w:val="002C140E"/>
    <w:rsid w:val="002C3CFF"/>
    <w:rsid w:val="002C6A0F"/>
    <w:rsid w:val="002C7998"/>
    <w:rsid w:val="002D15AB"/>
    <w:rsid w:val="002D2D57"/>
    <w:rsid w:val="002E11CB"/>
    <w:rsid w:val="002E2481"/>
    <w:rsid w:val="002E3E9C"/>
    <w:rsid w:val="002E5583"/>
    <w:rsid w:val="002F1D51"/>
    <w:rsid w:val="002F1E53"/>
    <w:rsid w:val="002F2CAA"/>
    <w:rsid w:val="003029F2"/>
    <w:rsid w:val="00302B92"/>
    <w:rsid w:val="00303675"/>
    <w:rsid w:val="00310C70"/>
    <w:rsid w:val="00314218"/>
    <w:rsid w:val="00323D60"/>
    <w:rsid w:val="003306E1"/>
    <w:rsid w:val="0033086A"/>
    <w:rsid w:val="003320E4"/>
    <w:rsid w:val="003326FE"/>
    <w:rsid w:val="0033525D"/>
    <w:rsid w:val="0033635A"/>
    <w:rsid w:val="003414F3"/>
    <w:rsid w:val="00341B9F"/>
    <w:rsid w:val="00341C9C"/>
    <w:rsid w:val="00342DF5"/>
    <w:rsid w:val="0035613E"/>
    <w:rsid w:val="003569D4"/>
    <w:rsid w:val="00363EE9"/>
    <w:rsid w:val="00364A8C"/>
    <w:rsid w:val="0037042C"/>
    <w:rsid w:val="003709B6"/>
    <w:rsid w:val="00376128"/>
    <w:rsid w:val="0037741E"/>
    <w:rsid w:val="0037742E"/>
    <w:rsid w:val="0038125E"/>
    <w:rsid w:val="003821CC"/>
    <w:rsid w:val="0038245A"/>
    <w:rsid w:val="00385EBD"/>
    <w:rsid w:val="0038705B"/>
    <w:rsid w:val="00391D67"/>
    <w:rsid w:val="00392531"/>
    <w:rsid w:val="0039337A"/>
    <w:rsid w:val="00393633"/>
    <w:rsid w:val="0039698C"/>
    <w:rsid w:val="00397FE5"/>
    <w:rsid w:val="003A3189"/>
    <w:rsid w:val="003A387E"/>
    <w:rsid w:val="003A50CC"/>
    <w:rsid w:val="003A567A"/>
    <w:rsid w:val="003B50D5"/>
    <w:rsid w:val="003B569D"/>
    <w:rsid w:val="003B592A"/>
    <w:rsid w:val="003C3C0E"/>
    <w:rsid w:val="003C5354"/>
    <w:rsid w:val="003D4CEF"/>
    <w:rsid w:val="003D4E64"/>
    <w:rsid w:val="003D4FAC"/>
    <w:rsid w:val="003D536B"/>
    <w:rsid w:val="003D6010"/>
    <w:rsid w:val="003D6B41"/>
    <w:rsid w:val="003E17C5"/>
    <w:rsid w:val="003E48FF"/>
    <w:rsid w:val="003E5079"/>
    <w:rsid w:val="003E67D6"/>
    <w:rsid w:val="003E70F0"/>
    <w:rsid w:val="003E7906"/>
    <w:rsid w:val="003F35F7"/>
    <w:rsid w:val="003F3734"/>
    <w:rsid w:val="003F3C50"/>
    <w:rsid w:val="003F625D"/>
    <w:rsid w:val="00402E04"/>
    <w:rsid w:val="00403164"/>
    <w:rsid w:val="00404E98"/>
    <w:rsid w:val="0040628C"/>
    <w:rsid w:val="00406A6A"/>
    <w:rsid w:val="00406B22"/>
    <w:rsid w:val="00410BCA"/>
    <w:rsid w:val="0041420B"/>
    <w:rsid w:val="00420120"/>
    <w:rsid w:val="00420FF9"/>
    <w:rsid w:val="0042532C"/>
    <w:rsid w:val="00430A97"/>
    <w:rsid w:val="004328A7"/>
    <w:rsid w:val="00432DA4"/>
    <w:rsid w:val="00434C74"/>
    <w:rsid w:val="0043652A"/>
    <w:rsid w:val="00436EFA"/>
    <w:rsid w:val="00442989"/>
    <w:rsid w:val="00443B77"/>
    <w:rsid w:val="0045338C"/>
    <w:rsid w:val="004541D6"/>
    <w:rsid w:val="004548AA"/>
    <w:rsid w:val="00456C17"/>
    <w:rsid w:val="00456EB4"/>
    <w:rsid w:val="00465CB2"/>
    <w:rsid w:val="004718F3"/>
    <w:rsid w:val="00471971"/>
    <w:rsid w:val="00475040"/>
    <w:rsid w:val="00481C17"/>
    <w:rsid w:val="004833B8"/>
    <w:rsid w:val="004854C6"/>
    <w:rsid w:val="00485D67"/>
    <w:rsid w:val="00493D40"/>
    <w:rsid w:val="004967B6"/>
    <w:rsid w:val="0049698F"/>
    <w:rsid w:val="004A504B"/>
    <w:rsid w:val="004A5AE7"/>
    <w:rsid w:val="004A6911"/>
    <w:rsid w:val="004A7612"/>
    <w:rsid w:val="004A7DFE"/>
    <w:rsid w:val="004A7F5F"/>
    <w:rsid w:val="004B2DC8"/>
    <w:rsid w:val="004B430F"/>
    <w:rsid w:val="004B4FFC"/>
    <w:rsid w:val="004B54E0"/>
    <w:rsid w:val="004B7384"/>
    <w:rsid w:val="004C03A9"/>
    <w:rsid w:val="004C1B3A"/>
    <w:rsid w:val="004C4269"/>
    <w:rsid w:val="004C5F71"/>
    <w:rsid w:val="004D207D"/>
    <w:rsid w:val="004D3B04"/>
    <w:rsid w:val="004D467F"/>
    <w:rsid w:val="004D6236"/>
    <w:rsid w:val="004D6C0D"/>
    <w:rsid w:val="004D7BAE"/>
    <w:rsid w:val="004E1E31"/>
    <w:rsid w:val="004E2E63"/>
    <w:rsid w:val="004E465B"/>
    <w:rsid w:val="004E4812"/>
    <w:rsid w:val="004E4DBB"/>
    <w:rsid w:val="004E4E41"/>
    <w:rsid w:val="004E5177"/>
    <w:rsid w:val="004E60C4"/>
    <w:rsid w:val="004E7403"/>
    <w:rsid w:val="004E7F9C"/>
    <w:rsid w:val="004F0FA9"/>
    <w:rsid w:val="004F173E"/>
    <w:rsid w:val="004F3493"/>
    <w:rsid w:val="004F4F6C"/>
    <w:rsid w:val="004F5B41"/>
    <w:rsid w:val="005005A6"/>
    <w:rsid w:val="00503486"/>
    <w:rsid w:val="005069E2"/>
    <w:rsid w:val="005105DA"/>
    <w:rsid w:val="0051215C"/>
    <w:rsid w:val="00512B09"/>
    <w:rsid w:val="005153F9"/>
    <w:rsid w:val="005211E6"/>
    <w:rsid w:val="00521CC0"/>
    <w:rsid w:val="00527898"/>
    <w:rsid w:val="00530990"/>
    <w:rsid w:val="00531801"/>
    <w:rsid w:val="005334AC"/>
    <w:rsid w:val="0054231B"/>
    <w:rsid w:val="00547A45"/>
    <w:rsid w:val="00550031"/>
    <w:rsid w:val="005515A7"/>
    <w:rsid w:val="00551FCC"/>
    <w:rsid w:val="00553AF7"/>
    <w:rsid w:val="00555D75"/>
    <w:rsid w:val="00556F5C"/>
    <w:rsid w:val="00560946"/>
    <w:rsid w:val="00560DF0"/>
    <w:rsid w:val="00566874"/>
    <w:rsid w:val="0056759C"/>
    <w:rsid w:val="00576E01"/>
    <w:rsid w:val="00580967"/>
    <w:rsid w:val="0058374B"/>
    <w:rsid w:val="00583C16"/>
    <w:rsid w:val="00584BE9"/>
    <w:rsid w:val="0059216E"/>
    <w:rsid w:val="0059256A"/>
    <w:rsid w:val="0059513E"/>
    <w:rsid w:val="00597226"/>
    <w:rsid w:val="005A0D91"/>
    <w:rsid w:val="005A16BF"/>
    <w:rsid w:val="005A1E0A"/>
    <w:rsid w:val="005A351F"/>
    <w:rsid w:val="005A50E2"/>
    <w:rsid w:val="005A76E7"/>
    <w:rsid w:val="005B07BC"/>
    <w:rsid w:val="005B2B0B"/>
    <w:rsid w:val="005B3589"/>
    <w:rsid w:val="005B48FF"/>
    <w:rsid w:val="005B6524"/>
    <w:rsid w:val="005B675D"/>
    <w:rsid w:val="005C5EA2"/>
    <w:rsid w:val="005C74C6"/>
    <w:rsid w:val="005E4A17"/>
    <w:rsid w:val="005E515E"/>
    <w:rsid w:val="005E60CB"/>
    <w:rsid w:val="0060389E"/>
    <w:rsid w:val="00604C15"/>
    <w:rsid w:val="0061157C"/>
    <w:rsid w:val="006158D5"/>
    <w:rsid w:val="006206E2"/>
    <w:rsid w:val="00620B19"/>
    <w:rsid w:val="00622A29"/>
    <w:rsid w:val="00625583"/>
    <w:rsid w:val="00625D83"/>
    <w:rsid w:val="00631F8E"/>
    <w:rsid w:val="006347AB"/>
    <w:rsid w:val="00640895"/>
    <w:rsid w:val="006418CF"/>
    <w:rsid w:val="00641CE3"/>
    <w:rsid w:val="00645BBB"/>
    <w:rsid w:val="0065029D"/>
    <w:rsid w:val="00650BFE"/>
    <w:rsid w:val="00650F91"/>
    <w:rsid w:val="00652968"/>
    <w:rsid w:val="006623E7"/>
    <w:rsid w:val="00662869"/>
    <w:rsid w:val="00662B80"/>
    <w:rsid w:val="00663E9B"/>
    <w:rsid w:val="00665C27"/>
    <w:rsid w:val="00667244"/>
    <w:rsid w:val="0067102C"/>
    <w:rsid w:val="00682972"/>
    <w:rsid w:val="006835B1"/>
    <w:rsid w:val="006852C7"/>
    <w:rsid w:val="006852D7"/>
    <w:rsid w:val="00685AB1"/>
    <w:rsid w:val="00686506"/>
    <w:rsid w:val="006956BC"/>
    <w:rsid w:val="006963D6"/>
    <w:rsid w:val="006A2AB2"/>
    <w:rsid w:val="006A3718"/>
    <w:rsid w:val="006B2EB7"/>
    <w:rsid w:val="006B4A8B"/>
    <w:rsid w:val="006B786E"/>
    <w:rsid w:val="006C1727"/>
    <w:rsid w:val="006C28DF"/>
    <w:rsid w:val="006C32FD"/>
    <w:rsid w:val="006C39CE"/>
    <w:rsid w:val="006D0FCC"/>
    <w:rsid w:val="006D36C3"/>
    <w:rsid w:val="006D3FD0"/>
    <w:rsid w:val="006D7112"/>
    <w:rsid w:val="006D75B8"/>
    <w:rsid w:val="006E1D13"/>
    <w:rsid w:val="006E4A75"/>
    <w:rsid w:val="006F2F6D"/>
    <w:rsid w:val="006F54CF"/>
    <w:rsid w:val="006F56C3"/>
    <w:rsid w:val="00700194"/>
    <w:rsid w:val="007032D4"/>
    <w:rsid w:val="00704F3B"/>
    <w:rsid w:val="0070616B"/>
    <w:rsid w:val="00706FDA"/>
    <w:rsid w:val="007070F7"/>
    <w:rsid w:val="00711A6E"/>
    <w:rsid w:val="00711F9A"/>
    <w:rsid w:val="00712E68"/>
    <w:rsid w:val="00713810"/>
    <w:rsid w:val="00714AA0"/>
    <w:rsid w:val="00716707"/>
    <w:rsid w:val="0072122F"/>
    <w:rsid w:val="00723A51"/>
    <w:rsid w:val="00725CBD"/>
    <w:rsid w:val="00730115"/>
    <w:rsid w:val="007303A5"/>
    <w:rsid w:val="00730B3E"/>
    <w:rsid w:val="00732C46"/>
    <w:rsid w:val="0073411D"/>
    <w:rsid w:val="0073420B"/>
    <w:rsid w:val="0073731B"/>
    <w:rsid w:val="00737D46"/>
    <w:rsid w:val="007413CB"/>
    <w:rsid w:val="007429CC"/>
    <w:rsid w:val="007442D7"/>
    <w:rsid w:val="00747270"/>
    <w:rsid w:val="0074760E"/>
    <w:rsid w:val="00750094"/>
    <w:rsid w:val="007549DD"/>
    <w:rsid w:val="00754ABA"/>
    <w:rsid w:val="00756661"/>
    <w:rsid w:val="00756D9D"/>
    <w:rsid w:val="007576C7"/>
    <w:rsid w:val="00761EF5"/>
    <w:rsid w:val="00765508"/>
    <w:rsid w:val="00765A2B"/>
    <w:rsid w:val="00772BE4"/>
    <w:rsid w:val="00776E5F"/>
    <w:rsid w:val="007771D8"/>
    <w:rsid w:val="0078148A"/>
    <w:rsid w:val="0078209C"/>
    <w:rsid w:val="00783D9E"/>
    <w:rsid w:val="00785393"/>
    <w:rsid w:val="0078539F"/>
    <w:rsid w:val="00794C03"/>
    <w:rsid w:val="00795719"/>
    <w:rsid w:val="00797FF4"/>
    <w:rsid w:val="007A14BA"/>
    <w:rsid w:val="007A1546"/>
    <w:rsid w:val="007A17B1"/>
    <w:rsid w:val="007A228C"/>
    <w:rsid w:val="007A2D62"/>
    <w:rsid w:val="007A368E"/>
    <w:rsid w:val="007A3838"/>
    <w:rsid w:val="007A5868"/>
    <w:rsid w:val="007B04CE"/>
    <w:rsid w:val="007B0CA6"/>
    <w:rsid w:val="007B6871"/>
    <w:rsid w:val="007B71E7"/>
    <w:rsid w:val="007B7A2F"/>
    <w:rsid w:val="007C3D33"/>
    <w:rsid w:val="007D006F"/>
    <w:rsid w:val="007D1D6B"/>
    <w:rsid w:val="007D294A"/>
    <w:rsid w:val="007D3579"/>
    <w:rsid w:val="007D47D2"/>
    <w:rsid w:val="007D6EC0"/>
    <w:rsid w:val="007D7E1D"/>
    <w:rsid w:val="007E1C44"/>
    <w:rsid w:val="007E5042"/>
    <w:rsid w:val="007E515A"/>
    <w:rsid w:val="007E72D7"/>
    <w:rsid w:val="0080199C"/>
    <w:rsid w:val="00801BBE"/>
    <w:rsid w:val="00804C78"/>
    <w:rsid w:val="00805383"/>
    <w:rsid w:val="00817693"/>
    <w:rsid w:val="00817D15"/>
    <w:rsid w:val="00820ADE"/>
    <w:rsid w:val="00821A46"/>
    <w:rsid w:val="00823D36"/>
    <w:rsid w:val="0083614B"/>
    <w:rsid w:val="008401DC"/>
    <w:rsid w:val="00842ADC"/>
    <w:rsid w:val="00842C05"/>
    <w:rsid w:val="0084612F"/>
    <w:rsid w:val="00851352"/>
    <w:rsid w:val="008518BB"/>
    <w:rsid w:val="00852A85"/>
    <w:rsid w:val="00853552"/>
    <w:rsid w:val="00855A5C"/>
    <w:rsid w:val="0085672D"/>
    <w:rsid w:val="008603BB"/>
    <w:rsid w:val="00863230"/>
    <w:rsid w:val="00865C1B"/>
    <w:rsid w:val="00866BD2"/>
    <w:rsid w:val="00871144"/>
    <w:rsid w:val="008717D8"/>
    <w:rsid w:val="00871FA4"/>
    <w:rsid w:val="0087215C"/>
    <w:rsid w:val="008741AD"/>
    <w:rsid w:val="00883ABE"/>
    <w:rsid w:val="0088437E"/>
    <w:rsid w:val="008843A0"/>
    <w:rsid w:val="0088533E"/>
    <w:rsid w:val="00885CE8"/>
    <w:rsid w:val="008871A6"/>
    <w:rsid w:val="008875FE"/>
    <w:rsid w:val="00887F8E"/>
    <w:rsid w:val="00891AC8"/>
    <w:rsid w:val="008943D1"/>
    <w:rsid w:val="008948D6"/>
    <w:rsid w:val="00896234"/>
    <w:rsid w:val="00897E43"/>
    <w:rsid w:val="008A0675"/>
    <w:rsid w:val="008A4F37"/>
    <w:rsid w:val="008A664E"/>
    <w:rsid w:val="008A66F3"/>
    <w:rsid w:val="008A7114"/>
    <w:rsid w:val="008B4122"/>
    <w:rsid w:val="008B43AB"/>
    <w:rsid w:val="008B68FE"/>
    <w:rsid w:val="008B6C88"/>
    <w:rsid w:val="008B7196"/>
    <w:rsid w:val="008C41CE"/>
    <w:rsid w:val="008C4453"/>
    <w:rsid w:val="008C5738"/>
    <w:rsid w:val="008C5BD4"/>
    <w:rsid w:val="008C7EAD"/>
    <w:rsid w:val="008D2459"/>
    <w:rsid w:val="008D6152"/>
    <w:rsid w:val="008D6675"/>
    <w:rsid w:val="008E0434"/>
    <w:rsid w:val="008E108B"/>
    <w:rsid w:val="008E3359"/>
    <w:rsid w:val="008E5284"/>
    <w:rsid w:val="008F0A3F"/>
    <w:rsid w:val="008F0F81"/>
    <w:rsid w:val="008F27BF"/>
    <w:rsid w:val="008F351F"/>
    <w:rsid w:val="00902317"/>
    <w:rsid w:val="00902707"/>
    <w:rsid w:val="00902736"/>
    <w:rsid w:val="009064C1"/>
    <w:rsid w:val="00912D06"/>
    <w:rsid w:val="00917401"/>
    <w:rsid w:val="00917D0F"/>
    <w:rsid w:val="00921B88"/>
    <w:rsid w:val="0092349C"/>
    <w:rsid w:val="00923540"/>
    <w:rsid w:val="00926767"/>
    <w:rsid w:val="00933A5A"/>
    <w:rsid w:val="009347E4"/>
    <w:rsid w:val="009361D5"/>
    <w:rsid w:val="009401A5"/>
    <w:rsid w:val="0094239E"/>
    <w:rsid w:val="00945E0C"/>
    <w:rsid w:val="00947804"/>
    <w:rsid w:val="009501B4"/>
    <w:rsid w:val="00952CAD"/>
    <w:rsid w:val="00957AA9"/>
    <w:rsid w:val="009659F4"/>
    <w:rsid w:val="00967F55"/>
    <w:rsid w:val="00970D60"/>
    <w:rsid w:val="0097560B"/>
    <w:rsid w:val="00983186"/>
    <w:rsid w:val="00987D78"/>
    <w:rsid w:val="0099172D"/>
    <w:rsid w:val="00993216"/>
    <w:rsid w:val="009960E5"/>
    <w:rsid w:val="009A1D4E"/>
    <w:rsid w:val="009A3DAE"/>
    <w:rsid w:val="009A7ADC"/>
    <w:rsid w:val="009B3960"/>
    <w:rsid w:val="009B4701"/>
    <w:rsid w:val="009B5D8F"/>
    <w:rsid w:val="009C15A3"/>
    <w:rsid w:val="009C19B7"/>
    <w:rsid w:val="009C26E5"/>
    <w:rsid w:val="009C3F5F"/>
    <w:rsid w:val="009C626F"/>
    <w:rsid w:val="009C6CEB"/>
    <w:rsid w:val="009D116E"/>
    <w:rsid w:val="009D32D2"/>
    <w:rsid w:val="009D5F98"/>
    <w:rsid w:val="009D7C51"/>
    <w:rsid w:val="009E08B5"/>
    <w:rsid w:val="009E0BC8"/>
    <w:rsid w:val="009E2201"/>
    <w:rsid w:val="009E2861"/>
    <w:rsid w:val="009E3CE1"/>
    <w:rsid w:val="009F2501"/>
    <w:rsid w:val="009F31C0"/>
    <w:rsid w:val="009F36BF"/>
    <w:rsid w:val="009F462A"/>
    <w:rsid w:val="009F4BF1"/>
    <w:rsid w:val="009F7FDC"/>
    <w:rsid w:val="00A05CC9"/>
    <w:rsid w:val="00A07792"/>
    <w:rsid w:val="00A07D67"/>
    <w:rsid w:val="00A111B6"/>
    <w:rsid w:val="00A12079"/>
    <w:rsid w:val="00A23955"/>
    <w:rsid w:val="00A268BF"/>
    <w:rsid w:val="00A3176E"/>
    <w:rsid w:val="00A332EC"/>
    <w:rsid w:val="00A3408F"/>
    <w:rsid w:val="00A3426D"/>
    <w:rsid w:val="00A4139E"/>
    <w:rsid w:val="00A419F4"/>
    <w:rsid w:val="00A420FD"/>
    <w:rsid w:val="00A42A99"/>
    <w:rsid w:val="00A4361D"/>
    <w:rsid w:val="00A43919"/>
    <w:rsid w:val="00A43EC9"/>
    <w:rsid w:val="00A4538F"/>
    <w:rsid w:val="00A5151A"/>
    <w:rsid w:val="00A5657E"/>
    <w:rsid w:val="00A57E0A"/>
    <w:rsid w:val="00A610CF"/>
    <w:rsid w:val="00A6216D"/>
    <w:rsid w:val="00A62BA4"/>
    <w:rsid w:val="00A62ED9"/>
    <w:rsid w:val="00A655A9"/>
    <w:rsid w:val="00A65855"/>
    <w:rsid w:val="00A658DE"/>
    <w:rsid w:val="00A7231F"/>
    <w:rsid w:val="00A750BD"/>
    <w:rsid w:val="00A7710D"/>
    <w:rsid w:val="00A77A8A"/>
    <w:rsid w:val="00A815BF"/>
    <w:rsid w:val="00A823F6"/>
    <w:rsid w:val="00A84480"/>
    <w:rsid w:val="00A87E0B"/>
    <w:rsid w:val="00A9066F"/>
    <w:rsid w:val="00A9148C"/>
    <w:rsid w:val="00A91ABF"/>
    <w:rsid w:val="00A962B6"/>
    <w:rsid w:val="00A96740"/>
    <w:rsid w:val="00A97B8D"/>
    <w:rsid w:val="00A97C7D"/>
    <w:rsid w:val="00AA0A89"/>
    <w:rsid w:val="00AA0B11"/>
    <w:rsid w:val="00AA267C"/>
    <w:rsid w:val="00AA4EB4"/>
    <w:rsid w:val="00AA63F4"/>
    <w:rsid w:val="00AA6429"/>
    <w:rsid w:val="00AA688B"/>
    <w:rsid w:val="00AB0D11"/>
    <w:rsid w:val="00AB50A2"/>
    <w:rsid w:val="00AB6908"/>
    <w:rsid w:val="00AC01AA"/>
    <w:rsid w:val="00AC0571"/>
    <w:rsid w:val="00AC0CBE"/>
    <w:rsid w:val="00AC42FB"/>
    <w:rsid w:val="00AC4F72"/>
    <w:rsid w:val="00AC6982"/>
    <w:rsid w:val="00AD0BD5"/>
    <w:rsid w:val="00AD2DC3"/>
    <w:rsid w:val="00AD448D"/>
    <w:rsid w:val="00AD6EB7"/>
    <w:rsid w:val="00AE0618"/>
    <w:rsid w:val="00AE2CEF"/>
    <w:rsid w:val="00AE643F"/>
    <w:rsid w:val="00AE74F8"/>
    <w:rsid w:val="00AF2AA8"/>
    <w:rsid w:val="00AF6057"/>
    <w:rsid w:val="00AF741A"/>
    <w:rsid w:val="00B018DA"/>
    <w:rsid w:val="00B01ADB"/>
    <w:rsid w:val="00B01EDD"/>
    <w:rsid w:val="00B02E3E"/>
    <w:rsid w:val="00B0338B"/>
    <w:rsid w:val="00B04161"/>
    <w:rsid w:val="00B056F9"/>
    <w:rsid w:val="00B11E3D"/>
    <w:rsid w:val="00B12223"/>
    <w:rsid w:val="00B12F03"/>
    <w:rsid w:val="00B17774"/>
    <w:rsid w:val="00B17E82"/>
    <w:rsid w:val="00B242AF"/>
    <w:rsid w:val="00B24A5D"/>
    <w:rsid w:val="00B256EB"/>
    <w:rsid w:val="00B25987"/>
    <w:rsid w:val="00B32207"/>
    <w:rsid w:val="00B35D4E"/>
    <w:rsid w:val="00B375DC"/>
    <w:rsid w:val="00B4575A"/>
    <w:rsid w:val="00B45FC2"/>
    <w:rsid w:val="00B503CC"/>
    <w:rsid w:val="00B52FF9"/>
    <w:rsid w:val="00B54114"/>
    <w:rsid w:val="00B575BA"/>
    <w:rsid w:val="00B57896"/>
    <w:rsid w:val="00B600D8"/>
    <w:rsid w:val="00B614F1"/>
    <w:rsid w:val="00B61A0C"/>
    <w:rsid w:val="00B62B40"/>
    <w:rsid w:val="00B65832"/>
    <w:rsid w:val="00B66B76"/>
    <w:rsid w:val="00B66F58"/>
    <w:rsid w:val="00B6716D"/>
    <w:rsid w:val="00B70313"/>
    <w:rsid w:val="00B70A7F"/>
    <w:rsid w:val="00B70B54"/>
    <w:rsid w:val="00B74D14"/>
    <w:rsid w:val="00B76429"/>
    <w:rsid w:val="00B805A0"/>
    <w:rsid w:val="00B8138F"/>
    <w:rsid w:val="00B813E1"/>
    <w:rsid w:val="00B845DF"/>
    <w:rsid w:val="00B8518C"/>
    <w:rsid w:val="00B853F7"/>
    <w:rsid w:val="00B855CB"/>
    <w:rsid w:val="00B8635B"/>
    <w:rsid w:val="00B9094A"/>
    <w:rsid w:val="00B9291F"/>
    <w:rsid w:val="00B94AF8"/>
    <w:rsid w:val="00B956D4"/>
    <w:rsid w:val="00B958EF"/>
    <w:rsid w:val="00B959A4"/>
    <w:rsid w:val="00B9628B"/>
    <w:rsid w:val="00B97446"/>
    <w:rsid w:val="00BA264E"/>
    <w:rsid w:val="00BA2B5E"/>
    <w:rsid w:val="00BA553E"/>
    <w:rsid w:val="00BA5C21"/>
    <w:rsid w:val="00BA7432"/>
    <w:rsid w:val="00BB02D9"/>
    <w:rsid w:val="00BB3D53"/>
    <w:rsid w:val="00BC1AA0"/>
    <w:rsid w:val="00BC2495"/>
    <w:rsid w:val="00BC2638"/>
    <w:rsid w:val="00BC3BD4"/>
    <w:rsid w:val="00BC7EB9"/>
    <w:rsid w:val="00BD0447"/>
    <w:rsid w:val="00BD0E87"/>
    <w:rsid w:val="00BD1AF2"/>
    <w:rsid w:val="00BD2643"/>
    <w:rsid w:val="00BD513D"/>
    <w:rsid w:val="00BD56B1"/>
    <w:rsid w:val="00BD5FA1"/>
    <w:rsid w:val="00BD6558"/>
    <w:rsid w:val="00BE08A4"/>
    <w:rsid w:val="00BE52C0"/>
    <w:rsid w:val="00BF1A41"/>
    <w:rsid w:val="00BF2BDF"/>
    <w:rsid w:val="00BF2E02"/>
    <w:rsid w:val="00BF3214"/>
    <w:rsid w:val="00BF4751"/>
    <w:rsid w:val="00BF5BD9"/>
    <w:rsid w:val="00C02689"/>
    <w:rsid w:val="00C02BB8"/>
    <w:rsid w:val="00C02C1B"/>
    <w:rsid w:val="00C124EE"/>
    <w:rsid w:val="00C12B1D"/>
    <w:rsid w:val="00C15867"/>
    <w:rsid w:val="00C179AE"/>
    <w:rsid w:val="00C17E44"/>
    <w:rsid w:val="00C22874"/>
    <w:rsid w:val="00C2296D"/>
    <w:rsid w:val="00C23155"/>
    <w:rsid w:val="00C23CA2"/>
    <w:rsid w:val="00C25B5E"/>
    <w:rsid w:val="00C40C41"/>
    <w:rsid w:val="00C45885"/>
    <w:rsid w:val="00C47E34"/>
    <w:rsid w:val="00C50F22"/>
    <w:rsid w:val="00C56C85"/>
    <w:rsid w:val="00C57971"/>
    <w:rsid w:val="00C61C6D"/>
    <w:rsid w:val="00C627BF"/>
    <w:rsid w:val="00C6647E"/>
    <w:rsid w:val="00C665FC"/>
    <w:rsid w:val="00C70903"/>
    <w:rsid w:val="00C75C4B"/>
    <w:rsid w:val="00C76BA4"/>
    <w:rsid w:val="00C77A0E"/>
    <w:rsid w:val="00C80122"/>
    <w:rsid w:val="00C818D6"/>
    <w:rsid w:val="00C82D6F"/>
    <w:rsid w:val="00C83A48"/>
    <w:rsid w:val="00C8575E"/>
    <w:rsid w:val="00C85865"/>
    <w:rsid w:val="00C85E85"/>
    <w:rsid w:val="00C9094A"/>
    <w:rsid w:val="00C92FD4"/>
    <w:rsid w:val="00C93AB8"/>
    <w:rsid w:val="00CA1C22"/>
    <w:rsid w:val="00CA226B"/>
    <w:rsid w:val="00CA2304"/>
    <w:rsid w:val="00CA2EAE"/>
    <w:rsid w:val="00CA3904"/>
    <w:rsid w:val="00CA4AC1"/>
    <w:rsid w:val="00CA727B"/>
    <w:rsid w:val="00CB0316"/>
    <w:rsid w:val="00CB0B11"/>
    <w:rsid w:val="00CB2957"/>
    <w:rsid w:val="00CB31CC"/>
    <w:rsid w:val="00CB3960"/>
    <w:rsid w:val="00CB4063"/>
    <w:rsid w:val="00CB40F3"/>
    <w:rsid w:val="00CB533C"/>
    <w:rsid w:val="00CB5354"/>
    <w:rsid w:val="00CC6A14"/>
    <w:rsid w:val="00CC70A3"/>
    <w:rsid w:val="00CC73BC"/>
    <w:rsid w:val="00CD200B"/>
    <w:rsid w:val="00CD4442"/>
    <w:rsid w:val="00CD4880"/>
    <w:rsid w:val="00CD48B8"/>
    <w:rsid w:val="00CD53C3"/>
    <w:rsid w:val="00CD574E"/>
    <w:rsid w:val="00CE1461"/>
    <w:rsid w:val="00CE37B7"/>
    <w:rsid w:val="00CE4B64"/>
    <w:rsid w:val="00CE4C22"/>
    <w:rsid w:val="00CE5FEC"/>
    <w:rsid w:val="00CE7C58"/>
    <w:rsid w:val="00CF1348"/>
    <w:rsid w:val="00CF41EC"/>
    <w:rsid w:val="00CF5D04"/>
    <w:rsid w:val="00CF5F2A"/>
    <w:rsid w:val="00D01279"/>
    <w:rsid w:val="00D01924"/>
    <w:rsid w:val="00D04DE4"/>
    <w:rsid w:val="00D063F1"/>
    <w:rsid w:val="00D07F16"/>
    <w:rsid w:val="00D13541"/>
    <w:rsid w:val="00D136E6"/>
    <w:rsid w:val="00D14F22"/>
    <w:rsid w:val="00D166C9"/>
    <w:rsid w:val="00D16812"/>
    <w:rsid w:val="00D16C50"/>
    <w:rsid w:val="00D223AB"/>
    <w:rsid w:val="00D23B8E"/>
    <w:rsid w:val="00D34710"/>
    <w:rsid w:val="00D44A48"/>
    <w:rsid w:val="00D44E6F"/>
    <w:rsid w:val="00D45C23"/>
    <w:rsid w:val="00D522A4"/>
    <w:rsid w:val="00D53539"/>
    <w:rsid w:val="00D56363"/>
    <w:rsid w:val="00D57918"/>
    <w:rsid w:val="00D6286B"/>
    <w:rsid w:val="00D632C5"/>
    <w:rsid w:val="00D676B7"/>
    <w:rsid w:val="00D67E49"/>
    <w:rsid w:val="00D713BC"/>
    <w:rsid w:val="00D73DC6"/>
    <w:rsid w:val="00D74C1A"/>
    <w:rsid w:val="00D754C1"/>
    <w:rsid w:val="00D76900"/>
    <w:rsid w:val="00D77A35"/>
    <w:rsid w:val="00D815D4"/>
    <w:rsid w:val="00D81B3E"/>
    <w:rsid w:val="00D820A2"/>
    <w:rsid w:val="00D87234"/>
    <w:rsid w:val="00D90C70"/>
    <w:rsid w:val="00D90E49"/>
    <w:rsid w:val="00D93B89"/>
    <w:rsid w:val="00D93FC5"/>
    <w:rsid w:val="00D96BC1"/>
    <w:rsid w:val="00DA38BC"/>
    <w:rsid w:val="00DB2663"/>
    <w:rsid w:val="00DB5929"/>
    <w:rsid w:val="00DC546D"/>
    <w:rsid w:val="00DC5E32"/>
    <w:rsid w:val="00DC66A4"/>
    <w:rsid w:val="00DC6A10"/>
    <w:rsid w:val="00DC6CD0"/>
    <w:rsid w:val="00DD1D2D"/>
    <w:rsid w:val="00DD4828"/>
    <w:rsid w:val="00DD4E4C"/>
    <w:rsid w:val="00DD7488"/>
    <w:rsid w:val="00DE30B6"/>
    <w:rsid w:val="00DE37B9"/>
    <w:rsid w:val="00DE4462"/>
    <w:rsid w:val="00DE657E"/>
    <w:rsid w:val="00DE7A53"/>
    <w:rsid w:val="00DF1AB2"/>
    <w:rsid w:val="00DF352C"/>
    <w:rsid w:val="00DF4704"/>
    <w:rsid w:val="00E01768"/>
    <w:rsid w:val="00E024AA"/>
    <w:rsid w:val="00E02AE5"/>
    <w:rsid w:val="00E05D17"/>
    <w:rsid w:val="00E0655B"/>
    <w:rsid w:val="00E07AA4"/>
    <w:rsid w:val="00E13250"/>
    <w:rsid w:val="00E15767"/>
    <w:rsid w:val="00E163FE"/>
    <w:rsid w:val="00E16733"/>
    <w:rsid w:val="00E22DDA"/>
    <w:rsid w:val="00E250F1"/>
    <w:rsid w:val="00E25BFC"/>
    <w:rsid w:val="00E319C7"/>
    <w:rsid w:val="00E32318"/>
    <w:rsid w:val="00E34426"/>
    <w:rsid w:val="00E3550D"/>
    <w:rsid w:val="00E4283C"/>
    <w:rsid w:val="00E53830"/>
    <w:rsid w:val="00E575A7"/>
    <w:rsid w:val="00E614E0"/>
    <w:rsid w:val="00E620EB"/>
    <w:rsid w:val="00E636E2"/>
    <w:rsid w:val="00E642B6"/>
    <w:rsid w:val="00E666AE"/>
    <w:rsid w:val="00E66A74"/>
    <w:rsid w:val="00E73F7F"/>
    <w:rsid w:val="00E75D65"/>
    <w:rsid w:val="00E76BC8"/>
    <w:rsid w:val="00E846E5"/>
    <w:rsid w:val="00E86D29"/>
    <w:rsid w:val="00E872CD"/>
    <w:rsid w:val="00E96E8A"/>
    <w:rsid w:val="00E97E14"/>
    <w:rsid w:val="00EA1026"/>
    <w:rsid w:val="00EA3161"/>
    <w:rsid w:val="00EA429F"/>
    <w:rsid w:val="00EA4F9E"/>
    <w:rsid w:val="00EA5AB7"/>
    <w:rsid w:val="00EA63CA"/>
    <w:rsid w:val="00EA6D3B"/>
    <w:rsid w:val="00EB00AD"/>
    <w:rsid w:val="00EB0F45"/>
    <w:rsid w:val="00EB136C"/>
    <w:rsid w:val="00EB1592"/>
    <w:rsid w:val="00EB1BB0"/>
    <w:rsid w:val="00EB1BE5"/>
    <w:rsid w:val="00EB480E"/>
    <w:rsid w:val="00EB4C7B"/>
    <w:rsid w:val="00EB5EC6"/>
    <w:rsid w:val="00EB7FC9"/>
    <w:rsid w:val="00EC12EB"/>
    <w:rsid w:val="00EC5A5A"/>
    <w:rsid w:val="00EC7B51"/>
    <w:rsid w:val="00ED0337"/>
    <w:rsid w:val="00ED2303"/>
    <w:rsid w:val="00ED27E8"/>
    <w:rsid w:val="00ED39E0"/>
    <w:rsid w:val="00ED491F"/>
    <w:rsid w:val="00ED7137"/>
    <w:rsid w:val="00EF0894"/>
    <w:rsid w:val="00EF1327"/>
    <w:rsid w:val="00F11142"/>
    <w:rsid w:val="00F17956"/>
    <w:rsid w:val="00F21088"/>
    <w:rsid w:val="00F21B37"/>
    <w:rsid w:val="00F23FBF"/>
    <w:rsid w:val="00F30C89"/>
    <w:rsid w:val="00F327E7"/>
    <w:rsid w:val="00F35746"/>
    <w:rsid w:val="00F43E59"/>
    <w:rsid w:val="00F447C7"/>
    <w:rsid w:val="00F4699C"/>
    <w:rsid w:val="00F47DB8"/>
    <w:rsid w:val="00F543A1"/>
    <w:rsid w:val="00F554A9"/>
    <w:rsid w:val="00F56946"/>
    <w:rsid w:val="00F60B57"/>
    <w:rsid w:val="00F61534"/>
    <w:rsid w:val="00F62E55"/>
    <w:rsid w:val="00F6521A"/>
    <w:rsid w:val="00F66254"/>
    <w:rsid w:val="00F67B99"/>
    <w:rsid w:val="00F70C5B"/>
    <w:rsid w:val="00F716FD"/>
    <w:rsid w:val="00F74082"/>
    <w:rsid w:val="00F74DF9"/>
    <w:rsid w:val="00F74FB1"/>
    <w:rsid w:val="00F74FC2"/>
    <w:rsid w:val="00F75B05"/>
    <w:rsid w:val="00F77D45"/>
    <w:rsid w:val="00F80355"/>
    <w:rsid w:val="00F80E63"/>
    <w:rsid w:val="00F820BB"/>
    <w:rsid w:val="00F82D9C"/>
    <w:rsid w:val="00F831B6"/>
    <w:rsid w:val="00F911D4"/>
    <w:rsid w:val="00F92CCF"/>
    <w:rsid w:val="00F93C64"/>
    <w:rsid w:val="00F95B9B"/>
    <w:rsid w:val="00FA5A26"/>
    <w:rsid w:val="00FA688C"/>
    <w:rsid w:val="00FA7395"/>
    <w:rsid w:val="00FB022C"/>
    <w:rsid w:val="00FB0C81"/>
    <w:rsid w:val="00FB2DFF"/>
    <w:rsid w:val="00FB444A"/>
    <w:rsid w:val="00FB703F"/>
    <w:rsid w:val="00FB78F2"/>
    <w:rsid w:val="00FC2200"/>
    <w:rsid w:val="00FC2540"/>
    <w:rsid w:val="00FC25AD"/>
    <w:rsid w:val="00FC58CF"/>
    <w:rsid w:val="00FD0382"/>
    <w:rsid w:val="00FD257C"/>
    <w:rsid w:val="00FD6BDF"/>
    <w:rsid w:val="00FE2E6E"/>
    <w:rsid w:val="00FE6882"/>
    <w:rsid w:val="00FF0073"/>
    <w:rsid w:val="00FF0204"/>
    <w:rsid w:val="00FF046C"/>
    <w:rsid w:val="00FF29A6"/>
    <w:rsid w:val="00FF3AED"/>
    <w:rsid w:val="00FF7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253F5A44"/>
  <w15:docId w15:val="{0F8A7ABE-6AF1-4839-82FF-FF2813A4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PageNumber">
    <w:name w:val="page number"/>
    <w:rsid w:val="006852D7"/>
    <w:rPr>
      <w:sz w:val="22"/>
      <w:szCs w:val="22"/>
    </w:rPr>
  </w:style>
  <w:style w:type="paragraph" w:styleId="BodyText">
    <w:name w:val="Body Text"/>
    <w:basedOn w:val="Normal"/>
    <w:link w:val="BodyTextChar"/>
    <w:semiHidden/>
    <w:rsid w:val="006852D7"/>
    <w:pPr>
      <w:spacing w:after="120"/>
    </w:pPr>
  </w:style>
  <w:style w:type="character" w:customStyle="1" w:styleId="BodyTextChar">
    <w:name w:val="Body Text Char"/>
    <w:basedOn w:val="DefaultParagraphFont"/>
    <w:link w:val="BodyText"/>
    <w:semiHidden/>
    <w:rsid w:val="006852D7"/>
    <w:rPr>
      <w:sz w:val="22"/>
      <w:szCs w:val="22"/>
      <w:lang w:val="en-GB"/>
    </w:rPr>
  </w:style>
  <w:style w:type="paragraph" w:styleId="BodyText2">
    <w:name w:val="Body Text 2"/>
    <w:basedOn w:val="Normal"/>
    <w:link w:val="BodyText2Char"/>
    <w:semiHidden/>
    <w:rsid w:val="006852D7"/>
    <w:pPr>
      <w:spacing w:after="120" w:line="480" w:lineRule="auto"/>
    </w:pPr>
  </w:style>
  <w:style w:type="character" w:customStyle="1" w:styleId="BodyText2Char">
    <w:name w:val="Body Text 2 Char"/>
    <w:basedOn w:val="DefaultParagraphFont"/>
    <w:link w:val="BodyText2"/>
    <w:semiHidden/>
    <w:rsid w:val="006852D7"/>
    <w:rPr>
      <w:sz w:val="22"/>
      <w:szCs w:val="22"/>
      <w:lang w:val="en-GB"/>
    </w:rPr>
  </w:style>
  <w:style w:type="paragraph" w:styleId="BodyTextFirstIndent">
    <w:name w:val="Body Text First Indent"/>
    <w:basedOn w:val="BodyText"/>
    <w:link w:val="BodyTextFirstIndentChar"/>
    <w:semiHidden/>
    <w:rsid w:val="006852D7"/>
    <w:pPr>
      <w:ind w:firstLine="210"/>
    </w:pPr>
  </w:style>
  <w:style w:type="character" w:customStyle="1" w:styleId="BodyTextFirstIndentChar">
    <w:name w:val="Body Text First Indent Char"/>
    <w:basedOn w:val="BodyTextChar"/>
    <w:link w:val="BodyTextFirstIndent"/>
    <w:semiHidden/>
    <w:rsid w:val="006852D7"/>
    <w:rPr>
      <w:sz w:val="22"/>
      <w:szCs w:val="22"/>
      <w:lang w:val="en-GB"/>
    </w:rPr>
  </w:style>
  <w:style w:type="paragraph" w:styleId="BodyTextIndent">
    <w:name w:val="Body Text Indent"/>
    <w:basedOn w:val="Normal"/>
    <w:link w:val="BodyTextIndentChar"/>
    <w:semiHidden/>
    <w:rsid w:val="006852D7"/>
    <w:pPr>
      <w:spacing w:after="120"/>
      <w:ind w:left="360"/>
    </w:pPr>
  </w:style>
  <w:style w:type="character" w:customStyle="1" w:styleId="BodyTextIndentChar">
    <w:name w:val="Body Text Indent Char"/>
    <w:basedOn w:val="DefaultParagraphFont"/>
    <w:link w:val="BodyTextIndent"/>
    <w:semiHidden/>
    <w:rsid w:val="006852D7"/>
    <w:rPr>
      <w:sz w:val="22"/>
      <w:szCs w:val="22"/>
      <w:lang w:val="en-GB"/>
    </w:rPr>
  </w:style>
  <w:style w:type="paragraph" w:styleId="BodyTextFirstIndent2">
    <w:name w:val="Body Text First Indent 2"/>
    <w:basedOn w:val="BodyTextIndent"/>
    <w:link w:val="BodyTextFirstIndent2Char"/>
    <w:semiHidden/>
    <w:rsid w:val="006852D7"/>
    <w:pPr>
      <w:ind w:firstLine="210"/>
    </w:pPr>
  </w:style>
  <w:style w:type="character" w:customStyle="1" w:styleId="BodyTextFirstIndent2Char">
    <w:name w:val="Body Text First Indent 2 Char"/>
    <w:basedOn w:val="BodyTextIndentChar"/>
    <w:link w:val="BodyTextFirstIndent2"/>
    <w:semiHidden/>
    <w:rsid w:val="006852D7"/>
    <w:rPr>
      <w:sz w:val="22"/>
      <w:szCs w:val="22"/>
      <w:lang w:val="en-GB"/>
    </w:rPr>
  </w:style>
  <w:style w:type="paragraph" w:styleId="BodyTextIndent2">
    <w:name w:val="Body Text Indent 2"/>
    <w:basedOn w:val="Normal"/>
    <w:link w:val="BodyTextIndent2Char"/>
    <w:semiHidden/>
    <w:rsid w:val="006852D7"/>
    <w:pPr>
      <w:spacing w:after="120" w:line="480" w:lineRule="auto"/>
      <w:ind w:left="360"/>
    </w:pPr>
  </w:style>
  <w:style w:type="character" w:customStyle="1" w:styleId="BodyTextIndent2Char">
    <w:name w:val="Body Text Indent 2 Char"/>
    <w:basedOn w:val="DefaultParagraphFont"/>
    <w:link w:val="BodyTextIndent2"/>
    <w:semiHidden/>
    <w:rsid w:val="006852D7"/>
    <w:rPr>
      <w:sz w:val="22"/>
      <w:szCs w:val="22"/>
      <w:lang w:val="en-GB"/>
    </w:rPr>
  </w:style>
  <w:style w:type="paragraph" w:styleId="Closing">
    <w:name w:val="Closing"/>
    <w:basedOn w:val="Normal"/>
    <w:link w:val="ClosingChar"/>
    <w:semiHidden/>
    <w:rsid w:val="006852D7"/>
    <w:pPr>
      <w:ind w:left="4320"/>
    </w:pPr>
  </w:style>
  <w:style w:type="character" w:customStyle="1" w:styleId="ClosingChar">
    <w:name w:val="Closing Char"/>
    <w:basedOn w:val="DefaultParagraphFont"/>
    <w:link w:val="Closing"/>
    <w:semiHidden/>
    <w:rsid w:val="006852D7"/>
    <w:rPr>
      <w:sz w:val="22"/>
      <w:szCs w:val="22"/>
      <w:lang w:val="en-GB"/>
    </w:rPr>
  </w:style>
  <w:style w:type="paragraph" w:styleId="E-mailSignature">
    <w:name w:val="E-mail Signature"/>
    <w:basedOn w:val="Normal"/>
    <w:link w:val="E-mailSignatureChar"/>
    <w:semiHidden/>
    <w:rsid w:val="006852D7"/>
  </w:style>
  <w:style w:type="character" w:customStyle="1" w:styleId="E-mailSignatureChar">
    <w:name w:val="E-mail Signature Char"/>
    <w:basedOn w:val="DefaultParagraphFont"/>
    <w:link w:val="E-mailSignature"/>
    <w:semiHidden/>
    <w:rsid w:val="006852D7"/>
    <w:rPr>
      <w:sz w:val="22"/>
      <w:szCs w:val="22"/>
      <w:lang w:val="en-GB"/>
    </w:rPr>
  </w:style>
  <w:style w:type="character" w:styleId="Emphasis">
    <w:name w:val="Emphasis"/>
    <w:qFormat/>
    <w:rsid w:val="006852D7"/>
    <w:rPr>
      <w:i/>
      <w:iCs/>
    </w:rPr>
  </w:style>
  <w:style w:type="paragraph" w:styleId="EnvelopeAddress">
    <w:name w:val="envelope address"/>
    <w:basedOn w:val="Normal"/>
    <w:semiHidden/>
    <w:rsid w:val="006852D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852D7"/>
    <w:rPr>
      <w:rFonts w:ascii="Arial" w:hAnsi="Arial" w:cs="Arial"/>
      <w:sz w:val="20"/>
    </w:rPr>
  </w:style>
  <w:style w:type="character" w:styleId="FollowedHyperlink">
    <w:name w:val="FollowedHyperlink"/>
    <w:uiPriority w:val="99"/>
    <w:semiHidden/>
    <w:rsid w:val="006852D7"/>
    <w:rPr>
      <w:color w:val="800080"/>
      <w:u w:val="single"/>
    </w:rPr>
  </w:style>
  <w:style w:type="character" w:styleId="HTMLAcronym">
    <w:name w:val="HTML Acronym"/>
    <w:basedOn w:val="DefaultParagraphFont"/>
    <w:semiHidden/>
    <w:rsid w:val="006852D7"/>
  </w:style>
  <w:style w:type="paragraph" w:styleId="HTMLAddress">
    <w:name w:val="HTML Address"/>
    <w:basedOn w:val="Normal"/>
    <w:link w:val="HTMLAddressChar"/>
    <w:semiHidden/>
    <w:rsid w:val="006852D7"/>
    <w:rPr>
      <w:i/>
      <w:iCs/>
    </w:rPr>
  </w:style>
  <w:style w:type="character" w:customStyle="1" w:styleId="HTMLAddressChar">
    <w:name w:val="HTML Address Char"/>
    <w:basedOn w:val="DefaultParagraphFont"/>
    <w:link w:val="HTMLAddress"/>
    <w:semiHidden/>
    <w:rsid w:val="006852D7"/>
    <w:rPr>
      <w:i/>
      <w:iCs/>
      <w:sz w:val="22"/>
      <w:szCs w:val="22"/>
      <w:lang w:val="en-GB"/>
    </w:rPr>
  </w:style>
  <w:style w:type="character" w:styleId="HTMLCite">
    <w:name w:val="HTML Cite"/>
    <w:semiHidden/>
    <w:rsid w:val="006852D7"/>
    <w:rPr>
      <w:i/>
      <w:iCs/>
    </w:rPr>
  </w:style>
  <w:style w:type="character" w:styleId="HTMLCode">
    <w:name w:val="HTML Code"/>
    <w:semiHidden/>
    <w:rsid w:val="006852D7"/>
    <w:rPr>
      <w:rFonts w:ascii="Courier New" w:hAnsi="Courier New" w:cs="Courier New"/>
      <w:sz w:val="20"/>
      <w:szCs w:val="20"/>
    </w:rPr>
  </w:style>
  <w:style w:type="character" w:styleId="HTMLDefinition">
    <w:name w:val="HTML Definition"/>
    <w:semiHidden/>
    <w:rsid w:val="006852D7"/>
    <w:rPr>
      <w:i/>
      <w:iCs/>
    </w:rPr>
  </w:style>
  <w:style w:type="character" w:styleId="HTMLKeyboard">
    <w:name w:val="HTML Keyboard"/>
    <w:semiHidden/>
    <w:rsid w:val="006852D7"/>
    <w:rPr>
      <w:rFonts w:ascii="Courier New" w:hAnsi="Courier New" w:cs="Courier New"/>
      <w:sz w:val="20"/>
      <w:szCs w:val="20"/>
    </w:rPr>
  </w:style>
  <w:style w:type="paragraph" w:styleId="HTMLPreformatted">
    <w:name w:val="HTML Preformatted"/>
    <w:basedOn w:val="Normal"/>
    <w:link w:val="HTMLPreformattedChar"/>
    <w:semiHidden/>
    <w:rsid w:val="006852D7"/>
    <w:rPr>
      <w:rFonts w:ascii="Courier New" w:hAnsi="Courier New" w:cs="Courier New"/>
      <w:sz w:val="20"/>
    </w:rPr>
  </w:style>
  <w:style w:type="character" w:customStyle="1" w:styleId="HTMLPreformattedChar">
    <w:name w:val="HTML Preformatted Char"/>
    <w:basedOn w:val="DefaultParagraphFont"/>
    <w:link w:val="HTMLPreformatted"/>
    <w:semiHidden/>
    <w:rsid w:val="006852D7"/>
    <w:rPr>
      <w:rFonts w:ascii="Courier New" w:hAnsi="Courier New" w:cs="Courier New"/>
      <w:szCs w:val="22"/>
      <w:lang w:val="en-GB"/>
    </w:rPr>
  </w:style>
  <w:style w:type="character" w:styleId="HTMLSample">
    <w:name w:val="HTML Sample"/>
    <w:semiHidden/>
    <w:rsid w:val="006852D7"/>
    <w:rPr>
      <w:rFonts w:ascii="Courier New" w:hAnsi="Courier New" w:cs="Courier New"/>
    </w:rPr>
  </w:style>
  <w:style w:type="character" w:styleId="HTMLTypewriter">
    <w:name w:val="HTML Typewriter"/>
    <w:uiPriority w:val="99"/>
    <w:semiHidden/>
    <w:rsid w:val="006852D7"/>
    <w:rPr>
      <w:rFonts w:ascii="Courier New" w:hAnsi="Courier New" w:cs="Courier New"/>
      <w:sz w:val="20"/>
      <w:szCs w:val="20"/>
    </w:rPr>
  </w:style>
  <w:style w:type="character" w:styleId="HTMLVariable">
    <w:name w:val="HTML Variable"/>
    <w:semiHidden/>
    <w:rsid w:val="006852D7"/>
    <w:rPr>
      <w:i/>
      <w:iCs/>
    </w:rPr>
  </w:style>
  <w:style w:type="character" w:styleId="Hyperlink">
    <w:name w:val="Hyperlink"/>
    <w:uiPriority w:val="99"/>
    <w:semiHidden/>
    <w:rsid w:val="006852D7"/>
    <w:rPr>
      <w:color w:val="0000FF"/>
      <w:u w:val="single"/>
    </w:rPr>
  </w:style>
  <w:style w:type="character" w:styleId="LineNumber">
    <w:name w:val="line number"/>
    <w:basedOn w:val="DefaultParagraphFont"/>
    <w:semiHidden/>
    <w:rsid w:val="006852D7"/>
  </w:style>
  <w:style w:type="paragraph" w:styleId="List">
    <w:name w:val="List"/>
    <w:basedOn w:val="Normal"/>
    <w:semiHidden/>
    <w:rsid w:val="006852D7"/>
    <w:pPr>
      <w:ind w:left="360" w:hanging="360"/>
    </w:pPr>
  </w:style>
  <w:style w:type="paragraph" w:styleId="List2">
    <w:name w:val="List 2"/>
    <w:basedOn w:val="Normal"/>
    <w:semiHidden/>
    <w:rsid w:val="006852D7"/>
    <w:pPr>
      <w:ind w:left="720" w:hanging="360"/>
    </w:pPr>
  </w:style>
  <w:style w:type="paragraph" w:styleId="List3">
    <w:name w:val="List 3"/>
    <w:basedOn w:val="Normal"/>
    <w:semiHidden/>
    <w:rsid w:val="006852D7"/>
    <w:pPr>
      <w:ind w:left="1080" w:hanging="360"/>
    </w:pPr>
  </w:style>
  <w:style w:type="paragraph" w:styleId="List4">
    <w:name w:val="List 4"/>
    <w:basedOn w:val="Normal"/>
    <w:semiHidden/>
    <w:rsid w:val="006852D7"/>
    <w:pPr>
      <w:ind w:left="1440" w:hanging="360"/>
    </w:pPr>
  </w:style>
  <w:style w:type="paragraph" w:styleId="List5">
    <w:name w:val="List 5"/>
    <w:basedOn w:val="Normal"/>
    <w:semiHidden/>
    <w:rsid w:val="006852D7"/>
    <w:pPr>
      <w:ind w:left="1800" w:hanging="360"/>
    </w:pPr>
  </w:style>
  <w:style w:type="paragraph" w:styleId="ListBullet">
    <w:name w:val="List Bullet"/>
    <w:basedOn w:val="Normal"/>
    <w:autoRedefine/>
    <w:semiHidden/>
    <w:rsid w:val="006852D7"/>
    <w:pPr>
      <w:tabs>
        <w:tab w:val="num" w:pos="360"/>
      </w:tabs>
      <w:ind w:left="360" w:hanging="360"/>
    </w:pPr>
  </w:style>
  <w:style w:type="paragraph" w:styleId="ListBullet2">
    <w:name w:val="List Bullet 2"/>
    <w:basedOn w:val="Normal"/>
    <w:autoRedefine/>
    <w:semiHidden/>
    <w:rsid w:val="006852D7"/>
    <w:pPr>
      <w:tabs>
        <w:tab w:val="num" w:pos="720"/>
      </w:tabs>
      <w:ind w:left="720" w:hanging="360"/>
    </w:pPr>
  </w:style>
  <w:style w:type="paragraph" w:styleId="ListBullet3">
    <w:name w:val="List Bullet 3"/>
    <w:basedOn w:val="Normal"/>
    <w:autoRedefine/>
    <w:semiHidden/>
    <w:rsid w:val="006852D7"/>
    <w:pPr>
      <w:tabs>
        <w:tab w:val="num" w:pos="1080"/>
      </w:tabs>
      <w:ind w:left="1080" w:hanging="360"/>
    </w:pPr>
  </w:style>
  <w:style w:type="paragraph" w:styleId="ListBullet4">
    <w:name w:val="List Bullet 4"/>
    <w:basedOn w:val="Normal"/>
    <w:autoRedefine/>
    <w:semiHidden/>
    <w:rsid w:val="006852D7"/>
    <w:pPr>
      <w:tabs>
        <w:tab w:val="num" w:pos="1440"/>
      </w:tabs>
      <w:ind w:left="1440" w:hanging="360"/>
    </w:pPr>
  </w:style>
  <w:style w:type="paragraph" w:styleId="ListBullet5">
    <w:name w:val="List Bullet 5"/>
    <w:basedOn w:val="Normal"/>
    <w:autoRedefine/>
    <w:semiHidden/>
    <w:rsid w:val="006852D7"/>
    <w:pPr>
      <w:tabs>
        <w:tab w:val="num" w:pos="1800"/>
      </w:tabs>
      <w:ind w:left="1800" w:hanging="360"/>
    </w:pPr>
  </w:style>
  <w:style w:type="paragraph" w:styleId="ListContinue">
    <w:name w:val="List Continue"/>
    <w:basedOn w:val="Normal"/>
    <w:semiHidden/>
    <w:rsid w:val="006852D7"/>
    <w:pPr>
      <w:spacing w:after="120"/>
      <w:ind w:left="360"/>
    </w:pPr>
  </w:style>
  <w:style w:type="paragraph" w:styleId="ListContinue2">
    <w:name w:val="List Continue 2"/>
    <w:basedOn w:val="Normal"/>
    <w:semiHidden/>
    <w:rsid w:val="006852D7"/>
    <w:pPr>
      <w:spacing w:after="120"/>
      <w:ind w:left="720"/>
    </w:pPr>
  </w:style>
  <w:style w:type="paragraph" w:styleId="ListContinue3">
    <w:name w:val="List Continue 3"/>
    <w:basedOn w:val="Normal"/>
    <w:semiHidden/>
    <w:rsid w:val="006852D7"/>
    <w:pPr>
      <w:spacing w:after="120"/>
      <w:ind w:left="1080"/>
    </w:pPr>
  </w:style>
  <w:style w:type="paragraph" w:styleId="ListContinue4">
    <w:name w:val="List Continue 4"/>
    <w:basedOn w:val="Normal"/>
    <w:semiHidden/>
    <w:rsid w:val="006852D7"/>
    <w:pPr>
      <w:spacing w:after="120"/>
      <w:ind w:left="1440"/>
    </w:pPr>
  </w:style>
  <w:style w:type="paragraph" w:styleId="ListContinue5">
    <w:name w:val="List Continue 5"/>
    <w:basedOn w:val="Normal"/>
    <w:semiHidden/>
    <w:rsid w:val="006852D7"/>
    <w:pPr>
      <w:spacing w:after="120"/>
      <w:ind w:left="1800"/>
    </w:pPr>
  </w:style>
  <w:style w:type="paragraph" w:styleId="ListNumber">
    <w:name w:val="List Number"/>
    <w:basedOn w:val="Normal"/>
    <w:semiHidden/>
    <w:rsid w:val="006852D7"/>
    <w:pPr>
      <w:tabs>
        <w:tab w:val="num" w:pos="360"/>
      </w:tabs>
      <w:ind w:left="360" w:hanging="360"/>
    </w:pPr>
  </w:style>
  <w:style w:type="paragraph" w:styleId="ListNumber2">
    <w:name w:val="List Number 2"/>
    <w:basedOn w:val="Normal"/>
    <w:semiHidden/>
    <w:rsid w:val="006852D7"/>
    <w:pPr>
      <w:tabs>
        <w:tab w:val="num" w:pos="720"/>
      </w:tabs>
      <w:ind w:left="720" w:hanging="360"/>
    </w:pPr>
  </w:style>
  <w:style w:type="paragraph" w:styleId="ListNumber3">
    <w:name w:val="List Number 3"/>
    <w:basedOn w:val="Normal"/>
    <w:semiHidden/>
    <w:rsid w:val="006852D7"/>
    <w:pPr>
      <w:tabs>
        <w:tab w:val="num" w:pos="1080"/>
      </w:tabs>
      <w:ind w:left="1080" w:hanging="360"/>
    </w:pPr>
  </w:style>
  <w:style w:type="paragraph" w:styleId="ListNumber4">
    <w:name w:val="List Number 4"/>
    <w:basedOn w:val="Normal"/>
    <w:semiHidden/>
    <w:rsid w:val="006852D7"/>
    <w:pPr>
      <w:tabs>
        <w:tab w:val="num" w:pos="1440"/>
      </w:tabs>
      <w:ind w:left="1440" w:hanging="360"/>
    </w:pPr>
  </w:style>
  <w:style w:type="paragraph" w:styleId="ListNumber5">
    <w:name w:val="List Number 5"/>
    <w:basedOn w:val="Normal"/>
    <w:semiHidden/>
    <w:rsid w:val="006852D7"/>
    <w:pPr>
      <w:tabs>
        <w:tab w:val="num" w:pos="1800"/>
      </w:tabs>
      <w:ind w:left="1800" w:hanging="360"/>
    </w:pPr>
  </w:style>
  <w:style w:type="paragraph" w:styleId="MessageHeader">
    <w:name w:val="Message Header"/>
    <w:basedOn w:val="Normal"/>
    <w:link w:val="MessageHeaderChar"/>
    <w:semiHidden/>
    <w:rsid w:val="006852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6852D7"/>
    <w:rPr>
      <w:rFonts w:ascii="Arial" w:hAnsi="Arial" w:cs="Arial"/>
      <w:sz w:val="22"/>
      <w:szCs w:val="24"/>
      <w:shd w:val="pct20" w:color="auto" w:fill="auto"/>
      <w:lang w:val="en-GB"/>
    </w:rPr>
  </w:style>
  <w:style w:type="paragraph" w:styleId="NormalWeb">
    <w:name w:val="Normal (Web)"/>
    <w:basedOn w:val="Normal"/>
    <w:uiPriority w:val="99"/>
    <w:semiHidden/>
    <w:rsid w:val="006852D7"/>
    <w:rPr>
      <w:szCs w:val="24"/>
    </w:rPr>
  </w:style>
  <w:style w:type="paragraph" w:styleId="NormalIndent">
    <w:name w:val="Normal Indent"/>
    <w:basedOn w:val="Normal"/>
    <w:semiHidden/>
    <w:rsid w:val="006852D7"/>
    <w:pPr>
      <w:ind w:left="720"/>
    </w:pPr>
  </w:style>
  <w:style w:type="paragraph" w:styleId="NoteHeading">
    <w:name w:val="Note Heading"/>
    <w:basedOn w:val="Normal"/>
    <w:next w:val="Normal"/>
    <w:link w:val="NoteHeadingChar"/>
    <w:semiHidden/>
    <w:rsid w:val="006852D7"/>
  </w:style>
  <w:style w:type="character" w:customStyle="1" w:styleId="NoteHeadingChar">
    <w:name w:val="Note Heading Char"/>
    <w:basedOn w:val="DefaultParagraphFont"/>
    <w:link w:val="NoteHeading"/>
    <w:semiHidden/>
    <w:rsid w:val="006852D7"/>
    <w:rPr>
      <w:sz w:val="22"/>
      <w:szCs w:val="22"/>
      <w:lang w:val="en-GB"/>
    </w:rPr>
  </w:style>
  <w:style w:type="paragraph" w:styleId="Salutation">
    <w:name w:val="Salutation"/>
    <w:basedOn w:val="Normal"/>
    <w:next w:val="Normal"/>
    <w:link w:val="SalutationChar"/>
    <w:semiHidden/>
    <w:rsid w:val="006852D7"/>
  </w:style>
  <w:style w:type="character" w:customStyle="1" w:styleId="SalutationChar">
    <w:name w:val="Salutation Char"/>
    <w:basedOn w:val="DefaultParagraphFont"/>
    <w:link w:val="Salutation"/>
    <w:semiHidden/>
    <w:rsid w:val="006852D7"/>
    <w:rPr>
      <w:sz w:val="22"/>
      <w:szCs w:val="22"/>
      <w:lang w:val="en-GB"/>
    </w:rPr>
  </w:style>
  <w:style w:type="paragraph" w:styleId="Signature">
    <w:name w:val="Signature"/>
    <w:basedOn w:val="Normal"/>
    <w:link w:val="SignatureChar"/>
    <w:semiHidden/>
    <w:rsid w:val="006852D7"/>
    <w:pPr>
      <w:ind w:left="4320"/>
    </w:pPr>
  </w:style>
  <w:style w:type="character" w:customStyle="1" w:styleId="SignatureChar">
    <w:name w:val="Signature Char"/>
    <w:basedOn w:val="DefaultParagraphFont"/>
    <w:link w:val="Signature"/>
    <w:semiHidden/>
    <w:rsid w:val="006852D7"/>
    <w:rPr>
      <w:sz w:val="22"/>
      <w:szCs w:val="22"/>
      <w:lang w:val="en-GB"/>
    </w:rPr>
  </w:style>
  <w:style w:type="character" w:styleId="Strong">
    <w:name w:val="Strong"/>
    <w:qFormat/>
    <w:rsid w:val="006852D7"/>
    <w:rPr>
      <w:b/>
      <w:bCs/>
    </w:rPr>
  </w:style>
  <w:style w:type="character" w:customStyle="1" w:styleId="FooterChar">
    <w:name w:val="Footer Char"/>
    <w:link w:val="Footer"/>
    <w:uiPriority w:val="99"/>
    <w:rsid w:val="006852D7"/>
    <w:rPr>
      <w:sz w:val="22"/>
      <w:szCs w:val="22"/>
      <w:lang w:val="en-GB"/>
    </w:rPr>
  </w:style>
  <w:style w:type="paragraph" w:styleId="ListParagraph">
    <w:name w:val="List Paragraph"/>
    <w:basedOn w:val="Normal"/>
    <w:uiPriority w:val="34"/>
    <w:qFormat/>
    <w:rsid w:val="006852D7"/>
    <w:pPr>
      <w:spacing w:after="200" w:line="276" w:lineRule="auto"/>
      <w:ind w:left="720"/>
      <w:contextualSpacing/>
      <w:jc w:val="left"/>
    </w:pPr>
    <w:rPr>
      <w:rFonts w:ascii="Calibri" w:eastAsia="Calibri" w:hAnsi="Calibri"/>
      <w:lang w:val="en-US"/>
    </w:rPr>
  </w:style>
  <w:style w:type="paragraph" w:customStyle="1" w:styleId="Default">
    <w:name w:val="Default"/>
    <w:rsid w:val="006852D7"/>
    <w:pPr>
      <w:autoSpaceDE w:val="0"/>
      <w:autoSpaceDN w:val="0"/>
      <w:adjustRightInd w:val="0"/>
    </w:pPr>
    <w:rPr>
      <w:rFonts w:ascii="Arial" w:eastAsia="Calibri" w:hAnsi="Arial" w:cs="Arial"/>
      <w:color w:val="000000"/>
      <w:sz w:val="24"/>
      <w:szCs w:val="24"/>
    </w:rPr>
  </w:style>
  <w:style w:type="paragraph" w:customStyle="1" w:styleId="font5">
    <w:name w:val="font5"/>
    <w:basedOn w:val="Normal"/>
    <w:rsid w:val="006852D7"/>
    <w:pPr>
      <w:spacing w:before="100" w:beforeAutospacing="1" w:after="100" w:afterAutospacing="1"/>
      <w:jc w:val="left"/>
    </w:pPr>
    <w:rPr>
      <w:rFonts w:ascii="Tahoma" w:hAnsi="Tahoma" w:cs="Tahoma"/>
      <w:b/>
      <w:bCs/>
      <w:color w:val="000000"/>
      <w:sz w:val="16"/>
      <w:szCs w:val="16"/>
      <w:lang w:val="en-US"/>
    </w:rPr>
  </w:style>
  <w:style w:type="paragraph" w:customStyle="1" w:styleId="font6">
    <w:name w:val="font6"/>
    <w:basedOn w:val="Normal"/>
    <w:rsid w:val="006852D7"/>
    <w:pPr>
      <w:spacing w:before="100" w:beforeAutospacing="1" w:after="100" w:afterAutospacing="1"/>
      <w:jc w:val="left"/>
    </w:pPr>
    <w:rPr>
      <w:rFonts w:ascii="Tahoma" w:hAnsi="Tahoma" w:cs="Tahoma"/>
      <w:color w:val="000000"/>
      <w:sz w:val="16"/>
      <w:szCs w:val="16"/>
      <w:lang w:val="en-US"/>
    </w:rPr>
  </w:style>
  <w:style w:type="paragraph" w:customStyle="1" w:styleId="xl73">
    <w:name w:val="xl73"/>
    <w:basedOn w:val="Normal"/>
    <w:rsid w:val="006852D7"/>
    <w:pPr>
      <w:spacing w:before="100" w:beforeAutospacing="1" w:after="100" w:afterAutospacing="1"/>
      <w:jc w:val="center"/>
      <w:textAlignment w:val="top"/>
    </w:pPr>
    <w:rPr>
      <w:b/>
      <w:bCs/>
      <w:sz w:val="16"/>
      <w:szCs w:val="16"/>
      <w:lang w:val="en-US"/>
    </w:rPr>
  </w:style>
  <w:style w:type="paragraph" w:customStyle="1" w:styleId="xl74">
    <w:name w:val="xl74"/>
    <w:basedOn w:val="Normal"/>
    <w:rsid w:val="006852D7"/>
    <w:pPr>
      <w:spacing w:before="100" w:beforeAutospacing="1" w:after="100" w:afterAutospacing="1"/>
      <w:jc w:val="center"/>
      <w:textAlignment w:val="top"/>
    </w:pPr>
    <w:rPr>
      <w:b/>
      <w:bCs/>
      <w:sz w:val="16"/>
      <w:szCs w:val="16"/>
      <w:lang w:val="en-US"/>
    </w:rPr>
  </w:style>
  <w:style w:type="paragraph" w:customStyle="1" w:styleId="xl75">
    <w:name w:val="xl75"/>
    <w:basedOn w:val="Normal"/>
    <w:rsid w:val="006852D7"/>
    <w:pPr>
      <w:spacing w:before="100" w:beforeAutospacing="1" w:after="100" w:afterAutospacing="1"/>
      <w:jc w:val="center"/>
      <w:textAlignment w:val="top"/>
    </w:pPr>
    <w:rPr>
      <w:b/>
      <w:bCs/>
      <w:sz w:val="16"/>
      <w:szCs w:val="16"/>
      <w:lang w:val="en-US"/>
    </w:rPr>
  </w:style>
  <w:style w:type="paragraph" w:customStyle="1" w:styleId="xl76">
    <w:name w:val="xl76"/>
    <w:basedOn w:val="Normal"/>
    <w:rsid w:val="006852D7"/>
    <w:pPr>
      <w:spacing w:before="100" w:beforeAutospacing="1" w:after="100" w:afterAutospacing="1"/>
      <w:jc w:val="center"/>
      <w:textAlignment w:val="top"/>
    </w:pPr>
    <w:rPr>
      <w:b/>
      <w:bCs/>
      <w:sz w:val="16"/>
      <w:szCs w:val="16"/>
      <w:lang w:val="en-US"/>
    </w:rPr>
  </w:style>
  <w:style w:type="paragraph" w:customStyle="1" w:styleId="xl77">
    <w:name w:val="xl77"/>
    <w:basedOn w:val="Normal"/>
    <w:rsid w:val="006852D7"/>
    <w:pPr>
      <w:spacing w:before="100" w:beforeAutospacing="1" w:after="100" w:afterAutospacing="1"/>
      <w:jc w:val="center"/>
      <w:textAlignment w:val="top"/>
    </w:pPr>
    <w:rPr>
      <w:sz w:val="16"/>
      <w:szCs w:val="16"/>
      <w:lang w:val="en-US"/>
    </w:rPr>
  </w:style>
  <w:style w:type="paragraph" w:customStyle="1" w:styleId="xl78">
    <w:name w:val="xl78"/>
    <w:basedOn w:val="Normal"/>
    <w:rsid w:val="006852D7"/>
    <w:pPr>
      <w:spacing w:before="100" w:beforeAutospacing="1" w:after="100" w:afterAutospacing="1"/>
      <w:jc w:val="left"/>
      <w:textAlignment w:val="top"/>
    </w:pPr>
    <w:rPr>
      <w:sz w:val="16"/>
      <w:szCs w:val="16"/>
      <w:lang w:val="en-US"/>
    </w:rPr>
  </w:style>
  <w:style w:type="paragraph" w:customStyle="1" w:styleId="xl79">
    <w:name w:val="xl79"/>
    <w:basedOn w:val="Normal"/>
    <w:rsid w:val="006852D7"/>
    <w:pPr>
      <w:spacing w:before="100" w:beforeAutospacing="1" w:after="100" w:afterAutospacing="1"/>
      <w:jc w:val="right"/>
      <w:textAlignment w:val="top"/>
    </w:pPr>
    <w:rPr>
      <w:sz w:val="16"/>
      <w:szCs w:val="16"/>
      <w:lang w:val="en-US"/>
    </w:rPr>
  </w:style>
  <w:style w:type="paragraph" w:customStyle="1" w:styleId="xl80">
    <w:name w:val="xl80"/>
    <w:basedOn w:val="Normal"/>
    <w:rsid w:val="006852D7"/>
    <w:pPr>
      <w:spacing w:before="100" w:beforeAutospacing="1" w:after="100" w:afterAutospacing="1"/>
      <w:jc w:val="right"/>
      <w:textAlignment w:val="top"/>
    </w:pPr>
    <w:rPr>
      <w:sz w:val="16"/>
      <w:szCs w:val="16"/>
      <w:lang w:val="en-US"/>
    </w:rPr>
  </w:style>
  <w:style w:type="paragraph" w:customStyle="1" w:styleId="xl81">
    <w:name w:val="xl81"/>
    <w:basedOn w:val="Normal"/>
    <w:rsid w:val="006852D7"/>
    <w:pPr>
      <w:spacing w:before="100" w:beforeAutospacing="1" w:after="100" w:afterAutospacing="1"/>
      <w:jc w:val="left"/>
      <w:textAlignment w:val="top"/>
    </w:pPr>
    <w:rPr>
      <w:sz w:val="16"/>
      <w:szCs w:val="16"/>
      <w:lang w:val="en-US"/>
    </w:rPr>
  </w:style>
  <w:style w:type="paragraph" w:customStyle="1" w:styleId="xl82">
    <w:name w:val="xl82"/>
    <w:basedOn w:val="Normal"/>
    <w:rsid w:val="006852D7"/>
    <w:pPr>
      <w:spacing w:before="100" w:beforeAutospacing="1" w:after="100" w:afterAutospacing="1"/>
      <w:jc w:val="left"/>
      <w:textAlignment w:val="top"/>
    </w:pPr>
    <w:rPr>
      <w:sz w:val="16"/>
      <w:szCs w:val="16"/>
      <w:lang w:val="en-US"/>
    </w:rPr>
  </w:style>
  <w:style w:type="paragraph" w:customStyle="1" w:styleId="xl83">
    <w:name w:val="xl83"/>
    <w:basedOn w:val="Normal"/>
    <w:rsid w:val="006852D7"/>
    <w:pPr>
      <w:spacing w:before="100" w:beforeAutospacing="1" w:after="100" w:afterAutospacing="1"/>
      <w:jc w:val="left"/>
      <w:textAlignment w:val="top"/>
    </w:pPr>
    <w:rPr>
      <w:sz w:val="16"/>
      <w:szCs w:val="16"/>
      <w:lang w:val="en-US"/>
    </w:rPr>
  </w:style>
  <w:style w:type="paragraph" w:customStyle="1" w:styleId="xl84">
    <w:name w:val="xl84"/>
    <w:basedOn w:val="Normal"/>
    <w:rsid w:val="006852D7"/>
    <w:pPr>
      <w:spacing w:before="100" w:beforeAutospacing="1" w:after="100" w:afterAutospacing="1"/>
      <w:jc w:val="left"/>
      <w:textAlignment w:val="top"/>
    </w:pPr>
    <w:rPr>
      <w:sz w:val="16"/>
      <w:szCs w:val="16"/>
      <w:lang w:val="en-US"/>
    </w:rPr>
  </w:style>
  <w:style w:type="paragraph" w:customStyle="1" w:styleId="xl85">
    <w:name w:val="xl85"/>
    <w:basedOn w:val="Normal"/>
    <w:rsid w:val="006852D7"/>
    <w:pPr>
      <w:spacing w:before="100" w:beforeAutospacing="1" w:after="100" w:afterAutospacing="1"/>
      <w:jc w:val="left"/>
      <w:textAlignment w:val="top"/>
    </w:pPr>
    <w:rPr>
      <w:sz w:val="16"/>
      <w:szCs w:val="16"/>
      <w:lang w:val="en-US"/>
    </w:rPr>
  </w:style>
  <w:style w:type="paragraph" w:customStyle="1" w:styleId="xl86">
    <w:name w:val="xl86"/>
    <w:basedOn w:val="Normal"/>
    <w:rsid w:val="006852D7"/>
    <w:pPr>
      <w:spacing w:before="100" w:beforeAutospacing="1" w:after="100" w:afterAutospacing="1"/>
      <w:jc w:val="center"/>
      <w:textAlignment w:val="top"/>
    </w:pPr>
    <w:rPr>
      <w:sz w:val="16"/>
      <w:szCs w:val="16"/>
      <w:lang w:val="en-US"/>
    </w:rPr>
  </w:style>
  <w:style w:type="paragraph" w:customStyle="1" w:styleId="xl87">
    <w:name w:val="xl87"/>
    <w:basedOn w:val="Normal"/>
    <w:rsid w:val="006852D7"/>
    <w:pPr>
      <w:spacing w:before="100" w:beforeAutospacing="1" w:after="100" w:afterAutospacing="1"/>
      <w:jc w:val="center"/>
      <w:textAlignment w:val="top"/>
    </w:pPr>
    <w:rPr>
      <w:sz w:val="16"/>
      <w:szCs w:val="16"/>
      <w:lang w:val="en-US"/>
    </w:rPr>
  </w:style>
  <w:style w:type="paragraph" w:customStyle="1" w:styleId="xl88">
    <w:name w:val="xl88"/>
    <w:basedOn w:val="Normal"/>
    <w:rsid w:val="006852D7"/>
    <w:pPr>
      <w:spacing w:before="100" w:beforeAutospacing="1" w:after="100" w:afterAutospacing="1"/>
      <w:jc w:val="center"/>
      <w:textAlignment w:val="top"/>
    </w:pPr>
    <w:rPr>
      <w:sz w:val="16"/>
      <w:szCs w:val="16"/>
      <w:lang w:val="en-US"/>
    </w:rPr>
  </w:style>
  <w:style w:type="paragraph" w:customStyle="1" w:styleId="xl89">
    <w:name w:val="xl89"/>
    <w:basedOn w:val="Normal"/>
    <w:rsid w:val="006852D7"/>
    <w:pPr>
      <w:spacing w:before="100" w:beforeAutospacing="1" w:after="100" w:afterAutospacing="1"/>
      <w:jc w:val="left"/>
      <w:textAlignment w:val="top"/>
    </w:pPr>
    <w:rPr>
      <w:sz w:val="16"/>
      <w:szCs w:val="16"/>
      <w:lang w:val="en-US"/>
    </w:rPr>
  </w:style>
  <w:style w:type="paragraph" w:customStyle="1" w:styleId="xl90">
    <w:name w:val="xl90"/>
    <w:basedOn w:val="Normal"/>
    <w:rsid w:val="006852D7"/>
    <w:pPr>
      <w:spacing w:before="100" w:beforeAutospacing="1" w:after="100" w:afterAutospacing="1"/>
      <w:jc w:val="left"/>
      <w:textAlignment w:val="top"/>
    </w:pPr>
    <w:rPr>
      <w:sz w:val="16"/>
      <w:szCs w:val="16"/>
      <w:lang w:val="en-US"/>
    </w:rPr>
  </w:style>
  <w:style w:type="paragraph" w:customStyle="1" w:styleId="xl91">
    <w:name w:val="xl91"/>
    <w:basedOn w:val="Normal"/>
    <w:rsid w:val="006852D7"/>
    <w:pPr>
      <w:spacing w:before="100" w:beforeAutospacing="1" w:after="100" w:afterAutospacing="1"/>
      <w:jc w:val="right"/>
      <w:textAlignment w:val="top"/>
    </w:pPr>
    <w:rPr>
      <w:sz w:val="16"/>
      <w:szCs w:val="16"/>
      <w:lang w:val="en-US"/>
    </w:rPr>
  </w:style>
  <w:style w:type="paragraph" w:customStyle="1" w:styleId="xl92">
    <w:name w:val="xl92"/>
    <w:basedOn w:val="Normal"/>
    <w:rsid w:val="006852D7"/>
    <w:pPr>
      <w:spacing w:before="100" w:beforeAutospacing="1" w:after="100" w:afterAutospacing="1"/>
      <w:jc w:val="left"/>
      <w:textAlignment w:val="top"/>
    </w:pPr>
    <w:rPr>
      <w:sz w:val="16"/>
      <w:szCs w:val="16"/>
      <w:lang w:val="en-US"/>
    </w:rPr>
  </w:style>
  <w:style w:type="paragraph" w:customStyle="1" w:styleId="xl93">
    <w:name w:val="xl93"/>
    <w:basedOn w:val="Normal"/>
    <w:rsid w:val="006852D7"/>
    <w:pPr>
      <w:spacing w:before="100" w:beforeAutospacing="1" w:after="100" w:afterAutospacing="1"/>
      <w:jc w:val="right"/>
      <w:textAlignment w:val="top"/>
    </w:pPr>
    <w:rPr>
      <w:sz w:val="16"/>
      <w:szCs w:val="16"/>
      <w:lang w:val="en-US"/>
    </w:rPr>
  </w:style>
  <w:style w:type="paragraph" w:customStyle="1" w:styleId="xl94">
    <w:name w:val="xl94"/>
    <w:basedOn w:val="Normal"/>
    <w:rsid w:val="006852D7"/>
    <w:pPr>
      <w:spacing w:before="100" w:beforeAutospacing="1" w:after="100" w:afterAutospacing="1"/>
      <w:jc w:val="left"/>
      <w:textAlignment w:val="top"/>
    </w:pPr>
    <w:rPr>
      <w:sz w:val="16"/>
      <w:szCs w:val="16"/>
      <w:lang w:val="en-US"/>
    </w:rPr>
  </w:style>
  <w:style w:type="paragraph" w:customStyle="1" w:styleId="xl95">
    <w:name w:val="xl95"/>
    <w:basedOn w:val="Normal"/>
    <w:rsid w:val="006852D7"/>
    <w:pPr>
      <w:spacing w:before="100" w:beforeAutospacing="1" w:after="100" w:afterAutospacing="1"/>
      <w:jc w:val="left"/>
      <w:textAlignment w:val="top"/>
    </w:pPr>
    <w:rPr>
      <w:sz w:val="16"/>
      <w:szCs w:val="16"/>
      <w:lang w:val="en-US"/>
    </w:rPr>
  </w:style>
  <w:style w:type="paragraph" w:customStyle="1" w:styleId="xl96">
    <w:name w:val="xl96"/>
    <w:basedOn w:val="Normal"/>
    <w:rsid w:val="006852D7"/>
    <w:pPr>
      <w:spacing w:before="100" w:beforeAutospacing="1" w:after="100" w:afterAutospacing="1"/>
      <w:jc w:val="left"/>
      <w:textAlignment w:val="top"/>
    </w:pPr>
    <w:rPr>
      <w:sz w:val="16"/>
      <w:szCs w:val="16"/>
      <w:lang w:val="en-US"/>
    </w:rPr>
  </w:style>
  <w:style w:type="paragraph" w:customStyle="1" w:styleId="xl97">
    <w:name w:val="xl97"/>
    <w:basedOn w:val="Normal"/>
    <w:rsid w:val="006852D7"/>
    <w:pPr>
      <w:spacing w:before="100" w:beforeAutospacing="1" w:after="100" w:afterAutospacing="1"/>
      <w:jc w:val="right"/>
      <w:textAlignment w:val="top"/>
    </w:pPr>
    <w:rPr>
      <w:sz w:val="16"/>
      <w:szCs w:val="16"/>
      <w:lang w:val="en-US"/>
    </w:rPr>
  </w:style>
  <w:style w:type="paragraph" w:customStyle="1" w:styleId="xl98">
    <w:name w:val="xl98"/>
    <w:basedOn w:val="Normal"/>
    <w:rsid w:val="006852D7"/>
    <w:pPr>
      <w:spacing w:before="100" w:beforeAutospacing="1" w:after="100" w:afterAutospacing="1"/>
      <w:jc w:val="left"/>
      <w:textAlignment w:val="top"/>
    </w:pPr>
    <w:rPr>
      <w:sz w:val="24"/>
      <w:szCs w:val="24"/>
      <w:lang w:val="en-US"/>
    </w:rPr>
  </w:style>
  <w:style w:type="paragraph" w:customStyle="1" w:styleId="font7">
    <w:name w:val="font7"/>
    <w:basedOn w:val="Normal"/>
    <w:rsid w:val="006852D7"/>
    <w:pPr>
      <w:spacing w:before="100" w:beforeAutospacing="1" w:after="100" w:afterAutospacing="1"/>
      <w:jc w:val="left"/>
    </w:pPr>
    <w:rPr>
      <w:rFonts w:ascii="Tahoma" w:hAnsi="Tahoma" w:cs="Tahoma"/>
      <w:b/>
      <w:bCs/>
      <w:color w:val="000000"/>
      <w:sz w:val="18"/>
      <w:szCs w:val="18"/>
      <w:lang w:val="en-US"/>
    </w:rPr>
  </w:style>
  <w:style w:type="paragraph" w:customStyle="1" w:styleId="xl72">
    <w:name w:val="xl72"/>
    <w:basedOn w:val="Normal"/>
    <w:rsid w:val="006852D7"/>
    <w:pPr>
      <w:spacing w:before="100" w:beforeAutospacing="1" w:after="100" w:afterAutospacing="1"/>
      <w:jc w:val="center"/>
      <w:textAlignment w:val="top"/>
    </w:pPr>
    <w:rPr>
      <w:b/>
      <w:bCs/>
      <w:sz w:val="24"/>
      <w:szCs w:val="24"/>
      <w:lang w:val="en-US"/>
    </w:rPr>
  </w:style>
  <w:style w:type="paragraph" w:customStyle="1" w:styleId="xl99">
    <w:name w:val="xl99"/>
    <w:basedOn w:val="Normal"/>
    <w:rsid w:val="006852D7"/>
    <w:pPr>
      <w:spacing w:before="100" w:beforeAutospacing="1" w:after="100" w:afterAutospacing="1"/>
      <w:jc w:val="left"/>
      <w:textAlignment w:val="center"/>
    </w:pPr>
    <w:rPr>
      <w:sz w:val="24"/>
      <w:szCs w:val="24"/>
      <w:lang w:val="en-US"/>
    </w:rPr>
  </w:style>
  <w:style w:type="paragraph" w:customStyle="1" w:styleId="xl100">
    <w:name w:val="xl100"/>
    <w:basedOn w:val="Normal"/>
    <w:rsid w:val="006852D7"/>
    <w:pPr>
      <w:spacing w:before="100" w:beforeAutospacing="1" w:after="100" w:afterAutospacing="1"/>
      <w:jc w:val="left"/>
    </w:pPr>
    <w:rPr>
      <w:sz w:val="24"/>
      <w:szCs w:val="24"/>
      <w:lang w:val="en-US"/>
    </w:rPr>
  </w:style>
  <w:style w:type="paragraph" w:customStyle="1" w:styleId="xl101">
    <w:name w:val="xl101"/>
    <w:basedOn w:val="Normal"/>
    <w:rsid w:val="006852D7"/>
    <w:pPr>
      <w:spacing w:before="100" w:beforeAutospacing="1" w:after="100" w:afterAutospacing="1"/>
      <w:jc w:val="left"/>
      <w:textAlignment w:val="center"/>
    </w:pPr>
    <w:rPr>
      <w:sz w:val="24"/>
      <w:szCs w:val="24"/>
      <w:lang w:val="en-US"/>
    </w:rPr>
  </w:style>
  <w:style w:type="paragraph" w:customStyle="1" w:styleId="xl102">
    <w:name w:val="xl102"/>
    <w:basedOn w:val="Normal"/>
    <w:rsid w:val="006852D7"/>
    <w:pPr>
      <w:spacing w:before="100" w:beforeAutospacing="1" w:after="100" w:afterAutospacing="1"/>
      <w:jc w:val="right"/>
      <w:textAlignment w:val="center"/>
    </w:pPr>
    <w:rPr>
      <w:sz w:val="24"/>
      <w:szCs w:val="24"/>
      <w:lang w:val="en-US"/>
    </w:rPr>
  </w:style>
  <w:style w:type="paragraph" w:customStyle="1" w:styleId="xl103">
    <w:name w:val="xl103"/>
    <w:basedOn w:val="Normal"/>
    <w:rsid w:val="006852D7"/>
    <w:pPr>
      <w:spacing w:before="100" w:beforeAutospacing="1" w:after="100" w:afterAutospacing="1"/>
      <w:jc w:val="center"/>
    </w:pPr>
    <w:rPr>
      <w:sz w:val="24"/>
      <w:szCs w:val="24"/>
      <w:lang w:val="en-US"/>
    </w:rPr>
  </w:style>
  <w:style w:type="paragraph" w:customStyle="1" w:styleId="xl104">
    <w:name w:val="xl104"/>
    <w:basedOn w:val="Normal"/>
    <w:rsid w:val="006852D7"/>
    <w:pPr>
      <w:spacing w:before="100" w:beforeAutospacing="1" w:after="100" w:afterAutospacing="1"/>
      <w:jc w:val="left"/>
    </w:pPr>
    <w:rPr>
      <w:sz w:val="24"/>
      <w:szCs w:val="24"/>
      <w:lang w:val="en-US"/>
    </w:rPr>
  </w:style>
  <w:style w:type="paragraph" w:customStyle="1" w:styleId="xl105">
    <w:name w:val="xl105"/>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06">
    <w:name w:val="xl106"/>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107">
    <w:name w:val="xl107"/>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8">
    <w:name w:val="xl108"/>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en-US"/>
    </w:rPr>
  </w:style>
  <w:style w:type="paragraph" w:customStyle="1" w:styleId="xl109">
    <w:name w:val="xl109"/>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110">
    <w:name w:val="xl110"/>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en-US"/>
    </w:rPr>
  </w:style>
  <w:style w:type="paragraph" w:customStyle="1" w:styleId="xl111">
    <w:name w:val="xl111"/>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lang w:val="en-US"/>
    </w:rPr>
  </w:style>
  <w:style w:type="paragraph" w:customStyle="1" w:styleId="xl112">
    <w:name w:val="xl112"/>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szCs w:val="24"/>
      <w:lang w:val="en-US"/>
    </w:rPr>
  </w:style>
  <w:style w:type="paragraph" w:customStyle="1" w:styleId="xl113">
    <w:name w:val="xl113"/>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14">
    <w:name w:val="xl114"/>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rPr>
  </w:style>
  <w:style w:type="paragraph" w:customStyle="1" w:styleId="xl115">
    <w:name w:val="xl115"/>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4"/>
      <w:szCs w:val="24"/>
      <w:lang w:val="en-US"/>
    </w:rPr>
  </w:style>
  <w:style w:type="character" w:customStyle="1" w:styleId="HeaderChar">
    <w:name w:val="Header Char"/>
    <w:link w:val="Header"/>
    <w:uiPriority w:val="99"/>
    <w:rsid w:val="006852D7"/>
    <w:rPr>
      <w:sz w:val="22"/>
      <w:szCs w:val="22"/>
      <w:lang w:val="en-GB"/>
    </w:rPr>
  </w:style>
  <w:style w:type="paragraph" w:customStyle="1" w:styleId="Heading">
    <w:name w:val="Heading"/>
    <w:basedOn w:val="Header"/>
    <w:next w:val="Header"/>
    <w:rsid w:val="006852D7"/>
    <w:pPr>
      <w:tabs>
        <w:tab w:val="clear" w:pos="4320"/>
        <w:tab w:val="clear" w:pos="8640"/>
      </w:tabs>
    </w:pPr>
    <w:rPr>
      <w:b/>
      <w:bCs/>
      <w:sz w:val="24"/>
      <w:szCs w:val="24"/>
      <w:u w:val="single"/>
    </w:rPr>
  </w:style>
  <w:style w:type="paragraph" w:customStyle="1" w:styleId="subhead">
    <w:name w:val="subhead"/>
    <w:basedOn w:val="Normal"/>
    <w:next w:val="Normal"/>
    <w:uiPriority w:val="99"/>
    <w:rsid w:val="006852D7"/>
    <w:pPr>
      <w:tabs>
        <w:tab w:val="left" w:pos="-720"/>
        <w:tab w:val="left" w:pos="0"/>
        <w:tab w:val="left" w:pos="720"/>
        <w:tab w:val="left" w:pos="1440"/>
        <w:tab w:val="left" w:pos="2160"/>
        <w:tab w:val="left" w:pos="2880"/>
        <w:tab w:val="left" w:pos="3600"/>
      </w:tabs>
      <w:jc w:val="center"/>
    </w:pPr>
    <w:rPr>
      <w:sz w:val="24"/>
      <w:szCs w:val="24"/>
      <w:lang w:val="en-US"/>
    </w:rPr>
  </w:style>
  <w:style w:type="paragraph" w:styleId="EndnoteText">
    <w:name w:val="endnote text"/>
    <w:basedOn w:val="Normal"/>
    <w:link w:val="EndnoteTextChar"/>
    <w:uiPriority w:val="99"/>
    <w:semiHidden/>
    <w:unhideWhenUsed/>
    <w:rsid w:val="006852D7"/>
    <w:rPr>
      <w:sz w:val="20"/>
      <w:szCs w:val="20"/>
    </w:rPr>
  </w:style>
  <w:style w:type="character" w:customStyle="1" w:styleId="EndnoteTextChar">
    <w:name w:val="Endnote Text Char"/>
    <w:basedOn w:val="DefaultParagraphFont"/>
    <w:link w:val="EndnoteText"/>
    <w:uiPriority w:val="99"/>
    <w:semiHidden/>
    <w:rsid w:val="006852D7"/>
    <w:rPr>
      <w:lang w:val="en-GB"/>
    </w:rPr>
  </w:style>
  <w:style w:type="character" w:styleId="EndnoteReference">
    <w:name w:val="endnote reference"/>
    <w:uiPriority w:val="99"/>
    <w:semiHidden/>
    <w:unhideWhenUsed/>
    <w:rsid w:val="006852D7"/>
    <w:rPr>
      <w:vertAlign w:val="superscript"/>
    </w:rPr>
  </w:style>
  <w:style w:type="paragraph" w:styleId="FootnoteText">
    <w:name w:val="footnote text"/>
    <w:aliases w:val="Fußnotentextf"/>
    <w:basedOn w:val="Normal"/>
    <w:link w:val="FootnoteTextChar"/>
    <w:uiPriority w:val="99"/>
    <w:unhideWhenUsed/>
    <w:rsid w:val="006852D7"/>
    <w:rPr>
      <w:sz w:val="20"/>
      <w:szCs w:val="20"/>
    </w:rPr>
  </w:style>
  <w:style w:type="character" w:customStyle="1" w:styleId="FootnoteTextChar">
    <w:name w:val="Footnote Text Char"/>
    <w:aliases w:val="Fußnotentextf Char"/>
    <w:basedOn w:val="DefaultParagraphFont"/>
    <w:link w:val="FootnoteText"/>
    <w:uiPriority w:val="99"/>
    <w:rsid w:val="006852D7"/>
    <w:rPr>
      <w:lang w:val="en-GB"/>
    </w:rPr>
  </w:style>
  <w:style w:type="character" w:styleId="FootnoteReference">
    <w:name w:val="footnote reference"/>
    <w:aliases w:val="Footnote text"/>
    <w:uiPriority w:val="99"/>
    <w:semiHidden/>
    <w:unhideWhenUsed/>
    <w:rsid w:val="006852D7"/>
    <w:rPr>
      <w:vertAlign w:val="superscript"/>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uiPriority w:val="9"/>
    <w:rsid w:val="006852D7"/>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uiPriority w:val="99"/>
    <w:rsid w:val="006852D7"/>
    <w:rPr>
      <w:sz w:val="22"/>
      <w:szCs w:val="22"/>
      <w:lang w:val="en-GB"/>
    </w:rPr>
  </w:style>
  <w:style w:type="paragraph" w:customStyle="1" w:styleId="CH1">
    <w:name w:val="CH1"/>
    <w:basedOn w:val="Normal"/>
    <w:next w:val="Normal"/>
    <w:link w:val="CH1Char"/>
    <w:rsid w:val="006852D7"/>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eastAsia="x-none"/>
    </w:rPr>
  </w:style>
  <w:style w:type="character" w:customStyle="1" w:styleId="CH1Char">
    <w:name w:val="CH1 Char"/>
    <w:link w:val="CH1"/>
    <w:locked/>
    <w:rsid w:val="006852D7"/>
    <w:rPr>
      <w:b/>
      <w:sz w:val="28"/>
      <w:szCs w:val="28"/>
      <w:lang w:val="en-GB" w:eastAsia="x-none"/>
    </w:rPr>
  </w:style>
  <w:style w:type="paragraph" w:customStyle="1" w:styleId="xl116">
    <w:name w:val="xl116"/>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customStyle="1" w:styleId="xl117">
    <w:name w:val="xl117"/>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18">
    <w:name w:val="xl118"/>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19">
    <w:name w:val="xl119"/>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20">
    <w:name w:val="xl120"/>
    <w:basedOn w:val="Normal"/>
    <w:rsid w:val="006852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styleId="Revision">
    <w:name w:val="Revision"/>
    <w:hidden/>
    <w:uiPriority w:val="99"/>
    <w:semiHidden/>
    <w:rsid w:val="008843A0"/>
    <w:rPr>
      <w:sz w:val="22"/>
      <w:szCs w:val="22"/>
      <w:lang w:val="en-GB"/>
    </w:rPr>
  </w:style>
  <w:style w:type="paragraph" w:customStyle="1" w:styleId="Normalpool">
    <w:name w:val="Normal_pool"/>
    <w:link w:val="NormalpoolChar"/>
    <w:rsid w:val="00D96BC1"/>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D96BC1"/>
    <w:rPr>
      <w:lang w:val="en-GB"/>
    </w:rPr>
  </w:style>
  <w:style w:type="paragraph" w:customStyle="1" w:styleId="Title2">
    <w:name w:val="Title2"/>
    <w:rsid w:val="00BA264E"/>
    <w:pPr>
      <w:jc w:val="center"/>
      <w:outlineLvl w:val="0"/>
    </w:pPr>
    <w:rPr>
      <w:b/>
      <w:caps/>
      <w:sz w:val="22"/>
      <w:szCs w:val="22"/>
      <w:lang w:val="en-GB"/>
    </w:rPr>
  </w:style>
  <w:style w:type="paragraph" w:customStyle="1" w:styleId="msonormal0">
    <w:name w:val="msonormal"/>
    <w:basedOn w:val="Normal"/>
    <w:rsid w:val="006C28DF"/>
    <w:pPr>
      <w:spacing w:before="100" w:beforeAutospacing="1" w:after="100" w:afterAutospacing="1"/>
      <w:jc w:val="left"/>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80">
      <w:bodyDiv w:val="1"/>
      <w:marLeft w:val="0"/>
      <w:marRight w:val="0"/>
      <w:marTop w:val="0"/>
      <w:marBottom w:val="0"/>
      <w:divBdr>
        <w:top w:val="none" w:sz="0" w:space="0" w:color="auto"/>
        <w:left w:val="none" w:sz="0" w:space="0" w:color="auto"/>
        <w:bottom w:val="none" w:sz="0" w:space="0" w:color="auto"/>
        <w:right w:val="none" w:sz="0" w:space="0" w:color="auto"/>
      </w:divBdr>
    </w:div>
    <w:div w:id="73431265">
      <w:bodyDiv w:val="1"/>
      <w:marLeft w:val="0"/>
      <w:marRight w:val="0"/>
      <w:marTop w:val="0"/>
      <w:marBottom w:val="0"/>
      <w:divBdr>
        <w:top w:val="none" w:sz="0" w:space="0" w:color="auto"/>
        <w:left w:val="none" w:sz="0" w:space="0" w:color="auto"/>
        <w:bottom w:val="none" w:sz="0" w:space="0" w:color="auto"/>
        <w:right w:val="none" w:sz="0" w:space="0" w:color="auto"/>
      </w:divBdr>
    </w:div>
    <w:div w:id="222571349">
      <w:bodyDiv w:val="1"/>
      <w:marLeft w:val="0"/>
      <w:marRight w:val="0"/>
      <w:marTop w:val="0"/>
      <w:marBottom w:val="0"/>
      <w:divBdr>
        <w:top w:val="none" w:sz="0" w:space="0" w:color="auto"/>
        <w:left w:val="none" w:sz="0" w:space="0" w:color="auto"/>
        <w:bottom w:val="none" w:sz="0" w:space="0" w:color="auto"/>
        <w:right w:val="none" w:sz="0" w:space="0" w:color="auto"/>
      </w:divBdr>
    </w:div>
    <w:div w:id="227232553">
      <w:bodyDiv w:val="1"/>
      <w:marLeft w:val="0"/>
      <w:marRight w:val="0"/>
      <w:marTop w:val="0"/>
      <w:marBottom w:val="0"/>
      <w:divBdr>
        <w:top w:val="none" w:sz="0" w:space="0" w:color="auto"/>
        <w:left w:val="none" w:sz="0" w:space="0" w:color="auto"/>
        <w:bottom w:val="none" w:sz="0" w:space="0" w:color="auto"/>
        <w:right w:val="none" w:sz="0" w:space="0" w:color="auto"/>
      </w:divBdr>
    </w:div>
    <w:div w:id="288171522">
      <w:bodyDiv w:val="1"/>
      <w:marLeft w:val="0"/>
      <w:marRight w:val="0"/>
      <w:marTop w:val="0"/>
      <w:marBottom w:val="0"/>
      <w:divBdr>
        <w:top w:val="none" w:sz="0" w:space="0" w:color="auto"/>
        <w:left w:val="none" w:sz="0" w:space="0" w:color="auto"/>
        <w:bottom w:val="none" w:sz="0" w:space="0" w:color="auto"/>
        <w:right w:val="none" w:sz="0" w:space="0" w:color="auto"/>
      </w:divBdr>
    </w:div>
    <w:div w:id="325868814">
      <w:bodyDiv w:val="1"/>
      <w:marLeft w:val="0"/>
      <w:marRight w:val="0"/>
      <w:marTop w:val="0"/>
      <w:marBottom w:val="0"/>
      <w:divBdr>
        <w:top w:val="none" w:sz="0" w:space="0" w:color="auto"/>
        <w:left w:val="none" w:sz="0" w:space="0" w:color="auto"/>
        <w:bottom w:val="none" w:sz="0" w:space="0" w:color="auto"/>
        <w:right w:val="none" w:sz="0" w:space="0" w:color="auto"/>
      </w:divBdr>
    </w:div>
    <w:div w:id="378627465">
      <w:bodyDiv w:val="1"/>
      <w:marLeft w:val="0"/>
      <w:marRight w:val="0"/>
      <w:marTop w:val="0"/>
      <w:marBottom w:val="0"/>
      <w:divBdr>
        <w:top w:val="none" w:sz="0" w:space="0" w:color="auto"/>
        <w:left w:val="none" w:sz="0" w:space="0" w:color="auto"/>
        <w:bottom w:val="none" w:sz="0" w:space="0" w:color="auto"/>
        <w:right w:val="none" w:sz="0" w:space="0" w:color="auto"/>
      </w:divBdr>
    </w:div>
    <w:div w:id="444931431">
      <w:bodyDiv w:val="1"/>
      <w:marLeft w:val="0"/>
      <w:marRight w:val="0"/>
      <w:marTop w:val="0"/>
      <w:marBottom w:val="0"/>
      <w:divBdr>
        <w:top w:val="none" w:sz="0" w:space="0" w:color="auto"/>
        <w:left w:val="none" w:sz="0" w:space="0" w:color="auto"/>
        <w:bottom w:val="none" w:sz="0" w:space="0" w:color="auto"/>
        <w:right w:val="none" w:sz="0" w:space="0" w:color="auto"/>
      </w:divBdr>
    </w:div>
    <w:div w:id="469783390">
      <w:bodyDiv w:val="1"/>
      <w:marLeft w:val="0"/>
      <w:marRight w:val="0"/>
      <w:marTop w:val="0"/>
      <w:marBottom w:val="0"/>
      <w:divBdr>
        <w:top w:val="none" w:sz="0" w:space="0" w:color="auto"/>
        <w:left w:val="none" w:sz="0" w:space="0" w:color="auto"/>
        <w:bottom w:val="none" w:sz="0" w:space="0" w:color="auto"/>
        <w:right w:val="none" w:sz="0" w:space="0" w:color="auto"/>
      </w:divBdr>
    </w:div>
    <w:div w:id="583883972">
      <w:bodyDiv w:val="1"/>
      <w:marLeft w:val="0"/>
      <w:marRight w:val="0"/>
      <w:marTop w:val="0"/>
      <w:marBottom w:val="0"/>
      <w:divBdr>
        <w:top w:val="none" w:sz="0" w:space="0" w:color="auto"/>
        <w:left w:val="none" w:sz="0" w:space="0" w:color="auto"/>
        <w:bottom w:val="none" w:sz="0" w:space="0" w:color="auto"/>
        <w:right w:val="none" w:sz="0" w:space="0" w:color="auto"/>
      </w:divBdr>
    </w:div>
    <w:div w:id="591402371">
      <w:bodyDiv w:val="1"/>
      <w:marLeft w:val="0"/>
      <w:marRight w:val="0"/>
      <w:marTop w:val="0"/>
      <w:marBottom w:val="0"/>
      <w:divBdr>
        <w:top w:val="none" w:sz="0" w:space="0" w:color="auto"/>
        <w:left w:val="none" w:sz="0" w:space="0" w:color="auto"/>
        <w:bottom w:val="none" w:sz="0" w:space="0" w:color="auto"/>
        <w:right w:val="none" w:sz="0" w:space="0" w:color="auto"/>
      </w:divBdr>
    </w:div>
    <w:div w:id="592009542">
      <w:bodyDiv w:val="1"/>
      <w:marLeft w:val="0"/>
      <w:marRight w:val="0"/>
      <w:marTop w:val="0"/>
      <w:marBottom w:val="0"/>
      <w:divBdr>
        <w:top w:val="none" w:sz="0" w:space="0" w:color="auto"/>
        <w:left w:val="none" w:sz="0" w:space="0" w:color="auto"/>
        <w:bottom w:val="none" w:sz="0" w:space="0" w:color="auto"/>
        <w:right w:val="none" w:sz="0" w:space="0" w:color="auto"/>
      </w:divBdr>
    </w:div>
    <w:div w:id="692876115">
      <w:bodyDiv w:val="1"/>
      <w:marLeft w:val="0"/>
      <w:marRight w:val="0"/>
      <w:marTop w:val="0"/>
      <w:marBottom w:val="0"/>
      <w:divBdr>
        <w:top w:val="none" w:sz="0" w:space="0" w:color="auto"/>
        <w:left w:val="none" w:sz="0" w:space="0" w:color="auto"/>
        <w:bottom w:val="none" w:sz="0" w:space="0" w:color="auto"/>
        <w:right w:val="none" w:sz="0" w:space="0" w:color="auto"/>
      </w:divBdr>
    </w:div>
    <w:div w:id="741946417">
      <w:bodyDiv w:val="1"/>
      <w:marLeft w:val="0"/>
      <w:marRight w:val="0"/>
      <w:marTop w:val="0"/>
      <w:marBottom w:val="0"/>
      <w:divBdr>
        <w:top w:val="none" w:sz="0" w:space="0" w:color="auto"/>
        <w:left w:val="none" w:sz="0" w:space="0" w:color="auto"/>
        <w:bottom w:val="none" w:sz="0" w:space="0" w:color="auto"/>
        <w:right w:val="none" w:sz="0" w:space="0" w:color="auto"/>
      </w:divBdr>
    </w:div>
    <w:div w:id="76566018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95371880">
      <w:bodyDiv w:val="1"/>
      <w:marLeft w:val="0"/>
      <w:marRight w:val="0"/>
      <w:marTop w:val="0"/>
      <w:marBottom w:val="0"/>
      <w:divBdr>
        <w:top w:val="none" w:sz="0" w:space="0" w:color="auto"/>
        <w:left w:val="none" w:sz="0" w:space="0" w:color="auto"/>
        <w:bottom w:val="none" w:sz="0" w:space="0" w:color="auto"/>
        <w:right w:val="none" w:sz="0" w:space="0" w:color="auto"/>
      </w:divBdr>
    </w:div>
    <w:div w:id="860818347">
      <w:bodyDiv w:val="1"/>
      <w:marLeft w:val="0"/>
      <w:marRight w:val="0"/>
      <w:marTop w:val="0"/>
      <w:marBottom w:val="0"/>
      <w:divBdr>
        <w:top w:val="none" w:sz="0" w:space="0" w:color="auto"/>
        <w:left w:val="none" w:sz="0" w:space="0" w:color="auto"/>
        <w:bottom w:val="none" w:sz="0" w:space="0" w:color="auto"/>
        <w:right w:val="none" w:sz="0" w:space="0" w:color="auto"/>
      </w:divBdr>
    </w:div>
    <w:div w:id="1061633560">
      <w:bodyDiv w:val="1"/>
      <w:marLeft w:val="0"/>
      <w:marRight w:val="0"/>
      <w:marTop w:val="0"/>
      <w:marBottom w:val="0"/>
      <w:divBdr>
        <w:top w:val="none" w:sz="0" w:space="0" w:color="auto"/>
        <w:left w:val="none" w:sz="0" w:space="0" w:color="auto"/>
        <w:bottom w:val="none" w:sz="0" w:space="0" w:color="auto"/>
        <w:right w:val="none" w:sz="0" w:space="0" w:color="auto"/>
      </w:divBdr>
    </w:div>
    <w:div w:id="1103302332">
      <w:bodyDiv w:val="1"/>
      <w:marLeft w:val="0"/>
      <w:marRight w:val="0"/>
      <w:marTop w:val="0"/>
      <w:marBottom w:val="0"/>
      <w:divBdr>
        <w:top w:val="none" w:sz="0" w:space="0" w:color="auto"/>
        <w:left w:val="none" w:sz="0" w:space="0" w:color="auto"/>
        <w:bottom w:val="none" w:sz="0" w:space="0" w:color="auto"/>
        <w:right w:val="none" w:sz="0" w:space="0" w:color="auto"/>
      </w:divBdr>
    </w:div>
    <w:div w:id="1117138233">
      <w:bodyDiv w:val="1"/>
      <w:marLeft w:val="0"/>
      <w:marRight w:val="0"/>
      <w:marTop w:val="0"/>
      <w:marBottom w:val="0"/>
      <w:divBdr>
        <w:top w:val="none" w:sz="0" w:space="0" w:color="auto"/>
        <w:left w:val="none" w:sz="0" w:space="0" w:color="auto"/>
        <w:bottom w:val="none" w:sz="0" w:space="0" w:color="auto"/>
        <w:right w:val="none" w:sz="0" w:space="0" w:color="auto"/>
      </w:divBdr>
    </w:div>
    <w:div w:id="1142233493">
      <w:bodyDiv w:val="1"/>
      <w:marLeft w:val="0"/>
      <w:marRight w:val="0"/>
      <w:marTop w:val="0"/>
      <w:marBottom w:val="0"/>
      <w:divBdr>
        <w:top w:val="none" w:sz="0" w:space="0" w:color="auto"/>
        <w:left w:val="none" w:sz="0" w:space="0" w:color="auto"/>
        <w:bottom w:val="none" w:sz="0" w:space="0" w:color="auto"/>
        <w:right w:val="none" w:sz="0" w:space="0" w:color="auto"/>
      </w:divBdr>
    </w:div>
    <w:div w:id="1153722556">
      <w:bodyDiv w:val="1"/>
      <w:marLeft w:val="0"/>
      <w:marRight w:val="0"/>
      <w:marTop w:val="0"/>
      <w:marBottom w:val="0"/>
      <w:divBdr>
        <w:top w:val="none" w:sz="0" w:space="0" w:color="auto"/>
        <w:left w:val="none" w:sz="0" w:space="0" w:color="auto"/>
        <w:bottom w:val="none" w:sz="0" w:space="0" w:color="auto"/>
        <w:right w:val="none" w:sz="0" w:space="0" w:color="auto"/>
      </w:divBdr>
    </w:div>
    <w:div w:id="1177231291">
      <w:bodyDiv w:val="1"/>
      <w:marLeft w:val="0"/>
      <w:marRight w:val="0"/>
      <w:marTop w:val="0"/>
      <w:marBottom w:val="0"/>
      <w:divBdr>
        <w:top w:val="none" w:sz="0" w:space="0" w:color="auto"/>
        <w:left w:val="none" w:sz="0" w:space="0" w:color="auto"/>
        <w:bottom w:val="none" w:sz="0" w:space="0" w:color="auto"/>
        <w:right w:val="none" w:sz="0" w:space="0" w:color="auto"/>
      </w:divBdr>
    </w:div>
    <w:div w:id="1187987498">
      <w:bodyDiv w:val="1"/>
      <w:marLeft w:val="0"/>
      <w:marRight w:val="0"/>
      <w:marTop w:val="0"/>
      <w:marBottom w:val="0"/>
      <w:divBdr>
        <w:top w:val="none" w:sz="0" w:space="0" w:color="auto"/>
        <w:left w:val="none" w:sz="0" w:space="0" w:color="auto"/>
        <w:bottom w:val="none" w:sz="0" w:space="0" w:color="auto"/>
        <w:right w:val="none" w:sz="0" w:space="0" w:color="auto"/>
      </w:divBdr>
    </w:div>
    <w:div w:id="1211380616">
      <w:bodyDiv w:val="1"/>
      <w:marLeft w:val="0"/>
      <w:marRight w:val="0"/>
      <w:marTop w:val="0"/>
      <w:marBottom w:val="0"/>
      <w:divBdr>
        <w:top w:val="none" w:sz="0" w:space="0" w:color="auto"/>
        <w:left w:val="none" w:sz="0" w:space="0" w:color="auto"/>
        <w:bottom w:val="none" w:sz="0" w:space="0" w:color="auto"/>
        <w:right w:val="none" w:sz="0" w:space="0" w:color="auto"/>
      </w:divBdr>
    </w:div>
    <w:div w:id="1235162246">
      <w:bodyDiv w:val="1"/>
      <w:marLeft w:val="0"/>
      <w:marRight w:val="0"/>
      <w:marTop w:val="0"/>
      <w:marBottom w:val="0"/>
      <w:divBdr>
        <w:top w:val="none" w:sz="0" w:space="0" w:color="auto"/>
        <w:left w:val="none" w:sz="0" w:space="0" w:color="auto"/>
        <w:bottom w:val="none" w:sz="0" w:space="0" w:color="auto"/>
        <w:right w:val="none" w:sz="0" w:space="0" w:color="auto"/>
      </w:divBdr>
    </w:div>
    <w:div w:id="1247762052">
      <w:bodyDiv w:val="1"/>
      <w:marLeft w:val="0"/>
      <w:marRight w:val="0"/>
      <w:marTop w:val="0"/>
      <w:marBottom w:val="0"/>
      <w:divBdr>
        <w:top w:val="none" w:sz="0" w:space="0" w:color="auto"/>
        <w:left w:val="none" w:sz="0" w:space="0" w:color="auto"/>
        <w:bottom w:val="none" w:sz="0" w:space="0" w:color="auto"/>
        <w:right w:val="none" w:sz="0" w:space="0" w:color="auto"/>
      </w:divBdr>
    </w:div>
    <w:div w:id="1356541411">
      <w:bodyDiv w:val="1"/>
      <w:marLeft w:val="0"/>
      <w:marRight w:val="0"/>
      <w:marTop w:val="0"/>
      <w:marBottom w:val="0"/>
      <w:divBdr>
        <w:top w:val="none" w:sz="0" w:space="0" w:color="auto"/>
        <w:left w:val="none" w:sz="0" w:space="0" w:color="auto"/>
        <w:bottom w:val="none" w:sz="0" w:space="0" w:color="auto"/>
        <w:right w:val="none" w:sz="0" w:space="0" w:color="auto"/>
      </w:divBdr>
    </w:div>
    <w:div w:id="1390156318">
      <w:bodyDiv w:val="1"/>
      <w:marLeft w:val="0"/>
      <w:marRight w:val="0"/>
      <w:marTop w:val="0"/>
      <w:marBottom w:val="0"/>
      <w:divBdr>
        <w:top w:val="none" w:sz="0" w:space="0" w:color="auto"/>
        <w:left w:val="none" w:sz="0" w:space="0" w:color="auto"/>
        <w:bottom w:val="none" w:sz="0" w:space="0" w:color="auto"/>
        <w:right w:val="none" w:sz="0" w:space="0" w:color="auto"/>
      </w:divBdr>
    </w:div>
    <w:div w:id="1391883626">
      <w:bodyDiv w:val="1"/>
      <w:marLeft w:val="0"/>
      <w:marRight w:val="0"/>
      <w:marTop w:val="0"/>
      <w:marBottom w:val="0"/>
      <w:divBdr>
        <w:top w:val="none" w:sz="0" w:space="0" w:color="auto"/>
        <w:left w:val="none" w:sz="0" w:space="0" w:color="auto"/>
        <w:bottom w:val="none" w:sz="0" w:space="0" w:color="auto"/>
        <w:right w:val="none" w:sz="0" w:space="0" w:color="auto"/>
      </w:divBdr>
    </w:div>
    <w:div w:id="1455640607">
      <w:bodyDiv w:val="1"/>
      <w:marLeft w:val="0"/>
      <w:marRight w:val="0"/>
      <w:marTop w:val="0"/>
      <w:marBottom w:val="0"/>
      <w:divBdr>
        <w:top w:val="none" w:sz="0" w:space="0" w:color="auto"/>
        <w:left w:val="none" w:sz="0" w:space="0" w:color="auto"/>
        <w:bottom w:val="none" w:sz="0" w:space="0" w:color="auto"/>
        <w:right w:val="none" w:sz="0" w:space="0" w:color="auto"/>
      </w:divBdr>
    </w:div>
    <w:div w:id="1457406835">
      <w:bodyDiv w:val="1"/>
      <w:marLeft w:val="0"/>
      <w:marRight w:val="0"/>
      <w:marTop w:val="0"/>
      <w:marBottom w:val="0"/>
      <w:divBdr>
        <w:top w:val="none" w:sz="0" w:space="0" w:color="auto"/>
        <w:left w:val="none" w:sz="0" w:space="0" w:color="auto"/>
        <w:bottom w:val="none" w:sz="0" w:space="0" w:color="auto"/>
        <w:right w:val="none" w:sz="0" w:space="0" w:color="auto"/>
      </w:divBdr>
    </w:div>
    <w:div w:id="1575123501">
      <w:bodyDiv w:val="1"/>
      <w:marLeft w:val="0"/>
      <w:marRight w:val="0"/>
      <w:marTop w:val="0"/>
      <w:marBottom w:val="0"/>
      <w:divBdr>
        <w:top w:val="none" w:sz="0" w:space="0" w:color="auto"/>
        <w:left w:val="none" w:sz="0" w:space="0" w:color="auto"/>
        <w:bottom w:val="none" w:sz="0" w:space="0" w:color="auto"/>
        <w:right w:val="none" w:sz="0" w:space="0" w:color="auto"/>
      </w:divBdr>
    </w:div>
    <w:div w:id="1661107848">
      <w:bodyDiv w:val="1"/>
      <w:marLeft w:val="0"/>
      <w:marRight w:val="0"/>
      <w:marTop w:val="0"/>
      <w:marBottom w:val="0"/>
      <w:divBdr>
        <w:top w:val="none" w:sz="0" w:space="0" w:color="auto"/>
        <w:left w:val="none" w:sz="0" w:space="0" w:color="auto"/>
        <w:bottom w:val="none" w:sz="0" w:space="0" w:color="auto"/>
        <w:right w:val="none" w:sz="0" w:space="0" w:color="auto"/>
      </w:divBdr>
    </w:div>
    <w:div w:id="1732077320">
      <w:bodyDiv w:val="1"/>
      <w:marLeft w:val="0"/>
      <w:marRight w:val="0"/>
      <w:marTop w:val="0"/>
      <w:marBottom w:val="0"/>
      <w:divBdr>
        <w:top w:val="none" w:sz="0" w:space="0" w:color="auto"/>
        <w:left w:val="none" w:sz="0" w:space="0" w:color="auto"/>
        <w:bottom w:val="none" w:sz="0" w:space="0" w:color="auto"/>
        <w:right w:val="none" w:sz="0" w:space="0" w:color="auto"/>
      </w:divBdr>
    </w:div>
    <w:div w:id="182053364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79707807">
      <w:bodyDiv w:val="1"/>
      <w:marLeft w:val="0"/>
      <w:marRight w:val="0"/>
      <w:marTop w:val="0"/>
      <w:marBottom w:val="0"/>
      <w:divBdr>
        <w:top w:val="none" w:sz="0" w:space="0" w:color="auto"/>
        <w:left w:val="none" w:sz="0" w:space="0" w:color="auto"/>
        <w:bottom w:val="none" w:sz="0" w:space="0" w:color="auto"/>
        <w:right w:val="none" w:sz="0" w:space="0" w:color="auto"/>
      </w:divBdr>
    </w:div>
    <w:div w:id="2025016374">
      <w:bodyDiv w:val="1"/>
      <w:marLeft w:val="0"/>
      <w:marRight w:val="0"/>
      <w:marTop w:val="0"/>
      <w:marBottom w:val="0"/>
      <w:divBdr>
        <w:top w:val="none" w:sz="0" w:space="0" w:color="auto"/>
        <w:left w:val="none" w:sz="0" w:space="0" w:color="auto"/>
        <w:bottom w:val="none" w:sz="0" w:space="0" w:color="auto"/>
        <w:right w:val="none" w:sz="0" w:space="0" w:color="auto"/>
      </w:divBdr>
    </w:div>
    <w:div w:id="2129279004">
      <w:bodyDiv w:val="1"/>
      <w:marLeft w:val="0"/>
      <w:marRight w:val="0"/>
      <w:marTop w:val="0"/>
      <w:marBottom w:val="0"/>
      <w:divBdr>
        <w:top w:val="none" w:sz="0" w:space="0" w:color="auto"/>
        <w:left w:val="none" w:sz="0" w:space="0" w:color="auto"/>
        <w:bottom w:val="none" w:sz="0" w:space="0" w:color="auto"/>
        <w:right w:val="none" w:sz="0" w:space="0" w:color="auto"/>
      </w:divBdr>
    </w:div>
    <w:div w:id="21421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anem.UNMFS\AppData\Roaming\Microsoft\Templates\Eec7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UNEP/OzL.Pro/ExCom/81/12</Document_x0020_Number>
    <DocumentType xmlns="64e33b30-101d-41de-b951-961aab25ea29">Pre-session</DocumentType>
    <Format xmlns="c41b18c7-297f-4c27-85f0-8b52ca6c4730">Word</Format>
    <Language xmlns="c41b18c7-297f-4c27-85f0-8b52ca6c4730">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6580A5-460D-411A-8C52-CB9F03B9D616}"/>
</file>

<file path=customXml/itemProps2.xml><?xml version="1.0" encoding="utf-8"?>
<ds:datastoreItem xmlns:ds="http://schemas.openxmlformats.org/officeDocument/2006/customXml" ds:itemID="{A5170231-2C09-4881-9F9B-3A0B417E1F78}"/>
</file>

<file path=customXml/itemProps3.xml><?xml version="1.0" encoding="utf-8"?>
<ds:datastoreItem xmlns:ds="http://schemas.openxmlformats.org/officeDocument/2006/customXml" ds:itemID="{803C9AEC-6B80-4B59-A720-BD687D937232}"/>
</file>

<file path=customXml/itemProps4.xml><?xml version="1.0" encoding="utf-8"?>
<ds:datastoreItem xmlns:ds="http://schemas.openxmlformats.org/officeDocument/2006/customXml" ds:itemID="{EF1EE3C1-CF4B-4C96-B3F6-62DB1B40DE7D}"/>
</file>

<file path=docProps/app.xml><?xml version="1.0" encoding="utf-8"?>
<Properties xmlns="http://schemas.openxmlformats.org/officeDocument/2006/extended-properties" xmlns:vt="http://schemas.openxmlformats.org/officeDocument/2006/docPropsVTypes">
  <Template>Eec74G</Template>
  <TotalTime>7</TotalTime>
  <Pages>20</Pages>
  <Words>7657</Words>
  <Characters>43180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Update on the implementation of teh 2018-2020 business plans and financial planning for the triennium 2018-2020</vt:lpstr>
    </vt:vector>
  </TitlesOfParts>
  <Company/>
  <LinksUpToDate>false</LinksUpToDate>
  <CharactersWithSpaces>50736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implementation of the 2018-2020 business plans and financial planning for the triennium 2018-2020</dc:title>
  <dc:subject/>
  <dc:creator>Laura Duong</dc:creator>
  <cp:lastModifiedBy>Elina Yuen</cp:lastModifiedBy>
  <cp:revision>7</cp:revision>
  <cp:lastPrinted>2018-06-04T20:27:00Z</cp:lastPrinted>
  <dcterms:created xsi:type="dcterms:W3CDTF">2018-06-04T21:15:00Z</dcterms:created>
  <dcterms:modified xsi:type="dcterms:W3CDTF">2018-06-04T22:47:00Z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UNEP/OzL.Pro/ExCom/81/12</vt:lpwstr>
  </property>
  <property fmtid="{D5CDD505-2E9C-101B-9397-08002B2CF9AE}" pid="3" name="Revision date">
    <vt:lpwstr>6/04/2018</vt:lpwstr>
  </property>
  <property fmtid="{D5CDD505-2E9C-101B-9397-08002B2CF9AE}" pid="4" name="ContentTypeId">
    <vt:lpwstr>0x0101004B13B1B27BA23146A32B327DDC69C6DE</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