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693432" w:rsidTr="00693432">
        <w:trPr>
          <w:trHeight w:val="720"/>
        </w:trPr>
        <w:tc>
          <w:tcPr>
            <w:tcW w:w="5490" w:type="dxa"/>
            <w:gridSpan w:val="2"/>
            <w:tcBorders>
              <w:bottom w:val="single" w:sz="18" w:space="0" w:color="auto"/>
            </w:tcBorders>
          </w:tcPr>
          <w:p w:rsidR="00693432" w:rsidRPr="0000434E" w:rsidRDefault="00693432" w:rsidP="00693432">
            <w:pPr>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693432" w:rsidRPr="00493D40" w:rsidRDefault="00693432" w:rsidP="00693432">
            <w:pPr>
              <w:jc w:val="right"/>
              <w:rPr>
                <w:sz w:val="52"/>
                <w:szCs w:val="52"/>
              </w:rPr>
            </w:pPr>
            <w:r>
              <w:rPr>
                <w:rFonts w:ascii="Univers Bold" w:hAnsi="Univers Bold"/>
                <w:b/>
                <w:sz w:val="72"/>
              </w:rPr>
              <w:t>EP</w:t>
            </w:r>
          </w:p>
        </w:tc>
      </w:tr>
      <w:tr w:rsidR="00693432" w:rsidTr="00693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693432" w:rsidRDefault="00693432" w:rsidP="00693432">
            <w:r>
              <w:rPr>
                <w:noProof/>
                <w:lang w:val="en-CA" w:eastAsia="en-CA"/>
              </w:rPr>
              <w:drawing>
                <wp:anchor distT="0" distB="0" distL="114300" distR="114300" simplePos="0" relativeHeight="251666432" behindDoc="0" locked="0" layoutInCell="1" allowOverlap="1" wp14:anchorId="6BD04FC3" wp14:editId="3190D929">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7456" behindDoc="1" locked="0" layoutInCell="0" allowOverlap="1" wp14:anchorId="1CE7D456" wp14:editId="04C9A3F0">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693432" w:rsidRDefault="00693432" w:rsidP="00693432">
            <w:pPr>
              <w:suppressAutoHyphens/>
              <w:rPr>
                <w:rFonts w:ascii="Univers" w:hAnsi="Univers"/>
                <w:b/>
                <w:sz w:val="32"/>
              </w:rPr>
            </w:pPr>
            <w:r>
              <w:rPr>
                <w:rFonts w:ascii="Univers" w:hAnsi="Univers"/>
                <w:b/>
                <w:sz w:val="32"/>
              </w:rPr>
              <w:t>United Nations</w:t>
            </w:r>
          </w:p>
          <w:p w:rsidR="00693432" w:rsidRDefault="00693432" w:rsidP="00693432">
            <w:pPr>
              <w:suppressAutoHyphens/>
              <w:rPr>
                <w:rFonts w:ascii="Univers" w:hAnsi="Univers"/>
              </w:rPr>
            </w:pPr>
            <w:r>
              <w:rPr>
                <w:rFonts w:ascii="Univers" w:hAnsi="Univers"/>
                <w:b/>
                <w:sz w:val="32"/>
              </w:rPr>
              <w:t>Environment</w:t>
            </w:r>
          </w:p>
          <w:p w:rsidR="00693432" w:rsidRDefault="00693432" w:rsidP="00693432">
            <w:pPr>
              <w:suppressAutoHyphens/>
              <w:rPr>
                <w:rFonts w:ascii="Univers Bold" w:hAnsi="Univers Bold"/>
                <w:b/>
                <w:sz w:val="32"/>
              </w:rPr>
            </w:pPr>
            <w:r>
              <w:rPr>
                <w:rFonts w:ascii="Univers" w:hAnsi="Univers"/>
                <w:b/>
                <w:sz w:val="32"/>
              </w:rPr>
              <w:t>Programme</w:t>
            </w:r>
          </w:p>
          <w:p w:rsidR="00693432" w:rsidRDefault="00693432" w:rsidP="00693432">
            <w:pPr>
              <w:ind w:left="158"/>
            </w:pPr>
          </w:p>
        </w:tc>
        <w:tc>
          <w:tcPr>
            <w:tcW w:w="4590" w:type="dxa"/>
            <w:tcBorders>
              <w:top w:val="nil"/>
              <w:left w:val="nil"/>
              <w:bottom w:val="single" w:sz="36" w:space="0" w:color="auto"/>
              <w:right w:val="nil"/>
            </w:tcBorders>
          </w:tcPr>
          <w:p w:rsidR="00693432" w:rsidRPr="0033525D" w:rsidRDefault="00693432" w:rsidP="00693432">
            <w:r w:rsidRPr="0033525D">
              <w:t>Distr.</w:t>
            </w:r>
          </w:p>
          <w:p w:rsidR="00693432" w:rsidRPr="0033525D" w:rsidRDefault="00693432" w:rsidP="00693432">
            <w:r w:rsidRPr="0033525D">
              <w:t>GENERAL</w:t>
            </w:r>
          </w:p>
          <w:p w:rsidR="00693432" w:rsidRPr="0033525D" w:rsidRDefault="00693432" w:rsidP="00693432"/>
          <w:p w:rsidR="00693432" w:rsidRPr="003F73BA" w:rsidRDefault="00693432" w:rsidP="00693432"/>
          <w:p w:rsidR="00693432" w:rsidRPr="003F73BA" w:rsidRDefault="00764F07" w:rsidP="00693432">
            <w:r>
              <w:fldChar w:fldCharType="begin"/>
            </w:r>
            <w:r>
              <w:instrText xml:space="preserve"> DOCPROPERTY "Document number"  \* MERGEFORMAT </w:instrText>
            </w:r>
            <w:r>
              <w:fldChar w:fldCharType="separate"/>
            </w:r>
            <w:r w:rsidR="0035635B">
              <w:t>UNEP/</w:t>
            </w:r>
            <w:proofErr w:type="spellStart"/>
            <w:r w:rsidR="0035635B">
              <w:t>OzL.Pro</w:t>
            </w:r>
            <w:proofErr w:type="spellEnd"/>
            <w:r w:rsidR="0035635B">
              <w:t>/</w:t>
            </w:r>
            <w:proofErr w:type="spellStart"/>
            <w:r w:rsidR="0035635B">
              <w:t>ExCom</w:t>
            </w:r>
            <w:proofErr w:type="spellEnd"/>
            <w:r w:rsidR="0035635B">
              <w:t>/81/32</w:t>
            </w:r>
            <w:r>
              <w:fldChar w:fldCharType="end"/>
            </w:r>
          </w:p>
          <w:p w:rsidR="00693432" w:rsidRPr="003F73BA" w:rsidRDefault="00693432" w:rsidP="00693432">
            <w:r>
              <w:fldChar w:fldCharType="begin"/>
            </w:r>
            <w:r>
              <w:instrText xml:space="preserve"> DOCPROPERTY "Revision date" \@ "d MMMM YYYY"  \* MERGEFORMAT </w:instrText>
            </w:r>
            <w:r>
              <w:fldChar w:fldCharType="separate"/>
            </w:r>
            <w:r w:rsidR="00443E1D">
              <w:t>1 June 2018</w:t>
            </w:r>
            <w:r>
              <w:fldChar w:fldCharType="end"/>
            </w:r>
          </w:p>
          <w:p w:rsidR="00693432" w:rsidRPr="00000FED" w:rsidRDefault="00693432" w:rsidP="00693432">
            <w:pPr>
              <w:rPr>
                <w:caps/>
              </w:rPr>
            </w:pPr>
          </w:p>
          <w:p w:rsidR="00693432" w:rsidRDefault="00693432" w:rsidP="00693432">
            <w:r w:rsidRPr="0033525D">
              <w:t>ORIGINAL: ENGLISH</w:t>
            </w:r>
          </w:p>
        </w:tc>
      </w:tr>
    </w:tbl>
    <w:p w:rsidR="00693432" w:rsidRPr="00612F2F" w:rsidRDefault="00693432" w:rsidP="00693432">
      <w:pPr>
        <w:jc w:val="left"/>
      </w:pPr>
      <w:r w:rsidRPr="0033525D">
        <w:t>EXECUTIVE COMMITTEE OF</w:t>
      </w:r>
      <w:r w:rsidRPr="0033525D">
        <w:br/>
      </w:r>
      <w:r>
        <w:t xml:space="preserve"> </w:t>
      </w:r>
      <w:r w:rsidRPr="0033525D">
        <w:t>THE MULTILATERAL FUND FOR THE</w:t>
      </w:r>
      <w:r w:rsidRPr="0033525D">
        <w:br/>
      </w:r>
      <w:r>
        <w:t xml:space="preserve"> </w:t>
      </w:r>
      <w:r w:rsidRPr="0033525D">
        <w:t>IMPLEMENTATION OF THE MONTREAL PROTOCOL</w:t>
      </w:r>
      <w:r w:rsidRPr="0033525D">
        <w:br/>
      </w:r>
      <w:r>
        <w:rPr>
          <w:lang w:val="en-CA"/>
        </w:rPr>
        <w:t xml:space="preserve">Eighty-first </w:t>
      </w:r>
      <w:r>
        <w:t>Meeting</w:t>
      </w:r>
    </w:p>
    <w:p w:rsidR="00693432" w:rsidRPr="006C39CE" w:rsidRDefault="00693432" w:rsidP="00693432">
      <w:pPr>
        <w:jc w:val="left"/>
        <w:rPr>
          <w:lang w:val="en-CA"/>
        </w:rPr>
      </w:pPr>
      <w:r>
        <w:rPr>
          <w:lang w:val="en-CA"/>
        </w:rPr>
        <w:t>Montreal</w:t>
      </w:r>
      <w:r w:rsidRPr="00042E3E">
        <w:rPr>
          <w:lang w:val="en-CA"/>
        </w:rPr>
        <w:t xml:space="preserve">, </w:t>
      </w:r>
      <w:r>
        <w:t>18-22 June 2018</w:t>
      </w:r>
    </w:p>
    <w:p w:rsidR="00693432" w:rsidRPr="00765DE4" w:rsidRDefault="00693432" w:rsidP="00693432">
      <w:pPr>
        <w:jc w:val="left"/>
        <w:rPr>
          <w:lang w:val="en-US"/>
        </w:rPr>
      </w:pPr>
    </w:p>
    <w:p w:rsidR="00693432" w:rsidRDefault="00693432" w:rsidP="00693432">
      <w:pPr>
        <w:pStyle w:val="Title1"/>
      </w:pPr>
    </w:p>
    <w:p w:rsidR="00693432" w:rsidRDefault="00693432" w:rsidP="00693432">
      <w:pPr>
        <w:pStyle w:val="Title1"/>
      </w:pPr>
    </w:p>
    <w:p w:rsidR="00693432" w:rsidRPr="0024637D" w:rsidRDefault="00693432" w:rsidP="00693432">
      <w:pPr>
        <w:pStyle w:val="Heading1"/>
        <w:numPr>
          <w:ilvl w:val="0"/>
          <w:numId w:val="0"/>
        </w:numPr>
        <w:jc w:val="center"/>
        <w:rPr>
          <w:b/>
        </w:rPr>
      </w:pPr>
      <w:r w:rsidRPr="0024637D">
        <w:rPr>
          <w:b/>
        </w:rPr>
        <w:t>PROJECT PROPOSAL</w:t>
      </w:r>
      <w:r w:rsidR="00EC10FB">
        <w:rPr>
          <w:b/>
        </w:rPr>
        <w:t>S</w:t>
      </w:r>
      <w:r w:rsidRPr="0024637D">
        <w:rPr>
          <w:b/>
        </w:rPr>
        <w:t>:</w:t>
      </w:r>
      <w:r>
        <w:rPr>
          <w:b/>
        </w:rPr>
        <w:t xml:space="preserve"> </w:t>
      </w:r>
      <w:r w:rsidR="0035635B">
        <w:rPr>
          <w:b/>
        </w:rPr>
        <w:t>ECUADOR</w:t>
      </w:r>
    </w:p>
    <w:p w:rsidR="00693432" w:rsidRPr="00572436" w:rsidRDefault="00693432" w:rsidP="00693432">
      <w:pPr>
        <w:ind w:firstLine="720"/>
        <w:rPr>
          <w:lang w:val="en-CA"/>
        </w:rPr>
      </w:pPr>
      <w:r w:rsidRPr="00572436">
        <w:rPr>
          <w:lang w:val="en-CA"/>
        </w:rPr>
        <w:t>This document consists of the comments and recommendation</w:t>
      </w:r>
      <w:r w:rsidR="00F8541F">
        <w:rPr>
          <w:lang w:val="en-CA"/>
        </w:rPr>
        <w:t>s</w:t>
      </w:r>
      <w:r w:rsidRPr="00572436">
        <w:rPr>
          <w:lang w:val="en-CA"/>
        </w:rPr>
        <w:t xml:space="preserve"> of the Secretariat on the following project proposal</w:t>
      </w:r>
      <w:r w:rsidR="00872BB1">
        <w:rPr>
          <w:lang w:val="en-CA"/>
        </w:rPr>
        <w:t>s</w:t>
      </w:r>
      <w:r w:rsidRPr="00572436">
        <w:rPr>
          <w:lang w:val="en-CA"/>
        </w:rPr>
        <w:t xml:space="preserve">: </w:t>
      </w:r>
    </w:p>
    <w:p w:rsidR="00693432" w:rsidRPr="00572436" w:rsidRDefault="00693432" w:rsidP="00693432">
      <w:pPr>
        <w:rPr>
          <w:lang w:val="en-CA"/>
        </w:rPr>
      </w:pPr>
    </w:p>
    <w:p w:rsidR="00693432" w:rsidRPr="00572436" w:rsidRDefault="0035635B" w:rsidP="00693432">
      <w:pPr>
        <w:rPr>
          <w:u w:val="single"/>
          <w:lang w:val="en-CA"/>
        </w:rPr>
      </w:pPr>
      <w:r>
        <w:rPr>
          <w:u w:val="single"/>
          <w:lang w:val="en-CA"/>
        </w:rPr>
        <w:t>Foam</w:t>
      </w:r>
    </w:p>
    <w:p w:rsidR="00693432" w:rsidRPr="00572436" w:rsidRDefault="00693432" w:rsidP="00693432">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3"/>
        <w:gridCol w:w="2397"/>
      </w:tblGrid>
      <w:tr w:rsidR="00872BB1" w:rsidRPr="002E25BA" w:rsidTr="00693432">
        <w:tc>
          <w:tcPr>
            <w:tcW w:w="7128" w:type="dxa"/>
          </w:tcPr>
          <w:p w:rsidR="00693432" w:rsidRPr="00572436" w:rsidRDefault="00693432" w:rsidP="00EC10FB">
            <w:pPr>
              <w:ind w:left="720" w:hanging="720"/>
              <w:rPr>
                <w:lang w:val="en-CA"/>
              </w:rPr>
            </w:pPr>
            <w:r w:rsidRPr="00572436">
              <w:rPr>
                <w:lang w:val="en-CA"/>
              </w:rPr>
              <w:t>•</w:t>
            </w:r>
            <w:r w:rsidRPr="00572436">
              <w:rPr>
                <w:lang w:val="en-CA"/>
              </w:rPr>
              <w:tab/>
            </w:r>
            <w:r w:rsidR="0035635B">
              <w:rPr>
                <w:lang w:val="en-CA"/>
              </w:rPr>
              <w:t>P</w:t>
            </w:r>
            <w:r w:rsidR="00872BB1">
              <w:rPr>
                <w:lang w:val="en-CA"/>
              </w:rPr>
              <w:t xml:space="preserve">hase-out </w:t>
            </w:r>
            <w:r w:rsidR="0035635B">
              <w:rPr>
                <w:lang w:val="en-CA"/>
              </w:rPr>
              <w:t xml:space="preserve">of HCFC-141b contained in imported pre-blended polyols in the polyurethane foam sector </w:t>
            </w:r>
          </w:p>
        </w:tc>
        <w:tc>
          <w:tcPr>
            <w:tcW w:w="2448" w:type="dxa"/>
          </w:tcPr>
          <w:p w:rsidR="00693432" w:rsidRPr="002E25BA" w:rsidRDefault="002E0167" w:rsidP="0035635B">
            <w:pPr>
              <w:spacing w:line="360" w:lineRule="auto"/>
              <w:jc w:val="right"/>
              <w:rPr>
                <w:lang w:val="en-CA"/>
              </w:rPr>
            </w:pPr>
            <w:r w:rsidRPr="002E25BA">
              <w:rPr>
                <w:lang w:val="en-CA"/>
              </w:rPr>
              <w:t>U</w:t>
            </w:r>
            <w:r w:rsidR="0035635B">
              <w:rPr>
                <w:lang w:val="en-CA"/>
              </w:rPr>
              <w:t>NIDO</w:t>
            </w:r>
            <w:r w:rsidR="000C2FA8" w:rsidRPr="002E25BA">
              <w:rPr>
                <w:lang w:val="en-CA"/>
              </w:rPr>
              <w:t xml:space="preserve"> </w:t>
            </w:r>
          </w:p>
        </w:tc>
      </w:tr>
    </w:tbl>
    <w:p w:rsidR="00872BB1" w:rsidRDefault="00872BB1" w:rsidP="00693432">
      <w:pPr>
        <w:pStyle w:val="StyleHeader4Para4Left0Firstline0"/>
        <w:numPr>
          <w:ilvl w:val="0"/>
          <w:numId w:val="0"/>
        </w:numPr>
        <w:tabs>
          <w:tab w:val="clear" w:pos="2880"/>
          <w:tab w:val="clear" w:pos="5760"/>
        </w:tabs>
      </w:pPr>
    </w:p>
    <w:p w:rsidR="00872BB1" w:rsidRPr="00572436" w:rsidRDefault="00872BB1" w:rsidP="00872BB1">
      <w:pPr>
        <w:rPr>
          <w:u w:val="single"/>
          <w:lang w:val="en-CA"/>
        </w:rPr>
      </w:pPr>
      <w:r>
        <w:rPr>
          <w:u w:val="single"/>
          <w:lang w:val="en-CA"/>
        </w:rPr>
        <w:t>Refrigeration</w:t>
      </w:r>
    </w:p>
    <w:p w:rsidR="00872BB1" w:rsidRPr="00572436" w:rsidRDefault="00872BB1" w:rsidP="00872BB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872BB1" w:rsidRPr="002E25BA" w:rsidTr="00872BB1">
        <w:tc>
          <w:tcPr>
            <w:tcW w:w="6969" w:type="dxa"/>
          </w:tcPr>
          <w:p w:rsidR="00872BB1" w:rsidRPr="00572436" w:rsidRDefault="00872BB1" w:rsidP="0035635B">
            <w:pPr>
              <w:ind w:left="720" w:hanging="720"/>
              <w:rPr>
                <w:lang w:val="en-CA"/>
              </w:rPr>
            </w:pPr>
            <w:r w:rsidRPr="00572436">
              <w:rPr>
                <w:lang w:val="en-CA"/>
              </w:rPr>
              <w:t>•</w:t>
            </w:r>
            <w:r w:rsidRPr="00572436">
              <w:rPr>
                <w:lang w:val="en-CA"/>
              </w:rPr>
              <w:tab/>
            </w:r>
            <w:r w:rsidR="000C2FA8" w:rsidRPr="00E640EA">
              <w:rPr>
                <w:lang w:val="en-CA"/>
              </w:rPr>
              <w:t xml:space="preserve">Conversion of </w:t>
            </w:r>
            <w:r w:rsidR="0035635B">
              <w:rPr>
                <w:lang w:val="en-CA"/>
              </w:rPr>
              <w:t xml:space="preserve">the </w:t>
            </w:r>
            <w:r w:rsidR="000C2FA8" w:rsidRPr="00E640EA">
              <w:rPr>
                <w:lang w:val="en-CA"/>
              </w:rPr>
              <w:t xml:space="preserve">manufacturing </w:t>
            </w:r>
            <w:r w:rsidR="0035635B">
              <w:rPr>
                <w:lang w:val="en-CA"/>
              </w:rPr>
              <w:t>of domestic and commercial refrigerators</w:t>
            </w:r>
            <w:r w:rsidR="0035635B" w:rsidRPr="00E640EA">
              <w:rPr>
                <w:lang w:val="en-CA"/>
              </w:rPr>
              <w:t xml:space="preserve"> </w:t>
            </w:r>
            <w:r w:rsidR="0035635B">
              <w:rPr>
                <w:lang w:val="en-CA"/>
              </w:rPr>
              <w:t>from</w:t>
            </w:r>
            <w:r w:rsidR="000C2FA8" w:rsidRPr="00E640EA">
              <w:rPr>
                <w:lang w:val="en-CA"/>
              </w:rPr>
              <w:t xml:space="preserve"> HFC-134a </w:t>
            </w:r>
            <w:r w:rsidR="000C2FA8">
              <w:rPr>
                <w:lang w:val="en-CA"/>
              </w:rPr>
              <w:t xml:space="preserve">and R-404A </w:t>
            </w:r>
            <w:r w:rsidR="000C2FA8" w:rsidRPr="00E640EA">
              <w:rPr>
                <w:lang w:val="en-CA"/>
              </w:rPr>
              <w:t xml:space="preserve">to </w:t>
            </w:r>
            <w:proofErr w:type="spellStart"/>
            <w:r w:rsidR="003973E3" w:rsidRPr="00E640EA">
              <w:rPr>
                <w:lang w:val="en-CA"/>
              </w:rPr>
              <w:t>isobutane</w:t>
            </w:r>
            <w:proofErr w:type="spellEnd"/>
            <w:r w:rsidR="003973E3" w:rsidRPr="00E640EA">
              <w:rPr>
                <w:lang w:val="en-CA"/>
              </w:rPr>
              <w:t xml:space="preserve"> (R</w:t>
            </w:r>
            <w:r w:rsidR="003973E3">
              <w:rPr>
                <w:lang w:val="en-CA"/>
              </w:rPr>
              <w:noBreakHyphen/>
            </w:r>
            <w:r w:rsidR="003973E3" w:rsidRPr="00E640EA">
              <w:rPr>
                <w:lang w:val="en-CA"/>
              </w:rPr>
              <w:t>600a)</w:t>
            </w:r>
            <w:r w:rsidR="003973E3">
              <w:rPr>
                <w:lang w:val="en-CA"/>
              </w:rPr>
              <w:t xml:space="preserve"> and</w:t>
            </w:r>
            <w:r w:rsidR="003973E3">
              <w:t xml:space="preserve"> </w:t>
            </w:r>
            <w:r w:rsidR="003973E3">
              <w:rPr>
                <w:lang w:val="en-CA"/>
              </w:rPr>
              <w:t>propane (R-290)</w:t>
            </w:r>
            <w:r w:rsidR="0035635B">
              <w:rPr>
                <w:lang w:val="en-CA"/>
              </w:rPr>
              <w:t xml:space="preserve"> at </w:t>
            </w:r>
            <w:proofErr w:type="spellStart"/>
            <w:r w:rsidR="0035635B">
              <w:rPr>
                <w:lang w:val="en-CA"/>
              </w:rPr>
              <w:t>Ecasa</w:t>
            </w:r>
            <w:proofErr w:type="spellEnd"/>
          </w:p>
        </w:tc>
        <w:tc>
          <w:tcPr>
            <w:tcW w:w="2391" w:type="dxa"/>
          </w:tcPr>
          <w:p w:rsidR="00872BB1" w:rsidRPr="002E25BA" w:rsidRDefault="000C2FA8" w:rsidP="00872BB1">
            <w:pPr>
              <w:spacing w:line="360" w:lineRule="auto"/>
              <w:jc w:val="right"/>
              <w:rPr>
                <w:lang w:val="en-CA"/>
              </w:rPr>
            </w:pPr>
            <w:r>
              <w:rPr>
                <w:lang w:val="en-CA"/>
              </w:rPr>
              <w:t>UNIDO</w:t>
            </w:r>
          </w:p>
        </w:tc>
      </w:tr>
    </w:tbl>
    <w:p w:rsidR="00872BB1" w:rsidRPr="00572436" w:rsidRDefault="00872BB1" w:rsidP="00872BB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6"/>
        <w:gridCol w:w="2394"/>
      </w:tblGrid>
      <w:tr w:rsidR="00872BB1" w:rsidRPr="002E25BA" w:rsidTr="00872BB1">
        <w:tc>
          <w:tcPr>
            <w:tcW w:w="7128" w:type="dxa"/>
          </w:tcPr>
          <w:p w:rsidR="00872BB1" w:rsidRPr="00572436" w:rsidRDefault="00872BB1" w:rsidP="0035635B">
            <w:pPr>
              <w:ind w:left="720" w:hanging="720"/>
              <w:rPr>
                <w:lang w:val="en-CA"/>
              </w:rPr>
            </w:pPr>
            <w:r w:rsidRPr="00572436">
              <w:rPr>
                <w:lang w:val="en-CA"/>
              </w:rPr>
              <w:t>•</w:t>
            </w:r>
            <w:r w:rsidRPr="00572436">
              <w:rPr>
                <w:lang w:val="en-CA"/>
              </w:rPr>
              <w:tab/>
            </w:r>
            <w:r w:rsidR="0035635B" w:rsidRPr="00E640EA">
              <w:rPr>
                <w:lang w:val="en-CA"/>
              </w:rPr>
              <w:t xml:space="preserve">Conversion of </w:t>
            </w:r>
            <w:r w:rsidR="0035635B">
              <w:rPr>
                <w:lang w:val="en-CA"/>
              </w:rPr>
              <w:t xml:space="preserve">the </w:t>
            </w:r>
            <w:r w:rsidR="0035635B" w:rsidRPr="00E640EA">
              <w:rPr>
                <w:lang w:val="en-CA"/>
              </w:rPr>
              <w:t xml:space="preserve">manufacturing </w:t>
            </w:r>
            <w:r w:rsidR="0035635B">
              <w:rPr>
                <w:lang w:val="en-CA"/>
              </w:rPr>
              <w:t>of commercial refrigerators</w:t>
            </w:r>
            <w:r w:rsidR="0035635B" w:rsidRPr="00E640EA">
              <w:rPr>
                <w:lang w:val="en-CA"/>
              </w:rPr>
              <w:t xml:space="preserve"> </w:t>
            </w:r>
            <w:r w:rsidR="0035635B">
              <w:rPr>
                <w:lang w:val="en-CA"/>
              </w:rPr>
              <w:t>from</w:t>
            </w:r>
            <w:r w:rsidR="0035635B" w:rsidRPr="00E640EA">
              <w:rPr>
                <w:lang w:val="en-CA"/>
              </w:rPr>
              <w:t xml:space="preserve"> HFC-134a to </w:t>
            </w:r>
            <w:proofErr w:type="spellStart"/>
            <w:r w:rsidR="0035635B" w:rsidRPr="00E640EA">
              <w:rPr>
                <w:lang w:val="en-CA"/>
              </w:rPr>
              <w:t>isobutane</w:t>
            </w:r>
            <w:proofErr w:type="spellEnd"/>
            <w:r w:rsidR="0035635B" w:rsidRPr="00E640EA">
              <w:rPr>
                <w:lang w:val="en-CA"/>
              </w:rPr>
              <w:t xml:space="preserve"> (R</w:t>
            </w:r>
            <w:r w:rsidR="0035635B">
              <w:rPr>
                <w:lang w:val="en-CA"/>
              </w:rPr>
              <w:noBreakHyphen/>
            </w:r>
            <w:r w:rsidR="0035635B" w:rsidRPr="00E640EA">
              <w:rPr>
                <w:lang w:val="en-CA"/>
              </w:rPr>
              <w:t>600a)</w:t>
            </w:r>
            <w:r w:rsidR="0035635B">
              <w:rPr>
                <w:lang w:val="en-CA"/>
              </w:rPr>
              <w:t xml:space="preserve"> and</w:t>
            </w:r>
            <w:r w:rsidR="0035635B">
              <w:t xml:space="preserve"> </w:t>
            </w:r>
            <w:r w:rsidR="0035635B">
              <w:rPr>
                <w:lang w:val="en-CA"/>
              </w:rPr>
              <w:t xml:space="preserve">propane (R-290) at </w:t>
            </w:r>
            <w:proofErr w:type="spellStart"/>
            <w:r w:rsidR="0035635B">
              <w:rPr>
                <w:lang w:val="en-CA"/>
              </w:rPr>
              <w:t>Induglob</w:t>
            </w:r>
            <w:proofErr w:type="spellEnd"/>
          </w:p>
        </w:tc>
        <w:tc>
          <w:tcPr>
            <w:tcW w:w="2448" w:type="dxa"/>
          </w:tcPr>
          <w:p w:rsidR="00872BB1" w:rsidRPr="002E25BA" w:rsidRDefault="0035635B" w:rsidP="00872BB1">
            <w:pPr>
              <w:spacing w:line="360" w:lineRule="auto"/>
              <w:jc w:val="right"/>
              <w:rPr>
                <w:lang w:val="en-CA"/>
              </w:rPr>
            </w:pPr>
            <w:r>
              <w:rPr>
                <w:lang w:val="en-CA"/>
              </w:rPr>
              <w:t>UNIDO</w:t>
            </w:r>
          </w:p>
        </w:tc>
      </w:tr>
    </w:tbl>
    <w:p w:rsidR="00BB728F" w:rsidRPr="00BB728F" w:rsidRDefault="00693432" w:rsidP="00BB728F">
      <w:pPr>
        <w:pStyle w:val="StyleHeader4Para4Left0Firstline0"/>
        <w:numPr>
          <w:ilvl w:val="0"/>
          <w:numId w:val="0"/>
        </w:numPr>
        <w:tabs>
          <w:tab w:val="clear" w:pos="2880"/>
          <w:tab w:val="clear" w:pos="5760"/>
        </w:tabs>
      </w:pPr>
      <w:r>
        <w:br w:type="page"/>
      </w:r>
    </w:p>
    <w:p w:rsidR="00624407" w:rsidRPr="00E91A59" w:rsidRDefault="00624407" w:rsidP="00624407">
      <w:pPr>
        <w:jc w:val="center"/>
        <w:rPr>
          <w:b/>
          <w:szCs w:val="24"/>
        </w:rPr>
      </w:pPr>
      <w:r w:rsidRPr="00E91A59">
        <w:rPr>
          <w:b/>
          <w:szCs w:val="24"/>
        </w:rPr>
        <w:lastRenderedPageBreak/>
        <w:t>PROJECT EVALUATION SHEET – NON-MULTI-YEAR PROJECT</w:t>
      </w:r>
    </w:p>
    <w:p w:rsidR="00624407" w:rsidRPr="00E91A59" w:rsidRDefault="00624407" w:rsidP="00624407">
      <w:pPr>
        <w:jc w:val="center"/>
        <w:rPr>
          <w:b/>
          <w:szCs w:val="24"/>
        </w:rPr>
      </w:pPr>
    </w:p>
    <w:p w:rsidR="00624407" w:rsidRPr="00E91A59" w:rsidRDefault="00624407" w:rsidP="00624407">
      <w:pPr>
        <w:jc w:val="center"/>
        <w:rPr>
          <w:b/>
          <w:szCs w:val="24"/>
        </w:rPr>
      </w:pPr>
      <w:r w:rsidRPr="00E91A59">
        <w:rPr>
          <w:b/>
          <w:szCs w:val="24"/>
        </w:rPr>
        <w:t>E</w:t>
      </w:r>
      <w:r>
        <w:rPr>
          <w:b/>
          <w:szCs w:val="24"/>
        </w:rPr>
        <w:t>cuador</w:t>
      </w:r>
    </w:p>
    <w:p w:rsidR="00624407" w:rsidRPr="003F0F38" w:rsidRDefault="00624407" w:rsidP="00624407">
      <w:pPr>
        <w:rPr>
          <w:sz w:val="20"/>
        </w:rPr>
      </w:pPr>
    </w:p>
    <w:p w:rsidR="00624407" w:rsidRPr="00C044C6" w:rsidRDefault="00624407" w:rsidP="00624407">
      <w:pPr>
        <w:tabs>
          <w:tab w:val="left" w:pos="5580"/>
        </w:tabs>
        <w:ind w:right="-540"/>
        <w:rPr>
          <w:b/>
          <w:sz w:val="20"/>
        </w:rPr>
      </w:pPr>
      <w:r w:rsidRPr="00C044C6">
        <w:rPr>
          <w:b/>
          <w:caps/>
          <w:sz w:val="20"/>
        </w:rPr>
        <w:t>Project title(S)</w:t>
      </w:r>
      <w:r w:rsidRPr="003F0F38">
        <w:rPr>
          <w:sz w:val="20"/>
        </w:rPr>
        <w:tab/>
      </w:r>
      <w:r w:rsidRPr="00C044C6">
        <w:rPr>
          <w:b/>
          <w:caps/>
          <w:sz w:val="20"/>
        </w:rPr>
        <w:t>Bilateral/implementing agency</w:t>
      </w:r>
    </w:p>
    <w:tbl>
      <w:tblPr>
        <w:tblpPr w:leftFromText="180" w:rightFromText="180" w:vertAnchor="text" w:horzAnchor="margin" w:tblpXSpec="center" w:tblpY="62"/>
        <w:tblW w:w="949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758"/>
        <w:gridCol w:w="3739"/>
      </w:tblGrid>
      <w:tr w:rsidR="00624407" w:rsidRPr="003F0F38" w:rsidTr="00133E94">
        <w:trPr>
          <w:trHeight w:val="251"/>
        </w:trPr>
        <w:tc>
          <w:tcPr>
            <w:tcW w:w="5758" w:type="dxa"/>
            <w:tcBorders>
              <w:right w:val="single" w:sz="4" w:space="0" w:color="auto"/>
            </w:tcBorders>
          </w:tcPr>
          <w:p w:rsidR="00624407" w:rsidRPr="00110C98" w:rsidRDefault="00624407" w:rsidP="00EC10FB">
            <w:pPr>
              <w:tabs>
                <w:tab w:val="left" w:pos="383"/>
              </w:tabs>
              <w:rPr>
                <w:sz w:val="20"/>
                <w:szCs w:val="20"/>
              </w:rPr>
            </w:pPr>
            <w:r w:rsidRPr="00110C98">
              <w:rPr>
                <w:sz w:val="20"/>
                <w:szCs w:val="20"/>
              </w:rPr>
              <w:t>(a)</w:t>
            </w:r>
            <w:r w:rsidRPr="00110C98">
              <w:rPr>
                <w:sz w:val="20"/>
                <w:szCs w:val="20"/>
              </w:rPr>
              <w:tab/>
            </w:r>
            <w:r w:rsidRPr="00110C98">
              <w:rPr>
                <w:sz w:val="20"/>
                <w:szCs w:val="20"/>
                <w:lang w:val="en-CA"/>
              </w:rPr>
              <w:t xml:space="preserve"> Phase-out of HCFC-141b contained in imported pre</w:t>
            </w:r>
            <w:r w:rsidRPr="00110C98">
              <w:rPr>
                <w:sz w:val="20"/>
                <w:szCs w:val="20"/>
                <w:lang w:val="en-CA"/>
              </w:rPr>
              <w:noBreakHyphen/>
              <w:t>blended polyols in the polyurethane foam sector</w:t>
            </w:r>
          </w:p>
        </w:tc>
        <w:tc>
          <w:tcPr>
            <w:tcW w:w="3739" w:type="dxa"/>
            <w:tcBorders>
              <w:left w:val="single" w:sz="4" w:space="0" w:color="auto"/>
            </w:tcBorders>
            <w:vAlign w:val="center"/>
          </w:tcPr>
          <w:p w:rsidR="00624407" w:rsidRPr="003F0F38" w:rsidRDefault="00624407" w:rsidP="00133E94">
            <w:pPr>
              <w:jc w:val="right"/>
              <w:rPr>
                <w:sz w:val="20"/>
              </w:rPr>
            </w:pPr>
            <w:r w:rsidRPr="003F0F38">
              <w:rPr>
                <w:sz w:val="20"/>
              </w:rPr>
              <w:t>UN</w:t>
            </w:r>
            <w:r>
              <w:rPr>
                <w:sz w:val="20"/>
              </w:rPr>
              <w:t>IDO</w:t>
            </w:r>
          </w:p>
        </w:tc>
      </w:tr>
    </w:tbl>
    <w:p w:rsidR="00624407" w:rsidRPr="003F0F38" w:rsidRDefault="00624407" w:rsidP="00624407">
      <w:pPr>
        <w:rPr>
          <w:sz w:val="20"/>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500"/>
      </w:tblGrid>
      <w:tr w:rsidR="00624407" w:rsidRPr="004F1D24" w:rsidTr="00624407">
        <w:trPr>
          <w:jc w:val="center"/>
        </w:trPr>
        <w:tc>
          <w:tcPr>
            <w:tcW w:w="4945" w:type="dxa"/>
          </w:tcPr>
          <w:p w:rsidR="00624407" w:rsidRPr="00C044C6" w:rsidRDefault="00624407" w:rsidP="00624407">
            <w:pPr>
              <w:rPr>
                <w:b/>
                <w:sz w:val="20"/>
              </w:rPr>
            </w:pPr>
            <w:r w:rsidRPr="00C044C6">
              <w:rPr>
                <w:b/>
                <w:caps/>
                <w:sz w:val="20"/>
              </w:rPr>
              <w:t>National coordinating agency</w:t>
            </w:r>
          </w:p>
        </w:tc>
        <w:tc>
          <w:tcPr>
            <w:tcW w:w="4500" w:type="dxa"/>
          </w:tcPr>
          <w:p w:rsidR="00624407" w:rsidRPr="00813C2B" w:rsidRDefault="00624407" w:rsidP="00624407">
            <w:pPr>
              <w:jc w:val="right"/>
              <w:rPr>
                <w:sz w:val="20"/>
                <w:lang w:val="es-CO"/>
              </w:rPr>
            </w:pPr>
            <w:r w:rsidRPr="00813C2B">
              <w:rPr>
                <w:sz w:val="20"/>
                <w:lang w:val="es-CO"/>
              </w:rPr>
              <w:t>Ministerio de la Industria y la Productividad</w:t>
            </w:r>
          </w:p>
        </w:tc>
      </w:tr>
    </w:tbl>
    <w:p w:rsidR="00624407" w:rsidRPr="00813C2B" w:rsidRDefault="00624407" w:rsidP="00624407">
      <w:pPr>
        <w:rPr>
          <w:caps/>
          <w:sz w:val="20"/>
          <w:lang w:val="es-CO"/>
        </w:rPr>
      </w:pPr>
    </w:p>
    <w:p w:rsidR="00624407" w:rsidRPr="00C044C6" w:rsidRDefault="00624407" w:rsidP="00624407">
      <w:pPr>
        <w:rPr>
          <w:b/>
          <w:caps/>
          <w:sz w:val="20"/>
        </w:rPr>
      </w:pPr>
      <w:r w:rsidRPr="00C044C6">
        <w:rPr>
          <w:b/>
          <w:caps/>
          <w:sz w:val="20"/>
        </w:rPr>
        <w:t xml:space="preserve">LateSt reported consumption data for ODS addressed in project </w:t>
      </w:r>
    </w:p>
    <w:p w:rsidR="00624407" w:rsidRPr="00C044C6" w:rsidRDefault="00624407" w:rsidP="00624407">
      <w:pPr>
        <w:spacing w:before="60"/>
        <w:rPr>
          <w:b/>
          <w:caps/>
          <w:sz w:val="20"/>
        </w:rPr>
      </w:pPr>
      <w:r w:rsidRPr="00C044C6">
        <w:rPr>
          <w:b/>
          <w:caps/>
          <w:sz w:val="20"/>
        </w:rPr>
        <w:t>A:</w:t>
      </w:r>
      <w:r>
        <w:rPr>
          <w:b/>
          <w:caps/>
          <w:sz w:val="20"/>
        </w:rPr>
        <w:t xml:space="preserve"> </w:t>
      </w:r>
      <w:r w:rsidRPr="00C044C6">
        <w:rPr>
          <w:b/>
          <w:caps/>
          <w:sz w:val="20"/>
        </w:rPr>
        <w:t xml:space="preserve">Article-7 data (ODP tonnes, 2017, as </w:t>
      </w:r>
      <w:r w:rsidR="00133E94">
        <w:rPr>
          <w:b/>
          <w:caps/>
          <w:sz w:val="20"/>
        </w:rPr>
        <w:t>OF</w:t>
      </w:r>
      <w:r w:rsidRPr="00C044C6">
        <w:rPr>
          <w:b/>
          <w:caps/>
          <w:sz w:val="20"/>
        </w:rPr>
        <w:t xml:space="preserve"> APRIL 2018)</w:t>
      </w:r>
    </w:p>
    <w:tbl>
      <w:tblPr>
        <w:tblpPr w:leftFromText="180" w:rightFromText="180" w:vertAnchor="text" w:horzAnchor="margin" w:tblpXSpec="center" w:tblpY="9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624407" w:rsidRPr="003F0F38" w:rsidTr="00624407">
        <w:tc>
          <w:tcPr>
            <w:tcW w:w="2628" w:type="dxa"/>
          </w:tcPr>
          <w:p w:rsidR="00624407" w:rsidRPr="003F0F38" w:rsidRDefault="00624407" w:rsidP="00624407">
            <w:pPr>
              <w:jc w:val="left"/>
              <w:rPr>
                <w:sz w:val="20"/>
              </w:rPr>
            </w:pPr>
            <w:r w:rsidRPr="003F0F38">
              <w:rPr>
                <w:sz w:val="20"/>
              </w:rPr>
              <w:t>H</w:t>
            </w:r>
            <w:r>
              <w:rPr>
                <w:sz w:val="20"/>
              </w:rPr>
              <w:t>C</w:t>
            </w:r>
            <w:r w:rsidRPr="003F0F38">
              <w:rPr>
                <w:sz w:val="20"/>
              </w:rPr>
              <w:t>FCs</w:t>
            </w:r>
          </w:p>
        </w:tc>
        <w:tc>
          <w:tcPr>
            <w:tcW w:w="6840" w:type="dxa"/>
          </w:tcPr>
          <w:p w:rsidR="00624407" w:rsidRPr="003F0F38" w:rsidRDefault="00624407" w:rsidP="00624407">
            <w:pPr>
              <w:jc w:val="right"/>
              <w:rPr>
                <w:sz w:val="20"/>
              </w:rPr>
            </w:pPr>
            <w:r>
              <w:rPr>
                <w:sz w:val="20"/>
                <w:szCs w:val="20"/>
              </w:rPr>
              <w:t>18.13</w:t>
            </w:r>
          </w:p>
        </w:tc>
      </w:tr>
    </w:tbl>
    <w:p w:rsidR="00624407" w:rsidRPr="00C044C6" w:rsidRDefault="00624407" w:rsidP="00624407">
      <w:pPr>
        <w:spacing w:before="60"/>
        <w:rPr>
          <w:b/>
          <w:caps/>
          <w:sz w:val="20"/>
        </w:rPr>
      </w:pPr>
      <w:r w:rsidRPr="00C044C6">
        <w:rPr>
          <w:b/>
          <w:sz w:val="20"/>
        </w:rPr>
        <w:t>B:</w:t>
      </w:r>
      <w:r>
        <w:rPr>
          <w:b/>
          <w:sz w:val="20"/>
        </w:rPr>
        <w:t xml:space="preserve"> </w:t>
      </w:r>
      <w:r w:rsidRPr="00C044C6">
        <w:rPr>
          <w:b/>
          <w:sz w:val="20"/>
        </w:rPr>
        <w:t xml:space="preserve">COUNTRY PROGRAMME SECTORAL DATA </w:t>
      </w:r>
      <w:r w:rsidRPr="00C044C6">
        <w:rPr>
          <w:b/>
          <w:caps/>
          <w:sz w:val="20"/>
        </w:rPr>
        <w:t xml:space="preserve">(ODP tonnes, 2017, as </w:t>
      </w:r>
      <w:r w:rsidR="00133E94">
        <w:rPr>
          <w:b/>
          <w:caps/>
          <w:sz w:val="20"/>
        </w:rPr>
        <w:t>OF</w:t>
      </w:r>
      <w:r w:rsidRPr="00C044C6">
        <w:rPr>
          <w:b/>
          <w:caps/>
          <w:sz w:val="20"/>
        </w:rPr>
        <w:t xml:space="preserve"> APRIL 2018)</w:t>
      </w:r>
    </w:p>
    <w:p w:rsidR="00624407" w:rsidRPr="00C044C6" w:rsidRDefault="00624407" w:rsidP="00624407">
      <w:pPr>
        <w:spacing w:before="60"/>
        <w:rPr>
          <w:b/>
          <w:caps/>
          <w:sz w:val="20"/>
        </w:rPr>
      </w:pPr>
    </w:p>
    <w:tbl>
      <w:tblPr>
        <w:tblStyle w:val="TableGrid"/>
        <w:tblW w:w="9509" w:type="dxa"/>
        <w:jc w:val="center"/>
        <w:tblLayout w:type="fixed"/>
        <w:tblLook w:val="01E0" w:firstRow="1" w:lastRow="1" w:firstColumn="1" w:lastColumn="1" w:noHBand="0" w:noVBand="0"/>
      </w:tblPr>
      <w:tblGrid>
        <w:gridCol w:w="8310"/>
        <w:gridCol w:w="1199"/>
      </w:tblGrid>
      <w:tr w:rsidR="00624407" w:rsidRPr="003F0F38" w:rsidTr="00624407">
        <w:trPr>
          <w:jc w:val="center"/>
        </w:trPr>
        <w:tc>
          <w:tcPr>
            <w:tcW w:w="8305" w:type="dxa"/>
            <w:tcBorders>
              <w:right w:val="single" w:sz="4" w:space="0" w:color="auto"/>
            </w:tcBorders>
          </w:tcPr>
          <w:p w:rsidR="00624407" w:rsidRPr="003F0F38" w:rsidRDefault="00624407" w:rsidP="00624407">
            <w:pPr>
              <w:ind w:left="-110" w:firstLine="110"/>
              <w:jc w:val="left"/>
              <w:rPr>
                <w:sz w:val="20"/>
              </w:rPr>
            </w:pPr>
            <w:r w:rsidRPr="003F0F38">
              <w:rPr>
                <w:sz w:val="20"/>
              </w:rPr>
              <w:t>HCFC-22</w:t>
            </w:r>
          </w:p>
        </w:tc>
        <w:tc>
          <w:tcPr>
            <w:tcW w:w="1199" w:type="dxa"/>
            <w:tcBorders>
              <w:left w:val="single" w:sz="4" w:space="0" w:color="auto"/>
              <w:right w:val="single" w:sz="4" w:space="0" w:color="auto"/>
            </w:tcBorders>
            <w:shd w:val="clear" w:color="auto" w:fill="auto"/>
          </w:tcPr>
          <w:p w:rsidR="00624407" w:rsidRPr="003F0F38" w:rsidRDefault="00624407" w:rsidP="00624407">
            <w:pPr>
              <w:jc w:val="right"/>
              <w:rPr>
                <w:sz w:val="20"/>
                <w:szCs w:val="20"/>
              </w:rPr>
            </w:pPr>
            <w:r>
              <w:rPr>
                <w:sz w:val="20"/>
                <w:szCs w:val="20"/>
              </w:rPr>
              <w:t>15.89</w:t>
            </w:r>
          </w:p>
        </w:tc>
      </w:tr>
      <w:tr w:rsidR="00624407" w:rsidRPr="003F0F38" w:rsidTr="00624407">
        <w:trPr>
          <w:jc w:val="center"/>
        </w:trPr>
        <w:tc>
          <w:tcPr>
            <w:tcW w:w="8310" w:type="dxa"/>
            <w:tcBorders>
              <w:right w:val="single" w:sz="4" w:space="0" w:color="auto"/>
            </w:tcBorders>
          </w:tcPr>
          <w:p w:rsidR="00624407" w:rsidRPr="003F0F38" w:rsidRDefault="00624407" w:rsidP="00624407">
            <w:pPr>
              <w:jc w:val="left"/>
              <w:rPr>
                <w:sz w:val="20"/>
              </w:rPr>
            </w:pPr>
            <w:r w:rsidRPr="003F0F38">
              <w:rPr>
                <w:sz w:val="20"/>
              </w:rPr>
              <w:t>HCFC-141b</w:t>
            </w:r>
          </w:p>
        </w:tc>
        <w:tc>
          <w:tcPr>
            <w:tcW w:w="1199" w:type="dxa"/>
            <w:tcBorders>
              <w:left w:val="single" w:sz="4" w:space="0" w:color="auto"/>
              <w:right w:val="single" w:sz="4" w:space="0" w:color="auto"/>
            </w:tcBorders>
            <w:shd w:val="clear" w:color="auto" w:fill="auto"/>
          </w:tcPr>
          <w:p w:rsidR="00624407" w:rsidRPr="003F0F38" w:rsidRDefault="00624407" w:rsidP="00624407">
            <w:pPr>
              <w:jc w:val="right"/>
              <w:rPr>
                <w:sz w:val="20"/>
                <w:szCs w:val="20"/>
              </w:rPr>
            </w:pPr>
            <w:r>
              <w:rPr>
                <w:sz w:val="20"/>
                <w:szCs w:val="20"/>
              </w:rPr>
              <w:t>2.17</w:t>
            </w:r>
          </w:p>
        </w:tc>
      </w:tr>
      <w:tr w:rsidR="00624407" w:rsidRPr="003F0F38" w:rsidTr="00624407">
        <w:trPr>
          <w:jc w:val="center"/>
        </w:trPr>
        <w:tc>
          <w:tcPr>
            <w:tcW w:w="8310" w:type="dxa"/>
            <w:tcBorders>
              <w:right w:val="single" w:sz="4" w:space="0" w:color="auto"/>
            </w:tcBorders>
          </w:tcPr>
          <w:p w:rsidR="00624407" w:rsidRPr="003F0F38" w:rsidRDefault="00624407" w:rsidP="00624407">
            <w:pPr>
              <w:jc w:val="left"/>
              <w:rPr>
                <w:sz w:val="20"/>
              </w:rPr>
            </w:pPr>
            <w:r w:rsidRPr="003F0F38">
              <w:rPr>
                <w:sz w:val="20"/>
              </w:rPr>
              <w:t>HCFC-142b</w:t>
            </w:r>
          </w:p>
        </w:tc>
        <w:tc>
          <w:tcPr>
            <w:tcW w:w="1199" w:type="dxa"/>
            <w:tcBorders>
              <w:left w:val="single" w:sz="4" w:space="0" w:color="auto"/>
              <w:right w:val="single" w:sz="4" w:space="0" w:color="auto"/>
            </w:tcBorders>
            <w:shd w:val="clear" w:color="auto" w:fill="auto"/>
          </w:tcPr>
          <w:p w:rsidR="00624407" w:rsidRPr="003F0F38" w:rsidRDefault="00624407" w:rsidP="00624407">
            <w:pPr>
              <w:jc w:val="right"/>
              <w:rPr>
                <w:sz w:val="20"/>
                <w:szCs w:val="20"/>
              </w:rPr>
            </w:pPr>
            <w:r>
              <w:rPr>
                <w:sz w:val="20"/>
                <w:szCs w:val="20"/>
              </w:rPr>
              <w:t>0.02</w:t>
            </w:r>
          </w:p>
        </w:tc>
      </w:tr>
      <w:tr w:rsidR="00624407" w:rsidRPr="003F0F38" w:rsidTr="00624407">
        <w:trPr>
          <w:jc w:val="center"/>
        </w:trPr>
        <w:tc>
          <w:tcPr>
            <w:tcW w:w="8310" w:type="dxa"/>
            <w:tcBorders>
              <w:right w:val="single" w:sz="4" w:space="0" w:color="auto"/>
            </w:tcBorders>
          </w:tcPr>
          <w:p w:rsidR="00624407" w:rsidRPr="003F0F38" w:rsidRDefault="00624407" w:rsidP="00624407">
            <w:pPr>
              <w:jc w:val="left"/>
              <w:rPr>
                <w:sz w:val="20"/>
              </w:rPr>
            </w:pPr>
            <w:r w:rsidRPr="003F0F38">
              <w:rPr>
                <w:sz w:val="20"/>
              </w:rPr>
              <w:t>HCFC-123</w:t>
            </w:r>
          </w:p>
        </w:tc>
        <w:tc>
          <w:tcPr>
            <w:tcW w:w="1199" w:type="dxa"/>
            <w:tcBorders>
              <w:left w:val="single" w:sz="4" w:space="0" w:color="auto"/>
              <w:right w:val="single" w:sz="4" w:space="0" w:color="auto"/>
            </w:tcBorders>
            <w:shd w:val="clear" w:color="auto" w:fill="auto"/>
          </w:tcPr>
          <w:p w:rsidR="00624407" w:rsidRPr="003F0F38" w:rsidRDefault="00624407" w:rsidP="00624407">
            <w:pPr>
              <w:jc w:val="right"/>
              <w:rPr>
                <w:sz w:val="20"/>
                <w:szCs w:val="20"/>
              </w:rPr>
            </w:pPr>
            <w:r>
              <w:rPr>
                <w:sz w:val="20"/>
                <w:szCs w:val="20"/>
              </w:rPr>
              <w:t>0.03</w:t>
            </w:r>
          </w:p>
        </w:tc>
      </w:tr>
      <w:tr w:rsidR="00624407" w:rsidRPr="003F0F38" w:rsidTr="00624407">
        <w:trPr>
          <w:jc w:val="center"/>
        </w:trPr>
        <w:tc>
          <w:tcPr>
            <w:tcW w:w="8310" w:type="dxa"/>
            <w:tcBorders>
              <w:right w:val="single" w:sz="4" w:space="0" w:color="auto"/>
            </w:tcBorders>
          </w:tcPr>
          <w:p w:rsidR="00624407" w:rsidRPr="003F0F38" w:rsidRDefault="00624407" w:rsidP="00624407">
            <w:pPr>
              <w:jc w:val="left"/>
              <w:rPr>
                <w:sz w:val="20"/>
              </w:rPr>
            </w:pPr>
            <w:r w:rsidRPr="003F0F38">
              <w:rPr>
                <w:sz w:val="20"/>
              </w:rPr>
              <w:t>HCFC-124</w:t>
            </w:r>
          </w:p>
        </w:tc>
        <w:tc>
          <w:tcPr>
            <w:tcW w:w="1199" w:type="dxa"/>
            <w:tcBorders>
              <w:left w:val="single" w:sz="4" w:space="0" w:color="auto"/>
              <w:right w:val="single" w:sz="4" w:space="0" w:color="auto"/>
            </w:tcBorders>
            <w:shd w:val="clear" w:color="auto" w:fill="auto"/>
          </w:tcPr>
          <w:p w:rsidR="00624407" w:rsidRPr="003F0F38" w:rsidRDefault="00624407" w:rsidP="00624407">
            <w:pPr>
              <w:jc w:val="right"/>
              <w:rPr>
                <w:sz w:val="20"/>
                <w:szCs w:val="20"/>
              </w:rPr>
            </w:pPr>
            <w:r>
              <w:rPr>
                <w:sz w:val="20"/>
                <w:szCs w:val="20"/>
              </w:rPr>
              <w:t>0.01</w:t>
            </w:r>
          </w:p>
        </w:tc>
      </w:tr>
      <w:tr w:rsidR="00624407" w:rsidRPr="003F0F38" w:rsidTr="00624407">
        <w:trPr>
          <w:jc w:val="center"/>
        </w:trPr>
        <w:tc>
          <w:tcPr>
            <w:tcW w:w="8310" w:type="dxa"/>
            <w:tcBorders>
              <w:right w:val="single" w:sz="4" w:space="0" w:color="auto"/>
            </w:tcBorders>
          </w:tcPr>
          <w:p w:rsidR="00624407" w:rsidRPr="003F0F38" w:rsidRDefault="00624407" w:rsidP="00624407">
            <w:pPr>
              <w:jc w:val="left"/>
              <w:rPr>
                <w:sz w:val="20"/>
              </w:rPr>
            </w:pPr>
            <w:r>
              <w:rPr>
                <w:sz w:val="20"/>
              </w:rPr>
              <w:t>HCFC-141b contained in imported pre-blended polyols</w:t>
            </w:r>
          </w:p>
        </w:tc>
        <w:tc>
          <w:tcPr>
            <w:tcW w:w="1199" w:type="dxa"/>
            <w:tcBorders>
              <w:left w:val="single" w:sz="4" w:space="0" w:color="auto"/>
              <w:right w:val="single" w:sz="4" w:space="0" w:color="auto"/>
            </w:tcBorders>
            <w:shd w:val="clear" w:color="auto" w:fill="auto"/>
          </w:tcPr>
          <w:p w:rsidR="00624407" w:rsidRDefault="00624407" w:rsidP="00624407">
            <w:pPr>
              <w:jc w:val="right"/>
              <w:rPr>
                <w:sz w:val="20"/>
                <w:szCs w:val="20"/>
              </w:rPr>
            </w:pPr>
            <w:r>
              <w:rPr>
                <w:sz w:val="20"/>
                <w:szCs w:val="20"/>
              </w:rPr>
              <w:t>12.99</w:t>
            </w:r>
          </w:p>
        </w:tc>
      </w:tr>
    </w:tbl>
    <w:p w:rsidR="00624407" w:rsidRPr="003F0F38" w:rsidRDefault="00624407" w:rsidP="00624407">
      <w:pPr>
        <w:rPr>
          <w:sz w:val="20"/>
        </w:rPr>
      </w:pPr>
    </w:p>
    <w:tbl>
      <w:tblPr>
        <w:tblStyle w:val="TableGrid"/>
        <w:tblW w:w="9445" w:type="dxa"/>
        <w:jc w:val="center"/>
        <w:tblLook w:val="01E0" w:firstRow="1" w:lastRow="1" w:firstColumn="1" w:lastColumn="1" w:noHBand="0" w:noVBand="0"/>
      </w:tblPr>
      <w:tblGrid>
        <w:gridCol w:w="7396"/>
        <w:gridCol w:w="2049"/>
      </w:tblGrid>
      <w:tr w:rsidR="00624407" w:rsidRPr="003F0F38" w:rsidTr="00624407">
        <w:trPr>
          <w:jc w:val="center"/>
        </w:trPr>
        <w:tc>
          <w:tcPr>
            <w:tcW w:w="7396" w:type="dxa"/>
          </w:tcPr>
          <w:p w:rsidR="00624407" w:rsidRPr="00C044C6" w:rsidRDefault="00624407" w:rsidP="00624407">
            <w:pPr>
              <w:rPr>
                <w:b/>
                <w:sz w:val="20"/>
              </w:rPr>
            </w:pPr>
            <w:r w:rsidRPr="00C044C6">
              <w:rPr>
                <w:b/>
                <w:sz w:val="20"/>
              </w:rPr>
              <w:t>HCFC consumption remaining eligible for funding (ODP tonnes)</w:t>
            </w:r>
          </w:p>
        </w:tc>
        <w:tc>
          <w:tcPr>
            <w:tcW w:w="2049" w:type="dxa"/>
          </w:tcPr>
          <w:p w:rsidR="00624407" w:rsidRPr="003F0F38" w:rsidRDefault="00624407" w:rsidP="00624407">
            <w:pPr>
              <w:jc w:val="right"/>
              <w:rPr>
                <w:sz w:val="20"/>
                <w:szCs w:val="20"/>
              </w:rPr>
            </w:pPr>
            <w:r>
              <w:rPr>
                <w:sz w:val="20"/>
                <w:szCs w:val="20"/>
              </w:rPr>
              <w:t>20.97</w:t>
            </w:r>
          </w:p>
        </w:tc>
      </w:tr>
    </w:tbl>
    <w:p w:rsidR="00624407" w:rsidRPr="003F0F38" w:rsidRDefault="00624407" w:rsidP="00624407">
      <w:pPr>
        <w:spacing w:before="60"/>
        <w:rPr>
          <w:caps/>
          <w:sz w:val="20"/>
        </w:rPr>
      </w:pPr>
    </w:p>
    <w:tbl>
      <w:tblPr>
        <w:tblpPr w:leftFromText="180" w:rightFromText="180" w:vertAnchor="text" w:horzAnchor="margin" w:tblpXSpec="center" w:tblpY="62"/>
        <w:tblW w:w="94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35"/>
        <w:gridCol w:w="2070"/>
        <w:gridCol w:w="2340"/>
      </w:tblGrid>
      <w:tr w:rsidR="00624407" w:rsidRPr="003F0F38" w:rsidTr="00110C98">
        <w:trPr>
          <w:trHeight w:val="248"/>
        </w:trPr>
        <w:tc>
          <w:tcPr>
            <w:tcW w:w="5035" w:type="dxa"/>
            <w:vMerge w:val="restart"/>
            <w:tcBorders>
              <w:bottom w:val="single" w:sz="4" w:space="0" w:color="auto"/>
              <w:right w:val="single" w:sz="4" w:space="0" w:color="auto"/>
            </w:tcBorders>
            <w:vAlign w:val="center"/>
          </w:tcPr>
          <w:p w:rsidR="00624407" w:rsidRPr="00C044C6" w:rsidRDefault="00624407" w:rsidP="00110C98">
            <w:pPr>
              <w:jc w:val="center"/>
              <w:rPr>
                <w:b/>
                <w:i/>
                <w:sz w:val="20"/>
                <w:szCs w:val="20"/>
              </w:rPr>
            </w:pPr>
            <w:r w:rsidRPr="00C044C6">
              <w:rPr>
                <w:b/>
                <w:caps/>
                <w:sz w:val="20"/>
                <w:szCs w:val="20"/>
              </w:rPr>
              <w:t>Current year Business Plan ALLOCATIONS</w:t>
            </w:r>
          </w:p>
        </w:tc>
        <w:tc>
          <w:tcPr>
            <w:tcW w:w="2070" w:type="dxa"/>
            <w:tcBorders>
              <w:left w:val="single" w:sz="4" w:space="0" w:color="auto"/>
              <w:right w:val="single" w:sz="4" w:space="0" w:color="auto"/>
            </w:tcBorders>
          </w:tcPr>
          <w:p w:rsidR="00624407" w:rsidRPr="005762A1" w:rsidRDefault="00624407" w:rsidP="00624407">
            <w:pPr>
              <w:jc w:val="center"/>
              <w:rPr>
                <w:b/>
                <w:i/>
                <w:sz w:val="20"/>
                <w:szCs w:val="20"/>
              </w:rPr>
            </w:pPr>
            <w:r w:rsidRPr="005762A1">
              <w:rPr>
                <w:b/>
                <w:sz w:val="20"/>
                <w:szCs w:val="20"/>
              </w:rPr>
              <w:t xml:space="preserve">Funding </w:t>
            </w:r>
            <w:r>
              <w:rPr>
                <w:b/>
                <w:sz w:val="20"/>
                <w:szCs w:val="20"/>
              </w:rPr>
              <w:t>(</w:t>
            </w:r>
            <w:r w:rsidR="00C52303">
              <w:rPr>
                <w:b/>
                <w:sz w:val="20"/>
                <w:szCs w:val="20"/>
              </w:rPr>
              <w:t>US $</w:t>
            </w:r>
            <w:r>
              <w:rPr>
                <w:b/>
                <w:sz w:val="20"/>
                <w:szCs w:val="20"/>
              </w:rPr>
              <w:t> )</w:t>
            </w:r>
          </w:p>
        </w:tc>
        <w:tc>
          <w:tcPr>
            <w:tcW w:w="2340" w:type="dxa"/>
            <w:tcBorders>
              <w:left w:val="single" w:sz="4" w:space="0" w:color="auto"/>
            </w:tcBorders>
          </w:tcPr>
          <w:p w:rsidR="00624407" w:rsidRPr="005762A1" w:rsidRDefault="00624407" w:rsidP="00624407">
            <w:pPr>
              <w:jc w:val="center"/>
              <w:rPr>
                <w:b/>
                <w:i/>
                <w:sz w:val="20"/>
                <w:szCs w:val="20"/>
              </w:rPr>
            </w:pPr>
            <w:r w:rsidRPr="005762A1">
              <w:rPr>
                <w:b/>
                <w:sz w:val="20"/>
                <w:szCs w:val="20"/>
              </w:rPr>
              <w:t xml:space="preserve">Phase-out </w:t>
            </w:r>
            <w:r>
              <w:rPr>
                <w:b/>
                <w:sz w:val="20"/>
                <w:szCs w:val="20"/>
              </w:rPr>
              <w:t>(</w:t>
            </w:r>
            <w:r w:rsidRPr="005762A1">
              <w:rPr>
                <w:b/>
                <w:sz w:val="20"/>
                <w:szCs w:val="20"/>
              </w:rPr>
              <w:t>ODP</w:t>
            </w:r>
            <w:r>
              <w:rPr>
                <w:b/>
                <w:sz w:val="20"/>
                <w:szCs w:val="20"/>
              </w:rPr>
              <w:t> </w:t>
            </w:r>
            <w:r w:rsidRPr="005762A1">
              <w:rPr>
                <w:b/>
                <w:sz w:val="20"/>
                <w:szCs w:val="20"/>
              </w:rPr>
              <w:t>tonnes</w:t>
            </w:r>
            <w:r>
              <w:rPr>
                <w:b/>
                <w:sz w:val="20"/>
                <w:szCs w:val="20"/>
              </w:rPr>
              <w:t>)</w:t>
            </w:r>
          </w:p>
        </w:tc>
      </w:tr>
      <w:tr w:rsidR="00624407" w:rsidRPr="003F0F38" w:rsidTr="00110C98">
        <w:trPr>
          <w:trHeight w:val="172"/>
        </w:trPr>
        <w:tc>
          <w:tcPr>
            <w:tcW w:w="5035" w:type="dxa"/>
            <w:vMerge/>
            <w:tcBorders>
              <w:bottom w:val="single" w:sz="4" w:space="0" w:color="auto"/>
              <w:right w:val="single" w:sz="4" w:space="0" w:color="auto"/>
            </w:tcBorders>
          </w:tcPr>
          <w:p w:rsidR="00624407" w:rsidRPr="003F0F38" w:rsidRDefault="00624407" w:rsidP="00624407">
            <w:pPr>
              <w:rPr>
                <w:sz w:val="20"/>
                <w:szCs w:val="20"/>
              </w:rPr>
            </w:pPr>
          </w:p>
        </w:tc>
        <w:tc>
          <w:tcPr>
            <w:tcW w:w="2070" w:type="dxa"/>
            <w:tcBorders>
              <w:left w:val="single" w:sz="4" w:space="0" w:color="auto"/>
              <w:right w:val="single" w:sz="4" w:space="0" w:color="auto"/>
            </w:tcBorders>
          </w:tcPr>
          <w:p w:rsidR="00624407" w:rsidRPr="003F0F38" w:rsidRDefault="00624407" w:rsidP="00624407">
            <w:pPr>
              <w:jc w:val="right"/>
              <w:rPr>
                <w:sz w:val="20"/>
                <w:szCs w:val="20"/>
              </w:rPr>
            </w:pPr>
            <w:r>
              <w:rPr>
                <w:sz w:val="20"/>
                <w:szCs w:val="20"/>
              </w:rPr>
              <w:t>147,513</w:t>
            </w:r>
          </w:p>
        </w:tc>
        <w:tc>
          <w:tcPr>
            <w:tcW w:w="2340" w:type="dxa"/>
            <w:tcBorders>
              <w:left w:val="single" w:sz="4" w:space="0" w:color="auto"/>
            </w:tcBorders>
          </w:tcPr>
          <w:p w:rsidR="00624407" w:rsidRPr="003F0F38" w:rsidRDefault="00624407" w:rsidP="00624407">
            <w:pPr>
              <w:jc w:val="right"/>
              <w:rPr>
                <w:sz w:val="20"/>
                <w:szCs w:val="20"/>
              </w:rPr>
            </w:pPr>
            <w:r>
              <w:rPr>
                <w:sz w:val="20"/>
                <w:szCs w:val="20"/>
              </w:rPr>
              <w:t>5.71</w:t>
            </w:r>
          </w:p>
        </w:tc>
      </w:tr>
    </w:tbl>
    <w:p w:rsidR="00624407" w:rsidRPr="003F0F38" w:rsidRDefault="00624407" w:rsidP="00624407">
      <w:pPr>
        <w:pStyle w:val="Heading1"/>
        <w:numPr>
          <w:ilvl w:val="0"/>
          <w:numId w:val="0"/>
        </w:numPr>
        <w:spacing w:after="0"/>
        <w:rPr>
          <w:lang w:val="en-CA"/>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985"/>
        <w:gridCol w:w="3091"/>
      </w:tblGrid>
      <w:tr w:rsidR="00624407" w:rsidRPr="003F0F38" w:rsidTr="00624407">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C044C6"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sidRPr="00C044C6">
              <w:rPr>
                <w:b/>
                <w:sz w:val="20"/>
              </w:rPr>
              <w:t>PROJECT:</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sz w:val="20"/>
              </w:rPr>
            </w:pPr>
          </w:p>
        </w:tc>
      </w:tr>
      <w:tr w:rsidR="00624407" w:rsidRPr="003F0F38" w:rsidTr="00624407">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3F0F38">
              <w:rPr>
                <w:sz w:val="20"/>
              </w:rPr>
              <w:t>ODS use</w:t>
            </w:r>
            <w:r>
              <w:rPr>
                <w:sz w:val="20"/>
              </w:rPr>
              <w:t>d</w:t>
            </w:r>
            <w:r w:rsidRPr="003F0F38">
              <w:rPr>
                <w:sz w:val="20"/>
              </w:rPr>
              <w:t xml:space="preserve"> at enterprise (ODP tonnes): </w:t>
            </w:r>
          </w:p>
        </w:tc>
        <w:tc>
          <w:tcPr>
            <w:tcW w:w="3091" w:type="dxa"/>
            <w:tcBorders>
              <w:top w:val="single" w:sz="4" w:space="0" w:color="auto"/>
              <w:left w:val="single" w:sz="4" w:space="0" w:color="auto"/>
              <w:bottom w:val="single" w:sz="4" w:space="0" w:color="auto"/>
              <w:right w:val="single" w:sz="4" w:space="0" w:color="auto"/>
            </w:tcBorders>
          </w:tcPr>
          <w:p w:rsidR="00624407" w:rsidRPr="00007C8C"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007C8C">
              <w:rPr>
                <w:sz w:val="20"/>
              </w:rPr>
              <w:t>16.20</w:t>
            </w:r>
          </w:p>
        </w:tc>
      </w:tr>
      <w:tr w:rsidR="00624407" w:rsidRPr="003F0F38" w:rsidTr="00624407">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3F0F38">
              <w:rPr>
                <w:sz w:val="20"/>
              </w:rPr>
              <w:t>ODS to be phased out (ODP tonnes):</w:t>
            </w:r>
          </w:p>
        </w:tc>
        <w:tc>
          <w:tcPr>
            <w:tcW w:w="3091" w:type="dxa"/>
            <w:tcBorders>
              <w:top w:val="single" w:sz="4" w:space="0" w:color="auto"/>
              <w:left w:val="single" w:sz="4" w:space="0" w:color="auto"/>
              <w:bottom w:val="single" w:sz="4" w:space="0" w:color="auto"/>
              <w:right w:val="single" w:sz="4" w:space="0" w:color="auto"/>
            </w:tcBorders>
          </w:tcPr>
          <w:p w:rsidR="00624407" w:rsidRPr="00007C8C" w:rsidRDefault="009F33B9"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15.34</w:t>
            </w:r>
          </w:p>
        </w:tc>
      </w:tr>
      <w:tr w:rsidR="00624407" w:rsidRPr="003F0F38" w:rsidTr="00624407">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3F0F38">
              <w:rPr>
                <w:sz w:val="20"/>
              </w:rPr>
              <w:t>ODS to be phased in (ODP tonnes):</w:t>
            </w:r>
          </w:p>
        </w:tc>
        <w:tc>
          <w:tcPr>
            <w:tcW w:w="3091" w:type="dxa"/>
            <w:tcBorders>
              <w:top w:val="single" w:sz="4" w:space="0" w:color="auto"/>
              <w:left w:val="single" w:sz="4" w:space="0" w:color="auto"/>
              <w:bottom w:val="single" w:sz="4" w:space="0" w:color="auto"/>
              <w:right w:val="single" w:sz="4" w:space="0" w:color="auto"/>
            </w:tcBorders>
          </w:tcPr>
          <w:p w:rsidR="00624407" w:rsidRPr="00007C8C"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007C8C">
              <w:rPr>
                <w:sz w:val="20"/>
              </w:rPr>
              <w:t>0.00</w:t>
            </w:r>
          </w:p>
        </w:tc>
      </w:tr>
      <w:tr w:rsidR="00624407" w:rsidRPr="003F0F38" w:rsidTr="00624407">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3F0F38">
              <w:rPr>
                <w:sz w:val="20"/>
              </w:rPr>
              <w:t>Project duration (months):</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jc w:val="right"/>
              <w:rPr>
                <w:sz w:val="20"/>
              </w:rPr>
            </w:pPr>
            <w:r>
              <w:rPr>
                <w:sz w:val="20"/>
              </w:rPr>
              <w:t>24</w:t>
            </w:r>
          </w:p>
        </w:tc>
      </w:tr>
      <w:tr w:rsidR="00624407" w:rsidRPr="003F0F38" w:rsidTr="00624407">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3F0F38">
              <w:rPr>
                <w:sz w:val="20"/>
              </w:rPr>
              <w:t>Initial amount requested (</w:t>
            </w:r>
            <w:r w:rsidR="00C52303">
              <w:rPr>
                <w:sz w:val="20"/>
              </w:rPr>
              <w:t>US $</w:t>
            </w:r>
            <w:r w:rsidRPr="003F0F38">
              <w:rPr>
                <w:sz w:val="20"/>
              </w:rPr>
              <w:t>):</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507,871</w:t>
            </w:r>
          </w:p>
        </w:tc>
      </w:tr>
      <w:tr w:rsidR="00624407" w:rsidRPr="003F0F38" w:rsidTr="00624407">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3F0F38">
              <w:rPr>
                <w:sz w:val="20"/>
              </w:rPr>
              <w:t>Final project costs (</w:t>
            </w:r>
            <w:r w:rsidR="00C52303">
              <w:rPr>
                <w:sz w:val="20"/>
              </w:rPr>
              <w:t>US $</w:t>
            </w:r>
            <w:r w:rsidRPr="003F0F38">
              <w:rPr>
                <w:sz w:val="20"/>
              </w:rPr>
              <w:t>):</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p>
        </w:tc>
      </w:tr>
      <w:tr w:rsidR="00624407" w:rsidRPr="003F0F38" w:rsidTr="00624407">
        <w:trPr>
          <w:trHeight w:val="239"/>
          <w:jc w:val="center"/>
        </w:trPr>
        <w:tc>
          <w:tcPr>
            <w:tcW w:w="1390" w:type="dxa"/>
            <w:tcBorders>
              <w:top w:val="single" w:sz="4" w:space="0" w:color="auto"/>
              <w:left w:val="single" w:sz="4" w:space="0" w:color="auto"/>
              <w:bottom w:val="single" w:sz="4" w:space="0" w:color="auto"/>
              <w:right w:val="nil"/>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rsidR="00624407" w:rsidRPr="003F0F38" w:rsidRDefault="00624407" w:rsidP="00624407">
            <w:pPr>
              <w:tabs>
                <w:tab w:val="left" w:pos="-717"/>
                <w:tab w:val="left" w:pos="5042"/>
                <w:tab w:val="left" w:pos="5762"/>
                <w:tab w:val="left" w:pos="6482"/>
                <w:tab w:val="left" w:pos="7202"/>
                <w:tab w:val="left" w:pos="7922"/>
              </w:tabs>
              <w:spacing w:line="225" w:lineRule="auto"/>
              <w:ind w:right="-108"/>
              <w:jc w:val="left"/>
              <w:rPr>
                <w:sz w:val="20"/>
              </w:rPr>
            </w:pPr>
            <w:r w:rsidRPr="003F0F38">
              <w:rPr>
                <w:sz w:val="20"/>
              </w:rPr>
              <w:t>Incremental capital cost</w:t>
            </w:r>
            <w:r>
              <w:rPr>
                <w:sz w:val="20"/>
              </w:rPr>
              <w:t>s</w:t>
            </w:r>
            <w:r w:rsidRPr="003F0F38">
              <w:rPr>
                <w:sz w:val="20"/>
              </w:rPr>
              <w:t>:</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558,460</w:t>
            </w:r>
          </w:p>
        </w:tc>
      </w:tr>
      <w:tr w:rsidR="00624407" w:rsidRPr="003F0F38" w:rsidTr="00624407">
        <w:trPr>
          <w:trHeight w:val="250"/>
          <w:jc w:val="center"/>
        </w:trPr>
        <w:tc>
          <w:tcPr>
            <w:tcW w:w="1390" w:type="dxa"/>
            <w:tcBorders>
              <w:top w:val="single" w:sz="4" w:space="0" w:color="auto"/>
              <w:left w:val="single" w:sz="4" w:space="0" w:color="auto"/>
              <w:bottom w:val="single" w:sz="4" w:space="0" w:color="auto"/>
              <w:right w:val="nil"/>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rsidR="00624407" w:rsidRPr="003F0F38" w:rsidRDefault="00624407" w:rsidP="00624407">
            <w:pPr>
              <w:tabs>
                <w:tab w:val="left" w:pos="-717"/>
                <w:tab w:val="left" w:pos="5042"/>
                <w:tab w:val="left" w:pos="5762"/>
                <w:tab w:val="left" w:pos="6482"/>
                <w:tab w:val="left" w:pos="7202"/>
                <w:tab w:val="left" w:pos="7922"/>
              </w:tabs>
              <w:spacing w:line="225" w:lineRule="auto"/>
              <w:ind w:right="2052"/>
              <w:jc w:val="left"/>
              <w:rPr>
                <w:sz w:val="20"/>
              </w:rPr>
            </w:pPr>
            <w:r w:rsidRPr="003F0F38">
              <w:rPr>
                <w:sz w:val="20"/>
              </w:rPr>
              <w:t>Contingency (10 %):</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49,000</w:t>
            </w:r>
          </w:p>
        </w:tc>
      </w:tr>
      <w:tr w:rsidR="00624407" w:rsidRPr="003F0F38" w:rsidTr="00624407">
        <w:trPr>
          <w:trHeight w:val="239"/>
          <w:jc w:val="center"/>
        </w:trPr>
        <w:tc>
          <w:tcPr>
            <w:tcW w:w="1390" w:type="dxa"/>
            <w:tcBorders>
              <w:top w:val="single" w:sz="4" w:space="0" w:color="auto"/>
              <w:left w:val="single" w:sz="4" w:space="0" w:color="auto"/>
              <w:bottom w:val="single" w:sz="4" w:space="0" w:color="auto"/>
              <w:right w:val="nil"/>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rsidR="00624407" w:rsidRPr="003F0F38" w:rsidRDefault="00624407" w:rsidP="00624407">
            <w:pPr>
              <w:tabs>
                <w:tab w:val="left" w:pos="-717"/>
                <w:tab w:val="left" w:pos="5042"/>
                <w:tab w:val="left" w:pos="5762"/>
                <w:tab w:val="left" w:pos="6482"/>
                <w:tab w:val="left" w:pos="7202"/>
                <w:tab w:val="left" w:pos="7922"/>
              </w:tabs>
              <w:spacing w:line="225" w:lineRule="auto"/>
              <w:ind w:right="1422"/>
              <w:jc w:val="left"/>
              <w:rPr>
                <w:sz w:val="20"/>
              </w:rPr>
            </w:pPr>
            <w:r w:rsidRPr="003F0F38">
              <w:rPr>
                <w:sz w:val="20"/>
              </w:rPr>
              <w:t>Incremental operating cost</w:t>
            </w:r>
            <w:r>
              <w:rPr>
                <w:sz w:val="20"/>
              </w:rPr>
              <w:t>s</w:t>
            </w:r>
            <w:r w:rsidRPr="003F0F38">
              <w:rPr>
                <w:sz w:val="20"/>
              </w:rPr>
              <w:t>:</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31,376</w:t>
            </w:r>
          </w:p>
        </w:tc>
      </w:tr>
      <w:tr w:rsidR="00624407" w:rsidRPr="003F0F38" w:rsidTr="00624407">
        <w:trPr>
          <w:trHeight w:val="250"/>
          <w:jc w:val="center"/>
        </w:trPr>
        <w:tc>
          <w:tcPr>
            <w:tcW w:w="1390" w:type="dxa"/>
            <w:tcBorders>
              <w:top w:val="single" w:sz="4" w:space="0" w:color="auto"/>
              <w:left w:val="single" w:sz="4" w:space="0" w:color="auto"/>
              <w:bottom w:val="single" w:sz="4" w:space="0" w:color="auto"/>
              <w:right w:val="nil"/>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rsidR="00624407" w:rsidRPr="003F0F38" w:rsidRDefault="00624407" w:rsidP="00624407">
            <w:pPr>
              <w:tabs>
                <w:tab w:val="left" w:pos="-717"/>
                <w:tab w:val="left" w:pos="5042"/>
                <w:tab w:val="left" w:pos="5762"/>
                <w:tab w:val="left" w:pos="6482"/>
                <w:tab w:val="left" w:pos="7202"/>
                <w:tab w:val="left" w:pos="7922"/>
              </w:tabs>
              <w:spacing w:line="225" w:lineRule="auto"/>
              <w:ind w:right="2052"/>
              <w:jc w:val="left"/>
              <w:rPr>
                <w:sz w:val="20"/>
              </w:rPr>
            </w:pPr>
            <w:r w:rsidRPr="003F0F38">
              <w:rPr>
                <w:sz w:val="20"/>
              </w:rPr>
              <w:t>Total project cost</w:t>
            </w:r>
            <w:r>
              <w:rPr>
                <w:sz w:val="20"/>
              </w:rPr>
              <w:t>s</w:t>
            </w:r>
            <w:r w:rsidRPr="003F0F38">
              <w:rPr>
                <w:sz w:val="20"/>
              </w:rPr>
              <w:t xml:space="preserve">: </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638,836</w:t>
            </w:r>
          </w:p>
        </w:tc>
      </w:tr>
      <w:tr w:rsidR="00624407" w:rsidRPr="003F0F38" w:rsidTr="00624407">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3F0F38">
              <w:rPr>
                <w:sz w:val="20"/>
              </w:rPr>
              <w:t>Local ownership (%):</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pStyle w:val="Footer1"/>
              <w:jc w:val="right"/>
              <w:rPr>
                <w:lang w:val="en-GB"/>
              </w:rPr>
            </w:pPr>
            <w:r>
              <w:rPr>
                <w:lang w:val="en-GB"/>
              </w:rPr>
              <w:t>100</w:t>
            </w:r>
          </w:p>
        </w:tc>
      </w:tr>
      <w:tr w:rsidR="00624407" w:rsidRPr="003F0F38" w:rsidTr="00624407">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3F0F38">
              <w:rPr>
                <w:sz w:val="20"/>
              </w:rPr>
              <w:t>Export component (%):</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0</w:t>
            </w:r>
          </w:p>
        </w:tc>
      </w:tr>
      <w:tr w:rsidR="00624407" w:rsidRPr="003F0F38" w:rsidTr="00624407">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3F0F38">
              <w:rPr>
                <w:sz w:val="20"/>
              </w:rPr>
              <w:t>Requested grant (</w:t>
            </w:r>
            <w:r w:rsidR="00C52303">
              <w:rPr>
                <w:sz w:val="20"/>
              </w:rPr>
              <w:t>US $</w:t>
            </w:r>
            <w:r w:rsidRPr="003F0F38">
              <w:rPr>
                <w:sz w:val="20"/>
              </w:rPr>
              <w:t>):</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431,719</w:t>
            </w:r>
          </w:p>
        </w:tc>
      </w:tr>
      <w:tr w:rsidR="00624407" w:rsidRPr="003F0F38" w:rsidTr="00624407">
        <w:trPr>
          <w:trHeight w:val="250"/>
          <w:jc w:val="center"/>
        </w:trPr>
        <w:tc>
          <w:tcPr>
            <w:tcW w:w="6375" w:type="dxa"/>
            <w:gridSpan w:val="2"/>
            <w:vMerge w:val="restart"/>
            <w:tcBorders>
              <w:top w:val="single" w:sz="4" w:space="0" w:color="auto"/>
              <w:left w:val="single" w:sz="4" w:space="0" w:color="auto"/>
              <w:right w:val="single" w:sz="4" w:space="0" w:color="auto"/>
            </w:tcBorders>
            <w:vAlign w:val="center"/>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3F0F38">
              <w:rPr>
                <w:sz w:val="20"/>
              </w:rPr>
              <w:t>Cost-effectiveness (</w:t>
            </w:r>
            <w:r w:rsidR="00C52303">
              <w:rPr>
                <w:sz w:val="20"/>
              </w:rPr>
              <w:t>US $</w:t>
            </w:r>
            <w:r w:rsidRPr="003F0F38">
              <w:rPr>
                <w:sz w:val="20"/>
              </w:rPr>
              <w:t>/kg):</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9F33B9"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w:t>
            </w:r>
            <w:r w:rsidR="00624407">
              <w:rPr>
                <w:sz w:val="20"/>
              </w:rPr>
              <w:t>9.79</w:t>
            </w:r>
          </w:p>
        </w:tc>
      </w:tr>
      <w:tr w:rsidR="00624407" w:rsidRPr="003F7B5A" w:rsidTr="00624407">
        <w:trPr>
          <w:trHeight w:val="250"/>
          <w:jc w:val="center"/>
        </w:trPr>
        <w:tc>
          <w:tcPr>
            <w:tcW w:w="6375" w:type="dxa"/>
            <w:gridSpan w:val="2"/>
            <w:vMerge/>
            <w:tcBorders>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3091" w:type="dxa"/>
            <w:tcBorders>
              <w:top w:val="single" w:sz="4" w:space="0" w:color="auto"/>
              <w:left w:val="single" w:sz="4" w:space="0" w:color="auto"/>
              <w:bottom w:val="single" w:sz="4" w:space="0" w:color="auto"/>
              <w:right w:val="single" w:sz="4" w:space="0" w:color="auto"/>
            </w:tcBorders>
          </w:tcPr>
          <w:p w:rsidR="00624407" w:rsidRPr="003F7B5A"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3F7B5A">
              <w:rPr>
                <w:sz w:val="20"/>
              </w:rPr>
              <w:t>Threshold: 9.79</w:t>
            </w:r>
          </w:p>
        </w:tc>
      </w:tr>
      <w:tr w:rsidR="00624407" w:rsidRPr="003F0F38" w:rsidTr="00624407">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3F0F38">
              <w:rPr>
                <w:sz w:val="20"/>
              </w:rPr>
              <w:t>Implementing agency support cost</w:t>
            </w:r>
            <w:r>
              <w:rPr>
                <w:sz w:val="20"/>
              </w:rPr>
              <w:t>s</w:t>
            </w:r>
            <w:r w:rsidRPr="003F0F38">
              <w:rPr>
                <w:sz w:val="20"/>
              </w:rPr>
              <w:t xml:space="preserve"> (</w:t>
            </w:r>
            <w:r w:rsidR="00C52303">
              <w:rPr>
                <w:sz w:val="20"/>
              </w:rPr>
              <w:t>US $</w:t>
            </w:r>
            <w:r w:rsidRPr="003F0F38">
              <w:rPr>
                <w:sz w:val="20"/>
              </w:rPr>
              <w:t>):</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30,220</w:t>
            </w:r>
          </w:p>
        </w:tc>
      </w:tr>
      <w:tr w:rsidR="00624407" w:rsidRPr="003F0F38" w:rsidTr="00624407">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3F0F38">
              <w:rPr>
                <w:sz w:val="20"/>
              </w:rPr>
              <w:t xml:space="preserve">Total cost of project to </w:t>
            </w:r>
            <w:r>
              <w:rPr>
                <w:sz w:val="20"/>
              </w:rPr>
              <w:t xml:space="preserve">the </w:t>
            </w:r>
            <w:r w:rsidRPr="003F0F38">
              <w:rPr>
                <w:sz w:val="20"/>
              </w:rPr>
              <w:t>Multilateral Fund (</w:t>
            </w:r>
            <w:r w:rsidR="00C52303">
              <w:rPr>
                <w:sz w:val="20"/>
              </w:rPr>
              <w:t>US $</w:t>
            </w:r>
            <w:r w:rsidRPr="003F0F38">
              <w:rPr>
                <w:sz w:val="20"/>
              </w:rPr>
              <w:t>):</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461,939</w:t>
            </w:r>
          </w:p>
        </w:tc>
      </w:tr>
      <w:tr w:rsidR="00624407" w:rsidRPr="003F0F38" w:rsidTr="00624407">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3F0F38">
              <w:rPr>
                <w:sz w:val="20"/>
              </w:rPr>
              <w:t>Status of counterpart funding (Y/N):</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Y</w:t>
            </w:r>
          </w:p>
        </w:tc>
      </w:tr>
      <w:tr w:rsidR="00624407" w:rsidRPr="003F0F38" w:rsidTr="00624407">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3F0F38">
              <w:rPr>
                <w:sz w:val="20"/>
              </w:rPr>
              <w:t>Project monitoring milestones included (Y/N):</w:t>
            </w:r>
          </w:p>
        </w:tc>
        <w:tc>
          <w:tcPr>
            <w:tcW w:w="3091"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Y</w:t>
            </w:r>
          </w:p>
        </w:tc>
      </w:tr>
    </w:tbl>
    <w:p w:rsidR="00624407" w:rsidRPr="009F33B9" w:rsidRDefault="009F33B9" w:rsidP="009F33B9">
      <w:pPr>
        <w:rPr>
          <w:sz w:val="20"/>
        </w:rPr>
      </w:pPr>
      <w:r>
        <w:rPr>
          <w:sz w:val="20"/>
        </w:rPr>
        <w:t>*The cost-effectiveness including all eligible and non-eligible consumption phased out is US $3.10/kg.</w:t>
      </w:r>
    </w:p>
    <w:p w:rsidR="00624407" w:rsidRPr="003F0F38" w:rsidRDefault="00624407" w:rsidP="00624407">
      <w:pPr>
        <w:rPr>
          <w:sz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3255"/>
      </w:tblGrid>
      <w:tr w:rsidR="00624407" w:rsidRPr="003F0F38" w:rsidTr="00624407">
        <w:trPr>
          <w:trHeight w:val="296"/>
          <w:jc w:val="center"/>
        </w:trPr>
        <w:tc>
          <w:tcPr>
            <w:tcW w:w="6210" w:type="dxa"/>
            <w:tcBorders>
              <w:top w:val="single" w:sz="4" w:space="0" w:color="auto"/>
              <w:left w:val="single" w:sz="4" w:space="0" w:color="auto"/>
              <w:bottom w:val="single" w:sz="4" w:space="0" w:color="auto"/>
              <w:right w:val="single" w:sz="4" w:space="0" w:color="auto"/>
            </w:tcBorders>
          </w:tcPr>
          <w:p w:rsidR="00624407" w:rsidRPr="00C044C6"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sidRPr="00C044C6">
              <w:rPr>
                <w:b/>
                <w:sz w:val="20"/>
              </w:rPr>
              <w:t>SECRETARIAT’S RECOMMENDATION</w:t>
            </w:r>
          </w:p>
        </w:tc>
        <w:tc>
          <w:tcPr>
            <w:tcW w:w="3255" w:type="dxa"/>
            <w:tcBorders>
              <w:top w:val="single" w:sz="4" w:space="0" w:color="auto"/>
              <w:left w:val="single" w:sz="4" w:space="0" w:color="auto"/>
              <w:bottom w:val="single" w:sz="4" w:space="0" w:color="auto"/>
              <w:right w:val="single" w:sz="4" w:space="0" w:color="auto"/>
            </w:tcBorders>
          </w:tcPr>
          <w:p w:rsidR="00624407" w:rsidRPr="003F0F38" w:rsidRDefault="00624407" w:rsidP="0062440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3F0F38">
              <w:rPr>
                <w:sz w:val="20"/>
              </w:rPr>
              <w:t>For individual consideration</w:t>
            </w:r>
          </w:p>
        </w:tc>
      </w:tr>
    </w:tbl>
    <w:p w:rsidR="00624407" w:rsidRDefault="00624407" w:rsidP="00624407">
      <w:pPr>
        <w:rPr>
          <w:lang w:val="en-CA"/>
        </w:rPr>
      </w:pPr>
    </w:p>
    <w:p w:rsidR="00624407" w:rsidRDefault="00624407" w:rsidP="00624407">
      <w:pPr>
        <w:jc w:val="left"/>
        <w:rPr>
          <w:lang w:val="en-CA"/>
        </w:rPr>
      </w:pPr>
      <w:r>
        <w:rPr>
          <w:lang w:val="en-CA"/>
        </w:rPr>
        <w:br w:type="page"/>
      </w:r>
    </w:p>
    <w:p w:rsidR="00624407" w:rsidRDefault="00624407" w:rsidP="00624407">
      <w:pPr>
        <w:jc w:val="center"/>
        <w:rPr>
          <w:b/>
        </w:rPr>
      </w:pPr>
      <w:r w:rsidRPr="002E1824">
        <w:rPr>
          <w:b/>
        </w:rPr>
        <w:t>PROJECT DESCRIPTION</w:t>
      </w:r>
    </w:p>
    <w:p w:rsidR="00624407" w:rsidRPr="002E1824" w:rsidRDefault="00624407" w:rsidP="00624407">
      <w:pPr>
        <w:jc w:val="center"/>
        <w:rPr>
          <w:b/>
        </w:rPr>
      </w:pPr>
    </w:p>
    <w:p w:rsidR="00624407" w:rsidRPr="00DE1230" w:rsidRDefault="00624407" w:rsidP="00624407">
      <w:pPr>
        <w:pStyle w:val="Heading1"/>
        <w:numPr>
          <w:ilvl w:val="0"/>
          <w:numId w:val="29"/>
        </w:numPr>
        <w:tabs>
          <w:tab w:val="clear" w:pos="1134"/>
          <w:tab w:val="num" w:pos="0"/>
        </w:tabs>
        <w:kinsoku w:val="0"/>
        <w:overflowPunct w:val="0"/>
        <w:autoSpaceDE w:val="0"/>
        <w:autoSpaceDN w:val="0"/>
        <w:ind w:left="0"/>
      </w:pPr>
      <w:r>
        <w:t xml:space="preserve">On </w:t>
      </w:r>
      <w:r w:rsidRPr="00DE1230">
        <w:t xml:space="preserve">behalf of the Government of Ecuador, UNIDO has submitted an </w:t>
      </w:r>
      <w:r w:rsidR="00133E94" w:rsidRPr="00443E1D">
        <w:t xml:space="preserve">investment </w:t>
      </w:r>
      <w:r w:rsidR="00816475" w:rsidRPr="00443E1D">
        <w:t xml:space="preserve">umbrella </w:t>
      </w:r>
      <w:r w:rsidRPr="00DE1230">
        <w:t xml:space="preserve">project to phase out the use of HCFC-141b contained in imported pre-blended polyols in the manufacturing of polyurethane (PU) foam in the remaining enterprises, at a cost of </w:t>
      </w:r>
      <w:r w:rsidR="00C52303">
        <w:t>US $</w:t>
      </w:r>
      <w:r w:rsidRPr="00DE1230">
        <w:t xml:space="preserve">507,871, plus agency support costs of </w:t>
      </w:r>
      <w:r w:rsidR="00C52303">
        <w:t>US $</w:t>
      </w:r>
      <w:r w:rsidRPr="00DE1230">
        <w:t xml:space="preserve">35,550. </w:t>
      </w:r>
    </w:p>
    <w:p w:rsidR="00624407" w:rsidRPr="003F7B5A" w:rsidRDefault="00624407" w:rsidP="00624407">
      <w:pPr>
        <w:pStyle w:val="Heading1"/>
        <w:numPr>
          <w:ilvl w:val="0"/>
          <w:numId w:val="0"/>
        </w:numPr>
        <w:rPr>
          <w:u w:val="single"/>
        </w:rPr>
      </w:pPr>
      <w:r w:rsidRPr="00DE1230">
        <w:rPr>
          <w:u w:val="single"/>
        </w:rPr>
        <w:t>Background</w:t>
      </w:r>
    </w:p>
    <w:p w:rsidR="00624407" w:rsidRDefault="00624407" w:rsidP="00624407">
      <w:pPr>
        <w:pStyle w:val="Heading1"/>
        <w:numPr>
          <w:ilvl w:val="0"/>
          <w:numId w:val="29"/>
        </w:numPr>
        <w:tabs>
          <w:tab w:val="clear" w:pos="1134"/>
          <w:tab w:val="num" w:pos="0"/>
        </w:tabs>
        <w:ind w:left="0"/>
      </w:pPr>
      <w:r w:rsidRPr="003F7B5A">
        <w:t xml:space="preserve">At the </w:t>
      </w:r>
      <w:r>
        <w:t>65</w:t>
      </w:r>
      <w:r w:rsidRPr="002D407D">
        <w:rPr>
          <w:vertAlign w:val="superscript"/>
        </w:rPr>
        <w:t>th</w:t>
      </w:r>
      <w:r w:rsidRPr="003F7B5A">
        <w:t> meeting, the</w:t>
      </w:r>
      <w:r>
        <w:t xml:space="preserve"> Executive Committee approved stage I of the HCFC phase-out management plan (HPMP) for Ecuador,</w:t>
      </w:r>
      <w:r>
        <w:rPr>
          <w:rStyle w:val="FootnoteReference"/>
        </w:rPr>
        <w:footnoteReference w:id="2"/>
      </w:r>
      <w:r>
        <w:t xml:space="preserve"> including an investment project for the phase-out of 136.00 metric tonnes (</w:t>
      </w:r>
      <w:proofErr w:type="spellStart"/>
      <w:r>
        <w:t>mt</w:t>
      </w:r>
      <w:proofErr w:type="spellEnd"/>
      <w:r>
        <w:t>) (14.96 ODP tonnes) of HCFC-141b contained in imported pre-blended polyols used by the largest domestic refrigeration enterprise (</w:t>
      </w:r>
      <w:proofErr w:type="spellStart"/>
      <w:r>
        <w:t>Indurama</w:t>
      </w:r>
      <w:proofErr w:type="spellEnd"/>
      <w:r>
        <w:t xml:space="preserve">) in the manufacturing of PU foam panels. </w:t>
      </w:r>
    </w:p>
    <w:p w:rsidR="00624407" w:rsidRDefault="00624407" w:rsidP="00624407">
      <w:pPr>
        <w:pStyle w:val="Heading1"/>
        <w:numPr>
          <w:ilvl w:val="0"/>
          <w:numId w:val="29"/>
        </w:numPr>
        <w:tabs>
          <w:tab w:val="clear" w:pos="1134"/>
          <w:tab w:val="num" w:pos="0"/>
        </w:tabs>
        <w:ind w:left="0"/>
      </w:pPr>
      <w:r>
        <w:t xml:space="preserve">At </w:t>
      </w:r>
      <w:r w:rsidRPr="00DE1230">
        <w:t xml:space="preserve">the time of </w:t>
      </w:r>
      <w:r w:rsidR="00133E94">
        <w:t xml:space="preserve">the </w:t>
      </w:r>
      <w:r w:rsidRPr="00DE1230">
        <w:t>approval of stage I of the HPMP, there were several small- and medium-sized PU foam enterprises</w:t>
      </w:r>
      <w:r w:rsidR="00587F13">
        <w:t>, which</w:t>
      </w:r>
      <w:r w:rsidRPr="00DE1230">
        <w:t xml:space="preserve"> consumed all together 51.88 </w:t>
      </w:r>
      <w:proofErr w:type="spellStart"/>
      <w:r w:rsidRPr="00DE1230">
        <w:t>mt</w:t>
      </w:r>
      <w:proofErr w:type="spellEnd"/>
      <w:r w:rsidRPr="00DE1230">
        <w:t xml:space="preserve"> (5.71 ODP tonnes) of HCFC-141b contained in imported pre-blended polyols, representing the remaining consumption eligible for funding. Given that at that time there were no proven</w:t>
      </w:r>
      <w:r w:rsidR="00E76078">
        <w:t>,</w:t>
      </w:r>
      <w:r w:rsidRPr="00DE1230">
        <w:t xml:space="preserve"> cost-effective</w:t>
      </w:r>
      <w:r w:rsidR="00E76078">
        <w:t>,</w:t>
      </w:r>
      <w:r w:rsidRPr="00DE1230">
        <w:t xml:space="preserve"> and commercially availab</w:t>
      </w:r>
      <w:r w:rsidR="00587F13">
        <w:t>le technologies with low global</w:t>
      </w:r>
      <w:r w:rsidR="00587F13">
        <w:noBreakHyphen/>
      </w:r>
      <w:r w:rsidRPr="00DE1230">
        <w:t xml:space="preserve">warming potential (GWP) in Ecuador, it was agreed that the Government could submit during </w:t>
      </w:r>
      <w:r w:rsidR="00E76078">
        <w:t xml:space="preserve">the </w:t>
      </w:r>
      <w:r w:rsidRPr="00DE1230">
        <w:t xml:space="preserve">implementation of stage I, a proposal for the conversion of the remaining eligible PU foam enterprises, at an estimated cost of up to </w:t>
      </w:r>
      <w:r w:rsidR="00C52303">
        <w:t>US $</w:t>
      </w:r>
      <w:r w:rsidRPr="00DE1230">
        <w:t>507</w:t>
      </w:r>
      <w:r w:rsidRPr="003F7B5A">
        <w:t>,871</w:t>
      </w:r>
      <w:r>
        <w:t>,</w:t>
      </w:r>
      <w:r w:rsidRPr="003F7B5A">
        <w:t xml:space="preserve"> using the cost-effectiveness threshold for foams as reference</w:t>
      </w:r>
      <w:r>
        <w:t>, once such technologies became available.</w:t>
      </w:r>
      <w:r>
        <w:rPr>
          <w:rStyle w:val="FootnoteReference"/>
        </w:rPr>
        <w:footnoteReference w:id="3"/>
      </w:r>
    </w:p>
    <w:p w:rsidR="00624407" w:rsidRPr="002316D4" w:rsidRDefault="00624407" w:rsidP="00624407">
      <w:pPr>
        <w:rPr>
          <w:u w:val="single"/>
        </w:rPr>
      </w:pPr>
      <w:r>
        <w:rPr>
          <w:u w:val="single"/>
        </w:rPr>
        <w:t xml:space="preserve">HCFC consumption in the foam sector in </w:t>
      </w:r>
      <w:r w:rsidRPr="002316D4">
        <w:rPr>
          <w:u w:val="single"/>
        </w:rPr>
        <w:t>Ecuador</w:t>
      </w:r>
    </w:p>
    <w:p w:rsidR="00624407" w:rsidRDefault="00624407" w:rsidP="00624407"/>
    <w:p w:rsidR="00624407" w:rsidRPr="00624407" w:rsidRDefault="00624407" w:rsidP="00624407">
      <w:pPr>
        <w:pStyle w:val="Heading1"/>
        <w:tabs>
          <w:tab w:val="clear" w:pos="142"/>
          <w:tab w:val="num" w:pos="0"/>
        </w:tabs>
        <w:ind w:left="0"/>
      </w:pPr>
      <w:r w:rsidRPr="00624407">
        <w:t xml:space="preserve">The consumption of HCFC-141b contained in imported pre-blended polyols in Ecuador during the past five years is presented in Table 1. A major decrease in consumption in 2013 was due to the phase-out associated with the conversion of </w:t>
      </w:r>
      <w:proofErr w:type="spellStart"/>
      <w:r w:rsidRPr="00624407">
        <w:t>Indurama</w:t>
      </w:r>
      <w:proofErr w:type="spellEnd"/>
      <w:r w:rsidRPr="00624407">
        <w:t xml:space="preserve">. However, </w:t>
      </w:r>
      <w:r w:rsidR="00C52303">
        <w:t xml:space="preserve">the </w:t>
      </w:r>
      <w:r w:rsidRPr="00624407">
        <w:t xml:space="preserve">consumption increased between 2014 and 2016 due to growth in the construction </w:t>
      </w:r>
      <w:r w:rsidR="00C52303">
        <w:t xml:space="preserve">and the demand </w:t>
      </w:r>
      <w:r w:rsidR="00443E1D" w:rsidRPr="00443E1D">
        <w:t>for PU insulation appli</w:t>
      </w:r>
      <w:r w:rsidR="00C52303" w:rsidRPr="00443E1D">
        <w:t>c</w:t>
      </w:r>
      <w:r w:rsidR="00443E1D" w:rsidRPr="00443E1D">
        <w:t>a</w:t>
      </w:r>
      <w:r w:rsidR="00C52303" w:rsidRPr="00443E1D">
        <w:t>tions</w:t>
      </w:r>
      <w:r w:rsidRPr="00443E1D">
        <w:t>.</w:t>
      </w:r>
      <w:r w:rsidRPr="00624407">
        <w:t xml:space="preserve"> The decrease in 2017</w:t>
      </w:r>
      <w:r>
        <w:t xml:space="preserve"> wa</w:t>
      </w:r>
      <w:r w:rsidRPr="00624407">
        <w:t>s due to economic slowdown.</w:t>
      </w:r>
    </w:p>
    <w:p w:rsidR="00624407" w:rsidRPr="003833C0" w:rsidRDefault="00624407" w:rsidP="00624407">
      <w:pPr>
        <w:rPr>
          <w:b/>
        </w:rPr>
      </w:pPr>
      <w:r w:rsidRPr="003833C0">
        <w:rPr>
          <w:b/>
        </w:rPr>
        <w:t xml:space="preserve">Table </w:t>
      </w:r>
      <w:r>
        <w:rPr>
          <w:b/>
        </w:rPr>
        <w:t>1</w:t>
      </w:r>
      <w:r w:rsidRPr="003833C0">
        <w:rPr>
          <w:b/>
        </w:rPr>
        <w:t>. Consumption of HCFC-141b contained in imported pre-blended polyols in Ecuador</w:t>
      </w:r>
    </w:p>
    <w:tbl>
      <w:tblPr>
        <w:tblW w:w="5000"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2"/>
        <w:gridCol w:w="1135"/>
        <w:gridCol w:w="911"/>
        <w:gridCol w:w="911"/>
        <w:gridCol w:w="911"/>
        <w:gridCol w:w="1000"/>
        <w:gridCol w:w="862"/>
        <w:gridCol w:w="1128"/>
      </w:tblGrid>
      <w:tr w:rsidR="00624407" w:rsidRPr="00314CE8" w:rsidTr="00624407">
        <w:trPr>
          <w:trHeight w:val="494"/>
          <w:tblHeader/>
        </w:trPr>
        <w:tc>
          <w:tcPr>
            <w:tcW w:w="1333" w:type="pct"/>
            <w:noWrap/>
            <w:vAlign w:val="center"/>
          </w:tcPr>
          <w:p w:rsidR="00624407" w:rsidRPr="00314CE8" w:rsidRDefault="00624407" w:rsidP="00624407">
            <w:pPr>
              <w:keepNext/>
              <w:contextualSpacing/>
              <w:jc w:val="left"/>
              <w:rPr>
                <w:b/>
                <w:bCs/>
                <w:color w:val="000000" w:themeColor="text1"/>
                <w:sz w:val="20"/>
                <w:szCs w:val="20"/>
              </w:rPr>
            </w:pPr>
            <w:r>
              <w:rPr>
                <w:b/>
                <w:color w:val="000000"/>
                <w:sz w:val="20"/>
                <w:szCs w:val="20"/>
                <w:lang w:val="en-CA"/>
              </w:rPr>
              <w:t>Consumption</w:t>
            </w:r>
          </w:p>
        </w:tc>
        <w:tc>
          <w:tcPr>
            <w:tcW w:w="607" w:type="pct"/>
          </w:tcPr>
          <w:p w:rsidR="00624407" w:rsidRPr="00314CE8" w:rsidRDefault="00624407" w:rsidP="00624407">
            <w:pPr>
              <w:keepNext/>
              <w:jc w:val="center"/>
              <w:rPr>
                <w:b/>
                <w:bCs/>
                <w:color w:val="000000"/>
                <w:sz w:val="20"/>
                <w:szCs w:val="20"/>
              </w:rPr>
            </w:pPr>
            <w:r w:rsidRPr="00314CE8">
              <w:rPr>
                <w:b/>
                <w:bCs/>
                <w:color w:val="000000"/>
                <w:sz w:val="20"/>
                <w:szCs w:val="20"/>
              </w:rPr>
              <w:t>Average</w:t>
            </w:r>
          </w:p>
          <w:p w:rsidR="00624407" w:rsidRPr="00314CE8" w:rsidRDefault="00624407" w:rsidP="00624407">
            <w:pPr>
              <w:keepNext/>
              <w:jc w:val="center"/>
              <w:rPr>
                <w:b/>
                <w:bCs/>
                <w:color w:val="000000"/>
                <w:sz w:val="20"/>
                <w:szCs w:val="20"/>
              </w:rPr>
            </w:pPr>
            <w:r w:rsidRPr="00314CE8">
              <w:rPr>
                <w:b/>
                <w:bCs/>
                <w:color w:val="000000"/>
                <w:sz w:val="20"/>
                <w:szCs w:val="20"/>
              </w:rPr>
              <w:t>2007</w:t>
            </w:r>
            <w:r>
              <w:rPr>
                <w:b/>
                <w:bCs/>
                <w:color w:val="000000"/>
                <w:sz w:val="20"/>
                <w:szCs w:val="20"/>
              </w:rPr>
              <w:t>–</w:t>
            </w:r>
            <w:r w:rsidRPr="00314CE8">
              <w:rPr>
                <w:b/>
                <w:bCs/>
                <w:color w:val="000000"/>
                <w:sz w:val="20"/>
                <w:szCs w:val="20"/>
              </w:rPr>
              <w:t>2009</w:t>
            </w:r>
          </w:p>
        </w:tc>
        <w:tc>
          <w:tcPr>
            <w:tcW w:w="487" w:type="pct"/>
            <w:tcMar>
              <w:right w:w="72" w:type="dxa"/>
            </w:tcMar>
          </w:tcPr>
          <w:p w:rsidR="00624407" w:rsidRPr="00314CE8" w:rsidRDefault="00624407" w:rsidP="00624407">
            <w:pPr>
              <w:keepNext/>
              <w:jc w:val="center"/>
              <w:rPr>
                <w:b/>
                <w:bCs/>
                <w:color w:val="000000"/>
                <w:sz w:val="20"/>
                <w:szCs w:val="20"/>
              </w:rPr>
            </w:pPr>
            <w:r w:rsidRPr="00314CE8">
              <w:rPr>
                <w:b/>
                <w:bCs/>
                <w:color w:val="000000"/>
                <w:sz w:val="20"/>
                <w:szCs w:val="20"/>
              </w:rPr>
              <w:t>2013</w:t>
            </w:r>
          </w:p>
        </w:tc>
        <w:tc>
          <w:tcPr>
            <w:tcW w:w="487" w:type="pct"/>
          </w:tcPr>
          <w:p w:rsidR="00624407" w:rsidRPr="00314CE8" w:rsidRDefault="00624407" w:rsidP="00624407">
            <w:pPr>
              <w:keepNext/>
              <w:jc w:val="center"/>
              <w:rPr>
                <w:b/>
                <w:bCs/>
                <w:color w:val="000000"/>
                <w:sz w:val="20"/>
                <w:szCs w:val="20"/>
              </w:rPr>
            </w:pPr>
            <w:r w:rsidRPr="00314CE8">
              <w:rPr>
                <w:b/>
                <w:bCs/>
                <w:color w:val="000000"/>
                <w:sz w:val="20"/>
                <w:szCs w:val="20"/>
              </w:rPr>
              <w:t>2014</w:t>
            </w:r>
          </w:p>
        </w:tc>
        <w:tc>
          <w:tcPr>
            <w:tcW w:w="487" w:type="pct"/>
          </w:tcPr>
          <w:p w:rsidR="00624407" w:rsidRPr="00314CE8" w:rsidRDefault="00624407" w:rsidP="00624407">
            <w:pPr>
              <w:keepNext/>
              <w:jc w:val="center"/>
              <w:rPr>
                <w:b/>
                <w:bCs/>
                <w:color w:val="000000"/>
                <w:sz w:val="20"/>
                <w:szCs w:val="20"/>
                <w:highlight w:val="yellow"/>
              </w:rPr>
            </w:pPr>
            <w:r w:rsidRPr="00314CE8">
              <w:rPr>
                <w:b/>
                <w:bCs/>
                <w:color w:val="000000"/>
                <w:sz w:val="20"/>
                <w:szCs w:val="20"/>
              </w:rPr>
              <w:t>2015</w:t>
            </w:r>
          </w:p>
        </w:tc>
        <w:tc>
          <w:tcPr>
            <w:tcW w:w="535" w:type="pct"/>
          </w:tcPr>
          <w:p w:rsidR="00624407" w:rsidRPr="00314CE8" w:rsidRDefault="00624407" w:rsidP="00624407">
            <w:pPr>
              <w:keepNext/>
              <w:jc w:val="center"/>
              <w:rPr>
                <w:b/>
                <w:bCs/>
                <w:color w:val="000000"/>
                <w:sz w:val="20"/>
                <w:szCs w:val="20"/>
              </w:rPr>
            </w:pPr>
            <w:r w:rsidRPr="00314CE8">
              <w:rPr>
                <w:b/>
                <w:bCs/>
                <w:color w:val="000000"/>
                <w:sz w:val="20"/>
                <w:szCs w:val="20"/>
              </w:rPr>
              <w:t>2016</w:t>
            </w:r>
          </w:p>
        </w:tc>
        <w:tc>
          <w:tcPr>
            <w:tcW w:w="461" w:type="pct"/>
          </w:tcPr>
          <w:p w:rsidR="00624407" w:rsidRPr="00314CE8" w:rsidRDefault="00624407" w:rsidP="00624407">
            <w:pPr>
              <w:keepNext/>
              <w:jc w:val="center"/>
              <w:rPr>
                <w:b/>
                <w:bCs/>
                <w:color w:val="000000"/>
                <w:sz w:val="20"/>
                <w:szCs w:val="20"/>
              </w:rPr>
            </w:pPr>
            <w:r w:rsidRPr="00314CE8">
              <w:rPr>
                <w:b/>
                <w:bCs/>
                <w:color w:val="000000"/>
                <w:sz w:val="20"/>
                <w:szCs w:val="20"/>
              </w:rPr>
              <w:t>2017</w:t>
            </w:r>
          </w:p>
        </w:tc>
        <w:tc>
          <w:tcPr>
            <w:tcW w:w="603" w:type="pct"/>
          </w:tcPr>
          <w:p w:rsidR="00624407" w:rsidRPr="00314CE8" w:rsidRDefault="00624407" w:rsidP="00624407">
            <w:pPr>
              <w:keepNext/>
              <w:jc w:val="center"/>
              <w:rPr>
                <w:b/>
                <w:bCs/>
                <w:color w:val="000000"/>
                <w:sz w:val="20"/>
                <w:szCs w:val="20"/>
              </w:rPr>
            </w:pPr>
            <w:r>
              <w:rPr>
                <w:b/>
                <w:bCs/>
                <w:color w:val="000000"/>
                <w:sz w:val="20"/>
                <w:szCs w:val="20"/>
              </w:rPr>
              <w:t>Average 2015–2017</w:t>
            </w:r>
          </w:p>
        </w:tc>
      </w:tr>
      <w:tr w:rsidR="00624407" w:rsidRPr="00735F5E" w:rsidTr="00624407">
        <w:trPr>
          <w:trHeight w:val="245"/>
        </w:trPr>
        <w:tc>
          <w:tcPr>
            <w:tcW w:w="1333" w:type="pct"/>
            <w:noWrap/>
            <w:vAlign w:val="center"/>
          </w:tcPr>
          <w:p w:rsidR="00624407" w:rsidRPr="00735F5E" w:rsidRDefault="00624407" w:rsidP="00624407">
            <w:pPr>
              <w:widowControl w:val="0"/>
              <w:jc w:val="left"/>
              <w:rPr>
                <w:color w:val="000000"/>
                <w:sz w:val="20"/>
                <w:szCs w:val="20"/>
                <w:lang w:val="en-CA"/>
              </w:rPr>
            </w:pPr>
            <w:r w:rsidRPr="00735F5E">
              <w:rPr>
                <w:color w:val="000000"/>
                <w:sz w:val="20"/>
                <w:szCs w:val="20"/>
                <w:lang w:val="en-CA"/>
              </w:rPr>
              <w:t>M</w:t>
            </w:r>
            <w:r>
              <w:rPr>
                <w:color w:val="000000"/>
                <w:sz w:val="20"/>
                <w:szCs w:val="20"/>
                <w:lang w:val="en-CA"/>
              </w:rPr>
              <w:t>etric tonnes</w:t>
            </w:r>
          </w:p>
        </w:tc>
        <w:tc>
          <w:tcPr>
            <w:tcW w:w="607" w:type="pct"/>
            <w:vAlign w:val="bottom"/>
          </w:tcPr>
          <w:p w:rsidR="00624407" w:rsidRPr="00735F5E" w:rsidRDefault="00624407" w:rsidP="00624407">
            <w:pPr>
              <w:jc w:val="right"/>
              <w:rPr>
                <w:color w:val="000000"/>
                <w:sz w:val="20"/>
                <w:szCs w:val="20"/>
              </w:rPr>
            </w:pPr>
            <w:r>
              <w:rPr>
                <w:color w:val="000000"/>
                <w:sz w:val="20"/>
                <w:szCs w:val="20"/>
              </w:rPr>
              <w:t>187.88</w:t>
            </w:r>
          </w:p>
        </w:tc>
        <w:tc>
          <w:tcPr>
            <w:tcW w:w="487" w:type="pct"/>
            <w:tcMar>
              <w:right w:w="130" w:type="dxa"/>
            </w:tcMar>
          </w:tcPr>
          <w:p w:rsidR="00624407" w:rsidRPr="00735F5E" w:rsidRDefault="00624407" w:rsidP="00624407">
            <w:pPr>
              <w:jc w:val="right"/>
              <w:rPr>
                <w:color w:val="000000"/>
                <w:sz w:val="20"/>
                <w:szCs w:val="20"/>
              </w:rPr>
            </w:pPr>
            <w:r w:rsidRPr="00735F5E">
              <w:rPr>
                <w:color w:val="000000"/>
                <w:sz w:val="20"/>
                <w:szCs w:val="20"/>
              </w:rPr>
              <w:t>95.64</w:t>
            </w:r>
          </w:p>
        </w:tc>
        <w:tc>
          <w:tcPr>
            <w:tcW w:w="487" w:type="pct"/>
          </w:tcPr>
          <w:p w:rsidR="00624407" w:rsidRPr="00735F5E" w:rsidRDefault="00624407" w:rsidP="00624407">
            <w:pPr>
              <w:jc w:val="right"/>
              <w:rPr>
                <w:color w:val="000000"/>
                <w:sz w:val="20"/>
                <w:szCs w:val="20"/>
              </w:rPr>
            </w:pPr>
            <w:r w:rsidRPr="00735F5E">
              <w:rPr>
                <w:color w:val="000000"/>
                <w:sz w:val="20"/>
                <w:szCs w:val="20"/>
              </w:rPr>
              <w:t>140.73</w:t>
            </w:r>
          </w:p>
        </w:tc>
        <w:tc>
          <w:tcPr>
            <w:tcW w:w="487" w:type="pct"/>
          </w:tcPr>
          <w:p w:rsidR="00624407" w:rsidRPr="00735F5E" w:rsidRDefault="00624407" w:rsidP="00624407">
            <w:pPr>
              <w:jc w:val="right"/>
              <w:rPr>
                <w:color w:val="000000"/>
                <w:sz w:val="20"/>
                <w:szCs w:val="20"/>
              </w:rPr>
            </w:pPr>
            <w:r w:rsidRPr="00735F5E">
              <w:rPr>
                <w:color w:val="000000"/>
                <w:sz w:val="20"/>
                <w:szCs w:val="20"/>
              </w:rPr>
              <w:t>142.56</w:t>
            </w:r>
          </w:p>
        </w:tc>
        <w:tc>
          <w:tcPr>
            <w:tcW w:w="535" w:type="pct"/>
          </w:tcPr>
          <w:p w:rsidR="00624407" w:rsidRPr="00735F5E" w:rsidRDefault="00624407" w:rsidP="00624407">
            <w:pPr>
              <w:jc w:val="right"/>
              <w:rPr>
                <w:color w:val="000000"/>
                <w:sz w:val="20"/>
                <w:szCs w:val="20"/>
              </w:rPr>
            </w:pPr>
            <w:r w:rsidRPr="00735F5E">
              <w:rPr>
                <w:color w:val="000000"/>
                <w:sz w:val="20"/>
                <w:szCs w:val="20"/>
              </w:rPr>
              <w:t>181.07</w:t>
            </w:r>
          </w:p>
        </w:tc>
        <w:tc>
          <w:tcPr>
            <w:tcW w:w="461" w:type="pct"/>
          </w:tcPr>
          <w:p w:rsidR="00624407" w:rsidRPr="00735F5E" w:rsidRDefault="00624407" w:rsidP="00624407">
            <w:pPr>
              <w:jc w:val="right"/>
              <w:rPr>
                <w:color w:val="000000"/>
                <w:sz w:val="20"/>
                <w:szCs w:val="20"/>
              </w:rPr>
            </w:pPr>
            <w:r w:rsidRPr="00735F5E">
              <w:rPr>
                <w:color w:val="000000"/>
                <w:sz w:val="20"/>
                <w:szCs w:val="20"/>
              </w:rPr>
              <w:t>118.09</w:t>
            </w:r>
          </w:p>
        </w:tc>
        <w:tc>
          <w:tcPr>
            <w:tcW w:w="603" w:type="pct"/>
          </w:tcPr>
          <w:p w:rsidR="00624407" w:rsidRPr="00735F5E" w:rsidRDefault="00624407" w:rsidP="00624407">
            <w:pPr>
              <w:jc w:val="right"/>
              <w:rPr>
                <w:color w:val="000000"/>
                <w:sz w:val="20"/>
                <w:szCs w:val="20"/>
              </w:rPr>
            </w:pPr>
            <w:r>
              <w:rPr>
                <w:color w:val="000000"/>
                <w:sz w:val="20"/>
                <w:szCs w:val="20"/>
              </w:rPr>
              <w:t>147.24</w:t>
            </w:r>
          </w:p>
        </w:tc>
      </w:tr>
      <w:tr w:rsidR="00624407" w:rsidRPr="00735F5E" w:rsidTr="00624407">
        <w:trPr>
          <w:trHeight w:val="227"/>
        </w:trPr>
        <w:tc>
          <w:tcPr>
            <w:tcW w:w="1333" w:type="pct"/>
            <w:noWrap/>
            <w:vAlign w:val="bottom"/>
          </w:tcPr>
          <w:p w:rsidR="00624407" w:rsidRPr="00735F5E" w:rsidRDefault="00624407" w:rsidP="00624407">
            <w:pPr>
              <w:contextualSpacing/>
              <w:jc w:val="left"/>
              <w:rPr>
                <w:color w:val="000000" w:themeColor="text1"/>
                <w:sz w:val="20"/>
                <w:szCs w:val="20"/>
              </w:rPr>
            </w:pPr>
            <w:r w:rsidRPr="00735F5E">
              <w:rPr>
                <w:color w:val="000000" w:themeColor="text1"/>
                <w:sz w:val="20"/>
                <w:szCs w:val="20"/>
              </w:rPr>
              <w:t>ODP tonnes</w:t>
            </w:r>
          </w:p>
        </w:tc>
        <w:tc>
          <w:tcPr>
            <w:tcW w:w="607" w:type="pct"/>
          </w:tcPr>
          <w:p w:rsidR="00624407" w:rsidRPr="00735F5E" w:rsidRDefault="00624407" w:rsidP="00624407">
            <w:pPr>
              <w:jc w:val="right"/>
              <w:rPr>
                <w:color w:val="000000"/>
                <w:sz w:val="20"/>
                <w:szCs w:val="20"/>
              </w:rPr>
            </w:pPr>
            <w:r>
              <w:rPr>
                <w:color w:val="000000"/>
                <w:sz w:val="20"/>
                <w:szCs w:val="20"/>
              </w:rPr>
              <w:t>20.67</w:t>
            </w:r>
          </w:p>
        </w:tc>
        <w:tc>
          <w:tcPr>
            <w:tcW w:w="487" w:type="pct"/>
            <w:tcMar>
              <w:right w:w="130" w:type="dxa"/>
            </w:tcMar>
          </w:tcPr>
          <w:p w:rsidR="00624407" w:rsidRPr="00735F5E" w:rsidRDefault="00624407" w:rsidP="00624407">
            <w:pPr>
              <w:jc w:val="right"/>
              <w:rPr>
                <w:color w:val="000000"/>
                <w:sz w:val="20"/>
                <w:szCs w:val="20"/>
              </w:rPr>
            </w:pPr>
            <w:r w:rsidRPr="00735F5E">
              <w:rPr>
                <w:color w:val="000000"/>
                <w:sz w:val="20"/>
                <w:szCs w:val="20"/>
              </w:rPr>
              <w:t>10.52</w:t>
            </w:r>
          </w:p>
        </w:tc>
        <w:tc>
          <w:tcPr>
            <w:tcW w:w="487" w:type="pct"/>
          </w:tcPr>
          <w:p w:rsidR="00624407" w:rsidRPr="00735F5E" w:rsidRDefault="00624407" w:rsidP="00624407">
            <w:pPr>
              <w:jc w:val="right"/>
              <w:rPr>
                <w:color w:val="000000"/>
                <w:sz w:val="20"/>
                <w:szCs w:val="20"/>
              </w:rPr>
            </w:pPr>
            <w:r w:rsidRPr="00735F5E">
              <w:rPr>
                <w:color w:val="000000"/>
                <w:sz w:val="20"/>
                <w:szCs w:val="20"/>
              </w:rPr>
              <w:t>15.48</w:t>
            </w:r>
          </w:p>
        </w:tc>
        <w:tc>
          <w:tcPr>
            <w:tcW w:w="487" w:type="pct"/>
          </w:tcPr>
          <w:p w:rsidR="00624407" w:rsidRPr="00735F5E" w:rsidRDefault="00624407" w:rsidP="00624407">
            <w:pPr>
              <w:jc w:val="right"/>
              <w:rPr>
                <w:color w:val="000000"/>
                <w:sz w:val="20"/>
                <w:szCs w:val="20"/>
              </w:rPr>
            </w:pPr>
            <w:r w:rsidRPr="00735F5E">
              <w:rPr>
                <w:color w:val="000000"/>
                <w:sz w:val="20"/>
                <w:szCs w:val="20"/>
              </w:rPr>
              <w:t>15.68</w:t>
            </w:r>
          </w:p>
        </w:tc>
        <w:tc>
          <w:tcPr>
            <w:tcW w:w="535" w:type="pct"/>
          </w:tcPr>
          <w:p w:rsidR="00624407" w:rsidRPr="00735F5E" w:rsidRDefault="00624407" w:rsidP="00624407">
            <w:pPr>
              <w:jc w:val="right"/>
              <w:rPr>
                <w:color w:val="000000"/>
                <w:sz w:val="20"/>
                <w:szCs w:val="20"/>
              </w:rPr>
            </w:pPr>
            <w:r w:rsidRPr="00735F5E">
              <w:rPr>
                <w:color w:val="000000"/>
                <w:sz w:val="20"/>
                <w:szCs w:val="20"/>
              </w:rPr>
              <w:t>19.92</w:t>
            </w:r>
          </w:p>
        </w:tc>
        <w:tc>
          <w:tcPr>
            <w:tcW w:w="461" w:type="pct"/>
          </w:tcPr>
          <w:p w:rsidR="00624407" w:rsidRPr="00735F5E" w:rsidRDefault="00624407" w:rsidP="00624407">
            <w:pPr>
              <w:jc w:val="right"/>
              <w:rPr>
                <w:color w:val="000000"/>
                <w:sz w:val="20"/>
                <w:szCs w:val="20"/>
              </w:rPr>
            </w:pPr>
            <w:r w:rsidRPr="00735F5E">
              <w:rPr>
                <w:color w:val="000000"/>
                <w:sz w:val="20"/>
                <w:szCs w:val="20"/>
              </w:rPr>
              <w:t>12.99</w:t>
            </w:r>
          </w:p>
        </w:tc>
        <w:tc>
          <w:tcPr>
            <w:tcW w:w="603" w:type="pct"/>
          </w:tcPr>
          <w:p w:rsidR="00624407" w:rsidRPr="00735F5E" w:rsidRDefault="00624407" w:rsidP="00624407">
            <w:pPr>
              <w:jc w:val="right"/>
              <w:rPr>
                <w:color w:val="000000"/>
                <w:sz w:val="20"/>
                <w:szCs w:val="20"/>
              </w:rPr>
            </w:pPr>
            <w:r>
              <w:rPr>
                <w:color w:val="000000"/>
                <w:sz w:val="20"/>
                <w:szCs w:val="20"/>
              </w:rPr>
              <w:t>16.20</w:t>
            </w:r>
          </w:p>
        </w:tc>
      </w:tr>
    </w:tbl>
    <w:p w:rsidR="00624407" w:rsidRDefault="00624407" w:rsidP="00624407"/>
    <w:p w:rsidR="00624407" w:rsidRPr="00C52303" w:rsidRDefault="00624407" w:rsidP="00624407">
      <w:pPr>
        <w:pStyle w:val="Heading1"/>
        <w:tabs>
          <w:tab w:val="clear" w:pos="142"/>
          <w:tab w:val="num" w:pos="0"/>
        </w:tabs>
        <w:ind w:left="0"/>
      </w:pPr>
      <w:r w:rsidRPr="00624407">
        <w:t xml:space="preserve">The polyols are imported by two systems distributors (30 per cent of the total) and ten PU foam manufacturers. </w:t>
      </w:r>
      <w:r w:rsidRPr="00C52303">
        <w:t xml:space="preserve">One of the systems distributors started to import </w:t>
      </w:r>
      <w:proofErr w:type="spellStart"/>
      <w:r w:rsidRPr="00C52303">
        <w:t>cyclopentane</w:t>
      </w:r>
      <w:proofErr w:type="spellEnd"/>
      <w:r w:rsidRPr="00C52303">
        <w:t xml:space="preserve"> pre-blended polyols from </w:t>
      </w:r>
      <w:proofErr w:type="spellStart"/>
      <w:r w:rsidRPr="00C52303">
        <w:t>Pumex</w:t>
      </w:r>
      <w:proofErr w:type="spellEnd"/>
      <w:r w:rsidRPr="00C52303">
        <w:t xml:space="preserve"> in Mexico, and another enterprise (</w:t>
      </w:r>
      <w:proofErr w:type="spellStart"/>
      <w:r w:rsidRPr="00C52303">
        <w:t>Enviroplastic</w:t>
      </w:r>
      <w:proofErr w:type="spellEnd"/>
      <w:r w:rsidRPr="00C52303">
        <w:t xml:space="preserve">) is the representative of a systems house able to supply HFO-1233zd in the region. </w:t>
      </w:r>
    </w:p>
    <w:p w:rsidR="00624407" w:rsidRPr="00C52303" w:rsidRDefault="00624407" w:rsidP="00624407">
      <w:pPr>
        <w:pStyle w:val="Heading1"/>
        <w:numPr>
          <w:ilvl w:val="0"/>
          <w:numId w:val="0"/>
        </w:numPr>
      </w:pPr>
      <w:r w:rsidRPr="00C52303">
        <w:rPr>
          <w:u w:val="single"/>
        </w:rPr>
        <w:t>Enterprise background, phase-out activities and associated costs</w:t>
      </w:r>
    </w:p>
    <w:p w:rsidR="00624407" w:rsidRPr="00C52303" w:rsidRDefault="00624407" w:rsidP="00624407">
      <w:pPr>
        <w:pStyle w:val="Heading1"/>
        <w:tabs>
          <w:tab w:val="clear" w:pos="142"/>
          <w:tab w:val="num" w:pos="0"/>
        </w:tabs>
        <w:ind w:left="0"/>
      </w:pPr>
      <w:r w:rsidRPr="00C52303">
        <w:t xml:space="preserve">The seven largest small and medium-sized enterprises (SMEs) producing foam are: </w:t>
      </w:r>
      <w:proofErr w:type="spellStart"/>
      <w:r w:rsidRPr="00C52303">
        <w:t>Ecasa</w:t>
      </w:r>
      <w:proofErr w:type="spellEnd"/>
      <w:r w:rsidRPr="00C52303">
        <w:t xml:space="preserve">, </w:t>
      </w:r>
      <w:proofErr w:type="spellStart"/>
      <w:r w:rsidRPr="00C52303">
        <w:t>Infri</w:t>
      </w:r>
      <w:proofErr w:type="spellEnd"/>
      <w:r w:rsidRPr="00C52303">
        <w:t xml:space="preserve">, </w:t>
      </w:r>
      <w:proofErr w:type="spellStart"/>
      <w:r w:rsidRPr="00C52303">
        <w:t>Kubiec</w:t>
      </w:r>
      <w:proofErr w:type="spellEnd"/>
      <w:r w:rsidRPr="00C52303">
        <w:t xml:space="preserve">, </w:t>
      </w:r>
      <w:proofErr w:type="spellStart"/>
      <w:r w:rsidRPr="00C52303">
        <w:t>Mafrico</w:t>
      </w:r>
      <w:proofErr w:type="spellEnd"/>
      <w:r w:rsidRPr="00C52303">
        <w:t xml:space="preserve">, Marco Mora Duque, </w:t>
      </w:r>
      <w:proofErr w:type="spellStart"/>
      <w:r w:rsidRPr="00C52303">
        <w:t>Rooftec</w:t>
      </w:r>
      <w:proofErr w:type="spellEnd"/>
      <w:r w:rsidRPr="00C52303">
        <w:t xml:space="preserve"> and </w:t>
      </w:r>
      <w:proofErr w:type="spellStart"/>
      <w:r w:rsidRPr="00C52303">
        <w:t>Verton</w:t>
      </w:r>
      <w:proofErr w:type="spellEnd"/>
      <w:r w:rsidRPr="00C52303">
        <w:t>; they account for more than 90 per cent of the consumption of HCFC</w:t>
      </w:r>
      <w:r w:rsidRPr="00C52303">
        <w:noBreakHyphen/>
        <w:t>141b contained in pre-blended polyols. The list of 11 enterprises included for conversion in the project, their applications and the technology selected for c</w:t>
      </w:r>
      <w:r w:rsidR="008E3BC4" w:rsidRPr="00C52303">
        <w:t>onversion is presented in Table </w:t>
      </w:r>
      <w:r w:rsidRPr="00C52303">
        <w:t xml:space="preserve">2. </w:t>
      </w:r>
    </w:p>
    <w:p w:rsidR="00624407" w:rsidRPr="00A7269D" w:rsidRDefault="00624407" w:rsidP="00F36731">
      <w:pPr>
        <w:keepNext/>
        <w:rPr>
          <w:b/>
        </w:rPr>
      </w:pPr>
      <w:r w:rsidRPr="00A7269D">
        <w:rPr>
          <w:b/>
        </w:rPr>
        <w:t xml:space="preserve">Table </w:t>
      </w:r>
      <w:r>
        <w:rPr>
          <w:b/>
        </w:rPr>
        <w:t>2</w:t>
      </w:r>
      <w:r w:rsidRPr="00A7269D">
        <w:rPr>
          <w:b/>
        </w:rPr>
        <w:t xml:space="preserve">. </w:t>
      </w:r>
      <w:r>
        <w:rPr>
          <w:b/>
        </w:rPr>
        <w:t xml:space="preserve">Remaining </w:t>
      </w:r>
      <w:r w:rsidRPr="00A7269D">
        <w:rPr>
          <w:b/>
        </w:rPr>
        <w:t xml:space="preserve">PU foam enterprises </w:t>
      </w:r>
      <w:r>
        <w:rPr>
          <w:b/>
        </w:rPr>
        <w:t xml:space="preserve">eligible for funding </w:t>
      </w:r>
      <w:r w:rsidRPr="00A7269D">
        <w:rPr>
          <w:b/>
        </w:rPr>
        <w:t>in Ecuador</w:t>
      </w:r>
    </w:p>
    <w:tbl>
      <w:tblPr>
        <w:tblStyle w:val="TableGrid"/>
        <w:tblW w:w="9445" w:type="dxa"/>
        <w:tblCellMar>
          <w:left w:w="115" w:type="dxa"/>
          <w:right w:w="0" w:type="dxa"/>
        </w:tblCellMar>
        <w:tblLook w:val="04A0" w:firstRow="1" w:lastRow="0" w:firstColumn="1" w:lastColumn="0" w:noHBand="0" w:noVBand="1"/>
      </w:tblPr>
      <w:tblGrid>
        <w:gridCol w:w="1825"/>
        <w:gridCol w:w="1590"/>
        <w:gridCol w:w="1980"/>
        <w:gridCol w:w="1358"/>
        <w:gridCol w:w="2692"/>
      </w:tblGrid>
      <w:tr w:rsidR="00624407" w:rsidRPr="0095209E" w:rsidTr="00624407">
        <w:tc>
          <w:tcPr>
            <w:tcW w:w="1825" w:type="dxa"/>
            <w:vAlign w:val="center"/>
          </w:tcPr>
          <w:p w:rsidR="00624407" w:rsidRPr="0095209E" w:rsidRDefault="00624407" w:rsidP="00F36731">
            <w:pPr>
              <w:keepNext/>
              <w:jc w:val="center"/>
              <w:rPr>
                <w:b/>
                <w:sz w:val="20"/>
                <w:szCs w:val="20"/>
              </w:rPr>
            </w:pPr>
            <w:r w:rsidRPr="0095209E">
              <w:rPr>
                <w:b/>
                <w:sz w:val="20"/>
                <w:szCs w:val="20"/>
              </w:rPr>
              <w:t>Enterprise</w:t>
            </w:r>
          </w:p>
        </w:tc>
        <w:tc>
          <w:tcPr>
            <w:tcW w:w="1590" w:type="dxa"/>
            <w:vAlign w:val="center"/>
          </w:tcPr>
          <w:p w:rsidR="00624407" w:rsidRPr="0095209E" w:rsidRDefault="00624407" w:rsidP="00F36731">
            <w:pPr>
              <w:keepNext/>
              <w:jc w:val="center"/>
              <w:rPr>
                <w:b/>
                <w:sz w:val="20"/>
                <w:szCs w:val="20"/>
              </w:rPr>
            </w:pPr>
            <w:r>
              <w:rPr>
                <w:b/>
                <w:sz w:val="20"/>
                <w:szCs w:val="20"/>
              </w:rPr>
              <w:t>Foam dispenser installation</w:t>
            </w:r>
          </w:p>
        </w:tc>
        <w:tc>
          <w:tcPr>
            <w:tcW w:w="1980" w:type="dxa"/>
            <w:vAlign w:val="center"/>
          </w:tcPr>
          <w:p w:rsidR="00624407" w:rsidRPr="0095209E" w:rsidRDefault="00624407" w:rsidP="00F36731">
            <w:pPr>
              <w:keepNext/>
              <w:jc w:val="center"/>
              <w:rPr>
                <w:b/>
                <w:sz w:val="20"/>
                <w:szCs w:val="20"/>
              </w:rPr>
            </w:pPr>
            <w:r w:rsidRPr="0095209E">
              <w:rPr>
                <w:b/>
                <w:sz w:val="20"/>
                <w:szCs w:val="20"/>
              </w:rPr>
              <w:t>Application</w:t>
            </w:r>
          </w:p>
        </w:tc>
        <w:tc>
          <w:tcPr>
            <w:tcW w:w="1358" w:type="dxa"/>
            <w:vAlign w:val="center"/>
          </w:tcPr>
          <w:p w:rsidR="00624407" w:rsidRPr="0095209E" w:rsidRDefault="00624407" w:rsidP="00F36731">
            <w:pPr>
              <w:keepNext/>
              <w:jc w:val="center"/>
              <w:rPr>
                <w:b/>
                <w:sz w:val="20"/>
                <w:szCs w:val="20"/>
              </w:rPr>
            </w:pPr>
            <w:r>
              <w:rPr>
                <w:b/>
                <w:sz w:val="20"/>
                <w:szCs w:val="20"/>
              </w:rPr>
              <w:t>HCFC-141b (</w:t>
            </w:r>
            <w:proofErr w:type="spellStart"/>
            <w:r>
              <w:rPr>
                <w:b/>
                <w:sz w:val="20"/>
                <w:szCs w:val="20"/>
              </w:rPr>
              <w:t>mt</w:t>
            </w:r>
            <w:proofErr w:type="spellEnd"/>
            <w:r>
              <w:rPr>
                <w:b/>
                <w:sz w:val="20"/>
                <w:szCs w:val="20"/>
              </w:rPr>
              <w:t>)</w:t>
            </w:r>
          </w:p>
        </w:tc>
        <w:tc>
          <w:tcPr>
            <w:tcW w:w="2692" w:type="dxa"/>
            <w:vAlign w:val="center"/>
          </w:tcPr>
          <w:p w:rsidR="00624407" w:rsidRPr="0095209E" w:rsidRDefault="00624407" w:rsidP="00F36731">
            <w:pPr>
              <w:keepNext/>
              <w:jc w:val="center"/>
              <w:rPr>
                <w:b/>
                <w:sz w:val="20"/>
                <w:szCs w:val="20"/>
              </w:rPr>
            </w:pPr>
            <w:r>
              <w:rPr>
                <w:b/>
                <w:sz w:val="20"/>
                <w:szCs w:val="20"/>
              </w:rPr>
              <w:t>Technology selected</w:t>
            </w:r>
          </w:p>
        </w:tc>
      </w:tr>
      <w:tr w:rsidR="00624407" w:rsidRPr="00007C8C" w:rsidTr="00624407">
        <w:tc>
          <w:tcPr>
            <w:tcW w:w="1825" w:type="dxa"/>
          </w:tcPr>
          <w:p w:rsidR="00624407" w:rsidRPr="008E3BC4" w:rsidRDefault="00624407" w:rsidP="00624407">
            <w:pPr>
              <w:jc w:val="left"/>
              <w:rPr>
                <w:sz w:val="20"/>
                <w:szCs w:val="20"/>
              </w:rPr>
            </w:pPr>
            <w:proofErr w:type="spellStart"/>
            <w:r w:rsidRPr="008E3BC4">
              <w:rPr>
                <w:sz w:val="20"/>
                <w:szCs w:val="20"/>
              </w:rPr>
              <w:t>Cepolfi</w:t>
            </w:r>
            <w:proofErr w:type="spellEnd"/>
          </w:p>
        </w:tc>
        <w:tc>
          <w:tcPr>
            <w:tcW w:w="1590" w:type="dxa"/>
          </w:tcPr>
          <w:p w:rsidR="00624407" w:rsidRPr="008E3BC4" w:rsidRDefault="00CC43F7" w:rsidP="00624407">
            <w:pPr>
              <w:jc w:val="left"/>
              <w:rPr>
                <w:sz w:val="20"/>
                <w:szCs w:val="20"/>
              </w:rPr>
            </w:pPr>
            <w:r>
              <w:rPr>
                <w:sz w:val="20"/>
                <w:szCs w:val="20"/>
              </w:rPr>
              <w:t>n/a</w:t>
            </w:r>
          </w:p>
        </w:tc>
        <w:tc>
          <w:tcPr>
            <w:tcW w:w="1980" w:type="dxa"/>
          </w:tcPr>
          <w:p w:rsidR="00624407" w:rsidRPr="008E3BC4" w:rsidRDefault="00624407" w:rsidP="00624407">
            <w:pPr>
              <w:jc w:val="left"/>
              <w:rPr>
                <w:sz w:val="20"/>
                <w:szCs w:val="20"/>
              </w:rPr>
            </w:pPr>
            <w:r w:rsidRPr="008E3BC4">
              <w:rPr>
                <w:sz w:val="20"/>
                <w:szCs w:val="20"/>
              </w:rPr>
              <w:t>Integral skin</w:t>
            </w:r>
          </w:p>
        </w:tc>
        <w:tc>
          <w:tcPr>
            <w:tcW w:w="1358" w:type="dxa"/>
            <w:tcMar>
              <w:right w:w="288" w:type="dxa"/>
            </w:tcMar>
          </w:tcPr>
          <w:p w:rsidR="00624407" w:rsidRPr="008E3BC4" w:rsidRDefault="00624407" w:rsidP="00624407">
            <w:pPr>
              <w:jc w:val="right"/>
              <w:rPr>
                <w:sz w:val="20"/>
                <w:szCs w:val="20"/>
              </w:rPr>
            </w:pPr>
            <w:r w:rsidRPr="008E3BC4">
              <w:rPr>
                <w:sz w:val="20"/>
                <w:szCs w:val="20"/>
              </w:rPr>
              <w:t>0.00</w:t>
            </w:r>
          </w:p>
        </w:tc>
        <w:tc>
          <w:tcPr>
            <w:tcW w:w="2692" w:type="dxa"/>
          </w:tcPr>
          <w:p w:rsidR="00624407" w:rsidRPr="008E3BC4" w:rsidRDefault="00624407" w:rsidP="00624407">
            <w:pPr>
              <w:jc w:val="left"/>
              <w:rPr>
                <w:sz w:val="20"/>
                <w:szCs w:val="20"/>
              </w:rPr>
            </w:pPr>
            <w:r w:rsidRPr="008E3BC4">
              <w:rPr>
                <w:sz w:val="20"/>
                <w:szCs w:val="20"/>
              </w:rPr>
              <w:t>Water</w:t>
            </w:r>
          </w:p>
        </w:tc>
      </w:tr>
      <w:tr w:rsidR="00624407" w:rsidRPr="0095209E" w:rsidTr="00624407">
        <w:tc>
          <w:tcPr>
            <w:tcW w:w="1825" w:type="dxa"/>
          </w:tcPr>
          <w:p w:rsidR="00624407" w:rsidRPr="008E3BC4" w:rsidRDefault="00624407" w:rsidP="00624407">
            <w:pPr>
              <w:jc w:val="left"/>
              <w:rPr>
                <w:sz w:val="20"/>
                <w:szCs w:val="20"/>
              </w:rPr>
            </w:pPr>
            <w:proofErr w:type="spellStart"/>
            <w:r w:rsidRPr="008E3BC4">
              <w:rPr>
                <w:sz w:val="20"/>
                <w:szCs w:val="20"/>
              </w:rPr>
              <w:t>Chova</w:t>
            </w:r>
            <w:proofErr w:type="spellEnd"/>
            <w:r w:rsidRPr="008E3BC4">
              <w:rPr>
                <w:sz w:val="20"/>
                <w:szCs w:val="20"/>
              </w:rPr>
              <w:t xml:space="preserve"> del Ecuador</w:t>
            </w:r>
          </w:p>
        </w:tc>
        <w:tc>
          <w:tcPr>
            <w:tcW w:w="1590" w:type="dxa"/>
          </w:tcPr>
          <w:p w:rsidR="00624407" w:rsidRPr="008E3BC4" w:rsidRDefault="00CC43F7" w:rsidP="00624407">
            <w:pPr>
              <w:jc w:val="left"/>
              <w:rPr>
                <w:sz w:val="20"/>
                <w:szCs w:val="20"/>
              </w:rPr>
            </w:pPr>
            <w:r>
              <w:rPr>
                <w:sz w:val="20"/>
                <w:szCs w:val="20"/>
              </w:rPr>
              <w:t>n/a</w:t>
            </w:r>
          </w:p>
        </w:tc>
        <w:tc>
          <w:tcPr>
            <w:tcW w:w="1980" w:type="dxa"/>
          </w:tcPr>
          <w:p w:rsidR="00624407" w:rsidRPr="008E3BC4" w:rsidRDefault="00624407" w:rsidP="00624407">
            <w:pPr>
              <w:jc w:val="left"/>
              <w:rPr>
                <w:sz w:val="20"/>
                <w:szCs w:val="20"/>
              </w:rPr>
            </w:pPr>
            <w:r w:rsidRPr="008E3BC4">
              <w:rPr>
                <w:sz w:val="20"/>
                <w:szCs w:val="20"/>
              </w:rPr>
              <w:t>Roof insulation</w:t>
            </w:r>
          </w:p>
        </w:tc>
        <w:tc>
          <w:tcPr>
            <w:tcW w:w="1358" w:type="dxa"/>
            <w:tcMar>
              <w:right w:w="288" w:type="dxa"/>
            </w:tcMar>
          </w:tcPr>
          <w:p w:rsidR="00624407" w:rsidRPr="008E3BC4" w:rsidRDefault="00624407" w:rsidP="00624407">
            <w:pPr>
              <w:jc w:val="right"/>
              <w:rPr>
                <w:sz w:val="20"/>
                <w:szCs w:val="20"/>
              </w:rPr>
            </w:pPr>
            <w:r w:rsidRPr="008E3BC4">
              <w:rPr>
                <w:sz w:val="20"/>
                <w:szCs w:val="20"/>
              </w:rPr>
              <w:t>0.10</w:t>
            </w:r>
          </w:p>
        </w:tc>
        <w:tc>
          <w:tcPr>
            <w:tcW w:w="2692" w:type="dxa"/>
          </w:tcPr>
          <w:p w:rsidR="00624407" w:rsidRPr="008E3BC4" w:rsidRDefault="00624407" w:rsidP="00624407">
            <w:pPr>
              <w:jc w:val="left"/>
              <w:rPr>
                <w:sz w:val="20"/>
                <w:szCs w:val="20"/>
              </w:rPr>
            </w:pPr>
            <w:r w:rsidRPr="008E3BC4">
              <w:rPr>
                <w:sz w:val="20"/>
                <w:szCs w:val="20"/>
              </w:rPr>
              <w:t>To be determined</w:t>
            </w:r>
          </w:p>
        </w:tc>
      </w:tr>
      <w:tr w:rsidR="00624407" w:rsidRPr="0095209E" w:rsidTr="00624407">
        <w:tc>
          <w:tcPr>
            <w:tcW w:w="1825" w:type="dxa"/>
          </w:tcPr>
          <w:p w:rsidR="00624407" w:rsidRPr="008E3BC4" w:rsidRDefault="00624407" w:rsidP="00624407">
            <w:pPr>
              <w:jc w:val="left"/>
              <w:rPr>
                <w:sz w:val="20"/>
                <w:szCs w:val="20"/>
              </w:rPr>
            </w:pPr>
            <w:proofErr w:type="spellStart"/>
            <w:r w:rsidRPr="008E3BC4">
              <w:rPr>
                <w:sz w:val="20"/>
                <w:szCs w:val="20"/>
              </w:rPr>
              <w:t>Ecasa</w:t>
            </w:r>
            <w:proofErr w:type="spellEnd"/>
          </w:p>
        </w:tc>
        <w:tc>
          <w:tcPr>
            <w:tcW w:w="1590" w:type="dxa"/>
          </w:tcPr>
          <w:p w:rsidR="00624407" w:rsidRPr="008E3BC4" w:rsidRDefault="00624407" w:rsidP="00624407">
            <w:pPr>
              <w:jc w:val="left"/>
              <w:rPr>
                <w:sz w:val="20"/>
                <w:szCs w:val="20"/>
              </w:rPr>
            </w:pPr>
            <w:r w:rsidRPr="008E3BC4">
              <w:rPr>
                <w:sz w:val="20"/>
                <w:szCs w:val="20"/>
              </w:rPr>
              <w:t>1996</w:t>
            </w:r>
          </w:p>
        </w:tc>
        <w:tc>
          <w:tcPr>
            <w:tcW w:w="1980" w:type="dxa"/>
          </w:tcPr>
          <w:p w:rsidR="00624407" w:rsidRPr="008E3BC4" w:rsidRDefault="00624407" w:rsidP="00624407">
            <w:pPr>
              <w:jc w:val="left"/>
              <w:rPr>
                <w:sz w:val="20"/>
                <w:szCs w:val="20"/>
              </w:rPr>
            </w:pPr>
            <w:r w:rsidRPr="008E3BC4">
              <w:rPr>
                <w:sz w:val="20"/>
                <w:szCs w:val="20"/>
              </w:rPr>
              <w:t>Refrigerators</w:t>
            </w:r>
          </w:p>
        </w:tc>
        <w:tc>
          <w:tcPr>
            <w:tcW w:w="1358" w:type="dxa"/>
            <w:tcMar>
              <w:right w:w="288" w:type="dxa"/>
            </w:tcMar>
          </w:tcPr>
          <w:p w:rsidR="00624407" w:rsidRPr="008E3BC4" w:rsidRDefault="00624407" w:rsidP="00624407">
            <w:pPr>
              <w:jc w:val="right"/>
              <w:rPr>
                <w:sz w:val="20"/>
                <w:szCs w:val="20"/>
              </w:rPr>
            </w:pPr>
            <w:r w:rsidRPr="008E3BC4">
              <w:rPr>
                <w:sz w:val="20"/>
                <w:szCs w:val="20"/>
              </w:rPr>
              <w:t>6.60</w:t>
            </w:r>
          </w:p>
        </w:tc>
        <w:tc>
          <w:tcPr>
            <w:tcW w:w="2692" w:type="dxa"/>
          </w:tcPr>
          <w:p w:rsidR="00624407" w:rsidRPr="008E3BC4" w:rsidRDefault="00624407" w:rsidP="00624407">
            <w:pPr>
              <w:jc w:val="left"/>
              <w:rPr>
                <w:sz w:val="20"/>
                <w:szCs w:val="20"/>
              </w:rPr>
            </w:pPr>
            <w:r w:rsidRPr="008E3BC4">
              <w:rPr>
                <w:sz w:val="20"/>
                <w:szCs w:val="20"/>
              </w:rPr>
              <w:t>Pre-blended hydrocarbon (HC)</w:t>
            </w:r>
          </w:p>
        </w:tc>
      </w:tr>
      <w:tr w:rsidR="00624407" w:rsidRPr="0095209E" w:rsidTr="00624407">
        <w:tc>
          <w:tcPr>
            <w:tcW w:w="1825" w:type="dxa"/>
          </w:tcPr>
          <w:p w:rsidR="00624407" w:rsidRPr="008E3BC4" w:rsidRDefault="00624407" w:rsidP="00624407">
            <w:pPr>
              <w:jc w:val="left"/>
              <w:rPr>
                <w:sz w:val="20"/>
                <w:szCs w:val="20"/>
              </w:rPr>
            </w:pPr>
            <w:proofErr w:type="spellStart"/>
            <w:r w:rsidRPr="008E3BC4">
              <w:rPr>
                <w:sz w:val="20"/>
                <w:szCs w:val="20"/>
              </w:rPr>
              <w:t>Elasto</w:t>
            </w:r>
            <w:proofErr w:type="spellEnd"/>
          </w:p>
        </w:tc>
        <w:tc>
          <w:tcPr>
            <w:tcW w:w="1590" w:type="dxa"/>
          </w:tcPr>
          <w:p w:rsidR="00624407" w:rsidRPr="008E3BC4" w:rsidRDefault="00624407" w:rsidP="00624407">
            <w:pPr>
              <w:jc w:val="left"/>
              <w:rPr>
                <w:sz w:val="20"/>
                <w:szCs w:val="20"/>
              </w:rPr>
            </w:pPr>
            <w:r w:rsidRPr="008E3BC4">
              <w:rPr>
                <w:sz w:val="20"/>
                <w:szCs w:val="20"/>
              </w:rPr>
              <w:t>Prior to 2007</w:t>
            </w:r>
          </w:p>
        </w:tc>
        <w:tc>
          <w:tcPr>
            <w:tcW w:w="1980" w:type="dxa"/>
          </w:tcPr>
          <w:p w:rsidR="00624407" w:rsidRPr="008E3BC4" w:rsidRDefault="00624407" w:rsidP="00624407">
            <w:pPr>
              <w:jc w:val="left"/>
              <w:rPr>
                <w:sz w:val="20"/>
                <w:szCs w:val="20"/>
              </w:rPr>
            </w:pPr>
            <w:r w:rsidRPr="008E3BC4">
              <w:rPr>
                <w:sz w:val="20"/>
                <w:szCs w:val="20"/>
              </w:rPr>
              <w:t>Integral skin/flexible</w:t>
            </w:r>
          </w:p>
        </w:tc>
        <w:tc>
          <w:tcPr>
            <w:tcW w:w="1358" w:type="dxa"/>
            <w:tcMar>
              <w:right w:w="288" w:type="dxa"/>
            </w:tcMar>
          </w:tcPr>
          <w:p w:rsidR="00624407" w:rsidRPr="008E3BC4" w:rsidRDefault="00624407" w:rsidP="00624407">
            <w:pPr>
              <w:jc w:val="right"/>
              <w:rPr>
                <w:sz w:val="20"/>
                <w:szCs w:val="20"/>
              </w:rPr>
            </w:pPr>
            <w:r w:rsidRPr="008E3BC4">
              <w:rPr>
                <w:sz w:val="20"/>
                <w:szCs w:val="20"/>
              </w:rPr>
              <w:t>0.10</w:t>
            </w:r>
          </w:p>
        </w:tc>
        <w:tc>
          <w:tcPr>
            <w:tcW w:w="2692" w:type="dxa"/>
          </w:tcPr>
          <w:p w:rsidR="00624407" w:rsidRPr="008E3BC4" w:rsidRDefault="00624407" w:rsidP="00624407">
            <w:pPr>
              <w:jc w:val="left"/>
              <w:rPr>
                <w:sz w:val="20"/>
                <w:szCs w:val="20"/>
              </w:rPr>
            </w:pPr>
            <w:r w:rsidRPr="008E3BC4">
              <w:rPr>
                <w:sz w:val="20"/>
                <w:szCs w:val="20"/>
              </w:rPr>
              <w:t>Water</w:t>
            </w:r>
          </w:p>
        </w:tc>
      </w:tr>
      <w:tr w:rsidR="00624407" w:rsidRPr="0095209E" w:rsidTr="00624407">
        <w:tc>
          <w:tcPr>
            <w:tcW w:w="1825" w:type="dxa"/>
          </w:tcPr>
          <w:p w:rsidR="00624407" w:rsidRPr="008E3BC4" w:rsidRDefault="00624407" w:rsidP="00624407">
            <w:pPr>
              <w:jc w:val="left"/>
              <w:rPr>
                <w:sz w:val="20"/>
                <w:szCs w:val="20"/>
              </w:rPr>
            </w:pPr>
            <w:proofErr w:type="spellStart"/>
            <w:r w:rsidRPr="008E3BC4">
              <w:rPr>
                <w:sz w:val="20"/>
                <w:szCs w:val="20"/>
              </w:rPr>
              <w:t>Fibroacero</w:t>
            </w:r>
            <w:proofErr w:type="spellEnd"/>
          </w:p>
        </w:tc>
        <w:tc>
          <w:tcPr>
            <w:tcW w:w="1590" w:type="dxa"/>
          </w:tcPr>
          <w:p w:rsidR="00624407" w:rsidRPr="008E3BC4" w:rsidRDefault="00CC43F7" w:rsidP="00624407">
            <w:pPr>
              <w:jc w:val="left"/>
              <w:rPr>
                <w:sz w:val="20"/>
                <w:szCs w:val="20"/>
              </w:rPr>
            </w:pPr>
            <w:r>
              <w:rPr>
                <w:sz w:val="20"/>
                <w:szCs w:val="20"/>
              </w:rPr>
              <w:t>n/a</w:t>
            </w:r>
          </w:p>
        </w:tc>
        <w:tc>
          <w:tcPr>
            <w:tcW w:w="1980" w:type="dxa"/>
          </w:tcPr>
          <w:p w:rsidR="00624407" w:rsidRPr="008E3BC4" w:rsidRDefault="00624407" w:rsidP="00624407">
            <w:pPr>
              <w:jc w:val="left"/>
              <w:rPr>
                <w:sz w:val="20"/>
                <w:szCs w:val="20"/>
              </w:rPr>
            </w:pPr>
            <w:r w:rsidRPr="008E3BC4">
              <w:rPr>
                <w:sz w:val="20"/>
                <w:szCs w:val="20"/>
              </w:rPr>
              <w:t>Refrigeration</w:t>
            </w:r>
          </w:p>
        </w:tc>
        <w:tc>
          <w:tcPr>
            <w:tcW w:w="1358" w:type="dxa"/>
            <w:tcMar>
              <w:right w:w="288" w:type="dxa"/>
            </w:tcMar>
          </w:tcPr>
          <w:p w:rsidR="00624407" w:rsidRPr="008E3BC4" w:rsidRDefault="00624407" w:rsidP="00624407">
            <w:pPr>
              <w:jc w:val="right"/>
              <w:rPr>
                <w:sz w:val="20"/>
                <w:szCs w:val="20"/>
              </w:rPr>
            </w:pPr>
            <w:r w:rsidRPr="008E3BC4">
              <w:rPr>
                <w:sz w:val="20"/>
                <w:szCs w:val="20"/>
              </w:rPr>
              <w:t>0.10</w:t>
            </w:r>
          </w:p>
        </w:tc>
        <w:tc>
          <w:tcPr>
            <w:tcW w:w="2692" w:type="dxa"/>
          </w:tcPr>
          <w:p w:rsidR="00624407" w:rsidRPr="008E3BC4" w:rsidRDefault="00624407" w:rsidP="00624407">
            <w:pPr>
              <w:jc w:val="left"/>
              <w:rPr>
                <w:sz w:val="20"/>
                <w:szCs w:val="20"/>
              </w:rPr>
            </w:pPr>
            <w:r w:rsidRPr="008E3BC4">
              <w:rPr>
                <w:sz w:val="20"/>
                <w:szCs w:val="20"/>
              </w:rPr>
              <w:t>To be determined</w:t>
            </w:r>
          </w:p>
        </w:tc>
      </w:tr>
      <w:tr w:rsidR="00624407" w:rsidRPr="0095209E" w:rsidTr="00624407">
        <w:tc>
          <w:tcPr>
            <w:tcW w:w="1825" w:type="dxa"/>
          </w:tcPr>
          <w:p w:rsidR="00624407" w:rsidRPr="0095209E" w:rsidRDefault="00624407" w:rsidP="00624407">
            <w:pPr>
              <w:jc w:val="left"/>
              <w:rPr>
                <w:sz w:val="20"/>
                <w:szCs w:val="20"/>
              </w:rPr>
            </w:pPr>
            <w:proofErr w:type="spellStart"/>
            <w:r w:rsidRPr="0095209E">
              <w:rPr>
                <w:sz w:val="20"/>
                <w:szCs w:val="20"/>
              </w:rPr>
              <w:t>Infri</w:t>
            </w:r>
            <w:proofErr w:type="spellEnd"/>
          </w:p>
        </w:tc>
        <w:tc>
          <w:tcPr>
            <w:tcW w:w="1590" w:type="dxa"/>
          </w:tcPr>
          <w:p w:rsidR="00624407" w:rsidRPr="0095209E" w:rsidRDefault="00624407" w:rsidP="00624407">
            <w:pPr>
              <w:jc w:val="left"/>
              <w:rPr>
                <w:sz w:val="20"/>
                <w:szCs w:val="20"/>
              </w:rPr>
            </w:pPr>
            <w:r w:rsidRPr="0095209E">
              <w:rPr>
                <w:sz w:val="20"/>
                <w:szCs w:val="20"/>
              </w:rPr>
              <w:t>2007</w:t>
            </w:r>
          </w:p>
        </w:tc>
        <w:tc>
          <w:tcPr>
            <w:tcW w:w="1980" w:type="dxa"/>
          </w:tcPr>
          <w:p w:rsidR="00624407" w:rsidRPr="0095209E" w:rsidRDefault="00624407" w:rsidP="00624407">
            <w:pPr>
              <w:jc w:val="left"/>
              <w:rPr>
                <w:sz w:val="20"/>
                <w:szCs w:val="20"/>
              </w:rPr>
            </w:pPr>
            <w:r>
              <w:rPr>
                <w:sz w:val="20"/>
                <w:szCs w:val="20"/>
              </w:rPr>
              <w:t>P</w:t>
            </w:r>
            <w:r w:rsidRPr="0095209E">
              <w:rPr>
                <w:sz w:val="20"/>
                <w:szCs w:val="20"/>
              </w:rPr>
              <w:t>anels</w:t>
            </w:r>
            <w:r>
              <w:rPr>
                <w:sz w:val="20"/>
                <w:szCs w:val="20"/>
              </w:rPr>
              <w:t>, s</w:t>
            </w:r>
            <w:r w:rsidRPr="0095209E">
              <w:rPr>
                <w:sz w:val="20"/>
                <w:szCs w:val="20"/>
              </w:rPr>
              <w:t>pray foam</w:t>
            </w:r>
          </w:p>
        </w:tc>
        <w:tc>
          <w:tcPr>
            <w:tcW w:w="1358" w:type="dxa"/>
            <w:tcMar>
              <w:right w:w="288" w:type="dxa"/>
            </w:tcMar>
          </w:tcPr>
          <w:p w:rsidR="00624407" w:rsidRPr="00007C8C" w:rsidRDefault="00624407" w:rsidP="00624407">
            <w:pPr>
              <w:jc w:val="right"/>
              <w:rPr>
                <w:sz w:val="20"/>
                <w:szCs w:val="20"/>
              </w:rPr>
            </w:pPr>
            <w:r w:rsidRPr="00007C8C">
              <w:rPr>
                <w:sz w:val="20"/>
                <w:szCs w:val="20"/>
              </w:rPr>
              <w:t>4.40</w:t>
            </w:r>
          </w:p>
        </w:tc>
        <w:tc>
          <w:tcPr>
            <w:tcW w:w="2692" w:type="dxa"/>
          </w:tcPr>
          <w:p w:rsidR="00624407" w:rsidRPr="0095209E" w:rsidRDefault="00624407" w:rsidP="00624407">
            <w:pPr>
              <w:jc w:val="left"/>
              <w:rPr>
                <w:sz w:val="20"/>
                <w:szCs w:val="20"/>
              </w:rPr>
            </w:pPr>
            <w:r>
              <w:rPr>
                <w:sz w:val="20"/>
                <w:szCs w:val="20"/>
              </w:rPr>
              <w:t>Pre-blended HCs</w:t>
            </w:r>
          </w:p>
        </w:tc>
      </w:tr>
      <w:tr w:rsidR="00624407" w:rsidRPr="0095209E" w:rsidTr="00624407">
        <w:tc>
          <w:tcPr>
            <w:tcW w:w="1825" w:type="dxa"/>
          </w:tcPr>
          <w:p w:rsidR="00624407" w:rsidRPr="0095209E" w:rsidRDefault="00624407" w:rsidP="00624407">
            <w:pPr>
              <w:jc w:val="left"/>
              <w:rPr>
                <w:sz w:val="20"/>
                <w:szCs w:val="20"/>
              </w:rPr>
            </w:pPr>
            <w:proofErr w:type="spellStart"/>
            <w:r w:rsidRPr="0095209E">
              <w:rPr>
                <w:sz w:val="20"/>
                <w:szCs w:val="20"/>
              </w:rPr>
              <w:t>Kubiec</w:t>
            </w:r>
            <w:proofErr w:type="spellEnd"/>
          </w:p>
        </w:tc>
        <w:tc>
          <w:tcPr>
            <w:tcW w:w="1590" w:type="dxa"/>
          </w:tcPr>
          <w:p w:rsidR="00624407" w:rsidRPr="0095209E" w:rsidRDefault="00624407" w:rsidP="00624407">
            <w:pPr>
              <w:jc w:val="left"/>
              <w:rPr>
                <w:sz w:val="20"/>
                <w:szCs w:val="20"/>
              </w:rPr>
            </w:pPr>
            <w:r w:rsidRPr="0095209E">
              <w:rPr>
                <w:sz w:val="20"/>
                <w:szCs w:val="20"/>
              </w:rPr>
              <w:t>2006</w:t>
            </w:r>
            <w:r>
              <w:rPr>
                <w:sz w:val="20"/>
                <w:szCs w:val="20"/>
              </w:rPr>
              <w:t>/2014</w:t>
            </w:r>
          </w:p>
        </w:tc>
        <w:tc>
          <w:tcPr>
            <w:tcW w:w="1980" w:type="dxa"/>
          </w:tcPr>
          <w:p w:rsidR="00624407" w:rsidRPr="0095209E" w:rsidRDefault="00624407" w:rsidP="00624407">
            <w:pPr>
              <w:jc w:val="left"/>
              <w:rPr>
                <w:sz w:val="20"/>
                <w:szCs w:val="20"/>
              </w:rPr>
            </w:pPr>
            <w:r>
              <w:rPr>
                <w:sz w:val="20"/>
                <w:szCs w:val="20"/>
              </w:rPr>
              <w:t>Panel</w:t>
            </w:r>
            <w:r w:rsidRPr="0095209E">
              <w:rPr>
                <w:sz w:val="20"/>
                <w:szCs w:val="20"/>
              </w:rPr>
              <w:t>s</w:t>
            </w:r>
          </w:p>
        </w:tc>
        <w:tc>
          <w:tcPr>
            <w:tcW w:w="1358" w:type="dxa"/>
            <w:tcMar>
              <w:right w:w="288" w:type="dxa"/>
            </w:tcMar>
          </w:tcPr>
          <w:p w:rsidR="00624407" w:rsidRPr="00007C8C" w:rsidRDefault="00624407" w:rsidP="00624407">
            <w:pPr>
              <w:jc w:val="right"/>
              <w:rPr>
                <w:sz w:val="20"/>
                <w:szCs w:val="20"/>
              </w:rPr>
            </w:pPr>
            <w:r w:rsidRPr="00007C8C">
              <w:rPr>
                <w:sz w:val="20"/>
                <w:szCs w:val="20"/>
              </w:rPr>
              <w:t>54.60</w:t>
            </w:r>
          </w:p>
        </w:tc>
        <w:tc>
          <w:tcPr>
            <w:tcW w:w="2692" w:type="dxa"/>
          </w:tcPr>
          <w:p w:rsidR="00624407" w:rsidRPr="0095209E" w:rsidRDefault="00624407" w:rsidP="00624407">
            <w:pPr>
              <w:jc w:val="left"/>
              <w:rPr>
                <w:sz w:val="20"/>
                <w:szCs w:val="20"/>
              </w:rPr>
            </w:pPr>
            <w:r>
              <w:rPr>
                <w:sz w:val="20"/>
                <w:szCs w:val="20"/>
              </w:rPr>
              <w:t>Pre-blended HCs</w:t>
            </w:r>
          </w:p>
        </w:tc>
      </w:tr>
      <w:tr w:rsidR="00624407" w:rsidRPr="0095209E" w:rsidTr="00624407">
        <w:tc>
          <w:tcPr>
            <w:tcW w:w="1825" w:type="dxa"/>
          </w:tcPr>
          <w:p w:rsidR="00624407" w:rsidRPr="0095209E" w:rsidRDefault="00624407" w:rsidP="00624407">
            <w:pPr>
              <w:jc w:val="left"/>
              <w:rPr>
                <w:sz w:val="20"/>
                <w:szCs w:val="20"/>
              </w:rPr>
            </w:pPr>
            <w:proofErr w:type="spellStart"/>
            <w:r w:rsidRPr="0095209E">
              <w:rPr>
                <w:sz w:val="20"/>
                <w:szCs w:val="20"/>
              </w:rPr>
              <w:t>Mafrico</w:t>
            </w:r>
            <w:proofErr w:type="spellEnd"/>
          </w:p>
        </w:tc>
        <w:tc>
          <w:tcPr>
            <w:tcW w:w="1590" w:type="dxa"/>
          </w:tcPr>
          <w:p w:rsidR="00624407" w:rsidRPr="0095209E" w:rsidRDefault="00624407" w:rsidP="00624407">
            <w:pPr>
              <w:jc w:val="left"/>
              <w:rPr>
                <w:sz w:val="20"/>
                <w:szCs w:val="20"/>
              </w:rPr>
            </w:pPr>
            <w:r w:rsidRPr="0095209E">
              <w:rPr>
                <w:sz w:val="20"/>
                <w:szCs w:val="20"/>
              </w:rPr>
              <w:t>2000</w:t>
            </w:r>
            <w:r>
              <w:rPr>
                <w:sz w:val="20"/>
                <w:szCs w:val="20"/>
              </w:rPr>
              <w:t>/2016</w:t>
            </w:r>
          </w:p>
        </w:tc>
        <w:tc>
          <w:tcPr>
            <w:tcW w:w="1980" w:type="dxa"/>
          </w:tcPr>
          <w:p w:rsidR="00624407" w:rsidRPr="0095209E" w:rsidRDefault="00624407" w:rsidP="00624407">
            <w:pPr>
              <w:jc w:val="left"/>
              <w:rPr>
                <w:sz w:val="20"/>
                <w:szCs w:val="20"/>
              </w:rPr>
            </w:pPr>
            <w:r>
              <w:rPr>
                <w:sz w:val="20"/>
                <w:szCs w:val="20"/>
              </w:rPr>
              <w:t>P</w:t>
            </w:r>
            <w:r w:rsidRPr="0095209E">
              <w:rPr>
                <w:sz w:val="20"/>
                <w:szCs w:val="20"/>
              </w:rPr>
              <w:t>anels</w:t>
            </w:r>
          </w:p>
        </w:tc>
        <w:tc>
          <w:tcPr>
            <w:tcW w:w="1358" w:type="dxa"/>
            <w:tcMar>
              <w:right w:w="288" w:type="dxa"/>
            </w:tcMar>
          </w:tcPr>
          <w:p w:rsidR="00624407" w:rsidRPr="00007C8C" w:rsidRDefault="00624407" w:rsidP="00624407">
            <w:pPr>
              <w:jc w:val="right"/>
              <w:rPr>
                <w:sz w:val="20"/>
                <w:szCs w:val="20"/>
              </w:rPr>
            </w:pPr>
            <w:r w:rsidRPr="00007C8C">
              <w:rPr>
                <w:sz w:val="20"/>
                <w:szCs w:val="20"/>
              </w:rPr>
              <w:t>51.60</w:t>
            </w:r>
          </w:p>
        </w:tc>
        <w:tc>
          <w:tcPr>
            <w:tcW w:w="2692" w:type="dxa"/>
          </w:tcPr>
          <w:p w:rsidR="00624407" w:rsidRPr="0095209E" w:rsidRDefault="00624407" w:rsidP="00624407">
            <w:pPr>
              <w:jc w:val="left"/>
              <w:rPr>
                <w:sz w:val="20"/>
                <w:szCs w:val="20"/>
              </w:rPr>
            </w:pPr>
            <w:r>
              <w:rPr>
                <w:sz w:val="20"/>
                <w:szCs w:val="20"/>
              </w:rPr>
              <w:t>HFO-1233zd</w:t>
            </w:r>
          </w:p>
        </w:tc>
      </w:tr>
      <w:tr w:rsidR="00624407" w:rsidRPr="0095209E" w:rsidTr="00624407">
        <w:tc>
          <w:tcPr>
            <w:tcW w:w="1825" w:type="dxa"/>
          </w:tcPr>
          <w:p w:rsidR="00624407" w:rsidRPr="0095209E" w:rsidRDefault="00624407" w:rsidP="00624407">
            <w:pPr>
              <w:jc w:val="left"/>
              <w:rPr>
                <w:sz w:val="20"/>
                <w:szCs w:val="20"/>
              </w:rPr>
            </w:pPr>
            <w:r w:rsidRPr="0095209E">
              <w:rPr>
                <w:sz w:val="20"/>
                <w:szCs w:val="20"/>
              </w:rPr>
              <w:t>Marco Mora Duque</w:t>
            </w:r>
          </w:p>
        </w:tc>
        <w:tc>
          <w:tcPr>
            <w:tcW w:w="1590" w:type="dxa"/>
          </w:tcPr>
          <w:p w:rsidR="00624407" w:rsidRPr="0095209E" w:rsidRDefault="00624407" w:rsidP="00624407">
            <w:pPr>
              <w:jc w:val="left"/>
              <w:rPr>
                <w:sz w:val="20"/>
                <w:szCs w:val="20"/>
              </w:rPr>
            </w:pPr>
            <w:r w:rsidRPr="0095209E">
              <w:rPr>
                <w:sz w:val="20"/>
                <w:szCs w:val="20"/>
              </w:rPr>
              <w:t>2005</w:t>
            </w:r>
          </w:p>
        </w:tc>
        <w:tc>
          <w:tcPr>
            <w:tcW w:w="1980" w:type="dxa"/>
          </w:tcPr>
          <w:p w:rsidR="00624407" w:rsidRPr="0095209E" w:rsidRDefault="00624407" w:rsidP="00624407">
            <w:pPr>
              <w:jc w:val="left"/>
              <w:rPr>
                <w:sz w:val="20"/>
                <w:szCs w:val="20"/>
              </w:rPr>
            </w:pPr>
            <w:r>
              <w:rPr>
                <w:sz w:val="20"/>
                <w:szCs w:val="20"/>
              </w:rPr>
              <w:t>P</w:t>
            </w:r>
            <w:r w:rsidRPr="0095209E">
              <w:rPr>
                <w:sz w:val="20"/>
                <w:szCs w:val="20"/>
              </w:rPr>
              <w:t>anels</w:t>
            </w:r>
          </w:p>
        </w:tc>
        <w:tc>
          <w:tcPr>
            <w:tcW w:w="1358" w:type="dxa"/>
            <w:tcMar>
              <w:right w:w="288" w:type="dxa"/>
            </w:tcMar>
          </w:tcPr>
          <w:p w:rsidR="00624407" w:rsidRPr="00007C8C" w:rsidRDefault="00624407" w:rsidP="00624407">
            <w:pPr>
              <w:jc w:val="right"/>
              <w:rPr>
                <w:sz w:val="20"/>
                <w:szCs w:val="20"/>
              </w:rPr>
            </w:pPr>
            <w:r w:rsidRPr="00007C8C">
              <w:rPr>
                <w:sz w:val="20"/>
                <w:szCs w:val="20"/>
              </w:rPr>
              <w:t>2.60</w:t>
            </w:r>
          </w:p>
        </w:tc>
        <w:tc>
          <w:tcPr>
            <w:tcW w:w="2692" w:type="dxa"/>
          </w:tcPr>
          <w:p w:rsidR="00624407" w:rsidRPr="0095209E" w:rsidRDefault="00624407" w:rsidP="00624407">
            <w:pPr>
              <w:jc w:val="left"/>
              <w:rPr>
                <w:sz w:val="20"/>
                <w:szCs w:val="20"/>
              </w:rPr>
            </w:pPr>
            <w:r>
              <w:rPr>
                <w:sz w:val="20"/>
                <w:szCs w:val="20"/>
              </w:rPr>
              <w:t>Pre-blended HCs, water</w:t>
            </w:r>
          </w:p>
        </w:tc>
      </w:tr>
      <w:tr w:rsidR="00624407" w:rsidRPr="0095209E" w:rsidTr="00624407">
        <w:tc>
          <w:tcPr>
            <w:tcW w:w="1825" w:type="dxa"/>
          </w:tcPr>
          <w:p w:rsidR="00624407" w:rsidRPr="0095209E" w:rsidRDefault="00624407" w:rsidP="00624407">
            <w:pPr>
              <w:jc w:val="left"/>
              <w:rPr>
                <w:sz w:val="20"/>
                <w:szCs w:val="20"/>
              </w:rPr>
            </w:pPr>
            <w:proofErr w:type="spellStart"/>
            <w:r w:rsidRPr="0095209E">
              <w:rPr>
                <w:sz w:val="20"/>
                <w:szCs w:val="20"/>
              </w:rPr>
              <w:t>Rooftec</w:t>
            </w:r>
            <w:proofErr w:type="spellEnd"/>
          </w:p>
        </w:tc>
        <w:tc>
          <w:tcPr>
            <w:tcW w:w="1590" w:type="dxa"/>
          </w:tcPr>
          <w:p w:rsidR="00624407" w:rsidRPr="0095209E" w:rsidRDefault="00624407" w:rsidP="00624407">
            <w:pPr>
              <w:jc w:val="left"/>
              <w:rPr>
                <w:sz w:val="20"/>
                <w:szCs w:val="20"/>
              </w:rPr>
            </w:pPr>
            <w:r>
              <w:rPr>
                <w:sz w:val="20"/>
                <w:szCs w:val="20"/>
              </w:rPr>
              <w:t>Unknown*</w:t>
            </w:r>
          </w:p>
        </w:tc>
        <w:tc>
          <w:tcPr>
            <w:tcW w:w="1980" w:type="dxa"/>
          </w:tcPr>
          <w:p w:rsidR="00624407" w:rsidRPr="0095209E" w:rsidRDefault="00624407" w:rsidP="00624407">
            <w:pPr>
              <w:jc w:val="left"/>
              <w:rPr>
                <w:sz w:val="20"/>
                <w:szCs w:val="20"/>
              </w:rPr>
            </w:pPr>
            <w:r w:rsidRPr="0095209E">
              <w:rPr>
                <w:sz w:val="20"/>
                <w:szCs w:val="20"/>
              </w:rPr>
              <w:t>Roof</w:t>
            </w:r>
            <w:r>
              <w:rPr>
                <w:sz w:val="20"/>
                <w:szCs w:val="20"/>
              </w:rPr>
              <w:t xml:space="preserve"> insulation</w:t>
            </w:r>
          </w:p>
        </w:tc>
        <w:tc>
          <w:tcPr>
            <w:tcW w:w="1358" w:type="dxa"/>
            <w:tcMar>
              <w:right w:w="288" w:type="dxa"/>
            </w:tcMar>
          </w:tcPr>
          <w:p w:rsidR="00624407" w:rsidRPr="0095209E" w:rsidRDefault="00624407" w:rsidP="00624407">
            <w:pPr>
              <w:jc w:val="right"/>
              <w:rPr>
                <w:sz w:val="20"/>
                <w:szCs w:val="20"/>
              </w:rPr>
            </w:pPr>
            <w:r w:rsidRPr="0095209E">
              <w:rPr>
                <w:sz w:val="20"/>
                <w:szCs w:val="20"/>
              </w:rPr>
              <w:t>10.90</w:t>
            </w:r>
          </w:p>
        </w:tc>
        <w:tc>
          <w:tcPr>
            <w:tcW w:w="2692" w:type="dxa"/>
          </w:tcPr>
          <w:p w:rsidR="00624407" w:rsidRPr="0095209E" w:rsidRDefault="00624407" w:rsidP="00624407">
            <w:pPr>
              <w:jc w:val="left"/>
              <w:rPr>
                <w:sz w:val="20"/>
                <w:szCs w:val="20"/>
              </w:rPr>
            </w:pPr>
            <w:r>
              <w:rPr>
                <w:sz w:val="20"/>
                <w:szCs w:val="20"/>
              </w:rPr>
              <w:t>Pre-blended HCs</w:t>
            </w:r>
          </w:p>
        </w:tc>
      </w:tr>
      <w:tr w:rsidR="00624407" w:rsidRPr="0095209E" w:rsidTr="00624407">
        <w:tc>
          <w:tcPr>
            <w:tcW w:w="1825" w:type="dxa"/>
          </w:tcPr>
          <w:p w:rsidR="00624407" w:rsidRPr="0095209E" w:rsidRDefault="00624407" w:rsidP="00624407">
            <w:pPr>
              <w:jc w:val="left"/>
              <w:rPr>
                <w:sz w:val="20"/>
                <w:szCs w:val="20"/>
              </w:rPr>
            </w:pPr>
            <w:proofErr w:type="spellStart"/>
            <w:r w:rsidRPr="0095209E">
              <w:rPr>
                <w:sz w:val="20"/>
                <w:szCs w:val="20"/>
              </w:rPr>
              <w:t>Verton</w:t>
            </w:r>
            <w:proofErr w:type="spellEnd"/>
          </w:p>
        </w:tc>
        <w:tc>
          <w:tcPr>
            <w:tcW w:w="1590" w:type="dxa"/>
          </w:tcPr>
          <w:p w:rsidR="00624407" w:rsidRPr="0095209E" w:rsidRDefault="00624407" w:rsidP="00624407">
            <w:pPr>
              <w:jc w:val="left"/>
              <w:rPr>
                <w:sz w:val="20"/>
                <w:szCs w:val="20"/>
              </w:rPr>
            </w:pPr>
            <w:r w:rsidRPr="0095209E">
              <w:rPr>
                <w:sz w:val="20"/>
                <w:szCs w:val="20"/>
              </w:rPr>
              <w:t>1986/2005</w:t>
            </w:r>
          </w:p>
        </w:tc>
        <w:tc>
          <w:tcPr>
            <w:tcW w:w="1980" w:type="dxa"/>
          </w:tcPr>
          <w:p w:rsidR="00624407" w:rsidRPr="0095209E" w:rsidRDefault="00624407" w:rsidP="00624407">
            <w:pPr>
              <w:jc w:val="left"/>
              <w:rPr>
                <w:sz w:val="20"/>
                <w:szCs w:val="20"/>
              </w:rPr>
            </w:pPr>
            <w:r>
              <w:rPr>
                <w:sz w:val="20"/>
                <w:szCs w:val="20"/>
              </w:rPr>
              <w:t>Pa</w:t>
            </w:r>
            <w:r w:rsidRPr="0095209E">
              <w:rPr>
                <w:sz w:val="20"/>
                <w:szCs w:val="20"/>
              </w:rPr>
              <w:t>nels</w:t>
            </w:r>
          </w:p>
        </w:tc>
        <w:tc>
          <w:tcPr>
            <w:tcW w:w="1358" w:type="dxa"/>
            <w:tcMar>
              <w:right w:w="288" w:type="dxa"/>
            </w:tcMar>
          </w:tcPr>
          <w:p w:rsidR="00624407" w:rsidRPr="0095209E" w:rsidRDefault="00624407" w:rsidP="00624407">
            <w:pPr>
              <w:jc w:val="right"/>
              <w:rPr>
                <w:sz w:val="20"/>
                <w:szCs w:val="20"/>
              </w:rPr>
            </w:pPr>
            <w:r w:rsidRPr="0095209E">
              <w:rPr>
                <w:sz w:val="20"/>
                <w:szCs w:val="20"/>
              </w:rPr>
              <w:t>6.90</w:t>
            </w:r>
          </w:p>
        </w:tc>
        <w:tc>
          <w:tcPr>
            <w:tcW w:w="2692" w:type="dxa"/>
          </w:tcPr>
          <w:p w:rsidR="00624407" w:rsidRPr="0095209E" w:rsidRDefault="00624407" w:rsidP="00624407">
            <w:pPr>
              <w:jc w:val="left"/>
              <w:rPr>
                <w:sz w:val="20"/>
                <w:szCs w:val="20"/>
              </w:rPr>
            </w:pPr>
            <w:r>
              <w:rPr>
                <w:sz w:val="20"/>
                <w:szCs w:val="20"/>
              </w:rPr>
              <w:t>Pre-blended HCs, water</w:t>
            </w:r>
          </w:p>
        </w:tc>
      </w:tr>
      <w:tr w:rsidR="00624407" w:rsidRPr="0095209E" w:rsidTr="00624407">
        <w:tc>
          <w:tcPr>
            <w:tcW w:w="1825" w:type="dxa"/>
          </w:tcPr>
          <w:p w:rsidR="00624407" w:rsidRPr="0095209E" w:rsidRDefault="00624407" w:rsidP="00624407">
            <w:pPr>
              <w:jc w:val="left"/>
              <w:rPr>
                <w:sz w:val="20"/>
                <w:szCs w:val="20"/>
              </w:rPr>
            </w:pPr>
            <w:r w:rsidRPr="0095209E">
              <w:rPr>
                <w:sz w:val="20"/>
                <w:szCs w:val="20"/>
              </w:rPr>
              <w:t>Other</w:t>
            </w:r>
            <w:r>
              <w:rPr>
                <w:sz w:val="20"/>
                <w:szCs w:val="20"/>
              </w:rPr>
              <w:t xml:space="preserve"> SME</w:t>
            </w:r>
            <w:r w:rsidRPr="0095209E">
              <w:rPr>
                <w:sz w:val="20"/>
                <w:szCs w:val="20"/>
              </w:rPr>
              <w:t>s</w:t>
            </w:r>
            <w:r>
              <w:rPr>
                <w:sz w:val="20"/>
                <w:szCs w:val="20"/>
              </w:rPr>
              <w:t>**</w:t>
            </w:r>
          </w:p>
        </w:tc>
        <w:tc>
          <w:tcPr>
            <w:tcW w:w="1590" w:type="dxa"/>
          </w:tcPr>
          <w:p w:rsidR="00624407" w:rsidRPr="0095209E" w:rsidRDefault="00624407" w:rsidP="00624407">
            <w:pPr>
              <w:jc w:val="left"/>
              <w:rPr>
                <w:sz w:val="20"/>
                <w:szCs w:val="20"/>
              </w:rPr>
            </w:pPr>
            <w:r>
              <w:rPr>
                <w:sz w:val="20"/>
                <w:szCs w:val="20"/>
              </w:rPr>
              <w:t>n/a</w:t>
            </w:r>
          </w:p>
        </w:tc>
        <w:tc>
          <w:tcPr>
            <w:tcW w:w="1980" w:type="dxa"/>
          </w:tcPr>
          <w:p w:rsidR="00624407" w:rsidRPr="0095209E" w:rsidRDefault="00624407" w:rsidP="00624407">
            <w:pPr>
              <w:jc w:val="left"/>
              <w:rPr>
                <w:sz w:val="20"/>
                <w:szCs w:val="20"/>
              </w:rPr>
            </w:pPr>
            <w:r>
              <w:rPr>
                <w:sz w:val="20"/>
                <w:szCs w:val="20"/>
              </w:rPr>
              <w:t>Panels/integral skin/ shoe sole/spray foam</w:t>
            </w:r>
          </w:p>
        </w:tc>
        <w:tc>
          <w:tcPr>
            <w:tcW w:w="1358" w:type="dxa"/>
            <w:tcMar>
              <w:right w:w="288" w:type="dxa"/>
            </w:tcMar>
          </w:tcPr>
          <w:p w:rsidR="00624407" w:rsidRPr="0095209E" w:rsidRDefault="00624407" w:rsidP="00624407">
            <w:pPr>
              <w:jc w:val="right"/>
              <w:rPr>
                <w:sz w:val="20"/>
                <w:szCs w:val="20"/>
              </w:rPr>
            </w:pPr>
            <w:r>
              <w:rPr>
                <w:sz w:val="20"/>
                <w:szCs w:val="20"/>
              </w:rPr>
              <w:t>~</w:t>
            </w:r>
            <w:r w:rsidRPr="0095209E">
              <w:rPr>
                <w:sz w:val="20"/>
                <w:szCs w:val="20"/>
              </w:rPr>
              <w:t>9.</w:t>
            </w:r>
            <w:r>
              <w:rPr>
                <w:sz w:val="20"/>
                <w:szCs w:val="20"/>
              </w:rPr>
              <w:t>5</w:t>
            </w:r>
            <w:r w:rsidRPr="0095209E">
              <w:rPr>
                <w:sz w:val="20"/>
                <w:szCs w:val="20"/>
              </w:rPr>
              <w:t>4</w:t>
            </w:r>
          </w:p>
        </w:tc>
        <w:tc>
          <w:tcPr>
            <w:tcW w:w="2692" w:type="dxa"/>
          </w:tcPr>
          <w:p w:rsidR="00624407" w:rsidRPr="0095209E" w:rsidRDefault="00624407" w:rsidP="00624407">
            <w:pPr>
              <w:jc w:val="left"/>
              <w:rPr>
                <w:sz w:val="20"/>
                <w:szCs w:val="20"/>
              </w:rPr>
            </w:pPr>
            <w:r>
              <w:rPr>
                <w:sz w:val="20"/>
                <w:szCs w:val="20"/>
              </w:rPr>
              <w:t>Pre-blended HCs, water</w:t>
            </w:r>
          </w:p>
        </w:tc>
      </w:tr>
      <w:tr w:rsidR="00624407" w:rsidRPr="0095209E" w:rsidTr="00624407">
        <w:tc>
          <w:tcPr>
            <w:tcW w:w="1825" w:type="dxa"/>
          </w:tcPr>
          <w:p w:rsidR="00624407" w:rsidRPr="0095209E" w:rsidRDefault="00624407" w:rsidP="00624407">
            <w:pPr>
              <w:jc w:val="left"/>
              <w:rPr>
                <w:b/>
                <w:sz w:val="20"/>
                <w:szCs w:val="20"/>
              </w:rPr>
            </w:pPr>
            <w:r w:rsidRPr="0095209E">
              <w:rPr>
                <w:b/>
                <w:sz w:val="20"/>
                <w:szCs w:val="20"/>
              </w:rPr>
              <w:t>Total</w:t>
            </w:r>
          </w:p>
        </w:tc>
        <w:tc>
          <w:tcPr>
            <w:tcW w:w="1590" w:type="dxa"/>
          </w:tcPr>
          <w:p w:rsidR="00624407" w:rsidRPr="0095209E" w:rsidRDefault="00624407" w:rsidP="00624407">
            <w:pPr>
              <w:jc w:val="left"/>
              <w:rPr>
                <w:b/>
                <w:sz w:val="20"/>
                <w:szCs w:val="20"/>
              </w:rPr>
            </w:pPr>
          </w:p>
        </w:tc>
        <w:tc>
          <w:tcPr>
            <w:tcW w:w="1980" w:type="dxa"/>
          </w:tcPr>
          <w:p w:rsidR="00624407" w:rsidRPr="0095209E" w:rsidRDefault="00624407" w:rsidP="00624407">
            <w:pPr>
              <w:rPr>
                <w:b/>
                <w:sz w:val="20"/>
                <w:szCs w:val="20"/>
              </w:rPr>
            </w:pPr>
          </w:p>
        </w:tc>
        <w:tc>
          <w:tcPr>
            <w:tcW w:w="1358" w:type="dxa"/>
            <w:tcMar>
              <w:right w:w="288" w:type="dxa"/>
            </w:tcMar>
          </w:tcPr>
          <w:p w:rsidR="00624407" w:rsidRPr="0095209E" w:rsidRDefault="00624407" w:rsidP="00624407">
            <w:pPr>
              <w:jc w:val="right"/>
              <w:rPr>
                <w:b/>
                <w:sz w:val="20"/>
                <w:szCs w:val="20"/>
              </w:rPr>
            </w:pPr>
            <w:r w:rsidRPr="0095209E">
              <w:rPr>
                <w:b/>
                <w:sz w:val="20"/>
                <w:szCs w:val="20"/>
              </w:rPr>
              <w:t>147.24</w:t>
            </w:r>
          </w:p>
        </w:tc>
        <w:tc>
          <w:tcPr>
            <w:tcW w:w="2692" w:type="dxa"/>
          </w:tcPr>
          <w:p w:rsidR="00624407" w:rsidRPr="0095209E" w:rsidRDefault="00624407" w:rsidP="00624407">
            <w:pPr>
              <w:rPr>
                <w:b/>
                <w:sz w:val="20"/>
                <w:szCs w:val="20"/>
              </w:rPr>
            </w:pPr>
          </w:p>
        </w:tc>
      </w:tr>
    </w:tbl>
    <w:p w:rsidR="00624407" w:rsidRPr="00D13D2C" w:rsidRDefault="00624407" w:rsidP="00624407">
      <w:pPr>
        <w:rPr>
          <w:sz w:val="18"/>
          <w:szCs w:val="18"/>
        </w:rPr>
      </w:pPr>
      <w:r w:rsidRPr="00D13D2C">
        <w:rPr>
          <w:sz w:val="18"/>
          <w:szCs w:val="18"/>
        </w:rPr>
        <w:t>*</w:t>
      </w:r>
      <w:r w:rsidR="00587F13">
        <w:rPr>
          <w:sz w:val="18"/>
          <w:szCs w:val="18"/>
        </w:rPr>
        <w:t>The e</w:t>
      </w:r>
      <w:r>
        <w:rPr>
          <w:sz w:val="18"/>
          <w:szCs w:val="18"/>
        </w:rPr>
        <w:t>nterprise started manufacturing in 2004; e</w:t>
      </w:r>
      <w:r w:rsidRPr="00D13D2C">
        <w:rPr>
          <w:sz w:val="18"/>
          <w:szCs w:val="18"/>
        </w:rPr>
        <w:t xml:space="preserve">quipment </w:t>
      </w:r>
      <w:r>
        <w:rPr>
          <w:sz w:val="18"/>
          <w:szCs w:val="18"/>
        </w:rPr>
        <w:t xml:space="preserve">was installed </w:t>
      </w:r>
      <w:r w:rsidRPr="00D13D2C">
        <w:rPr>
          <w:sz w:val="18"/>
          <w:szCs w:val="18"/>
        </w:rPr>
        <w:t>before 2007</w:t>
      </w:r>
      <w:r>
        <w:rPr>
          <w:sz w:val="18"/>
          <w:szCs w:val="18"/>
        </w:rPr>
        <w:t xml:space="preserve"> but </w:t>
      </w:r>
      <w:r w:rsidR="00587F13">
        <w:rPr>
          <w:sz w:val="18"/>
          <w:szCs w:val="18"/>
        </w:rPr>
        <w:t xml:space="preserve">the </w:t>
      </w:r>
      <w:r>
        <w:rPr>
          <w:sz w:val="18"/>
          <w:szCs w:val="18"/>
        </w:rPr>
        <w:t>exact date is not available.</w:t>
      </w:r>
    </w:p>
    <w:p w:rsidR="00624407" w:rsidRPr="00DE1230" w:rsidRDefault="00624407" w:rsidP="00624407">
      <w:pPr>
        <w:rPr>
          <w:sz w:val="18"/>
          <w:szCs w:val="18"/>
        </w:rPr>
      </w:pPr>
      <w:r w:rsidRPr="00DE1230">
        <w:rPr>
          <w:sz w:val="18"/>
          <w:szCs w:val="18"/>
        </w:rPr>
        <w:t xml:space="preserve">**Includes: </w:t>
      </w:r>
      <w:proofErr w:type="spellStart"/>
      <w:r w:rsidRPr="00DE1230">
        <w:rPr>
          <w:sz w:val="18"/>
          <w:szCs w:val="18"/>
        </w:rPr>
        <w:t>Acimco</w:t>
      </w:r>
      <w:proofErr w:type="spellEnd"/>
      <w:r w:rsidRPr="00DE1230">
        <w:rPr>
          <w:sz w:val="18"/>
          <w:szCs w:val="18"/>
        </w:rPr>
        <w:t xml:space="preserve">, </w:t>
      </w:r>
      <w:proofErr w:type="spellStart"/>
      <w:r w:rsidRPr="00DE1230">
        <w:rPr>
          <w:sz w:val="18"/>
          <w:szCs w:val="18"/>
        </w:rPr>
        <w:t>Dipacmanta</w:t>
      </w:r>
      <w:proofErr w:type="spellEnd"/>
      <w:r w:rsidRPr="00DE1230">
        <w:rPr>
          <w:sz w:val="18"/>
          <w:szCs w:val="18"/>
        </w:rPr>
        <w:t xml:space="preserve">, </w:t>
      </w:r>
      <w:proofErr w:type="spellStart"/>
      <w:r w:rsidRPr="00DE1230">
        <w:rPr>
          <w:sz w:val="18"/>
          <w:szCs w:val="18"/>
        </w:rPr>
        <w:t>Ecuapoliuretanos</w:t>
      </w:r>
      <w:proofErr w:type="spellEnd"/>
      <w:r w:rsidRPr="00DE1230">
        <w:rPr>
          <w:sz w:val="18"/>
          <w:szCs w:val="18"/>
        </w:rPr>
        <w:t xml:space="preserve">, </w:t>
      </w:r>
      <w:proofErr w:type="spellStart"/>
      <w:r w:rsidRPr="00DE1230">
        <w:rPr>
          <w:sz w:val="18"/>
          <w:szCs w:val="18"/>
        </w:rPr>
        <w:t>Enviroplastic</w:t>
      </w:r>
      <w:proofErr w:type="spellEnd"/>
      <w:r w:rsidRPr="00DE1230">
        <w:rPr>
          <w:sz w:val="18"/>
          <w:szCs w:val="18"/>
        </w:rPr>
        <w:t xml:space="preserve">, </w:t>
      </w:r>
      <w:proofErr w:type="spellStart"/>
      <w:r w:rsidRPr="00DE1230">
        <w:rPr>
          <w:sz w:val="18"/>
          <w:szCs w:val="18"/>
        </w:rPr>
        <w:t>Esprom</w:t>
      </w:r>
      <w:proofErr w:type="spellEnd"/>
      <w:r w:rsidRPr="00DE1230">
        <w:rPr>
          <w:sz w:val="18"/>
          <w:szCs w:val="18"/>
        </w:rPr>
        <w:t xml:space="preserve">, </w:t>
      </w:r>
      <w:proofErr w:type="spellStart"/>
      <w:r w:rsidRPr="00DE1230">
        <w:rPr>
          <w:sz w:val="18"/>
          <w:szCs w:val="18"/>
        </w:rPr>
        <w:t>Fabrec</w:t>
      </w:r>
      <w:proofErr w:type="spellEnd"/>
      <w:r w:rsidRPr="00DE1230">
        <w:rPr>
          <w:sz w:val="18"/>
          <w:szCs w:val="18"/>
        </w:rPr>
        <w:t xml:space="preserve">, </w:t>
      </w:r>
      <w:proofErr w:type="spellStart"/>
      <w:r w:rsidRPr="00DE1230">
        <w:rPr>
          <w:sz w:val="18"/>
          <w:szCs w:val="18"/>
        </w:rPr>
        <w:t>Gasepol</w:t>
      </w:r>
      <w:proofErr w:type="spellEnd"/>
      <w:r w:rsidRPr="00DE1230">
        <w:rPr>
          <w:sz w:val="18"/>
          <w:szCs w:val="18"/>
        </w:rPr>
        <w:t xml:space="preserve"> (formerly </w:t>
      </w:r>
      <w:proofErr w:type="spellStart"/>
      <w:r w:rsidRPr="00DE1230">
        <w:rPr>
          <w:sz w:val="18"/>
          <w:szCs w:val="18"/>
        </w:rPr>
        <w:t>Tecnistamp</w:t>
      </w:r>
      <w:proofErr w:type="spellEnd"/>
      <w:r w:rsidRPr="00DE1230">
        <w:rPr>
          <w:sz w:val="18"/>
          <w:szCs w:val="18"/>
        </w:rPr>
        <w:t xml:space="preserve">), </w:t>
      </w:r>
      <w:proofErr w:type="spellStart"/>
      <w:r w:rsidRPr="00DE1230">
        <w:rPr>
          <w:sz w:val="18"/>
          <w:szCs w:val="18"/>
        </w:rPr>
        <w:t>Imptek</w:t>
      </w:r>
      <w:proofErr w:type="spellEnd"/>
      <w:r w:rsidRPr="00DE1230">
        <w:rPr>
          <w:sz w:val="18"/>
          <w:szCs w:val="18"/>
        </w:rPr>
        <w:t xml:space="preserve"> del Ecuador, </w:t>
      </w:r>
      <w:proofErr w:type="spellStart"/>
      <w:r w:rsidRPr="00DE1230">
        <w:rPr>
          <w:sz w:val="18"/>
          <w:szCs w:val="18"/>
        </w:rPr>
        <w:t>Inducalsa</w:t>
      </w:r>
      <w:proofErr w:type="spellEnd"/>
      <w:r w:rsidRPr="00DE1230">
        <w:rPr>
          <w:sz w:val="18"/>
          <w:szCs w:val="18"/>
        </w:rPr>
        <w:t xml:space="preserve">, La Fortaleza, </w:t>
      </w:r>
      <w:proofErr w:type="spellStart"/>
      <w:r w:rsidRPr="00DE1230">
        <w:rPr>
          <w:sz w:val="18"/>
          <w:szCs w:val="18"/>
        </w:rPr>
        <w:t>Milenium</w:t>
      </w:r>
      <w:proofErr w:type="spellEnd"/>
      <w:r w:rsidRPr="00DE1230">
        <w:rPr>
          <w:sz w:val="18"/>
          <w:szCs w:val="18"/>
        </w:rPr>
        <w:t xml:space="preserve">, </w:t>
      </w:r>
      <w:proofErr w:type="spellStart"/>
      <w:r w:rsidRPr="00DE1230">
        <w:rPr>
          <w:sz w:val="18"/>
          <w:szCs w:val="18"/>
        </w:rPr>
        <w:t>Milplast</w:t>
      </w:r>
      <w:proofErr w:type="spellEnd"/>
      <w:r w:rsidRPr="00DE1230">
        <w:rPr>
          <w:sz w:val="18"/>
          <w:szCs w:val="18"/>
        </w:rPr>
        <w:t xml:space="preserve">, </w:t>
      </w:r>
      <w:proofErr w:type="spellStart"/>
      <w:r w:rsidRPr="00DE1230">
        <w:rPr>
          <w:sz w:val="18"/>
          <w:szCs w:val="18"/>
        </w:rPr>
        <w:t>Novacero</w:t>
      </w:r>
      <w:proofErr w:type="spellEnd"/>
      <w:r w:rsidRPr="00DE1230">
        <w:rPr>
          <w:sz w:val="18"/>
          <w:szCs w:val="18"/>
        </w:rPr>
        <w:t xml:space="preserve"> and other SMEs not identified.</w:t>
      </w:r>
    </w:p>
    <w:p w:rsidR="00624407" w:rsidRPr="00DE1230" w:rsidRDefault="00624407" w:rsidP="00624407">
      <w:pPr>
        <w:rPr>
          <w:sz w:val="18"/>
          <w:szCs w:val="18"/>
        </w:rPr>
      </w:pPr>
    </w:p>
    <w:p w:rsidR="00624407" w:rsidRDefault="00624407" w:rsidP="00624407">
      <w:pPr>
        <w:pStyle w:val="Heading1"/>
        <w:tabs>
          <w:tab w:val="clear" w:pos="142"/>
          <w:tab w:val="num" w:pos="0"/>
        </w:tabs>
        <w:ind w:left="0"/>
      </w:pPr>
      <w:r w:rsidRPr="00A7269D">
        <w:t xml:space="preserve">The </w:t>
      </w:r>
      <w:r>
        <w:t xml:space="preserve">reasons for the selection of the </w:t>
      </w:r>
      <w:r w:rsidRPr="00A7269D">
        <w:t>alternative</w:t>
      </w:r>
      <w:r>
        <w:t xml:space="preserve"> technologies are the following:</w:t>
      </w:r>
      <w:r w:rsidRPr="00A7269D">
        <w:t xml:space="preserve"> </w:t>
      </w:r>
    </w:p>
    <w:p w:rsidR="00624407" w:rsidRDefault="00624407" w:rsidP="00624407">
      <w:pPr>
        <w:pStyle w:val="Heading2"/>
      </w:pPr>
      <w:r>
        <w:t>P</w:t>
      </w:r>
      <w:r w:rsidRPr="00A7269D">
        <w:t xml:space="preserve">re-blended HCs are used in Mexico and </w:t>
      </w:r>
      <w:r>
        <w:t xml:space="preserve">have been </w:t>
      </w:r>
      <w:r w:rsidRPr="00A7269D">
        <w:t>tested in Ecuador with good results</w:t>
      </w:r>
      <w:r>
        <w:t>; they</w:t>
      </w:r>
      <w:r w:rsidRPr="00A7269D">
        <w:t xml:space="preserve"> do not require </w:t>
      </w:r>
      <w:r>
        <w:t xml:space="preserve">costly </w:t>
      </w:r>
      <w:r w:rsidRPr="00A7269D">
        <w:t>pre</w:t>
      </w:r>
      <w:r>
        <w:t>-mixing</w:t>
      </w:r>
      <w:r w:rsidRPr="00A7269D">
        <w:t xml:space="preserve"> or </w:t>
      </w:r>
      <w:r>
        <w:t xml:space="preserve">large storage </w:t>
      </w:r>
      <w:r w:rsidRPr="00A7269D">
        <w:t>tanks</w:t>
      </w:r>
      <w:r>
        <w:t>,</w:t>
      </w:r>
      <w:r w:rsidRPr="00A7269D">
        <w:t xml:space="preserve"> saving </w:t>
      </w:r>
      <w:r>
        <w:t xml:space="preserve">on </w:t>
      </w:r>
      <w:r w:rsidRPr="00A7269D">
        <w:t>capital cost</w:t>
      </w:r>
      <w:r>
        <w:t>s;</w:t>
      </w:r>
      <w:r w:rsidRPr="00A7269D">
        <w:t xml:space="preserve"> and systems are sufficiently stable for commercial use </w:t>
      </w:r>
      <w:r>
        <w:t>if the</w:t>
      </w:r>
      <w:r w:rsidRPr="00A7269D">
        <w:t xml:space="preserve"> applicable safety measures</w:t>
      </w:r>
      <w:r>
        <w:t xml:space="preserve"> are taken</w:t>
      </w:r>
      <w:r w:rsidRPr="00A7269D">
        <w:t xml:space="preserve"> (</w:t>
      </w:r>
      <w:r>
        <w:t xml:space="preserve">e.g. </w:t>
      </w:r>
      <w:r w:rsidRPr="00A7269D">
        <w:t>shelf</w:t>
      </w:r>
      <w:r w:rsidR="00587F13">
        <w:t xml:space="preserve"> </w:t>
      </w:r>
      <w:r w:rsidRPr="00A7269D">
        <w:t>life has to be checked for each different formulation)</w:t>
      </w:r>
      <w:r>
        <w:t>;</w:t>
      </w:r>
    </w:p>
    <w:p w:rsidR="00624407" w:rsidRDefault="00624407" w:rsidP="00624407">
      <w:pPr>
        <w:pStyle w:val="Heading2"/>
      </w:pPr>
      <w:r w:rsidRPr="00A7269D">
        <w:t>HFO</w:t>
      </w:r>
      <w:r>
        <w:t>-1233zd is</w:t>
      </w:r>
      <w:r w:rsidRPr="00A7269D">
        <w:t xml:space="preserve"> non-flammable and ha</w:t>
      </w:r>
      <w:r>
        <w:t>s</w:t>
      </w:r>
      <w:r w:rsidRPr="00A7269D">
        <w:t xml:space="preserve"> negligible GWP; </w:t>
      </w:r>
      <w:r>
        <w:t xml:space="preserve">it does </w:t>
      </w:r>
      <w:r w:rsidRPr="00A7269D">
        <w:t>not require equipment modifications</w:t>
      </w:r>
      <w:r>
        <w:t xml:space="preserve"> and</w:t>
      </w:r>
      <w:r w:rsidRPr="00A7269D">
        <w:t xml:space="preserve"> show</w:t>
      </w:r>
      <w:r>
        <w:t>s</w:t>
      </w:r>
      <w:r w:rsidRPr="00A7269D">
        <w:t xml:space="preserve"> better isolation properties in the foam</w:t>
      </w:r>
      <w:r>
        <w:t xml:space="preserve">; it </w:t>
      </w:r>
      <w:r w:rsidRPr="00A7269D">
        <w:t xml:space="preserve">can </w:t>
      </w:r>
      <w:r>
        <w:t xml:space="preserve">also </w:t>
      </w:r>
      <w:r w:rsidRPr="00A7269D">
        <w:t xml:space="preserve">be </w:t>
      </w:r>
      <w:r>
        <w:t>decreased</w:t>
      </w:r>
      <w:r w:rsidRPr="00A7269D">
        <w:t xml:space="preserve"> in the formulation</w:t>
      </w:r>
      <w:r>
        <w:t>,</w:t>
      </w:r>
      <w:r w:rsidRPr="00A7269D">
        <w:t xml:space="preserve"> with water</w:t>
      </w:r>
      <w:r>
        <w:t>,</w:t>
      </w:r>
      <w:r w:rsidRPr="00A7269D">
        <w:t xml:space="preserve"> to reduce the high operating cost </w:t>
      </w:r>
      <w:r>
        <w:t>that stems from its</w:t>
      </w:r>
      <w:r w:rsidRPr="00A7269D">
        <w:t xml:space="preserve"> price. The disadvantages are availability, cost</w:t>
      </w:r>
      <w:r>
        <w:t>,</w:t>
      </w:r>
      <w:r w:rsidRPr="00A7269D">
        <w:t xml:space="preserve"> and limited experience</w:t>
      </w:r>
      <w:r>
        <w:t xml:space="preserve"> in its use; and</w:t>
      </w:r>
    </w:p>
    <w:p w:rsidR="00624407" w:rsidRPr="00A7269D" w:rsidRDefault="00624407" w:rsidP="00624407">
      <w:pPr>
        <w:pStyle w:val="Heading2"/>
      </w:pPr>
      <w:r w:rsidRPr="00A7269D">
        <w:t>Water</w:t>
      </w:r>
      <w:r>
        <w:t>-</w:t>
      </w:r>
      <w:r w:rsidRPr="00A7269D">
        <w:t xml:space="preserve">based technology has low GWP, is not flammable and can be used </w:t>
      </w:r>
      <w:r>
        <w:t>i</w:t>
      </w:r>
      <w:r w:rsidRPr="00A7269D">
        <w:t xml:space="preserve">n some applications </w:t>
      </w:r>
      <w:r>
        <w:t xml:space="preserve">where </w:t>
      </w:r>
      <w:r w:rsidRPr="00A7269D">
        <w:t xml:space="preserve">thermal conductivity is not </w:t>
      </w:r>
      <w:r w:rsidR="00587F13">
        <w:t xml:space="preserve">a </w:t>
      </w:r>
      <w:r w:rsidRPr="00A7269D">
        <w:t>key factor, noting that it also requires an increase in</w:t>
      </w:r>
      <w:r>
        <w:t xml:space="preserve"> foam</w:t>
      </w:r>
      <w:r w:rsidRPr="00A7269D">
        <w:t xml:space="preserve"> density.</w:t>
      </w:r>
    </w:p>
    <w:p w:rsidR="00624407" w:rsidRPr="000C6270" w:rsidRDefault="00624407" w:rsidP="00624407">
      <w:pPr>
        <w:pStyle w:val="Heading1"/>
        <w:numPr>
          <w:ilvl w:val="0"/>
          <w:numId w:val="0"/>
        </w:numPr>
        <w:rPr>
          <w:i/>
        </w:rPr>
      </w:pPr>
      <w:r w:rsidRPr="000C6270">
        <w:rPr>
          <w:i/>
        </w:rPr>
        <w:t>Incremental cost</w:t>
      </w:r>
      <w:r>
        <w:rPr>
          <w:i/>
        </w:rPr>
        <w:t>s</w:t>
      </w:r>
    </w:p>
    <w:p w:rsidR="00624407" w:rsidRPr="00411D58" w:rsidRDefault="00624407" w:rsidP="00624407">
      <w:pPr>
        <w:pStyle w:val="Heading1"/>
        <w:tabs>
          <w:tab w:val="clear" w:pos="142"/>
          <w:tab w:val="num" w:pos="0"/>
        </w:tabs>
        <w:ind w:left="0"/>
      </w:pPr>
      <w:r w:rsidRPr="00411D58">
        <w:t>The incremental capital cost</w:t>
      </w:r>
      <w:r>
        <w:t>s</w:t>
      </w:r>
      <w:r w:rsidRPr="00411D58">
        <w:t xml:space="preserve"> (ICC</w:t>
      </w:r>
      <w:r>
        <w:t>s</w:t>
      </w:r>
      <w:r w:rsidRPr="00411D58">
        <w:t>) for the conversion to</w:t>
      </w:r>
      <w:r>
        <w:t xml:space="preserve"> pre-blended HC </w:t>
      </w:r>
      <w:r w:rsidRPr="00411D58">
        <w:t>includ</w:t>
      </w:r>
      <w:r>
        <w:t>e:</w:t>
      </w:r>
      <w:r w:rsidRPr="00411D58">
        <w:t xml:space="preserve"> </w:t>
      </w:r>
      <w:r>
        <w:t xml:space="preserve">the </w:t>
      </w:r>
      <w:r w:rsidRPr="00411D58">
        <w:t>retrofit of foam dispensers</w:t>
      </w:r>
      <w:r>
        <w:t xml:space="preserve"> (</w:t>
      </w:r>
      <w:r w:rsidR="00C52303">
        <w:t>US $</w:t>
      </w:r>
      <w:r>
        <w:t xml:space="preserve">15,000 to </w:t>
      </w:r>
      <w:r w:rsidR="00C52303">
        <w:t>US $</w:t>
      </w:r>
      <w:r>
        <w:t>30,000 per enterprise);</w:t>
      </w:r>
      <w:r w:rsidR="00E76078">
        <w:t xml:space="preserve"> drum storage, including safety-</w:t>
      </w:r>
      <w:r>
        <w:t>related items (</w:t>
      </w:r>
      <w:r w:rsidR="00C52303">
        <w:t>US $</w:t>
      </w:r>
      <w:r>
        <w:t xml:space="preserve">6,000 to </w:t>
      </w:r>
      <w:r w:rsidR="00C52303">
        <w:t>US $</w:t>
      </w:r>
      <w:r>
        <w:t xml:space="preserve">12,000 per enterprise); </w:t>
      </w:r>
      <w:r w:rsidRPr="00411D58">
        <w:t>plant safety</w:t>
      </w:r>
      <w:r>
        <w:t xml:space="preserve"> measures,</w:t>
      </w:r>
      <w:r w:rsidRPr="00411D58">
        <w:t xml:space="preserve"> </w:t>
      </w:r>
      <w:r>
        <w:t xml:space="preserve">including </w:t>
      </w:r>
      <w:r w:rsidRPr="00411D58">
        <w:t xml:space="preserve">ventilation, gas sensors, </w:t>
      </w:r>
      <w:r>
        <w:t xml:space="preserve">a </w:t>
      </w:r>
      <w:r w:rsidRPr="00411D58">
        <w:t>fir</w:t>
      </w:r>
      <w:r w:rsidR="00587F13">
        <w:t>e</w:t>
      </w:r>
      <w:r w:rsidR="008E3BC4">
        <w:noBreakHyphen/>
      </w:r>
      <w:r w:rsidRPr="00411D58">
        <w:t>protection system, antistatic floor</w:t>
      </w:r>
      <w:r>
        <w:t>s and civil works (</w:t>
      </w:r>
      <w:r w:rsidR="00C52303">
        <w:t>US $</w:t>
      </w:r>
      <w:r>
        <w:t xml:space="preserve">32,000 per enterprise); </w:t>
      </w:r>
      <w:r w:rsidRPr="00411D58">
        <w:t xml:space="preserve">trials and </w:t>
      </w:r>
      <w:r>
        <w:t>tests (</w:t>
      </w:r>
      <w:r w:rsidR="00C52303">
        <w:t>US $</w:t>
      </w:r>
      <w:r w:rsidRPr="00411D58">
        <w:t>5,000)</w:t>
      </w:r>
      <w:r>
        <w:t>, and project management (</w:t>
      </w:r>
      <w:r w:rsidR="00C52303">
        <w:t>US $</w:t>
      </w:r>
      <w:r>
        <w:t xml:space="preserve">1,000 to </w:t>
      </w:r>
      <w:r w:rsidR="00C52303">
        <w:t>US $</w:t>
      </w:r>
      <w:r>
        <w:t>2,000 per enterprise). The conversion to HFO and water</w:t>
      </w:r>
      <w:r w:rsidR="00587F13">
        <w:t>-</w:t>
      </w:r>
      <w:r>
        <w:t>blown technologies includes: the retrofit of foam dispensers (</w:t>
      </w:r>
      <w:r w:rsidR="00C52303">
        <w:t>US $</w:t>
      </w:r>
      <w:r>
        <w:t xml:space="preserve">15,000 to </w:t>
      </w:r>
      <w:r w:rsidR="00C52303">
        <w:t>US $</w:t>
      </w:r>
      <w:r>
        <w:t xml:space="preserve">30,000 per enterprise); formulation development (between </w:t>
      </w:r>
      <w:r w:rsidR="00C52303">
        <w:t>US $</w:t>
      </w:r>
      <w:r>
        <w:t xml:space="preserve">5,000 and </w:t>
      </w:r>
      <w:r w:rsidR="00C52303">
        <w:t>US $</w:t>
      </w:r>
      <w:r>
        <w:t>20,000); and trials and tests (</w:t>
      </w:r>
      <w:r w:rsidR="00C52303">
        <w:t>US $</w:t>
      </w:r>
      <w:r w:rsidRPr="0030064E">
        <w:t>5,000)</w:t>
      </w:r>
      <w:r w:rsidRPr="00411D58">
        <w:t xml:space="preserve">. Contingencies </w:t>
      </w:r>
      <w:r>
        <w:t>have been</w:t>
      </w:r>
      <w:r w:rsidRPr="00411D58">
        <w:t xml:space="preserve"> calculated at 10 per cent of the capital cost</w:t>
      </w:r>
      <w:r>
        <w:t>s</w:t>
      </w:r>
      <w:r w:rsidRPr="00411D58">
        <w:t>.</w:t>
      </w:r>
    </w:p>
    <w:p w:rsidR="00624407" w:rsidRDefault="00624407" w:rsidP="00624407">
      <w:pPr>
        <w:pStyle w:val="Heading1"/>
        <w:tabs>
          <w:tab w:val="clear" w:pos="142"/>
          <w:tab w:val="num" w:pos="0"/>
        </w:tabs>
        <w:ind w:left="0"/>
      </w:pPr>
      <w:r>
        <w:t xml:space="preserve">A technical assistance component has been included at a total cost of </w:t>
      </w:r>
      <w:r w:rsidR="00C52303">
        <w:t>US $</w:t>
      </w:r>
      <w:r>
        <w:t>33,000 and is focused on assisting the SMEs in introducing pre-blended HCs in several applications, including spray foam, or water for other applications where insulation properties are not critical.</w:t>
      </w:r>
    </w:p>
    <w:p w:rsidR="00624407" w:rsidRPr="00C32CFD" w:rsidRDefault="00624407" w:rsidP="00624407">
      <w:pPr>
        <w:pStyle w:val="Heading1"/>
        <w:tabs>
          <w:tab w:val="clear" w:pos="142"/>
          <w:tab w:val="num" w:pos="0"/>
        </w:tabs>
        <w:ind w:left="0"/>
      </w:pPr>
      <w:r>
        <w:t>I</w:t>
      </w:r>
      <w:r w:rsidRPr="00411D58">
        <w:t>ncremental operating cost</w:t>
      </w:r>
      <w:r>
        <w:t>s</w:t>
      </w:r>
      <w:r w:rsidRPr="00411D58">
        <w:t xml:space="preserve"> </w:t>
      </w:r>
      <w:r>
        <w:t>(IOCs</w:t>
      </w:r>
      <w:r w:rsidRPr="00C32CFD">
        <w:t>) have been requested only for one enterprise (</w:t>
      </w:r>
      <w:proofErr w:type="spellStart"/>
      <w:r w:rsidRPr="00C32CFD">
        <w:t>Mafrico</w:t>
      </w:r>
      <w:proofErr w:type="spellEnd"/>
      <w:r w:rsidRPr="00C32CFD">
        <w:t xml:space="preserve">) which is being converted to HFO, and have been calculated on the basis of the difference between the blowing </w:t>
      </w:r>
      <w:proofErr w:type="gramStart"/>
      <w:r w:rsidRPr="00C32CFD">
        <w:t>agents</w:t>
      </w:r>
      <w:proofErr w:type="gramEnd"/>
      <w:r w:rsidRPr="00C32CFD">
        <w:t xml:space="preserve"> formulations. No IOCs are being requested for the other enterprises.</w:t>
      </w:r>
    </w:p>
    <w:p w:rsidR="00624407" w:rsidRPr="00C32CFD" w:rsidRDefault="00624407" w:rsidP="00624407">
      <w:pPr>
        <w:pStyle w:val="Heading1"/>
        <w:tabs>
          <w:tab w:val="clear" w:pos="142"/>
          <w:tab w:val="num" w:pos="0"/>
        </w:tabs>
        <w:ind w:left="0"/>
        <w:rPr>
          <w:lang w:val="en-CA"/>
        </w:rPr>
      </w:pPr>
      <w:r w:rsidRPr="00C32CFD">
        <w:t xml:space="preserve">The total incremental costs of the conversion of the PU foam sector </w:t>
      </w:r>
      <w:r w:rsidRPr="00C32CFD">
        <w:rPr>
          <w:lang w:val="en-CA"/>
        </w:rPr>
        <w:t xml:space="preserve">amount to </w:t>
      </w:r>
      <w:r w:rsidR="00C52303">
        <w:rPr>
          <w:lang w:val="en-CA"/>
        </w:rPr>
        <w:t>US $</w:t>
      </w:r>
      <w:r w:rsidRPr="00C32CFD">
        <w:rPr>
          <w:lang w:val="en-CA"/>
        </w:rPr>
        <w:t xml:space="preserve">746,605, as originally submitted. In line with decisions 61/47 and 63/15, a total of </w:t>
      </w:r>
      <w:r w:rsidR="00C52303">
        <w:rPr>
          <w:lang w:val="en-CA"/>
        </w:rPr>
        <w:t>US $</w:t>
      </w:r>
      <w:r w:rsidR="007C263C">
        <w:rPr>
          <w:lang w:val="en-CA"/>
        </w:rPr>
        <w:t>507,</w:t>
      </w:r>
      <w:r w:rsidRPr="00C32CFD">
        <w:rPr>
          <w:lang w:val="en-CA"/>
        </w:rPr>
        <w:t>871 is being requested at a cost</w:t>
      </w:r>
      <w:r w:rsidRPr="00C32CFD">
        <w:rPr>
          <w:lang w:val="en-CA"/>
        </w:rPr>
        <w:noBreakHyphen/>
        <w:t xml:space="preserve">effectiveness of </w:t>
      </w:r>
      <w:r w:rsidR="00C52303">
        <w:rPr>
          <w:lang w:val="en-CA"/>
        </w:rPr>
        <w:t>US $</w:t>
      </w:r>
      <w:r w:rsidRPr="00C32CFD">
        <w:rPr>
          <w:lang w:val="en-CA"/>
        </w:rPr>
        <w:t xml:space="preserve">9.79/kg, as shown in Table </w:t>
      </w:r>
      <w:r w:rsidRPr="007C263C">
        <w:rPr>
          <w:lang w:val="en-CA"/>
        </w:rPr>
        <w:t>3.</w:t>
      </w:r>
      <w:r w:rsidR="00C52303" w:rsidRPr="007C263C">
        <w:rPr>
          <w:lang w:val="en-CA"/>
        </w:rPr>
        <w:t xml:space="preserve"> The project will be implemented in 24 months.</w:t>
      </w:r>
    </w:p>
    <w:p w:rsidR="00624407" w:rsidRPr="005F0D0F" w:rsidRDefault="00624407" w:rsidP="00624407">
      <w:pPr>
        <w:rPr>
          <w:b/>
          <w:lang w:val="en-CA"/>
        </w:rPr>
      </w:pPr>
      <w:r w:rsidRPr="00C32CFD">
        <w:rPr>
          <w:b/>
          <w:lang w:val="en-CA"/>
        </w:rPr>
        <w:t>Table 3. Incremental costs of the conversion of the PU foam sector in Ecuador</w:t>
      </w:r>
    </w:p>
    <w:tbl>
      <w:tblPr>
        <w:tblW w:w="5000" w:type="pct"/>
        <w:tblLook w:val="04A0" w:firstRow="1" w:lastRow="0" w:firstColumn="1" w:lastColumn="0" w:noHBand="0" w:noVBand="1"/>
      </w:tblPr>
      <w:tblGrid>
        <w:gridCol w:w="2612"/>
        <w:gridCol w:w="1348"/>
        <w:gridCol w:w="1348"/>
        <w:gridCol w:w="1348"/>
        <w:gridCol w:w="1348"/>
        <w:gridCol w:w="1346"/>
      </w:tblGrid>
      <w:tr w:rsidR="00624407" w:rsidRPr="008B2F47" w:rsidTr="007C263C">
        <w:tc>
          <w:tcPr>
            <w:tcW w:w="1396" w:type="pct"/>
            <w:vMerge w:val="restart"/>
            <w:tcBorders>
              <w:top w:val="single" w:sz="4" w:space="0" w:color="auto"/>
              <w:left w:val="single" w:sz="4" w:space="0" w:color="auto"/>
              <w:right w:val="single" w:sz="4" w:space="0" w:color="auto"/>
            </w:tcBorders>
            <w:shd w:val="clear" w:color="auto" w:fill="auto"/>
            <w:noWrap/>
            <w:vAlign w:val="center"/>
            <w:hideMark/>
          </w:tcPr>
          <w:p w:rsidR="00624407" w:rsidRPr="008B2F47" w:rsidRDefault="00624407" w:rsidP="00C52303">
            <w:pPr>
              <w:jc w:val="left"/>
              <w:rPr>
                <w:b/>
                <w:bCs/>
                <w:color w:val="000000"/>
                <w:sz w:val="20"/>
                <w:szCs w:val="20"/>
                <w:lang w:val="en-US"/>
              </w:rPr>
            </w:pPr>
            <w:r>
              <w:rPr>
                <w:b/>
                <w:bCs/>
                <w:color w:val="000000"/>
                <w:sz w:val="20"/>
                <w:szCs w:val="20"/>
                <w:lang w:val="en-US"/>
              </w:rPr>
              <w:t>Enterprise</w:t>
            </w:r>
          </w:p>
        </w:tc>
        <w:tc>
          <w:tcPr>
            <w:tcW w:w="1442" w:type="pct"/>
            <w:gridSpan w:val="2"/>
            <w:tcBorders>
              <w:top w:val="single" w:sz="4" w:space="0" w:color="auto"/>
              <w:left w:val="nil"/>
              <w:bottom w:val="single" w:sz="4" w:space="0" w:color="auto"/>
              <w:right w:val="single" w:sz="4" w:space="0" w:color="auto"/>
            </w:tcBorders>
            <w:vAlign w:val="center"/>
          </w:tcPr>
          <w:p w:rsidR="00624407" w:rsidRPr="008B2F47" w:rsidRDefault="00624407" w:rsidP="00C52303">
            <w:pPr>
              <w:jc w:val="center"/>
              <w:rPr>
                <w:b/>
                <w:bCs/>
                <w:color w:val="000000"/>
                <w:sz w:val="20"/>
                <w:szCs w:val="20"/>
                <w:lang w:val="en-US"/>
              </w:rPr>
            </w:pPr>
            <w:r>
              <w:rPr>
                <w:b/>
                <w:bCs/>
                <w:color w:val="000000"/>
                <w:sz w:val="20"/>
                <w:szCs w:val="20"/>
                <w:lang w:val="en-US"/>
              </w:rPr>
              <w:t>Consumption (</w:t>
            </w:r>
            <w:proofErr w:type="spellStart"/>
            <w:r>
              <w:rPr>
                <w:b/>
                <w:bCs/>
                <w:color w:val="000000"/>
                <w:sz w:val="20"/>
                <w:szCs w:val="20"/>
                <w:lang w:val="en-US"/>
              </w:rPr>
              <w:t>mt</w:t>
            </w:r>
            <w:proofErr w:type="spellEnd"/>
            <w:r>
              <w:rPr>
                <w:b/>
                <w:bCs/>
                <w:color w:val="000000"/>
                <w:sz w:val="20"/>
                <w:szCs w:val="20"/>
                <w:lang w:val="en-US"/>
              </w:rPr>
              <w:t>)</w:t>
            </w:r>
          </w:p>
        </w:tc>
        <w:tc>
          <w:tcPr>
            <w:tcW w:w="721" w:type="pct"/>
            <w:vMerge w:val="restart"/>
            <w:tcBorders>
              <w:top w:val="single" w:sz="4" w:space="0" w:color="auto"/>
              <w:left w:val="nil"/>
              <w:right w:val="single" w:sz="4" w:space="0" w:color="auto"/>
            </w:tcBorders>
            <w:shd w:val="clear" w:color="auto" w:fill="auto"/>
            <w:noWrap/>
            <w:vAlign w:val="center"/>
            <w:hideMark/>
          </w:tcPr>
          <w:p w:rsidR="00624407" w:rsidRPr="008B2F47" w:rsidRDefault="00624407" w:rsidP="00C52303">
            <w:pPr>
              <w:jc w:val="center"/>
              <w:rPr>
                <w:b/>
                <w:bCs/>
                <w:color w:val="000000"/>
                <w:sz w:val="20"/>
                <w:szCs w:val="20"/>
                <w:lang w:val="en-US"/>
              </w:rPr>
            </w:pPr>
            <w:r w:rsidRPr="008B2F47">
              <w:rPr>
                <w:b/>
                <w:bCs/>
                <w:color w:val="000000"/>
                <w:sz w:val="20"/>
                <w:szCs w:val="20"/>
                <w:lang w:val="en-US"/>
              </w:rPr>
              <w:t>ICC</w:t>
            </w:r>
            <w:r>
              <w:rPr>
                <w:b/>
                <w:bCs/>
                <w:color w:val="000000"/>
                <w:sz w:val="20"/>
                <w:szCs w:val="20"/>
                <w:lang w:val="en-US"/>
              </w:rPr>
              <w:t xml:space="preserve"> (</w:t>
            </w:r>
            <w:r w:rsidR="00C52303">
              <w:rPr>
                <w:b/>
                <w:bCs/>
                <w:color w:val="000000"/>
                <w:sz w:val="20"/>
                <w:szCs w:val="20"/>
                <w:lang w:val="en-US"/>
              </w:rPr>
              <w:t>US $</w:t>
            </w:r>
            <w:r>
              <w:rPr>
                <w:b/>
                <w:bCs/>
                <w:color w:val="000000"/>
                <w:sz w:val="20"/>
                <w:szCs w:val="20"/>
                <w:lang w:val="en-US"/>
              </w:rPr>
              <w:t>)</w:t>
            </w:r>
          </w:p>
        </w:tc>
        <w:tc>
          <w:tcPr>
            <w:tcW w:w="721" w:type="pct"/>
            <w:vMerge w:val="restart"/>
            <w:tcBorders>
              <w:top w:val="single" w:sz="4" w:space="0" w:color="auto"/>
              <w:left w:val="nil"/>
              <w:right w:val="single" w:sz="4" w:space="0" w:color="auto"/>
            </w:tcBorders>
            <w:shd w:val="clear" w:color="auto" w:fill="auto"/>
            <w:vAlign w:val="center"/>
            <w:hideMark/>
          </w:tcPr>
          <w:p w:rsidR="00624407" w:rsidRPr="008B2F47" w:rsidRDefault="00624407" w:rsidP="00C52303">
            <w:pPr>
              <w:jc w:val="center"/>
              <w:rPr>
                <w:b/>
                <w:bCs/>
                <w:color w:val="000000"/>
                <w:sz w:val="20"/>
                <w:szCs w:val="20"/>
                <w:lang w:val="en-US"/>
              </w:rPr>
            </w:pPr>
            <w:r w:rsidRPr="008B2F47">
              <w:rPr>
                <w:b/>
                <w:bCs/>
                <w:color w:val="000000"/>
                <w:sz w:val="20"/>
                <w:szCs w:val="20"/>
                <w:lang w:val="en-US"/>
              </w:rPr>
              <w:t>IOC</w:t>
            </w:r>
            <w:r>
              <w:rPr>
                <w:b/>
                <w:bCs/>
                <w:color w:val="000000"/>
                <w:sz w:val="20"/>
                <w:szCs w:val="20"/>
                <w:lang w:val="en-US"/>
              </w:rPr>
              <w:t xml:space="preserve"> (</w:t>
            </w:r>
            <w:r w:rsidR="00C52303">
              <w:rPr>
                <w:b/>
                <w:bCs/>
                <w:color w:val="000000"/>
                <w:sz w:val="20"/>
                <w:szCs w:val="20"/>
                <w:lang w:val="en-US"/>
              </w:rPr>
              <w:t>US $</w:t>
            </w:r>
            <w:r>
              <w:rPr>
                <w:b/>
                <w:bCs/>
                <w:color w:val="000000"/>
                <w:sz w:val="20"/>
                <w:szCs w:val="20"/>
                <w:lang w:val="en-US"/>
              </w:rPr>
              <w:t>)</w:t>
            </w:r>
          </w:p>
        </w:tc>
        <w:tc>
          <w:tcPr>
            <w:tcW w:w="721" w:type="pct"/>
            <w:vMerge w:val="restart"/>
            <w:tcBorders>
              <w:top w:val="single" w:sz="4" w:space="0" w:color="auto"/>
              <w:left w:val="nil"/>
              <w:right w:val="single" w:sz="4" w:space="0" w:color="auto"/>
            </w:tcBorders>
            <w:shd w:val="clear" w:color="auto" w:fill="auto"/>
            <w:vAlign w:val="center"/>
            <w:hideMark/>
          </w:tcPr>
          <w:p w:rsidR="00624407" w:rsidRPr="008B2F47" w:rsidRDefault="00624407" w:rsidP="00C52303">
            <w:pPr>
              <w:jc w:val="center"/>
              <w:rPr>
                <w:b/>
                <w:bCs/>
                <w:color w:val="000000"/>
                <w:sz w:val="20"/>
                <w:szCs w:val="20"/>
                <w:lang w:val="en-US"/>
              </w:rPr>
            </w:pPr>
            <w:r w:rsidRPr="008B2F47">
              <w:rPr>
                <w:b/>
                <w:bCs/>
                <w:color w:val="000000"/>
                <w:sz w:val="20"/>
                <w:szCs w:val="20"/>
                <w:lang w:val="en-US"/>
              </w:rPr>
              <w:t>Total</w:t>
            </w:r>
            <w:r>
              <w:rPr>
                <w:b/>
                <w:bCs/>
                <w:color w:val="000000"/>
                <w:sz w:val="20"/>
                <w:szCs w:val="20"/>
                <w:lang w:val="en-US"/>
              </w:rPr>
              <w:t xml:space="preserve"> cost (</w:t>
            </w:r>
            <w:r w:rsidR="00C52303">
              <w:rPr>
                <w:b/>
                <w:bCs/>
                <w:color w:val="000000"/>
                <w:sz w:val="20"/>
                <w:szCs w:val="20"/>
                <w:lang w:val="en-US"/>
              </w:rPr>
              <w:t>US $</w:t>
            </w:r>
            <w:r>
              <w:rPr>
                <w:b/>
                <w:bCs/>
                <w:color w:val="000000"/>
                <w:sz w:val="20"/>
                <w:szCs w:val="20"/>
                <w:lang w:val="en-US"/>
              </w:rPr>
              <w:t>)</w:t>
            </w:r>
          </w:p>
        </w:tc>
      </w:tr>
      <w:tr w:rsidR="00624407" w:rsidRPr="008B2F47" w:rsidTr="007C263C">
        <w:tc>
          <w:tcPr>
            <w:tcW w:w="1396" w:type="pct"/>
            <w:vMerge/>
            <w:tcBorders>
              <w:left w:val="single" w:sz="4" w:space="0" w:color="auto"/>
              <w:bottom w:val="single" w:sz="4" w:space="0" w:color="auto"/>
              <w:right w:val="single" w:sz="4" w:space="0" w:color="auto"/>
            </w:tcBorders>
            <w:shd w:val="clear" w:color="auto" w:fill="auto"/>
            <w:noWrap/>
          </w:tcPr>
          <w:p w:rsidR="00624407" w:rsidRDefault="00624407" w:rsidP="00624407">
            <w:pPr>
              <w:jc w:val="center"/>
              <w:rPr>
                <w:b/>
                <w:bCs/>
                <w:color w:val="000000"/>
                <w:sz w:val="20"/>
                <w:szCs w:val="20"/>
                <w:lang w:val="en-US"/>
              </w:rPr>
            </w:pPr>
          </w:p>
        </w:tc>
        <w:tc>
          <w:tcPr>
            <w:tcW w:w="721" w:type="pct"/>
            <w:tcBorders>
              <w:top w:val="single" w:sz="4" w:space="0" w:color="auto"/>
              <w:left w:val="nil"/>
              <w:bottom w:val="single" w:sz="4" w:space="0" w:color="auto"/>
              <w:right w:val="single" w:sz="4" w:space="0" w:color="auto"/>
            </w:tcBorders>
          </w:tcPr>
          <w:p w:rsidR="00624407" w:rsidRDefault="00624407" w:rsidP="00624407">
            <w:pPr>
              <w:jc w:val="center"/>
              <w:rPr>
                <w:b/>
                <w:bCs/>
                <w:color w:val="000000"/>
                <w:sz w:val="20"/>
                <w:szCs w:val="20"/>
                <w:lang w:val="en-US"/>
              </w:rPr>
            </w:pPr>
            <w:r>
              <w:rPr>
                <w:b/>
                <w:bCs/>
                <w:color w:val="000000"/>
                <w:sz w:val="20"/>
                <w:szCs w:val="20"/>
                <w:lang w:val="en-US"/>
              </w:rPr>
              <w:t>Total</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624407" w:rsidRDefault="00624407" w:rsidP="00624407">
            <w:pPr>
              <w:jc w:val="center"/>
              <w:rPr>
                <w:b/>
                <w:bCs/>
                <w:color w:val="000000"/>
                <w:sz w:val="20"/>
                <w:szCs w:val="20"/>
                <w:lang w:val="en-US"/>
              </w:rPr>
            </w:pPr>
            <w:r>
              <w:rPr>
                <w:b/>
                <w:bCs/>
                <w:color w:val="000000"/>
                <w:sz w:val="20"/>
                <w:szCs w:val="20"/>
                <w:lang w:val="en-US"/>
              </w:rPr>
              <w:t>Eligible*</w:t>
            </w:r>
          </w:p>
        </w:tc>
        <w:tc>
          <w:tcPr>
            <w:tcW w:w="721" w:type="pct"/>
            <w:vMerge/>
            <w:tcBorders>
              <w:left w:val="nil"/>
              <w:bottom w:val="single" w:sz="4" w:space="0" w:color="auto"/>
              <w:right w:val="single" w:sz="4" w:space="0" w:color="auto"/>
            </w:tcBorders>
            <w:shd w:val="clear" w:color="auto" w:fill="auto"/>
            <w:noWrap/>
          </w:tcPr>
          <w:p w:rsidR="00624407" w:rsidRPr="008B2F47" w:rsidRDefault="00624407" w:rsidP="00624407">
            <w:pPr>
              <w:jc w:val="center"/>
              <w:rPr>
                <w:b/>
                <w:bCs/>
                <w:color w:val="000000"/>
                <w:sz w:val="20"/>
                <w:szCs w:val="20"/>
                <w:lang w:val="en-US"/>
              </w:rPr>
            </w:pPr>
          </w:p>
        </w:tc>
        <w:tc>
          <w:tcPr>
            <w:tcW w:w="721" w:type="pct"/>
            <w:vMerge/>
            <w:tcBorders>
              <w:left w:val="nil"/>
              <w:bottom w:val="single" w:sz="4" w:space="0" w:color="auto"/>
              <w:right w:val="single" w:sz="4" w:space="0" w:color="auto"/>
            </w:tcBorders>
            <w:shd w:val="clear" w:color="auto" w:fill="auto"/>
          </w:tcPr>
          <w:p w:rsidR="00624407" w:rsidRPr="008B2F47" w:rsidRDefault="00624407" w:rsidP="00624407">
            <w:pPr>
              <w:jc w:val="center"/>
              <w:rPr>
                <w:b/>
                <w:bCs/>
                <w:color w:val="000000"/>
                <w:sz w:val="20"/>
                <w:szCs w:val="20"/>
                <w:lang w:val="en-US"/>
              </w:rPr>
            </w:pPr>
          </w:p>
        </w:tc>
        <w:tc>
          <w:tcPr>
            <w:tcW w:w="721" w:type="pct"/>
            <w:vMerge/>
            <w:tcBorders>
              <w:left w:val="nil"/>
              <w:bottom w:val="single" w:sz="4" w:space="0" w:color="auto"/>
              <w:right w:val="single" w:sz="4" w:space="0" w:color="auto"/>
            </w:tcBorders>
            <w:shd w:val="clear" w:color="auto" w:fill="auto"/>
          </w:tcPr>
          <w:p w:rsidR="00624407" w:rsidRPr="008B2F47" w:rsidRDefault="00624407" w:rsidP="00624407">
            <w:pPr>
              <w:jc w:val="center"/>
              <w:rPr>
                <w:b/>
                <w:bCs/>
                <w:color w:val="000000"/>
                <w:sz w:val="20"/>
                <w:szCs w:val="20"/>
                <w:lang w:val="en-US"/>
              </w:rPr>
            </w:pPr>
          </w:p>
        </w:tc>
      </w:tr>
      <w:tr w:rsidR="00624407" w:rsidRPr="008B2F47"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n-US"/>
              </w:rPr>
            </w:pPr>
            <w:proofErr w:type="spellStart"/>
            <w:r w:rsidRPr="008E3BC4">
              <w:rPr>
                <w:color w:val="000000"/>
                <w:sz w:val="20"/>
                <w:szCs w:val="20"/>
                <w:lang w:val="en-US"/>
              </w:rPr>
              <w:t>Cepolfi</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n-US"/>
              </w:rPr>
            </w:pPr>
            <w:r w:rsidRPr="008E3BC4">
              <w:rPr>
                <w:color w:val="000000"/>
                <w:sz w:val="20"/>
                <w:szCs w:val="20"/>
                <w:lang w:val="en-US"/>
              </w:rPr>
              <w:t>0.00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0.00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28,600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28,600</w:t>
            </w:r>
          </w:p>
        </w:tc>
      </w:tr>
      <w:tr w:rsidR="00624407" w:rsidRPr="008B2F47"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n-US"/>
              </w:rPr>
            </w:pPr>
            <w:proofErr w:type="spellStart"/>
            <w:r w:rsidRPr="008E3BC4">
              <w:rPr>
                <w:color w:val="000000"/>
                <w:sz w:val="20"/>
                <w:szCs w:val="20"/>
                <w:lang w:val="en-US"/>
              </w:rPr>
              <w:t>Chova</w:t>
            </w:r>
            <w:proofErr w:type="spellEnd"/>
            <w:r w:rsidRPr="008E3BC4">
              <w:rPr>
                <w:color w:val="000000"/>
                <w:sz w:val="20"/>
                <w:szCs w:val="20"/>
                <w:lang w:val="en-US"/>
              </w:rPr>
              <w:t xml:space="preserve"> del Ecuador</w:t>
            </w:r>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n-US"/>
              </w:rPr>
            </w:pPr>
            <w:r w:rsidRPr="008E3BC4">
              <w:rPr>
                <w:color w:val="000000"/>
                <w:sz w:val="20"/>
                <w:szCs w:val="20"/>
                <w:lang w:val="en-US"/>
              </w:rPr>
              <w:t>0.10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0.10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23,100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23,100</w:t>
            </w:r>
          </w:p>
        </w:tc>
      </w:tr>
      <w:tr w:rsidR="00624407" w:rsidRPr="008B2F47" w:rsidTr="007C263C">
        <w:tc>
          <w:tcPr>
            <w:tcW w:w="1396" w:type="pct"/>
            <w:tcBorders>
              <w:top w:val="nil"/>
              <w:left w:val="single" w:sz="4" w:space="0" w:color="auto"/>
              <w:bottom w:val="single" w:sz="4" w:space="0" w:color="auto"/>
              <w:right w:val="single" w:sz="4" w:space="0" w:color="auto"/>
            </w:tcBorders>
            <w:shd w:val="clear" w:color="auto" w:fill="auto"/>
            <w:noWrap/>
            <w:vAlign w:val="center"/>
            <w:hideMark/>
          </w:tcPr>
          <w:p w:rsidR="00624407" w:rsidRPr="008E3BC4" w:rsidRDefault="00624407" w:rsidP="00624407">
            <w:pPr>
              <w:jc w:val="left"/>
              <w:rPr>
                <w:color w:val="000000"/>
                <w:sz w:val="20"/>
                <w:szCs w:val="20"/>
                <w:lang w:val="en-US"/>
              </w:rPr>
            </w:pPr>
            <w:proofErr w:type="spellStart"/>
            <w:r w:rsidRPr="008E3BC4">
              <w:rPr>
                <w:color w:val="000000"/>
                <w:sz w:val="20"/>
                <w:szCs w:val="20"/>
                <w:lang w:val="en-US"/>
              </w:rPr>
              <w:t>Ecasa</w:t>
            </w:r>
            <w:proofErr w:type="spellEnd"/>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n-US"/>
              </w:rPr>
            </w:pPr>
            <w:r w:rsidRPr="008E3BC4">
              <w:rPr>
                <w:color w:val="000000"/>
                <w:sz w:val="20"/>
                <w:szCs w:val="20"/>
                <w:lang w:val="en-US"/>
              </w:rPr>
              <w:t>6.60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6.60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66,000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66,000</w:t>
            </w:r>
          </w:p>
        </w:tc>
      </w:tr>
      <w:tr w:rsidR="00624407" w:rsidRPr="008B2F47"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n-US"/>
              </w:rPr>
            </w:pPr>
            <w:proofErr w:type="spellStart"/>
            <w:r w:rsidRPr="008E3BC4">
              <w:rPr>
                <w:color w:val="000000"/>
                <w:sz w:val="20"/>
                <w:szCs w:val="20"/>
                <w:lang w:val="en-US"/>
              </w:rPr>
              <w:t>Elasto</w:t>
            </w:r>
            <w:proofErr w:type="spellEnd"/>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n-US"/>
              </w:rPr>
            </w:pPr>
            <w:r w:rsidRPr="008E3BC4">
              <w:rPr>
                <w:color w:val="000000"/>
                <w:sz w:val="20"/>
                <w:szCs w:val="20"/>
                <w:lang w:val="en-US"/>
              </w:rPr>
              <w:t>0.10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0.10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28,600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28,600</w:t>
            </w:r>
          </w:p>
        </w:tc>
      </w:tr>
      <w:tr w:rsidR="00624407" w:rsidRPr="008B2F47"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n-US"/>
              </w:rPr>
            </w:pPr>
            <w:proofErr w:type="spellStart"/>
            <w:r w:rsidRPr="008E3BC4">
              <w:rPr>
                <w:color w:val="000000"/>
                <w:sz w:val="20"/>
                <w:szCs w:val="20"/>
                <w:lang w:val="en-US"/>
              </w:rPr>
              <w:t>Fibroacero</w:t>
            </w:r>
            <w:proofErr w:type="spellEnd"/>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n-US"/>
              </w:rPr>
            </w:pPr>
            <w:r w:rsidRPr="008E3BC4">
              <w:rPr>
                <w:color w:val="000000"/>
                <w:sz w:val="20"/>
                <w:szCs w:val="20"/>
                <w:lang w:val="en-US"/>
              </w:rPr>
              <w:t>0.10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0.10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64,900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64,900</w:t>
            </w:r>
          </w:p>
        </w:tc>
      </w:tr>
      <w:tr w:rsidR="00624407" w:rsidRPr="008B2F47"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n-US"/>
              </w:rPr>
            </w:pPr>
            <w:proofErr w:type="spellStart"/>
            <w:r w:rsidRPr="008E3BC4">
              <w:rPr>
                <w:color w:val="000000"/>
                <w:sz w:val="20"/>
                <w:szCs w:val="20"/>
                <w:lang w:val="en-US"/>
              </w:rPr>
              <w:t>Infri</w:t>
            </w:r>
            <w:proofErr w:type="spellEnd"/>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n-US"/>
              </w:rPr>
            </w:pPr>
            <w:r w:rsidRPr="008E3BC4">
              <w:rPr>
                <w:color w:val="000000"/>
                <w:sz w:val="20"/>
                <w:szCs w:val="20"/>
                <w:lang w:val="en-US"/>
              </w:rPr>
              <w:t>4.40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4.40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66,000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66,000</w:t>
            </w:r>
          </w:p>
        </w:tc>
      </w:tr>
      <w:tr w:rsidR="00624407" w:rsidRPr="0007460B"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n-US"/>
              </w:rPr>
            </w:pPr>
            <w:proofErr w:type="spellStart"/>
            <w:r w:rsidRPr="008E3BC4">
              <w:rPr>
                <w:color w:val="000000"/>
                <w:sz w:val="20"/>
                <w:szCs w:val="20"/>
                <w:lang w:val="en-US"/>
              </w:rPr>
              <w:t>Kubiec</w:t>
            </w:r>
            <w:proofErr w:type="spellEnd"/>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s-CO"/>
              </w:rPr>
            </w:pPr>
            <w:r w:rsidRPr="008E3BC4">
              <w:rPr>
                <w:color w:val="000000"/>
                <w:sz w:val="20"/>
                <w:szCs w:val="20"/>
                <w:lang w:val="es-CO"/>
              </w:rPr>
              <w:t>54.60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s-CO"/>
              </w:rPr>
            </w:pPr>
            <w:r w:rsidRPr="008E3BC4">
              <w:rPr>
                <w:color w:val="000000"/>
                <w:sz w:val="20"/>
                <w:szCs w:val="20"/>
                <w:lang w:val="es-CO"/>
              </w:rPr>
              <w:t>13.65</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s-CO"/>
              </w:rPr>
            </w:pPr>
            <w:r w:rsidRPr="008E3BC4">
              <w:rPr>
                <w:color w:val="000000"/>
                <w:sz w:val="20"/>
                <w:szCs w:val="20"/>
                <w:lang w:val="es-CO"/>
              </w:rPr>
              <w:t>72,600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07460B" w:rsidRDefault="00624407" w:rsidP="00624407">
            <w:pPr>
              <w:jc w:val="right"/>
              <w:rPr>
                <w:color w:val="000000"/>
                <w:sz w:val="20"/>
                <w:szCs w:val="20"/>
                <w:lang w:val="es-CO"/>
              </w:rPr>
            </w:pPr>
            <w:r w:rsidRPr="0007460B">
              <w:rPr>
                <w:color w:val="000000"/>
                <w:sz w:val="20"/>
                <w:szCs w:val="20"/>
                <w:lang w:val="es-CO"/>
              </w:rPr>
              <w:t>-</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07460B" w:rsidRDefault="00624407" w:rsidP="00624407">
            <w:pPr>
              <w:jc w:val="right"/>
              <w:rPr>
                <w:color w:val="000000"/>
                <w:sz w:val="20"/>
                <w:szCs w:val="20"/>
                <w:lang w:val="es-CO"/>
              </w:rPr>
            </w:pPr>
            <w:r w:rsidRPr="0007460B">
              <w:rPr>
                <w:color w:val="000000"/>
                <w:sz w:val="20"/>
                <w:szCs w:val="20"/>
                <w:lang w:val="es-CO"/>
              </w:rPr>
              <w:t>72,600</w:t>
            </w:r>
          </w:p>
        </w:tc>
      </w:tr>
      <w:tr w:rsidR="00624407" w:rsidRPr="0007460B"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s-CO"/>
              </w:rPr>
            </w:pPr>
            <w:proofErr w:type="spellStart"/>
            <w:r w:rsidRPr="008E3BC4">
              <w:rPr>
                <w:color w:val="000000"/>
                <w:sz w:val="20"/>
                <w:szCs w:val="20"/>
                <w:lang w:val="es-CO"/>
              </w:rPr>
              <w:t>Mafrico</w:t>
            </w:r>
            <w:proofErr w:type="spellEnd"/>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s-CO"/>
              </w:rPr>
            </w:pPr>
            <w:r w:rsidRPr="008E3BC4">
              <w:rPr>
                <w:color w:val="000000"/>
                <w:sz w:val="20"/>
                <w:szCs w:val="20"/>
                <w:lang w:val="es-CO"/>
              </w:rPr>
              <w:t>51.60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s-CO"/>
              </w:rPr>
            </w:pPr>
            <w:r w:rsidRPr="008E3BC4">
              <w:rPr>
                <w:color w:val="000000"/>
                <w:sz w:val="20"/>
                <w:szCs w:val="20"/>
                <w:lang w:val="es-CO"/>
              </w:rPr>
              <w:t>19.61</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s-CO"/>
              </w:rPr>
            </w:pPr>
            <w:r w:rsidRPr="008E3BC4">
              <w:rPr>
                <w:color w:val="000000"/>
                <w:sz w:val="20"/>
                <w:szCs w:val="20"/>
                <w:lang w:val="es-CO"/>
              </w:rPr>
              <w:t>57,200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07460B" w:rsidRDefault="00624407" w:rsidP="00624407">
            <w:pPr>
              <w:jc w:val="right"/>
              <w:rPr>
                <w:color w:val="000000"/>
                <w:sz w:val="20"/>
                <w:szCs w:val="20"/>
                <w:lang w:val="es-CO"/>
              </w:rPr>
            </w:pPr>
            <w:r w:rsidRPr="0007460B">
              <w:rPr>
                <w:color w:val="000000"/>
                <w:sz w:val="20"/>
                <w:szCs w:val="20"/>
                <w:lang w:val="es-CO"/>
              </w:rPr>
              <w:t>89,905</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07460B" w:rsidRDefault="00624407" w:rsidP="00624407">
            <w:pPr>
              <w:jc w:val="right"/>
              <w:rPr>
                <w:color w:val="000000"/>
                <w:sz w:val="20"/>
                <w:szCs w:val="20"/>
                <w:lang w:val="es-CO"/>
              </w:rPr>
            </w:pPr>
            <w:r w:rsidRPr="0007460B">
              <w:rPr>
                <w:color w:val="000000"/>
                <w:sz w:val="20"/>
                <w:szCs w:val="20"/>
                <w:lang w:val="es-CO"/>
              </w:rPr>
              <w:t>147,105</w:t>
            </w:r>
          </w:p>
        </w:tc>
      </w:tr>
      <w:tr w:rsidR="00624407" w:rsidRPr="0007460B"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s-CO"/>
              </w:rPr>
            </w:pPr>
            <w:r w:rsidRPr="008E3BC4">
              <w:rPr>
                <w:color w:val="000000"/>
                <w:sz w:val="20"/>
                <w:szCs w:val="20"/>
                <w:lang w:val="es-CO"/>
              </w:rPr>
              <w:t>Marco Mora Duque</w:t>
            </w:r>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s-CO"/>
              </w:rPr>
            </w:pPr>
            <w:r w:rsidRPr="008E3BC4">
              <w:rPr>
                <w:color w:val="000000"/>
                <w:sz w:val="20"/>
                <w:szCs w:val="20"/>
                <w:lang w:val="es-CO"/>
              </w:rPr>
              <w:t>2.60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s-CO"/>
              </w:rPr>
            </w:pPr>
            <w:r w:rsidRPr="008E3BC4">
              <w:rPr>
                <w:color w:val="000000"/>
                <w:sz w:val="20"/>
                <w:szCs w:val="20"/>
                <w:lang w:val="es-CO"/>
              </w:rPr>
              <w:t>2.60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s-CO"/>
              </w:rPr>
            </w:pPr>
            <w:r w:rsidRPr="008E3BC4">
              <w:rPr>
                <w:color w:val="000000"/>
                <w:sz w:val="20"/>
                <w:szCs w:val="20"/>
                <w:lang w:val="es-CO"/>
              </w:rPr>
              <w:t>66,000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07460B" w:rsidRDefault="00624407" w:rsidP="00624407">
            <w:pPr>
              <w:jc w:val="right"/>
              <w:rPr>
                <w:color w:val="000000"/>
                <w:sz w:val="20"/>
                <w:szCs w:val="20"/>
                <w:lang w:val="es-CO"/>
              </w:rPr>
            </w:pPr>
            <w:r w:rsidRPr="0007460B">
              <w:rPr>
                <w:color w:val="000000"/>
                <w:sz w:val="20"/>
                <w:szCs w:val="20"/>
                <w:lang w:val="es-CO"/>
              </w:rPr>
              <w:t>-</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07460B" w:rsidRDefault="00624407" w:rsidP="00624407">
            <w:pPr>
              <w:jc w:val="right"/>
              <w:rPr>
                <w:color w:val="000000"/>
                <w:sz w:val="20"/>
                <w:szCs w:val="20"/>
                <w:lang w:val="es-CO"/>
              </w:rPr>
            </w:pPr>
            <w:r w:rsidRPr="0007460B">
              <w:rPr>
                <w:color w:val="000000"/>
                <w:sz w:val="20"/>
                <w:szCs w:val="20"/>
                <w:lang w:val="es-CO"/>
              </w:rPr>
              <w:t>66,000</w:t>
            </w:r>
          </w:p>
        </w:tc>
      </w:tr>
      <w:tr w:rsidR="00624407" w:rsidRPr="008B2F47" w:rsidTr="007C263C">
        <w:tc>
          <w:tcPr>
            <w:tcW w:w="1396" w:type="pct"/>
            <w:tcBorders>
              <w:top w:val="nil"/>
              <w:left w:val="single" w:sz="4" w:space="0" w:color="auto"/>
              <w:bottom w:val="single" w:sz="4" w:space="0" w:color="auto"/>
              <w:right w:val="single" w:sz="4" w:space="0" w:color="auto"/>
            </w:tcBorders>
            <w:shd w:val="clear" w:color="auto" w:fill="auto"/>
            <w:vAlign w:val="center"/>
            <w:hideMark/>
          </w:tcPr>
          <w:p w:rsidR="00624407" w:rsidRPr="008E3BC4" w:rsidRDefault="00624407" w:rsidP="00624407">
            <w:pPr>
              <w:jc w:val="left"/>
              <w:rPr>
                <w:color w:val="000000"/>
                <w:sz w:val="20"/>
                <w:szCs w:val="20"/>
                <w:lang w:val="es-CO"/>
              </w:rPr>
            </w:pPr>
            <w:proofErr w:type="spellStart"/>
            <w:r w:rsidRPr="008E3BC4">
              <w:rPr>
                <w:color w:val="000000"/>
                <w:sz w:val="20"/>
                <w:szCs w:val="20"/>
                <w:lang w:val="es-CO"/>
              </w:rPr>
              <w:t>Rooftec</w:t>
            </w:r>
            <w:proofErr w:type="spellEnd"/>
          </w:p>
        </w:tc>
        <w:tc>
          <w:tcPr>
            <w:tcW w:w="721" w:type="pct"/>
            <w:tcBorders>
              <w:top w:val="nil"/>
              <w:left w:val="single" w:sz="4" w:space="0" w:color="auto"/>
              <w:bottom w:val="single" w:sz="4" w:space="0" w:color="auto"/>
              <w:right w:val="single" w:sz="4" w:space="0" w:color="auto"/>
            </w:tcBorders>
            <w:shd w:val="clear" w:color="auto" w:fill="auto"/>
            <w:vAlign w:val="bottom"/>
          </w:tcPr>
          <w:p w:rsidR="00624407" w:rsidRPr="008E3BC4" w:rsidRDefault="00624407" w:rsidP="00624407">
            <w:pPr>
              <w:jc w:val="right"/>
              <w:rPr>
                <w:color w:val="000000"/>
                <w:sz w:val="20"/>
                <w:szCs w:val="20"/>
                <w:lang w:val="es-CO"/>
              </w:rPr>
            </w:pPr>
            <w:r w:rsidRPr="008E3BC4">
              <w:rPr>
                <w:color w:val="000000"/>
                <w:sz w:val="20"/>
                <w:szCs w:val="20"/>
                <w:lang w:val="es-CO"/>
              </w:rPr>
              <w:t>10.90</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s-CO"/>
              </w:rPr>
              <w:t>4.</w:t>
            </w:r>
            <w:r w:rsidRPr="008E3BC4">
              <w:rPr>
                <w:color w:val="000000"/>
                <w:sz w:val="20"/>
                <w:szCs w:val="20"/>
                <w:lang w:val="en-US"/>
              </w:rPr>
              <w:t>36</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E3BC4" w:rsidRDefault="00624407" w:rsidP="00624407">
            <w:pPr>
              <w:jc w:val="right"/>
              <w:rPr>
                <w:color w:val="000000"/>
                <w:sz w:val="20"/>
                <w:szCs w:val="20"/>
                <w:lang w:val="en-US"/>
              </w:rPr>
            </w:pPr>
            <w:r w:rsidRPr="008E3BC4">
              <w:rPr>
                <w:color w:val="000000"/>
                <w:sz w:val="20"/>
                <w:szCs w:val="20"/>
                <w:lang w:val="en-US"/>
              </w:rPr>
              <w:t>66,000</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w:t>
            </w:r>
          </w:p>
        </w:tc>
        <w:tc>
          <w:tcPr>
            <w:tcW w:w="721" w:type="pct"/>
            <w:tcBorders>
              <w:top w:val="nil"/>
              <w:left w:val="nil"/>
              <w:bottom w:val="single" w:sz="4" w:space="0" w:color="auto"/>
              <w:right w:val="single" w:sz="4" w:space="0" w:color="auto"/>
            </w:tcBorders>
            <w:shd w:val="clear" w:color="auto" w:fill="auto"/>
            <w:noWrap/>
            <w:vAlign w:val="bottom"/>
            <w:hideMark/>
          </w:tcPr>
          <w:p w:rsidR="00624407" w:rsidRPr="008B2F47" w:rsidRDefault="00624407" w:rsidP="00624407">
            <w:pPr>
              <w:jc w:val="right"/>
              <w:rPr>
                <w:color w:val="000000"/>
                <w:sz w:val="20"/>
                <w:szCs w:val="20"/>
                <w:lang w:val="en-US"/>
              </w:rPr>
            </w:pPr>
            <w:r w:rsidRPr="008B2F47">
              <w:rPr>
                <w:color w:val="000000"/>
                <w:sz w:val="20"/>
                <w:szCs w:val="20"/>
                <w:lang w:val="en-US"/>
              </w:rPr>
              <w:t>66,000</w:t>
            </w:r>
          </w:p>
        </w:tc>
      </w:tr>
      <w:tr w:rsidR="007C263C" w:rsidRPr="008B2F47" w:rsidTr="007C263C">
        <w:tc>
          <w:tcPr>
            <w:tcW w:w="1396" w:type="pct"/>
            <w:tcBorders>
              <w:top w:val="nil"/>
              <w:left w:val="single" w:sz="4" w:space="0" w:color="auto"/>
              <w:bottom w:val="single" w:sz="4" w:space="0" w:color="auto"/>
              <w:right w:val="single" w:sz="4" w:space="0" w:color="auto"/>
            </w:tcBorders>
            <w:shd w:val="clear" w:color="auto" w:fill="auto"/>
            <w:vAlign w:val="center"/>
          </w:tcPr>
          <w:p w:rsidR="007C263C" w:rsidRPr="008E3BC4" w:rsidRDefault="007C263C" w:rsidP="007C263C">
            <w:pPr>
              <w:jc w:val="left"/>
              <w:rPr>
                <w:color w:val="000000"/>
                <w:sz w:val="20"/>
                <w:szCs w:val="20"/>
                <w:lang w:val="en-US"/>
              </w:rPr>
            </w:pPr>
            <w:proofErr w:type="spellStart"/>
            <w:r w:rsidRPr="008E3BC4">
              <w:rPr>
                <w:color w:val="000000"/>
                <w:sz w:val="20"/>
                <w:szCs w:val="20"/>
                <w:lang w:val="en-US"/>
              </w:rPr>
              <w:t>Verton</w:t>
            </w:r>
            <w:proofErr w:type="spellEnd"/>
          </w:p>
        </w:tc>
        <w:tc>
          <w:tcPr>
            <w:tcW w:w="721" w:type="pct"/>
            <w:tcBorders>
              <w:top w:val="nil"/>
              <w:left w:val="single" w:sz="4" w:space="0" w:color="auto"/>
              <w:bottom w:val="single" w:sz="4" w:space="0" w:color="auto"/>
              <w:right w:val="single" w:sz="4" w:space="0" w:color="auto"/>
            </w:tcBorders>
            <w:shd w:val="clear" w:color="auto" w:fill="auto"/>
            <w:vAlign w:val="bottom"/>
          </w:tcPr>
          <w:p w:rsidR="007C263C" w:rsidRPr="008E3BC4" w:rsidRDefault="007C263C" w:rsidP="007C263C">
            <w:pPr>
              <w:jc w:val="right"/>
              <w:rPr>
                <w:color w:val="000000"/>
                <w:sz w:val="20"/>
                <w:szCs w:val="20"/>
                <w:lang w:val="en-US"/>
              </w:rPr>
            </w:pPr>
            <w:r w:rsidRPr="008E3BC4">
              <w:rPr>
                <w:color w:val="000000"/>
                <w:sz w:val="20"/>
                <w:szCs w:val="20"/>
                <w:lang w:val="en-US"/>
              </w:rPr>
              <w:t>6.90</w:t>
            </w:r>
          </w:p>
        </w:tc>
        <w:tc>
          <w:tcPr>
            <w:tcW w:w="721" w:type="pct"/>
            <w:tcBorders>
              <w:top w:val="nil"/>
              <w:left w:val="single" w:sz="4" w:space="0" w:color="auto"/>
              <w:bottom w:val="single" w:sz="4" w:space="0" w:color="auto"/>
              <w:right w:val="single" w:sz="4" w:space="0" w:color="auto"/>
            </w:tcBorders>
            <w:shd w:val="clear" w:color="auto" w:fill="auto"/>
            <w:noWrap/>
            <w:vAlign w:val="bottom"/>
          </w:tcPr>
          <w:p w:rsidR="007C263C" w:rsidRPr="008E3BC4" w:rsidRDefault="007C263C" w:rsidP="007C263C">
            <w:pPr>
              <w:jc w:val="right"/>
              <w:rPr>
                <w:color w:val="000000"/>
                <w:sz w:val="20"/>
                <w:szCs w:val="20"/>
                <w:lang w:val="en-US"/>
              </w:rPr>
            </w:pPr>
            <w:r w:rsidRPr="008E3BC4">
              <w:rPr>
                <w:color w:val="000000"/>
                <w:sz w:val="20"/>
                <w:szCs w:val="20"/>
                <w:lang w:val="en-US"/>
              </w:rPr>
              <w:t>6.90</w:t>
            </w:r>
          </w:p>
        </w:tc>
        <w:tc>
          <w:tcPr>
            <w:tcW w:w="721" w:type="pct"/>
            <w:tcBorders>
              <w:top w:val="nil"/>
              <w:left w:val="nil"/>
              <w:bottom w:val="single" w:sz="4" w:space="0" w:color="auto"/>
              <w:right w:val="single" w:sz="4" w:space="0" w:color="auto"/>
            </w:tcBorders>
            <w:shd w:val="clear" w:color="auto" w:fill="auto"/>
            <w:noWrap/>
            <w:vAlign w:val="bottom"/>
          </w:tcPr>
          <w:p w:rsidR="007C263C" w:rsidRPr="008E3BC4" w:rsidRDefault="007C263C" w:rsidP="007C263C">
            <w:pPr>
              <w:jc w:val="right"/>
              <w:rPr>
                <w:color w:val="000000"/>
                <w:sz w:val="20"/>
                <w:szCs w:val="20"/>
                <w:lang w:val="en-US"/>
              </w:rPr>
            </w:pPr>
            <w:r w:rsidRPr="008E3BC4">
              <w:rPr>
                <w:color w:val="000000"/>
                <w:sz w:val="20"/>
                <w:szCs w:val="20"/>
                <w:lang w:val="en-US"/>
              </w:rPr>
              <w:t>84,700</w:t>
            </w:r>
          </w:p>
        </w:tc>
        <w:tc>
          <w:tcPr>
            <w:tcW w:w="721" w:type="pct"/>
            <w:tcBorders>
              <w:top w:val="nil"/>
              <w:left w:val="nil"/>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r w:rsidRPr="008B2F47">
              <w:rPr>
                <w:color w:val="000000"/>
                <w:sz w:val="20"/>
                <w:szCs w:val="20"/>
                <w:lang w:val="en-US"/>
              </w:rPr>
              <w:t>-</w:t>
            </w:r>
          </w:p>
        </w:tc>
        <w:tc>
          <w:tcPr>
            <w:tcW w:w="721" w:type="pct"/>
            <w:tcBorders>
              <w:top w:val="nil"/>
              <w:left w:val="nil"/>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r w:rsidRPr="008B2F47">
              <w:rPr>
                <w:color w:val="000000"/>
                <w:sz w:val="20"/>
                <w:szCs w:val="20"/>
                <w:lang w:val="en-US"/>
              </w:rPr>
              <w:t>84,700</w:t>
            </w:r>
          </w:p>
        </w:tc>
      </w:tr>
      <w:tr w:rsidR="007C263C" w:rsidRPr="008B2F47" w:rsidTr="007C263C">
        <w:tc>
          <w:tcPr>
            <w:tcW w:w="1396" w:type="pct"/>
            <w:tcBorders>
              <w:top w:val="nil"/>
              <w:left w:val="single" w:sz="4" w:space="0" w:color="auto"/>
              <w:bottom w:val="single" w:sz="4" w:space="0" w:color="auto"/>
              <w:right w:val="single" w:sz="4" w:space="0" w:color="auto"/>
            </w:tcBorders>
            <w:shd w:val="clear" w:color="auto" w:fill="auto"/>
            <w:vAlign w:val="center"/>
          </w:tcPr>
          <w:p w:rsidR="007C263C" w:rsidRPr="0007460B" w:rsidRDefault="007C263C" w:rsidP="007C263C">
            <w:pPr>
              <w:jc w:val="left"/>
              <w:rPr>
                <w:color w:val="000000"/>
                <w:sz w:val="20"/>
                <w:szCs w:val="20"/>
                <w:lang w:val="es-CO"/>
              </w:rPr>
            </w:pPr>
            <w:r w:rsidRPr="008B2F47">
              <w:rPr>
                <w:color w:val="000000"/>
                <w:sz w:val="20"/>
                <w:szCs w:val="20"/>
                <w:lang w:val="en-US"/>
              </w:rPr>
              <w:t>Technical assistance to SMEs</w:t>
            </w:r>
          </w:p>
        </w:tc>
        <w:tc>
          <w:tcPr>
            <w:tcW w:w="721" w:type="pct"/>
            <w:tcBorders>
              <w:top w:val="nil"/>
              <w:left w:val="single" w:sz="4" w:space="0" w:color="auto"/>
              <w:bottom w:val="single" w:sz="4" w:space="0" w:color="auto"/>
              <w:right w:val="single" w:sz="4" w:space="0" w:color="auto"/>
            </w:tcBorders>
            <w:shd w:val="clear" w:color="auto" w:fill="auto"/>
            <w:vAlign w:val="bottom"/>
          </w:tcPr>
          <w:p w:rsidR="007C263C" w:rsidRDefault="007C263C" w:rsidP="007C263C">
            <w:pPr>
              <w:jc w:val="right"/>
              <w:rPr>
                <w:color w:val="000000"/>
                <w:sz w:val="20"/>
                <w:szCs w:val="20"/>
                <w:highlight w:val="yellow"/>
                <w:lang w:val="es-CO"/>
              </w:rPr>
            </w:pPr>
            <w:r>
              <w:rPr>
                <w:color w:val="000000"/>
                <w:sz w:val="20"/>
                <w:szCs w:val="20"/>
                <w:lang w:val="en-US"/>
              </w:rPr>
              <w:t>~9.54</w:t>
            </w:r>
          </w:p>
        </w:tc>
        <w:tc>
          <w:tcPr>
            <w:tcW w:w="721" w:type="pct"/>
            <w:tcBorders>
              <w:top w:val="nil"/>
              <w:left w:val="single" w:sz="4" w:space="0" w:color="auto"/>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r w:rsidRPr="008B2F47">
              <w:rPr>
                <w:color w:val="000000"/>
                <w:sz w:val="20"/>
                <w:szCs w:val="20"/>
                <w:lang w:val="en-US"/>
              </w:rPr>
              <w:t>7.50</w:t>
            </w:r>
          </w:p>
        </w:tc>
        <w:tc>
          <w:tcPr>
            <w:tcW w:w="721" w:type="pct"/>
            <w:tcBorders>
              <w:top w:val="nil"/>
              <w:left w:val="nil"/>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r w:rsidRPr="008B2F47">
              <w:rPr>
                <w:color w:val="000000"/>
                <w:sz w:val="20"/>
                <w:szCs w:val="20"/>
                <w:lang w:val="en-US"/>
              </w:rPr>
              <w:t>33,000</w:t>
            </w:r>
          </w:p>
        </w:tc>
        <w:tc>
          <w:tcPr>
            <w:tcW w:w="721" w:type="pct"/>
            <w:tcBorders>
              <w:top w:val="nil"/>
              <w:left w:val="nil"/>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r w:rsidRPr="008B2F47">
              <w:rPr>
                <w:color w:val="000000"/>
                <w:sz w:val="20"/>
                <w:szCs w:val="20"/>
                <w:lang w:val="en-US"/>
              </w:rPr>
              <w:t>-</w:t>
            </w:r>
          </w:p>
        </w:tc>
        <w:tc>
          <w:tcPr>
            <w:tcW w:w="721" w:type="pct"/>
            <w:tcBorders>
              <w:top w:val="nil"/>
              <w:left w:val="nil"/>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r w:rsidRPr="008B2F47">
              <w:rPr>
                <w:color w:val="000000"/>
                <w:sz w:val="20"/>
                <w:szCs w:val="20"/>
                <w:lang w:val="en-US"/>
              </w:rPr>
              <w:t>33,000</w:t>
            </w:r>
          </w:p>
        </w:tc>
      </w:tr>
      <w:tr w:rsidR="007C263C" w:rsidRPr="008B2F47" w:rsidTr="007C263C">
        <w:tc>
          <w:tcPr>
            <w:tcW w:w="1396" w:type="pct"/>
            <w:tcBorders>
              <w:top w:val="nil"/>
              <w:left w:val="single" w:sz="4" w:space="0" w:color="auto"/>
              <w:bottom w:val="single" w:sz="4" w:space="0" w:color="auto"/>
              <w:right w:val="single" w:sz="4" w:space="0" w:color="auto"/>
            </w:tcBorders>
            <w:shd w:val="clear" w:color="auto" w:fill="auto"/>
            <w:noWrap/>
            <w:vAlign w:val="center"/>
            <w:hideMark/>
          </w:tcPr>
          <w:p w:rsidR="007C263C" w:rsidRPr="008B2F47" w:rsidRDefault="007C263C" w:rsidP="007C263C">
            <w:pPr>
              <w:jc w:val="left"/>
              <w:rPr>
                <w:b/>
                <w:bCs/>
                <w:color w:val="000000"/>
                <w:sz w:val="20"/>
                <w:szCs w:val="20"/>
                <w:lang w:val="en-US"/>
              </w:rPr>
            </w:pPr>
            <w:r w:rsidRPr="008B2F47">
              <w:rPr>
                <w:b/>
                <w:bCs/>
                <w:color w:val="000000"/>
                <w:sz w:val="20"/>
                <w:szCs w:val="20"/>
                <w:lang w:val="en-US"/>
              </w:rPr>
              <w:t>Total costs</w:t>
            </w:r>
          </w:p>
        </w:tc>
        <w:tc>
          <w:tcPr>
            <w:tcW w:w="721" w:type="pct"/>
            <w:tcBorders>
              <w:top w:val="single" w:sz="4" w:space="0" w:color="auto"/>
              <w:left w:val="nil"/>
              <w:bottom w:val="single" w:sz="4" w:space="0" w:color="auto"/>
              <w:right w:val="single" w:sz="4" w:space="0" w:color="auto"/>
            </w:tcBorders>
          </w:tcPr>
          <w:p w:rsidR="007C263C" w:rsidRPr="008B2F47" w:rsidRDefault="007C263C" w:rsidP="007C263C">
            <w:pPr>
              <w:jc w:val="right"/>
              <w:rPr>
                <w:b/>
                <w:color w:val="000000"/>
                <w:sz w:val="20"/>
                <w:szCs w:val="20"/>
                <w:lang w:val="en-US"/>
              </w:rPr>
            </w:pPr>
            <w:r>
              <w:rPr>
                <w:b/>
                <w:color w:val="000000"/>
                <w:sz w:val="20"/>
                <w:szCs w:val="20"/>
                <w:lang w:val="en-US"/>
              </w:rPr>
              <w:t>147.24</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7C263C" w:rsidRPr="008B2F47" w:rsidRDefault="007C263C" w:rsidP="007C263C">
            <w:pPr>
              <w:jc w:val="right"/>
              <w:rPr>
                <w:b/>
                <w:color w:val="000000"/>
                <w:sz w:val="20"/>
                <w:szCs w:val="20"/>
                <w:lang w:val="en-US"/>
              </w:rPr>
            </w:pPr>
            <w:r w:rsidRPr="008B2F47">
              <w:rPr>
                <w:b/>
                <w:color w:val="000000"/>
                <w:sz w:val="20"/>
                <w:szCs w:val="20"/>
                <w:lang w:val="en-US"/>
              </w:rPr>
              <w:t>65.92</w:t>
            </w:r>
          </w:p>
        </w:tc>
        <w:tc>
          <w:tcPr>
            <w:tcW w:w="721" w:type="pct"/>
            <w:tcBorders>
              <w:top w:val="nil"/>
              <w:left w:val="nil"/>
              <w:bottom w:val="single" w:sz="4" w:space="0" w:color="auto"/>
              <w:right w:val="single" w:sz="4" w:space="0" w:color="auto"/>
            </w:tcBorders>
            <w:shd w:val="clear" w:color="auto" w:fill="auto"/>
            <w:noWrap/>
            <w:vAlign w:val="center"/>
            <w:hideMark/>
          </w:tcPr>
          <w:p w:rsidR="007C263C" w:rsidRPr="008B2F47" w:rsidRDefault="007C263C" w:rsidP="007C263C">
            <w:pPr>
              <w:jc w:val="right"/>
              <w:rPr>
                <w:b/>
                <w:color w:val="000000"/>
                <w:sz w:val="20"/>
                <w:szCs w:val="20"/>
                <w:lang w:val="en-US"/>
              </w:rPr>
            </w:pPr>
            <w:r w:rsidRPr="008B2F47">
              <w:rPr>
                <w:b/>
                <w:color w:val="000000"/>
                <w:sz w:val="20"/>
                <w:szCs w:val="20"/>
                <w:lang w:val="en-US"/>
              </w:rPr>
              <w:t>656,700</w:t>
            </w:r>
          </w:p>
        </w:tc>
        <w:tc>
          <w:tcPr>
            <w:tcW w:w="721" w:type="pct"/>
            <w:tcBorders>
              <w:top w:val="nil"/>
              <w:left w:val="nil"/>
              <w:bottom w:val="single" w:sz="4" w:space="0" w:color="auto"/>
              <w:right w:val="single" w:sz="4" w:space="0" w:color="auto"/>
            </w:tcBorders>
            <w:shd w:val="clear" w:color="auto" w:fill="auto"/>
            <w:noWrap/>
            <w:vAlign w:val="center"/>
            <w:hideMark/>
          </w:tcPr>
          <w:p w:rsidR="007C263C" w:rsidRPr="008B2F47" w:rsidRDefault="007C263C" w:rsidP="007C263C">
            <w:pPr>
              <w:jc w:val="right"/>
              <w:rPr>
                <w:b/>
                <w:color w:val="000000"/>
                <w:sz w:val="20"/>
                <w:szCs w:val="20"/>
                <w:lang w:val="en-US"/>
              </w:rPr>
            </w:pPr>
            <w:r w:rsidRPr="008B2F47">
              <w:rPr>
                <w:b/>
                <w:color w:val="000000"/>
                <w:sz w:val="20"/>
                <w:szCs w:val="20"/>
                <w:lang w:val="en-US"/>
              </w:rPr>
              <w:t>89,905</w:t>
            </w:r>
          </w:p>
        </w:tc>
        <w:tc>
          <w:tcPr>
            <w:tcW w:w="721" w:type="pct"/>
            <w:tcBorders>
              <w:top w:val="nil"/>
              <w:left w:val="nil"/>
              <w:bottom w:val="single" w:sz="4" w:space="0" w:color="auto"/>
              <w:right w:val="single" w:sz="4" w:space="0" w:color="auto"/>
            </w:tcBorders>
            <w:shd w:val="clear" w:color="auto" w:fill="auto"/>
            <w:noWrap/>
            <w:vAlign w:val="bottom"/>
            <w:hideMark/>
          </w:tcPr>
          <w:p w:rsidR="007C263C" w:rsidRPr="008B2F47" w:rsidRDefault="007C263C" w:rsidP="007C263C">
            <w:pPr>
              <w:jc w:val="right"/>
              <w:rPr>
                <w:b/>
                <w:color w:val="000000"/>
                <w:sz w:val="20"/>
                <w:szCs w:val="20"/>
                <w:lang w:val="en-US"/>
              </w:rPr>
            </w:pPr>
            <w:r w:rsidRPr="008B2F47">
              <w:rPr>
                <w:b/>
                <w:color w:val="000000"/>
                <w:sz w:val="20"/>
                <w:szCs w:val="20"/>
                <w:lang w:val="en-US"/>
              </w:rPr>
              <w:t>746,605</w:t>
            </w:r>
          </w:p>
        </w:tc>
      </w:tr>
      <w:tr w:rsidR="007C263C" w:rsidRPr="008B2F47" w:rsidTr="007C263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63C" w:rsidRPr="008B2F47" w:rsidRDefault="007C263C" w:rsidP="007C263C">
            <w:pPr>
              <w:jc w:val="left"/>
              <w:rPr>
                <w:color w:val="000000"/>
                <w:sz w:val="20"/>
                <w:szCs w:val="20"/>
                <w:lang w:val="en-US"/>
              </w:rPr>
            </w:pPr>
            <w:r w:rsidRPr="008B2F47">
              <w:rPr>
                <w:color w:val="000000"/>
                <w:sz w:val="20"/>
                <w:szCs w:val="20"/>
                <w:lang w:val="en-US"/>
              </w:rPr>
              <w:t>Fund</w:t>
            </w:r>
            <w:r>
              <w:rPr>
                <w:color w:val="000000"/>
                <w:sz w:val="20"/>
                <w:szCs w:val="20"/>
                <w:lang w:val="en-US"/>
              </w:rPr>
              <w:t>s</w:t>
            </w:r>
            <w:r w:rsidRPr="008B2F47">
              <w:rPr>
                <w:color w:val="000000"/>
                <w:sz w:val="20"/>
                <w:szCs w:val="20"/>
                <w:lang w:val="en-US"/>
              </w:rPr>
              <w:t xml:space="preserve"> requested </w:t>
            </w:r>
          </w:p>
        </w:tc>
        <w:tc>
          <w:tcPr>
            <w:tcW w:w="721" w:type="pct"/>
            <w:tcBorders>
              <w:top w:val="single" w:sz="4" w:space="0" w:color="auto"/>
              <w:left w:val="nil"/>
              <w:bottom w:val="single" w:sz="4" w:space="0" w:color="auto"/>
              <w:right w:val="single" w:sz="4" w:space="0" w:color="auto"/>
            </w:tcBorders>
          </w:tcPr>
          <w:p w:rsidR="007C263C" w:rsidRPr="008B2F47" w:rsidRDefault="007C263C" w:rsidP="007C263C">
            <w:pPr>
              <w:jc w:val="right"/>
              <w:rPr>
                <w:color w:val="000000"/>
                <w:sz w:val="20"/>
                <w:szCs w:val="20"/>
                <w:lang w:val="en-US"/>
              </w:rPr>
            </w:pP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63C" w:rsidRPr="008B2F47" w:rsidRDefault="007C263C" w:rsidP="007C263C">
            <w:pPr>
              <w:jc w:val="right"/>
              <w:rPr>
                <w:color w:val="000000"/>
                <w:sz w:val="20"/>
                <w:szCs w:val="20"/>
                <w:lang w:val="en-US"/>
              </w:rPr>
            </w:pP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7C263C" w:rsidRPr="008B2F47" w:rsidRDefault="007C263C" w:rsidP="007C263C">
            <w:pPr>
              <w:jc w:val="right"/>
              <w:rPr>
                <w:color w:val="000000"/>
                <w:sz w:val="20"/>
                <w:szCs w:val="20"/>
                <w:lang w:val="en-US"/>
              </w:rPr>
            </w:pP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7C263C" w:rsidRPr="008B2F47" w:rsidRDefault="007C263C" w:rsidP="007C263C">
            <w:pPr>
              <w:jc w:val="right"/>
              <w:rPr>
                <w:color w:val="000000"/>
                <w:sz w:val="20"/>
                <w:szCs w:val="20"/>
                <w:lang w:val="en-US"/>
              </w:rPr>
            </w:pP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7C263C" w:rsidRPr="008B2F47" w:rsidRDefault="007C263C" w:rsidP="007C263C">
            <w:pPr>
              <w:jc w:val="right"/>
              <w:rPr>
                <w:color w:val="000000"/>
                <w:sz w:val="20"/>
                <w:szCs w:val="20"/>
                <w:lang w:val="en-US"/>
              </w:rPr>
            </w:pPr>
            <w:r w:rsidRPr="008B2F47">
              <w:rPr>
                <w:color w:val="000000"/>
                <w:sz w:val="20"/>
                <w:szCs w:val="20"/>
                <w:lang w:val="en-US"/>
              </w:rPr>
              <w:t>507,871</w:t>
            </w:r>
          </w:p>
        </w:tc>
      </w:tr>
      <w:tr w:rsidR="007C263C" w:rsidRPr="008B2F47" w:rsidTr="007C263C">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7C263C" w:rsidRPr="008B2F47" w:rsidRDefault="007C263C" w:rsidP="007C263C">
            <w:pPr>
              <w:jc w:val="left"/>
              <w:rPr>
                <w:color w:val="000000"/>
                <w:sz w:val="20"/>
                <w:szCs w:val="20"/>
                <w:lang w:val="en-US"/>
              </w:rPr>
            </w:pPr>
            <w:r w:rsidRPr="008B2F47">
              <w:rPr>
                <w:color w:val="000000"/>
                <w:sz w:val="20"/>
                <w:szCs w:val="20"/>
                <w:lang w:val="en-US"/>
              </w:rPr>
              <w:t xml:space="preserve">Eligible consumption </w:t>
            </w:r>
          </w:p>
        </w:tc>
        <w:tc>
          <w:tcPr>
            <w:tcW w:w="721" w:type="pct"/>
            <w:tcBorders>
              <w:top w:val="single" w:sz="4" w:space="0" w:color="auto"/>
              <w:left w:val="nil"/>
              <w:bottom w:val="single" w:sz="4" w:space="0" w:color="auto"/>
              <w:right w:val="single" w:sz="4" w:space="0" w:color="auto"/>
            </w:tcBorders>
          </w:tcPr>
          <w:p w:rsidR="007C263C" w:rsidRPr="008B2F47" w:rsidRDefault="007C263C" w:rsidP="007C263C">
            <w:pPr>
              <w:jc w:val="right"/>
              <w:rPr>
                <w:color w:val="000000"/>
                <w:sz w:val="20"/>
                <w:szCs w:val="20"/>
                <w:lang w:val="en-US"/>
              </w:rPr>
            </w:pP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r w:rsidRPr="008B2F47">
              <w:rPr>
                <w:color w:val="000000"/>
                <w:sz w:val="20"/>
                <w:szCs w:val="20"/>
                <w:lang w:val="en-US"/>
              </w:rPr>
              <w:t>51.88</w:t>
            </w:r>
          </w:p>
        </w:tc>
        <w:tc>
          <w:tcPr>
            <w:tcW w:w="721" w:type="pct"/>
            <w:tcBorders>
              <w:top w:val="single" w:sz="4" w:space="0" w:color="auto"/>
              <w:left w:val="nil"/>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p>
        </w:tc>
        <w:tc>
          <w:tcPr>
            <w:tcW w:w="721" w:type="pct"/>
            <w:tcBorders>
              <w:top w:val="single" w:sz="4" w:space="0" w:color="auto"/>
              <w:left w:val="nil"/>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p>
        </w:tc>
        <w:tc>
          <w:tcPr>
            <w:tcW w:w="721" w:type="pct"/>
            <w:tcBorders>
              <w:top w:val="single" w:sz="4" w:space="0" w:color="auto"/>
              <w:left w:val="nil"/>
              <w:bottom w:val="single" w:sz="4" w:space="0" w:color="auto"/>
              <w:right w:val="single" w:sz="4" w:space="0" w:color="auto"/>
            </w:tcBorders>
            <w:shd w:val="clear" w:color="auto" w:fill="auto"/>
            <w:noWrap/>
            <w:vAlign w:val="bottom"/>
          </w:tcPr>
          <w:p w:rsidR="007C263C" w:rsidRPr="008B2F47" w:rsidRDefault="007C263C" w:rsidP="007C263C">
            <w:pPr>
              <w:jc w:val="right"/>
              <w:rPr>
                <w:color w:val="000000"/>
                <w:sz w:val="20"/>
                <w:szCs w:val="20"/>
                <w:lang w:val="en-US"/>
              </w:rPr>
            </w:pPr>
            <w:r w:rsidRPr="008B2F47">
              <w:rPr>
                <w:color w:val="000000"/>
                <w:sz w:val="20"/>
                <w:szCs w:val="20"/>
                <w:lang w:val="en-US"/>
              </w:rPr>
              <w:t>9.79</w:t>
            </w:r>
          </w:p>
        </w:tc>
      </w:tr>
    </w:tbl>
    <w:p w:rsidR="00624407" w:rsidRPr="00ED4EC7" w:rsidRDefault="00624407" w:rsidP="00624407">
      <w:pPr>
        <w:rPr>
          <w:sz w:val="20"/>
          <w:szCs w:val="20"/>
          <w:lang w:val="en-CA"/>
        </w:rPr>
      </w:pPr>
      <w:r w:rsidRPr="00ED4EC7">
        <w:rPr>
          <w:sz w:val="20"/>
          <w:szCs w:val="20"/>
          <w:lang w:val="en-CA"/>
        </w:rPr>
        <w:t xml:space="preserve">*Manufacturing capacity </w:t>
      </w:r>
      <w:r w:rsidR="00C52303">
        <w:rPr>
          <w:sz w:val="20"/>
          <w:szCs w:val="20"/>
          <w:lang w:val="en-CA"/>
        </w:rPr>
        <w:t xml:space="preserve">established </w:t>
      </w:r>
      <w:r w:rsidRPr="00ED4EC7">
        <w:rPr>
          <w:sz w:val="20"/>
          <w:szCs w:val="20"/>
          <w:lang w:val="en-CA"/>
        </w:rPr>
        <w:t xml:space="preserve">before </w:t>
      </w:r>
      <w:r w:rsidR="00C52303">
        <w:rPr>
          <w:sz w:val="20"/>
          <w:szCs w:val="20"/>
          <w:lang w:val="en-CA"/>
        </w:rPr>
        <w:t xml:space="preserve">the cut-off date of </w:t>
      </w:r>
      <w:r w:rsidRPr="00ED4EC7">
        <w:rPr>
          <w:sz w:val="20"/>
          <w:szCs w:val="20"/>
          <w:lang w:val="en-CA"/>
        </w:rPr>
        <w:t>21 September 2007</w:t>
      </w:r>
    </w:p>
    <w:p w:rsidR="00624407" w:rsidRDefault="00624407" w:rsidP="00624407">
      <w:pPr>
        <w:rPr>
          <w:lang w:val="en-CA"/>
        </w:rPr>
      </w:pPr>
    </w:p>
    <w:p w:rsidR="00624407" w:rsidRDefault="00624407" w:rsidP="00624407">
      <w:pPr>
        <w:pStyle w:val="Heading1"/>
        <w:tabs>
          <w:tab w:val="clear" w:pos="142"/>
          <w:tab w:val="num" w:pos="0"/>
        </w:tabs>
        <w:ind w:left="0"/>
      </w:pPr>
      <w:r>
        <w:t>In accordance with decision 61/47(c)(iv), the Government of Ecuador commits to banning imports of HCFC-141b contained in imported pre-blended polyols once the project has been completed, and no later than 1 January 2020.</w:t>
      </w:r>
    </w:p>
    <w:p w:rsidR="00624407" w:rsidRPr="00B87CC1" w:rsidRDefault="00624407" w:rsidP="00624407">
      <w:pPr>
        <w:keepNext/>
        <w:jc w:val="center"/>
        <w:rPr>
          <w:b/>
        </w:rPr>
      </w:pPr>
      <w:r w:rsidRPr="00B87CC1">
        <w:rPr>
          <w:b/>
        </w:rPr>
        <w:t>SECRETARIAT’S COMMENTS AND RECOMMENDATION</w:t>
      </w:r>
    </w:p>
    <w:p w:rsidR="00624407" w:rsidRPr="00B87CC1" w:rsidRDefault="00624407" w:rsidP="00624407">
      <w:pPr>
        <w:keepNext/>
      </w:pPr>
    </w:p>
    <w:p w:rsidR="00624407" w:rsidRPr="00B87CC1" w:rsidRDefault="00624407" w:rsidP="00624407">
      <w:pPr>
        <w:keepNext/>
        <w:rPr>
          <w:b/>
        </w:rPr>
      </w:pPr>
      <w:r w:rsidRPr="00B87CC1">
        <w:rPr>
          <w:b/>
        </w:rPr>
        <w:t>COMMENTS</w:t>
      </w:r>
    </w:p>
    <w:p w:rsidR="00624407" w:rsidRDefault="00624407" w:rsidP="00624407">
      <w:pPr>
        <w:keepNext/>
        <w:rPr>
          <w:highlight w:val="yellow"/>
          <w:lang w:val="en-CA"/>
        </w:rPr>
      </w:pPr>
    </w:p>
    <w:p w:rsidR="00624407" w:rsidRPr="009A495B" w:rsidRDefault="00624407" w:rsidP="00624407">
      <w:pPr>
        <w:pStyle w:val="Heading1"/>
        <w:numPr>
          <w:ilvl w:val="0"/>
          <w:numId w:val="0"/>
        </w:numPr>
        <w:rPr>
          <w:u w:val="single"/>
        </w:rPr>
      </w:pPr>
      <w:r w:rsidRPr="009A495B">
        <w:rPr>
          <w:u w:val="single"/>
        </w:rPr>
        <w:t>Enterprise eligibility</w:t>
      </w:r>
    </w:p>
    <w:p w:rsidR="00624407" w:rsidRDefault="00624407" w:rsidP="00624407">
      <w:pPr>
        <w:pStyle w:val="Heading1"/>
        <w:tabs>
          <w:tab w:val="clear" w:pos="142"/>
          <w:tab w:val="num" w:pos="0"/>
        </w:tabs>
        <w:ind w:left="0"/>
      </w:pPr>
      <w:r>
        <w:t>The Secretariat reviewed the project proposal in the light of decisions 61/47</w:t>
      </w:r>
      <w:r w:rsidRPr="0000190B">
        <w:t>(c) and 63/15.</w:t>
      </w:r>
      <w:r>
        <w:t xml:space="preserve"> The eligibility of the enterprises included in the project was assessed, taking into consideration the indicative list of enterprises </w:t>
      </w:r>
      <w:r w:rsidRPr="00931254">
        <w:t xml:space="preserve">established prior to 21 September 2007 </w:t>
      </w:r>
      <w:r>
        <w:t>that used HCFC-141b contained in pre-blended polyols, and relevant decisions of the Multilateral Fund. The results of the assessment are summarized below:</w:t>
      </w:r>
    </w:p>
    <w:p w:rsidR="00624407" w:rsidRPr="00B87CC1" w:rsidRDefault="00624407" w:rsidP="00624407">
      <w:pPr>
        <w:pStyle w:val="Heading2"/>
        <w:rPr>
          <w:lang w:val="en-CA"/>
        </w:rPr>
      </w:pPr>
      <w:r w:rsidRPr="00B87CC1">
        <w:rPr>
          <w:i/>
          <w:lang w:val="en-CA"/>
        </w:rPr>
        <w:t>Enterprises not included in the indicative list:</w:t>
      </w:r>
      <w:r w:rsidRPr="00B87CC1">
        <w:rPr>
          <w:lang w:val="en-CA"/>
        </w:rPr>
        <w:t xml:space="preserve"> The following </w:t>
      </w:r>
      <w:r>
        <w:rPr>
          <w:lang w:val="en-CA"/>
        </w:rPr>
        <w:t xml:space="preserve">four </w:t>
      </w:r>
      <w:r w:rsidRPr="00B87CC1">
        <w:rPr>
          <w:lang w:val="en-CA"/>
        </w:rPr>
        <w:t xml:space="preserve">enterprises were not </w:t>
      </w:r>
      <w:r>
        <w:rPr>
          <w:lang w:val="en-CA"/>
        </w:rPr>
        <w:t xml:space="preserve">contained </w:t>
      </w:r>
      <w:r w:rsidRPr="00B87CC1">
        <w:rPr>
          <w:lang w:val="en-CA"/>
        </w:rPr>
        <w:t xml:space="preserve">in the indicative list: Marco Mora Duque (2.6 </w:t>
      </w:r>
      <w:proofErr w:type="spellStart"/>
      <w:r w:rsidRPr="00B87CC1">
        <w:rPr>
          <w:lang w:val="en-CA"/>
        </w:rPr>
        <w:t>mt</w:t>
      </w:r>
      <w:proofErr w:type="spellEnd"/>
      <w:r w:rsidRPr="00B87CC1">
        <w:rPr>
          <w:lang w:val="en-CA"/>
        </w:rPr>
        <w:t xml:space="preserve">), </w:t>
      </w:r>
      <w:proofErr w:type="spellStart"/>
      <w:r w:rsidRPr="00B87CC1">
        <w:rPr>
          <w:lang w:val="en-CA"/>
        </w:rPr>
        <w:t>Chova</w:t>
      </w:r>
      <w:proofErr w:type="spellEnd"/>
      <w:r w:rsidRPr="00B87CC1">
        <w:rPr>
          <w:lang w:val="en-CA"/>
        </w:rPr>
        <w:t xml:space="preserve"> del Ecuador (0.1</w:t>
      </w:r>
      <w:r>
        <w:rPr>
          <w:lang w:val="en-CA"/>
        </w:rPr>
        <w:t> </w:t>
      </w:r>
      <w:proofErr w:type="spellStart"/>
      <w:r w:rsidRPr="00B87CC1">
        <w:rPr>
          <w:lang w:val="en-CA"/>
        </w:rPr>
        <w:t>mt</w:t>
      </w:r>
      <w:proofErr w:type="spellEnd"/>
      <w:r w:rsidRPr="00B87CC1">
        <w:rPr>
          <w:lang w:val="en-CA"/>
        </w:rPr>
        <w:t xml:space="preserve">), </w:t>
      </w:r>
      <w:proofErr w:type="spellStart"/>
      <w:r w:rsidRPr="00B87CC1">
        <w:rPr>
          <w:lang w:val="en-CA"/>
        </w:rPr>
        <w:t>Fibroacero</w:t>
      </w:r>
      <w:proofErr w:type="spellEnd"/>
      <w:r w:rsidRPr="00B87CC1">
        <w:rPr>
          <w:lang w:val="en-CA"/>
        </w:rPr>
        <w:t xml:space="preserve"> (0.1 </w:t>
      </w:r>
      <w:proofErr w:type="spellStart"/>
      <w:r w:rsidRPr="00B87CC1">
        <w:rPr>
          <w:lang w:val="en-CA"/>
        </w:rPr>
        <w:t>mt</w:t>
      </w:r>
      <w:proofErr w:type="spellEnd"/>
      <w:r w:rsidRPr="00B87CC1">
        <w:rPr>
          <w:lang w:val="en-CA"/>
        </w:rPr>
        <w:t xml:space="preserve">) and </w:t>
      </w:r>
      <w:proofErr w:type="spellStart"/>
      <w:r w:rsidRPr="00B87CC1">
        <w:rPr>
          <w:lang w:val="en-CA"/>
        </w:rPr>
        <w:t>Dipac</w:t>
      </w:r>
      <w:proofErr w:type="spellEnd"/>
      <w:r w:rsidRPr="00B87CC1">
        <w:rPr>
          <w:lang w:val="en-CA"/>
        </w:rPr>
        <w:t xml:space="preserve"> (0.0 </w:t>
      </w:r>
      <w:proofErr w:type="spellStart"/>
      <w:r w:rsidRPr="00B87CC1">
        <w:rPr>
          <w:lang w:val="en-CA"/>
        </w:rPr>
        <w:t>mt</w:t>
      </w:r>
      <w:proofErr w:type="spellEnd"/>
      <w:r w:rsidRPr="00B87CC1">
        <w:rPr>
          <w:lang w:val="en-CA"/>
        </w:rPr>
        <w:t xml:space="preserve">). UNIDO explained that </w:t>
      </w:r>
      <w:r>
        <w:rPr>
          <w:lang w:val="en-CA"/>
        </w:rPr>
        <w:t xml:space="preserve">except </w:t>
      </w:r>
      <w:proofErr w:type="spellStart"/>
      <w:r w:rsidRPr="00B87CC1">
        <w:rPr>
          <w:lang w:val="en-CA"/>
        </w:rPr>
        <w:t>Fibroacero</w:t>
      </w:r>
      <w:proofErr w:type="spellEnd"/>
      <w:r>
        <w:rPr>
          <w:lang w:val="en-CA"/>
        </w:rPr>
        <w:t xml:space="preserve">, the three other </w:t>
      </w:r>
      <w:r w:rsidRPr="00B87CC1">
        <w:rPr>
          <w:lang w:val="en-CA"/>
        </w:rPr>
        <w:t>enterprise</w:t>
      </w:r>
      <w:r>
        <w:rPr>
          <w:lang w:val="en-CA"/>
        </w:rPr>
        <w:t>s</w:t>
      </w:r>
      <w:r w:rsidRPr="00B87CC1">
        <w:rPr>
          <w:lang w:val="en-CA"/>
        </w:rPr>
        <w:t xml:space="preserve"> </w:t>
      </w:r>
      <w:r>
        <w:rPr>
          <w:lang w:val="en-CA"/>
        </w:rPr>
        <w:t>were established before 2007 and were still manufacturing foams</w:t>
      </w:r>
      <w:r w:rsidR="00E76078">
        <w:rPr>
          <w:lang w:val="en-CA"/>
        </w:rPr>
        <w:t>,</w:t>
      </w:r>
      <w:r>
        <w:rPr>
          <w:lang w:val="en-CA"/>
        </w:rPr>
        <w:t xml:space="preserve"> </w:t>
      </w:r>
      <w:r w:rsidRPr="00B87CC1">
        <w:rPr>
          <w:lang w:val="en-CA"/>
        </w:rPr>
        <w:t xml:space="preserve">but their consumption </w:t>
      </w:r>
      <w:r>
        <w:rPr>
          <w:lang w:val="en-CA"/>
        </w:rPr>
        <w:t>was</w:t>
      </w:r>
      <w:r w:rsidRPr="00B87CC1">
        <w:rPr>
          <w:lang w:val="en-CA"/>
        </w:rPr>
        <w:t xml:space="preserve"> intermittent</w:t>
      </w:r>
      <w:r>
        <w:rPr>
          <w:lang w:val="en-CA"/>
        </w:rPr>
        <w:t>. These three enterprises had been included under</w:t>
      </w:r>
      <w:r w:rsidRPr="00B87CC1">
        <w:rPr>
          <w:lang w:val="en-CA"/>
        </w:rPr>
        <w:t xml:space="preserve"> “other enterprises</w:t>
      </w:r>
      <w:r w:rsidR="00587F13">
        <w:rPr>
          <w:lang w:val="en-CA"/>
        </w:rPr>
        <w:t>,</w:t>
      </w:r>
      <w:r w:rsidRPr="00B87CC1">
        <w:rPr>
          <w:lang w:val="en-CA"/>
        </w:rPr>
        <w:t>”</w:t>
      </w:r>
      <w:r>
        <w:rPr>
          <w:lang w:val="en-CA"/>
        </w:rPr>
        <w:t xml:space="preserve"> </w:t>
      </w:r>
      <w:r w:rsidRPr="00B87CC1">
        <w:rPr>
          <w:lang w:val="en-CA"/>
        </w:rPr>
        <w:t>which group</w:t>
      </w:r>
      <w:r>
        <w:rPr>
          <w:lang w:val="en-CA"/>
        </w:rPr>
        <w:t>s</w:t>
      </w:r>
      <w:r w:rsidRPr="00B87CC1">
        <w:rPr>
          <w:lang w:val="en-CA"/>
        </w:rPr>
        <w:t xml:space="preserve"> </w:t>
      </w:r>
      <w:r>
        <w:rPr>
          <w:lang w:val="en-CA"/>
        </w:rPr>
        <w:t xml:space="preserve">together </w:t>
      </w:r>
      <w:r w:rsidRPr="00B87CC1">
        <w:rPr>
          <w:lang w:val="en-CA"/>
        </w:rPr>
        <w:t xml:space="preserve">a number of </w:t>
      </w:r>
      <w:r>
        <w:rPr>
          <w:lang w:val="en-CA"/>
        </w:rPr>
        <w:t xml:space="preserve">SMEs. On this basis, </w:t>
      </w:r>
      <w:proofErr w:type="spellStart"/>
      <w:r w:rsidRPr="00A83CED">
        <w:rPr>
          <w:lang w:val="en-CA"/>
        </w:rPr>
        <w:t>Fibroacero</w:t>
      </w:r>
      <w:proofErr w:type="spellEnd"/>
      <w:r w:rsidRPr="00A83CED">
        <w:rPr>
          <w:lang w:val="en-CA"/>
        </w:rPr>
        <w:t xml:space="preserve"> </w:t>
      </w:r>
      <w:r>
        <w:rPr>
          <w:lang w:val="en-CA"/>
        </w:rPr>
        <w:t xml:space="preserve">was </w:t>
      </w:r>
      <w:r w:rsidRPr="00B87CC1">
        <w:rPr>
          <w:lang w:val="en-CA"/>
        </w:rPr>
        <w:t>removed from the project</w:t>
      </w:r>
      <w:r>
        <w:rPr>
          <w:lang w:val="en-CA"/>
        </w:rPr>
        <w:t>;</w:t>
      </w:r>
    </w:p>
    <w:p w:rsidR="00624407" w:rsidRPr="00B87CC1" w:rsidRDefault="00624407" w:rsidP="00C52303">
      <w:pPr>
        <w:pStyle w:val="Heading2"/>
        <w:widowControl/>
        <w:rPr>
          <w:lang w:val="en-CA"/>
        </w:rPr>
      </w:pPr>
      <w:r w:rsidRPr="00B87CC1">
        <w:rPr>
          <w:i/>
          <w:lang w:val="en-CA"/>
        </w:rPr>
        <w:t>Enterprises in the indicative list that</w:t>
      </w:r>
      <w:r>
        <w:rPr>
          <w:i/>
          <w:lang w:val="en-CA"/>
        </w:rPr>
        <w:t xml:space="preserve"> are not consuming HCFC-141b</w:t>
      </w:r>
      <w:r w:rsidRPr="00B87CC1">
        <w:rPr>
          <w:i/>
          <w:lang w:val="en-CA"/>
        </w:rPr>
        <w:t xml:space="preserve">: </w:t>
      </w:r>
      <w:r>
        <w:rPr>
          <w:lang w:val="en-CA"/>
        </w:rPr>
        <w:t xml:space="preserve">The current consumption of seven of the </w:t>
      </w:r>
      <w:r w:rsidRPr="00B87CC1">
        <w:rPr>
          <w:lang w:val="en-CA"/>
        </w:rPr>
        <w:t>enterprises in the indicative list</w:t>
      </w:r>
      <w:r>
        <w:rPr>
          <w:lang w:val="en-CA"/>
        </w:rPr>
        <w:t>, is</w:t>
      </w:r>
      <w:r w:rsidRPr="00B87CC1">
        <w:rPr>
          <w:lang w:val="en-CA"/>
        </w:rPr>
        <w:t xml:space="preserve"> zero. UNIDO explained that the market has </w:t>
      </w:r>
      <w:r>
        <w:rPr>
          <w:lang w:val="en-CA"/>
        </w:rPr>
        <w:t>s</w:t>
      </w:r>
      <w:r w:rsidRPr="00B87CC1">
        <w:rPr>
          <w:lang w:val="en-CA"/>
        </w:rPr>
        <w:t>ubstantially</w:t>
      </w:r>
      <w:r>
        <w:rPr>
          <w:lang w:val="en-CA"/>
        </w:rPr>
        <w:t xml:space="preserve"> changed</w:t>
      </w:r>
      <w:r w:rsidRPr="00B87CC1">
        <w:rPr>
          <w:lang w:val="en-CA"/>
        </w:rPr>
        <w:t xml:space="preserve"> since </w:t>
      </w:r>
      <w:r>
        <w:rPr>
          <w:lang w:val="en-CA"/>
        </w:rPr>
        <w:t xml:space="preserve">the </w:t>
      </w:r>
      <w:r w:rsidR="00587F13" w:rsidRPr="00B87CC1">
        <w:rPr>
          <w:lang w:val="en-CA"/>
        </w:rPr>
        <w:t>2007</w:t>
      </w:r>
      <w:r w:rsidR="00587F13">
        <w:rPr>
          <w:lang w:val="en-CA"/>
        </w:rPr>
        <w:t>-</w:t>
      </w:r>
      <w:r w:rsidR="00587F13" w:rsidRPr="00B87CC1">
        <w:rPr>
          <w:lang w:val="en-CA"/>
        </w:rPr>
        <w:t>2009</w:t>
      </w:r>
      <w:r w:rsidR="00587F13">
        <w:rPr>
          <w:lang w:val="en-CA"/>
        </w:rPr>
        <w:t xml:space="preserve"> </w:t>
      </w:r>
      <w:r>
        <w:rPr>
          <w:lang w:val="en-CA"/>
        </w:rPr>
        <w:t xml:space="preserve">period (the </w:t>
      </w:r>
      <w:r w:rsidRPr="00B87CC1">
        <w:rPr>
          <w:lang w:val="en-CA"/>
        </w:rPr>
        <w:t xml:space="preserve">reference years </w:t>
      </w:r>
      <w:r>
        <w:rPr>
          <w:lang w:val="en-CA"/>
        </w:rPr>
        <w:t>for</w:t>
      </w:r>
      <w:r w:rsidRPr="00B87CC1">
        <w:rPr>
          <w:lang w:val="en-CA"/>
        </w:rPr>
        <w:t xml:space="preserve"> the indicative list)</w:t>
      </w:r>
      <w:r>
        <w:rPr>
          <w:lang w:val="en-CA"/>
        </w:rPr>
        <w:t>;</w:t>
      </w:r>
      <w:r w:rsidRPr="00B87CC1">
        <w:rPr>
          <w:lang w:val="en-CA"/>
        </w:rPr>
        <w:t xml:space="preserve"> some enterprises </w:t>
      </w:r>
      <w:r>
        <w:rPr>
          <w:lang w:val="en-CA"/>
        </w:rPr>
        <w:t xml:space="preserve">have </w:t>
      </w:r>
      <w:r w:rsidRPr="00B87CC1">
        <w:rPr>
          <w:lang w:val="en-CA"/>
        </w:rPr>
        <w:t xml:space="preserve">reduced their consumption, </w:t>
      </w:r>
      <w:r w:rsidR="00587F13">
        <w:rPr>
          <w:lang w:val="en-CA"/>
        </w:rPr>
        <w:t xml:space="preserve">and </w:t>
      </w:r>
      <w:r w:rsidRPr="00B87CC1">
        <w:rPr>
          <w:lang w:val="en-CA"/>
        </w:rPr>
        <w:t xml:space="preserve">others </w:t>
      </w:r>
      <w:r>
        <w:rPr>
          <w:lang w:val="en-CA"/>
        </w:rPr>
        <w:t xml:space="preserve">have </w:t>
      </w:r>
      <w:r w:rsidRPr="00B87CC1">
        <w:rPr>
          <w:lang w:val="en-CA"/>
        </w:rPr>
        <w:t>increased it</w:t>
      </w:r>
      <w:r>
        <w:rPr>
          <w:lang w:val="en-CA"/>
        </w:rPr>
        <w:t xml:space="preserve">. While these enterprises do not receive funding for conversion, all the SMEs that have been identified as using or having recently used HCFC-141b </w:t>
      </w:r>
      <w:r w:rsidRPr="00B87CC1">
        <w:rPr>
          <w:lang w:val="en-CA"/>
        </w:rPr>
        <w:t xml:space="preserve">will be </w:t>
      </w:r>
      <w:r>
        <w:rPr>
          <w:lang w:val="en-CA"/>
        </w:rPr>
        <w:t>contacted</w:t>
      </w:r>
      <w:r w:rsidRPr="00B87CC1">
        <w:rPr>
          <w:lang w:val="en-CA"/>
        </w:rPr>
        <w:t xml:space="preserve"> and invited to </w:t>
      </w:r>
      <w:r>
        <w:rPr>
          <w:lang w:val="en-CA"/>
        </w:rPr>
        <w:t xml:space="preserve">participate at </w:t>
      </w:r>
      <w:r w:rsidRPr="00B87CC1">
        <w:rPr>
          <w:lang w:val="en-CA"/>
        </w:rPr>
        <w:t xml:space="preserve">workshops </w:t>
      </w:r>
      <w:r>
        <w:rPr>
          <w:lang w:val="en-CA"/>
        </w:rPr>
        <w:t xml:space="preserve">demonstrating </w:t>
      </w:r>
      <w:r w:rsidRPr="00B87CC1">
        <w:rPr>
          <w:lang w:val="en-CA"/>
        </w:rPr>
        <w:t>new alternatives</w:t>
      </w:r>
      <w:r>
        <w:rPr>
          <w:lang w:val="en-CA"/>
        </w:rPr>
        <w:t xml:space="preserve"> under the technical assistance component of the project; and</w:t>
      </w:r>
    </w:p>
    <w:p w:rsidR="00624407" w:rsidRPr="006B29F2" w:rsidRDefault="00624407" w:rsidP="00624407">
      <w:pPr>
        <w:pStyle w:val="Heading2"/>
        <w:keepNext/>
        <w:rPr>
          <w:lang w:val="en-CA"/>
        </w:rPr>
      </w:pPr>
      <w:r w:rsidRPr="002630A0">
        <w:rPr>
          <w:i/>
          <w:lang w:val="en-CA"/>
        </w:rPr>
        <w:t>Second-stage conversions</w:t>
      </w:r>
      <w:r>
        <w:rPr>
          <w:i/>
          <w:lang w:val="en-CA"/>
        </w:rPr>
        <w:t>:</w:t>
      </w:r>
      <w:r w:rsidRPr="002630A0">
        <w:rPr>
          <w:rStyle w:val="FootnoteReference"/>
          <w:i/>
          <w:lang w:val="en-CA"/>
        </w:rPr>
        <w:footnoteReference w:id="4"/>
      </w:r>
      <w:r w:rsidR="007C263C">
        <w:rPr>
          <w:lang w:val="en-CA"/>
        </w:rPr>
        <w:t xml:space="preserve"> </w:t>
      </w:r>
      <w:r w:rsidRPr="00B87CC1">
        <w:rPr>
          <w:lang w:val="en-CA"/>
        </w:rPr>
        <w:t xml:space="preserve">The enterprise </w:t>
      </w:r>
      <w:proofErr w:type="spellStart"/>
      <w:r w:rsidRPr="00B87CC1">
        <w:rPr>
          <w:lang w:val="en-CA"/>
        </w:rPr>
        <w:t>Ecasa</w:t>
      </w:r>
      <w:proofErr w:type="spellEnd"/>
      <w:r w:rsidRPr="00B87CC1">
        <w:rPr>
          <w:lang w:val="en-CA"/>
        </w:rPr>
        <w:t xml:space="preserve"> converted to HCFC-141b with Multilateral Fund assistance. </w:t>
      </w:r>
      <w:r>
        <w:rPr>
          <w:lang w:val="en-CA"/>
        </w:rPr>
        <w:t>As f</w:t>
      </w:r>
      <w:r w:rsidRPr="00B87CC1">
        <w:rPr>
          <w:lang w:val="en-CA"/>
        </w:rPr>
        <w:t xml:space="preserve">unds are requested for </w:t>
      </w:r>
      <w:r>
        <w:rPr>
          <w:lang w:val="en-CA"/>
        </w:rPr>
        <w:t xml:space="preserve">conversion of the </w:t>
      </w:r>
      <w:r w:rsidRPr="00B87CC1">
        <w:rPr>
          <w:lang w:val="en-CA"/>
        </w:rPr>
        <w:t>same line</w:t>
      </w:r>
      <w:r>
        <w:rPr>
          <w:lang w:val="en-CA"/>
        </w:rPr>
        <w:t xml:space="preserve">, </w:t>
      </w:r>
      <w:r w:rsidRPr="00B87CC1">
        <w:rPr>
          <w:lang w:val="en-CA"/>
        </w:rPr>
        <w:t>the enterprise does not comply with the condition for full funding in decision 60/44</w:t>
      </w:r>
      <w:r>
        <w:rPr>
          <w:lang w:val="en-CA"/>
        </w:rPr>
        <w:t>;</w:t>
      </w:r>
      <w:r>
        <w:rPr>
          <w:rStyle w:val="FootnoteReference"/>
          <w:lang w:val="en-CA"/>
        </w:rPr>
        <w:footnoteReference w:id="5"/>
      </w:r>
      <w:r>
        <w:rPr>
          <w:lang w:val="en-CA"/>
        </w:rPr>
        <w:t xml:space="preserve"> accordingly it was agreed that </w:t>
      </w:r>
      <w:r w:rsidRPr="00B87CC1">
        <w:rPr>
          <w:lang w:val="en-CA"/>
        </w:rPr>
        <w:t>fund</w:t>
      </w:r>
      <w:r>
        <w:rPr>
          <w:lang w:val="en-CA"/>
        </w:rPr>
        <w:t xml:space="preserve">ing would be </w:t>
      </w:r>
      <w:r w:rsidRPr="00B87CC1">
        <w:rPr>
          <w:lang w:val="en-CA"/>
        </w:rPr>
        <w:t>for trials, installation and training</w:t>
      </w:r>
      <w:r>
        <w:rPr>
          <w:lang w:val="en-CA"/>
        </w:rPr>
        <w:t xml:space="preserve"> only</w:t>
      </w:r>
      <w:r w:rsidRPr="00B87CC1">
        <w:rPr>
          <w:lang w:val="en-CA"/>
        </w:rPr>
        <w:t xml:space="preserve">. </w:t>
      </w:r>
      <w:proofErr w:type="spellStart"/>
      <w:r w:rsidRPr="00B87CC1">
        <w:rPr>
          <w:lang w:val="en-CA"/>
        </w:rPr>
        <w:t>Mafrico</w:t>
      </w:r>
      <w:proofErr w:type="spellEnd"/>
      <w:r w:rsidRPr="00B87CC1">
        <w:rPr>
          <w:lang w:val="en-CA"/>
        </w:rPr>
        <w:t xml:space="preserve"> also converted to HCFC</w:t>
      </w:r>
      <w:r>
        <w:rPr>
          <w:lang w:val="en-CA"/>
        </w:rPr>
        <w:noBreakHyphen/>
      </w:r>
      <w:r w:rsidRPr="00B87CC1">
        <w:rPr>
          <w:lang w:val="en-CA"/>
        </w:rPr>
        <w:t xml:space="preserve">141b with Multilateral Fund assistance; </w:t>
      </w:r>
      <w:r>
        <w:rPr>
          <w:lang w:val="en-CA"/>
        </w:rPr>
        <w:t xml:space="preserve">however, the </w:t>
      </w:r>
      <w:r w:rsidRPr="00B87CC1">
        <w:rPr>
          <w:lang w:val="en-CA"/>
        </w:rPr>
        <w:t xml:space="preserve">funds </w:t>
      </w:r>
      <w:r>
        <w:rPr>
          <w:lang w:val="en-CA"/>
        </w:rPr>
        <w:t xml:space="preserve">being </w:t>
      </w:r>
      <w:r w:rsidRPr="00B87CC1">
        <w:rPr>
          <w:lang w:val="en-CA"/>
        </w:rPr>
        <w:t xml:space="preserve">requested </w:t>
      </w:r>
      <w:r>
        <w:rPr>
          <w:lang w:val="en-CA"/>
        </w:rPr>
        <w:t>under the present project proposal are for another manufacturing line i</w:t>
      </w:r>
      <w:r w:rsidRPr="00B87CC1">
        <w:rPr>
          <w:lang w:val="en-CA"/>
        </w:rPr>
        <w:t xml:space="preserve">nstalled in 2000. </w:t>
      </w:r>
      <w:r>
        <w:rPr>
          <w:lang w:val="en-CA"/>
        </w:rPr>
        <w:t xml:space="preserve">Finally, </w:t>
      </w:r>
      <w:proofErr w:type="spellStart"/>
      <w:r w:rsidRPr="00B87CC1">
        <w:rPr>
          <w:lang w:val="en-CA"/>
        </w:rPr>
        <w:t>Elasto</w:t>
      </w:r>
      <w:proofErr w:type="spellEnd"/>
      <w:r w:rsidRPr="00B87CC1">
        <w:rPr>
          <w:lang w:val="en-CA"/>
        </w:rPr>
        <w:t xml:space="preserve"> converted to methylene chloride with Multilateral Fund assistance; its capacity is </w:t>
      </w:r>
      <w:r>
        <w:rPr>
          <w:lang w:val="en-CA"/>
        </w:rPr>
        <w:t xml:space="preserve">therefore </w:t>
      </w:r>
      <w:r w:rsidRPr="00B87CC1">
        <w:rPr>
          <w:lang w:val="en-CA"/>
        </w:rPr>
        <w:t xml:space="preserve">not eligible for </w:t>
      </w:r>
      <w:r>
        <w:rPr>
          <w:lang w:val="en-CA"/>
        </w:rPr>
        <w:t xml:space="preserve">funding for </w:t>
      </w:r>
      <w:r w:rsidR="00E76078">
        <w:rPr>
          <w:lang w:val="en-CA"/>
        </w:rPr>
        <w:t>the phase-</w:t>
      </w:r>
      <w:r w:rsidRPr="00B87CC1">
        <w:rPr>
          <w:lang w:val="en-CA"/>
        </w:rPr>
        <w:t>o</w:t>
      </w:r>
      <w:r>
        <w:rPr>
          <w:lang w:val="en-CA"/>
        </w:rPr>
        <w:t>ut of HCFC</w:t>
      </w:r>
      <w:r>
        <w:rPr>
          <w:lang w:val="en-CA"/>
        </w:rPr>
        <w:noBreakHyphen/>
      </w:r>
      <w:r w:rsidRPr="00B87CC1">
        <w:rPr>
          <w:lang w:val="en-CA"/>
        </w:rPr>
        <w:t>141b</w:t>
      </w:r>
      <w:r>
        <w:rPr>
          <w:lang w:val="en-CA"/>
        </w:rPr>
        <w:t>.</w:t>
      </w:r>
    </w:p>
    <w:p w:rsidR="00624407" w:rsidRPr="00394582" w:rsidRDefault="00624407" w:rsidP="00624407">
      <w:pPr>
        <w:pStyle w:val="Heading1"/>
        <w:numPr>
          <w:ilvl w:val="0"/>
          <w:numId w:val="0"/>
        </w:numPr>
        <w:rPr>
          <w:u w:val="single"/>
        </w:rPr>
      </w:pPr>
      <w:r>
        <w:rPr>
          <w:u w:val="single"/>
        </w:rPr>
        <w:t>Issues related to the selected t</w:t>
      </w:r>
      <w:r w:rsidRPr="00394582">
        <w:rPr>
          <w:u w:val="single"/>
        </w:rPr>
        <w:t>echnolog</w:t>
      </w:r>
      <w:r>
        <w:rPr>
          <w:u w:val="single"/>
        </w:rPr>
        <w:t>ies</w:t>
      </w:r>
    </w:p>
    <w:p w:rsidR="00624407" w:rsidRDefault="00624407" w:rsidP="00624407">
      <w:pPr>
        <w:pStyle w:val="Heading1"/>
        <w:tabs>
          <w:tab w:val="clear" w:pos="142"/>
          <w:tab w:val="num" w:pos="0"/>
        </w:tabs>
        <w:ind w:left="0"/>
      </w:pPr>
      <w:r w:rsidRPr="00394582">
        <w:t xml:space="preserve">In line with decisions 74/20(a) and 77/35(a)(v), UNIDO </w:t>
      </w:r>
      <w:r>
        <w:t xml:space="preserve">has </w:t>
      </w:r>
      <w:r w:rsidRPr="00394582">
        <w:t>provided information on how and when an adequate supply of pre-blended HCs and HFO</w:t>
      </w:r>
      <w:r w:rsidRPr="00394582">
        <w:noBreakHyphen/>
        <w:t>1233zd and associated components (e.g. additives) w</w:t>
      </w:r>
      <w:r>
        <w:t>ill</w:t>
      </w:r>
      <w:r w:rsidRPr="00394582">
        <w:t xml:space="preserve"> be made </w:t>
      </w:r>
      <w:r>
        <w:t xml:space="preserve">commercially </w:t>
      </w:r>
      <w:r w:rsidRPr="00394582">
        <w:t xml:space="preserve">available to Ecuador. For the enterprises that </w:t>
      </w:r>
      <w:r>
        <w:t xml:space="preserve">have </w:t>
      </w:r>
      <w:r w:rsidRPr="00394582">
        <w:t xml:space="preserve">selected pre-blended HCs, the technology is already present </w:t>
      </w:r>
      <w:r>
        <w:t>o</w:t>
      </w:r>
      <w:r w:rsidRPr="00394582">
        <w:t xml:space="preserve">n the </w:t>
      </w:r>
      <w:r>
        <w:t xml:space="preserve">local </w:t>
      </w:r>
      <w:r w:rsidRPr="00394582">
        <w:t>market</w:t>
      </w:r>
      <w:r>
        <w:t xml:space="preserve">, and tests have been made </w:t>
      </w:r>
      <w:r w:rsidRPr="00394582">
        <w:t>with positive results</w:t>
      </w:r>
      <w:r>
        <w:t xml:space="preserve">, particularly in </w:t>
      </w:r>
      <w:proofErr w:type="spellStart"/>
      <w:r>
        <w:t>Ecasa</w:t>
      </w:r>
      <w:proofErr w:type="spellEnd"/>
      <w:r>
        <w:t>; t</w:t>
      </w:r>
      <w:r w:rsidRPr="00394582">
        <w:t xml:space="preserve">he alternative is patented by </w:t>
      </w:r>
      <w:proofErr w:type="spellStart"/>
      <w:r w:rsidRPr="00394582">
        <w:t>Pumex</w:t>
      </w:r>
      <w:proofErr w:type="spellEnd"/>
      <w:r w:rsidRPr="00394582">
        <w:t xml:space="preserve"> Mexico</w:t>
      </w:r>
      <w:r>
        <w:t xml:space="preserve"> and </w:t>
      </w:r>
      <w:r w:rsidRPr="00394582">
        <w:t xml:space="preserve">will be represented in Ecuador by </w:t>
      </w:r>
      <w:proofErr w:type="spellStart"/>
      <w:r w:rsidRPr="00394582">
        <w:t>Quimica</w:t>
      </w:r>
      <w:proofErr w:type="spellEnd"/>
      <w:r w:rsidRPr="00394582">
        <w:t xml:space="preserve"> </w:t>
      </w:r>
      <w:proofErr w:type="spellStart"/>
      <w:r w:rsidRPr="00394582">
        <w:t>Suiza</w:t>
      </w:r>
      <w:proofErr w:type="spellEnd"/>
      <w:r w:rsidRPr="00394582">
        <w:t>, which already has the infrastructure required to handle HC products.</w:t>
      </w:r>
    </w:p>
    <w:p w:rsidR="00624407" w:rsidRPr="004F1475" w:rsidRDefault="00624407" w:rsidP="00624407">
      <w:pPr>
        <w:pStyle w:val="Heading1"/>
        <w:tabs>
          <w:tab w:val="clear" w:pos="142"/>
          <w:tab w:val="num" w:pos="0"/>
        </w:tabs>
        <w:ind w:left="0"/>
      </w:pPr>
      <w:r>
        <w:t xml:space="preserve">The </w:t>
      </w:r>
      <w:r w:rsidRPr="000A4C14">
        <w:t>supplier of HFO-1233zd is a systems house located in Panama; its representative in Ecuador (</w:t>
      </w:r>
      <w:proofErr w:type="spellStart"/>
      <w:r w:rsidRPr="000A4C14">
        <w:t>Enviroplastic</w:t>
      </w:r>
      <w:proofErr w:type="spellEnd"/>
      <w:r w:rsidRPr="000A4C14">
        <w:t>) has</w:t>
      </w:r>
      <w:r>
        <w:t xml:space="preserve"> </w:t>
      </w:r>
      <w:r w:rsidRPr="00394582">
        <w:t xml:space="preserve">confirmed that </w:t>
      </w:r>
      <w:r>
        <w:t xml:space="preserve">a </w:t>
      </w:r>
      <w:r w:rsidRPr="00394582">
        <w:t xml:space="preserve">permanent supply will be guaranteed in </w:t>
      </w:r>
      <w:r>
        <w:t>the event that</w:t>
      </w:r>
      <w:r w:rsidRPr="00394582">
        <w:t xml:space="preserve"> there is demand for </w:t>
      </w:r>
      <w:r>
        <w:t>its</w:t>
      </w:r>
      <w:r w:rsidRPr="00394582">
        <w:t xml:space="preserve"> product. Given that only </w:t>
      </w:r>
      <w:r>
        <w:t>one enterprise (</w:t>
      </w:r>
      <w:proofErr w:type="spellStart"/>
      <w:r w:rsidRPr="00394582">
        <w:t>Mafrico</w:t>
      </w:r>
      <w:proofErr w:type="spellEnd"/>
      <w:r>
        <w:t>)</w:t>
      </w:r>
      <w:r w:rsidRPr="00394582">
        <w:t xml:space="preserve"> is converting to </w:t>
      </w:r>
      <w:r>
        <w:t xml:space="preserve">this </w:t>
      </w:r>
      <w:r w:rsidRPr="00394582">
        <w:t xml:space="preserve">technology, it </w:t>
      </w:r>
      <w:r>
        <w:t>has been</w:t>
      </w:r>
      <w:r w:rsidRPr="00394582">
        <w:t xml:space="preserve"> agreed that</w:t>
      </w:r>
      <w:r>
        <w:t>,</w:t>
      </w:r>
      <w:r w:rsidRPr="00394582">
        <w:t xml:space="preserve"> if</w:t>
      </w:r>
      <w:r>
        <w:t>,</w:t>
      </w:r>
      <w:r w:rsidRPr="00394582">
        <w:t xml:space="preserve"> during the implementation of the project</w:t>
      </w:r>
      <w:r>
        <w:t>,</w:t>
      </w:r>
      <w:r w:rsidRPr="00394582">
        <w:t xml:space="preserve"> the enterprise decide</w:t>
      </w:r>
      <w:r>
        <w:t>s</w:t>
      </w:r>
      <w:r w:rsidRPr="00394582">
        <w:t xml:space="preserve"> also </w:t>
      </w:r>
      <w:r>
        <w:t xml:space="preserve">to </w:t>
      </w:r>
      <w:r w:rsidRPr="00394582">
        <w:t>convert to pre-blended HC</w:t>
      </w:r>
      <w:r w:rsidR="008D106F">
        <w:t>s</w:t>
      </w:r>
      <w:r w:rsidRPr="00394582">
        <w:t>, the additional capital cost w</w:t>
      </w:r>
      <w:r>
        <w:t>ill</w:t>
      </w:r>
      <w:r w:rsidRPr="00394582">
        <w:t xml:space="preserve"> be covered by the enterprise </w:t>
      </w:r>
      <w:r>
        <w:t xml:space="preserve">itself </w:t>
      </w:r>
      <w:r w:rsidRPr="00394582">
        <w:t xml:space="preserve">and the IOCs would be </w:t>
      </w:r>
      <w:r w:rsidRPr="004F1475">
        <w:t>returned to the Multilateral Fund.</w:t>
      </w:r>
    </w:p>
    <w:p w:rsidR="00624407" w:rsidRDefault="00624407" w:rsidP="00624407">
      <w:pPr>
        <w:pStyle w:val="Heading1"/>
        <w:tabs>
          <w:tab w:val="clear" w:pos="142"/>
          <w:tab w:val="num" w:pos="0"/>
        </w:tabs>
        <w:ind w:left="0"/>
        <w:rPr>
          <w:lang w:val="en-US"/>
        </w:rPr>
      </w:pPr>
      <w:r w:rsidRPr="004F1475">
        <w:rPr>
          <w:lang w:val="en-US"/>
        </w:rPr>
        <w:t xml:space="preserve">The Secretariat </w:t>
      </w:r>
      <w:r w:rsidRPr="000A4C14">
        <w:rPr>
          <w:lang w:val="en-US"/>
        </w:rPr>
        <w:t>expressed a major concern about</w:t>
      </w:r>
      <w:r w:rsidRPr="004F1475">
        <w:rPr>
          <w:lang w:val="en-US"/>
        </w:rPr>
        <w:t xml:space="preserve"> the proposal to use pre-blended HCs in spray foam</w:t>
      </w:r>
      <w:r>
        <w:rPr>
          <w:lang w:val="en-US"/>
        </w:rPr>
        <w:t xml:space="preserve"> applications,</w:t>
      </w:r>
      <w:r w:rsidRPr="004F1475">
        <w:rPr>
          <w:lang w:val="en-US"/>
        </w:rPr>
        <w:t xml:space="preserve"> as HCs are not recommended for this application </w:t>
      </w:r>
      <w:r>
        <w:rPr>
          <w:lang w:val="en-US"/>
        </w:rPr>
        <w:t xml:space="preserve">on account of </w:t>
      </w:r>
      <w:r w:rsidRPr="004F1475">
        <w:rPr>
          <w:lang w:val="en-US"/>
        </w:rPr>
        <w:t xml:space="preserve">their flammability. </w:t>
      </w:r>
      <w:r>
        <w:rPr>
          <w:lang w:val="en-US"/>
        </w:rPr>
        <w:t>Given</w:t>
      </w:r>
      <w:r w:rsidRPr="004F1475">
        <w:rPr>
          <w:lang w:val="en-US"/>
        </w:rPr>
        <w:t xml:space="preserve"> th</w:t>
      </w:r>
      <w:r>
        <w:rPr>
          <w:lang w:val="en-US"/>
        </w:rPr>
        <w:t>at fact</w:t>
      </w:r>
      <w:r w:rsidRPr="004F1475">
        <w:rPr>
          <w:lang w:val="en-US"/>
        </w:rPr>
        <w:t>, some countries have implemented demonstration projects to test other technologies (e.g. HFO reduced with water)</w:t>
      </w:r>
      <w:r>
        <w:rPr>
          <w:lang w:val="en-US"/>
        </w:rPr>
        <w:t xml:space="preserve">; </w:t>
      </w:r>
      <w:r w:rsidRPr="004F1475">
        <w:rPr>
          <w:lang w:val="en-US"/>
        </w:rPr>
        <w:t>other</w:t>
      </w:r>
      <w:r>
        <w:rPr>
          <w:lang w:val="en-US"/>
        </w:rPr>
        <w:t xml:space="preserve"> </w:t>
      </w:r>
      <w:r w:rsidRPr="00C52303">
        <w:rPr>
          <w:lang w:val="en-US"/>
        </w:rPr>
        <w:t>countries have postponed the conversion of the spray foam sector to future stages of the HPMP when an alternative that is economically feasible and non-flammable is more likely to be available. Furthermore, the Technology and Economic Assessment Panel (TEAP) reports</w:t>
      </w:r>
      <w:r w:rsidR="00587F13" w:rsidRPr="00C52303">
        <w:rPr>
          <w:lang w:val="en-US"/>
        </w:rPr>
        <w:t xml:space="preserve"> </w:t>
      </w:r>
      <w:r w:rsidRPr="00C52303">
        <w:rPr>
          <w:lang w:val="en-US"/>
        </w:rPr>
        <w:t>do not recommend the use of this flammable technology in spray foam.</w:t>
      </w:r>
      <w:r w:rsidR="008E3BC4" w:rsidRPr="00C52303">
        <w:rPr>
          <w:rStyle w:val="FootnoteReference"/>
          <w:lang w:val="en-US"/>
        </w:rPr>
        <w:footnoteReference w:id="6"/>
      </w:r>
      <w:r w:rsidR="008E3BC4" w:rsidRPr="00C52303">
        <w:rPr>
          <w:lang w:val="en-US"/>
        </w:rPr>
        <w:t xml:space="preserve"> </w:t>
      </w:r>
      <w:r w:rsidRPr="00C52303">
        <w:rPr>
          <w:lang w:val="en-US"/>
        </w:rPr>
        <w:t>In addition</w:t>
      </w:r>
      <w:r w:rsidR="008E3BC4" w:rsidRPr="00C52303">
        <w:rPr>
          <w:lang w:val="en-US"/>
        </w:rPr>
        <w:t>,</w:t>
      </w:r>
      <w:r w:rsidRPr="00C52303">
        <w:rPr>
          <w:lang w:val="en-US"/>
        </w:rPr>
        <w:t xml:space="preserve"> the independent technical expert that reviewed the project for UNIDO also stated that he had no experience in the use of HCs in</w:t>
      </w:r>
      <w:r>
        <w:rPr>
          <w:lang w:val="en-US"/>
        </w:rPr>
        <w:t xml:space="preserve"> spray foam. </w:t>
      </w:r>
    </w:p>
    <w:p w:rsidR="00624407" w:rsidRPr="004F1475" w:rsidRDefault="00624407" w:rsidP="00624407">
      <w:pPr>
        <w:pStyle w:val="Heading1"/>
        <w:tabs>
          <w:tab w:val="clear" w:pos="142"/>
          <w:tab w:val="num" w:pos="0"/>
        </w:tabs>
        <w:ind w:left="0"/>
        <w:rPr>
          <w:lang w:val="en-US"/>
        </w:rPr>
      </w:pPr>
      <w:r>
        <w:rPr>
          <w:lang w:val="en-US"/>
        </w:rPr>
        <w:t>I</w:t>
      </w:r>
      <w:r w:rsidRPr="004F1475">
        <w:rPr>
          <w:lang w:val="en-US"/>
        </w:rPr>
        <w:t xml:space="preserve">n this regard, UNIDO </w:t>
      </w:r>
      <w:r>
        <w:rPr>
          <w:lang w:val="en-US"/>
        </w:rPr>
        <w:t>explained</w:t>
      </w:r>
      <w:r w:rsidRPr="004F1475">
        <w:rPr>
          <w:lang w:val="en-US"/>
        </w:rPr>
        <w:t xml:space="preserve"> that pre-blended HCs have been used by </w:t>
      </w:r>
      <w:proofErr w:type="spellStart"/>
      <w:r w:rsidRPr="004F1475">
        <w:rPr>
          <w:lang w:val="en-US"/>
        </w:rPr>
        <w:t>Pumex</w:t>
      </w:r>
      <w:proofErr w:type="spellEnd"/>
      <w:r w:rsidRPr="004F1475">
        <w:rPr>
          <w:lang w:val="en-US"/>
        </w:rPr>
        <w:t xml:space="preserve"> </w:t>
      </w:r>
      <w:r>
        <w:rPr>
          <w:lang w:val="en-US"/>
        </w:rPr>
        <w:t xml:space="preserve">in Mexico </w:t>
      </w:r>
      <w:r w:rsidRPr="004F1475">
        <w:rPr>
          <w:lang w:val="en-US"/>
        </w:rPr>
        <w:t>for some years</w:t>
      </w:r>
      <w:r>
        <w:rPr>
          <w:lang w:val="en-US"/>
        </w:rPr>
        <w:t xml:space="preserve"> already; s</w:t>
      </w:r>
      <w:r w:rsidRPr="004F1475">
        <w:rPr>
          <w:lang w:val="en-US"/>
        </w:rPr>
        <w:t xml:space="preserve">ome </w:t>
      </w:r>
      <w:r>
        <w:rPr>
          <w:lang w:val="en-US"/>
        </w:rPr>
        <w:t>tests</w:t>
      </w:r>
      <w:r w:rsidRPr="004F1475">
        <w:rPr>
          <w:lang w:val="en-US"/>
        </w:rPr>
        <w:t xml:space="preserve"> </w:t>
      </w:r>
      <w:r>
        <w:rPr>
          <w:lang w:val="en-US"/>
        </w:rPr>
        <w:t>have also been</w:t>
      </w:r>
      <w:r w:rsidRPr="004F1475">
        <w:rPr>
          <w:lang w:val="en-US"/>
        </w:rPr>
        <w:t xml:space="preserve"> made in </w:t>
      </w:r>
      <w:proofErr w:type="spellStart"/>
      <w:r w:rsidRPr="004F1475">
        <w:rPr>
          <w:lang w:val="en-US"/>
        </w:rPr>
        <w:t>E</w:t>
      </w:r>
      <w:r>
        <w:rPr>
          <w:lang w:val="en-US"/>
        </w:rPr>
        <w:t>casa</w:t>
      </w:r>
      <w:proofErr w:type="spellEnd"/>
      <w:r w:rsidRPr="004F1475">
        <w:rPr>
          <w:lang w:val="en-US"/>
        </w:rPr>
        <w:t xml:space="preserve"> and </w:t>
      </w:r>
      <w:r w:rsidR="008D106F">
        <w:rPr>
          <w:lang w:val="en-US"/>
        </w:rPr>
        <w:t>other</w:t>
      </w:r>
      <w:r w:rsidRPr="004F1475">
        <w:rPr>
          <w:lang w:val="en-US"/>
        </w:rPr>
        <w:t xml:space="preserve"> small producers</w:t>
      </w:r>
      <w:r>
        <w:rPr>
          <w:lang w:val="en-US"/>
        </w:rPr>
        <w:t>, with</w:t>
      </w:r>
      <w:r w:rsidRPr="004F1475">
        <w:rPr>
          <w:lang w:val="en-US"/>
        </w:rPr>
        <w:t xml:space="preserve"> reported success.</w:t>
      </w:r>
      <w:r>
        <w:rPr>
          <w:lang w:val="en-US"/>
        </w:rPr>
        <w:t xml:space="preserve"> However, after further consultations, UNIDO agreed that the conversion of 7.78 </w:t>
      </w:r>
      <w:proofErr w:type="spellStart"/>
      <w:r>
        <w:rPr>
          <w:lang w:val="en-US"/>
        </w:rPr>
        <w:t>mt</w:t>
      </w:r>
      <w:proofErr w:type="spellEnd"/>
      <w:r>
        <w:rPr>
          <w:lang w:val="en-US"/>
        </w:rPr>
        <w:t xml:space="preserve"> of </w:t>
      </w:r>
      <w:r w:rsidRPr="00CB13F3">
        <w:rPr>
          <w:lang w:val="en-US"/>
        </w:rPr>
        <w:t>HCFC-141b in spray foam will be postponed to stage II</w:t>
      </w:r>
      <w:r>
        <w:rPr>
          <w:lang w:val="en-US"/>
        </w:rPr>
        <w:t xml:space="preserve"> of the HPMP, representing the remaining eligible consumption for funding</w:t>
      </w:r>
      <w:r w:rsidRPr="00CB13F3">
        <w:rPr>
          <w:lang w:val="en-US"/>
        </w:rPr>
        <w:t xml:space="preserve">. </w:t>
      </w:r>
    </w:p>
    <w:p w:rsidR="00624407" w:rsidRPr="003806B6" w:rsidRDefault="00624407" w:rsidP="00624407">
      <w:pPr>
        <w:rPr>
          <w:u w:val="single"/>
          <w:lang w:val="en-CA"/>
        </w:rPr>
      </w:pPr>
      <w:r w:rsidRPr="003806B6">
        <w:rPr>
          <w:u w:val="single"/>
          <w:lang w:val="en-CA"/>
        </w:rPr>
        <w:t>Incremental costs</w:t>
      </w:r>
    </w:p>
    <w:p w:rsidR="00624407" w:rsidRPr="009A495B" w:rsidRDefault="00624407" w:rsidP="00624407">
      <w:pPr>
        <w:rPr>
          <w:u w:val="single"/>
          <w:lang w:val="es-CO"/>
        </w:rPr>
      </w:pPr>
    </w:p>
    <w:p w:rsidR="00624407" w:rsidRPr="00BB4ABB" w:rsidRDefault="00624407" w:rsidP="00624407">
      <w:pPr>
        <w:pStyle w:val="Heading1"/>
        <w:tabs>
          <w:tab w:val="clear" w:pos="142"/>
          <w:tab w:val="num" w:pos="0"/>
        </w:tabs>
        <w:ind w:left="0"/>
        <w:rPr>
          <w:lang w:val="en-US"/>
        </w:rPr>
      </w:pPr>
      <w:r>
        <w:rPr>
          <w:lang w:val="en-US"/>
        </w:rPr>
        <w:t xml:space="preserve">On the basis of </w:t>
      </w:r>
      <w:r w:rsidRPr="00BB4ABB">
        <w:rPr>
          <w:lang w:val="en-US"/>
        </w:rPr>
        <w:t xml:space="preserve">the </w:t>
      </w:r>
      <w:r w:rsidR="000A65BF" w:rsidRPr="00BB4ABB">
        <w:rPr>
          <w:lang w:val="en-US"/>
        </w:rPr>
        <w:t xml:space="preserve">eligibility </w:t>
      </w:r>
      <w:r w:rsidRPr="00BB4ABB">
        <w:rPr>
          <w:lang w:val="en-US"/>
        </w:rPr>
        <w:t>analysis</w:t>
      </w:r>
      <w:r w:rsidR="000A65BF" w:rsidRPr="00BB4ABB">
        <w:rPr>
          <w:lang w:val="en-US"/>
        </w:rPr>
        <w:t xml:space="preserve"> </w:t>
      </w:r>
      <w:r w:rsidRPr="00BB4ABB">
        <w:rPr>
          <w:lang w:val="en-US"/>
        </w:rPr>
        <w:t xml:space="preserve">of the enterprises included in the umbrella project, four individual conversions will be removed. Specifically, it has been agreed that the requests for funding for </w:t>
      </w:r>
      <w:proofErr w:type="spellStart"/>
      <w:r w:rsidRPr="00BB4ABB">
        <w:rPr>
          <w:lang w:val="en-US"/>
        </w:rPr>
        <w:t>Elasto</w:t>
      </w:r>
      <w:proofErr w:type="spellEnd"/>
      <w:r w:rsidRPr="00BB4ABB">
        <w:rPr>
          <w:lang w:val="en-US"/>
        </w:rPr>
        <w:t xml:space="preserve"> (</w:t>
      </w:r>
      <w:r w:rsidR="00C52303">
        <w:rPr>
          <w:lang w:val="en-US"/>
        </w:rPr>
        <w:t>US $</w:t>
      </w:r>
      <w:r w:rsidRPr="00BB4ABB">
        <w:rPr>
          <w:lang w:val="en-US"/>
        </w:rPr>
        <w:t xml:space="preserve">28,600) and </w:t>
      </w:r>
      <w:proofErr w:type="spellStart"/>
      <w:r w:rsidRPr="00BB4ABB">
        <w:rPr>
          <w:lang w:val="en-US"/>
        </w:rPr>
        <w:t>Fibroacero</w:t>
      </w:r>
      <w:proofErr w:type="spellEnd"/>
      <w:r w:rsidRPr="00BB4ABB">
        <w:rPr>
          <w:lang w:val="en-US"/>
        </w:rPr>
        <w:t xml:space="preserve"> (</w:t>
      </w:r>
      <w:r w:rsidR="00C52303">
        <w:rPr>
          <w:lang w:val="en-US"/>
        </w:rPr>
        <w:t>US $</w:t>
      </w:r>
      <w:r w:rsidRPr="00BB4ABB">
        <w:rPr>
          <w:lang w:val="en-US"/>
        </w:rPr>
        <w:t xml:space="preserve">64,900) will be </w:t>
      </w:r>
      <w:r w:rsidR="008D106F" w:rsidRPr="00BB4ABB">
        <w:rPr>
          <w:lang w:val="en-US"/>
        </w:rPr>
        <w:t>removed</w:t>
      </w:r>
      <w:r w:rsidRPr="00BB4ABB">
        <w:rPr>
          <w:lang w:val="en-US"/>
        </w:rPr>
        <w:t xml:space="preserve">, as they were found to be ineligible; and given their very low level of consumption, the enterprises </w:t>
      </w:r>
      <w:proofErr w:type="spellStart"/>
      <w:r w:rsidRPr="00BB4ABB">
        <w:rPr>
          <w:lang w:val="en-US"/>
        </w:rPr>
        <w:t>Cepolfi</w:t>
      </w:r>
      <w:proofErr w:type="spellEnd"/>
      <w:r w:rsidRPr="00BB4ABB">
        <w:rPr>
          <w:lang w:val="en-US"/>
        </w:rPr>
        <w:t xml:space="preserve"> (</w:t>
      </w:r>
      <w:r w:rsidR="00C52303">
        <w:rPr>
          <w:lang w:val="en-US"/>
        </w:rPr>
        <w:t>US $</w:t>
      </w:r>
      <w:r w:rsidRPr="00BB4ABB">
        <w:rPr>
          <w:lang w:val="en-US"/>
        </w:rPr>
        <w:t xml:space="preserve">28,600) and </w:t>
      </w:r>
      <w:proofErr w:type="spellStart"/>
      <w:r w:rsidRPr="00BB4ABB">
        <w:rPr>
          <w:lang w:val="en-US"/>
        </w:rPr>
        <w:t>Chova</w:t>
      </w:r>
      <w:proofErr w:type="spellEnd"/>
      <w:r w:rsidRPr="00BB4ABB">
        <w:rPr>
          <w:lang w:val="en-US"/>
        </w:rPr>
        <w:t xml:space="preserve"> del Ecuador (</w:t>
      </w:r>
      <w:r w:rsidR="00C52303">
        <w:rPr>
          <w:lang w:val="en-US"/>
        </w:rPr>
        <w:t>US $</w:t>
      </w:r>
      <w:r w:rsidRPr="00BB4ABB">
        <w:rPr>
          <w:lang w:val="en-US"/>
        </w:rPr>
        <w:t xml:space="preserve">23,100) have been integrated into the technical assistance component rather than </w:t>
      </w:r>
      <w:r w:rsidR="000A65BF" w:rsidRPr="00BB4ABB">
        <w:rPr>
          <w:lang w:val="en-US"/>
        </w:rPr>
        <w:t>treated as</w:t>
      </w:r>
      <w:r w:rsidRPr="00BB4ABB">
        <w:rPr>
          <w:lang w:val="en-US"/>
        </w:rPr>
        <w:t xml:space="preserve"> individual conversions. In addition, the request for funding for </w:t>
      </w:r>
      <w:proofErr w:type="spellStart"/>
      <w:r w:rsidRPr="00BB4ABB">
        <w:rPr>
          <w:lang w:val="en-US"/>
        </w:rPr>
        <w:t>Ecasa</w:t>
      </w:r>
      <w:proofErr w:type="spellEnd"/>
      <w:r w:rsidRPr="00BB4ABB">
        <w:rPr>
          <w:lang w:val="en-US"/>
        </w:rPr>
        <w:t xml:space="preserve"> (second-stage conversion) will be reduced from </w:t>
      </w:r>
      <w:r w:rsidR="00C52303">
        <w:rPr>
          <w:lang w:val="en-US"/>
        </w:rPr>
        <w:t>US $</w:t>
      </w:r>
      <w:r w:rsidRPr="00BB4ABB">
        <w:rPr>
          <w:lang w:val="en-US"/>
        </w:rPr>
        <w:t xml:space="preserve">66,000 to </w:t>
      </w:r>
      <w:r w:rsidR="00C52303">
        <w:rPr>
          <w:lang w:val="en-US"/>
        </w:rPr>
        <w:t>US $</w:t>
      </w:r>
      <w:r w:rsidRPr="00BB4ABB">
        <w:rPr>
          <w:lang w:val="en-US"/>
        </w:rPr>
        <w:t>44,000 to include only installation of equipment (mostly safety items to be procured by the enterprise), trials and training.</w:t>
      </w:r>
    </w:p>
    <w:p w:rsidR="00624407" w:rsidRDefault="00D06E90" w:rsidP="00624407">
      <w:pPr>
        <w:pStyle w:val="Heading1"/>
        <w:tabs>
          <w:tab w:val="clear" w:pos="142"/>
          <w:tab w:val="num" w:pos="0"/>
        </w:tabs>
        <w:ind w:left="0"/>
        <w:rPr>
          <w:lang w:val="en-US"/>
        </w:rPr>
      </w:pPr>
      <w:r w:rsidRPr="00BB4ABB">
        <w:rPr>
          <w:lang w:val="en-US"/>
        </w:rPr>
        <w:t>Given that the tests and trials of pre-blended HCs were an underfunded element in the original request, and that the technology is relatively new in the country and is not yet being commercially used, p</w:t>
      </w:r>
      <w:r w:rsidR="00624407" w:rsidRPr="00BB4ABB">
        <w:rPr>
          <w:lang w:val="en-US"/>
        </w:rPr>
        <w:t>art of the funding associated with the above enterprises ha</w:t>
      </w:r>
      <w:r w:rsidR="000A65BF" w:rsidRPr="00BB4ABB">
        <w:rPr>
          <w:lang w:val="en-US"/>
        </w:rPr>
        <w:t>s</w:t>
      </w:r>
      <w:r w:rsidR="00624407" w:rsidRPr="00BB4ABB">
        <w:rPr>
          <w:lang w:val="en-US"/>
        </w:rPr>
        <w:t xml:space="preserve"> been used to increase the amount of funding requested for the</w:t>
      </w:r>
      <w:r w:rsidRPr="00BB4ABB">
        <w:rPr>
          <w:lang w:val="en-US"/>
        </w:rPr>
        <w:t xml:space="preserve"> five individual conversions. This will allow</w:t>
      </w:r>
      <w:r w:rsidR="00624407" w:rsidRPr="00BB4ABB">
        <w:rPr>
          <w:lang w:val="en-US"/>
        </w:rPr>
        <w:t xml:space="preserve"> </w:t>
      </w:r>
      <w:r w:rsidRPr="00BB4ABB">
        <w:rPr>
          <w:lang w:val="en-US"/>
        </w:rPr>
        <w:t xml:space="preserve">more enterprises to be included. </w:t>
      </w:r>
      <w:r w:rsidR="00624407" w:rsidRPr="00BB4ABB">
        <w:rPr>
          <w:lang w:val="en-US"/>
        </w:rPr>
        <w:t>The</w:t>
      </w:r>
      <w:r w:rsidRPr="00BB4ABB">
        <w:rPr>
          <w:lang w:val="en-US"/>
        </w:rPr>
        <w:t xml:space="preserve"> cost</w:t>
      </w:r>
      <w:r w:rsidR="00624407" w:rsidRPr="00BB4ABB">
        <w:rPr>
          <w:lang w:val="en-US"/>
        </w:rPr>
        <w:t xml:space="preserve"> of trials, testing and training for the individual conversions has been agreed at between </w:t>
      </w:r>
      <w:r w:rsidR="00C52303">
        <w:rPr>
          <w:lang w:val="en-US"/>
        </w:rPr>
        <w:t>US $</w:t>
      </w:r>
      <w:r w:rsidR="00624407" w:rsidRPr="00BB4ABB">
        <w:rPr>
          <w:lang w:val="en-US"/>
        </w:rPr>
        <w:t xml:space="preserve">15,000 and </w:t>
      </w:r>
      <w:r w:rsidR="00C52303">
        <w:rPr>
          <w:lang w:val="en-US"/>
        </w:rPr>
        <w:t>US $</w:t>
      </w:r>
      <w:r w:rsidR="00624407" w:rsidRPr="00BB4ABB">
        <w:rPr>
          <w:lang w:val="en-US"/>
        </w:rPr>
        <w:t>30,000</w:t>
      </w:r>
      <w:r w:rsidRPr="00BB4ABB">
        <w:rPr>
          <w:lang w:val="en-US"/>
        </w:rPr>
        <w:t>,</w:t>
      </w:r>
      <w:r w:rsidR="00624407" w:rsidRPr="00BB4ABB">
        <w:rPr>
          <w:lang w:val="en-US"/>
        </w:rPr>
        <w:t xml:space="preserve"> depending on the </w:t>
      </w:r>
      <w:r w:rsidRPr="00BB4ABB">
        <w:rPr>
          <w:lang w:val="en-US"/>
        </w:rPr>
        <w:t>production level of</w:t>
      </w:r>
      <w:r w:rsidR="00624407" w:rsidRPr="00BB4ABB">
        <w:rPr>
          <w:lang w:val="en-US"/>
        </w:rPr>
        <w:t xml:space="preserve"> the enterprise. For the remaining ICC items, the Secretariat notes that the cost levels requested are already comparable</w:t>
      </w:r>
      <w:r w:rsidR="00624407" w:rsidRPr="00F573BC">
        <w:rPr>
          <w:lang w:val="en-US"/>
        </w:rPr>
        <w:t xml:space="preserve"> </w:t>
      </w:r>
      <w:r w:rsidR="00624407">
        <w:rPr>
          <w:lang w:val="en-US"/>
        </w:rPr>
        <w:t xml:space="preserve">to, </w:t>
      </w:r>
      <w:r w:rsidR="00624407" w:rsidRPr="00F573BC">
        <w:rPr>
          <w:lang w:val="en-US"/>
        </w:rPr>
        <w:t>and in some cases lower than</w:t>
      </w:r>
      <w:r w:rsidR="00624407">
        <w:rPr>
          <w:lang w:val="en-US"/>
        </w:rPr>
        <w:t>,</w:t>
      </w:r>
      <w:r w:rsidR="00624407" w:rsidRPr="00F573BC">
        <w:rPr>
          <w:lang w:val="en-US"/>
        </w:rPr>
        <w:t xml:space="preserve"> </w:t>
      </w:r>
      <w:r w:rsidR="00624407">
        <w:rPr>
          <w:lang w:val="en-US"/>
        </w:rPr>
        <w:t xml:space="preserve">other </w:t>
      </w:r>
      <w:r w:rsidR="00624407" w:rsidRPr="00F573BC">
        <w:rPr>
          <w:lang w:val="en-US"/>
        </w:rPr>
        <w:t xml:space="preserve">proposals </w:t>
      </w:r>
      <w:r w:rsidR="00624407">
        <w:rPr>
          <w:lang w:val="en-US"/>
        </w:rPr>
        <w:t xml:space="preserve">made to </w:t>
      </w:r>
      <w:r w:rsidR="00624407" w:rsidRPr="00F573BC">
        <w:rPr>
          <w:lang w:val="en-US"/>
        </w:rPr>
        <w:t xml:space="preserve">convert to </w:t>
      </w:r>
      <w:proofErr w:type="spellStart"/>
      <w:r w:rsidR="00624407" w:rsidRPr="00F573BC">
        <w:rPr>
          <w:lang w:val="en-US"/>
        </w:rPr>
        <w:t>cyclopentane</w:t>
      </w:r>
      <w:proofErr w:type="spellEnd"/>
      <w:r w:rsidR="00624407" w:rsidRPr="00F573BC">
        <w:rPr>
          <w:lang w:val="en-US"/>
        </w:rPr>
        <w:t xml:space="preserve">. </w:t>
      </w:r>
      <w:r w:rsidR="00624407">
        <w:rPr>
          <w:lang w:val="en-US"/>
        </w:rPr>
        <w:t>As a result</w:t>
      </w:r>
      <w:r w:rsidR="00624407" w:rsidRPr="00F573BC">
        <w:rPr>
          <w:lang w:val="en-US"/>
        </w:rPr>
        <w:t xml:space="preserve">, no major adjustments </w:t>
      </w:r>
      <w:r w:rsidR="00624407">
        <w:rPr>
          <w:lang w:val="en-US"/>
        </w:rPr>
        <w:t>have been</w:t>
      </w:r>
      <w:r w:rsidR="00624407" w:rsidRPr="00F573BC">
        <w:rPr>
          <w:lang w:val="en-US"/>
        </w:rPr>
        <w:t xml:space="preserve"> made to the unitary cost levels</w:t>
      </w:r>
      <w:r w:rsidR="00624407">
        <w:rPr>
          <w:lang w:val="en-US"/>
        </w:rPr>
        <w:t xml:space="preserve">. </w:t>
      </w:r>
      <w:r w:rsidR="00624407" w:rsidRPr="00F573BC">
        <w:rPr>
          <w:lang w:val="en-US"/>
        </w:rPr>
        <w:t>The cost of retrofit</w:t>
      </w:r>
      <w:r w:rsidR="00624407">
        <w:rPr>
          <w:lang w:val="en-US"/>
        </w:rPr>
        <w:t>ting</w:t>
      </w:r>
      <w:r w:rsidR="00624407" w:rsidRPr="00F573BC">
        <w:rPr>
          <w:lang w:val="en-US"/>
        </w:rPr>
        <w:t xml:space="preserve"> foam dispensers </w:t>
      </w:r>
      <w:r w:rsidR="00624407">
        <w:rPr>
          <w:lang w:val="en-US"/>
        </w:rPr>
        <w:t>h</w:t>
      </w:r>
      <w:r w:rsidR="00624407" w:rsidRPr="00F573BC">
        <w:rPr>
          <w:lang w:val="en-US"/>
        </w:rPr>
        <w:t xml:space="preserve">as </w:t>
      </w:r>
      <w:r w:rsidR="00624407">
        <w:rPr>
          <w:lang w:val="en-US"/>
        </w:rPr>
        <w:t xml:space="preserve">been </w:t>
      </w:r>
      <w:r w:rsidR="00624407" w:rsidRPr="00F573BC">
        <w:rPr>
          <w:lang w:val="en-US"/>
        </w:rPr>
        <w:t>maintained as submitted (</w:t>
      </w:r>
      <w:r w:rsidR="00C52303">
        <w:rPr>
          <w:lang w:val="en-US"/>
        </w:rPr>
        <w:t>US $</w:t>
      </w:r>
      <w:r w:rsidR="00624407" w:rsidRPr="00F573BC">
        <w:rPr>
          <w:lang w:val="en-US"/>
        </w:rPr>
        <w:t xml:space="preserve">15,000 to </w:t>
      </w:r>
      <w:r w:rsidR="00C52303">
        <w:rPr>
          <w:lang w:val="en-US"/>
        </w:rPr>
        <w:t>US $</w:t>
      </w:r>
      <w:r w:rsidR="00624407" w:rsidRPr="00F573BC">
        <w:rPr>
          <w:lang w:val="en-US"/>
        </w:rPr>
        <w:t xml:space="preserve">30,000 per enterprise), </w:t>
      </w:r>
      <w:r w:rsidR="00624407">
        <w:rPr>
          <w:lang w:val="en-US"/>
        </w:rPr>
        <w:t xml:space="preserve">the cost of </w:t>
      </w:r>
      <w:r w:rsidR="00624407" w:rsidRPr="00F573BC">
        <w:rPr>
          <w:lang w:val="en-US"/>
        </w:rPr>
        <w:t xml:space="preserve">the drum storage area </w:t>
      </w:r>
      <w:r w:rsidR="00624407">
        <w:rPr>
          <w:lang w:val="en-US"/>
        </w:rPr>
        <w:t>has been</w:t>
      </w:r>
      <w:r w:rsidR="00624407" w:rsidRPr="00F573BC">
        <w:rPr>
          <w:lang w:val="en-US"/>
        </w:rPr>
        <w:t xml:space="preserve"> </w:t>
      </w:r>
      <w:r w:rsidR="00624407">
        <w:rPr>
          <w:lang w:val="en-US"/>
        </w:rPr>
        <w:t>set</w:t>
      </w:r>
      <w:r w:rsidR="00624407" w:rsidRPr="00F573BC">
        <w:rPr>
          <w:lang w:val="en-US"/>
        </w:rPr>
        <w:t xml:space="preserve"> at </w:t>
      </w:r>
      <w:r w:rsidR="00C52303">
        <w:rPr>
          <w:lang w:val="en-US"/>
        </w:rPr>
        <w:t>US $</w:t>
      </w:r>
      <w:r w:rsidR="00624407" w:rsidRPr="00F573BC">
        <w:rPr>
          <w:lang w:val="en-US"/>
        </w:rPr>
        <w:t>10,000 for each enterprise</w:t>
      </w:r>
      <w:r w:rsidR="00624407">
        <w:rPr>
          <w:lang w:val="en-US"/>
        </w:rPr>
        <w:t xml:space="preserve"> and </w:t>
      </w:r>
      <w:r w:rsidR="00624407" w:rsidRPr="00F573BC">
        <w:rPr>
          <w:lang w:val="en-US"/>
        </w:rPr>
        <w:t xml:space="preserve">the </w:t>
      </w:r>
      <w:r w:rsidR="00624407">
        <w:rPr>
          <w:lang w:val="en-US"/>
        </w:rPr>
        <w:t xml:space="preserve">cost of </w:t>
      </w:r>
      <w:r w:rsidR="00624407" w:rsidRPr="00F573BC">
        <w:rPr>
          <w:lang w:val="en-US"/>
        </w:rPr>
        <w:t xml:space="preserve">safety </w:t>
      </w:r>
      <w:r w:rsidR="000A65BF">
        <w:rPr>
          <w:lang w:val="en-US"/>
        </w:rPr>
        <w:t xml:space="preserve">system </w:t>
      </w:r>
      <w:r w:rsidR="00624407" w:rsidRPr="00F573BC">
        <w:rPr>
          <w:lang w:val="en-US"/>
        </w:rPr>
        <w:t>in the plant</w:t>
      </w:r>
      <w:r w:rsidR="00624407">
        <w:rPr>
          <w:lang w:val="en-US"/>
        </w:rPr>
        <w:t xml:space="preserve"> is</w:t>
      </w:r>
      <w:r w:rsidR="00624407" w:rsidRPr="00F573BC">
        <w:rPr>
          <w:lang w:val="en-US"/>
        </w:rPr>
        <w:t xml:space="preserve"> </w:t>
      </w:r>
      <w:r w:rsidR="00C52303">
        <w:rPr>
          <w:lang w:val="en-US"/>
        </w:rPr>
        <w:t>US $</w:t>
      </w:r>
      <w:r w:rsidR="00624407" w:rsidRPr="00F573BC">
        <w:rPr>
          <w:lang w:val="en-US"/>
        </w:rPr>
        <w:t>30,000</w:t>
      </w:r>
      <w:r w:rsidR="00624407">
        <w:rPr>
          <w:lang w:val="en-US"/>
        </w:rPr>
        <w:t>. The project management costs (</w:t>
      </w:r>
      <w:r w:rsidR="00C52303">
        <w:rPr>
          <w:lang w:val="en-US"/>
        </w:rPr>
        <w:t>US $</w:t>
      </w:r>
      <w:r w:rsidR="00624407">
        <w:rPr>
          <w:lang w:val="en-US"/>
        </w:rPr>
        <w:t xml:space="preserve">1,000 to </w:t>
      </w:r>
      <w:r w:rsidR="00C52303">
        <w:rPr>
          <w:lang w:val="en-US"/>
        </w:rPr>
        <w:t>US $</w:t>
      </w:r>
      <w:r w:rsidR="00624407">
        <w:rPr>
          <w:lang w:val="en-US"/>
        </w:rPr>
        <w:t>2,000 per enterprise) have been removed</w:t>
      </w:r>
      <w:r w:rsidR="00624407" w:rsidRPr="00F573BC">
        <w:rPr>
          <w:lang w:val="en-US"/>
        </w:rPr>
        <w:t>.</w:t>
      </w:r>
      <w:r w:rsidR="00624407">
        <w:rPr>
          <w:lang w:val="en-US"/>
        </w:rPr>
        <w:t xml:space="preserve"> </w:t>
      </w:r>
    </w:p>
    <w:p w:rsidR="00624407" w:rsidRDefault="00624407" w:rsidP="00624407">
      <w:pPr>
        <w:pStyle w:val="Heading1"/>
        <w:tabs>
          <w:tab w:val="clear" w:pos="142"/>
          <w:tab w:val="num" w:pos="0"/>
        </w:tabs>
        <w:ind w:left="0"/>
        <w:rPr>
          <w:lang w:val="en-US"/>
        </w:rPr>
      </w:pPr>
      <w:r>
        <w:rPr>
          <w:lang w:val="en-US"/>
        </w:rPr>
        <w:t xml:space="preserve">It has also been agreed that technical assistance would be provided with support from the two main distributors of polyols in the country, following the model applied with systems houses. In the case of Ecuador, however, given the low level of consumption by SMEs and the limits on the funding available, funds would be only for the development of formulations </w:t>
      </w:r>
      <w:r w:rsidRPr="008E3BC4">
        <w:rPr>
          <w:lang w:val="en-US"/>
        </w:rPr>
        <w:t>(</w:t>
      </w:r>
      <w:r w:rsidR="00C52303">
        <w:rPr>
          <w:lang w:val="en-US"/>
        </w:rPr>
        <w:t>US $</w:t>
      </w:r>
      <w:r w:rsidRPr="008E3BC4">
        <w:rPr>
          <w:lang w:val="en-US"/>
        </w:rPr>
        <w:t>24,400)</w:t>
      </w:r>
      <w:r>
        <w:rPr>
          <w:lang w:val="en-US"/>
        </w:rPr>
        <w:t xml:space="preserve"> and trials, testing and training for end-users (</w:t>
      </w:r>
      <w:r w:rsidR="00C52303">
        <w:rPr>
          <w:lang w:val="en-US"/>
        </w:rPr>
        <w:t>US $</w:t>
      </w:r>
      <w:r>
        <w:rPr>
          <w:lang w:val="en-US"/>
        </w:rPr>
        <w:t xml:space="preserve">50,000). No equipment costs are included in this component. </w:t>
      </w:r>
    </w:p>
    <w:p w:rsidR="00624407" w:rsidRPr="00D03D48" w:rsidRDefault="00624407" w:rsidP="00624407">
      <w:pPr>
        <w:numPr>
          <w:ilvl w:val="0"/>
          <w:numId w:val="1"/>
        </w:numPr>
        <w:tabs>
          <w:tab w:val="clear" w:pos="1134"/>
          <w:tab w:val="num" w:pos="0"/>
        </w:tabs>
        <w:ind w:left="0"/>
      </w:pPr>
      <w:r w:rsidRPr="00D03D48">
        <w:t>The IOC</w:t>
      </w:r>
      <w:r>
        <w:t>s</w:t>
      </w:r>
      <w:r w:rsidRPr="00D03D48">
        <w:t xml:space="preserve"> for </w:t>
      </w:r>
      <w:proofErr w:type="spellStart"/>
      <w:r w:rsidRPr="00D03D48">
        <w:t>Mafrico</w:t>
      </w:r>
      <w:proofErr w:type="spellEnd"/>
      <w:r w:rsidRPr="00D03D48">
        <w:t xml:space="preserve"> </w:t>
      </w:r>
      <w:r>
        <w:t>have</w:t>
      </w:r>
      <w:r w:rsidRPr="00D03D48">
        <w:t xml:space="preserve"> also </w:t>
      </w:r>
      <w:r>
        <w:t xml:space="preserve">been </w:t>
      </w:r>
      <w:r w:rsidRPr="00D03D48">
        <w:t xml:space="preserve">adjusted to </w:t>
      </w:r>
      <w:r w:rsidR="00C52303">
        <w:t>US $</w:t>
      </w:r>
      <w:r w:rsidRPr="00D03D48">
        <w:t>1.60/kg</w:t>
      </w:r>
      <w:r>
        <w:t xml:space="preserve">, </w:t>
      </w:r>
      <w:r w:rsidRPr="00D03D48">
        <w:t xml:space="preserve">as per the cost guidelines for </w:t>
      </w:r>
      <w:r>
        <w:t>stage </w:t>
      </w:r>
      <w:r w:rsidRPr="00D03D48">
        <w:t>I of HPMPs (decision 60/44(f)(v)</w:t>
      </w:r>
      <w:r>
        <w:t xml:space="preserve">), and have been calculated on the basis of the eligible portion of the consumption only (19.61 </w:t>
      </w:r>
      <w:proofErr w:type="spellStart"/>
      <w:r>
        <w:t>mt</w:t>
      </w:r>
      <w:proofErr w:type="spellEnd"/>
      <w:r>
        <w:t xml:space="preserve">). </w:t>
      </w:r>
    </w:p>
    <w:p w:rsidR="00624407" w:rsidRPr="00E91A59" w:rsidRDefault="00624407" w:rsidP="00624407">
      <w:pPr>
        <w:pStyle w:val="ListParagraph"/>
        <w:rPr>
          <w:highlight w:val="yellow"/>
        </w:rPr>
      </w:pPr>
    </w:p>
    <w:p w:rsidR="00624407" w:rsidRPr="00591627" w:rsidRDefault="00624407" w:rsidP="00624407">
      <w:pPr>
        <w:pStyle w:val="Heading1"/>
        <w:tabs>
          <w:tab w:val="clear" w:pos="142"/>
          <w:tab w:val="num" w:pos="0"/>
        </w:tabs>
        <w:ind w:left="0"/>
      </w:pPr>
      <w:r>
        <w:t>On the basis of</w:t>
      </w:r>
      <w:r w:rsidRPr="00591627">
        <w:t xml:space="preserve"> the above, the total cost of the project amounts to </w:t>
      </w:r>
      <w:r w:rsidR="00C52303">
        <w:t>US $</w:t>
      </w:r>
      <w:r>
        <w:t>638,836</w:t>
      </w:r>
      <w:r w:rsidRPr="00591627">
        <w:t>,</w:t>
      </w:r>
      <w:r w:rsidR="00710320">
        <w:t xml:space="preserve"> to phase </w:t>
      </w:r>
      <w:r>
        <w:t>out 65.72 </w:t>
      </w:r>
      <w:proofErr w:type="spellStart"/>
      <w:r w:rsidRPr="00591627">
        <w:t>mt</w:t>
      </w:r>
      <w:proofErr w:type="spellEnd"/>
      <w:r w:rsidRPr="00591627">
        <w:t xml:space="preserve"> of HCFC-141b</w:t>
      </w:r>
      <w:r>
        <w:t xml:space="preserve"> contained in imported pre-blended polyols,</w:t>
      </w:r>
      <w:r w:rsidRPr="00591627">
        <w:t xml:space="preserve"> with a cost</w:t>
      </w:r>
      <w:r w:rsidRPr="00591627">
        <w:noBreakHyphen/>
        <w:t xml:space="preserve">effectiveness of </w:t>
      </w:r>
      <w:r w:rsidR="00C52303">
        <w:t>US $</w:t>
      </w:r>
      <w:r>
        <w:t>9.72</w:t>
      </w:r>
      <w:r w:rsidRPr="00591627">
        <w:t>/kg. Taking into consideration that the consumption</w:t>
      </w:r>
      <w:r>
        <w:t xml:space="preserve"> eligible for funding is 44.10</w:t>
      </w:r>
      <w:r w:rsidRPr="00591627">
        <w:t xml:space="preserve"> </w:t>
      </w:r>
      <w:proofErr w:type="spellStart"/>
      <w:r w:rsidRPr="00591627">
        <w:t>mt</w:t>
      </w:r>
      <w:proofErr w:type="spellEnd"/>
      <w:r>
        <w:t xml:space="preserve"> </w:t>
      </w:r>
      <w:r w:rsidRPr="008E3BC4">
        <w:t xml:space="preserve">(51.88 </w:t>
      </w:r>
      <w:proofErr w:type="spellStart"/>
      <w:r w:rsidRPr="008E3BC4">
        <w:t>mt</w:t>
      </w:r>
      <w:proofErr w:type="spellEnd"/>
      <w:r w:rsidRPr="008E3BC4">
        <w:t xml:space="preserve"> in line with decision 61/47 an</w:t>
      </w:r>
      <w:r w:rsidR="008E3BC4" w:rsidRPr="008E3BC4">
        <w:t>d</w:t>
      </w:r>
      <w:r w:rsidRPr="008E3BC4">
        <w:t xml:space="preserve"> 63/15</w:t>
      </w:r>
      <w:r w:rsidR="008E3BC4" w:rsidRPr="008E3BC4">
        <w:t>,</w:t>
      </w:r>
      <w:r w:rsidRPr="008E3BC4">
        <w:t xml:space="preserve"> minus a deduction of 7.78 </w:t>
      </w:r>
      <w:proofErr w:type="spellStart"/>
      <w:r w:rsidRPr="008E3BC4">
        <w:t>mt</w:t>
      </w:r>
      <w:proofErr w:type="spellEnd"/>
      <w:r w:rsidRPr="008E3BC4">
        <w:t xml:space="preserve"> used in the spray foam to be phased out during stage II of the HPMP),</w:t>
      </w:r>
      <w:r w:rsidRPr="00591627">
        <w:t xml:space="preserve"> the maximum level of fund</w:t>
      </w:r>
      <w:r>
        <w:t>ing</w:t>
      </w:r>
      <w:r w:rsidRPr="00591627">
        <w:t xml:space="preserve"> </w:t>
      </w:r>
      <w:r>
        <w:t xml:space="preserve">is </w:t>
      </w:r>
      <w:r w:rsidR="00C52303">
        <w:t>US $</w:t>
      </w:r>
      <w:r>
        <w:t>431,719. The fund</w:t>
      </w:r>
      <w:r w:rsidR="000A65BF">
        <w:t>s</w:t>
      </w:r>
      <w:r>
        <w:t xml:space="preserve"> requested by enterprise</w:t>
      </w:r>
      <w:r w:rsidR="000A65BF">
        <w:t>s</w:t>
      </w:r>
      <w:r>
        <w:t xml:space="preserve"> and technical assistance were adjusted accordingly, a</w:t>
      </w:r>
      <w:r w:rsidRPr="00591627">
        <w:t xml:space="preserve">s shown in Table </w:t>
      </w:r>
      <w:r>
        <w:t>4</w:t>
      </w:r>
      <w:r w:rsidRPr="00591627">
        <w:t>.</w:t>
      </w:r>
      <w:r>
        <w:t xml:space="preserve"> </w:t>
      </w:r>
    </w:p>
    <w:p w:rsidR="00624407" w:rsidRDefault="00624407" w:rsidP="00242391">
      <w:pPr>
        <w:keepNext/>
        <w:keepLines/>
        <w:rPr>
          <w:b/>
        </w:rPr>
      </w:pPr>
      <w:r w:rsidRPr="00591627">
        <w:rPr>
          <w:b/>
        </w:rPr>
        <w:t xml:space="preserve">Table </w:t>
      </w:r>
      <w:r>
        <w:rPr>
          <w:b/>
        </w:rPr>
        <w:t>4.</w:t>
      </w:r>
      <w:r w:rsidRPr="00591627">
        <w:rPr>
          <w:b/>
        </w:rPr>
        <w:t xml:space="preserve"> Agreed incremental cost</w:t>
      </w:r>
      <w:r>
        <w:rPr>
          <w:b/>
        </w:rPr>
        <w:t>s</w:t>
      </w:r>
      <w:r w:rsidRPr="00591627">
        <w:rPr>
          <w:b/>
        </w:rPr>
        <w:t xml:space="preserve"> for the conversion of PU foam enterprises in Ecuador</w:t>
      </w:r>
    </w:p>
    <w:tbl>
      <w:tblPr>
        <w:tblW w:w="5000" w:type="pct"/>
        <w:tblLayout w:type="fixed"/>
        <w:tblLook w:val="04A0" w:firstRow="1" w:lastRow="0" w:firstColumn="1" w:lastColumn="0" w:noHBand="0" w:noVBand="1"/>
      </w:tblPr>
      <w:tblGrid>
        <w:gridCol w:w="2782"/>
        <w:gridCol w:w="1312"/>
        <w:gridCol w:w="1315"/>
        <w:gridCol w:w="1313"/>
        <w:gridCol w:w="1315"/>
        <w:gridCol w:w="1313"/>
      </w:tblGrid>
      <w:tr w:rsidR="00624407" w:rsidRPr="00CB13F3" w:rsidTr="00624407">
        <w:trPr>
          <w:tblHead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624407" w:rsidRDefault="00624407" w:rsidP="00242391">
            <w:pPr>
              <w:keepNext/>
              <w:keepLines/>
              <w:jc w:val="left"/>
              <w:rPr>
                <w:b/>
                <w:bCs/>
                <w:color w:val="000000"/>
                <w:sz w:val="20"/>
                <w:szCs w:val="20"/>
                <w:lang w:val="en-US"/>
              </w:rPr>
            </w:pPr>
            <w:r>
              <w:rPr>
                <w:b/>
                <w:bCs/>
                <w:color w:val="000000"/>
                <w:sz w:val="20"/>
                <w:szCs w:val="20"/>
                <w:lang w:val="en-US"/>
              </w:rPr>
              <w:t>Enterprise</w:t>
            </w:r>
          </w:p>
        </w:tc>
        <w:tc>
          <w:tcPr>
            <w:tcW w:w="702" w:type="pct"/>
            <w:vMerge w:val="restart"/>
            <w:tcBorders>
              <w:top w:val="single" w:sz="4" w:space="0" w:color="auto"/>
              <w:left w:val="nil"/>
              <w:right w:val="single" w:sz="4" w:space="0" w:color="auto"/>
            </w:tcBorders>
            <w:shd w:val="clear" w:color="auto" w:fill="auto"/>
            <w:noWrap/>
            <w:tcMar>
              <w:left w:w="0" w:type="dxa"/>
              <w:right w:w="0" w:type="dxa"/>
            </w:tcMar>
          </w:tcPr>
          <w:p w:rsidR="00624407" w:rsidRDefault="00624407" w:rsidP="00242391">
            <w:pPr>
              <w:keepNext/>
              <w:keepLines/>
              <w:jc w:val="center"/>
              <w:rPr>
                <w:b/>
                <w:bCs/>
                <w:color w:val="000000"/>
                <w:sz w:val="20"/>
                <w:szCs w:val="20"/>
                <w:lang w:val="en-US"/>
              </w:rPr>
            </w:pPr>
            <w:r>
              <w:rPr>
                <w:b/>
                <w:bCs/>
                <w:color w:val="000000"/>
                <w:sz w:val="20"/>
                <w:szCs w:val="20"/>
                <w:lang w:val="en-US"/>
              </w:rPr>
              <w:t>Consumption (</w:t>
            </w:r>
            <w:proofErr w:type="spellStart"/>
            <w:r>
              <w:rPr>
                <w:b/>
                <w:bCs/>
                <w:color w:val="000000"/>
                <w:sz w:val="20"/>
                <w:szCs w:val="20"/>
                <w:lang w:val="en-US"/>
              </w:rPr>
              <w:t>mt</w:t>
            </w:r>
            <w:proofErr w:type="spellEnd"/>
            <w:r>
              <w:rPr>
                <w:b/>
                <w:bCs/>
                <w:color w:val="000000"/>
                <w:sz w:val="20"/>
                <w:szCs w:val="20"/>
                <w:lang w:val="en-US"/>
              </w:rPr>
              <w:t>)</w:t>
            </w:r>
            <w:r w:rsidRPr="00CB13F3">
              <w:rPr>
                <w:b/>
                <w:bCs/>
                <w:color w:val="000000"/>
                <w:sz w:val="20"/>
                <w:szCs w:val="20"/>
                <w:lang w:val="en-US"/>
              </w:rPr>
              <w:t> </w:t>
            </w:r>
          </w:p>
        </w:tc>
        <w:tc>
          <w:tcPr>
            <w:tcW w:w="2811" w:type="pct"/>
            <w:gridSpan w:val="4"/>
            <w:tcBorders>
              <w:top w:val="single" w:sz="4" w:space="0" w:color="auto"/>
              <w:left w:val="nil"/>
              <w:bottom w:val="single" w:sz="4" w:space="0" w:color="auto"/>
              <w:right w:val="single" w:sz="4" w:space="0" w:color="auto"/>
            </w:tcBorders>
            <w:shd w:val="clear" w:color="auto" w:fill="auto"/>
            <w:noWrap/>
          </w:tcPr>
          <w:p w:rsidR="00624407" w:rsidRDefault="00624407" w:rsidP="00242391">
            <w:pPr>
              <w:keepNext/>
              <w:keepLines/>
              <w:jc w:val="center"/>
              <w:rPr>
                <w:b/>
                <w:bCs/>
                <w:color w:val="000000"/>
                <w:sz w:val="20"/>
                <w:szCs w:val="20"/>
                <w:lang w:val="en-US"/>
              </w:rPr>
            </w:pPr>
            <w:r>
              <w:rPr>
                <w:b/>
                <w:bCs/>
                <w:color w:val="000000"/>
                <w:sz w:val="20"/>
                <w:szCs w:val="20"/>
                <w:lang w:val="en-US"/>
              </w:rPr>
              <w:t>Cost (</w:t>
            </w:r>
            <w:r w:rsidR="00C52303">
              <w:rPr>
                <w:b/>
                <w:bCs/>
                <w:color w:val="000000"/>
                <w:sz w:val="20"/>
                <w:szCs w:val="20"/>
                <w:lang w:val="en-US"/>
              </w:rPr>
              <w:t>US $</w:t>
            </w:r>
            <w:r>
              <w:rPr>
                <w:b/>
                <w:bCs/>
                <w:color w:val="000000"/>
                <w:sz w:val="20"/>
                <w:szCs w:val="20"/>
                <w:lang w:val="en-US"/>
              </w:rPr>
              <w:t>)</w:t>
            </w:r>
          </w:p>
        </w:tc>
      </w:tr>
      <w:tr w:rsidR="00624407" w:rsidRPr="00CB13F3" w:rsidTr="00624407">
        <w:trPr>
          <w:tblHeader/>
        </w:trPr>
        <w:tc>
          <w:tcPr>
            <w:tcW w:w="1488" w:type="pct"/>
            <w:vMerge/>
            <w:tcBorders>
              <w:left w:val="single" w:sz="4" w:space="0" w:color="auto"/>
              <w:bottom w:val="single" w:sz="4" w:space="0" w:color="auto"/>
              <w:right w:val="single" w:sz="4" w:space="0" w:color="auto"/>
            </w:tcBorders>
            <w:shd w:val="clear" w:color="auto" w:fill="auto"/>
            <w:noWrap/>
            <w:vAlign w:val="center"/>
            <w:hideMark/>
          </w:tcPr>
          <w:p w:rsidR="00624407" w:rsidRPr="00CB13F3" w:rsidRDefault="00624407" w:rsidP="00242391">
            <w:pPr>
              <w:keepNext/>
              <w:keepLines/>
              <w:jc w:val="left"/>
              <w:rPr>
                <w:b/>
                <w:bCs/>
                <w:color w:val="000000"/>
                <w:sz w:val="20"/>
                <w:szCs w:val="20"/>
                <w:lang w:val="en-US"/>
              </w:rPr>
            </w:pPr>
          </w:p>
        </w:tc>
        <w:tc>
          <w:tcPr>
            <w:tcW w:w="702" w:type="pct"/>
            <w:vMerge/>
            <w:tcBorders>
              <w:left w:val="nil"/>
              <w:bottom w:val="single" w:sz="4" w:space="0" w:color="auto"/>
              <w:right w:val="single" w:sz="4" w:space="0" w:color="auto"/>
            </w:tcBorders>
            <w:shd w:val="clear" w:color="auto" w:fill="auto"/>
            <w:noWrap/>
            <w:hideMark/>
          </w:tcPr>
          <w:p w:rsidR="00624407" w:rsidRPr="00CB13F3" w:rsidRDefault="00624407" w:rsidP="00242391">
            <w:pPr>
              <w:keepNext/>
              <w:keepLines/>
              <w:jc w:val="center"/>
              <w:rPr>
                <w:b/>
                <w:bCs/>
                <w:color w:val="000000"/>
                <w:sz w:val="20"/>
                <w:szCs w:val="20"/>
                <w:lang w:val="en-US"/>
              </w:rPr>
            </w:pPr>
          </w:p>
        </w:tc>
        <w:tc>
          <w:tcPr>
            <w:tcW w:w="703" w:type="pct"/>
            <w:tcBorders>
              <w:top w:val="single" w:sz="4" w:space="0" w:color="auto"/>
              <w:left w:val="nil"/>
              <w:bottom w:val="single" w:sz="4" w:space="0" w:color="auto"/>
              <w:right w:val="single" w:sz="4" w:space="0" w:color="auto"/>
            </w:tcBorders>
            <w:shd w:val="clear" w:color="auto" w:fill="auto"/>
            <w:noWrap/>
            <w:hideMark/>
          </w:tcPr>
          <w:p w:rsidR="00624407" w:rsidRPr="00CB13F3" w:rsidRDefault="00624407" w:rsidP="00242391">
            <w:pPr>
              <w:keepNext/>
              <w:keepLines/>
              <w:jc w:val="center"/>
              <w:rPr>
                <w:b/>
                <w:bCs/>
                <w:color w:val="000000"/>
                <w:sz w:val="20"/>
                <w:szCs w:val="20"/>
                <w:lang w:val="en-US"/>
              </w:rPr>
            </w:pPr>
            <w:r w:rsidRPr="00CB13F3">
              <w:rPr>
                <w:b/>
                <w:bCs/>
                <w:color w:val="000000"/>
                <w:sz w:val="20"/>
                <w:szCs w:val="20"/>
                <w:lang w:val="en-US"/>
              </w:rPr>
              <w:t>ICC</w:t>
            </w:r>
          </w:p>
        </w:tc>
        <w:tc>
          <w:tcPr>
            <w:tcW w:w="702" w:type="pct"/>
            <w:tcBorders>
              <w:top w:val="single" w:sz="4" w:space="0" w:color="auto"/>
              <w:left w:val="nil"/>
              <w:bottom w:val="single" w:sz="4" w:space="0" w:color="auto"/>
              <w:right w:val="single" w:sz="4" w:space="0" w:color="auto"/>
            </w:tcBorders>
            <w:shd w:val="clear" w:color="auto" w:fill="auto"/>
            <w:hideMark/>
          </w:tcPr>
          <w:p w:rsidR="00624407" w:rsidRPr="00CB13F3" w:rsidRDefault="00624407" w:rsidP="00242391">
            <w:pPr>
              <w:keepNext/>
              <w:keepLines/>
              <w:jc w:val="center"/>
              <w:rPr>
                <w:b/>
                <w:bCs/>
                <w:color w:val="000000"/>
                <w:sz w:val="20"/>
                <w:szCs w:val="20"/>
                <w:lang w:val="en-US"/>
              </w:rPr>
            </w:pPr>
            <w:r w:rsidRPr="00CB13F3">
              <w:rPr>
                <w:b/>
                <w:bCs/>
                <w:color w:val="000000"/>
                <w:sz w:val="20"/>
                <w:szCs w:val="20"/>
                <w:lang w:val="en-US"/>
              </w:rPr>
              <w:t>IOC</w:t>
            </w:r>
          </w:p>
        </w:tc>
        <w:tc>
          <w:tcPr>
            <w:tcW w:w="703" w:type="pct"/>
            <w:tcBorders>
              <w:top w:val="single" w:sz="4" w:space="0" w:color="auto"/>
              <w:left w:val="nil"/>
              <w:bottom w:val="single" w:sz="4" w:space="0" w:color="auto"/>
              <w:right w:val="single" w:sz="4" w:space="0" w:color="auto"/>
            </w:tcBorders>
            <w:shd w:val="clear" w:color="auto" w:fill="auto"/>
            <w:hideMark/>
          </w:tcPr>
          <w:p w:rsidR="00624407" w:rsidRPr="00CB13F3" w:rsidRDefault="00624407" w:rsidP="00242391">
            <w:pPr>
              <w:keepNext/>
              <w:keepLines/>
              <w:jc w:val="center"/>
              <w:rPr>
                <w:b/>
                <w:bCs/>
                <w:color w:val="000000"/>
                <w:sz w:val="20"/>
                <w:szCs w:val="20"/>
                <w:lang w:val="en-US"/>
              </w:rPr>
            </w:pPr>
            <w:r w:rsidRPr="00CB13F3">
              <w:rPr>
                <w:b/>
                <w:bCs/>
                <w:color w:val="000000"/>
                <w:sz w:val="20"/>
                <w:szCs w:val="20"/>
                <w:lang w:val="en-US"/>
              </w:rPr>
              <w:t>Total</w:t>
            </w:r>
          </w:p>
        </w:tc>
        <w:tc>
          <w:tcPr>
            <w:tcW w:w="702" w:type="pct"/>
            <w:tcBorders>
              <w:top w:val="single" w:sz="4" w:space="0" w:color="auto"/>
              <w:left w:val="nil"/>
              <w:bottom w:val="single" w:sz="4" w:space="0" w:color="auto"/>
              <w:right w:val="single" w:sz="4" w:space="0" w:color="auto"/>
            </w:tcBorders>
            <w:shd w:val="clear" w:color="auto" w:fill="auto"/>
            <w:hideMark/>
          </w:tcPr>
          <w:p w:rsidR="00624407" w:rsidRPr="00CB13F3" w:rsidRDefault="00624407" w:rsidP="00242391">
            <w:pPr>
              <w:keepNext/>
              <w:keepLines/>
              <w:jc w:val="center"/>
              <w:rPr>
                <w:b/>
                <w:bCs/>
                <w:color w:val="000000"/>
                <w:sz w:val="20"/>
                <w:szCs w:val="20"/>
                <w:lang w:val="en-US"/>
              </w:rPr>
            </w:pPr>
            <w:r>
              <w:rPr>
                <w:b/>
                <w:bCs/>
                <w:color w:val="000000"/>
                <w:sz w:val="20"/>
                <w:szCs w:val="20"/>
                <w:lang w:val="en-US"/>
              </w:rPr>
              <w:t>Requested*</w:t>
            </w:r>
          </w:p>
        </w:tc>
      </w:tr>
      <w:tr w:rsidR="00624407" w:rsidRPr="00CB13F3" w:rsidTr="00624407">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407" w:rsidRPr="00CB13F3" w:rsidRDefault="00624407" w:rsidP="00242391">
            <w:pPr>
              <w:keepNext/>
              <w:keepLines/>
              <w:jc w:val="left"/>
              <w:rPr>
                <w:color w:val="000000"/>
                <w:sz w:val="20"/>
                <w:szCs w:val="20"/>
                <w:lang w:val="en-US"/>
              </w:rPr>
            </w:pPr>
            <w:proofErr w:type="spellStart"/>
            <w:r w:rsidRPr="00CB13F3">
              <w:rPr>
                <w:color w:val="000000"/>
                <w:sz w:val="20"/>
                <w:szCs w:val="20"/>
                <w:lang w:val="en-US"/>
              </w:rPr>
              <w:t>Ecasa</w:t>
            </w:r>
            <w:proofErr w:type="spellEnd"/>
          </w:p>
        </w:tc>
        <w:tc>
          <w:tcPr>
            <w:tcW w:w="702"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sidRPr="00CB13F3">
              <w:rPr>
                <w:color w:val="000000"/>
                <w:sz w:val="20"/>
                <w:szCs w:val="20"/>
                <w:lang w:val="en-US"/>
              </w:rPr>
              <w:t>6.60</w:t>
            </w:r>
          </w:p>
        </w:tc>
        <w:tc>
          <w:tcPr>
            <w:tcW w:w="703"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sidRPr="00CB13F3">
              <w:rPr>
                <w:color w:val="000000"/>
                <w:sz w:val="20"/>
                <w:szCs w:val="20"/>
                <w:lang w:val="en-US"/>
              </w:rPr>
              <w:t>44,000</w:t>
            </w:r>
          </w:p>
        </w:tc>
        <w:tc>
          <w:tcPr>
            <w:tcW w:w="702"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sidRPr="00CB13F3">
              <w:rPr>
                <w:color w:val="000000"/>
                <w:sz w:val="20"/>
                <w:szCs w:val="20"/>
                <w:lang w:val="en-US"/>
              </w:rPr>
              <w:t>-</w:t>
            </w:r>
          </w:p>
        </w:tc>
        <w:tc>
          <w:tcPr>
            <w:tcW w:w="703"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sidRPr="00CB13F3">
              <w:rPr>
                <w:color w:val="000000"/>
                <w:sz w:val="20"/>
                <w:szCs w:val="20"/>
                <w:lang w:val="en-US"/>
              </w:rPr>
              <w:t>44,000</w:t>
            </w:r>
          </w:p>
        </w:tc>
        <w:tc>
          <w:tcPr>
            <w:tcW w:w="702"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Pr>
                <w:color w:val="000000"/>
                <w:sz w:val="20"/>
                <w:szCs w:val="20"/>
                <w:lang w:val="en-US"/>
              </w:rPr>
              <w:t>32,000</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vAlign w:val="center"/>
            <w:hideMark/>
          </w:tcPr>
          <w:p w:rsidR="00624407" w:rsidRPr="00CB13F3" w:rsidRDefault="00624407" w:rsidP="00242391">
            <w:pPr>
              <w:keepNext/>
              <w:keepLines/>
              <w:jc w:val="left"/>
              <w:rPr>
                <w:color w:val="000000"/>
                <w:sz w:val="20"/>
                <w:szCs w:val="20"/>
                <w:lang w:val="en-US"/>
              </w:rPr>
            </w:pPr>
            <w:proofErr w:type="spellStart"/>
            <w:r w:rsidRPr="00CB13F3">
              <w:rPr>
                <w:color w:val="000000"/>
                <w:sz w:val="20"/>
                <w:szCs w:val="20"/>
                <w:lang w:val="en-US"/>
              </w:rPr>
              <w:t>Infri</w:t>
            </w:r>
            <w:proofErr w:type="spellEnd"/>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sidRPr="00CB13F3">
              <w:rPr>
                <w:color w:val="000000"/>
                <w:sz w:val="20"/>
                <w:szCs w:val="20"/>
                <w:lang w:val="en-US"/>
              </w:rPr>
              <w:t>4.40</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sidRPr="00CB13F3">
              <w:rPr>
                <w:color w:val="000000"/>
                <w:sz w:val="20"/>
                <w:szCs w:val="20"/>
                <w:lang w:val="en-US"/>
              </w:rPr>
              <w:t>86,152</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sidRPr="00CB13F3">
              <w:rPr>
                <w:color w:val="000000"/>
                <w:sz w:val="20"/>
                <w:szCs w:val="20"/>
                <w:lang w:val="en-US"/>
              </w:rPr>
              <w:t>-</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sidRPr="00CB13F3">
              <w:rPr>
                <w:color w:val="000000"/>
                <w:sz w:val="20"/>
                <w:szCs w:val="20"/>
                <w:lang w:val="en-US"/>
              </w:rPr>
              <w:t>86,152</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242391">
            <w:pPr>
              <w:keepNext/>
              <w:keepLines/>
              <w:jc w:val="right"/>
              <w:rPr>
                <w:color w:val="000000"/>
                <w:sz w:val="20"/>
                <w:szCs w:val="20"/>
                <w:lang w:val="en-US"/>
              </w:rPr>
            </w:pPr>
            <w:r>
              <w:rPr>
                <w:color w:val="000000"/>
                <w:sz w:val="20"/>
                <w:szCs w:val="20"/>
                <w:lang w:val="en-US"/>
              </w:rPr>
              <w:t>62,000</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vAlign w:val="center"/>
            <w:hideMark/>
          </w:tcPr>
          <w:p w:rsidR="00624407" w:rsidRPr="00CB13F3" w:rsidRDefault="00624407" w:rsidP="00624407">
            <w:pPr>
              <w:jc w:val="left"/>
              <w:rPr>
                <w:color w:val="000000"/>
                <w:sz w:val="20"/>
                <w:szCs w:val="20"/>
                <w:lang w:val="en-US"/>
              </w:rPr>
            </w:pPr>
            <w:proofErr w:type="spellStart"/>
            <w:r w:rsidRPr="00CB13F3">
              <w:rPr>
                <w:color w:val="000000"/>
                <w:sz w:val="20"/>
                <w:szCs w:val="20"/>
                <w:lang w:val="en-US"/>
              </w:rPr>
              <w:t>Kubiec</w:t>
            </w:r>
            <w:proofErr w:type="spellEnd"/>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13.65</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110,000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110,000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Pr>
                <w:color w:val="000000"/>
                <w:sz w:val="20"/>
                <w:szCs w:val="20"/>
                <w:lang w:val="en-US"/>
              </w:rPr>
              <w:t>70,000</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vAlign w:val="center"/>
            <w:hideMark/>
          </w:tcPr>
          <w:p w:rsidR="00624407" w:rsidRPr="00CB13F3" w:rsidRDefault="00624407" w:rsidP="00624407">
            <w:pPr>
              <w:jc w:val="left"/>
              <w:rPr>
                <w:color w:val="000000"/>
                <w:sz w:val="20"/>
                <w:szCs w:val="20"/>
                <w:lang w:val="en-US"/>
              </w:rPr>
            </w:pPr>
            <w:proofErr w:type="spellStart"/>
            <w:r w:rsidRPr="00CB13F3">
              <w:rPr>
                <w:color w:val="000000"/>
                <w:sz w:val="20"/>
                <w:szCs w:val="20"/>
                <w:lang w:val="en-US"/>
              </w:rPr>
              <w:t>Mafrico</w:t>
            </w:r>
            <w:proofErr w:type="spellEnd"/>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19.61</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Pr>
                <w:color w:val="000000"/>
                <w:sz w:val="20"/>
                <w:szCs w:val="20"/>
                <w:lang w:val="en-US"/>
              </w:rPr>
              <w:t>66</w:t>
            </w:r>
            <w:r w:rsidRPr="00CB13F3">
              <w:rPr>
                <w:color w:val="000000"/>
                <w:sz w:val="20"/>
                <w:szCs w:val="20"/>
                <w:lang w:val="en-US"/>
              </w:rPr>
              <w:t>,</w:t>
            </w:r>
            <w:r>
              <w:rPr>
                <w:color w:val="000000"/>
                <w:sz w:val="20"/>
                <w:szCs w:val="20"/>
                <w:lang w:val="en-US"/>
              </w:rPr>
              <w:t>000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31,376</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Pr>
                <w:color w:val="000000"/>
                <w:sz w:val="20"/>
                <w:szCs w:val="20"/>
                <w:lang w:val="en-US"/>
              </w:rPr>
              <w:t>97,376</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Pr>
                <w:color w:val="000000"/>
                <w:sz w:val="20"/>
                <w:szCs w:val="20"/>
                <w:lang w:val="en-US"/>
              </w:rPr>
              <w:t>82,719</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vAlign w:val="center"/>
            <w:hideMark/>
          </w:tcPr>
          <w:p w:rsidR="00624407" w:rsidRPr="00CB13F3" w:rsidRDefault="00624407" w:rsidP="00624407">
            <w:pPr>
              <w:jc w:val="left"/>
              <w:rPr>
                <w:color w:val="000000"/>
                <w:sz w:val="20"/>
                <w:szCs w:val="20"/>
                <w:lang w:val="en-US"/>
              </w:rPr>
            </w:pPr>
            <w:r w:rsidRPr="00CB13F3">
              <w:rPr>
                <w:color w:val="000000"/>
                <w:sz w:val="20"/>
                <w:szCs w:val="20"/>
                <w:lang w:val="en-US"/>
              </w:rPr>
              <w:t>Marco Mora Duque</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2.60</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50,908</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50,908</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Pr>
                <w:color w:val="000000"/>
                <w:sz w:val="20"/>
                <w:szCs w:val="20"/>
                <w:lang w:val="en-US"/>
              </w:rPr>
              <w:t>37,000</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vAlign w:val="center"/>
            <w:hideMark/>
          </w:tcPr>
          <w:p w:rsidR="00624407" w:rsidRPr="00CB13F3" w:rsidRDefault="00624407" w:rsidP="00624407">
            <w:pPr>
              <w:jc w:val="left"/>
              <w:rPr>
                <w:color w:val="000000"/>
                <w:sz w:val="20"/>
                <w:szCs w:val="20"/>
                <w:lang w:val="en-US"/>
              </w:rPr>
            </w:pPr>
            <w:proofErr w:type="spellStart"/>
            <w:r w:rsidRPr="00CB13F3">
              <w:rPr>
                <w:color w:val="000000"/>
                <w:sz w:val="20"/>
                <w:szCs w:val="20"/>
                <w:lang w:val="en-US"/>
              </w:rPr>
              <w:t>Rooftec</w:t>
            </w:r>
            <w:proofErr w:type="spellEnd"/>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4.36</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77,000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77,000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Pr>
                <w:color w:val="000000"/>
                <w:sz w:val="20"/>
                <w:szCs w:val="20"/>
                <w:lang w:val="en-US"/>
              </w:rPr>
              <w:t>56,000</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vAlign w:val="center"/>
            <w:hideMark/>
          </w:tcPr>
          <w:p w:rsidR="00624407" w:rsidRPr="00CB13F3" w:rsidRDefault="00624407" w:rsidP="00624407">
            <w:pPr>
              <w:jc w:val="left"/>
              <w:rPr>
                <w:color w:val="000000"/>
                <w:sz w:val="20"/>
                <w:szCs w:val="20"/>
                <w:lang w:val="en-US"/>
              </w:rPr>
            </w:pPr>
            <w:proofErr w:type="spellStart"/>
            <w:r w:rsidRPr="00CB13F3">
              <w:rPr>
                <w:color w:val="000000"/>
                <w:sz w:val="20"/>
                <w:szCs w:val="20"/>
                <w:lang w:val="en-US"/>
              </w:rPr>
              <w:t>Verton</w:t>
            </w:r>
            <w:proofErr w:type="spellEnd"/>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6.90</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99,000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99,000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Pr>
                <w:color w:val="000000"/>
                <w:sz w:val="20"/>
                <w:szCs w:val="20"/>
                <w:lang w:val="en-US"/>
              </w:rPr>
              <w:t>72,000</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vAlign w:val="center"/>
            <w:hideMark/>
          </w:tcPr>
          <w:p w:rsidR="00624407" w:rsidRPr="00CB13F3" w:rsidRDefault="00624407" w:rsidP="00624407">
            <w:pPr>
              <w:jc w:val="left"/>
              <w:rPr>
                <w:color w:val="000000"/>
                <w:sz w:val="20"/>
                <w:szCs w:val="20"/>
                <w:lang w:val="en-US"/>
              </w:rPr>
            </w:pPr>
            <w:r w:rsidRPr="00CB13F3">
              <w:rPr>
                <w:color w:val="000000"/>
                <w:sz w:val="20"/>
                <w:szCs w:val="20"/>
                <w:lang w:val="en-US"/>
              </w:rPr>
              <w:t xml:space="preserve">Technical assistance to SMEs </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7.60</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74,400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74,400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Pr>
                <w:color w:val="000000"/>
                <w:sz w:val="20"/>
                <w:szCs w:val="20"/>
                <w:lang w:val="en-US"/>
              </w:rPr>
              <w:t>20,000</w:t>
            </w:r>
          </w:p>
        </w:tc>
      </w:tr>
      <w:tr w:rsidR="00624407" w:rsidRPr="00C60619" w:rsidTr="00624407">
        <w:tc>
          <w:tcPr>
            <w:tcW w:w="1488" w:type="pct"/>
            <w:tcBorders>
              <w:top w:val="nil"/>
              <w:left w:val="single" w:sz="4" w:space="0" w:color="auto"/>
              <w:bottom w:val="single" w:sz="4" w:space="0" w:color="auto"/>
              <w:right w:val="single" w:sz="4" w:space="0" w:color="auto"/>
            </w:tcBorders>
            <w:shd w:val="clear" w:color="auto" w:fill="auto"/>
            <w:noWrap/>
            <w:vAlign w:val="center"/>
            <w:hideMark/>
          </w:tcPr>
          <w:p w:rsidR="00624407" w:rsidRPr="00C60619" w:rsidRDefault="00764F07" w:rsidP="00624407">
            <w:pPr>
              <w:jc w:val="left"/>
              <w:rPr>
                <w:b/>
                <w:color w:val="000000"/>
                <w:sz w:val="20"/>
                <w:szCs w:val="20"/>
                <w:lang w:val="en-US"/>
              </w:rPr>
            </w:pPr>
            <w:r>
              <w:rPr>
                <w:b/>
                <w:color w:val="000000"/>
                <w:sz w:val="20"/>
                <w:szCs w:val="20"/>
                <w:lang w:val="en-US"/>
              </w:rPr>
              <w:t>Total</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24407" w:rsidRPr="00C60619" w:rsidRDefault="00624407" w:rsidP="00624407">
            <w:pPr>
              <w:jc w:val="right"/>
              <w:rPr>
                <w:b/>
                <w:color w:val="000000"/>
                <w:sz w:val="20"/>
                <w:szCs w:val="20"/>
                <w:lang w:val="en-US"/>
              </w:rPr>
            </w:pPr>
            <w:r w:rsidRPr="00C60619">
              <w:rPr>
                <w:b/>
                <w:color w:val="000000"/>
                <w:sz w:val="20"/>
                <w:szCs w:val="20"/>
                <w:lang w:val="en-US"/>
              </w:rPr>
              <w:t>65.72</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24407" w:rsidRPr="00C60619" w:rsidRDefault="00624407" w:rsidP="00624407">
            <w:pPr>
              <w:jc w:val="right"/>
              <w:rPr>
                <w:b/>
                <w:color w:val="000000"/>
                <w:sz w:val="20"/>
                <w:szCs w:val="20"/>
                <w:lang w:val="en-US"/>
              </w:rPr>
            </w:pPr>
            <w:r w:rsidRPr="00C60619">
              <w:rPr>
                <w:b/>
                <w:color w:val="000000"/>
                <w:sz w:val="20"/>
                <w:szCs w:val="20"/>
                <w:lang w:val="en-US"/>
              </w:rPr>
              <w:t>607,460</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24407" w:rsidRPr="00C60619" w:rsidRDefault="00624407" w:rsidP="00624407">
            <w:pPr>
              <w:jc w:val="right"/>
              <w:rPr>
                <w:b/>
                <w:color w:val="000000"/>
                <w:sz w:val="20"/>
                <w:szCs w:val="20"/>
                <w:lang w:val="en-US"/>
              </w:rPr>
            </w:pPr>
            <w:r w:rsidRPr="00C60619">
              <w:rPr>
                <w:b/>
                <w:color w:val="000000"/>
                <w:sz w:val="20"/>
                <w:szCs w:val="20"/>
                <w:lang w:val="en-US"/>
              </w:rPr>
              <w:t>31,376</w:t>
            </w: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60619" w:rsidRDefault="00624407" w:rsidP="00624407">
            <w:pPr>
              <w:jc w:val="right"/>
              <w:rPr>
                <w:b/>
                <w:color w:val="000000"/>
                <w:sz w:val="20"/>
                <w:szCs w:val="20"/>
                <w:lang w:val="en-US"/>
              </w:rPr>
            </w:pPr>
            <w:r w:rsidRPr="00C60619">
              <w:rPr>
                <w:b/>
                <w:color w:val="000000"/>
                <w:sz w:val="20"/>
                <w:szCs w:val="20"/>
                <w:lang w:val="en-US"/>
              </w:rPr>
              <w:t>638,836</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60619" w:rsidRDefault="00624407" w:rsidP="00624407">
            <w:pPr>
              <w:jc w:val="right"/>
              <w:rPr>
                <w:b/>
                <w:color w:val="000000"/>
                <w:sz w:val="20"/>
                <w:szCs w:val="20"/>
                <w:lang w:val="en-US"/>
              </w:rPr>
            </w:pPr>
            <w:r w:rsidRPr="00C60619">
              <w:rPr>
                <w:b/>
                <w:color w:val="000000"/>
                <w:sz w:val="20"/>
                <w:szCs w:val="20"/>
                <w:lang w:val="en-US"/>
              </w:rPr>
              <w:t>431,719</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noWrap/>
            <w:vAlign w:val="center"/>
            <w:hideMark/>
          </w:tcPr>
          <w:p w:rsidR="00624407" w:rsidRPr="00CB13F3" w:rsidRDefault="00624407" w:rsidP="00624407">
            <w:pPr>
              <w:jc w:val="left"/>
              <w:rPr>
                <w:color w:val="000000"/>
                <w:sz w:val="20"/>
                <w:szCs w:val="20"/>
                <w:lang w:val="en-US"/>
              </w:rPr>
            </w:pPr>
            <w:r w:rsidRPr="00CB13F3">
              <w:rPr>
                <w:color w:val="000000"/>
                <w:sz w:val="20"/>
                <w:szCs w:val="20"/>
                <w:lang w:val="en-US"/>
              </w:rPr>
              <w:t xml:space="preserve">Eligible consumption </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rFonts w:ascii="Calibri" w:hAnsi="Calibri"/>
                <w:color w:val="000000"/>
                <w:lang w:val="en-US"/>
              </w:rPr>
            </w:pP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24407" w:rsidRPr="00CB13F3" w:rsidRDefault="00624407" w:rsidP="00624407">
            <w:pPr>
              <w:jc w:val="right"/>
              <w:rPr>
                <w:color w:val="000000"/>
                <w:sz w:val="20"/>
                <w:szCs w:val="20"/>
                <w:lang w:val="en-US"/>
              </w:rPr>
            </w:pP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24407" w:rsidRPr="00CB13F3" w:rsidRDefault="00624407" w:rsidP="00624407">
            <w:pPr>
              <w:jc w:val="right"/>
              <w:rPr>
                <w:color w:val="000000"/>
                <w:sz w:val="20"/>
                <w:szCs w:val="20"/>
                <w:lang w:val="en-US"/>
              </w:rPr>
            </w:pP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44.10</w:t>
            </w:r>
          </w:p>
        </w:tc>
      </w:tr>
      <w:tr w:rsidR="00624407" w:rsidRPr="00CB13F3" w:rsidTr="00624407">
        <w:tc>
          <w:tcPr>
            <w:tcW w:w="1488" w:type="pct"/>
            <w:tcBorders>
              <w:top w:val="nil"/>
              <w:left w:val="single" w:sz="4" w:space="0" w:color="auto"/>
              <w:bottom w:val="single" w:sz="4" w:space="0" w:color="auto"/>
              <w:right w:val="single" w:sz="4" w:space="0" w:color="auto"/>
            </w:tcBorders>
            <w:shd w:val="clear" w:color="auto" w:fill="auto"/>
            <w:noWrap/>
            <w:vAlign w:val="center"/>
            <w:hideMark/>
          </w:tcPr>
          <w:p w:rsidR="00624407" w:rsidRPr="00CB13F3" w:rsidRDefault="00624407" w:rsidP="00624407">
            <w:pPr>
              <w:jc w:val="left"/>
              <w:rPr>
                <w:color w:val="000000"/>
                <w:sz w:val="20"/>
                <w:szCs w:val="20"/>
                <w:lang w:val="en-US"/>
              </w:rPr>
            </w:pPr>
            <w:r w:rsidRPr="00CB13F3">
              <w:rPr>
                <w:color w:val="000000"/>
                <w:sz w:val="20"/>
                <w:szCs w:val="20"/>
                <w:lang w:val="en-US"/>
              </w:rPr>
              <w:t>Cost-effectiveness</w:t>
            </w: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rFonts w:ascii="Calibri" w:hAnsi="Calibri"/>
                <w:color w:val="000000"/>
                <w:lang w:val="en-US"/>
              </w:rPr>
            </w:pP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24407" w:rsidRPr="00CB13F3" w:rsidRDefault="00624407" w:rsidP="00624407">
            <w:pPr>
              <w:jc w:val="right"/>
              <w:rPr>
                <w:color w:val="000000"/>
                <w:sz w:val="20"/>
                <w:szCs w:val="20"/>
                <w:lang w:val="en-US"/>
              </w:rPr>
            </w:pP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24407" w:rsidRPr="00CB13F3" w:rsidRDefault="00624407" w:rsidP="00624407">
            <w:pPr>
              <w:jc w:val="right"/>
              <w:rPr>
                <w:color w:val="000000"/>
                <w:sz w:val="20"/>
                <w:szCs w:val="20"/>
                <w:lang w:val="en-US"/>
              </w:rPr>
            </w:pPr>
          </w:p>
        </w:tc>
        <w:tc>
          <w:tcPr>
            <w:tcW w:w="703"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p>
        </w:tc>
        <w:tc>
          <w:tcPr>
            <w:tcW w:w="702" w:type="pct"/>
            <w:tcBorders>
              <w:top w:val="nil"/>
              <w:left w:val="nil"/>
              <w:bottom w:val="single" w:sz="4" w:space="0" w:color="auto"/>
              <w:right w:val="single" w:sz="4" w:space="0" w:color="auto"/>
            </w:tcBorders>
            <w:shd w:val="clear" w:color="auto" w:fill="auto"/>
            <w:noWrap/>
            <w:tcMar>
              <w:left w:w="115" w:type="dxa"/>
              <w:right w:w="216" w:type="dxa"/>
            </w:tcMar>
            <w:vAlign w:val="bottom"/>
            <w:hideMark/>
          </w:tcPr>
          <w:p w:rsidR="00624407" w:rsidRPr="00CB13F3" w:rsidRDefault="00624407" w:rsidP="00624407">
            <w:pPr>
              <w:jc w:val="right"/>
              <w:rPr>
                <w:color w:val="000000"/>
                <w:sz w:val="20"/>
                <w:szCs w:val="20"/>
                <w:lang w:val="en-US"/>
              </w:rPr>
            </w:pPr>
            <w:r w:rsidRPr="00CB13F3">
              <w:rPr>
                <w:color w:val="000000"/>
                <w:sz w:val="20"/>
                <w:szCs w:val="20"/>
                <w:lang w:val="en-US"/>
              </w:rPr>
              <w:t>9.79</w:t>
            </w:r>
          </w:p>
        </w:tc>
      </w:tr>
    </w:tbl>
    <w:p w:rsidR="00624407" w:rsidRPr="00D973ED" w:rsidRDefault="00624407" w:rsidP="00624407">
      <w:pPr>
        <w:rPr>
          <w:sz w:val="18"/>
          <w:szCs w:val="18"/>
        </w:rPr>
      </w:pPr>
      <w:r w:rsidRPr="00D973ED">
        <w:rPr>
          <w:sz w:val="18"/>
          <w:szCs w:val="18"/>
        </w:rPr>
        <w:t xml:space="preserve">*Funds </w:t>
      </w:r>
      <w:r>
        <w:rPr>
          <w:sz w:val="18"/>
          <w:szCs w:val="18"/>
        </w:rPr>
        <w:t xml:space="preserve">by enterprise </w:t>
      </w:r>
      <w:r w:rsidRPr="00D973ED">
        <w:rPr>
          <w:sz w:val="18"/>
          <w:szCs w:val="18"/>
        </w:rPr>
        <w:t>have been adjusted</w:t>
      </w:r>
      <w:r>
        <w:rPr>
          <w:sz w:val="18"/>
          <w:szCs w:val="18"/>
        </w:rPr>
        <w:t xml:space="preserve"> to the maximum of </w:t>
      </w:r>
      <w:r w:rsidR="00764F07">
        <w:rPr>
          <w:sz w:val="18"/>
          <w:szCs w:val="18"/>
        </w:rPr>
        <w:t xml:space="preserve">44.10 </w:t>
      </w:r>
      <w:proofErr w:type="spellStart"/>
      <w:r w:rsidR="00764F07">
        <w:rPr>
          <w:sz w:val="18"/>
          <w:szCs w:val="18"/>
        </w:rPr>
        <w:t>mt</w:t>
      </w:r>
      <w:proofErr w:type="spellEnd"/>
      <w:r>
        <w:rPr>
          <w:sz w:val="18"/>
          <w:szCs w:val="18"/>
        </w:rPr>
        <w:t xml:space="preserve"> that can be requested in a proportional way to allow proper implementation, with a lower level for the technical assistance for SMEs</w:t>
      </w:r>
      <w:r w:rsidR="00764F07">
        <w:rPr>
          <w:sz w:val="18"/>
          <w:szCs w:val="18"/>
        </w:rPr>
        <w:t>,</w:t>
      </w:r>
      <w:r>
        <w:rPr>
          <w:sz w:val="18"/>
          <w:szCs w:val="18"/>
        </w:rPr>
        <w:t xml:space="preserve"> considering that in stage II additional funding could be requested to address up to </w:t>
      </w:r>
      <w:r w:rsidRPr="00D973ED">
        <w:rPr>
          <w:sz w:val="18"/>
          <w:szCs w:val="18"/>
        </w:rPr>
        <w:t xml:space="preserve">7.78 </w:t>
      </w:r>
      <w:proofErr w:type="spellStart"/>
      <w:r w:rsidRPr="00D973ED">
        <w:rPr>
          <w:sz w:val="18"/>
          <w:szCs w:val="18"/>
        </w:rPr>
        <w:t>mt</w:t>
      </w:r>
      <w:proofErr w:type="spellEnd"/>
      <w:r w:rsidRPr="00D973ED">
        <w:rPr>
          <w:sz w:val="18"/>
          <w:szCs w:val="18"/>
        </w:rPr>
        <w:t xml:space="preserve"> used in spray foam.</w:t>
      </w:r>
    </w:p>
    <w:p w:rsidR="00624407" w:rsidRPr="00D973ED" w:rsidRDefault="00624407" w:rsidP="00624407"/>
    <w:p w:rsidR="00764F07" w:rsidRDefault="00764F07" w:rsidP="00E97706">
      <w:pPr>
        <w:pStyle w:val="Heading1"/>
        <w:tabs>
          <w:tab w:val="clear" w:pos="142"/>
          <w:tab w:val="num" w:pos="0"/>
        </w:tabs>
        <w:ind w:left="0"/>
      </w:pPr>
      <w:r>
        <w:t xml:space="preserve">In addition to </w:t>
      </w:r>
      <w:r w:rsidR="00EA0D5F">
        <w:t xml:space="preserve">the </w:t>
      </w:r>
      <w:r>
        <w:t xml:space="preserve">65.72 </w:t>
      </w:r>
      <w:proofErr w:type="spellStart"/>
      <w:r>
        <w:t>mt</w:t>
      </w:r>
      <w:proofErr w:type="spellEnd"/>
      <w:r>
        <w:t xml:space="preserve"> of HCFC-141b contained in imported pre-blended polyols eligible for funding, as shown in Table 4, these enterprises are</w:t>
      </w:r>
      <w:r w:rsidR="00E97706">
        <w:t xml:space="preserve"> also</w:t>
      </w:r>
      <w:r>
        <w:t xml:space="preserve"> consuming 81.52 </w:t>
      </w:r>
      <w:proofErr w:type="spellStart"/>
      <w:r>
        <w:t>mt</w:t>
      </w:r>
      <w:proofErr w:type="spellEnd"/>
      <w:r>
        <w:t xml:space="preserve"> </w:t>
      </w:r>
      <w:r w:rsidR="00E97706">
        <w:t xml:space="preserve">not eligible for funding. This consumption (with exception of the 7.78 </w:t>
      </w:r>
      <w:proofErr w:type="spellStart"/>
      <w:r w:rsidR="00E97706">
        <w:t>mt</w:t>
      </w:r>
      <w:proofErr w:type="spellEnd"/>
      <w:r w:rsidR="00E97706">
        <w:t xml:space="preserve"> used in spray foam) will also be phased out during stage I. </w:t>
      </w:r>
      <w:r w:rsidR="00BA7875">
        <w:t xml:space="preserve">The cost-effectiveness, including all the tonnage being phased out in stage I, is </w:t>
      </w:r>
      <w:r w:rsidR="00EA0D5F">
        <w:t>US $</w:t>
      </w:r>
      <w:r w:rsidR="00EA0D5F">
        <w:t>3.10</w:t>
      </w:r>
      <w:r w:rsidR="00BA7875">
        <w:t xml:space="preserve">/kg. </w:t>
      </w:r>
    </w:p>
    <w:p w:rsidR="00624407" w:rsidRPr="00D973ED" w:rsidRDefault="00624407" w:rsidP="00624407">
      <w:pPr>
        <w:pStyle w:val="Heading1"/>
        <w:tabs>
          <w:tab w:val="clear" w:pos="142"/>
          <w:tab w:val="num" w:pos="0"/>
        </w:tabs>
        <w:ind w:left="0"/>
      </w:pPr>
      <w:r w:rsidRPr="00D973ED">
        <w:t>Given the level of funding available for the individual conversions, it was agreed with UNIDO that there will be flexibility in the allocation of funds for the procurement of equipment, on the understanding that if an enterprise stops using HCFC-141b</w:t>
      </w:r>
      <w:r w:rsidR="000A65BF">
        <w:t>,</w:t>
      </w:r>
      <w:r w:rsidRPr="00D973ED">
        <w:t xml:space="preserve"> the funds allocated to that enterprise will be returned to the </w:t>
      </w:r>
      <w:r>
        <w:t>Multilateral F</w:t>
      </w:r>
      <w:r w:rsidRPr="00D973ED">
        <w:t>und.</w:t>
      </w:r>
    </w:p>
    <w:p w:rsidR="00624407" w:rsidRDefault="00624407" w:rsidP="00624407">
      <w:pPr>
        <w:pStyle w:val="Heading1"/>
        <w:tabs>
          <w:tab w:val="clear" w:pos="142"/>
          <w:tab w:val="num" w:pos="0"/>
        </w:tabs>
        <w:ind w:left="0"/>
      </w:pPr>
      <w:r w:rsidRPr="00D973ED">
        <w:t>Consistent with decision 63/15(d), the project proposal includes a commitment from the Government of Ecuador to put in place, by the time the last foam manufacturing plant has been converted to a non-HCFC technology, regulations or policies banning the import and/or the use of HCFC-141b in pre</w:t>
      </w:r>
      <w:r>
        <w:noBreakHyphen/>
      </w:r>
      <w:r w:rsidRPr="00D973ED">
        <w:t xml:space="preserve">blended polyol systems. Given that the spray foam enterprises will only convert in stage II, the deadline for establishing the ban on imports and use of HCFC-141b pre-blended polyols systems has been moved from 1 January 2020 to 1 January 2022 when the spray foam enterprises will have been converted. In the meantime, the Government commits to establishing a ban </w:t>
      </w:r>
      <w:r w:rsidR="000A65BF">
        <w:t xml:space="preserve">on </w:t>
      </w:r>
      <w:r w:rsidRPr="00D973ED">
        <w:t xml:space="preserve">the import of HCFC-141b </w:t>
      </w:r>
      <w:r>
        <w:t xml:space="preserve">contained in imported </w:t>
      </w:r>
      <w:r w:rsidRPr="00D973ED">
        <w:t>pre</w:t>
      </w:r>
      <w:r w:rsidR="000A65BF">
        <w:t>-</w:t>
      </w:r>
      <w:r>
        <w:t xml:space="preserve">blended </w:t>
      </w:r>
      <w:r w:rsidRPr="00D973ED">
        <w:t>polyols for any use other than spray foam as of 1 January 2020. The import of HCFC</w:t>
      </w:r>
      <w:r w:rsidR="000A65BF">
        <w:noBreakHyphen/>
      </w:r>
      <w:r w:rsidRPr="00D973ED">
        <w:t xml:space="preserve">141b </w:t>
      </w:r>
      <w:r>
        <w:t xml:space="preserve">contained </w:t>
      </w:r>
      <w:r w:rsidRPr="00D973ED">
        <w:t xml:space="preserve">in </w:t>
      </w:r>
      <w:r>
        <w:t xml:space="preserve">imported </w:t>
      </w:r>
      <w:r w:rsidRPr="00D973ED">
        <w:t>pre</w:t>
      </w:r>
      <w:r w:rsidR="000A65BF">
        <w:t>-</w:t>
      </w:r>
      <w:r>
        <w:t xml:space="preserve">blended </w:t>
      </w:r>
      <w:r w:rsidRPr="00D973ED">
        <w:t>polyols for spray foam will be subject to a quota of a maximum of 7.78</w:t>
      </w:r>
      <w:r>
        <w:t> </w:t>
      </w:r>
      <w:proofErr w:type="spellStart"/>
      <w:r w:rsidRPr="00D973ED">
        <w:t>mt</w:t>
      </w:r>
      <w:proofErr w:type="spellEnd"/>
      <w:r w:rsidRPr="00D973ED">
        <w:t xml:space="preserve"> until the complete ban enters into force on 1 January 2022.</w:t>
      </w:r>
    </w:p>
    <w:p w:rsidR="00624407" w:rsidRPr="008E3BC4" w:rsidRDefault="00624407" w:rsidP="00624407">
      <w:pPr>
        <w:rPr>
          <w:u w:val="single"/>
        </w:rPr>
      </w:pPr>
      <w:r w:rsidRPr="008E3BC4">
        <w:rPr>
          <w:u w:val="single"/>
        </w:rPr>
        <w:t>Revision of the Agreement</w:t>
      </w:r>
    </w:p>
    <w:p w:rsidR="00624407" w:rsidRPr="008E3BC4" w:rsidRDefault="00624407" w:rsidP="00624407"/>
    <w:p w:rsidR="00624407" w:rsidRPr="00B365F2" w:rsidRDefault="00624407" w:rsidP="00624407">
      <w:pPr>
        <w:pStyle w:val="Heading1"/>
        <w:tabs>
          <w:tab w:val="clear" w:pos="142"/>
          <w:tab w:val="num" w:pos="0"/>
        </w:tabs>
        <w:ind w:left="0"/>
      </w:pPr>
      <w:r w:rsidRPr="00B365F2">
        <w:t>In order to reflect the approval of the PU foam projects, the Updated Agreement between the Government of Ecuador and the Executive Committee for stage I of its HPMP has been revised to reflect the changes in Appendix 2-A (the fund</w:t>
      </w:r>
      <w:r w:rsidR="00D54A54" w:rsidRPr="00B365F2">
        <w:t>s</w:t>
      </w:r>
      <w:r w:rsidRPr="00B365F2">
        <w:t xml:space="preserve"> approved and the remaining eligible consumption) and to revise paragraph 1</w:t>
      </w:r>
      <w:r w:rsidR="00642E09">
        <w:t xml:space="preserve">6 to indicate that the Revised </w:t>
      </w:r>
      <w:proofErr w:type="gramStart"/>
      <w:r w:rsidR="00642E09">
        <w:t>u</w:t>
      </w:r>
      <w:r w:rsidRPr="00B365F2">
        <w:t>pdated</w:t>
      </w:r>
      <w:proofErr w:type="gramEnd"/>
      <w:r w:rsidRPr="00B365F2">
        <w:t xml:space="preserve"> Agreement for stage I supersede</w:t>
      </w:r>
      <w:r w:rsidR="00D304E4" w:rsidRPr="00B365F2">
        <w:t xml:space="preserve">s the one </w:t>
      </w:r>
      <w:r w:rsidRPr="00B365F2">
        <w:t>reached at the 70</w:t>
      </w:r>
      <w:r w:rsidRPr="00B365F2">
        <w:rPr>
          <w:vertAlign w:val="superscript"/>
        </w:rPr>
        <w:t>th</w:t>
      </w:r>
      <w:r w:rsidRPr="00B365F2">
        <w:t xml:space="preserve"> meeting, as contained in Annex I to the present document.</w:t>
      </w:r>
      <w:r w:rsidR="00642E09">
        <w:t xml:space="preserve"> The full Revised </w:t>
      </w:r>
      <w:proofErr w:type="gramStart"/>
      <w:r w:rsidR="00642E09">
        <w:t>updated</w:t>
      </w:r>
      <w:proofErr w:type="gramEnd"/>
      <w:r w:rsidR="00642E09">
        <w:t xml:space="preserve"> Agreement will be appended to the Final report of the 81</w:t>
      </w:r>
      <w:r w:rsidR="00642E09" w:rsidRPr="00642E09">
        <w:rPr>
          <w:vertAlign w:val="superscript"/>
        </w:rPr>
        <w:t>st</w:t>
      </w:r>
      <w:r w:rsidR="00642E09">
        <w:t xml:space="preserve"> meeting.</w:t>
      </w:r>
    </w:p>
    <w:p w:rsidR="00624407" w:rsidRPr="00C709B6" w:rsidRDefault="00624407" w:rsidP="00624407">
      <w:pPr>
        <w:keepNext/>
        <w:spacing w:after="240"/>
        <w:rPr>
          <w:u w:val="single"/>
        </w:rPr>
      </w:pPr>
      <w:r w:rsidRPr="00D973ED">
        <w:rPr>
          <w:u w:val="single"/>
        </w:rPr>
        <w:t>Impact on the climate</w:t>
      </w:r>
    </w:p>
    <w:p w:rsidR="00624407" w:rsidRPr="00C709B6" w:rsidRDefault="00624407" w:rsidP="00624407">
      <w:pPr>
        <w:keepNext/>
        <w:numPr>
          <w:ilvl w:val="0"/>
          <w:numId w:val="1"/>
        </w:numPr>
        <w:tabs>
          <w:tab w:val="clear" w:pos="1134"/>
        </w:tabs>
        <w:spacing w:after="240"/>
        <w:ind w:left="0"/>
        <w:outlineLvl w:val="0"/>
      </w:pPr>
      <w:r w:rsidRPr="00C709B6">
        <w:t xml:space="preserve">The conversion of the PU foam manufacturing enterprises in Ecuador would </w:t>
      </w:r>
      <w:r w:rsidR="00E40891">
        <w:t>avoid</w:t>
      </w:r>
      <w:r w:rsidRPr="00C709B6">
        <w:t xml:space="preserve"> the emission into the atmosphere of </w:t>
      </w:r>
      <w:r w:rsidR="00B365F2">
        <w:t>46,585</w:t>
      </w:r>
      <w:r w:rsidRPr="00C709B6">
        <w:t> tonnes of CO</w:t>
      </w:r>
      <w:r w:rsidRPr="00C709B6">
        <w:rPr>
          <w:vertAlign w:val="subscript"/>
        </w:rPr>
        <w:t>2</w:t>
      </w:r>
      <w:r w:rsidRPr="00C709B6">
        <w:t xml:space="preserve"> equivalent per year, as shown in Table </w:t>
      </w:r>
      <w:r>
        <w:t>5</w:t>
      </w:r>
      <w:r w:rsidRPr="00C709B6">
        <w:t>.</w:t>
      </w:r>
    </w:p>
    <w:p w:rsidR="00624407" w:rsidRDefault="00624407" w:rsidP="00624407">
      <w:pPr>
        <w:pStyle w:val="Heading1"/>
        <w:numPr>
          <w:ilvl w:val="0"/>
          <w:numId w:val="0"/>
        </w:numPr>
        <w:spacing w:after="0"/>
        <w:rPr>
          <w:b/>
        </w:rPr>
      </w:pPr>
      <w:r w:rsidRPr="00C709B6">
        <w:rPr>
          <w:b/>
        </w:rPr>
        <w:t xml:space="preserve">Table </w:t>
      </w:r>
      <w:r>
        <w:rPr>
          <w:b/>
        </w:rPr>
        <w:t>5</w:t>
      </w:r>
      <w:r w:rsidRPr="00C709B6">
        <w:rPr>
          <w:b/>
        </w:rPr>
        <w:t>. Impact on the climate of the PU foam projects</w:t>
      </w:r>
    </w:p>
    <w:tbl>
      <w:tblPr>
        <w:tblW w:w="5000" w:type="pct"/>
        <w:tblLook w:val="04A0" w:firstRow="1" w:lastRow="0" w:firstColumn="1" w:lastColumn="0" w:noHBand="0" w:noVBand="1"/>
      </w:tblPr>
      <w:tblGrid>
        <w:gridCol w:w="3195"/>
        <w:gridCol w:w="2101"/>
        <w:gridCol w:w="2023"/>
        <w:gridCol w:w="2031"/>
      </w:tblGrid>
      <w:tr w:rsidR="00624407" w:rsidRPr="00AA06F3" w:rsidTr="00B365F2">
        <w:trPr>
          <w:trHeight w:val="215"/>
        </w:trPr>
        <w:tc>
          <w:tcPr>
            <w:tcW w:w="1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407" w:rsidRPr="00AA06F3" w:rsidRDefault="00624407" w:rsidP="00624407">
            <w:pPr>
              <w:rPr>
                <w:b/>
                <w:bCs/>
                <w:color w:val="000000"/>
                <w:sz w:val="20"/>
                <w:szCs w:val="20"/>
                <w:lang w:val="en-US"/>
              </w:rPr>
            </w:pPr>
            <w:r w:rsidRPr="00AA06F3">
              <w:rPr>
                <w:b/>
                <w:bCs/>
                <w:color w:val="000000"/>
                <w:sz w:val="20"/>
                <w:szCs w:val="20"/>
              </w:rPr>
              <w:t>Substance</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624407" w:rsidRPr="00AA06F3" w:rsidRDefault="00624407" w:rsidP="00624407">
            <w:pPr>
              <w:jc w:val="center"/>
              <w:rPr>
                <w:b/>
                <w:bCs/>
                <w:color w:val="000000"/>
                <w:sz w:val="20"/>
                <w:szCs w:val="20"/>
                <w:lang w:val="en-US"/>
              </w:rPr>
            </w:pPr>
            <w:r w:rsidRPr="00AA06F3">
              <w:rPr>
                <w:b/>
                <w:bCs/>
                <w:color w:val="000000"/>
                <w:sz w:val="20"/>
                <w:szCs w:val="20"/>
              </w:rPr>
              <w:t>GWP</w:t>
            </w:r>
          </w:p>
        </w:tc>
        <w:tc>
          <w:tcPr>
            <w:tcW w:w="1082" w:type="pct"/>
            <w:tcBorders>
              <w:top w:val="single" w:sz="4" w:space="0" w:color="auto"/>
              <w:left w:val="nil"/>
              <w:bottom w:val="single" w:sz="4" w:space="0" w:color="auto"/>
              <w:right w:val="single" w:sz="4" w:space="0" w:color="auto"/>
            </w:tcBorders>
            <w:shd w:val="clear" w:color="auto" w:fill="auto"/>
            <w:noWrap/>
            <w:vAlign w:val="center"/>
            <w:hideMark/>
          </w:tcPr>
          <w:p w:rsidR="00624407" w:rsidRPr="00AA06F3" w:rsidRDefault="00624407" w:rsidP="00624407">
            <w:pPr>
              <w:jc w:val="center"/>
              <w:rPr>
                <w:b/>
                <w:bCs/>
                <w:color w:val="000000"/>
                <w:sz w:val="20"/>
                <w:szCs w:val="20"/>
                <w:lang w:val="en-US"/>
              </w:rPr>
            </w:pPr>
            <w:r w:rsidRPr="00AA06F3">
              <w:rPr>
                <w:b/>
                <w:bCs/>
                <w:color w:val="000000"/>
                <w:sz w:val="20"/>
                <w:szCs w:val="20"/>
              </w:rPr>
              <w:t>Tonnes/year</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624407" w:rsidRPr="00AA06F3" w:rsidRDefault="00624407" w:rsidP="00624407">
            <w:pPr>
              <w:jc w:val="center"/>
              <w:rPr>
                <w:color w:val="000000"/>
                <w:lang w:val="en-US"/>
              </w:rPr>
            </w:pPr>
            <w:r w:rsidRPr="00AA06F3">
              <w:rPr>
                <w:color w:val="000000"/>
              </w:rPr>
              <w:t>CO</w:t>
            </w:r>
            <w:r w:rsidRPr="00AA06F3">
              <w:rPr>
                <w:color w:val="000000"/>
                <w:vertAlign w:val="subscript"/>
              </w:rPr>
              <w:t>2</w:t>
            </w:r>
            <w:r w:rsidRPr="00AA06F3">
              <w:rPr>
                <w:b/>
                <w:bCs/>
                <w:color w:val="000000"/>
                <w:sz w:val="20"/>
                <w:szCs w:val="20"/>
              </w:rPr>
              <w:t>-eq (tonnes/year)</w:t>
            </w:r>
          </w:p>
        </w:tc>
      </w:tr>
      <w:tr w:rsidR="00624407" w:rsidRPr="00AA06F3" w:rsidTr="00B365F2">
        <w:trPr>
          <w:trHeight w:val="170"/>
        </w:trPr>
        <w:tc>
          <w:tcPr>
            <w:tcW w:w="1709" w:type="pct"/>
            <w:tcBorders>
              <w:top w:val="nil"/>
              <w:left w:val="single" w:sz="4" w:space="0" w:color="auto"/>
              <w:bottom w:val="single" w:sz="4" w:space="0" w:color="auto"/>
              <w:right w:val="single" w:sz="4" w:space="0" w:color="auto"/>
            </w:tcBorders>
            <w:shd w:val="clear" w:color="auto" w:fill="auto"/>
            <w:noWrap/>
            <w:vAlign w:val="center"/>
            <w:hideMark/>
          </w:tcPr>
          <w:p w:rsidR="00624407" w:rsidRPr="00AA06F3" w:rsidRDefault="00624407" w:rsidP="00624407">
            <w:pPr>
              <w:rPr>
                <w:b/>
                <w:bCs/>
                <w:color w:val="000000"/>
                <w:sz w:val="20"/>
                <w:szCs w:val="20"/>
                <w:lang w:val="en-US"/>
              </w:rPr>
            </w:pPr>
            <w:r w:rsidRPr="00AA06F3">
              <w:rPr>
                <w:b/>
                <w:bCs/>
                <w:color w:val="000000"/>
                <w:sz w:val="20"/>
                <w:szCs w:val="20"/>
              </w:rPr>
              <w:t>Before conversion</w:t>
            </w:r>
          </w:p>
        </w:tc>
        <w:tc>
          <w:tcPr>
            <w:tcW w:w="1124"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left"/>
              <w:rPr>
                <w:color w:val="000000"/>
                <w:sz w:val="20"/>
                <w:szCs w:val="20"/>
                <w:lang w:val="en-US"/>
              </w:rPr>
            </w:pPr>
            <w:r w:rsidRPr="00AA06F3">
              <w:rPr>
                <w:color w:val="000000"/>
                <w:sz w:val="20"/>
                <w:szCs w:val="20"/>
                <w:lang w:val="en-US"/>
              </w:rPr>
              <w:t> </w:t>
            </w:r>
          </w:p>
        </w:tc>
        <w:tc>
          <w:tcPr>
            <w:tcW w:w="1082" w:type="pct"/>
            <w:tcBorders>
              <w:top w:val="nil"/>
              <w:left w:val="nil"/>
              <w:bottom w:val="single" w:sz="4" w:space="0" w:color="auto"/>
              <w:right w:val="single" w:sz="4" w:space="0" w:color="auto"/>
            </w:tcBorders>
            <w:shd w:val="clear" w:color="auto" w:fill="auto"/>
            <w:noWrap/>
            <w:vAlign w:val="center"/>
            <w:hideMark/>
          </w:tcPr>
          <w:p w:rsidR="00624407" w:rsidRPr="00AA06F3" w:rsidRDefault="00624407" w:rsidP="00624407">
            <w:pPr>
              <w:jc w:val="left"/>
              <w:rPr>
                <w:color w:val="000000"/>
                <w:sz w:val="20"/>
                <w:szCs w:val="20"/>
                <w:lang w:val="en-US"/>
              </w:rPr>
            </w:pPr>
            <w:r w:rsidRPr="00AA06F3">
              <w:rPr>
                <w:color w:val="000000"/>
                <w:sz w:val="20"/>
                <w:szCs w:val="20"/>
                <w:lang w:val="en-US"/>
              </w:rPr>
              <w:t> </w:t>
            </w:r>
          </w:p>
        </w:tc>
        <w:tc>
          <w:tcPr>
            <w:tcW w:w="1086"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left"/>
              <w:rPr>
                <w:color w:val="000000"/>
                <w:sz w:val="20"/>
                <w:szCs w:val="20"/>
                <w:lang w:val="en-US"/>
              </w:rPr>
            </w:pPr>
            <w:r w:rsidRPr="00AA06F3">
              <w:rPr>
                <w:color w:val="000000"/>
                <w:sz w:val="20"/>
                <w:szCs w:val="20"/>
                <w:lang w:val="en-US"/>
              </w:rPr>
              <w:t> </w:t>
            </w:r>
          </w:p>
        </w:tc>
      </w:tr>
      <w:tr w:rsidR="00624407" w:rsidRPr="00AA06F3" w:rsidTr="00B365F2">
        <w:trPr>
          <w:trHeight w:val="197"/>
        </w:trPr>
        <w:tc>
          <w:tcPr>
            <w:tcW w:w="1709" w:type="pct"/>
            <w:tcBorders>
              <w:top w:val="nil"/>
              <w:left w:val="single" w:sz="4" w:space="0" w:color="auto"/>
              <w:bottom w:val="single" w:sz="4" w:space="0" w:color="auto"/>
              <w:right w:val="single" w:sz="4" w:space="0" w:color="auto"/>
            </w:tcBorders>
            <w:shd w:val="clear" w:color="auto" w:fill="auto"/>
            <w:noWrap/>
            <w:vAlign w:val="center"/>
            <w:hideMark/>
          </w:tcPr>
          <w:p w:rsidR="00624407" w:rsidRPr="00AA06F3" w:rsidRDefault="00624407" w:rsidP="00624407">
            <w:pPr>
              <w:rPr>
                <w:color w:val="000000"/>
                <w:sz w:val="20"/>
                <w:szCs w:val="20"/>
                <w:lang w:val="en-US"/>
              </w:rPr>
            </w:pPr>
            <w:r w:rsidRPr="00AA06F3">
              <w:rPr>
                <w:color w:val="000000"/>
                <w:sz w:val="20"/>
                <w:szCs w:val="20"/>
              </w:rPr>
              <w:t>HCFC-141b</w:t>
            </w:r>
          </w:p>
        </w:tc>
        <w:tc>
          <w:tcPr>
            <w:tcW w:w="1124"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right"/>
              <w:rPr>
                <w:color w:val="000000"/>
                <w:sz w:val="20"/>
                <w:szCs w:val="20"/>
                <w:lang w:val="en-US"/>
              </w:rPr>
            </w:pPr>
            <w:r w:rsidRPr="00AA06F3">
              <w:rPr>
                <w:color w:val="000000"/>
                <w:sz w:val="20"/>
                <w:szCs w:val="20"/>
                <w:lang w:val="en-US"/>
              </w:rPr>
              <w:t>725</w:t>
            </w:r>
          </w:p>
        </w:tc>
        <w:tc>
          <w:tcPr>
            <w:tcW w:w="1082" w:type="pct"/>
            <w:tcBorders>
              <w:top w:val="nil"/>
              <w:left w:val="nil"/>
              <w:bottom w:val="single" w:sz="4" w:space="0" w:color="auto"/>
              <w:right w:val="single" w:sz="4" w:space="0" w:color="auto"/>
            </w:tcBorders>
            <w:shd w:val="clear" w:color="auto" w:fill="auto"/>
            <w:noWrap/>
            <w:vAlign w:val="center"/>
            <w:hideMark/>
          </w:tcPr>
          <w:p w:rsidR="00624407" w:rsidRPr="00AA06F3" w:rsidRDefault="00624407" w:rsidP="00624407">
            <w:pPr>
              <w:jc w:val="right"/>
              <w:rPr>
                <w:color w:val="000000"/>
                <w:sz w:val="20"/>
                <w:szCs w:val="20"/>
                <w:lang w:val="en-US"/>
              </w:rPr>
            </w:pPr>
            <w:r w:rsidRPr="00AA06F3">
              <w:rPr>
                <w:color w:val="000000"/>
                <w:sz w:val="20"/>
                <w:szCs w:val="20"/>
                <w:lang w:val="en-US"/>
              </w:rPr>
              <w:t>65.72</w:t>
            </w:r>
          </w:p>
        </w:tc>
        <w:tc>
          <w:tcPr>
            <w:tcW w:w="1086"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right"/>
              <w:rPr>
                <w:color w:val="000000"/>
                <w:sz w:val="20"/>
                <w:szCs w:val="20"/>
                <w:lang w:val="en-US"/>
              </w:rPr>
            </w:pPr>
            <w:r w:rsidRPr="00AA06F3">
              <w:rPr>
                <w:color w:val="000000"/>
                <w:sz w:val="20"/>
                <w:szCs w:val="20"/>
                <w:lang w:val="en-US"/>
              </w:rPr>
              <w:t>47,647</w:t>
            </w:r>
          </w:p>
        </w:tc>
      </w:tr>
      <w:tr w:rsidR="00624407" w:rsidRPr="00AA06F3" w:rsidTr="00B365F2">
        <w:trPr>
          <w:trHeight w:val="233"/>
        </w:trPr>
        <w:tc>
          <w:tcPr>
            <w:tcW w:w="1709" w:type="pct"/>
            <w:tcBorders>
              <w:top w:val="nil"/>
              <w:left w:val="single" w:sz="4" w:space="0" w:color="auto"/>
              <w:bottom w:val="single" w:sz="4" w:space="0" w:color="auto"/>
              <w:right w:val="single" w:sz="4" w:space="0" w:color="auto"/>
            </w:tcBorders>
            <w:shd w:val="clear" w:color="auto" w:fill="auto"/>
            <w:noWrap/>
            <w:vAlign w:val="center"/>
            <w:hideMark/>
          </w:tcPr>
          <w:p w:rsidR="00624407" w:rsidRPr="00AA06F3" w:rsidRDefault="00624407" w:rsidP="00624407">
            <w:pPr>
              <w:rPr>
                <w:b/>
                <w:bCs/>
                <w:color w:val="000000"/>
                <w:sz w:val="20"/>
                <w:szCs w:val="20"/>
                <w:lang w:val="en-US"/>
              </w:rPr>
            </w:pPr>
            <w:r w:rsidRPr="00AA06F3">
              <w:rPr>
                <w:b/>
                <w:bCs/>
                <w:color w:val="000000"/>
                <w:sz w:val="20"/>
                <w:szCs w:val="20"/>
              </w:rPr>
              <w:t>After conversion</w:t>
            </w:r>
          </w:p>
        </w:tc>
        <w:tc>
          <w:tcPr>
            <w:tcW w:w="1124"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right"/>
              <w:rPr>
                <w:b/>
                <w:bCs/>
                <w:color w:val="000000"/>
                <w:sz w:val="20"/>
                <w:szCs w:val="20"/>
                <w:lang w:val="en-US"/>
              </w:rPr>
            </w:pPr>
            <w:r w:rsidRPr="00AA06F3">
              <w:rPr>
                <w:b/>
                <w:bCs/>
                <w:color w:val="000000"/>
                <w:sz w:val="20"/>
                <w:szCs w:val="20"/>
                <w:lang w:val="en-US"/>
              </w:rPr>
              <w:t> </w:t>
            </w:r>
          </w:p>
        </w:tc>
        <w:tc>
          <w:tcPr>
            <w:tcW w:w="1082" w:type="pct"/>
            <w:tcBorders>
              <w:top w:val="nil"/>
              <w:left w:val="nil"/>
              <w:bottom w:val="single" w:sz="4" w:space="0" w:color="auto"/>
              <w:right w:val="single" w:sz="4" w:space="0" w:color="auto"/>
            </w:tcBorders>
            <w:shd w:val="clear" w:color="auto" w:fill="auto"/>
            <w:noWrap/>
            <w:vAlign w:val="center"/>
            <w:hideMark/>
          </w:tcPr>
          <w:p w:rsidR="00624407" w:rsidRPr="00AA06F3" w:rsidRDefault="00624407" w:rsidP="00624407">
            <w:pPr>
              <w:jc w:val="right"/>
              <w:rPr>
                <w:b/>
                <w:bCs/>
                <w:color w:val="000000"/>
                <w:sz w:val="20"/>
                <w:szCs w:val="20"/>
                <w:lang w:val="en-US"/>
              </w:rPr>
            </w:pPr>
            <w:r w:rsidRPr="00AA06F3">
              <w:rPr>
                <w:b/>
                <w:bCs/>
                <w:color w:val="000000"/>
                <w:sz w:val="20"/>
                <w:szCs w:val="20"/>
                <w:lang w:val="en-US"/>
              </w:rPr>
              <w:t> </w:t>
            </w:r>
          </w:p>
        </w:tc>
        <w:tc>
          <w:tcPr>
            <w:tcW w:w="1086"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right"/>
              <w:rPr>
                <w:b/>
                <w:bCs/>
                <w:color w:val="000000"/>
                <w:sz w:val="20"/>
                <w:szCs w:val="20"/>
                <w:lang w:val="en-US"/>
              </w:rPr>
            </w:pPr>
            <w:r w:rsidRPr="00AA06F3">
              <w:rPr>
                <w:b/>
                <w:bCs/>
                <w:color w:val="000000"/>
                <w:sz w:val="20"/>
                <w:szCs w:val="20"/>
                <w:lang w:val="en-US"/>
              </w:rPr>
              <w:t> </w:t>
            </w:r>
          </w:p>
        </w:tc>
      </w:tr>
      <w:tr w:rsidR="00624407" w:rsidRPr="00AA06F3" w:rsidTr="00B365F2">
        <w:trPr>
          <w:trHeight w:val="80"/>
        </w:trPr>
        <w:tc>
          <w:tcPr>
            <w:tcW w:w="1709" w:type="pct"/>
            <w:tcBorders>
              <w:top w:val="nil"/>
              <w:left w:val="single" w:sz="4" w:space="0" w:color="auto"/>
              <w:bottom w:val="single" w:sz="4" w:space="0" w:color="auto"/>
              <w:right w:val="single" w:sz="4" w:space="0" w:color="auto"/>
            </w:tcBorders>
            <w:shd w:val="clear" w:color="auto" w:fill="auto"/>
            <w:noWrap/>
            <w:vAlign w:val="center"/>
            <w:hideMark/>
          </w:tcPr>
          <w:p w:rsidR="00624407" w:rsidRPr="00AA06F3" w:rsidRDefault="00624407" w:rsidP="00624407">
            <w:pPr>
              <w:rPr>
                <w:color w:val="000000"/>
                <w:sz w:val="20"/>
                <w:szCs w:val="20"/>
                <w:lang w:val="en-US"/>
              </w:rPr>
            </w:pPr>
            <w:r w:rsidRPr="00AA06F3">
              <w:rPr>
                <w:color w:val="000000"/>
                <w:sz w:val="20"/>
                <w:szCs w:val="20"/>
              </w:rPr>
              <w:t>HFO-1233zd</w:t>
            </w:r>
            <w:r>
              <w:rPr>
                <w:color w:val="000000"/>
                <w:sz w:val="20"/>
                <w:szCs w:val="20"/>
              </w:rPr>
              <w:t xml:space="preserve">, </w:t>
            </w:r>
            <w:proofErr w:type="spellStart"/>
            <w:r>
              <w:rPr>
                <w:color w:val="000000"/>
                <w:sz w:val="20"/>
                <w:szCs w:val="20"/>
              </w:rPr>
              <w:t>cyclopentane</w:t>
            </w:r>
            <w:proofErr w:type="spellEnd"/>
            <w:r>
              <w:rPr>
                <w:color w:val="000000"/>
                <w:sz w:val="20"/>
                <w:szCs w:val="20"/>
              </w:rPr>
              <w:t>, water</w:t>
            </w:r>
          </w:p>
        </w:tc>
        <w:tc>
          <w:tcPr>
            <w:tcW w:w="1124"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right"/>
              <w:rPr>
                <w:color w:val="000000"/>
                <w:sz w:val="20"/>
                <w:szCs w:val="20"/>
                <w:lang w:val="en-US"/>
              </w:rPr>
            </w:pPr>
            <w:r>
              <w:rPr>
                <w:color w:val="000000"/>
                <w:sz w:val="20"/>
                <w:szCs w:val="20"/>
                <w:lang w:val="en-US"/>
              </w:rPr>
              <w:t>~</w:t>
            </w:r>
            <w:r w:rsidRPr="00AA06F3">
              <w:rPr>
                <w:color w:val="000000"/>
                <w:sz w:val="20"/>
                <w:szCs w:val="20"/>
                <w:lang w:val="en-US"/>
              </w:rPr>
              <w:t>20</w:t>
            </w:r>
          </w:p>
        </w:tc>
        <w:tc>
          <w:tcPr>
            <w:tcW w:w="1082" w:type="pct"/>
            <w:tcBorders>
              <w:top w:val="nil"/>
              <w:left w:val="nil"/>
              <w:bottom w:val="single" w:sz="4" w:space="0" w:color="auto"/>
              <w:right w:val="single" w:sz="4" w:space="0" w:color="auto"/>
            </w:tcBorders>
            <w:shd w:val="clear" w:color="auto" w:fill="auto"/>
            <w:noWrap/>
            <w:vAlign w:val="center"/>
            <w:hideMark/>
          </w:tcPr>
          <w:p w:rsidR="00624407" w:rsidRPr="00AA06F3" w:rsidRDefault="00624407" w:rsidP="00624407">
            <w:pPr>
              <w:jc w:val="right"/>
              <w:rPr>
                <w:color w:val="000000"/>
                <w:sz w:val="20"/>
                <w:szCs w:val="20"/>
                <w:lang w:val="en-US"/>
              </w:rPr>
            </w:pPr>
            <w:r w:rsidRPr="00AA06F3">
              <w:rPr>
                <w:color w:val="000000"/>
                <w:sz w:val="20"/>
                <w:szCs w:val="20"/>
                <w:lang w:val="en-US"/>
              </w:rPr>
              <w:t>39.43</w:t>
            </w:r>
          </w:p>
        </w:tc>
        <w:tc>
          <w:tcPr>
            <w:tcW w:w="1086"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right"/>
              <w:rPr>
                <w:color w:val="000000"/>
                <w:sz w:val="20"/>
                <w:szCs w:val="20"/>
                <w:lang w:val="en-US"/>
              </w:rPr>
            </w:pPr>
            <w:r w:rsidRPr="00AA06F3">
              <w:rPr>
                <w:color w:val="000000"/>
                <w:sz w:val="20"/>
                <w:szCs w:val="20"/>
                <w:lang w:val="en-US"/>
              </w:rPr>
              <w:t>78</w:t>
            </w:r>
            <w:r>
              <w:rPr>
                <w:color w:val="000000"/>
                <w:sz w:val="20"/>
                <w:szCs w:val="20"/>
                <w:lang w:val="en-US"/>
              </w:rPr>
              <w:t>9</w:t>
            </w:r>
          </w:p>
        </w:tc>
      </w:tr>
      <w:tr w:rsidR="00624407" w:rsidRPr="00D54A54" w:rsidTr="00B365F2">
        <w:trPr>
          <w:trHeight w:val="107"/>
        </w:trPr>
        <w:tc>
          <w:tcPr>
            <w:tcW w:w="1709" w:type="pct"/>
            <w:tcBorders>
              <w:top w:val="nil"/>
              <w:left w:val="single" w:sz="4" w:space="0" w:color="auto"/>
              <w:bottom w:val="single" w:sz="4" w:space="0" w:color="auto"/>
              <w:right w:val="single" w:sz="4" w:space="0" w:color="auto"/>
            </w:tcBorders>
            <w:shd w:val="clear" w:color="auto" w:fill="auto"/>
            <w:noWrap/>
            <w:vAlign w:val="center"/>
            <w:hideMark/>
          </w:tcPr>
          <w:p w:rsidR="00624407" w:rsidRPr="00AA06F3" w:rsidRDefault="00624407" w:rsidP="00624407">
            <w:pPr>
              <w:rPr>
                <w:b/>
                <w:bCs/>
                <w:color w:val="000000"/>
                <w:sz w:val="20"/>
                <w:szCs w:val="20"/>
                <w:lang w:val="en-US"/>
              </w:rPr>
            </w:pPr>
            <w:r w:rsidRPr="00AA06F3">
              <w:rPr>
                <w:b/>
                <w:bCs/>
                <w:color w:val="000000"/>
                <w:sz w:val="20"/>
                <w:szCs w:val="20"/>
              </w:rPr>
              <w:t>Impact</w:t>
            </w:r>
          </w:p>
        </w:tc>
        <w:tc>
          <w:tcPr>
            <w:tcW w:w="1124" w:type="pct"/>
            <w:tcBorders>
              <w:top w:val="nil"/>
              <w:left w:val="nil"/>
              <w:bottom w:val="single" w:sz="4" w:space="0" w:color="auto"/>
              <w:right w:val="single" w:sz="4" w:space="0" w:color="auto"/>
            </w:tcBorders>
            <w:shd w:val="clear" w:color="auto" w:fill="auto"/>
            <w:vAlign w:val="center"/>
            <w:hideMark/>
          </w:tcPr>
          <w:p w:rsidR="00624407" w:rsidRPr="00AA06F3" w:rsidRDefault="00624407" w:rsidP="00624407">
            <w:pPr>
              <w:jc w:val="right"/>
              <w:rPr>
                <w:b/>
                <w:bCs/>
                <w:color w:val="000000"/>
                <w:sz w:val="20"/>
                <w:szCs w:val="20"/>
                <w:lang w:val="en-US"/>
              </w:rPr>
            </w:pPr>
            <w:r w:rsidRPr="00AA06F3">
              <w:rPr>
                <w:b/>
                <w:bCs/>
                <w:color w:val="000000"/>
                <w:sz w:val="20"/>
                <w:szCs w:val="20"/>
                <w:lang w:val="en-US"/>
              </w:rPr>
              <w:t> </w:t>
            </w:r>
          </w:p>
        </w:tc>
        <w:tc>
          <w:tcPr>
            <w:tcW w:w="1082" w:type="pct"/>
            <w:tcBorders>
              <w:top w:val="nil"/>
              <w:left w:val="nil"/>
              <w:bottom w:val="single" w:sz="4" w:space="0" w:color="auto"/>
              <w:right w:val="single" w:sz="4" w:space="0" w:color="auto"/>
            </w:tcBorders>
            <w:shd w:val="clear" w:color="auto" w:fill="auto"/>
            <w:noWrap/>
            <w:vAlign w:val="center"/>
            <w:hideMark/>
          </w:tcPr>
          <w:p w:rsidR="00624407" w:rsidRPr="00AA06F3" w:rsidRDefault="00624407" w:rsidP="00624407">
            <w:pPr>
              <w:jc w:val="right"/>
              <w:rPr>
                <w:b/>
                <w:bCs/>
                <w:color w:val="000000"/>
                <w:sz w:val="20"/>
                <w:szCs w:val="20"/>
                <w:lang w:val="en-US"/>
              </w:rPr>
            </w:pPr>
            <w:r w:rsidRPr="00AA06F3">
              <w:rPr>
                <w:b/>
                <w:bCs/>
                <w:color w:val="000000"/>
                <w:sz w:val="20"/>
                <w:szCs w:val="20"/>
                <w:lang w:val="en-US"/>
              </w:rPr>
              <w:t> </w:t>
            </w:r>
          </w:p>
        </w:tc>
        <w:tc>
          <w:tcPr>
            <w:tcW w:w="1086" w:type="pct"/>
            <w:tcBorders>
              <w:top w:val="nil"/>
              <w:left w:val="nil"/>
              <w:bottom w:val="single" w:sz="4" w:space="0" w:color="auto"/>
              <w:right w:val="single" w:sz="4" w:space="0" w:color="auto"/>
            </w:tcBorders>
            <w:shd w:val="clear" w:color="auto" w:fill="auto"/>
            <w:vAlign w:val="center"/>
            <w:hideMark/>
          </w:tcPr>
          <w:p w:rsidR="00624407" w:rsidRPr="00D54A54" w:rsidRDefault="00624407" w:rsidP="00624407">
            <w:pPr>
              <w:jc w:val="right"/>
              <w:rPr>
                <w:b/>
                <w:bCs/>
                <w:color w:val="000000"/>
                <w:sz w:val="20"/>
                <w:szCs w:val="20"/>
                <w:lang w:val="en-US"/>
              </w:rPr>
            </w:pPr>
            <w:r w:rsidRPr="00D54A54">
              <w:rPr>
                <w:b/>
                <w:bCs/>
                <w:color w:val="000000"/>
                <w:sz w:val="20"/>
                <w:szCs w:val="20"/>
                <w:lang w:val="en-US"/>
              </w:rPr>
              <w:t>(46,858)</w:t>
            </w:r>
          </w:p>
        </w:tc>
      </w:tr>
    </w:tbl>
    <w:p w:rsidR="00624407" w:rsidRPr="009434D4" w:rsidRDefault="00624407" w:rsidP="00624407">
      <w:pPr>
        <w:pStyle w:val="Heading1"/>
        <w:numPr>
          <w:ilvl w:val="0"/>
          <w:numId w:val="0"/>
        </w:numPr>
        <w:spacing w:after="0"/>
      </w:pPr>
    </w:p>
    <w:p w:rsidR="00624407" w:rsidRPr="00F13900" w:rsidRDefault="00624407" w:rsidP="00D304E4">
      <w:pPr>
        <w:pStyle w:val="Heading1"/>
        <w:keepNext/>
        <w:keepLines/>
        <w:numPr>
          <w:ilvl w:val="0"/>
          <w:numId w:val="0"/>
        </w:numPr>
        <w:rPr>
          <w:b/>
        </w:rPr>
      </w:pPr>
      <w:r w:rsidRPr="00F13900">
        <w:rPr>
          <w:b/>
        </w:rPr>
        <w:t>RECOMMENDATION</w:t>
      </w:r>
    </w:p>
    <w:p w:rsidR="00624407" w:rsidRPr="00F13900" w:rsidRDefault="00624407" w:rsidP="00D304E4">
      <w:pPr>
        <w:pStyle w:val="Heading1"/>
        <w:keepNext/>
        <w:keepLines/>
        <w:tabs>
          <w:tab w:val="clear" w:pos="142"/>
          <w:tab w:val="num" w:pos="0"/>
        </w:tabs>
        <w:ind w:left="0"/>
      </w:pPr>
      <w:r w:rsidRPr="00F13900">
        <w:t>The Executive Committee may wish to consider:</w:t>
      </w:r>
    </w:p>
    <w:p w:rsidR="00624407" w:rsidRPr="00F13900" w:rsidRDefault="00624407" w:rsidP="00D304E4">
      <w:pPr>
        <w:pStyle w:val="Heading2"/>
        <w:keepNext/>
        <w:keepLines/>
        <w:widowControl/>
      </w:pPr>
      <w:r w:rsidRPr="00F13900">
        <w:t xml:space="preserve">Approving the project proposal for the phase-out of HCFC-141b contained in </w:t>
      </w:r>
      <w:r>
        <w:t>imported pre</w:t>
      </w:r>
      <w:r w:rsidRPr="00F13900">
        <w:t>-blended</w:t>
      </w:r>
      <w:r>
        <w:t xml:space="preserve"> polyols in the</w:t>
      </w:r>
      <w:r w:rsidRPr="00F13900">
        <w:t xml:space="preserve"> foam sector, excluding spray foam, in Ecuador, </w:t>
      </w:r>
      <w:r w:rsidRPr="00F13900">
        <w:rPr>
          <w:lang w:val="en-CA"/>
        </w:rPr>
        <w:t xml:space="preserve">in the amount of </w:t>
      </w:r>
      <w:r w:rsidR="00C52303">
        <w:rPr>
          <w:lang w:val="en-CA"/>
        </w:rPr>
        <w:t>US $</w:t>
      </w:r>
      <w:r w:rsidRPr="00F13900">
        <w:rPr>
          <w:lang w:val="en-CA"/>
        </w:rPr>
        <w:t xml:space="preserve">431,719, plus agency support costs of </w:t>
      </w:r>
      <w:r w:rsidR="00C52303">
        <w:rPr>
          <w:lang w:val="en-CA"/>
        </w:rPr>
        <w:t>US $</w:t>
      </w:r>
      <w:r w:rsidRPr="00F13900">
        <w:rPr>
          <w:lang w:val="en-CA"/>
        </w:rPr>
        <w:t>30,220 for UNIDO;</w:t>
      </w:r>
    </w:p>
    <w:p w:rsidR="00642E09" w:rsidRDefault="00624407" w:rsidP="00464D28">
      <w:pPr>
        <w:pStyle w:val="Heading2"/>
      </w:pPr>
      <w:r w:rsidRPr="00F13900">
        <w:t xml:space="preserve">Deducting 4.85 ODP tonnes of HCFCs from the remaining HCFC consumption eligible for funding; </w:t>
      </w:r>
    </w:p>
    <w:p w:rsidR="00624407" w:rsidRPr="00F13900" w:rsidRDefault="00624407" w:rsidP="00464D28">
      <w:pPr>
        <w:pStyle w:val="Heading2"/>
      </w:pPr>
      <w:r w:rsidRPr="00F13900">
        <w:t>Noting:</w:t>
      </w:r>
    </w:p>
    <w:p w:rsidR="00624407" w:rsidRPr="00B365F2" w:rsidRDefault="00624407" w:rsidP="00624407">
      <w:pPr>
        <w:pStyle w:val="Heading3"/>
      </w:pPr>
      <w:r w:rsidRPr="00F13900">
        <w:t>The commitment of the Government of Ecuador no</w:t>
      </w:r>
      <w:r>
        <w:t xml:space="preserve">t to issue any import quota for </w:t>
      </w:r>
      <w:r w:rsidRPr="00F13900">
        <w:t>HCFC-141b</w:t>
      </w:r>
      <w:r>
        <w:t xml:space="preserve"> </w:t>
      </w:r>
      <w:r w:rsidRPr="00D304E4">
        <w:t>contained in pre-blended polyols</w:t>
      </w:r>
      <w:r w:rsidRPr="00F13900">
        <w:t xml:space="preserve"> starting 1 January 2020, except for </w:t>
      </w:r>
      <w:r w:rsidRPr="00B365F2">
        <w:t xml:space="preserve">a maximum of 0.86 ODP tonnes (7.78 </w:t>
      </w:r>
      <w:proofErr w:type="spellStart"/>
      <w:r w:rsidRPr="00B365F2">
        <w:t>mt</w:t>
      </w:r>
      <w:proofErr w:type="spellEnd"/>
      <w:r w:rsidRPr="00B365F2">
        <w:t>) for spray foam for the years 2020 and 2021;</w:t>
      </w:r>
    </w:p>
    <w:p w:rsidR="00624407" w:rsidRPr="00B365F2" w:rsidRDefault="00642E09" w:rsidP="00624407">
      <w:pPr>
        <w:pStyle w:val="Heading3"/>
        <w:rPr>
          <w:lang w:val="en-CA"/>
        </w:rPr>
      </w:pPr>
      <w:r>
        <w:rPr>
          <w:lang w:val="en-CA"/>
        </w:rPr>
        <w:t>That the u</w:t>
      </w:r>
      <w:r w:rsidR="00624407" w:rsidRPr="00B365F2">
        <w:rPr>
          <w:lang w:val="en-CA"/>
        </w:rPr>
        <w:t>pdated Agreement between the Government of Ecuador and the Executive Committee fo</w:t>
      </w:r>
      <w:r w:rsidR="00D304E4" w:rsidRPr="00B365F2">
        <w:rPr>
          <w:lang w:val="en-CA"/>
        </w:rPr>
        <w:t>r stage I of its HPMP has</w:t>
      </w:r>
      <w:r w:rsidR="00624407" w:rsidRPr="00B365F2">
        <w:rPr>
          <w:lang w:val="en-CA"/>
        </w:rPr>
        <w:t xml:space="preserve"> been revised to reflect the changes in Appendix 2-A (the fund</w:t>
      </w:r>
      <w:r w:rsidR="00D54A54" w:rsidRPr="00B365F2">
        <w:rPr>
          <w:lang w:val="en-CA"/>
        </w:rPr>
        <w:t>s</w:t>
      </w:r>
      <w:r w:rsidR="00624407" w:rsidRPr="00B365F2">
        <w:rPr>
          <w:lang w:val="en-CA"/>
        </w:rPr>
        <w:t xml:space="preserve"> approved and the remaining eligible consumption) and to revise paragraph 1</w:t>
      </w:r>
      <w:r>
        <w:rPr>
          <w:lang w:val="en-CA"/>
        </w:rPr>
        <w:t xml:space="preserve">6 to indicate that the Revised </w:t>
      </w:r>
      <w:proofErr w:type="gramStart"/>
      <w:r>
        <w:rPr>
          <w:lang w:val="en-CA"/>
        </w:rPr>
        <w:t>u</w:t>
      </w:r>
      <w:r w:rsidR="00624407" w:rsidRPr="00B365F2">
        <w:rPr>
          <w:lang w:val="en-CA"/>
        </w:rPr>
        <w:t>pdated</w:t>
      </w:r>
      <w:proofErr w:type="gramEnd"/>
      <w:r w:rsidR="00624407" w:rsidRPr="00B365F2">
        <w:rPr>
          <w:lang w:val="en-CA"/>
        </w:rPr>
        <w:t xml:space="preserve"> Agreement for stage I supersede</w:t>
      </w:r>
      <w:r w:rsidR="00D304E4" w:rsidRPr="00B365F2">
        <w:rPr>
          <w:lang w:val="en-CA"/>
        </w:rPr>
        <w:t>s</w:t>
      </w:r>
      <w:r w:rsidR="00624407" w:rsidRPr="00B365F2">
        <w:rPr>
          <w:lang w:val="en-CA"/>
        </w:rPr>
        <w:t xml:space="preserve"> that reached at the 70</w:t>
      </w:r>
      <w:r w:rsidR="00624407" w:rsidRPr="00B365F2">
        <w:rPr>
          <w:vertAlign w:val="superscript"/>
          <w:lang w:val="en-CA"/>
        </w:rPr>
        <w:t>th</w:t>
      </w:r>
      <w:r w:rsidR="00624407" w:rsidRPr="00B365F2">
        <w:rPr>
          <w:lang w:val="en-CA"/>
        </w:rPr>
        <w:t xml:space="preserve"> meeting, as contained in Annex I to the present document; and</w:t>
      </w:r>
    </w:p>
    <w:p w:rsidR="00624407" w:rsidRPr="00B365F2" w:rsidRDefault="00624407" w:rsidP="00624407">
      <w:pPr>
        <w:pStyle w:val="Heading3"/>
        <w:rPr>
          <w:lang w:val="en-CA"/>
        </w:rPr>
      </w:pPr>
      <w:r w:rsidRPr="00B365F2">
        <w:rPr>
          <w:lang w:val="en-CA"/>
        </w:rPr>
        <w:t xml:space="preserve">That the Government of Ecuador will submit as part of stage II a project proposal for the phase-out of HCFC-141b contained in imported pre-blended polyols for spray foam. </w:t>
      </w:r>
    </w:p>
    <w:p w:rsidR="00624407" w:rsidRDefault="00624407" w:rsidP="00624407">
      <w:pPr>
        <w:jc w:val="left"/>
        <w:rPr>
          <w:sz w:val="20"/>
        </w:rPr>
      </w:pPr>
      <w:r>
        <w:br w:type="page"/>
      </w:r>
    </w:p>
    <w:p w:rsidR="00624407" w:rsidRDefault="00624407" w:rsidP="00624407">
      <w:pPr>
        <w:pStyle w:val="StyleHeader4Para4Left0Firstline0"/>
        <w:numPr>
          <w:ilvl w:val="0"/>
          <w:numId w:val="0"/>
        </w:numPr>
        <w:jc w:val="center"/>
        <w:rPr>
          <w:b/>
          <w:sz w:val="22"/>
        </w:rPr>
      </w:pPr>
      <w:r w:rsidRPr="00977552">
        <w:rPr>
          <w:b/>
          <w:sz w:val="22"/>
        </w:rPr>
        <w:t>Annex I</w:t>
      </w:r>
    </w:p>
    <w:p w:rsidR="00624407" w:rsidRPr="00764AC0" w:rsidRDefault="00624407" w:rsidP="00624407">
      <w:pPr>
        <w:pStyle w:val="StyleHeader4Para4Left0Firstline0"/>
        <w:numPr>
          <w:ilvl w:val="0"/>
          <w:numId w:val="0"/>
        </w:numPr>
        <w:spacing w:after="0"/>
        <w:jc w:val="center"/>
        <w:rPr>
          <w:b/>
          <w:sz w:val="22"/>
        </w:rPr>
      </w:pPr>
      <w:r w:rsidRPr="00977552">
        <w:rPr>
          <w:b/>
          <w:sz w:val="22"/>
        </w:rPr>
        <w:t>TEXT TO BE INCLUDED IN THE</w:t>
      </w:r>
      <w:r w:rsidRPr="00136241">
        <w:rPr>
          <w:b/>
          <w:sz w:val="22"/>
        </w:rPr>
        <w:t xml:space="preserve"> </w:t>
      </w:r>
      <w:r w:rsidRPr="00977552">
        <w:rPr>
          <w:b/>
          <w:sz w:val="22"/>
        </w:rPr>
        <w:t xml:space="preserve">UPDATED AGREEMENT BETWEEN THE GOVERNMENT </w:t>
      </w:r>
      <w:r w:rsidRPr="00BE5BD9">
        <w:rPr>
          <w:b/>
          <w:sz w:val="22"/>
        </w:rPr>
        <w:t xml:space="preserve">OF </w:t>
      </w:r>
      <w:r>
        <w:rPr>
          <w:b/>
          <w:sz w:val="22"/>
        </w:rPr>
        <w:t>ECUADOR</w:t>
      </w:r>
      <w:r>
        <w:rPr>
          <w:kern w:val="36"/>
        </w:rPr>
        <w:t xml:space="preserve"> </w:t>
      </w:r>
      <w:r w:rsidRPr="00977552">
        <w:rPr>
          <w:b/>
          <w:sz w:val="22"/>
        </w:rPr>
        <w:t>AND THE EXECUTIVE COMMITTEE</w:t>
      </w:r>
      <w:r w:rsidRPr="00764AC0">
        <w:rPr>
          <w:b/>
          <w:sz w:val="22"/>
        </w:rPr>
        <w:t xml:space="preserve"> OF THE MULTILATERAL FUND FOR THE REDUCTION IN CONSUMPTION OF HYDROCHLOROFLUOROCARBONS</w:t>
      </w:r>
    </w:p>
    <w:p w:rsidR="00624407" w:rsidRPr="00FB52A4" w:rsidRDefault="00624407" w:rsidP="00624407">
      <w:pPr>
        <w:pStyle w:val="Heading1"/>
        <w:numPr>
          <w:ilvl w:val="0"/>
          <w:numId w:val="0"/>
        </w:numPr>
        <w:jc w:val="center"/>
        <w:rPr>
          <w:color w:val="000000"/>
          <w:kern w:val="36"/>
        </w:rPr>
      </w:pPr>
      <w:r w:rsidRPr="0043045B">
        <w:rPr>
          <w:color w:val="000000"/>
          <w:kern w:val="36"/>
        </w:rPr>
        <w:t>(</w:t>
      </w:r>
      <w:r>
        <w:rPr>
          <w:color w:val="000000"/>
          <w:kern w:val="36"/>
        </w:rPr>
        <w:t xml:space="preserve">Relevant </w:t>
      </w:r>
      <w:r w:rsidRPr="0043045B">
        <w:rPr>
          <w:color w:val="000000"/>
          <w:kern w:val="36"/>
        </w:rPr>
        <w:t>changes are in bold font for ease of reference)</w:t>
      </w:r>
    </w:p>
    <w:p w:rsidR="00624407" w:rsidRPr="00F37476" w:rsidRDefault="00624407" w:rsidP="00624407">
      <w:pPr>
        <w:pStyle w:val="StyleHeader4Para4Left0Firstline0"/>
        <w:numPr>
          <w:ilvl w:val="0"/>
          <w:numId w:val="0"/>
        </w:numPr>
        <w:tabs>
          <w:tab w:val="clear" w:pos="2880"/>
          <w:tab w:val="clear" w:pos="5760"/>
        </w:tabs>
        <w:rPr>
          <w:sz w:val="22"/>
        </w:rPr>
      </w:pPr>
      <w:r w:rsidRPr="00F37476">
        <w:rPr>
          <w:sz w:val="22"/>
        </w:rPr>
        <w:t>16.</w:t>
      </w:r>
      <w:r w:rsidRPr="00F37476">
        <w:rPr>
          <w:sz w:val="22"/>
        </w:rPr>
        <w:tab/>
        <w:t xml:space="preserve">This updated Agreement supersedes the updated Agreement reached between the Government of Ecuador and the Executive Committee at the </w:t>
      </w:r>
      <w:r w:rsidRPr="00F37476">
        <w:rPr>
          <w:b/>
          <w:sz w:val="22"/>
        </w:rPr>
        <w:t>70</w:t>
      </w:r>
      <w:r w:rsidRPr="00F37476">
        <w:rPr>
          <w:b/>
          <w:sz w:val="22"/>
          <w:vertAlign w:val="superscript"/>
        </w:rPr>
        <w:t>th</w:t>
      </w:r>
      <w:r w:rsidRPr="00F37476">
        <w:rPr>
          <w:sz w:val="22"/>
          <w:vertAlign w:val="superscript"/>
        </w:rPr>
        <w:t> </w:t>
      </w:r>
      <w:r w:rsidRPr="00F37476">
        <w:rPr>
          <w:sz w:val="22"/>
        </w:rPr>
        <w:t>meeting of the Executive Committee.</w:t>
      </w:r>
    </w:p>
    <w:p w:rsidR="00624407" w:rsidRPr="00DF034E" w:rsidRDefault="00624407" w:rsidP="00624407">
      <w:pPr>
        <w:suppressAutoHyphens/>
        <w:rPr>
          <w:rFonts w:eastAsia="SimSun"/>
          <w:b/>
          <w:lang w:val="en-US" w:eastAsia="ar-SA"/>
        </w:rPr>
      </w:pPr>
      <w:r w:rsidRPr="00DF034E">
        <w:rPr>
          <w:rFonts w:eastAsia="SimSun"/>
          <w:b/>
          <w:lang w:val="en-US" w:eastAsia="ar-SA"/>
        </w:rPr>
        <w:t>APPENDIX 2-A: THE TARGETS, AND FUNDING</w:t>
      </w:r>
    </w:p>
    <w:tbl>
      <w:tblPr>
        <w:tblpPr w:leftFromText="180" w:rightFromText="180" w:vertAnchor="text" w:horzAnchor="margin" w:tblpY="347"/>
        <w:tblW w:w="5459" w:type="pct"/>
        <w:tblLayout w:type="fixed"/>
        <w:tblLook w:val="00A0" w:firstRow="1" w:lastRow="0" w:firstColumn="1" w:lastColumn="0" w:noHBand="0" w:noVBand="0"/>
      </w:tblPr>
      <w:tblGrid>
        <w:gridCol w:w="538"/>
        <w:gridCol w:w="1358"/>
        <w:gridCol w:w="970"/>
        <w:gridCol w:w="555"/>
        <w:gridCol w:w="833"/>
        <w:gridCol w:w="696"/>
        <w:gridCol w:w="692"/>
        <w:gridCol w:w="831"/>
        <w:gridCol w:w="692"/>
        <w:gridCol w:w="831"/>
        <w:gridCol w:w="617"/>
        <w:gridCol w:w="664"/>
        <w:gridCol w:w="931"/>
      </w:tblGrid>
      <w:tr w:rsidR="00624407" w:rsidRPr="00CC214A" w:rsidTr="00B365F2">
        <w:tc>
          <w:tcPr>
            <w:tcW w:w="264" w:type="pct"/>
            <w:tcBorders>
              <w:top w:val="single" w:sz="4" w:space="0" w:color="auto"/>
              <w:left w:val="single" w:sz="4" w:space="0" w:color="auto"/>
              <w:bottom w:val="single" w:sz="4" w:space="0" w:color="auto"/>
              <w:right w:val="single" w:sz="4" w:space="0" w:color="auto"/>
            </w:tcBorders>
          </w:tcPr>
          <w:p w:rsidR="00624407" w:rsidRPr="00FF6C4A" w:rsidRDefault="00624407" w:rsidP="00624407">
            <w:pPr>
              <w:keepNext/>
              <w:keepLines/>
              <w:rPr>
                <w:color w:val="000000"/>
                <w:sz w:val="16"/>
                <w:szCs w:val="16"/>
                <w:lang w:val="en-US" w:eastAsia="en-CA"/>
              </w:rPr>
            </w:pPr>
          </w:p>
        </w:tc>
        <w:tc>
          <w:tcPr>
            <w:tcW w:w="665"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CA" w:eastAsia="en-CA"/>
              </w:rPr>
            </w:pPr>
          </w:p>
        </w:tc>
        <w:tc>
          <w:tcPr>
            <w:tcW w:w="475"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CA" w:eastAsia="en-CA"/>
              </w:rPr>
            </w:pPr>
            <w:r w:rsidRPr="00CC214A">
              <w:rPr>
                <w:b/>
                <w:color w:val="000000"/>
                <w:sz w:val="16"/>
                <w:szCs w:val="16"/>
                <w:lang w:val="en-CA" w:eastAsia="en-CA"/>
              </w:rPr>
              <w:t>2011</w:t>
            </w:r>
          </w:p>
        </w:tc>
        <w:tc>
          <w:tcPr>
            <w:tcW w:w="272"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CA" w:eastAsia="en-CA"/>
              </w:rPr>
            </w:pPr>
            <w:r w:rsidRPr="00CC214A">
              <w:rPr>
                <w:b/>
                <w:color w:val="000000"/>
                <w:sz w:val="16"/>
                <w:szCs w:val="16"/>
                <w:lang w:val="en-CA" w:eastAsia="en-CA"/>
              </w:rPr>
              <w:t>2012</w:t>
            </w:r>
          </w:p>
        </w:tc>
        <w:tc>
          <w:tcPr>
            <w:tcW w:w="408"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US" w:eastAsia="en-CA"/>
              </w:rPr>
            </w:pPr>
            <w:r w:rsidRPr="00CC214A">
              <w:rPr>
                <w:b/>
                <w:color w:val="000000"/>
                <w:sz w:val="16"/>
                <w:szCs w:val="16"/>
                <w:lang w:val="en-US" w:eastAsia="en-CA"/>
              </w:rPr>
              <w:t>2013</w:t>
            </w:r>
          </w:p>
        </w:tc>
        <w:tc>
          <w:tcPr>
            <w:tcW w:w="341"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CA" w:eastAsia="en-CA"/>
              </w:rPr>
            </w:pPr>
            <w:r w:rsidRPr="00CC214A">
              <w:rPr>
                <w:b/>
                <w:color w:val="000000"/>
                <w:sz w:val="16"/>
                <w:szCs w:val="16"/>
                <w:lang w:val="en-CA" w:eastAsia="en-CA"/>
              </w:rPr>
              <w:t>2014</w:t>
            </w:r>
          </w:p>
        </w:tc>
        <w:tc>
          <w:tcPr>
            <w:tcW w:w="339"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US" w:eastAsia="en-CA"/>
              </w:rPr>
            </w:pPr>
            <w:r w:rsidRPr="00CC214A">
              <w:rPr>
                <w:b/>
                <w:color w:val="000000"/>
                <w:sz w:val="16"/>
                <w:szCs w:val="16"/>
                <w:lang w:val="en-US" w:eastAsia="en-CA"/>
              </w:rPr>
              <w:t>2015</w:t>
            </w:r>
          </w:p>
        </w:tc>
        <w:tc>
          <w:tcPr>
            <w:tcW w:w="407"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US" w:eastAsia="en-CA"/>
              </w:rPr>
            </w:pPr>
            <w:r w:rsidRPr="00CC214A">
              <w:rPr>
                <w:b/>
                <w:color w:val="000000"/>
                <w:sz w:val="16"/>
                <w:szCs w:val="16"/>
                <w:lang w:val="en-US" w:eastAsia="en-CA"/>
              </w:rPr>
              <w:t>2016</w:t>
            </w:r>
          </w:p>
        </w:tc>
        <w:tc>
          <w:tcPr>
            <w:tcW w:w="339"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CA" w:eastAsia="en-CA"/>
              </w:rPr>
            </w:pPr>
            <w:r w:rsidRPr="00CC214A">
              <w:rPr>
                <w:b/>
                <w:color w:val="000000"/>
                <w:sz w:val="16"/>
                <w:szCs w:val="16"/>
                <w:lang w:val="en-CA" w:eastAsia="en-CA"/>
              </w:rPr>
              <w:t>2017</w:t>
            </w:r>
          </w:p>
        </w:tc>
        <w:tc>
          <w:tcPr>
            <w:tcW w:w="407"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US" w:eastAsia="en-CA"/>
              </w:rPr>
            </w:pPr>
            <w:r w:rsidRPr="00CC214A">
              <w:rPr>
                <w:b/>
                <w:color w:val="000000"/>
                <w:sz w:val="16"/>
                <w:szCs w:val="16"/>
                <w:lang w:val="en-US" w:eastAsia="en-CA"/>
              </w:rPr>
              <w:t>2018</w:t>
            </w:r>
          </w:p>
        </w:tc>
        <w:tc>
          <w:tcPr>
            <w:tcW w:w="302"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CA" w:eastAsia="en-CA"/>
              </w:rPr>
            </w:pPr>
            <w:r w:rsidRPr="00CC214A">
              <w:rPr>
                <w:b/>
                <w:color w:val="000000"/>
                <w:sz w:val="16"/>
                <w:szCs w:val="16"/>
                <w:lang w:val="en-CA" w:eastAsia="en-CA"/>
              </w:rPr>
              <w:t>2019</w:t>
            </w:r>
          </w:p>
        </w:tc>
        <w:tc>
          <w:tcPr>
            <w:tcW w:w="325"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eastAsia="en-CA"/>
              </w:rPr>
            </w:pPr>
            <w:r w:rsidRPr="00CC214A">
              <w:rPr>
                <w:b/>
                <w:color w:val="000000"/>
                <w:sz w:val="16"/>
                <w:szCs w:val="16"/>
                <w:lang w:eastAsia="en-CA"/>
              </w:rPr>
              <w:t>2020</w:t>
            </w:r>
          </w:p>
        </w:tc>
        <w:tc>
          <w:tcPr>
            <w:tcW w:w="456" w:type="pct"/>
            <w:tcBorders>
              <w:top w:val="single" w:sz="4" w:space="0" w:color="auto"/>
              <w:left w:val="nil"/>
              <w:bottom w:val="single" w:sz="4" w:space="0" w:color="auto"/>
              <w:right w:val="single" w:sz="4" w:space="0" w:color="auto"/>
            </w:tcBorders>
          </w:tcPr>
          <w:p w:rsidR="00624407" w:rsidRPr="00CC214A" w:rsidRDefault="00624407" w:rsidP="00624407">
            <w:pPr>
              <w:keepNext/>
              <w:keepLines/>
              <w:jc w:val="center"/>
              <w:rPr>
                <w:b/>
                <w:color w:val="000000"/>
                <w:sz w:val="16"/>
                <w:szCs w:val="16"/>
                <w:lang w:val="en-CA" w:eastAsia="en-CA"/>
              </w:rPr>
            </w:pPr>
            <w:r w:rsidRPr="00CC214A">
              <w:rPr>
                <w:b/>
                <w:color w:val="000000"/>
                <w:sz w:val="16"/>
                <w:szCs w:val="16"/>
                <w:lang w:val="en-CA" w:eastAsia="en-CA"/>
              </w:rPr>
              <w:t>Total</w:t>
            </w:r>
          </w:p>
        </w:tc>
      </w:tr>
      <w:tr w:rsidR="00624407" w:rsidRPr="00E35DB9" w:rsidTr="00B365F2">
        <w:tc>
          <w:tcPr>
            <w:tcW w:w="264" w:type="pct"/>
            <w:tcBorders>
              <w:top w:val="nil"/>
              <w:left w:val="single" w:sz="4" w:space="0" w:color="auto"/>
              <w:bottom w:val="single" w:sz="4" w:space="0" w:color="auto"/>
              <w:right w:val="single" w:sz="4" w:space="0" w:color="auto"/>
            </w:tcBorders>
          </w:tcPr>
          <w:p w:rsidR="00624407" w:rsidRPr="00E35DB9" w:rsidRDefault="00624407" w:rsidP="00624407">
            <w:pPr>
              <w:keepNext/>
              <w:keepLines/>
              <w:rPr>
                <w:color w:val="000000"/>
                <w:sz w:val="16"/>
                <w:szCs w:val="16"/>
                <w:lang w:val="en-CA" w:eastAsia="en-CA"/>
              </w:rPr>
            </w:pPr>
            <w:r w:rsidRPr="00E35DB9">
              <w:rPr>
                <w:color w:val="000000"/>
                <w:sz w:val="16"/>
                <w:szCs w:val="16"/>
                <w:lang w:val="en-CA" w:eastAsia="en-CA"/>
              </w:rPr>
              <w:t>1.1</w:t>
            </w:r>
          </w:p>
        </w:tc>
        <w:tc>
          <w:tcPr>
            <w:tcW w:w="665" w:type="pct"/>
            <w:tcBorders>
              <w:top w:val="nil"/>
              <w:left w:val="nil"/>
              <w:bottom w:val="single" w:sz="4" w:space="0" w:color="auto"/>
              <w:right w:val="single" w:sz="4" w:space="0" w:color="auto"/>
            </w:tcBorders>
          </w:tcPr>
          <w:p w:rsidR="00624407" w:rsidRPr="00E35DB9" w:rsidRDefault="00624407" w:rsidP="00624407">
            <w:pPr>
              <w:keepNext/>
              <w:keepLines/>
              <w:rPr>
                <w:color w:val="000000"/>
                <w:sz w:val="16"/>
                <w:szCs w:val="16"/>
                <w:lang w:val="en-CA" w:eastAsia="en-CA"/>
              </w:rPr>
            </w:pPr>
            <w:r w:rsidRPr="00E35DB9">
              <w:rPr>
                <w:color w:val="000000"/>
                <w:sz w:val="16"/>
                <w:szCs w:val="16"/>
                <w:lang w:val="en-CA" w:eastAsia="en-CA"/>
              </w:rPr>
              <w:t>Montreal Protocol reduction schedule of Annex C, Group I substances (ODP tonnes)</w:t>
            </w:r>
          </w:p>
        </w:tc>
        <w:tc>
          <w:tcPr>
            <w:tcW w:w="475" w:type="pct"/>
            <w:tcBorders>
              <w:top w:val="nil"/>
              <w:left w:val="nil"/>
              <w:bottom w:val="single" w:sz="4" w:space="0" w:color="auto"/>
              <w:right w:val="single" w:sz="4" w:space="0" w:color="auto"/>
            </w:tcBorders>
          </w:tcPr>
          <w:p w:rsidR="00624407" w:rsidRPr="00E35DB9" w:rsidRDefault="00624407" w:rsidP="00624407">
            <w:pPr>
              <w:keepNext/>
              <w:keepLines/>
              <w:jc w:val="center"/>
              <w:rPr>
                <w:color w:val="000000"/>
                <w:sz w:val="16"/>
                <w:szCs w:val="16"/>
                <w:lang w:val="en-CA" w:eastAsia="en-CA"/>
              </w:rPr>
            </w:pPr>
            <w:r w:rsidRPr="00E35DB9">
              <w:rPr>
                <w:color w:val="000000"/>
                <w:sz w:val="16"/>
                <w:szCs w:val="16"/>
                <w:lang w:val="en-CA" w:eastAsia="en-CA"/>
              </w:rPr>
              <w:t>n/a</w:t>
            </w:r>
          </w:p>
        </w:tc>
        <w:tc>
          <w:tcPr>
            <w:tcW w:w="272" w:type="pct"/>
            <w:tcBorders>
              <w:top w:val="nil"/>
              <w:left w:val="nil"/>
              <w:bottom w:val="single" w:sz="4" w:space="0" w:color="auto"/>
              <w:right w:val="single" w:sz="4" w:space="0" w:color="auto"/>
            </w:tcBorders>
          </w:tcPr>
          <w:p w:rsidR="00624407" w:rsidRPr="00DF034E" w:rsidRDefault="00624407" w:rsidP="00624407">
            <w:pPr>
              <w:keepNext/>
              <w:keepLines/>
              <w:jc w:val="center"/>
              <w:rPr>
                <w:color w:val="000000"/>
                <w:sz w:val="16"/>
                <w:szCs w:val="16"/>
                <w:lang w:val="en-CA" w:eastAsia="en-CA"/>
              </w:rPr>
            </w:pPr>
            <w:r w:rsidRPr="00DF034E">
              <w:rPr>
                <w:color w:val="000000"/>
                <w:sz w:val="16"/>
                <w:szCs w:val="16"/>
                <w:lang w:val="en-CA" w:eastAsia="en-CA"/>
              </w:rPr>
              <w:t>n/a</w:t>
            </w:r>
          </w:p>
        </w:tc>
        <w:tc>
          <w:tcPr>
            <w:tcW w:w="408"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n-US" w:eastAsia="en-CA"/>
              </w:rPr>
              <w:t>23.49</w:t>
            </w:r>
          </w:p>
        </w:tc>
        <w:tc>
          <w:tcPr>
            <w:tcW w:w="341"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n-CA" w:eastAsia="en-CA"/>
              </w:rPr>
              <w:t>23.49</w:t>
            </w:r>
          </w:p>
        </w:tc>
        <w:tc>
          <w:tcPr>
            <w:tcW w:w="339"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n-US" w:eastAsia="en-CA"/>
              </w:rPr>
              <w:t>21.14</w:t>
            </w:r>
          </w:p>
        </w:tc>
        <w:tc>
          <w:tcPr>
            <w:tcW w:w="407"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n-US" w:eastAsia="en-CA"/>
              </w:rPr>
              <w:t>21.14</w:t>
            </w:r>
          </w:p>
        </w:tc>
        <w:tc>
          <w:tcPr>
            <w:tcW w:w="339"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n-US" w:eastAsia="en-CA"/>
              </w:rPr>
              <w:t>21.14</w:t>
            </w:r>
          </w:p>
        </w:tc>
        <w:tc>
          <w:tcPr>
            <w:tcW w:w="407"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n-US" w:eastAsia="en-CA"/>
              </w:rPr>
              <w:t>21.14</w:t>
            </w:r>
          </w:p>
        </w:tc>
        <w:tc>
          <w:tcPr>
            <w:tcW w:w="302"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n-US" w:eastAsia="en-CA"/>
              </w:rPr>
              <w:t>21.14</w:t>
            </w:r>
          </w:p>
        </w:tc>
        <w:tc>
          <w:tcPr>
            <w:tcW w:w="325"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s-MX" w:eastAsia="en-CA"/>
              </w:rPr>
              <w:t>15.27</w:t>
            </w:r>
          </w:p>
        </w:tc>
        <w:tc>
          <w:tcPr>
            <w:tcW w:w="456" w:type="pct"/>
            <w:tcBorders>
              <w:top w:val="nil"/>
              <w:left w:val="nil"/>
              <w:bottom w:val="single" w:sz="4" w:space="0" w:color="auto"/>
              <w:right w:val="single" w:sz="4" w:space="0" w:color="auto"/>
            </w:tcBorders>
          </w:tcPr>
          <w:p w:rsidR="00624407" w:rsidRPr="00DF034E" w:rsidRDefault="00624407" w:rsidP="00624407">
            <w:pPr>
              <w:keepNext/>
              <w:keepLines/>
              <w:jc w:val="right"/>
              <w:rPr>
                <w:color w:val="000000"/>
                <w:sz w:val="16"/>
                <w:szCs w:val="16"/>
                <w:lang w:val="en-CA" w:eastAsia="en-CA"/>
              </w:rPr>
            </w:pPr>
            <w:r w:rsidRPr="00DF034E">
              <w:rPr>
                <w:color w:val="000000"/>
                <w:sz w:val="16"/>
                <w:szCs w:val="16"/>
                <w:lang w:val="en-CA" w:eastAsia="en-CA"/>
              </w:rPr>
              <w:t>n/a</w:t>
            </w:r>
          </w:p>
        </w:tc>
      </w:tr>
      <w:tr w:rsidR="00624407" w:rsidRPr="00B365F2" w:rsidTr="00B365F2">
        <w:tc>
          <w:tcPr>
            <w:tcW w:w="264" w:type="pct"/>
            <w:tcBorders>
              <w:top w:val="nil"/>
              <w:left w:val="single" w:sz="4" w:space="0" w:color="auto"/>
              <w:bottom w:val="single" w:sz="4" w:space="0" w:color="auto"/>
              <w:right w:val="single" w:sz="4" w:space="0" w:color="auto"/>
            </w:tcBorders>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1.2</w:t>
            </w:r>
          </w:p>
        </w:tc>
        <w:tc>
          <w:tcPr>
            <w:tcW w:w="665" w:type="pct"/>
            <w:tcBorders>
              <w:top w:val="nil"/>
              <w:left w:val="nil"/>
              <w:bottom w:val="single" w:sz="4" w:space="0" w:color="auto"/>
              <w:right w:val="single" w:sz="4" w:space="0" w:color="auto"/>
            </w:tcBorders>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Maximum allowable total consumption of Annex C Group I substances (ODP tonnes)</w:t>
            </w:r>
          </w:p>
        </w:tc>
        <w:tc>
          <w:tcPr>
            <w:tcW w:w="475" w:type="pct"/>
            <w:tcBorders>
              <w:top w:val="nil"/>
              <w:left w:val="nil"/>
              <w:bottom w:val="single" w:sz="4" w:space="0" w:color="auto"/>
              <w:right w:val="single" w:sz="4" w:space="0" w:color="auto"/>
            </w:tcBorders>
          </w:tcPr>
          <w:p w:rsidR="00624407" w:rsidRPr="00B365F2" w:rsidRDefault="00624407" w:rsidP="00624407">
            <w:pPr>
              <w:keepNext/>
              <w:keepLines/>
              <w:jc w:val="center"/>
              <w:rPr>
                <w:color w:val="000000"/>
                <w:sz w:val="16"/>
                <w:szCs w:val="16"/>
                <w:lang w:val="en-CA" w:eastAsia="en-CA"/>
              </w:rPr>
            </w:pPr>
            <w:r w:rsidRPr="00B365F2">
              <w:rPr>
                <w:color w:val="000000"/>
                <w:sz w:val="16"/>
                <w:szCs w:val="16"/>
                <w:lang w:val="en-CA" w:eastAsia="en-CA"/>
              </w:rPr>
              <w:t>n/a</w:t>
            </w:r>
          </w:p>
        </w:tc>
        <w:tc>
          <w:tcPr>
            <w:tcW w:w="272" w:type="pct"/>
            <w:tcBorders>
              <w:top w:val="nil"/>
              <w:left w:val="nil"/>
              <w:bottom w:val="single" w:sz="4" w:space="0" w:color="auto"/>
              <w:right w:val="single" w:sz="4" w:space="0" w:color="auto"/>
            </w:tcBorders>
          </w:tcPr>
          <w:p w:rsidR="00624407" w:rsidRPr="00B365F2" w:rsidRDefault="00624407" w:rsidP="00624407">
            <w:pPr>
              <w:keepNext/>
              <w:keepLines/>
              <w:jc w:val="center"/>
              <w:rPr>
                <w:color w:val="000000"/>
                <w:sz w:val="16"/>
                <w:szCs w:val="16"/>
                <w:lang w:val="en-CA" w:eastAsia="en-CA"/>
              </w:rPr>
            </w:pPr>
            <w:r w:rsidRPr="00B365F2">
              <w:rPr>
                <w:color w:val="000000"/>
                <w:sz w:val="16"/>
                <w:szCs w:val="16"/>
                <w:lang w:val="en-CA" w:eastAsia="en-CA"/>
              </w:rPr>
              <w:t>n/a</w:t>
            </w:r>
          </w:p>
        </w:tc>
        <w:tc>
          <w:tcPr>
            <w:tcW w:w="408"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23.49</w:t>
            </w:r>
          </w:p>
        </w:tc>
        <w:tc>
          <w:tcPr>
            <w:tcW w:w="341"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23.49</w:t>
            </w:r>
          </w:p>
        </w:tc>
        <w:tc>
          <w:tcPr>
            <w:tcW w:w="339"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21.14</w:t>
            </w:r>
          </w:p>
        </w:tc>
        <w:tc>
          <w:tcPr>
            <w:tcW w:w="407"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21.14</w:t>
            </w:r>
          </w:p>
        </w:tc>
        <w:tc>
          <w:tcPr>
            <w:tcW w:w="339"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21.14</w:t>
            </w:r>
          </w:p>
        </w:tc>
        <w:tc>
          <w:tcPr>
            <w:tcW w:w="407"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21.14</w:t>
            </w:r>
          </w:p>
        </w:tc>
        <w:tc>
          <w:tcPr>
            <w:tcW w:w="302"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21.14</w:t>
            </w:r>
          </w:p>
        </w:tc>
        <w:tc>
          <w:tcPr>
            <w:tcW w:w="325"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s-MX" w:eastAsia="en-CA"/>
              </w:rPr>
              <w:t>15.27</w:t>
            </w:r>
          </w:p>
        </w:tc>
        <w:tc>
          <w:tcPr>
            <w:tcW w:w="456"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n/a</w:t>
            </w:r>
          </w:p>
        </w:tc>
      </w:tr>
      <w:tr w:rsidR="00624407" w:rsidRPr="00B365F2" w:rsidTr="00B365F2">
        <w:tc>
          <w:tcPr>
            <w:tcW w:w="264" w:type="pct"/>
            <w:tcBorders>
              <w:top w:val="nil"/>
              <w:left w:val="single" w:sz="4" w:space="0" w:color="auto"/>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2.1</w:t>
            </w:r>
          </w:p>
        </w:tc>
        <w:tc>
          <w:tcPr>
            <w:tcW w:w="66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Lead IA UNIDO agreed funding(</w:t>
            </w:r>
            <w:r w:rsidR="00C52303" w:rsidRPr="00B365F2">
              <w:rPr>
                <w:color w:val="000000"/>
                <w:sz w:val="16"/>
                <w:szCs w:val="16"/>
                <w:lang w:val="en-CA" w:eastAsia="en-CA"/>
              </w:rPr>
              <w:t>US $</w:t>
            </w:r>
            <w:r w:rsidRPr="00B365F2">
              <w:rPr>
                <w:color w:val="000000"/>
                <w:sz w:val="16"/>
                <w:szCs w:val="16"/>
                <w:lang w:val="en-CA" w:eastAsia="en-CA"/>
              </w:rPr>
              <w:t>)</w:t>
            </w:r>
          </w:p>
        </w:tc>
        <w:tc>
          <w:tcPr>
            <w:tcW w:w="47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1,531,940</w:t>
            </w:r>
          </w:p>
        </w:tc>
        <w:tc>
          <w:tcPr>
            <w:tcW w:w="27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8"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86,500</w:t>
            </w:r>
          </w:p>
        </w:tc>
        <w:tc>
          <w:tcPr>
            <w:tcW w:w="341"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86,500</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0D7AE5" w:rsidP="00624407">
            <w:pPr>
              <w:keepNext/>
              <w:keepLines/>
              <w:jc w:val="right"/>
              <w:rPr>
                <w:b/>
                <w:color w:val="000000"/>
                <w:sz w:val="16"/>
                <w:szCs w:val="16"/>
                <w:lang w:val="en-CA" w:eastAsia="en-CA"/>
              </w:rPr>
            </w:pPr>
            <w:r w:rsidRPr="00B365F2">
              <w:rPr>
                <w:b/>
                <w:color w:val="000000"/>
                <w:sz w:val="16"/>
                <w:szCs w:val="16"/>
                <w:lang w:val="en-CA" w:eastAsia="en-CA"/>
              </w:rPr>
              <w:t>*</w:t>
            </w:r>
            <w:r w:rsidR="00624407" w:rsidRPr="00B365F2">
              <w:rPr>
                <w:b/>
                <w:color w:val="000000"/>
                <w:sz w:val="16"/>
                <w:szCs w:val="16"/>
                <w:lang w:val="en-CA" w:eastAsia="en-CA"/>
              </w:rPr>
              <w:t>518,219</w:t>
            </w:r>
          </w:p>
        </w:tc>
        <w:tc>
          <w:tcPr>
            <w:tcW w:w="30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2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55,000</w:t>
            </w:r>
          </w:p>
        </w:tc>
        <w:tc>
          <w:tcPr>
            <w:tcW w:w="456" w:type="pct"/>
            <w:tcBorders>
              <w:top w:val="single" w:sz="4" w:space="0" w:color="auto"/>
              <w:left w:val="nil"/>
              <w:bottom w:val="single" w:sz="4" w:space="0" w:color="auto"/>
              <w:right w:val="single" w:sz="4" w:space="0" w:color="auto"/>
            </w:tcBorders>
            <w:shd w:val="clear" w:color="auto" w:fill="auto"/>
          </w:tcPr>
          <w:p w:rsidR="00624407" w:rsidRPr="00B365F2" w:rsidRDefault="00624407" w:rsidP="00624407">
            <w:pPr>
              <w:keepNext/>
              <w:keepLines/>
              <w:jc w:val="right"/>
              <w:rPr>
                <w:b/>
                <w:color w:val="000000"/>
                <w:sz w:val="16"/>
                <w:szCs w:val="16"/>
                <w:lang w:val="en-CA" w:eastAsia="en-CA"/>
              </w:rPr>
            </w:pPr>
            <w:r w:rsidRPr="00B365F2">
              <w:rPr>
                <w:b/>
                <w:color w:val="000000"/>
                <w:sz w:val="16"/>
                <w:szCs w:val="16"/>
                <w:lang w:val="en-CA" w:eastAsia="en-CA"/>
              </w:rPr>
              <w:t>2,278,159</w:t>
            </w:r>
          </w:p>
        </w:tc>
      </w:tr>
      <w:tr w:rsidR="00624407" w:rsidRPr="00B365F2" w:rsidTr="00B365F2">
        <w:tc>
          <w:tcPr>
            <w:tcW w:w="264" w:type="pct"/>
            <w:tcBorders>
              <w:top w:val="nil"/>
              <w:left w:val="single" w:sz="4" w:space="0" w:color="auto"/>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2.2</w:t>
            </w:r>
          </w:p>
        </w:tc>
        <w:tc>
          <w:tcPr>
            <w:tcW w:w="66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Support costs for Lead IA(</w:t>
            </w:r>
            <w:r w:rsidR="00C52303" w:rsidRPr="00B365F2">
              <w:rPr>
                <w:color w:val="000000"/>
                <w:sz w:val="16"/>
                <w:szCs w:val="16"/>
                <w:lang w:val="en-CA" w:eastAsia="en-CA"/>
              </w:rPr>
              <w:t>US $</w:t>
            </w:r>
            <w:r w:rsidRPr="00B365F2">
              <w:rPr>
                <w:color w:val="000000"/>
                <w:sz w:val="16"/>
                <w:szCs w:val="16"/>
                <w:lang w:val="en-CA" w:eastAsia="en-CA"/>
              </w:rPr>
              <w:t>)</w:t>
            </w:r>
          </w:p>
        </w:tc>
        <w:tc>
          <w:tcPr>
            <w:tcW w:w="47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114,896</w:t>
            </w:r>
          </w:p>
        </w:tc>
        <w:tc>
          <w:tcPr>
            <w:tcW w:w="27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8"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6,488</w:t>
            </w:r>
          </w:p>
        </w:tc>
        <w:tc>
          <w:tcPr>
            <w:tcW w:w="341"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6,487</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B365F2" w:rsidP="00624407">
            <w:pPr>
              <w:keepNext/>
              <w:keepLines/>
              <w:jc w:val="right"/>
              <w:rPr>
                <w:b/>
                <w:color w:val="000000"/>
                <w:sz w:val="16"/>
                <w:szCs w:val="16"/>
                <w:lang w:val="en-CA" w:eastAsia="en-CA"/>
              </w:rPr>
            </w:pPr>
            <w:r w:rsidRPr="00B365F2">
              <w:rPr>
                <w:b/>
                <w:color w:val="000000"/>
                <w:sz w:val="16"/>
                <w:szCs w:val="16"/>
                <w:lang w:val="en-CA" w:eastAsia="en-CA"/>
              </w:rPr>
              <w:t>*</w:t>
            </w:r>
            <w:r w:rsidR="00624407" w:rsidRPr="00B365F2">
              <w:rPr>
                <w:b/>
                <w:color w:val="000000"/>
                <w:sz w:val="16"/>
                <w:szCs w:val="16"/>
                <w:lang w:val="en-CA" w:eastAsia="en-CA"/>
              </w:rPr>
              <w:t>36,707</w:t>
            </w:r>
          </w:p>
        </w:tc>
        <w:tc>
          <w:tcPr>
            <w:tcW w:w="30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2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4,125</w:t>
            </w:r>
          </w:p>
        </w:tc>
        <w:tc>
          <w:tcPr>
            <w:tcW w:w="456"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b/>
                <w:color w:val="000000"/>
                <w:sz w:val="16"/>
                <w:szCs w:val="16"/>
                <w:lang w:val="en-CA" w:eastAsia="en-CA"/>
              </w:rPr>
            </w:pPr>
            <w:r w:rsidRPr="00B365F2">
              <w:rPr>
                <w:b/>
                <w:color w:val="000000"/>
                <w:sz w:val="16"/>
                <w:szCs w:val="16"/>
                <w:lang w:val="en-CA" w:eastAsia="en-CA"/>
              </w:rPr>
              <w:t>168,703</w:t>
            </w:r>
          </w:p>
        </w:tc>
      </w:tr>
      <w:tr w:rsidR="00624407" w:rsidRPr="00B365F2" w:rsidTr="00B365F2">
        <w:tc>
          <w:tcPr>
            <w:tcW w:w="264" w:type="pct"/>
            <w:tcBorders>
              <w:top w:val="nil"/>
              <w:left w:val="single" w:sz="4" w:space="0" w:color="auto"/>
              <w:bottom w:val="single" w:sz="4" w:space="0" w:color="auto"/>
              <w:right w:val="single" w:sz="4" w:space="0" w:color="auto"/>
            </w:tcBorders>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2.3</w:t>
            </w:r>
          </w:p>
        </w:tc>
        <w:tc>
          <w:tcPr>
            <w:tcW w:w="665" w:type="pct"/>
            <w:tcBorders>
              <w:top w:val="nil"/>
              <w:left w:val="nil"/>
              <w:bottom w:val="single" w:sz="4" w:space="0" w:color="auto"/>
              <w:right w:val="single" w:sz="4" w:space="0" w:color="auto"/>
            </w:tcBorders>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Cooperating IA UNEP agreed funding (</w:t>
            </w:r>
            <w:r w:rsidR="00C52303" w:rsidRPr="00B365F2">
              <w:rPr>
                <w:color w:val="000000"/>
                <w:sz w:val="16"/>
                <w:szCs w:val="16"/>
                <w:lang w:val="en-CA" w:eastAsia="en-CA"/>
              </w:rPr>
              <w:t>US $</w:t>
            </w:r>
            <w:r w:rsidRPr="00B365F2">
              <w:rPr>
                <w:color w:val="000000"/>
                <w:sz w:val="16"/>
                <w:szCs w:val="16"/>
                <w:lang w:val="en-CA" w:eastAsia="en-CA"/>
              </w:rPr>
              <w:t>)</w:t>
            </w:r>
          </w:p>
        </w:tc>
        <w:tc>
          <w:tcPr>
            <w:tcW w:w="475"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30,000</w:t>
            </w:r>
          </w:p>
        </w:tc>
        <w:tc>
          <w:tcPr>
            <w:tcW w:w="272"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8"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20,000</w:t>
            </w:r>
          </w:p>
        </w:tc>
        <w:tc>
          <w:tcPr>
            <w:tcW w:w="341"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39"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p>
        </w:tc>
        <w:tc>
          <w:tcPr>
            <w:tcW w:w="407"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30,000</w:t>
            </w:r>
          </w:p>
        </w:tc>
        <w:tc>
          <w:tcPr>
            <w:tcW w:w="339"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25,000</w:t>
            </w:r>
          </w:p>
        </w:tc>
        <w:tc>
          <w:tcPr>
            <w:tcW w:w="302"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25"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10,000</w:t>
            </w:r>
          </w:p>
        </w:tc>
        <w:tc>
          <w:tcPr>
            <w:tcW w:w="456"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115,000</w:t>
            </w:r>
          </w:p>
        </w:tc>
      </w:tr>
      <w:tr w:rsidR="00624407" w:rsidRPr="00B365F2" w:rsidTr="00B365F2">
        <w:tc>
          <w:tcPr>
            <w:tcW w:w="264" w:type="pct"/>
            <w:tcBorders>
              <w:top w:val="nil"/>
              <w:left w:val="single" w:sz="4" w:space="0" w:color="auto"/>
              <w:bottom w:val="single" w:sz="4" w:space="0" w:color="auto"/>
              <w:right w:val="single" w:sz="4" w:space="0" w:color="auto"/>
            </w:tcBorders>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2.4</w:t>
            </w:r>
          </w:p>
        </w:tc>
        <w:tc>
          <w:tcPr>
            <w:tcW w:w="665" w:type="pct"/>
            <w:tcBorders>
              <w:top w:val="nil"/>
              <w:left w:val="nil"/>
              <w:bottom w:val="single" w:sz="4" w:space="0" w:color="auto"/>
              <w:right w:val="single" w:sz="4" w:space="0" w:color="auto"/>
            </w:tcBorders>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Support costs for Cooperating IA (</w:t>
            </w:r>
            <w:r w:rsidR="00C52303" w:rsidRPr="00B365F2">
              <w:rPr>
                <w:color w:val="000000"/>
                <w:sz w:val="16"/>
                <w:szCs w:val="16"/>
                <w:lang w:val="en-CA" w:eastAsia="en-CA"/>
              </w:rPr>
              <w:t>US $</w:t>
            </w:r>
            <w:r w:rsidRPr="00B365F2">
              <w:rPr>
                <w:color w:val="000000"/>
                <w:sz w:val="16"/>
                <w:szCs w:val="16"/>
                <w:lang w:val="en-CA" w:eastAsia="en-CA"/>
              </w:rPr>
              <w:t>)</w:t>
            </w:r>
          </w:p>
        </w:tc>
        <w:tc>
          <w:tcPr>
            <w:tcW w:w="475"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3,900</w:t>
            </w:r>
          </w:p>
        </w:tc>
        <w:tc>
          <w:tcPr>
            <w:tcW w:w="272"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8"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2,600</w:t>
            </w:r>
          </w:p>
        </w:tc>
        <w:tc>
          <w:tcPr>
            <w:tcW w:w="341"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39"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3,900</w:t>
            </w:r>
          </w:p>
        </w:tc>
        <w:tc>
          <w:tcPr>
            <w:tcW w:w="339"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3,250</w:t>
            </w:r>
          </w:p>
        </w:tc>
        <w:tc>
          <w:tcPr>
            <w:tcW w:w="302"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25"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US" w:eastAsia="en-CA"/>
              </w:rPr>
              <w:t>1,300</w:t>
            </w:r>
          </w:p>
        </w:tc>
        <w:tc>
          <w:tcPr>
            <w:tcW w:w="456" w:type="pct"/>
            <w:tcBorders>
              <w:top w:val="nil"/>
              <w:left w:val="nil"/>
              <w:bottom w:val="single" w:sz="4" w:space="0" w:color="auto"/>
              <w:right w:val="single" w:sz="4" w:space="0" w:color="auto"/>
            </w:tcBorders>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14,950</w:t>
            </w:r>
          </w:p>
        </w:tc>
      </w:tr>
      <w:tr w:rsidR="00624407" w:rsidRPr="00B365F2" w:rsidTr="00B365F2">
        <w:tc>
          <w:tcPr>
            <w:tcW w:w="264" w:type="pct"/>
            <w:tcBorders>
              <w:top w:val="nil"/>
              <w:left w:val="single" w:sz="4" w:space="0" w:color="auto"/>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3.1</w:t>
            </w:r>
          </w:p>
        </w:tc>
        <w:tc>
          <w:tcPr>
            <w:tcW w:w="66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Total agreed funding (</w:t>
            </w:r>
            <w:r w:rsidR="00C52303" w:rsidRPr="00B365F2">
              <w:rPr>
                <w:color w:val="000000"/>
                <w:sz w:val="16"/>
                <w:szCs w:val="16"/>
                <w:lang w:val="en-CA" w:eastAsia="en-CA"/>
              </w:rPr>
              <w:t>US $</w:t>
            </w:r>
            <w:r w:rsidRPr="00B365F2">
              <w:rPr>
                <w:color w:val="000000"/>
                <w:sz w:val="16"/>
                <w:szCs w:val="16"/>
                <w:lang w:val="en-CA" w:eastAsia="en-CA"/>
              </w:rPr>
              <w:t>)</w:t>
            </w:r>
          </w:p>
        </w:tc>
        <w:tc>
          <w:tcPr>
            <w:tcW w:w="47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1,561,940</w:t>
            </w:r>
          </w:p>
        </w:tc>
        <w:tc>
          <w:tcPr>
            <w:tcW w:w="27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8"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106,500</w:t>
            </w:r>
          </w:p>
        </w:tc>
        <w:tc>
          <w:tcPr>
            <w:tcW w:w="341"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116,500</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b/>
                <w:color w:val="000000"/>
                <w:sz w:val="16"/>
                <w:szCs w:val="16"/>
                <w:lang w:val="en-CA" w:eastAsia="en-CA"/>
              </w:rPr>
            </w:pPr>
            <w:r w:rsidRPr="00B365F2">
              <w:rPr>
                <w:b/>
                <w:color w:val="000000"/>
                <w:sz w:val="16"/>
                <w:szCs w:val="16"/>
                <w:lang w:val="en-CA" w:eastAsia="en-CA"/>
              </w:rPr>
              <w:t>543,219</w:t>
            </w:r>
          </w:p>
        </w:tc>
        <w:tc>
          <w:tcPr>
            <w:tcW w:w="30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2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65,000</w:t>
            </w:r>
          </w:p>
        </w:tc>
        <w:tc>
          <w:tcPr>
            <w:tcW w:w="456"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b/>
                <w:color w:val="000000"/>
                <w:sz w:val="16"/>
                <w:szCs w:val="16"/>
                <w:lang w:val="en-CA" w:eastAsia="en-CA"/>
              </w:rPr>
            </w:pPr>
            <w:r w:rsidRPr="00B365F2">
              <w:rPr>
                <w:b/>
                <w:color w:val="000000"/>
                <w:sz w:val="16"/>
                <w:szCs w:val="16"/>
                <w:lang w:val="en-CA" w:eastAsia="en-CA"/>
              </w:rPr>
              <w:t>2,393,159</w:t>
            </w:r>
          </w:p>
        </w:tc>
      </w:tr>
      <w:tr w:rsidR="00624407" w:rsidRPr="00B365F2" w:rsidTr="00B365F2">
        <w:tc>
          <w:tcPr>
            <w:tcW w:w="264" w:type="pct"/>
            <w:tcBorders>
              <w:top w:val="nil"/>
              <w:left w:val="single" w:sz="4" w:space="0" w:color="auto"/>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3.2</w:t>
            </w:r>
          </w:p>
        </w:tc>
        <w:tc>
          <w:tcPr>
            <w:tcW w:w="66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Total support cost</w:t>
            </w:r>
          </w:p>
        </w:tc>
        <w:tc>
          <w:tcPr>
            <w:tcW w:w="47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118,796</w:t>
            </w:r>
          </w:p>
        </w:tc>
        <w:tc>
          <w:tcPr>
            <w:tcW w:w="27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8"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9,088</w:t>
            </w:r>
          </w:p>
        </w:tc>
        <w:tc>
          <w:tcPr>
            <w:tcW w:w="341"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10,387</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b/>
                <w:color w:val="000000"/>
                <w:sz w:val="16"/>
                <w:szCs w:val="16"/>
                <w:lang w:val="en-CA" w:eastAsia="en-CA"/>
              </w:rPr>
            </w:pPr>
            <w:r w:rsidRPr="00B365F2">
              <w:rPr>
                <w:b/>
                <w:color w:val="000000"/>
                <w:sz w:val="16"/>
                <w:szCs w:val="16"/>
                <w:lang w:eastAsia="en-CA"/>
              </w:rPr>
              <w:t>39,957</w:t>
            </w:r>
          </w:p>
        </w:tc>
        <w:tc>
          <w:tcPr>
            <w:tcW w:w="30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2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5,425</w:t>
            </w:r>
          </w:p>
        </w:tc>
        <w:tc>
          <w:tcPr>
            <w:tcW w:w="456"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b/>
                <w:color w:val="000000"/>
                <w:sz w:val="16"/>
                <w:szCs w:val="16"/>
                <w:lang w:val="en-CA" w:eastAsia="en-CA"/>
              </w:rPr>
            </w:pPr>
            <w:r w:rsidRPr="00B365F2">
              <w:rPr>
                <w:b/>
                <w:color w:val="000000"/>
                <w:sz w:val="16"/>
                <w:szCs w:val="16"/>
                <w:lang w:val="en-CA" w:eastAsia="en-CA"/>
              </w:rPr>
              <w:t>183,653</w:t>
            </w:r>
          </w:p>
        </w:tc>
      </w:tr>
      <w:tr w:rsidR="00624407" w:rsidRPr="00B365F2" w:rsidTr="00B365F2">
        <w:tc>
          <w:tcPr>
            <w:tcW w:w="264" w:type="pct"/>
            <w:tcBorders>
              <w:top w:val="nil"/>
              <w:left w:val="single" w:sz="4" w:space="0" w:color="auto"/>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3.3</w:t>
            </w:r>
          </w:p>
        </w:tc>
        <w:tc>
          <w:tcPr>
            <w:tcW w:w="66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Total agreed costs (</w:t>
            </w:r>
            <w:r w:rsidR="00C52303" w:rsidRPr="00B365F2">
              <w:rPr>
                <w:color w:val="000000"/>
                <w:sz w:val="16"/>
                <w:szCs w:val="16"/>
                <w:lang w:val="en-CA" w:eastAsia="en-CA"/>
              </w:rPr>
              <w:t>US $</w:t>
            </w:r>
            <w:r w:rsidRPr="00B365F2">
              <w:rPr>
                <w:color w:val="000000"/>
                <w:sz w:val="16"/>
                <w:szCs w:val="16"/>
                <w:lang w:val="en-CA" w:eastAsia="en-CA"/>
              </w:rPr>
              <w:t>)</w:t>
            </w:r>
          </w:p>
        </w:tc>
        <w:tc>
          <w:tcPr>
            <w:tcW w:w="47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1,680,736</w:t>
            </w:r>
          </w:p>
        </w:tc>
        <w:tc>
          <w:tcPr>
            <w:tcW w:w="27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8"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115,588</w:t>
            </w:r>
          </w:p>
        </w:tc>
        <w:tc>
          <w:tcPr>
            <w:tcW w:w="341"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126,887</w:t>
            </w:r>
          </w:p>
        </w:tc>
        <w:tc>
          <w:tcPr>
            <w:tcW w:w="339"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407" w:type="pct"/>
            <w:tcBorders>
              <w:top w:val="nil"/>
              <w:left w:val="nil"/>
              <w:bottom w:val="single" w:sz="4" w:space="0" w:color="auto"/>
              <w:right w:val="single" w:sz="4" w:space="0" w:color="auto"/>
            </w:tcBorders>
            <w:shd w:val="clear" w:color="auto" w:fill="auto"/>
          </w:tcPr>
          <w:p w:rsidR="00624407" w:rsidRPr="00B365F2" w:rsidRDefault="00F37476" w:rsidP="00624407">
            <w:pPr>
              <w:keepNext/>
              <w:keepLines/>
              <w:jc w:val="right"/>
              <w:rPr>
                <w:b/>
                <w:color w:val="000000"/>
                <w:sz w:val="16"/>
                <w:szCs w:val="16"/>
                <w:lang w:val="en-CA" w:eastAsia="en-CA"/>
              </w:rPr>
            </w:pPr>
            <w:r>
              <w:rPr>
                <w:b/>
                <w:color w:val="000000"/>
                <w:sz w:val="16"/>
                <w:szCs w:val="16"/>
                <w:lang w:val="en-CA" w:eastAsia="en-CA"/>
              </w:rPr>
              <w:t>583</w:t>
            </w:r>
            <w:r w:rsidR="00624407" w:rsidRPr="00B365F2">
              <w:rPr>
                <w:b/>
                <w:color w:val="000000"/>
                <w:sz w:val="16"/>
                <w:szCs w:val="16"/>
                <w:lang w:val="en-CA" w:eastAsia="en-CA"/>
              </w:rPr>
              <w:t>,176</w:t>
            </w:r>
          </w:p>
        </w:tc>
        <w:tc>
          <w:tcPr>
            <w:tcW w:w="302"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w:t>
            </w:r>
          </w:p>
        </w:tc>
        <w:tc>
          <w:tcPr>
            <w:tcW w:w="325"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color w:val="000000"/>
                <w:sz w:val="16"/>
                <w:szCs w:val="16"/>
                <w:lang w:val="en-CA" w:eastAsia="en-CA"/>
              </w:rPr>
            </w:pPr>
            <w:r w:rsidRPr="00B365F2">
              <w:rPr>
                <w:color w:val="000000"/>
                <w:sz w:val="16"/>
                <w:szCs w:val="16"/>
                <w:lang w:eastAsia="en-CA"/>
              </w:rPr>
              <w:t>70,425</w:t>
            </w:r>
          </w:p>
        </w:tc>
        <w:tc>
          <w:tcPr>
            <w:tcW w:w="456" w:type="pct"/>
            <w:tcBorders>
              <w:top w:val="nil"/>
              <w:left w:val="nil"/>
              <w:bottom w:val="single" w:sz="4" w:space="0" w:color="auto"/>
              <w:right w:val="single" w:sz="4" w:space="0" w:color="auto"/>
            </w:tcBorders>
            <w:shd w:val="clear" w:color="auto" w:fill="auto"/>
          </w:tcPr>
          <w:p w:rsidR="00624407" w:rsidRPr="00B365F2" w:rsidRDefault="00624407" w:rsidP="00624407">
            <w:pPr>
              <w:keepNext/>
              <w:keepLines/>
              <w:jc w:val="right"/>
              <w:rPr>
                <w:b/>
                <w:color w:val="000000"/>
                <w:sz w:val="16"/>
                <w:szCs w:val="16"/>
                <w:lang w:val="en-CA" w:eastAsia="en-CA"/>
              </w:rPr>
            </w:pPr>
            <w:r w:rsidRPr="00B365F2">
              <w:rPr>
                <w:b/>
                <w:color w:val="000000"/>
                <w:sz w:val="16"/>
                <w:szCs w:val="16"/>
                <w:lang w:val="en-CA" w:eastAsia="en-CA"/>
              </w:rPr>
              <w:t>2,576,812</w:t>
            </w:r>
          </w:p>
        </w:tc>
      </w:tr>
      <w:tr w:rsidR="00624407" w:rsidRPr="00B365F2" w:rsidTr="00B365F2">
        <w:tc>
          <w:tcPr>
            <w:tcW w:w="264" w:type="pct"/>
            <w:tcBorders>
              <w:top w:val="single" w:sz="4" w:space="0" w:color="auto"/>
              <w:left w:val="single" w:sz="4" w:space="0" w:color="auto"/>
              <w:bottom w:val="single" w:sz="4" w:space="0" w:color="auto"/>
              <w:right w:val="single" w:sz="4" w:space="0" w:color="auto"/>
            </w:tcBorders>
            <w:noWrap/>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4.1.1</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Total phase-out of HCFC</w:t>
            </w:r>
            <w:r w:rsidRPr="00B365F2">
              <w:rPr>
                <w:color w:val="000000"/>
                <w:sz w:val="16"/>
                <w:szCs w:val="16"/>
                <w:lang w:val="en-CA" w:eastAsia="en-CA"/>
              </w:rPr>
              <w:noBreakHyphen/>
              <w:t>22 agreed to be achieved under this agreement (ODP tonnes)</w:t>
            </w:r>
          </w:p>
        </w:tc>
        <w:tc>
          <w:tcPr>
            <w:tcW w:w="456" w:type="pct"/>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7.36</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4.1.2</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Phase-out of HCFC</w:t>
            </w:r>
            <w:r w:rsidRPr="00B365F2">
              <w:rPr>
                <w:color w:val="000000"/>
                <w:sz w:val="16"/>
                <w:szCs w:val="16"/>
                <w:lang w:val="en-CA" w:eastAsia="en-CA"/>
              </w:rPr>
              <w:noBreakHyphen/>
              <w:t>22 to be achieved in previously approved projects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n/a</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4.1.3</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rPr>
                <w:bCs/>
                <w:color w:val="000000"/>
                <w:sz w:val="16"/>
                <w:szCs w:val="16"/>
                <w:lang w:val="en-CA" w:eastAsia="en-CA"/>
              </w:rPr>
            </w:pPr>
            <w:r w:rsidRPr="00B365F2">
              <w:rPr>
                <w:bCs/>
                <w:color w:val="000000"/>
                <w:sz w:val="16"/>
                <w:szCs w:val="16"/>
                <w:lang w:val="en-CA" w:eastAsia="en-CA"/>
              </w:rPr>
              <w:t>Remaining eligible consumption for HCFC</w:t>
            </w:r>
            <w:r w:rsidRPr="00B365F2">
              <w:rPr>
                <w:bCs/>
                <w:color w:val="000000"/>
                <w:sz w:val="16"/>
                <w:szCs w:val="16"/>
                <w:lang w:val="en-CA" w:eastAsia="en-CA"/>
              </w:rPr>
              <w:noBreakHyphen/>
              <w:t>22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13.66</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4.2.1</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Total phase-out of HCFC-141b agreed to be achieved under this agreement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0.86</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4.2.2</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Phase-out of HCFC-141b to be achieved in previously approved projects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n/a</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4.2.3</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rPr>
                <w:bCs/>
                <w:color w:val="000000"/>
                <w:sz w:val="16"/>
                <w:szCs w:val="16"/>
                <w:lang w:val="en-CA" w:eastAsia="en-CA"/>
              </w:rPr>
            </w:pPr>
            <w:r w:rsidRPr="00B365F2">
              <w:rPr>
                <w:bCs/>
                <w:color w:val="000000"/>
                <w:sz w:val="16"/>
                <w:szCs w:val="16"/>
                <w:lang w:val="en-CA" w:eastAsia="en-CA"/>
              </w:rPr>
              <w:t>Remaining eligible consumption for HCFC-141b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0.00</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4.3.1</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Total phase-out of HCFC-123 agreed to be achieved under this agreement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0.00</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4.3.2</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keepNext/>
              <w:keepLines/>
              <w:rPr>
                <w:color w:val="000000"/>
                <w:sz w:val="16"/>
                <w:szCs w:val="16"/>
                <w:lang w:val="en-CA" w:eastAsia="en-CA"/>
              </w:rPr>
            </w:pPr>
            <w:r w:rsidRPr="00B365F2">
              <w:rPr>
                <w:color w:val="000000"/>
                <w:sz w:val="16"/>
                <w:szCs w:val="16"/>
                <w:lang w:val="en-CA" w:eastAsia="en-CA"/>
              </w:rPr>
              <w:t>Phase-out of HCFC-123 to be achieved in previously approved projects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keepNext/>
              <w:keepLines/>
              <w:jc w:val="right"/>
              <w:rPr>
                <w:color w:val="000000"/>
                <w:sz w:val="16"/>
                <w:szCs w:val="16"/>
                <w:lang w:val="en-CA" w:eastAsia="en-CA"/>
              </w:rPr>
            </w:pPr>
            <w:r w:rsidRPr="00B365F2">
              <w:rPr>
                <w:color w:val="000000"/>
                <w:sz w:val="16"/>
                <w:szCs w:val="16"/>
                <w:lang w:val="en-CA" w:eastAsia="en-CA"/>
              </w:rPr>
              <w:t>n/a</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rPr>
                <w:color w:val="000000"/>
                <w:sz w:val="16"/>
                <w:szCs w:val="16"/>
                <w:lang w:val="en-CA" w:eastAsia="en-CA"/>
              </w:rPr>
            </w:pPr>
            <w:r w:rsidRPr="00B365F2">
              <w:rPr>
                <w:color w:val="000000"/>
                <w:sz w:val="16"/>
                <w:szCs w:val="16"/>
                <w:lang w:val="en-CA" w:eastAsia="en-CA"/>
              </w:rPr>
              <w:t>4.3.3</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rPr>
                <w:bCs/>
                <w:color w:val="000000"/>
                <w:sz w:val="16"/>
                <w:szCs w:val="16"/>
                <w:lang w:val="en-CA" w:eastAsia="en-CA"/>
              </w:rPr>
            </w:pPr>
            <w:r w:rsidRPr="00B365F2">
              <w:rPr>
                <w:bCs/>
                <w:color w:val="000000"/>
                <w:sz w:val="16"/>
                <w:szCs w:val="16"/>
                <w:lang w:val="en-CA" w:eastAsia="en-CA"/>
              </w:rPr>
              <w:t>Remaining eligible consumption for HCFC-123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jc w:val="right"/>
              <w:rPr>
                <w:color w:val="000000"/>
                <w:sz w:val="16"/>
                <w:szCs w:val="16"/>
                <w:lang w:val="en-CA" w:eastAsia="en-CA"/>
              </w:rPr>
            </w:pPr>
            <w:r w:rsidRPr="00B365F2">
              <w:rPr>
                <w:color w:val="000000"/>
                <w:sz w:val="16"/>
                <w:szCs w:val="16"/>
                <w:lang w:val="en-CA" w:eastAsia="en-CA"/>
              </w:rPr>
              <w:t>0.18</w:t>
            </w:r>
          </w:p>
        </w:tc>
      </w:tr>
      <w:tr w:rsidR="00624407" w:rsidRPr="00B365F2" w:rsidTr="00B365F2">
        <w:tc>
          <w:tcPr>
            <w:tcW w:w="264" w:type="pct"/>
            <w:tcBorders>
              <w:top w:val="single" w:sz="4" w:space="0" w:color="auto"/>
              <w:left w:val="single" w:sz="4" w:space="0" w:color="auto"/>
              <w:bottom w:val="single" w:sz="4" w:space="0" w:color="auto"/>
              <w:right w:val="single" w:sz="4" w:space="0" w:color="auto"/>
            </w:tcBorders>
            <w:noWrap/>
            <w:vAlign w:val="bottom"/>
          </w:tcPr>
          <w:p w:rsidR="00624407" w:rsidRPr="00B365F2" w:rsidRDefault="00624407" w:rsidP="00624407">
            <w:pPr>
              <w:rPr>
                <w:color w:val="000000"/>
                <w:sz w:val="16"/>
                <w:szCs w:val="16"/>
                <w:lang w:val="en-CA" w:eastAsia="en-CA"/>
              </w:rPr>
            </w:pPr>
            <w:r w:rsidRPr="00B365F2">
              <w:rPr>
                <w:color w:val="000000"/>
                <w:sz w:val="16"/>
                <w:szCs w:val="16"/>
                <w:lang w:val="en-CA" w:eastAsia="en-CA"/>
              </w:rPr>
              <w:t>4.4.1</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rPr>
                <w:color w:val="000000"/>
                <w:sz w:val="16"/>
                <w:szCs w:val="16"/>
                <w:lang w:val="en-CA" w:eastAsia="en-CA"/>
              </w:rPr>
            </w:pPr>
            <w:r w:rsidRPr="00B365F2">
              <w:rPr>
                <w:color w:val="000000"/>
                <w:sz w:val="16"/>
                <w:szCs w:val="16"/>
                <w:lang w:val="en-CA" w:eastAsia="en-CA"/>
              </w:rPr>
              <w:t>Total phase-out of HCFC-142b agreed to be achieved under this agreement (ODP tonnes)</w:t>
            </w:r>
          </w:p>
        </w:tc>
        <w:tc>
          <w:tcPr>
            <w:tcW w:w="456" w:type="pct"/>
            <w:tcBorders>
              <w:top w:val="single" w:sz="4" w:space="0" w:color="auto"/>
              <w:left w:val="nil"/>
              <w:bottom w:val="single" w:sz="4" w:space="0" w:color="auto"/>
              <w:right w:val="single" w:sz="4" w:space="0" w:color="auto"/>
            </w:tcBorders>
            <w:vAlign w:val="bottom"/>
          </w:tcPr>
          <w:p w:rsidR="00624407" w:rsidRPr="00B365F2" w:rsidRDefault="00624407" w:rsidP="00624407">
            <w:pPr>
              <w:jc w:val="right"/>
              <w:rPr>
                <w:color w:val="000000"/>
                <w:sz w:val="16"/>
                <w:szCs w:val="16"/>
                <w:lang w:val="en-CA" w:eastAsia="en-CA"/>
              </w:rPr>
            </w:pPr>
            <w:r w:rsidRPr="00B365F2">
              <w:rPr>
                <w:color w:val="000000"/>
                <w:sz w:val="16"/>
                <w:szCs w:val="16"/>
                <w:lang w:val="en-CA" w:eastAsia="en-CA"/>
              </w:rPr>
              <w:t>0.00</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B365F2" w:rsidRDefault="00624407" w:rsidP="00624407">
            <w:pPr>
              <w:rPr>
                <w:color w:val="000000"/>
                <w:sz w:val="16"/>
                <w:szCs w:val="16"/>
                <w:lang w:val="en-CA" w:eastAsia="en-CA"/>
              </w:rPr>
            </w:pPr>
            <w:r w:rsidRPr="00B365F2">
              <w:rPr>
                <w:color w:val="000000"/>
                <w:sz w:val="16"/>
                <w:szCs w:val="16"/>
                <w:lang w:val="en-CA" w:eastAsia="en-CA"/>
              </w:rPr>
              <w:t>4.4.2</w:t>
            </w:r>
          </w:p>
        </w:tc>
        <w:tc>
          <w:tcPr>
            <w:tcW w:w="4280" w:type="pct"/>
            <w:gridSpan w:val="11"/>
            <w:tcBorders>
              <w:top w:val="single" w:sz="4" w:space="0" w:color="auto"/>
              <w:left w:val="nil"/>
              <w:bottom w:val="single" w:sz="4" w:space="0" w:color="auto"/>
              <w:right w:val="single" w:sz="4" w:space="0" w:color="auto"/>
            </w:tcBorders>
            <w:vAlign w:val="bottom"/>
          </w:tcPr>
          <w:p w:rsidR="00624407" w:rsidRPr="00B365F2" w:rsidRDefault="00624407" w:rsidP="00624407">
            <w:pPr>
              <w:rPr>
                <w:color w:val="000000"/>
                <w:sz w:val="16"/>
                <w:szCs w:val="16"/>
                <w:lang w:val="en-CA" w:eastAsia="en-CA"/>
              </w:rPr>
            </w:pPr>
            <w:r w:rsidRPr="00B365F2">
              <w:rPr>
                <w:color w:val="000000"/>
                <w:sz w:val="16"/>
                <w:szCs w:val="16"/>
                <w:lang w:val="en-CA" w:eastAsia="en-CA"/>
              </w:rPr>
              <w:t>Phase-out of HCFC-142b to be achieved in previously approved projects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jc w:val="right"/>
              <w:rPr>
                <w:color w:val="000000"/>
                <w:sz w:val="16"/>
                <w:szCs w:val="16"/>
                <w:lang w:val="en-CA" w:eastAsia="en-CA"/>
              </w:rPr>
            </w:pPr>
            <w:r w:rsidRPr="00B365F2">
              <w:rPr>
                <w:color w:val="000000"/>
                <w:sz w:val="16"/>
                <w:szCs w:val="16"/>
                <w:lang w:val="en-CA" w:eastAsia="en-CA"/>
              </w:rPr>
              <w:t>n/a</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F37476" w:rsidRDefault="00624407" w:rsidP="00624407">
            <w:pPr>
              <w:rPr>
                <w:color w:val="000000"/>
                <w:sz w:val="16"/>
                <w:szCs w:val="16"/>
                <w:lang w:val="en-CA" w:eastAsia="en-CA"/>
              </w:rPr>
            </w:pPr>
            <w:r w:rsidRPr="00F37476">
              <w:rPr>
                <w:color w:val="000000"/>
                <w:sz w:val="16"/>
                <w:szCs w:val="16"/>
                <w:lang w:val="en-CA" w:eastAsia="en-CA"/>
              </w:rPr>
              <w:t>4.4.3</w:t>
            </w:r>
          </w:p>
        </w:tc>
        <w:tc>
          <w:tcPr>
            <w:tcW w:w="4280" w:type="pct"/>
            <w:gridSpan w:val="11"/>
            <w:tcBorders>
              <w:top w:val="single" w:sz="4" w:space="0" w:color="auto"/>
              <w:left w:val="nil"/>
              <w:bottom w:val="single" w:sz="4" w:space="0" w:color="auto"/>
              <w:right w:val="single" w:sz="4" w:space="0" w:color="auto"/>
            </w:tcBorders>
            <w:vAlign w:val="bottom"/>
          </w:tcPr>
          <w:p w:rsidR="00624407" w:rsidRPr="00F37476" w:rsidRDefault="00624407" w:rsidP="00624407">
            <w:pPr>
              <w:rPr>
                <w:bCs/>
                <w:color w:val="000000"/>
                <w:sz w:val="16"/>
                <w:szCs w:val="16"/>
                <w:lang w:val="en-CA" w:eastAsia="en-CA"/>
              </w:rPr>
            </w:pPr>
            <w:r w:rsidRPr="00F37476">
              <w:rPr>
                <w:bCs/>
                <w:color w:val="000000"/>
                <w:sz w:val="16"/>
                <w:szCs w:val="16"/>
                <w:lang w:val="en-CA" w:eastAsia="en-CA"/>
              </w:rPr>
              <w:t>Remaining eligible consumption for HCFC-142b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jc w:val="right"/>
              <w:rPr>
                <w:color w:val="000000"/>
                <w:sz w:val="16"/>
                <w:szCs w:val="16"/>
                <w:lang w:val="en-CA" w:eastAsia="en-CA"/>
              </w:rPr>
            </w:pPr>
            <w:r w:rsidRPr="00B365F2">
              <w:rPr>
                <w:color w:val="000000"/>
                <w:sz w:val="16"/>
                <w:szCs w:val="16"/>
                <w:lang w:val="en-CA" w:eastAsia="en-CA"/>
              </w:rPr>
              <w:t>1.20</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F37476" w:rsidRDefault="00624407" w:rsidP="00624407">
            <w:pPr>
              <w:rPr>
                <w:color w:val="000000"/>
                <w:sz w:val="16"/>
                <w:szCs w:val="16"/>
                <w:lang w:val="en-CA" w:eastAsia="en-CA"/>
              </w:rPr>
            </w:pPr>
            <w:r w:rsidRPr="00F37476">
              <w:rPr>
                <w:color w:val="000000"/>
                <w:sz w:val="16"/>
                <w:szCs w:val="16"/>
                <w:lang w:val="en-CA" w:eastAsia="en-CA"/>
              </w:rPr>
              <w:t>4.5.1</w:t>
            </w:r>
          </w:p>
        </w:tc>
        <w:tc>
          <w:tcPr>
            <w:tcW w:w="4280" w:type="pct"/>
            <w:gridSpan w:val="11"/>
            <w:tcBorders>
              <w:top w:val="single" w:sz="4" w:space="0" w:color="auto"/>
              <w:left w:val="nil"/>
              <w:bottom w:val="single" w:sz="4" w:space="0" w:color="auto"/>
              <w:right w:val="single" w:sz="4" w:space="0" w:color="auto"/>
            </w:tcBorders>
            <w:vAlign w:val="bottom"/>
          </w:tcPr>
          <w:p w:rsidR="00624407" w:rsidRPr="00F37476" w:rsidRDefault="00624407" w:rsidP="00624407">
            <w:pPr>
              <w:rPr>
                <w:color w:val="000000"/>
                <w:sz w:val="16"/>
                <w:szCs w:val="16"/>
                <w:lang w:val="en-CA" w:eastAsia="en-CA"/>
              </w:rPr>
            </w:pPr>
            <w:r w:rsidRPr="00F37476">
              <w:rPr>
                <w:color w:val="000000"/>
                <w:sz w:val="16"/>
                <w:szCs w:val="16"/>
                <w:lang w:val="en-CA" w:eastAsia="en-CA"/>
              </w:rPr>
              <w:t>Total phase-out of HCFC-124 agreed to be achieved under this agreement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jc w:val="right"/>
              <w:rPr>
                <w:color w:val="000000"/>
                <w:sz w:val="16"/>
                <w:szCs w:val="16"/>
                <w:lang w:val="en-CA" w:eastAsia="en-CA"/>
              </w:rPr>
            </w:pPr>
            <w:r w:rsidRPr="00B365F2">
              <w:rPr>
                <w:color w:val="000000"/>
                <w:sz w:val="16"/>
                <w:szCs w:val="16"/>
                <w:lang w:val="en-CA" w:eastAsia="en-CA"/>
              </w:rPr>
              <w:t>0.00</w:t>
            </w:r>
          </w:p>
        </w:tc>
      </w:tr>
      <w:tr w:rsidR="00624407" w:rsidRPr="00B365F2" w:rsidTr="00B365F2">
        <w:tc>
          <w:tcPr>
            <w:tcW w:w="264" w:type="pct"/>
            <w:tcBorders>
              <w:top w:val="nil"/>
              <w:left w:val="single" w:sz="4" w:space="0" w:color="auto"/>
              <w:bottom w:val="single" w:sz="4" w:space="0" w:color="auto"/>
              <w:right w:val="single" w:sz="4" w:space="0" w:color="auto"/>
            </w:tcBorders>
            <w:noWrap/>
            <w:vAlign w:val="bottom"/>
          </w:tcPr>
          <w:p w:rsidR="00624407" w:rsidRPr="00F37476" w:rsidRDefault="00624407" w:rsidP="00624407">
            <w:pPr>
              <w:rPr>
                <w:color w:val="000000"/>
                <w:sz w:val="16"/>
                <w:szCs w:val="16"/>
                <w:lang w:val="en-CA" w:eastAsia="en-CA"/>
              </w:rPr>
            </w:pPr>
            <w:r w:rsidRPr="00F37476">
              <w:rPr>
                <w:color w:val="000000"/>
                <w:sz w:val="16"/>
                <w:szCs w:val="16"/>
                <w:lang w:val="en-CA" w:eastAsia="en-CA"/>
              </w:rPr>
              <w:t>4.5.2</w:t>
            </w:r>
          </w:p>
        </w:tc>
        <w:tc>
          <w:tcPr>
            <w:tcW w:w="4280" w:type="pct"/>
            <w:gridSpan w:val="11"/>
            <w:tcBorders>
              <w:top w:val="single" w:sz="4" w:space="0" w:color="auto"/>
              <w:left w:val="nil"/>
              <w:bottom w:val="single" w:sz="4" w:space="0" w:color="auto"/>
              <w:right w:val="single" w:sz="4" w:space="0" w:color="auto"/>
            </w:tcBorders>
            <w:vAlign w:val="bottom"/>
          </w:tcPr>
          <w:p w:rsidR="00624407" w:rsidRPr="00F37476" w:rsidRDefault="00624407" w:rsidP="00624407">
            <w:pPr>
              <w:rPr>
                <w:color w:val="000000"/>
                <w:sz w:val="16"/>
                <w:szCs w:val="16"/>
                <w:lang w:val="en-CA" w:eastAsia="en-CA"/>
              </w:rPr>
            </w:pPr>
            <w:r w:rsidRPr="00F37476">
              <w:rPr>
                <w:color w:val="000000"/>
                <w:sz w:val="16"/>
                <w:szCs w:val="16"/>
                <w:lang w:val="en-CA" w:eastAsia="en-CA"/>
              </w:rPr>
              <w:t>Phase-out of HCFC-124 to be achieved in previously approved projects (ODP tonnes)</w:t>
            </w:r>
          </w:p>
        </w:tc>
        <w:tc>
          <w:tcPr>
            <w:tcW w:w="456" w:type="pct"/>
            <w:tcBorders>
              <w:top w:val="nil"/>
              <w:left w:val="nil"/>
              <w:bottom w:val="single" w:sz="4" w:space="0" w:color="auto"/>
              <w:right w:val="single" w:sz="4" w:space="0" w:color="auto"/>
            </w:tcBorders>
            <w:vAlign w:val="bottom"/>
          </w:tcPr>
          <w:p w:rsidR="00624407" w:rsidRPr="00B365F2" w:rsidRDefault="00624407" w:rsidP="00624407">
            <w:pPr>
              <w:jc w:val="right"/>
              <w:rPr>
                <w:color w:val="000000"/>
                <w:sz w:val="16"/>
                <w:szCs w:val="16"/>
                <w:lang w:val="en-CA" w:eastAsia="en-CA"/>
              </w:rPr>
            </w:pPr>
            <w:r w:rsidRPr="00B365F2">
              <w:rPr>
                <w:color w:val="000000"/>
                <w:sz w:val="16"/>
                <w:szCs w:val="16"/>
                <w:lang w:val="en-CA" w:eastAsia="en-CA"/>
              </w:rPr>
              <w:t>n/a</w:t>
            </w:r>
          </w:p>
        </w:tc>
      </w:tr>
      <w:tr w:rsidR="00624407" w:rsidRPr="00B365F2" w:rsidTr="00B365F2">
        <w:tc>
          <w:tcPr>
            <w:tcW w:w="264" w:type="pct"/>
            <w:tcBorders>
              <w:top w:val="single" w:sz="4" w:space="0" w:color="auto"/>
              <w:left w:val="single" w:sz="4" w:space="0" w:color="auto"/>
              <w:bottom w:val="single" w:sz="4" w:space="0" w:color="auto"/>
              <w:right w:val="single" w:sz="4" w:space="0" w:color="auto"/>
            </w:tcBorders>
            <w:noWrap/>
            <w:vAlign w:val="bottom"/>
          </w:tcPr>
          <w:p w:rsidR="00624407" w:rsidRPr="00F37476" w:rsidRDefault="00624407" w:rsidP="00624407">
            <w:pPr>
              <w:rPr>
                <w:color w:val="000000"/>
                <w:sz w:val="16"/>
                <w:szCs w:val="16"/>
                <w:lang w:val="en-CA" w:eastAsia="en-CA"/>
              </w:rPr>
            </w:pPr>
            <w:r w:rsidRPr="00F37476">
              <w:rPr>
                <w:color w:val="000000"/>
                <w:sz w:val="16"/>
                <w:szCs w:val="16"/>
                <w:lang w:val="en-CA" w:eastAsia="en-CA"/>
              </w:rPr>
              <w:t>4.5.3</w:t>
            </w:r>
          </w:p>
        </w:tc>
        <w:tc>
          <w:tcPr>
            <w:tcW w:w="4280" w:type="pct"/>
            <w:gridSpan w:val="11"/>
            <w:tcBorders>
              <w:top w:val="single" w:sz="4" w:space="0" w:color="auto"/>
              <w:left w:val="nil"/>
              <w:bottom w:val="single" w:sz="4" w:space="0" w:color="auto"/>
              <w:right w:val="single" w:sz="4" w:space="0" w:color="auto"/>
            </w:tcBorders>
            <w:vAlign w:val="bottom"/>
          </w:tcPr>
          <w:p w:rsidR="00624407" w:rsidRPr="00F37476" w:rsidRDefault="00624407" w:rsidP="00624407">
            <w:pPr>
              <w:rPr>
                <w:bCs/>
                <w:color w:val="000000"/>
                <w:sz w:val="16"/>
                <w:szCs w:val="16"/>
                <w:lang w:val="en-CA" w:eastAsia="en-CA"/>
              </w:rPr>
            </w:pPr>
            <w:r w:rsidRPr="00F37476">
              <w:rPr>
                <w:bCs/>
                <w:color w:val="000000"/>
                <w:sz w:val="16"/>
                <w:szCs w:val="16"/>
                <w:lang w:val="en-CA" w:eastAsia="en-CA"/>
              </w:rPr>
              <w:t>Remaining eligible consumption for HCFC-124 (ODP tonnes)</w:t>
            </w:r>
          </w:p>
        </w:tc>
        <w:tc>
          <w:tcPr>
            <w:tcW w:w="456" w:type="pct"/>
            <w:tcBorders>
              <w:top w:val="single" w:sz="4" w:space="0" w:color="auto"/>
              <w:left w:val="nil"/>
              <w:bottom w:val="single" w:sz="4" w:space="0" w:color="auto"/>
              <w:right w:val="single" w:sz="4" w:space="0" w:color="auto"/>
            </w:tcBorders>
            <w:vAlign w:val="bottom"/>
          </w:tcPr>
          <w:p w:rsidR="00624407" w:rsidRPr="00B365F2" w:rsidRDefault="00624407" w:rsidP="00624407">
            <w:pPr>
              <w:jc w:val="right"/>
              <w:rPr>
                <w:color w:val="000000"/>
                <w:sz w:val="16"/>
                <w:szCs w:val="16"/>
                <w:lang w:val="en-CA" w:eastAsia="en-CA"/>
              </w:rPr>
            </w:pPr>
            <w:r w:rsidRPr="00B365F2">
              <w:rPr>
                <w:color w:val="000000"/>
                <w:sz w:val="16"/>
                <w:szCs w:val="16"/>
                <w:lang w:val="en-CA" w:eastAsia="en-CA"/>
              </w:rPr>
              <w:t>0.22</w:t>
            </w:r>
          </w:p>
        </w:tc>
      </w:tr>
      <w:tr w:rsidR="00624407" w:rsidRPr="00B365F2" w:rsidTr="00B365F2">
        <w:tc>
          <w:tcPr>
            <w:tcW w:w="264" w:type="pct"/>
            <w:tcBorders>
              <w:top w:val="single" w:sz="4" w:space="0" w:color="auto"/>
              <w:left w:val="single" w:sz="4" w:space="0" w:color="auto"/>
              <w:bottom w:val="single" w:sz="4" w:space="0" w:color="auto"/>
              <w:right w:val="single" w:sz="4" w:space="0" w:color="auto"/>
            </w:tcBorders>
            <w:noWrap/>
            <w:vAlign w:val="bottom"/>
          </w:tcPr>
          <w:p w:rsidR="00624407" w:rsidRPr="00F37476" w:rsidRDefault="00624407" w:rsidP="00624407">
            <w:pPr>
              <w:rPr>
                <w:b/>
                <w:color w:val="000000"/>
                <w:sz w:val="16"/>
                <w:szCs w:val="16"/>
                <w:lang w:val="en-CA" w:eastAsia="en-CA"/>
              </w:rPr>
            </w:pPr>
            <w:r w:rsidRPr="00F37476">
              <w:rPr>
                <w:b/>
                <w:color w:val="000000"/>
                <w:sz w:val="16"/>
                <w:szCs w:val="16"/>
                <w:lang w:val="en-CA" w:eastAsia="en-CA"/>
              </w:rPr>
              <w:t>4.6.1</w:t>
            </w:r>
          </w:p>
        </w:tc>
        <w:tc>
          <w:tcPr>
            <w:tcW w:w="4280" w:type="pct"/>
            <w:gridSpan w:val="11"/>
            <w:tcBorders>
              <w:top w:val="single" w:sz="4" w:space="0" w:color="auto"/>
              <w:left w:val="nil"/>
              <w:bottom w:val="single" w:sz="4" w:space="0" w:color="auto"/>
              <w:right w:val="single" w:sz="4" w:space="0" w:color="auto"/>
            </w:tcBorders>
            <w:vAlign w:val="bottom"/>
          </w:tcPr>
          <w:p w:rsidR="00624407" w:rsidRPr="00F37476" w:rsidRDefault="00624407" w:rsidP="00624407">
            <w:pPr>
              <w:rPr>
                <w:color w:val="000000"/>
                <w:sz w:val="16"/>
                <w:szCs w:val="16"/>
                <w:lang w:val="en-CA" w:eastAsia="en-CA"/>
              </w:rPr>
            </w:pPr>
            <w:r w:rsidRPr="00F37476">
              <w:rPr>
                <w:color w:val="000000"/>
                <w:sz w:val="16"/>
                <w:szCs w:val="16"/>
                <w:lang w:val="en-CA" w:eastAsia="en-CA"/>
              </w:rPr>
              <w:t>Total phase-out of HCFC-141b in pre-blended polyols agreed to be achieved under this agreement (ODP tonnes)</w:t>
            </w:r>
          </w:p>
        </w:tc>
        <w:tc>
          <w:tcPr>
            <w:tcW w:w="456" w:type="pct"/>
            <w:tcBorders>
              <w:top w:val="single" w:sz="4" w:space="0" w:color="auto"/>
              <w:left w:val="nil"/>
              <w:bottom w:val="single" w:sz="4" w:space="0" w:color="auto"/>
              <w:right w:val="single" w:sz="4" w:space="0" w:color="auto"/>
            </w:tcBorders>
            <w:vAlign w:val="bottom"/>
          </w:tcPr>
          <w:p w:rsidR="00624407" w:rsidRPr="00B365F2" w:rsidRDefault="00624407" w:rsidP="00624407">
            <w:pPr>
              <w:jc w:val="right"/>
              <w:rPr>
                <w:b/>
                <w:color w:val="000000"/>
                <w:sz w:val="16"/>
                <w:szCs w:val="16"/>
                <w:lang w:val="en-CA" w:eastAsia="en-CA"/>
              </w:rPr>
            </w:pPr>
            <w:r w:rsidRPr="00B365F2">
              <w:rPr>
                <w:b/>
                <w:color w:val="000000"/>
                <w:sz w:val="16"/>
                <w:szCs w:val="16"/>
                <w:lang w:val="en-CA" w:eastAsia="en-CA"/>
              </w:rPr>
              <w:t>19.81</w:t>
            </w:r>
          </w:p>
        </w:tc>
      </w:tr>
      <w:tr w:rsidR="00624407" w:rsidRPr="00B365F2" w:rsidTr="00B365F2">
        <w:tc>
          <w:tcPr>
            <w:tcW w:w="264" w:type="pct"/>
            <w:tcBorders>
              <w:top w:val="single" w:sz="4" w:space="0" w:color="auto"/>
              <w:left w:val="single" w:sz="4" w:space="0" w:color="auto"/>
              <w:bottom w:val="single" w:sz="4" w:space="0" w:color="auto"/>
              <w:right w:val="single" w:sz="4" w:space="0" w:color="auto"/>
            </w:tcBorders>
            <w:noWrap/>
            <w:vAlign w:val="bottom"/>
          </w:tcPr>
          <w:p w:rsidR="00624407" w:rsidRPr="00F37476" w:rsidRDefault="00624407" w:rsidP="00624407">
            <w:pPr>
              <w:rPr>
                <w:b/>
                <w:color w:val="000000"/>
                <w:sz w:val="16"/>
                <w:szCs w:val="16"/>
                <w:lang w:val="en-CA" w:eastAsia="en-CA"/>
              </w:rPr>
            </w:pPr>
            <w:r w:rsidRPr="00F37476">
              <w:rPr>
                <w:b/>
                <w:color w:val="000000"/>
                <w:sz w:val="16"/>
                <w:szCs w:val="16"/>
                <w:lang w:val="en-CA" w:eastAsia="en-CA"/>
              </w:rPr>
              <w:t>4.6.2</w:t>
            </w:r>
          </w:p>
        </w:tc>
        <w:tc>
          <w:tcPr>
            <w:tcW w:w="4280" w:type="pct"/>
            <w:gridSpan w:val="11"/>
            <w:tcBorders>
              <w:top w:val="single" w:sz="4" w:space="0" w:color="auto"/>
              <w:left w:val="nil"/>
              <w:bottom w:val="single" w:sz="4" w:space="0" w:color="auto"/>
              <w:right w:val="single" w:sz="4" w:space="0" w:color="auto"/>
            </w:tcBorders>
            <w:vAlign w:val="bottom"/>
          </w:tcPr>
          <w:p w:rsidR="00624407" w:rsidRPr="00F37476" w:rsidRDefault="00624407" w:rsidP="00624407">
            <w:pPr>
              <w:rPr>
                <w:color w:val="000000"/>
                <w:sz w:val="16"/>
                <w:szCs w:val="16"/>
                <w:lang w:val="en-CA" w:eastAsia="en-CA"/>
              </w:rPr>
            </w:pPr>
            <w:r w:rsidRPr="00F37476">
              <w:rPr>
                <w:color w:val="000000"/>
                <w:sz w:val="16"/>
                <w:szCs w:val="16"/>
                <w:lang w:val="en-CA" w:eastAsia="en-CA"/>
              </w:rPr>
              <w:t>Phase-out of HCFC-141b in pre-blended polyols to be achieved in previously approved projects (ODP tonnes)</w:t>
            </w:r>
          </w:p>
        </w:tc>
        <w:tc>
          <w:tcPr>
            <w:tcW w:w="456" w:type="pct"/>
            <w:tcBorders>
              <w:top w:val="single" w:sz="4" w:space="0" w:color="auto"/>
              <w:left w:val="nil"/>
              <w:bottom w:val="single" w:sz="4" w:space="0" w:color="auto"/>
              <w:right w:val="single" w:sz="4" w:space="0" w:color="auto"/>
            </w:tcBorders>
            <w:vAlign w:val="bottom"/>
          </w:tcPr>
          <w:p w:rsidR="00624407" w:rsidRPr="00B365F2" w:rsidRDefault="00624407" w:rsidP="00624407">
            <w:pPr>
              <w:jc w:val="right"/>
              <w:rPr>
                <w:color w:val="000000"/>
                <w:sz w:val="16"/>
                <w:szCs w:val="16"/>
                <w:lang w:val="en-CA" w:eastAsia="en-CA"/>
              </w:rPr>
            </w:pPr>
            <w:r w:rsidRPr="00B365F2">
              <w:rPr>
                <w:color w:val="000000"/>
                <w:sz w:val="16"/>
                <w:szCs w:val="16"/>
                <w:lang w:val="en-CA" w:eastAsia="en-CA"/>
              </w:rPr>
              <w:t>n/a</w:t>
            </w:r>
          </w:p>
        </w:tc>
      </w:tr>
      <w:tr w:rsidR="00624407" w:rsidRPr="00B365F2" w:rsidTr="00B365F2">
        <w:tc>
          <w:tcPr>
            <w:tcW w:w="264" w:type="pct"/>
            <w:tcBorders>
              <w:top w:val="single" w:sz="4" w:space="0" w:color="auto"/>
              <w:left w:val="single" w:sz="4" w:space="0" w:color="auto"/>
              <w:bottom w:val="single" w:sz="4" w:space="0" w:color="auto"/>
              <w:right w:val="single" w:sz="4" w:space="0" w:color="auto"/>
            </w:tcBorders>
            <w:noWrap/>
            <w:vAlign w:val="bottom"/>
          </w:tcPr>
          <w:p w:rsidR="00624407" w:rsidRPr="00F37476" w:rsidRDefault="00624407" w:rsidP="00624407">
            <w:pPr>
              <w:rPr>
                <w:b/>
                <w:color w:val="000000"/>
                <w:sz w:val="16"/>
                <w:szCs w:val="16"/>
                <w:lang w:val="en-CA" w:eastAsia="en-CA"/>
              </w:rPr>
            </w:pPr>
            <w:r w:rsidRPr="00F37476">
              <w:rPr>
                <w:b/>
                <w:color w:val="000000"/>
                <w:sz w:val="16"/>
                <w:szCs w:val="16"/>
                <w:lang w:val="en-CA" w:eastAsia="en-CA"/>
              </w:rPr>
              <w:t>4.6.3</w:t>
            </w:r>
          </w:p>
        </w:tc>
        <w:tc>
          <w:tcPr>
            <w:tcW w:w="4280" w:type="pct"/>
            <w:gridSpan w:val="11"/>
            <w:tcBorders>
              <w:top w:val="single" w:sz="4" w:space="0" w:color="auto"/>
              <w:left w:val="nil"/>
              <w:bottom w:val="single" w:sz="4" w:space="0" w:color="auto"/>
              <w:right w:val="single" w:sz="4" w:space="0" w:color="auto"/>
            </w:tcBorders>
            <w:vAlign w:val="bottom"/>
          </w:tcPr>
          <w:p w:rsidR="00624407" w:rsidRPr="00F37476" w:rsidRDefault="00624407" w:rsidP="00624407">
            <w:pPr>
              <w:rPr>
                <w:bCs/>
                <w:color w:val="000000"/>
                <w:sz w:val="16"/>
                <w:szCs w:val="16"/>
                <w:lang w:val="en-CA" w:eastAsia="en-CA"/>
              </w:rPr>
            </w:pPr>
            <w:r w:rsidRPr="00F37476">
              <w:rPr>
                <w:bCs/>
                <w:color w:val="000000"/>
                <w:sz w:val="16"/>
                <w:szCs w:val="16"/>
                <w:lang w:val="en-CA" w:eastAsia="en-CA"/>
              </w:rPr>
              <w:t xml:space="preserve">Remaining eligible consumption for </w:t>
            </w:r>
            <w:r w:rsidRPr="00F37476">
              <w:rPr>
                <w:color w:val="000000"/>
                <w:sz w:val="16"/>
                <w:szCs w:val="16"/>
                <w:lang w:val="en-CA" w:eastAsia="en-CA"/>
              </w:rPr>
              <w:t xml:space="preserve">HCFC-141b in pre-blended polyols </w:t>
            </w:r>
            <w:r w:rsidRPr="00F37476">
              <w:rPr>
                <w:bCs/>
                <w:color w:val="000000"/>
                <w:sz w:val="16"/>
                <w:szCs w:val="16"/>
                <w:lang w:val="en-CA" w:eastAsia="en-CA"/>
              </w:rPr>
              <w:t>(ODP tonnes)</w:t>
            </w:r>
          </w:p>
        </w:tc>
        <w:tc>
          <w:tcPr>
            <w:tcW w:w="456" w:type="pct"/>
            <w:tcBorders>
              <w:top w:val="single" w:sz="4" w:space="0" w:color="auto"/>
              <w:left w:val="nil"/>
              <w:bottom w:val="single" w:sz="4" w:space="0" w:color="auto"/>
              <w:right w:val="single" w:sz="4" w:space="0" w:color="auto"/>
            </w:tcBorders>
            <w:vAlign w:val="bottom"/>
          </w:tcPr>
          <w:p w:rsidR="00624407" w:rsidRPr="00B365F2" w:rsidRDefault="00624407" w:rsidP="00624407">
            <w:pPr>
              <w:jc w:val="right"/>
              <w:rPr>
                <w:b/>
                <w:color w:val="000000"/>
                <w:sz w:val="16"/>
                <w:szCs w:val="16"/>
                <w:lang w:val="en-CA" w:eastAsia="en-CA"/>
              </w:rPr>
            </w:pPr>
            <w:r w:rsidRPr="00B365F2">
              <w:rPr>
                <w:b/>
                <w:color w:val="000000"/>
                <w:sz w:val="16"/>
                <w:szCs w:val="16"/>
                <w:lang w:val="en-CA" w:eastAsia="en-CA"/>
              </w:rPr>
              <w:t>0.86</w:t>
            </w:r>
          </w:p>
        </w:tc>
      </w:tr>
    </w:tbl>
    <w:p w:rsidR="00624407" w:rsidRPr="00B365F2" w:rsidRDefault="00624407" w:rsidP="00624407">
      <w:pPr>
        <w:pStyle w:val="StyleHeader4Para4Left0Firstline0"/>
        <w:numPr>
          <w:ilvl w:val="0"/>
          <w:numId w:val="0"/>
        </w:numPr>
      </w:pPr>
    </w:p>
    <w:p w:rsidR="00E85409" w:rsidRPr="00B365F2" w:rsidRDefault="000D7AE5" w:rsidP="004E7F9C">
      <w:pPr>
        <w:rPr>
          <w:b/>
          <w:sz w:val="18"/>
          <w:szCs w:val="18"/>
          <w:lang w:val="en-CA"/>
        </w:rPr>
      </w:pPr>
      <w:r w:rsidRPr="00B365F2">
        <w:rPr>
          <w:b/>
          <w:sz w:val="18"/>
          <w:szCs w:val="18"/>
          <w:lang w:val="en-CA"/>
        </w:rPr>
        <w:t xml:space="preserve">*Funding for UNIDO includes the </w:t>
      </w:r>
      <w:r w:rsidR="00203EFE" w:rsidRPr="00B365F2">
        <w:rPr>
          <w:b/>
          <w:sz w:val="18"/>
          <w:szCs w:val="18"/>
          <w:lang w:val="en-CA"/>
        </w:rPr>
        <w:t>fourth</w:t>
      </w:r>
      <w:r w:rsidRPr="00B365F2">
        <w:rPr>
          <w:b/>
          <w:sz w:val="18"/>
          <w:szCs w:val="18"/>
          <w:lang w:val="en-CA"/>
        </w:rPr>
        <w:t xml:space="preserve"> tranche request at </w:t>
      </w:r>
      <w:r w:rsidR="00C52303" w:rsidRPr="00B365F2">
        <w:rPr>
          <w:b/>
          <w:sz w:val="18"/>
          <w:szCs w:val="18"/>
          <w:lang w:val="en-CA"/>
        </w:rPr>
        <w:t>US $</w:t>
      </w:r>
      <w:r w:rsidR="00203EFE" w:rsidRPr="00B365F2">
        <w:rPr>
          <w:b/>
          <w:sz w:val="18"/>
          <w:szCs w:val="18"/>
          <w:lang w:val="en-CA"/>
        </w:rPr>
        <w:t>86,500</w:t>
      </w:r>
      <w:r w:rsidR="00B365F2" w:rsidRPr="00B365F2">
        <w:rPr>
          <w:b/>
          <w:sz w:val="18"/>
          <w:szCs w:val="18"/>
          <w:lang w:val="en-CA"/>
        </w:rPr>
        <w:t>,</w:t>
      </w:r>
      <w:r w:rsidRPr="00B365F2">
        <w:rPr>
          <w:b/>
          <w:sz w:val="18"/>
          <w:szCs w:val="18"/>
          <w:lang w:val="en-CA"/>
        </w:rPr>
        <w:t xml:space="preserve"> plus agency support cost of </w:t>
      </w:r>
      <w:r w:rsidR="00C52303" w:rsidRPr="00B365F2">
        <w:rPr>
          <w:b/>
          <w:sz w:val="18"/>
          <w:szCs w:val="18"/>
          <w:lang w:val="en-CA"/>
        </w:rPr>
        <w:t>US $</w:t>
      </w:r>
      <w:r w:rsidR="00203EFE" w:rsidRPr="00B365F2">
        <w:rPr>
          <w:b/>
          <w:sz w:val="18"/>
          <w:szCs w:val="18"/>
          <w:lang w:val="en-CA"/>
        </w:rPr>
        <w:t>6,487</w:t>
      </w:r>
      <w:r w:rsidR="00B365F2" w:rsidRPr="00B365F2">
        <w:rPr>
          <w:b/>
          <w:sz w:val="18"/>
          <w:szCs w:val="18"/>
          <w:lang w:val="en-CA"/>
        </w:rPr>
        <w:t>,</w:t>
      </w:r>
      <w:r w:rsidRPr="00B365F2">
        <w:rPr>
          <w:b/>
          <w:sz w:val="18"/>
          <w:szCs w:val="18"/>
          <w:lang w:val="en-CA"/>
        </w:rPr>
        <w:t xml:space="preserve"> and the foam project at </w:t>
      </w:r>
      <w:r w:rsidR="00C52303" w:rsidRPr="00B365F2">
        <w:rPr>
          <w:b/>
          <w:sz w:val="18"/>
          <w:szCs w:val="18"/>
          <w:lang w:val="en-CA"/>
        </w:rPr>
        <w:t>US $</w:t>
      </w:r>
      <w:r w:rsidRPr="00B365F2">
        <w:rPr>
          <w:b/>
          <w:sz w:val="18"/>
          <w:szCs w:val="18"/>
          <w:lang w:val="en-CA"/>
        </w:rPr>
        <w:t>413,</w:t>
      </w:r>
      <w:r w:rsidR="004D7ACA" w:rsidRPr="00B365F2">
        <w:rPr>
          <w:b/>
          <w:sz w:val="18"/>
          <w:szCs w:val="18"/>
          <w:lang w:val="en-CA"/>
        </w:rPr>
        <w:t>719</w:t>
      </w:r>
      <w:r w:rsidRPr="00B365F2">
        <w:rPr>
          <w:b/>
          <w:sz w:val="18"/>
          <w:szCs w:val="18"/>
          <w:lang w:val="en-CA"/>
        </w:rPr>
        <w:t xml:space="preserve">, plus agency support cost of </w:t>
      </w:r>
      <w:r w:rsidR="00C52303" w:rsidRPr="00B365F2">
        <w:rPr>
          <w:b/>
          <w:sz w:val="18"/>
          <w:szCs w:val="18"/>
          <w:lang w:val="en-CA"/>
        </w:rPr>
        <w:t>US $</w:t>
      </w:r>
      <w:r w:rsidR="004D7ACA" w:rsidRPr="00B365F2">
        <w:rPr>
          <w:b/>
          <w:sz w:val="18"/>
          <w:szCs w:val="18"/>
          <w:lang w:val="en-CA"/>
        </w:rPr>
        <w:t>30,220</w:t>
      </w:r>
      <w:r w:rsidRPr="00B365F2">
        <w:rPr>
          <w:b/>
          <w:sz w:val="18"/>
          <w:szCs w:val="18"/>
          <w:lang w:val="en-CA"/>
        </w:rPr>
        <w:t>.</w:t>
      </w:r>
    </w:p>
    <w:p w:rsidR="00B365F2" w:rsidRDefault="00B365F2">
      <w:pPr>
        <w:jc w:val="left"/>
        <w:rPr>
          <w:lang w:val="en-CA"/>
        </w:rPr>
      </w:pPr>
      <w:r>
        <w:rPr>
          <w:lang w:val="en-CA"/>
        </w:rPr>
        <w:br w:type="page"/>
      </w:r>
    </w:p>
    <w:p w:rsidR="00242391" w:rsidRPr="00E91A59" w:rsidRDefault="00242391" w:rsidP="00242391">
      <w:pPr>
        <w:keepLines/>
        <w:jc w:val="center"/>
        <w:rPr>
          <w:b/>
        </w:rPr>
      </w:pPr>
      <w:r w:rsidRPr="00B365F2">
        <w:rPr>
          <w:b/>
        </w:rPr>
        <w:t>PROJECT EVALUATION SHEET – NON-MULTI-YEAR PROJECT</w:t>
      </w:r>
    </w:p>
    <w:p w:rsidR="00242391" w:rsidRPr="00E91A59" w:rsidRDefault="00242391" w:rsidP="00242391">
      <w:pPr>
        <w:jc w:val="center"/>
        <w:rPr>
          <w:b/>
          <w:szCs w:val="24"/>
        </w:rPr>
      </w:pPr>
    </w:p>
    <w:p w:rsidR="00242391" w:rsidRPr="00E91A59" w:rsidRDefault="00242391" w:rsidP="00242391">
      <w:pPr>
        <w:jc w:val="center"/>
        <w:rPr>
          <w:b/>
          <w:szCs w:val="24"/>
        </w:rPr>
      </w:pPr>
      <w:r w:rsidRPr="00E91A59">
        <w:rPr>
          <w:b/>
          <w:szCs w:val="24"/>
        </w:rPr>
        <w:t>E</w:t>
      </w:r>
      <w:r>
        <w:rPr>
          <w:b/>
          <w:szCs w:val="24"/>
        </w:rPr>
        <w:t>cuador</w:t>
      </w:r>
    </w:p>
    <w:p w:rsidR="00242391" w:rsidRPr="003F0F38" w:rsidRDefault="00242391" w:rsidP="00242391">
      <w:pPr>
        <w:rPr>
          <w:sz w:val="20"/>
        </w:rPr>
      </w:pPr>
    </w:p>
    <w:p w:rsidR="00242391" w:rsidRPr="00E91A59" w:rsidRDefault="00242391" w:rsidP="00242391">
      <w:pPr>
        <w:tabs>
          <w:tab w:val="left" w:pos="5580"/>
        </w:tabs>
        <w:ind w:right="-540"/>
        <w:rPr>
          <w:b/>
          <w:sz w:val="20"/>
        </w:rPr>
      </w:pPr>
      <w:r w:rsidRPr="00E91A59">
        <w:rPr>
          <w:b/>
          <w:caps/>
          <w:sz w:val="20"/>
        </w:rPr>
        <w:t>Project titleS</w:t>
      </w:r>
      <w:r w:rsidRPr="00E91A59">
        <w:rPr>
          <w:b/>
          <w:sz w:val="20"/>
        </w:rPr>
        <w:tab/>
      </w:r>
      <w:r w:rsidRPr="00E91A59">
        <w:rPr>
          <w:b/>
          <w:caps/>
          <w:sz w:val="20"/>
        </w:rPr>
        <w:t>Bilateral/implementing agency</w:t>
      </w:r>
    </w:p>
    <w:tbl>
      <w:tblPr>
        <w:tblStyle w:val="TableGrid"/>
        <w:tblpPr w:leftFromText="180" w:rightFromText="180" w:vertAnchor="text" w:horzAnchor="margin" w:tblpXSpec="center" w:tblpY="62"/>
        <w:tblW w:w="9497" w:type="dxa"/>
        <w:tblCellMar>
          <w:top w:w="28" w:type="dxa"/>
          <w:bottom w:w="28" w:type="dxa"/>
        </w:tblCellMar>
        <w:tblLook w:val="01E0" w:firstRow="1" w:lastRow="1" w:firstColumn="1" w:lastColumn="1" w:noHBand="0" w:noVBand="0"/>
      </w:tblPr>
      <w:tblGrid>
        <w:gridCol w:w="614"/>
        <w:gridCol w:w="6575"/>
        <w:gridCol w:w="2308"/>
      </w:tblGrid>
      <w:tr w:rsidR="00242391" w:rsidRPr="003F0F38" w:rsidTr="000D7AE5">
        <w:trPr>
          <w:trHeight w:val="388"/>
        </w:trPr>
        <w:tc>
          <w:tcPr>
            <w:tcW w:w="614" w:type="dxa"/>
          </w:tcPr>
          <w:p w:rsidR="00242391" w:rsidRDefault="00242391" w:rsidP="000D7AE5">
            <w:pPr>
              <w:tabs>
                <w:tab w:val="left" w:pos="383"/>
              </w:tabs>
              <w:rPr>
                <w:sz w:val="20"/>
                <w:szCs w:val="20"/>
              </w:rPr>
            </w:pPr>
            <w:r w:rsidRPr="003F0F38">
              <w:rPr>
                <w:sz w:val="20"/>
                <w:szCs w:val="20"/>
              </w:rPr>
              <w:t>(a)</w:t>
            </w:r>
          </w:p>
          <w:p w:rsidR="00242391" w:rsidRPr="003F0F38" w:rsidRDefault="00242391" w:rsidP="000D7AE5">
            <w:pPr>
              <w:tabs>
                <w:tab w:val="left" w:pos="383"/>
              </w:tabs>
              <w:rPr>
                <w:sz w:val="20"/>
                <w:szCs w:val="20"/>
              </w:rPr>
            </w:pPr>
          </w:p>
        </w:tc>
        <w:tc>
          <w:tcPr>
            <w:tcW w:w="6575" w:type="dxa"/>
          </w:tcPr>
          <w:p w:rsidR="00242391" w:rsidRPr="00D673D0" w:rsidRDefault="00242391" w:rsidP="00710320">
            <w:pPr>
              <w:tabs>
                <w:tab w:val="left" w:pos="383"/>
              </w:tabs>
              <w:rPr>
                <w:sz w:val="20"/>
                <w:szCs w:val="20"/>
                <w:lang w:val="en-CA"/>
              </w:rPr>
            </w:pPr>
            <w:r>
              <w:rPr>
                <w:sz w:val="20"/>
                <w:szCs w:val="20"/>
                <w:lang w:val="en-CA"/>
              </w:rPr>
              <w:t>C</w:t>
            </w:r>
            <w:r w:rsidRPr="00697940">
              <w:rPr>
                <w:sz w:val="20"/>
                <w:szCs w:val="20"/>
                <w:lang w:val="en-CA"/>
              </w:rPr>
              <w:t xml:space="preserve">onversion of </w:t>
            </w:r>
            <w:r>
              <w:rPr>
                <w:sz w:val="20"/>
                <w:szCs w:val="20"/>
                <w:lang w:val="en-CA"/>
              </w:rPr>
              <w:t>the</w:t>
            </w:r>
            <w:r w:rsidRPr="00697940">
              <w:rPr>
                <w:sz w:val="20"/>
                <w:szCs w:val="20"/>
                <w:lang w:val="en-CA"/>
              </w:rPr>
              <w:t xml:space="preserve"> manufacturing </w:t>
            </w:r>
            <w:r>
              <w:rPr>
                <w:sz w:val="20"/>
                <w:szCs w:val="20"/>
                <w:lang w:val="en-CA"/>
              </w:rPr>
              <w:t xml:space="preserve">of </w:t>
            </w:r>
            <w:r w:rsidRPr="00697940">
              <w:rPr>
                <w:sz w:val="20"/>
                <w:szCs w:val="20"/>
                <w:lang w:val="en-CA"/>
              </w:rPr>
              <w:t>domestic and commercial refrigerator</w:t>
            </w:r>
            <w:r>
              <w:rPr>
                <w:sz w:val="20"/>
                <w:szCs w:val="20"/>
                <w:lang w:val="en-CA"/>
              </w:rPr>
              <w:t>s</w:t>
            </w:r>
            <w:r w:rsidRPr="00697940">
              <w:rPr>
                <w:sz w:val="20"/>
                <w:szCs w:val="20"/>
                <w:lang w:val="en-CA"/>
              </w:rPr>
              <w:t xml:space="preserve"> </w:t>
            </w:r>
            <w:r>
              <w:rPr>
                <w:sz w:val="20"/>
                <w:szCs w:val="20"/>
                <w:lang w:val="en-CA"/>
              </w:rPr>
              <w:t xml:space="preserve">from </w:t>
            </w:r>
            <w:r w:rsidRPr="00697940">
              <w:rPr>
                <w:sz w:val="20"/>
                <w:szCs w:val="20"/>
                <w:lang w:val="en-CA"/>
              </w:rPr>
              <w:t>HFC-134a and R</w:t>
            </w:r>
            <w:r>
              <w:rPr>
                <w:sz w:val="20"/>
                <w:szCs w:val="20"/>
                <w:lang w:val="en-CA"/>
              </w:rPr>
              <w:t>-</w:t>
            </w:r>
            <w:r w:rsidRPr="00697940">
              <w:rPr>
                <w:sz w:val="20"/>
                <w:szCs w:val="20"/>
                <w:lang w:val="en-CA"/>
              </w:rPr>
              <w:t xml:space="preserve">404A to </w:t>
            </w:r>
            <w:proofErr w:type="spellStart"/>
            <w:r w:rsidRPr="00697940">
              <w:rPr>
                <w:sz w:val="20"/>
                <w:szCs w:val="20"/>
                <w:lang w:val="en-CA"/>
              </w:rPr>
              <w:t>isobutane</w:t>
            </w:r>
            <w:proofErr w:type="spellEnd"/>
            <w:r w:rsidRPr="00697940">
              <w:rPr>
                <w:sz w:val="20"/>
                <w:szCs w:val="20"/>
                <w:lang w:val="en-CA"/>
              </w:rPr>
              <w:t xml:space="preserve"> (R-600a)</w:t>
            </w:r>
            <w:r>
              <w:rPr>
                <w:sz w:val="20"/>
                <w:szCs w:val="20"/>
                <w:lang w:val="en-CA"/>
              </w:rPr>
              <w:t xml:space="preserve"> and </w:t>
            </w:r>
            <w:r w:rsidRPr="00697940">
              <w:rPr>
                <w:sz w:val="20"/>
                <w:szCs w:val="20"/>
                <w:lang w:val="en-CA"/>
              </w:rPr>
              <w:t>propane</w:t>
            </w:r>
            <w:r w:rsidR="00710320" w:rsidRPr="00697940">
              <w:rPr>
                <w:sz w:val="20"/>
                <w:szCs w:val="20"/>
                <w:lang w:val="en-CA"/>
              </w:rPr>
              <w:t xml:space="preserve"> </w:t>
            </w:r>
            <w:r w:rsidR="00710320" w:rsidRPr="00710320">
              <w:rPr>
                <w:sz w:val="20"/>
                <w:szCs w:val="20"/>
                <w:lang w:val="en-CA"/>
              </w:rPr>
              <w:t xml:space="preserve">(R-290) </w:t>
            </w:r>
            <w:r w:rsidR="00710320" w:rsidRPr="00697940">
              <w:rPr>
                <w:sz w:val="20"/>
                <w:szCs w:val="20"/>
                <w:lang w:val="en-CA"/>
              </w:rPr>
              <w:t xml:space="preserve">at </w:t>
            </w:r>
            <w:proofErr w:type="spellStart"/>
            <w:r w:rsidR="00710320" w:rsidRPr="00697940">
              <w:rPr>
                <w:sz w:val="20"/>
                <w:szCs w:val="20"/>
                <w:lang w:val="en-CA"/>
              </w:rPr>
              <w:t>Ecasa</w:t>
            </w:r>
            <w:proofErr w:type="spellEnd"/>
          </w:p>
        </w:tc>
        <w:tc>
          <w:tcPr>
            <w:tcW w:w="2308" w:type="dxa"/>
          </w:tcPr>
          <w:p w:rsidR="00242391" w:rsidRPr="003F0F38" w:rsidRDefault="00242391" w:rsidP="000D7AE5">
            <w:pPr>
              <w:jc w:val="right"/>
              <w:rPr>
                <w:sz w:val="20"/>
                <w:szCs w:val="20"/>
              </w:rPr>
            </w:pPr>
            <w:r w:rsidRPr="003F0F38">
              <w:rPr>
                <w:sz w:val="20"/>
                <w:szCs w:val="20"/>
              </w:rPr>
              <w:t>UNIDO</w:t>
            </w:r>
          </w:p>
        </w:tc>
      </w:tr>
      <w:tr w:rsidR="00242391" w:rsidRPr="003F0F38" w:rsidTr="000D7AE5">
        <w:trPr>
          <w:trHeight w:val="404"/>
        </w:trPr>
        <w:tc>
          <w:tcPr>
            <w:tcW w:w="614" w:type="dxa"/>
          </w:tcPr>
          <w:p w:rsidR="00242391" w:rsidRPr="003F0F38" w:rsidRDefault="00242391" w:rsidP="000D7AE5">
            <w:pPr>
              <w:tabs>
                <w:tab w:val="left" w:pos="383"/>
              </w:tabs>
              <w:rPr>
                <w:sz w:val="20"/>
                <w:szCs w:val="20"/>
              </w:rPr>
            </w:pPr>
            <w:r>
              <w:rPr>
                <w:sz w:val="20"/>
                <w:szCs w:val="20"/>
              </w:rPr>
              <w:t>(b)</w:t>
            </w:r>
          </w:p>
        </w:tc>
        <w:tc>
          <w:tcPr>
            <w:tcW w:w="6575" w:type="dxa"/>
          </w:tcPr>
          <w:p w:rsidR="00242391" w:rsidRDefault="00242391" w:rsidP="00710320">
            <w:pPr>
              <w:tabs>
                <w:tab w:val="left" w:pos="383"/>
              </w:tabs>
              <w:rPr>
                <w:sz w:val="20"/>
                <w:szCs w:val="20"/>
                <w:lang w:val="en-CA"/>
              </w:rPr>
            </w:pPr>
            <w:r>
              <w:rPr>
                <w:sz w:val="20"/>
                <w:szCs w:val="20"/>
              </w:rPr>
              <w:t>Conversion of the manufactur</w:t>
            </w:r>
            <w:r w:rsidR="00710320">
              <w:rPr>
                <w:sz w:val="20"/>
                <w:szCs w:val="20"/>
              </w:rPr>
              <w:t>ing of commercial refrigerators</w:t>
            </w:r>
            <w:r>
              <w:rPr>
                <w:sz w:val="20"/>
                <w:szCs w:val="20"/>
              </w:rPr>
              <w:t xml:space="preserve"> from HFC-</w:t>
            </w:r>
            <w:r w:rsidRPr="00642674">
              <w:rPr>
                <w:sz w:val="20"/>
                <w:szCs w:val="20"/>
              </w:rPr>
              <w:t xml:space="preserve">134a </w:t>
            </w:r>
            <w:r>
              <w:rPr>
                <w:sz w:val="20"/>
                <w:szCs w:val="20"/>
              </w:rPr>
              <w:t xml:space="preserve">to </w:t>
            </w:r>
            <w:proofErr w:type="spellStart"/>
            <w:r w:rsidRPr="008F0F44">
              <w:rPr>
                <w:sz w:val="20"/>
                <w:szCs w:val="20"/>
              </w:rPr>
              <w:t>isobutane</w:t>
            </w:r>
            <w:proofErr w:type="spellEnd"/>
            <w:r w:rsidRPr="008F0F44">
              <w:rPr>
                <w:sz w:val="20"/>
                <w:szCs w:val="20"/>
              </w:rPr>
              <w:t xml:space="preserve"> (R-600a)</w:t>
            </w:r>
            <w:r>
              <w:rPr>
                <w:sz w:val="20"/>
                <w:szCs w:val="20"/>
              </w:rPr>
              <w:t xml:space="preserve"> and </w:t>
            </w:r>
            <w:r w:rsidRPr="008F0F44">
              <w:rPr>
                <w:sz w:val="20"/>
                <w:szCs w:val="20"/>
              </w:rPr>
              <w:t>propane (R-290)</w:t>
            </w:r>
            <w:r w:rsidR="00710320">
              <w:rPr>
                <w:sz w:val="20"/>
                <w:szCs w:val="20"/>
              </w:rPr>
              <w:t xml:space="preserve"> </w:t>
            </w:r>
            <w:r w:rsidR="00710320" w:rsidRPr="00710320">
              <w:rPr>
                <w:sz w:val="20"/>
                <w:szCs w:val="20"/>
              </w:rPr>
              <w:t xml:space="preserve">at </w:t>
            </w:r>
            <w:proofErr w:type="spellStart"/>
            <w:r w:rsidR="00710320" w:rsidRPr="00710320">
              <w:rPr>
                <w:sz w:val="20"/>
                <w:szCs w:val="20"/>
              </w:rPr>
              <w:t>Indug</w:t>
            </w:r>
            <w:r w:rsidR="00710320">
              <w:rPr>
                <w:sz w:val="20"/>
                <w:szCs w:val="20"/>
              </w:rPr>
              <w:t>lob</w:t>
            </w:r>
            <w:proofErr w:type="spellEnd"/>
            <w:r w:rsidRPr="008F0F44">
              <w:rPr>
                <w:sz w:val="20"/>
                <w:szCs w:val="20"/>
              </w:rPr>
              <w:t xml:space="preserve"> </w:t>
            </w:r>
          </w:p>
        </w:tc>
        <w:tc>
          <w:tcPr>
            <w:tcW w:w="2308" w:type="dxa"/>
          </w:tcPr>
          <w:p w:rsidR="00242391" w:rsidRPr="003F0F38" w:rsidRDefault="00242391" w:rsidP="000D7AE5">
            <w:pPr>
              <w:jc w:val="right"/>
              <w:rPr>
                <w:sz w:val="20"/>
                <w:szCs w:val="20"/>
              </w:rPr>
            </w:pPr>
            <w:r>
              <w:rPr>
                <w:sz w:val="20"/>
                <w:szCs w:val="20"/>
              </w:rPr>
              <w:t>UNIDO</w:t>
            </w:r>
          </w:p>
        </w:tc>
      </w:tr>
    </w:tbl>
    <w:p w:rsidR="00242391" w:rsidRPr="003F0F38" w:rsidRDefault="00242391" w:rsidP="00242391">
      <w:pPr>
        <w:rPr>
          <w:sz w:val="20"/>
        </w:rPr>
      </w:pPr>
    </w:p>
    <w:tbl>
      <w:tblPr>
        <w:tblStyle w:val="TableGrid"/>
        <w:tblW w:w="0" w:type="auto"/>
        <w:jc w:val="center"/>
        <w:tblLook w:val="01E0" w:firstRow="1" w:lastRow="1" w:firstColumn="1" w:lastColumn="1" w:noHBand="0" w:noVBand="0"/>
      </w:tblPr>
      <w:tblGrid>
        <w:gridCol w:w="4800"/>
        <w:gridCol w:w="4550"/>
      </w:tblGrid>
      <w:tr w:rsidR="00242391" w:rsidRPr="00E91A59" w:rsidTr="000D7AE5">
        <w:trPr>
          <w:jc w:val="center"/>
        </w:trPr>
        <w:tc>
          <w:tcPr>
            <w:tcW w:w="4855" w:type="dxa"/>
          </w:tcPr>
          <w:p w:rsidR="00242391" w:rsidRPr="00E91A59" w:rsidRDefault="00242391" w:rsidP="000D7AE5">
            <w:pPr>
              <w:rPr>
                <w:b/>
                <w:sz w:val="20"/>
              </w:rPr>
            </w:pPr>
            <w:r w:rsidRPr="00E91A59">
              <w:rPr>
                <w:b/>
                <w:caps/>
                <w:sz w:val="20"/>
              </w:rPr>
              <w:t>National coordinating agency</w:t>
            </w:r>
          </w:p>
        </w:tc>
        <w:tc>
          <w:tcPr>
            <w:tcW w:w="4613" w:type="dxa"/>
          </w:tcPr>
          <w:p w:rsidR="00242391" w:rsidRPr="004B7C9F" w:rsidRDefault="00242391" w:rsidP="000D7AE5">
            <w:pPr>
              <w:jc w:val="left"/>
              <w:rPr>
                <w:sz w:val="20"/>
              </w:rPr>
            </w:pPr>
            <w:r w:rsidRPr="004B7C9F">
              <w:rPr>
                <w:sz w:val="20"/>
              </w:rPr>
              <w:t>Ministry of Industries and Productivity of Ecuador</w:t>
            </w:r>
          </w:p>
        </w:tc>
      </w:tr>
    </w:tbl>
    <w:p w:rsidR="00242391" w:rsidRPr="003F0F38" w:rsidRDefault="00242391" w:rsidP="00242391">
      <w:pPr>
        <w:rPr>
          <w:caps/>
          <w:sz w:val="20"/>
        </w:rPr>
      </w:pPr>
    </w:p>
    <w:p w:rsidR="00242391" w:rsidRPr="00E91A59" w:rsidRDefault="00242391" w:rsidP="00242391">
      <w:pPr>
        <w:rPr>
          <w:b/>
          <w:caps/>
          <w:sz w:val="20"/>
        </w:rPr>
      </w:pPr>
      <w:r w:rsidRPr="00E91A59">
        <w:rPr>
          <w:b/>
          <w:caps/>
          <w:sz w:val="20"/>
        </w:rPr>
        <w:t xml:space="preserve">LateSt reported consumption data for ODS addressed in project </w:t>
      </w:r>
    </w:p>
    <w:p w:rsidR="00242391" w:rsidRPr="00E91A59" w:rsidRDefault="00242391" w:rsidP="00242391">
      <w:pPr>
        <w:spacing w:before="60"/>
        <w:rPr>
          <w:b/>
          <w:caps/>
          <w:sz w:val="20"/>
        </w:rPr>
      </w:pPr>
      <w:r w:rsidRPr="00E91A59">
        <w:rPr>
          <w:b/>
          <w:caps/>
          <w:sz w:val="20"/>
        </w:rPr>
        <w:t>A: Article-7 data (</w:t>
      </w:r>
      <w:r>
        <w:rPr>
          <w:b/>
          <w:caps/>
          <w:sz w:val="20"/>
        </w:rPr>
        <w:t>Metric tonnes (mt), 2017)</w:t>
      </w:r>
    </w:p>
    <w:tbl>
      <w:tblPr>
        <w:tblStyle w:val="TableGrid"/>
        <w:tblpPr w:leftFromText="180" w:rightFromText="180" w:vertAnchor="text" w:horzAnchor="margin" w:tblpXSpec="center" w:tblpY="90"/>
        <w:tblW w:w="9341" w:type="dxa"/>
        <w:tblLook w:val="01E0" w:firstRow="1" w:lastRow="1" w:firstColumn="1" w:lastColumn="1" w:noHBand="0" w:noVBand="0"/>
      </w:tblPr>
      <w:tblGrid>
        <w:gridCol w:w="8081"/>
        <w:gridCol w:w="1260"/>
      </w:tblGrid>
      <w:tr w:rsidR="00242391" w:rsidRPr="003F0F38" w:rsidTr="000D7AE5">
        <w:tc>
          <w:tcPr>
            <w:tcW w:w="8081" w:type="dxa"/>
          </w:tcPr>
          <w:p w:rsidR="00242391" w:rsidRPr="003F0F38" w:rsidRDefault="00242391" w:rsidP="000D7AE5">
            <w:pPr>
              <w:jc w:val="left"/>
              <w:rPr>
                <w:sz w:val="20"/>
                <w:highlight w:val="yellow"/>
              </w:rPr>
            </w:pPr>
            <w:r w:rsidRPr="003F0F38">
              <w:rPr>
                <w:sz w:val="20"/>
              </w:rPr>
              <w:t>HFCs</w:t>
            </w:r>
          </w:p>
        </w:tc>
        <w:tc>
          <w:tcPr>
            <w:tcW w:w="1260" w:type="dxa"/>
          </w:tcPr>
          <w:p w:rsidR="00242391" w:rsidRPr="003F0F38" w:rsidRDefault="00242391" w:rsidP="000D7AE5">
            <w:pPr>
              <w:jc w:val="right"/>
              <w:rPr>
                <w:sz w:val="20"/>
              </w:rPr>
            </w:pPr>
            <w:r>
              <w:rPr>
                <w:sz w:val="20"/>
              </w:rPr>
              <w:t>n/a</w:t>
            </w:r>
          </w:p>
        </w:tc>
      </w:tr>
    </w:tbl>
    <w:p w:rsidR="00242391" w:rsidRPr="00E91A59" w:rsidRDefault="00242391" w:rsidP="00242391">
      <w:pPr>
        <w:spacing w:before="120" w:after="60"/>
        <w:rPr>
          <w:b/>
          <w:caps/>
          <w:sz w:val="20"/>
        </w:rPr>
      </w:pPr>
      <w:r w:rsidRPr="00E91A59">
        <w:rPr>
          <w:b/>
          <w:sz w:val="20"/>
        </w:rPr>
        <w:t xml:space="preserve">B: COUNTRY PROGRAMME SECTORAL DATA </w:t>
      </w:r>
      <w:r w:rsidRPr="00E91A59">
        <w:rPr>
          <w:b/>
          <w:caps/>
          <w:sz w:val="20"/>
        </w:rPr>
        <w:t>(</w:t>
      </w:r>
      <w:r>
        <w:rPr>
          <w:b/>
          <w:caps/>
          <w:sz w:val="20"/>
        </w:rPr>
        <w:t>MT, 2017)</w:t>
      </w:r>
    </w:p>
    <w:tbl>
      <w:tblPr>
        <w:tblStyle w:val="TableGrid"/>
        <w:tblW w:w="9354" w:type="dxa"/>
        <w:jc w:val="center"/>
        <w:tblLayout w:type="fixed"/>
        <w:tblLook w:val="01E0" w:firstRow="1" w:lastRow="1" w:firstColumn="1" w:lastColumn="1" w:noHBand="0" w:noVBand="0"/>
      </w:tblPr>
      <w:tblGrid>
        <w:gridCol w:w="8075"/>
        <w:gridCol w:w="1279"/>
      </w:tblGrid>
      <w:tr w:rsidR="00242391" w:rsidRPr="003F0F38" w:rsidTr="000D7AE5">
        <w:trPr>
          <w:jc w:val="center"/>
        </w:trPr>
        <w:tc>
          <w:tcPr>
            <w:tcW w:w="8075" w:type="dxa"/>
            <w:tcBorders>
              <w:right w:val="single" w:sz="4" w:space="0" w:color="auto"/>
            </w:tcBorders>
          </w:tcPr>
          <w:p w:rsidR="00242391" w:rsidRPr="003F0F38" w:rsidRDefault="00242391" w:rsidP="000D7AE5">
            <w:pPr>
              <w:rPr>
                <w:sz w:val="20"/>
              </w:rPr>
            </w:pPr>
            <w:r w:rsidRPr="003F0F38">
              <w:rPr>
                <w:sz w:val="20"/>
              </w:rPr>
              <w:t>HFCs</w:t>
            </w:r>
          </w:p>
        </w:tc>
        <w:tc>
          <w:tcPr>
            <w:tcW w:w="1279" w:type="dxa"/>
            <w:tcBorders>
              <w:left w:val="single" w:sz="4" w:space="0" w:color="auto"/>
              <w:right w:val="single" w:sz="4" w:space="0" w:color="auto"/>
            </w:tcBorders>
            <w:shd w:val="clear" w:color="auto" w:fill="auto"/>
          </w:tcPr>
          <w:p w:rsidR="00242391" w:rsidRPr="003F0F38" w:rsidRDefault="00242391" w:rsidP="000D7AE5">
            <w:pPr>
              <w:jc w:val="right"/>
              <w:rPr>
                <w:sz w:val="20"/>
              </w:rPr>
            </w:pPr>
            <w:r>
              <w:rPr>
                <w:sz w:val="20"/>
              </w:rPr>
              <w:t>n/a</w:t>
            </w:r>
          </w:p>
        </w:tc>
      </w:tr>
    </w:tbl>
    <w:p w:rsidR="00242391" w:rsidRPr="003F0F38" w:rsidRDefault="00242391" w:rsidP="00242391">
      <w:pPr>
        <w:rPr>
          <w:sz w:val="20"/>
        </w:rPr>
      </w:pPr>
    </w:p>
    <w:tbl>
      <w:tblPr>
        <w:tblStyle w:val="TableGrid"/>
        <w:tblW w:w="0" w:type="auto"/>
        <w:jc w:val="center"/>
        <w:tblLook w:val="01E0" w:firstRow="1" w:lastRow="1" w:firstColumn="1" w:lastColumn="1" w:noHBand="0" w:noVBand="0"/>
      </w:tblPr>
      <w:tblGrid>
        <w:gridCol w:w="8075"/>
        <w:gridCol w:w="1275"/>
      </w:tblGrid>
      <w:tr w:rsidR="00242391" w:rsidRPr="003F0F38" w:rsidTr="000D7AE5">
        <w:trPr>
          <w:jc w:val="center"/>
        </w:trPr>
        <w:tc>
          <w:tcPr>
            <w:tcW w:w="8075" w:type="dxa"/>
          </w:tcPr>
          <w:p w:rsidR="00242391" w:rsidRPr="007724F1" w:rsidRDefault="00242391" w:rsidP="000D7AE5">
            <w:pPr>
              <w:rPr>
                <w:b/>
                <w:sz w:val="20"/>
              </w:rPr>
            </w:pPr>
            <w:r w:rsidRPr="007724F1">
              <w:rPr>
                <w:b/>
                <w:sz w:val="20"/>
              </w:rPr>
              <w:t>HFC consumption remaining eligible for funding (</w:t>
            </w:r>
            <w:proofErr w:type="spellStart"/>
            <w:r>
              <w:rPr>
                <w:b/>
                <w:sz w:val="20"/>
              </w:rPr>
              <w:t>mt</w:t>
            </w:r>
            <w:proofErr w:type="spellEnd"/>
            <w:r w:rsidRPr="007724F1">
              <w:rPr>
                <w:b/>
                <w:sz w:val="20"/>
              </w:rPr>
              <w:t>)</w:t>
            </w:r>
          </w:p>
        </w:tc>
        <w:tc>
          <w:tcPr>
            <w:tcW w:w="1275" w:type="dxa"/>
          </w:tcPr>
          <w:p w:rsidR="00242391" w:rsidRPr="003F0F38" w:rsidRDefault="00242391" w:rsidP="000D7AE5">
            <w:pPr>
              <w:jc w:val="right"/>
              <w:rPr>
                <w:sz w:val="20"/>
              </w:rPr>
            </w:pPr>
            <w:r w:rsidRPr="003F0F38">
              <w:rPr>
                <w:sz w:val="20"/>
              </w:rPr>
              <w:t>n/a</w:t>
            </w:r>
          </w:p>
        </w:tc>
      </w:tr>
    </w:tbl>
    <w:p w:rsidR="00242391" w:rsidRPr="003F0F38" w:rsidRDefault="00242391" w:rsidP="00242391">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3807"/>
        <w:gridCol w:w="1299"/>
        <w:gridCol w:w="2322"/>
        <w:gridCol w:w="1922"/>
      </w:tblGrid>
      <w:tr w:rsidR="00242391" w:rsidRPr="003F0F38" w:rsidTr="000D7AE5">
        <w:trPr>
          <w:trHeight w:val="248"/>
        </w:trPr>
        <w:tc>
          <w:tcPr>
            <w:tcW w:w="3807" w:type="dxa"/>
            <w:vMerge w:val="restart"/>
            <w:tcBorders>
              <w:right w:val="single" w:sz="4" w:space="0" w:color="auto"/>
            </w:tcBorders>
            <w:vAlign w:val="center"/>
          </w:tcPr>
          <w:p w:rsidR="00242391" w:rsidRPr="00C044C6" w:rsidRDefault="00242391" w:rsidP="000D7AE5">
            <w:pPr>
              <w:jc w:val="left"/>
              <w:rPr>
                <w:b/>
                <w:i/>
                <w:sz w:val="20"/>
              </w:rPr>
            </w:pPr>
            <w:r w:rsidRPr="00C044C6">
              <w:rPr>
                <w:b/>
                <w:caps/>
                <w:sz w:val="20"/>
              </w:rPr>
              <w:t>Current year Business Plan ALLOCATIONS</w:t>
            </w:r>
          </w:p>
        </w:tc>
        <w:tc>
          <w:tcPr>
            <w:tcW w:w="1299" w:type="dxa"/>
            <w:tcBorders>
              <w:left w:val="single" w:sz="4" w:space="0" w:color="auto"/>
              <w:right w:val="single" w:sz="4" w:space="0" w:color="auto"/>
            </w:tcBorders>
          </w:tcPr>
          <w:p w:rsidR="00242391" w:rsidRPr="00C044C6" w:rsidRDefault="00242391" w:rsidP="000D7AE5">
            <w:pPr>
              <w:rPr>
                <w:b/>
                <w:i/>
                <w:sz w:val="20"/>
              </w:rPr>
            </w:pPr>
          </w:p>
        </w:tc>
        <w:tc>
          <w:tcPr>
            <w:tcW w:w="2322" w:type="dxa"/>
            <w:tcBorders>
              <w:left w:val="single" w:sz="4" w:space="0" w:color="auto"/>
              <w:right w:val="single" w:sz="4" w:space="0" w:color="auto"/>
            </w:tcBorders>
          </w:tcPr>
          <w:p w:rsidR="00242391" w:rsidRPr="00C044C6" w:rsidRDefault="00242391" w:rsidP="000D7AE5">
            <w:pPr>
              <w:jc w:val="center"/>
              <w:rPr>
                <w:b/>
                <w:i/>
                <w:sz w:val="20"/>
              </w:rPr>
            </w:pPr>
            <w:r w:rsidRPr="00C044C6">
              <w:rPr>
                <w:b/>
                <w:sz w:val="20"/>
              </w:rPr>
              <w:t xml:space="preserve">Funding </w:t>
            </w:r>
            <w:r w:rsidR="00C52303">
              <w:rPr>
                <w:b/>
                <w:sz w:val="20"/>
              </w:rPr>
              <w:t>US $</w:t>
            </w:r>
          </w:p>
        </w:tc>
        <w:tc>
          <w:tcPr>
            <w:tcW w:w="1922" w:type="dxa"/>
            <w:tcBorders>
              <w:left w:val="single" w:sz="4" w:space="0" w:color="auto"/>
            </w:tcBorders>
          </w:tcPr>
          <w:p w:rsidR="00242391" w:rsidRPr="00C044C6" w:rsidRDefault="00242391" w:rsidP="000D7AE5">
            <w:pPr>
              <w:jc w:val="center"/>
              <w:rPr>
                <w:b/>
                <w:i/>
                <w:sz w:val="20"/>
              </w:rPr>
            </w:pPr>
            <w:r w:rsidRPr="00C044C6">
              <w:rPr>
                <w:b/>
                <w:sz w:val="20"/>
              </w:rPr>
              <w:t xml:space="preserve">Phase-out </w:t>
            </w:r>
            <w:proofErr w:type="spellStart"/>
            <w:r>
              <w:rPr>
                <w:b/>
                <w:sz w:val="20"/>
              </w:rPr>
              <w:t>mt</w:t>
            </w:r>
            <w:proofErr w:type="spellEnd"/>
          </w:p>
        </w:tc>
      </w:tr>
      <w:tr w:rsidR="00242391" w:rsidRPr="003F0F38" w:rsidTr="000D7AE5">
        <w:trPr>
          <w:trHeight w:val="172"/>
        </w:trPr>
        <w:tc>
          <w:tcPr>
            <w:tcW w:w="3807" w:type="dxa"/>
            <w:vMerge/>
            <w:tcBorders>
              <w:right w:val="single" w:sz="4" w:space="0" w:color="auto"/>
            </w:tcBorders>
          </w:tcPr>
          <w:p w:rsidR="00242391" w:rsidRPr="003F0F38" w:rsidRDefault="00242391" w:rsidP="000D7AE5">
            <w:pPr>
              <w:rPr>
                <w:sz w:val="20"/>
              </w:rPr>
            </w:pPr>
          </w:p>
        </w:tc>
        <w:tc>
          <w:tcPr>
            <w:tcW w:w="1299" w:type="dxa"/>
            <w:tcBorders>
              <w:left w:val="single" w:sz="4" w:space="0" w:color="auto"/>
              <w:right w:val="single" w:sz="4" w:space="0" w:color="auto"/>
            </w:tcBorders>
          </w:tcPr>
          <w:p w:rsidR="00242391" w:rsidRPr="007C5538" w:rsidRDefault="00242391" w:rsidP="00242391">
            <w:pPr>
              <w:pStyle w:val="ListParagraph"/>
              <w:numPr>
                <w:ilvl w:val="0"/>
                <w:numId w:val="32"/>
              </w:numPr>
              <w:rPr>
                <w:sz w:val="20"/>
              </w:rPr>
            </w:pPr>
            <w:proofErr w:type="spellStart"/>
            <w:r>
              <w:rPr>
                <w:sz w:val="20"/>
              </w:rPr>
              <w:t>Ecasa</w:t>
            </w:r>
            <w:proofErr w:type="spellEnd"/>
          </w:p>
        </w:tc>
        <w:tc>
          <w:tcPr>
            <w:tcW w:w="2322" w:type="dxa"/>
            <w:tcBorders>
              <w:left w:val="single" w:sz="4" w:space="0" w:color="auto"/>
              <w:right w:val="single" w:sz="4" w:space="0" w:color="auto"/>
            </w:tcBorders>
          </w:tcPr>
          <w:p w:rsidR="00242391" w:rsidRPr="003F0F38" w:rsidRDefault="00242391" w:rsidP="000D7AE5">
            <w:pPr>
              <w:jc w:val="right"/>
              <w:rPr>
                <w:sz w:val="20"/>
              </w:rPr>
            </w:pPr>
            <w:r>
              <w:rPr>
                <w:sz w:val="20"/>
              </w:rPr>
              <w:t>71,71</w:t>
            </w:r>
            <w:r w:rsidRPr="003F0F38">
              <w:rPr>
                <w:sz w:val="20"/>
              </w:rPr>
              <w:t>0</w:t>
            </w:r>
          </w:p>
        </w:tc>
        <w:tc>
          <w:tcPr>
            <w:tcW w:w="1922" w:type="dxa"/>
            <w:tcBorders>
              <w:left w:val="single" w:sz="4" w:space="0" w:color="auto"/>
            </w:tcBorders>
          </w:tcPr>
          <w:p w:rsidR="00242391" w:rsidRPr="003F0F38" w:rsidRDefault="00242391" w:rsidP="000D7AE5">
            <w:pPr>
              <w:jc w:val="right"/>
              <w:rPr>
                <w:sz w:val="20"/>
              </w:rPr>
            </w:pPr>
            <w:r>
              <w:rPr>
                <w:sz w:val="20"/>
              </w:rPr>
              <w:t>8.8</w:t>
            </w:r>
            <w:r w:rsidRPr="003F0F38">
              <w:rPr>
                <w:sz w:val="20"/>
              </w:rPr>
              <w:t>0</w:t>
            </w:r>
          </w:p>
        </w:tc>
      </w:tr>
      <w:tr w:rsidR="00242391" w:rsidRPr="003F0F38" w:rsidTr="000D7AE5">
        <w:trPr>
          <w:trHeight w:val="172"/>
        </w:trPr>
        <w:tc>
          <w:tcPr>
            <w:tcW w:w="3807" w:type="dxa"/>
            <w:vMerge/>
            <w:tcBorders>
              <w:right w:val="single" w:sz="4" w:space="0" w:color="auto"/>
            </w:tcBorders>
          </w:tcPr>
          <w:p w:rsidR="00242391" w:rsidRPr="003F0F38" w:rsidRDefault="00242391" w:rsidP="000D7AE5">
            <w:pPr>
              <w:rPr>
                <w:sz w:val="20"/>
              </w:rPr>
            </w:pPr>
          </w:p>
        </w:tc>
        <w:tc>
          <w:tcPr>
            <w:tcW w:w="1299" w:type="dxa"/>
            <w:tcBorders>
              <w:left w:val="single" w:sz="4" w:space="0" w:color="auto"/>
              <w:right w:val="single" w:sz="4" w:space="0" w:color="auto"/>
            </w:tcBorders>
          </w:tcPr>
          <w:p w:rsidR="00242391" w:rsidRPr="007C5538" w:rsidRDefault="00242391" w:rsidP="00242391">
            <w:pPr>
              <w:pStyle w:val="ListParagraph"/>
              <w:numPr>
                <w:ilvl w:val="0"/>
                <w:numId w:val="32"/>
              </w:numPr>
              <w:rPr>
                <w:sz w:val="20"/>
              </w:rPr>
            </w:pPr>
            <w:proofErr w:type="spellStart"/>
            <w:r>
              <w:rPr>
                <w:sz w:val="20"/>
              </w:rPr>
              <w:t>Induglob</w:t>
            </w:r>
            <w:proofErr w:type="spellEnd"/>
          </w:p>
        </w:tc>
        <w:tc>
          <w:tcPr>
            <w:tcW w:w="2322" w:type="dxa"/>
            <w:tcBorders>
              <w:left w:val="single" w:sz="4" w:space="0" w:color="auto"/>
              <w:right w:val="single" w:sz="4" w:space="0" w:color="auto"/>
            </w:tcBorders>
          </w:tcPr>
          <w:p w:rsidR="00242391" w:rsidRDefault="00242391" w:rsidP="000D7AE5">
            <w:pPr>
              <w:jc w:val="right"/>
              <w:rPr>
                <w:sz w:val="20"/>
              </w:rPr>
            </w:pPr>
            <w:r>
              <w:rPr>
                <w:sz w:val="20"/>
              </w:rPr>
              <w:t>0</w:t>
            </w:r>
          </w:p>
        </w:tc>
        <w:tc>
          <w:tcPr>
            <w:tcW w:w="1922" w:type="dxa"/>
            <w:tcBorders>
              <w:left w:val="single" w:sz="4" w:space="0" w:color="auto"/>
            </w:tcBorders>
          </w:tcPr>
          <w:p w:rsidR="00242391" w:rsidRDefault="00242391" w:rsidP="000D7AE5">
            <w:pPr>
              <w:jc w:val="right"/>
              <w:rPr>
                <w:sz w:val="20"/>
              </w:rPr>
            </w:pPr>
            <w:r>
              <w:rPr>
                <w:sz w:val="20"/>
              </w:rPr>
              <w:t>0</w:t>
            </w:r>
          </w:p>
        </w:tc>
      </w:tr>
    </w:tbl>
    <w:p w:rsidR="00242391" w:rsidRDefault="00242391" w:rsidP="0024239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57"/>
        <w:gridCol w:w="2983"/>
        <w:gridCol w:w="1273"/>
        <w:gridCol w:w="1230"/>
        <w:gridCol w:w="1230"/>
        <w:gridCol w:w="1777"/>
      </w:tblGrid>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Pr="0015107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p>
        </w:tc>
        <w:tc>
          <w:tcPr>
            <w:tcW w:w="1316" w:type="pct"/>
            <w:gridSpan w:val="2"/>
            <w:tcBorders>
              <w:top w:val="single" w:sz="4" w:space="0" w:color="auto"/>
              <w:left w:val="single" w:sz="4" w:space="0" w:color="auto"/>
              <w:bottom w:val="single" w:sz="4" w:space="0" w:color="auto"/>
              <w:right w:val="single" w:sz="4" w:space="0" w:color="auto"/>
            </w:tcBorders>
          </w:tcPr>
          <w:p w:rsidR="00242391" w:rsidRPr="00835F5E"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Pr>
                <w:rFonts w:eastAsia="Calibri"/>
                <w:b/>
                <w:sz w:val="20"/>
                <w:lang w:val="en-CA"/>
              </w:rPr>
              <w:t xml:space="preserve">(a) </w:t>
            </w:r>
            <w:proofErr w:type="spellStart"/>
            <w:r>
              <w:rPr>
                <w:rFonts w:eastAsia="Calibri"/>
                <w:b/>
                <w:sz w:val="20"/>
                <w:lang w:val="en-CA"/>
              </w:rPr>
              <w:t>Ecasa</w:t>
            </w:r>
            <w:proofErr w:type="spellEnd"/>
          </w:p>
        </w:tc>
        <w:tc>
          <w:tcPr>
            <w:tcW w:w="950" w:type="pct"/>
            <w:tcBorders>
              <w:top w:val="single" w:sz="4" w:space="0" w:color="auto"/>
              <w:left w:val="single" w:sz="4" w:space="0" w:color="auto"/>
              <w:bottom w:val="single" w:sz="4" w:space="0" w:color="auto"/>
              <w:right w:val="single" w:sz="4" w:space="0" w:color="auto"/>
            </w:tcBorders>
          </w:tcPr>
          <w:p w:rsidR="00242391" w:rsidRPr="00835F5E"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Pr>
                <w:rFonts w:eastAsia="Calibri"/>
                <w:b/>
                <w:sz w:val="20"/>
                <w:lang w:val="en-CA"/>
              </w:rPr>
              <w:t xml:space="preserve">(b) </w:t>
            </w:r>
            <w:proofErr w:type="spellStart"/>
            <w:r>
              <w:rPr>
                <w:rFonts w:eastAsia="Calibri"/>
                <w:b/>
                <w:sz w:val="20"/>
                <w:lang w:val="en-CA"/>
              </w:rPr>
              <w:t>Induglob</w:t>
            </w:r>
            <w:proofErr w:type="spellEnd"/>
          </w:p>
        </w:tc>
      </w:tr>
      <w:tr w:rsidR="00242391" w:rsidRPr="00E640EA" w:rsidTr="00F36731">
        <w:trPr>
          <w:jc w:val="center"/>
        </w:trPr>
        <w:tc>
          <w:tcPr>
            <w:tcW w:w="2053" w:type="pct"/>
            <w:gridSpan w:val="2"/>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b/>
                <w:sz w:val="20"/>
                <w:lang w:val="en-CA"/>
              </w:rPr>
            </w:pPr>
            <w:r w:rsidRPr="006266F4">
              <w:rPr>
                <w:rFonts w:eastAsia="Calibri"/>
                <w:b/>
                <w:sz w:val="20"/>
                <w:lang w:val="en-CA"/>
              </w:rPr>
              <w:t>Particular</w:t>
            </w:r>
          </w:p>
        </w:tc>
        <w:tc>
          <w:tcPr>
            <w:tcW w:w="681" w:type="pct"/>
            <w:tcBorders>
              <w:top w:val="single" w:sz="4" w:space="0" w:color="auto"/>
              <w:left w:val="single" w:sz="4" w:space="0" w:color="auto"/>
              <w:bottom w:val="single" w:sz="4" w:space="0" w:color="auto"/>
              <w:right w:val="single" w:sz="4" w:space="0" w:color="auto"/>
            </w:tcBorders>
          </w:tcPr>
          <w:p w:rsidR="00242391" w:rsidRPr="0015107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sidRPr="006266F4">
              <w:rPr>
                <w:rFonts w:eastAsia="Calibri"/>
                <w:b/>
                <w:sz w:val="20"/>
                <w:lang w:val="en-CA"/>
              </w:rPr>
              <w:t>Units</w:t>
            </w:r>
          </w:p>
        </w:tc>
        <w:tc>
          <w:tcPr>
            <w:tcW w:w="658" w:type="pct"/>
            <w:tcBorders>
              <w:top w:val="single" w:sz="4" w:space="0" w:color="auto"/>
              <w:left w:val="single" w:sz="4" w:space="0" w:color="auto"/>
              <w:bottom w:val="single" w:sz="4" w:space="0" w:color="auto"/>
              <w:right w:val="single" w:sz="4" w:space="0" w:color="auto"/>
            </w:tcBorders>
          </w:tcPr>
          <w:p w:rsidR="00242391" w:rsidRPr="00835F5E"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sidRPr="006266F4">
              <w:rPr>
                <w:rFonts w:eastAsia="Calibri"/>
                <w:b/>
                <w:sz w:val="20"/>
                <w:lang w:val="en-CA"/>
              </w:rPr>
              <w:t>HFC-134a</w:t>
            </w:r>
          </w:p>
        </w:tc>
        <w:tc>
          <w:tcPr>
            <w:tcW w:w="658" w:type="pct"/>
            <w:tcBorders>
              <w:top w:val="single" w:sz="4" w:space="0" w:color="auto"/>
              <w:left w:val="single" w:sz="4" w:space="0" w:color="auto"/>
              <w:bottom w:val="single" w:sz="4" w:space="0" w:color="auto"/>
              <w:right w:val="single" w:sz="4" w:space="0" w:color="auto"/>
            </w:tcBorders>
          </w:tcPr>
          <w:p w:rsidR="00242391" w:rsidRPr="00835F5E"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sidRPr="006266F4">
              <w:rPr>
                <w:rFonts w:eastAsia="Calibri"/>
                <w:b/>
                <w:sz w:val="20"/>
                <w:lang w:val="en-CA"/>
              </w:rPr>
              <w:t>R-404A</w:t>
            </w:r>
          </w:p>
        </w:tc>
        <w:tc>
          <w:tcPr>
            <w:tcW w:w="950" w:type="pct"/>
            <w:tcBorders>
              <w:top w:val="single" w:sz="4" w:space="0" w:color="auto"/>
              <w:left w:val="single" w:sz="4" w:space="0" w:color="auto"/>
              <w:bottom w:val="single" w:sz="4" w:space="0" w:color="auto"/>
              <w:right w:val="single" w:sz="4" w:space="0" w:color="auto"/>
            </w:tcBorders>
          </w:tcPr>
          <w:p w:rsidR="00242391" w:rsidRPr="006266F4"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Pr>
                <w:rFonts w:eastAsia="Calibri"/>
                <w:b/>
                <w:sz w:val="20"/>
                <w:lang w:val="en-CA"/>
              </w:rPr>
              <w:t>HFC-134a</w:t>
            </w:r>
          </w:p>
        </w:tc>
      </w:tr>
      <w:tr w:rsidR="00242391" w:rsidRPr="00E640EA" w:rsidTr="00F36731">
        <w:trPr>
          <w:jc w:val="center"/>
        </w:trPr>
        <w:tc>
          <w:tcPr>
            <w:tcW w:w="2053" w:type="pct"/>
            <w:gridSpan w:val="2"/>
            <w:vMerge w:val="restart"/>
            <w:tcBorders>
              <w:top w:val="single" w:sz="4" w:space="0" w:color="auto"/>
              <w:left w:val="single" w:sz="4" w:space="0" w:color="auto"/>
              <w:right w:val="single" w:sz="4" w:space="0" w:color="auto"/>
            </w:tcBorders>
            <w:vAlign w:val="center"/>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4920"/>
                <w:tab w:val="left" w:pos="5042"/>
              </w:tabs>
              <w:jc w:val="left"/>
              <w:rPr>
                <w:rFonts w:eastAsia="Calibri"/>
                <w:sz w:val="20"/>
                <w:lang w:val="en-CA"/>
              </w:rPr>
            </w:pPr>
            <w:r w:rsidRPr="00E640EA">
              <w:rPr>
                <w:sz w:val="20"/>
              </w:rPr>
              <w:t>HFC used at enterprise</w:t>
            </w:r>
            <w:r>
              <w:rPr>
                <w:rFonts w:eastAsia="Calibri"/>
                <w:sz w:val="20"/>
                <w:lang w:val="en-CA"/>
              </w:rPr>
              <w:t>:</w:t>
            </w:r>
          </w:p>
        </w:tc>
        <w:tc>
          <w:tcPr>
            <w:tcW w:w="681"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mt</w:t>
            </w:r>
            <w:proofErr w:type="spellEnd"/>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2.32</w:t>
            </w:r>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3.52</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19.80</w:t>
            </w:r>
          </w:p>
        </w:tc>
      </w:tr>
      <w:tr w:rsidR="00242391" w:rsidRPr="00E640EA" w:rsidTr="00F36731">
        <w:trPr>
          <w:jc w:val="center"/>
        </w:trPr>
        <w:tc>
          <w:tcPr>
            <w:tcW w:w="2053" w:type="pct"/>
            <w:gridSpan w:val="2"/>
            <w:vMerge/>
            <w:tcBorders>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681"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Pr>
                <w:rFonts w:eastAsia="Calibri"/>
                <w:sz w:val="20"/>
                <w:vertAlign w:val="subscript"/>
                <w:lang w:val="en-CA"/>
              </w:rPr>
              <w:t xml:space="preserve"> </w:t>
            </w:r>
            <w:r>
              <w:rPr>
                <w:rFonts w:eastAsia="Calibri"/>
                <w:sz w:val="20"/>
                <w:lang w:val="en-CA"/>
              </w:rPr>
              <w:t>-</w:t>
            </w:r>
            <w:proofErr w:type="spellStart"/>
            <w:r>
              <w:rPr>
                <w:rFonts w:eastAsia="Calibri"/>
                <w:sz w:val="20"/>
                <w:lang w:val="en-CA"/>
              </w:rPr>
              <w:t>e</w:t>
            </w:r>
            <w:r w:rsidRPr="00E640EA">
              <w:rPr>
                <w:rFonts w:eastAsia="Calibri"/>
                <w:sz w:val="20"/>
                <w:lang w:val="en-CA"/>
              </w:rPr>
              <w:t>q</w:t>
            </w:r>
            <w:proofErr w:type="spellEnd"/>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3,317.60</w:t>
            </w:r>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13,805.44</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28,314</w:t>
            </w:r>
          </w:p>
        </w:tc>
      </w:tr>
      <w:tr w:rsidR="00242391" w:rsidRPr="00E640EA" w:rsidTr="00F36731">
        <w:trPr>
          <w:jc w:val="center"/>
        </w:trPr>
        <w:tc>
          <w:tcPr>
            <w:tcW w:w="2053" w:type="pct"/>
            <w:gridSpan w:val="2"/>
            <w:vMerge w:val="restart"/>
            <w:tcBorders>
              <w:top w:val="single" w:sz="4" w:space="0" w:color="auto"/>
              <w:left w:val="single" w:sz="4" w:space="0" w:color="auto"/>
              <w:right w:val="single" w:sz="4" w:space="0" w:color="auto"/>
            </w:tcBorders>
            <w:vAlign w:val="center"/>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HFC to be phased out through this project:</w:t>
            </w:r>
          </w:p>
        </w:tc>
        <w:tc>
          <w:tcPr>
            <w:tcW w:w="681"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w:t>
            </w:r>
            <w:r w:rsidRPr="00E640EA">
              <w:rPr>
                <w:rFonts w:eastAsia="Calibri"/>
                <w:sz w:val="20"/>
                <w:lang w:val="en-CA"/>
              </w:rPr>
              <w:t>t</w:t>
            </w:r>
            <w:proofErr w:type="spellEnd"/>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2.32</w:t>
            </w:r>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3.52</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19.80</w:t>
            </w:r>
          </w:p>
        </w:tc>
      </w:tr>
      <w:tr w:rsidR="00242391" w:rsidRPr="00E640EA" w:rsidTr="00F36731">
        <w:trPr>
          <w:jc w:val="center"/>
        </w:trPr>
        <w:tc>
          <w:tcPr>
            <w:tcW w:w="2053" w:type="pct"/>
            <w:gridSpan w:val="2"/>
            <w:vMerge/>
            <w:tcBorders>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681"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Pr>
                <w:rFonts w:eastAsia="Calibri"/>
                <w:sz w:val="20"/>
                <w:lang w:val="en-CA"/>
              </w:rPr>
              <w:t>-e</w:t>
            </w:r>
            <w:r w:rsidRPr="00E640EA">
              <w:rPr>
                <w:rFonts w:eastAsia="Calibri"/>
                <w:sz w:val="20"/>
                <w:lang w:val="en-CA"/>
              </w:rPr>
              <w:t>q</w:t>
            </w:r>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3,317.60</w:t>
            </w:r>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13,805.44</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28,314</w:t>
            </w:r>
          </w:p>
        </w:tc>
      </w:tr>
      <w:tr w:rsidR="00242391" w:rsidRPr="00E640EA" w:rsidTr="00F36731">
        <w:trPr>
          <w:jc w:val="center"/>
        </w:trPr>
        <w:tc>
          <w:tcPr>
            <w:tcW w:w="2053" w:type="pct"/>
            <w:gridSpan w:val="2"/>
            <w:vMerge w:val="restart"/>
            <w:tcBorders>
              <w:top w:val="single" w:sz="4" w:space="0" w:color="auto"/>
              <w:left w:val="single" w:sz="4" w:space="0" w:color="auto"/>
              <w:right w:val="single" w:sz="4" w:space="0" w:color="auto"/>
            </w:tcBorders>
            <w:vAlign w:val="center"/>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Pr>
                <w:rFonts w:eastAsia="Calibri"/>
                <w:sz w:val="20"/>
                <w:lang w:val="en-CA"/>
              </w:rPr>
              <w:t xml:space="preserve">HFC/alternatives </w:t>
            </w:r>
            <w:r w:rsidRPr="00E640EA">
              <w:rPr>
                <w:rFonts w:eastAsia="Calibri"/>
                <w:sz w:val="20"/>
                <w:lang w:val="en-CA"/>
              </w:rPr>
              <w:t>to be phased in:</w:t>
            </w:r>
          </w:p>
        </w:tc>
        <w:tc>
          <w:tcPr>
            <w:tcW w:w="681" w:type="pct"/>
            <w:tcBorders>
              <w:top w:val="single" w:sz="4" w:space="0" w:color="auto"/>
              <w:left w:val="single" w:sz="4" w:space="0" w:color="auto"/>
              <w:bottom w:val="single" w:sz="4" w:space="0" w:color="auto"/>
              <w:right w:val="single" w:sz="4" w:space="0" w:color="auto"/>
            </w:tcBorders>
          </w:tcPr>
          <w:p w:rsidR="00242391" w:rsidRPr="0015107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sidRPr="00151071">
              <w:rPr>
                <w:rFonts w:eastAsia="Calibri"/>
                <w:b/>
                <w:sz w:val="20"/>
                <w:lang w:val="en-CA"/>
              </w:rPr>
              <w:t>Units</w:t>
            </w:r>
          </w:p>
        </w:tc>
        <w:tc>
          <w:tcPr>
            <w:tcW w:w="658" w:type="pct"/>
            <w:tcBorders>
              <w:top w:val="single" w:sz="4" w:space="0" w:color="auto"/>
              <w:left w:val="single" w:sz="4" w:space="0" w:color="auto"/>
              <w:bottom w:val="single" w:sz="4" w:space="0" w:color="auto"/>
              <w:right w:val="single" w:sz="4" w:space="0" w:color="auto"/>
            </w:tcBorders>
          </w:tcPr>
          <w:p w:rsidR="00242391" w:rsidRPr="00835F5E"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sidRPr="00835F5E">
              <w:rPr>
                <w:rFonts w:eastAsia="Calibri"/>
                <w:b/>
                <w:sz w:val="20"/>
                <w:lang w:val="en-CA"/>
              </w:rPr>
              <w:t>R-600a</w:t>
            </w:r>
          </w:p>
        </w:tc>
        <w:tc>
          <w:tcPr>
            <w:tcW w:w="658" w:type="pct"/>
            <w:tcBorders>
              <w:top w:val="single" w:sz="4" w:space="0" w:color="auto"/>
              <w:left w:val="single" w:sz="4" w:space="0" w:color="auto"/>
              <w:bottom w:val="single" w:sz="4" w:space="0" w:color="auto"/>
              <w:right w:val="single" w:sz="4" w:space="0" w:color="auto"/>
            </w:tcBorders>
          </w:tcPr>
          <w:p w:rsidR="00242391" w:rsidRPr="00835F5E"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sidRPr="00835F5E">
              <w:rPr>
                <w:rFonts w:eastAsia="Calibri"/>
                <w:b/>
                <w:sz w:val="20"/>
                <w:lang w:val="en-CA"/>
              </w:rPr>
              <w:t>R-290</w:t>
            </w:r>
          </w:p>
        </w:tc>
        <w:tc>
          <w:tcPr>
            <w:tcW w:w="950" w:type="pct"/>
            <w:tcBorders>
              <w:top w:val="single" w:sz="4" w:space="0" w:color="auto"/>
              <w:left w:val="single" w:sz="4" w:space="0" w:color="auto"/>
              <w:bottom w:val="single" w:sz="4" w:space="0" w:color="auto"/>
              <w:right w:val="single" w:sz="4" w:space="0" w:color="auto"/>
            </w:tcBorders>
          </w:tcPr>
          <w:p w:rsidR="00242391" w:rsidRPr="00835F5E"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b/>
                <w:sz w:val="20"/>
                <w:lang w:val="en-CA"/>
              </w:rPr>
            </w:pPr>
            <w:r w:rsidRPr="00782A64">
              <w:rPr>
                <w:rFonts w:eastAsia="Calibri"/>
                <w:b/>
                <w:sz w:val="20"/>
                <w:lang w:val="en-CA"/>
              </w:rPr>
              <w:t>R-600a and R-290</w:t>
            </w:r>
          </w:p>
        </w:tc>
      </w:tr>
      <w:tr w:rsidR="00242391" w:rsidRPr="00E640EA" w:rsidTr="00F36731">
        <w:trPr>
          <w:jc w:val="center"/>
        </w:trPr>
        <w:tc>
          <w:tcPr>
            <w:tcW w:w="2053" w:type="pct"/>
            <w:gridSpan w:val="2"/>
            <w:vMerge/>
            <w:tcBorders>
              <w:top w:val="single" w:sz="4" w:space="0" w:color="auto"/>
              <w:left w:val="single" w:sz="4" w:space="0" w:color="auto"/>
              <w:right w:val="single" w:sz="4" w:space="0" w:color="auto"/>
            </w:tcBorders>
            <w:vAlign w:val="center"/>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681"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w:t>
            </w:r>
            <w:r w:rsidRPr="00E640EA">
              <w:rPr>
                <w:rFonts w:eastAsia="Calibri"/>
                <w:sz w:val="20"/>
                <w:lang w:val="en-CA"/>
              </w:rPr>
              <w:t>t</w:t>
            </w:r>
            <w:proofErr w:type="spellEnd"/>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1.16</w:t>
            </w:r>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1.76</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9.00</w:t>
            </w:r>
          </w:p>
        </w:tc>
      </w:tr>
      <w:tr w:rsidR="00242391" w:rsidRPr="00E640EA" w:rsidTr="00F36731">
        <w:trPr>
          <w:jc w:val="center"/>
        </w:trPr>
        <w:tc>
          <w:tcPr>
            <w:tcW w:w="2053" w:type="pct"/>
            <w:gridSpan w:val="2"/>
            <w:vMerge/>
            <w:tcBorders>
              <w:left w:val="single" w:sz="4" w:space="0" w:color="auto"/>
              <w:bottom w:val="single" w:sz="4" w:space="0" w:color="auto"/>
              <w:right w:val="single" w:sz="4" w:space="0" w:color="auto"/>
            </w:tcBorders>
            <w:vAlign w:val="center"/>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681"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Pr>
                <w:rFonts w:eastAsia="Calibri"/>
                <w:sz w:val="20"/>
                <w:lang w:val="en-CA"/>
              </w:rPr>
              <w:t>-e</w:t>
            </w:r>
            <w:r w:rsidRPr="00E640EA">
              <w:rPr>
                <w:rFonts w:eastAsia="Calibri"/>
                <w:sz w:val="20"/>
                <w:lang w:val="en-CA"/>
              </w:rPr>
              <w:t>q</w:t>
            </w:r>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3.48</w:t>
            </w:r>
          </w:p>
        </w:tc>
        <w:tc>
          <w:tcPr>
            <w:tcW w:w="658" w:type="pct"/>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5.28</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27.00</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nil"/>
            </w:tcBorders>
          </w:tcPr>
          <w:p w:rsidR="00242391" w:rsidRDefault="00242391" w:rsidP="000D7AE5">
            <w:pPr>
              <w:jc w:val="left"/>
              <w:rPr>
                <w:rFonts w:eastAsia="Calibri"/>
                <w:sz w:val="20"/>
                <w:lang w:val="en-CA"/>
              </w:rPr>
            </w:pPr>
            <w:r w:rsidRPr="00E640EA">
              <w:rPr>
                <w:rFonts w:eastAsia="Calibri"/>
                <w:sz w:val="20"/>
                <w:lang w:val="en-CA"/>
              </w:rPr>
              <w:t>Project duration (months):</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242391" w:rsidP="000D7AE5">
            <w:pPr>
              <w:jc w:val="right"/>
              <w:rPr>
                <w:rFonts w:eastAsia="Calibri"/>
                <w:sz w:val="20"/>
                <w:lang w:val="en-CA"/>
              </w:rPr>
            </w:pPr>
            <w:r>
              <w:rPr>
                <w:rFonts w:eastAsia="Calibri"/>
                <w:sz w:val="20"/>
                <w:lang w:val="en-CA"/>
              </w:rPr>
              <w:t>24</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jc w:val="right"/>
              <w:rPr>
                <w:rFonts w:eastAsia="Calibri"/>
                <w:sz w:val="20"/>
                <w:lang w:val="en-CA"/>
              </w:rPr>
            </w:pPr>
            <w:r>
              <w:rPr>
                <w:rFonts w:eastAsia="Calibri"/>
                <w:sz w:val="20"/>
                <w:lang w:val="en-CA"/>
              </w:rPr>
              <w:t>24</w:t>
            </w:r>
          </w:p>
        </w:tc>
      </w:tr>
      <w:tr w:rsidR="00242391" w:rsidRPr="00344F2C" w:rsidTr="00F36731">
        <w:trPr>
          <w:jc w:val="center"/>
        </w:trPr>
        <w:tc>
          <w:tcPr>
            <w:tcW w:w="2734" w:type="pct"/>
            <w:gridSpan w:val="3"/>
            <w:tcBorders>
              <w:top w:val="single" w:sz="4" w:space="0" w:color="auto"/>
              <w:left w:val="single" w:sz="4" w:space="0" w:color="auto"/>
              <w:bottom w:val="single" w:sz="4" w:space="0" w:color="auto"/>
              <w:right w:val="nil"/>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highlight w:val="cyan"/>
                <w:lang w:val="en-CA"/>
              </w:rPr>
            </w:pPr>
            <w:r w:rsidRPr="00E640EA">
              <w:rPr>
                <w:rFonts w:eastAsia="Calibri"/>
                <w:sz w:val="20"/>
                <w:lang w:val="en-CA"/>
              </w:rPr>
              <w:t>Initial amount requested (</w:t>
            </w:r>
            <w:r w:rsidR="00C52303">
              <w:rPr>
                <w:rFonts w:eastAsia="Calibri"/>
                <w:sz w:val="20"/>
                <w:lang w:val="en-CA"/>
              </w:rPr>
              <w:t>US $</w:t>
            </w:r>
            <w:r w:rsidRPr="00E640EA">
              <w:rPr>
                <w:rFonts w:eastAsia="Calibri"/>
                <w:sz w:val="20"/>
                <w:lang w:val="en-CA"/>
              </w:rPr>
              <w:t>):</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344F2C"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235,190</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319,370</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Pr="00344F2C"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Final project costs (</w:t>
            </w:r>
            <w:r w:rsidR="00C52303">
              <w:rPr>
                <w:rFonts w:eastAsia="Calibri"/>
                <w:sz w:val="20"/>
                <w:lang w:val="en-CA"/>
              </w:rPr>
              <w:t>US $</w:t>
            </w:r>
            <w:r w:rsidRPr="00E640EA">
              <w:rPr>
                <w:rFonts w:eastAsia="Calibri"/>
                <w:sz w:val="20"/>
                <w:lang w:val="en-CA"/>
              </w:rPr>
              <w:t>):</w:t>
            </w:r>
          </w:p>
        </w:tc>
        <w:tc>
          <w:tcPr>
            <w:tcW w:w="2266" w:type="pct"/>
            <w:gridSpan w:val="3"/>
            <w:tcBorders>
              <w:top w:val="single" w:sz="4" w:space="0" w:color="auto"/>
              <w:left w:val="single" w:sz="4" w:space="0" w:color="auto"/>
              <w:bottom w:val="single" w:sz="4" w:space="0" w:color="auto"/>
              <w:right w:val="single" w:sz="4" w:space="0" w:color="auto"/>
            </w:tcBorders>
          </w:tcPr>
          <w:p w:rsidR="00242391" w:rsidRPr="00344F2C"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r>
      <w:tr w:rsidR="00242391" w:rsidRPr="00E640EA" w:rsidTr="00F36731">
        <w:trPr>
          <w:jc w:val="center"/>
        </w:trPr>
        <w:tc>
          <w:tcPr>
            <w:tcW w:w="458" w:type="pct"/>
            <w:tcBorders>
              <w:top w:val="single" w:sz="4" w:space="0" w:color="auto"/>
              <w:left w:val="single" w:sz="4" w:space="0" w:color="auto"/>
              <w:bottom w:val="single" w:sz="4" w:space="0" w:color="auto"/>
              <w:right w:val="nil"/>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2276" w:type="pct"/>
            <w:gridSpan w:val="2"/>
            <w:tcBorders>
              <w:top w:val="single" w:sz="4" w:space="0" w:color="auto"/>
              <w:left w:val="nil"/>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Incremental capital cost</w:t>
            </w:r>
            <w:r>
              <w:rPr>
                <w:rFonts w:eastAsia="Calibri"/>
                <w:sz w:val="20"/>
                <w:lang w:val="en-CA"/>
              </w:rPr>
              <w:t>s</w:t>
            </w:r>
            <w:r w:rsidRPr="00E640EA">
              <w:rPr>
                <w:rFonts w:eastAsia="Calibri"/>
                <w:sz w:val="20"/>
                <w:lang w:val="en-CA"/>
              </w:rPr>
              <w:t>:</w:t>
            </w:r>
          </w:p>
        </w:tc>
        <w:tc>
          <w:tcPr>
            <w:tcW w:w="1316" w:type="pct"/>
            <w:gridSpan w:val="2"/>
            <w:tcBorders>
              <w:top w:val="single" w:sz="4" w:space="0" w:color="auto"/>
              <w:left w:val="nil"/>
              <w:bottom w:val="single" w:sz="4" w:space="0" w:color="auto"/>
              <w:right w:val="single" w:sz="4" w:space="0" w:color="auto"/>
            </w:tcBorders>
          </w:tcPr>
          <w:p w:rsidR="00242391" w:rsidRPr="00344F2C"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184,800</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205,100</w:t>
            </w:r>
          </w:p>
        </w:tc>
      </w:tr>
      <w:tr w:rsidR="00242391" w:rsidRPr="00E640EA" w:rsidTr="00F36731">
        <w:trPr>
          <w:jc w:val="center"/>
        </w:trPr>
        <w:tc>
          <w:tcPr>
            <w:tcW w:w="458" w:type="pct"/>
            <w:tcBorders>
              <w:top w:val="single" w:sz="4" w:space="0" w:color="auto"/>
              <w:left w:val="single" w:sz="4" w:space="0" w:color="auto"/>
              <w:bottom w:val="single" w:sz="4" w:space="0" w:color="auto"/>
              <w:right w:val="nil"/>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2276" w:type="pct"/>
            <w:gridSpan w:val="2"/>
            <w:tcBorders>
              <w:top w:val="single" w:sz="4" w:space="0" w:color="auto"/>
              <w:left w:val="nil"/>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Contingency (10 %):</w:t>
            </w:r>
          </w:p>
        </w:tc>
        <w:tc>
          <w:tcPr>
            <w:tcW w:w="1316" w:type="pct"/>
            <w:gridSpan w:val="2"/>
            <w:tcBorders>
              <w:top w:val="single" w:sz="4" w:space="0" w:color="auto"/>
              <w:left w:val="nil"/>
              <w:bottom w:val="single" w:sz="4" w:space="0" w:color="auto"/>
              <w:right w:val="single" w:sz="4" w:space="0" w:color="auto"/>
            </w:tcBorders>
          </w:tcPr>
          <w:p w:rsidR="00242391" w:rsidRPr="00344F2C"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14,680</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15,560</w:t>
            </w:r>
          </w:p>
        </w:tc>
      </w:tr>
      <w:tr w:rsidR="00242391" w:rsidRPr="00E640EA" w:rsidTr="00F36731">
        <w:trPr>
          <w:jc w:val="center"/>
        </w:trPr>
        <w:tc>
          <w:tcPr>
            <w:tcW w:w="458" w:type="pct"/>
            <w:tcBorders>
              <w:top w:val="single" w:sz="4" w:space="0" w:color="auto"/>
              <w:left w:val="single" w:sz="4" w:space="0" w:color="auto"/>
              <w:bottom w:val="single" w:sz="4" w:space="0" w:color="auto"/>
              <w:right w:val="nil"/>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2276" w:type="pct"/>
            <w:gridSpan w:val="2"/>
            <w:tcBorders>
              <w:top w:val="single" w:sz="4" w:space="0" w:color="auto"/>
              <w:left w:val="nil"/>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Incremental operating cost</w:t>
            </w:r>
            <w:r>
              <w:rPr>
                <w:rFonts w:eastAsia="Calibri"/>
                <w:sz w:val="20"/>
                <w:lang w:val="en-CA"/>
              </w:rPr>
              <w:t>s</w:t>
            </w:r>
            <w:r w:rsidRPr="00E640EA">
              <w:rPr>
                <w:rFonts w:eastAsia="Calibri"/>
                <w:sz w:val="20"/>
                <w:lang w:val="en-CA"/>
              </w:rPr>
              <w:t>:</w:t>
            </w:r>
          </w:p>
        </w:tc>
        <w:tc>
          <w:tcPr>
            <w:tcW w:w="1316" w:type="pct"/>
            <w:gridSpan w:val="2"/>
            <w:tcBorders>
              <w:top w:val="single" w:sz="4" w:space="0" w:color="auto"/>
              <w:left w:val="nil"/>
              <w:bottom w:val="single" w:sz="4" w:space="0" w:color="auto"/>
              <w:right w:val="single" w:sz="4" w:space="0" w:color="auto"/>
            </w:tcBorders>
          </w:tcPr>
          <w:p w:rsidR="00242391" w:rsidRPr="00464D28" w:rsidRDefault="004958C3" w:rsidP="00895F7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sidRPr="00464D28">
              <w:rPr>
                <w:rFonts w:eastAsia="Calibri"/>
                <w:sz w:val="20"/>
                <w:lang w:val="en-CA"/>
              </w:rPr>
              <w:t>*n/a</w:t>
            </w:r>
          </w:p>
        </w:tc>
        <w:tc>
          <w:tcPr>
            <w:tcW w:w="950" w:type="pct"/>
            <w:tcBorders>
              <w:top w:val="single" w:sz="4" w:space="0" w:color="auto"/>
              <w:left w:val="single" w:sz="4" w:space="0" w:color="auto"/>
              <w:bottom w:val="single" w:sz="4" w:space="0" w:color="auto"/>
              <w:right w:val="single" w:sz="4" w:space="0" w:color="auto"/>
            </w:tcBorders>
          </w:tcPr>
          <w:p w:rsidR="00242391" w:rsidRPr="00464D28" w:rsidRDefault="004958C3"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sidRPr="00464D28">
              <w:rPr>
                <w:rFonts w:eastAsia="Calibri"/>
                <w:sz w:val="20"/>
                <w:lang w:val="en-CA"/>
              </w:rPr>
              <w:t>*n/a</w:t>
            </w:r>
          </w:p>
        </w:tc>
      </w:tr>
      <w:tr w:rsidR="00242391" w:rsidRPr="00E640EA" w:rsidTr="00F36731">
        <w:trPr>
          <w:jc w:val="center"/>
        </w:trPr>
        <w:tc>
          <w:tcPr>
            <w:tcW w:w="458" w:type="pct"/>
            <w:tcBorders>
              <w:top w:val="single" w:sz="4" w:space="0" w:color="auto"/>
              <w:left w:val="single" w:sz="4" w:space="0" w:color="auto"/>
              <w:bottom w:val="single" w:sz="4" w:space="0" w:color="auto"/>
              <w:right w:val="nil"/>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2276" w:type="pct"/>
            <w:gridSpan w:val="2"/>
            <w:tcBorders>
              <w:top w:val="single" w:sz="4" w:space="0" w:color="auto"/>
              <w:left w:val="nil"/>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 xml:space="preserve">Total project cost: </w:t>
            </w:r>
          </w:p>
        </w:tc>
        <w:tc>
          <w:tcPr>
            <w:tcW w:w="1316" w:type="pct"/>
            <w:gridSpan w:val="2"/>
            <w:tcBorders>
              <w:top w:val="single" w:sz="4" w:space="0" w:color="auto"/>
              <w:left w:val="nil"/>
              <w:bottom w:val="single" w:sz="4" w:space="0" w:color="auto"/>
              <w:right w:val="single" w:sz="4" w:space="0" w:color="auto"/>
            </w:tcBorders>
          </w:tcPr>
          <w:p w:rsidR="00242391" w:rsidRPr="00464D28" w:rsidRDefault="004958C3" w:rsidP="00895F7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sidRPr="00464D28">
              <w:rPr>
                <w:rFonts w:eastAsia="Calibri"/>
                <w:sz w:val="20"/>
                <w:lang w:val="en-CA"/>
              </w:rPr>
              <w:t>199,480</w:t>
            </w:r>
          </w:p>
        </w:tc>
        <w:tc>
          <w:tcPr>
            <w:tcW w:w="950" w:type="pct"/>
            <w:tcBorders>
              <w:top w:val="single" w:sz="4" w:space="0" w:color="auto"/>
              <w:left w:val="single" w:sz="4" w:space="0" w:color="auto"/>
              <w:bottom w:val="single" w:sz="4" w:space="0" w:color="auto"/>
              <w:right w:val="single" w:sz="4" w:space="0" w:color="auto"/>
            </w:tcBorders>
          </w:tcPr>
          <w:p w:rsidR="00242391" w:rsidRPr="00464D28" w:rsidRDefault="004958C3" w:rsidP="00983C7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sidRPr="00464D28">
              <w:rPr>
                <w:rFonts w:eastAsia="Calibri"/>
                <w:sz w:val="20"/>
                <w:lang w:val="en-CA"/>
              </w:rPr>
              <w:t>220,660</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Default="00242391" w:rsidP="000D7AE5">
            <w:pPr>
              <w:widowControl w:val="0"/>
              <w:tabs>
                <w:tab w:val="center" w:pos="4320"/>
                <w:tab w:val="right" w:pos="8640"/>
                <w:tab w:val="left" w:pos="9000"/>
              </w:tabs>
              <w:jc w:val="left"/>
              <w:rPr>
                <w:rFonts w:eastAsia="Calibri"/>
                <w:snapToGrid w:val="0"/>
                <w:sz w:val="20"/>
                <w:szCs w:val="20"/>
              </w:rPr>
            </w:pPr>
            <w:r w:rsidRPr="00E640EA">
              <w:rPr>
                <w:rFonts w:eastAsia="Calibri"/>
                <w:sz w:val="20"/>
                <w:lang w:val="en-CA"/>
              </w:rPr>
              <w:t>Local ownership (%):</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242391" w:rsidP="000D7AE5">
            <w:pPr>
              <w:widowControl w:val="0"/>
              <w:tabs>
                <w:tab w:val="center" w:pos="4320"/>
                <w:tab w:val="right" w:pos="8640"/>
                <w:tab w:val="left" w:pos="9000"/>
              </w:tabs>
              <w:jc w:val="right"/>
              <w:rPr>
                <w:rFonts w:eastAsia="Calibri"/>
                <w:snapToGrid w:val="0"/>
                <w:sz w:val="20"/>
                <w:szCs w:val="20"/>
              </w:rPr>
            </w:pPr>
            <w:r w:rsidRPr="00A85B8D">
              <w:rPr>
                <w:rFonts w:eastAsia="Calibri"/>
                <w:snapToGrid w:val="0"/>
                <w:sz w:val="20"/>
                <w:szCs w:val="20"/>
              </w:rPr>
              <w:t>100</w:t>
            </w:r>
          </w:p>
        </w:tc>
        <w:tc>
          <w:tcPr>
            <w:tcW w:w="950" w:type="pct"/>
            <w:tcBorders>
              <w:top w:val="single" w:sz="4" w:space="0" w:color="auto"/>
              <w:left w:val="single" w:sz="4" w:space="0" w:color="auto"/>
              <w:bottom w:val="single" w:sz="4" w:space="0" w:color="auto"/>
              <w:right w:val="single" w:sz="4" w:space="0" w:color="auto"/>
            </w:tcBorders>
          </w:tcPr>
          <w:p w:rsidR="00242391" w:rsidRPr="00A85B8D" w:rsidRDefault="00242391" w:rsidP="000D7AE5">
            <w:pPr>
              <w:widowControl w:val="0"/>
              <w:tabs>
                <w:tab w:val="center" w:pos="4320"/>
                <w:tab w:val="right" w:pos="8640"/>
                <w:tab w:val="left" w:pos="9000"/>
              </w:tabs>
              <w:jc w:val="right"/>
              <w:rPr>
                <w:rFonts w:eastAsia="Calibri"/>
                <w:snapToGrid w:val="0"/>
                <w:sz w:val="20"/>
                <w:szCs w:val="20"/>
              </w:rPr>
            </w:pPr>
            <w:r>
              <w:rPr>
                <w:rFonts w:eastAsia="Calibri"/>
                <w:snapToGrid w:val="0"/>
                <w:sz w:val="20"/>
                <w:szCs w:val="20"/>
              </w:rPr>
              <w:t>100</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Export component (%):</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0</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0</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Requested grant (</w:t>
            </w:r>
            <w:r w:rsidR="00C52303">
              <w:rPr>
                <w:rFonts w:eastAsia="Calibri"/>
                <w:sz w:val="20"/>
                <w:lang w:val="en-CA"/>
              </w:rPr>
              <w:t>US $</w:t>
            </w:r>
            <w:r w:rsidRPr="00E640EA">
              <w:rPr>
                <w:rFonts w:eastAsia="Calibri"/>
                <w:sz w:val="20"/>
                <w:lang w:val="en-CA"/>
              </w:rPr>
              <w:t>):</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199,480</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220,660</w:t>
            </w:r>
          </w:p>
        </w:tc>
      </w:tr>
      <w:tr w:rsidR="00242391" w:rsidRPr="00E640EA" w:rsidTr="00F36731">
        <w:trPr>
          <w:jc w:val="center"/>
        </w:trPr>
        <w:tc>
          <w:tcPr>
            <w:tcW w:w="2053" w:type="pct"/>
            <w:gridSpan w:val="2"/>
            <w:vMerge w:val="restart"/>
            <w:tcBorders>
              <w:top w:val="single" w:sz="4" w:space="0" w:color="auto"/>
              <w:left w:val="single" w:sz="4" w:space="0" w:color="auto"/>
              <w:right w:val="single" w:sz="4" w:space="0" w:color="auto"/>
            </w:tcBorders>
            <w:vAlign w:val="center"/>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Pr>
                <w:rFonts w:eastAsia="Calibri"/>
                <w:sz w:val="20"/>
                <w:lang w:val="en-CA"/>
              </w:rPr>
              <w:t>Cost-effectiveness:</w:t>
            </w:r>
          </w:p>
        </w:tc>
        <w:tc>
          <w:tcPr>
            <w:tcW w:w="681" w:type="pct"/>
            <w:tcBorders>
              <w:top w:val="single" w:sz="4" w:space="0" w:color="auto"/>
              <w:left w:val="single" w:sz="4" w:space="0" w:color="auto"/>
              <w:right w:val="single" w:sz="4" w:space="0" w:color="auto"/>
            </w:tcBorders>
            <w:vAlign w:val="center"/>
          </w:tcPr>
          <w:p w:rsidR="00242391" w:rsidRPr="00610C7F" w:rsidRDefault="00C52303"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Pr>
                <w:rFonts w:eastAsia="Calibri"/>
                <w:sz w:val="18"/>
                <w:szCs w:val="18"/>
                <w:lang w:val="en-CA"/>
              </w:rPr>
              <w:t>US $</w:t>
            </w:r>
            <w:r w:rsidR="00242391" w:rsidRPr="00610C7F">
              <w:rPr>
                <w:rFonts w:eastAsia="Calibri"/>
                <w:sz w:val="18"/>
                <w:szCs w:val="18"/>
                <w:lang w:val="en-CA"/>
              </w:rPr>
              <w:t>/kg</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34.16</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11.14</w:t>
            </w:r>
          </w:p>
        </w:tc>
      </w:tr>
      <w:tr w:rsidR="00242391" w:rsidRPr="00E640EA" w:rsidTr="00F36731">
        <w:trPr>
          <w:jc w:val="center"/>
        </w:trPr>
        <w:tc>
          <w:tcPr>
            <w:tcW w:w="2053" w:type="pct"/>
            <w:gridSpan w:val="2"/>
            <w:vMerge/>
            <w:tcBorders>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681" w:type="pct"/>
            <w:tcBorders>
              <w:left w:val="single" w:sz="4" w:space="0" w:color="auto"/>
              <w:bottom w:val="single" w:sz="4" w:space="0" w:color="auto"/>
              <w:right w:val="single" w:sz="4" w:space="0" w:color="auto"/>
            </w:tcBorders>
            <w:vAlign w:val="center"/>
          </w:tcPr>
          <w:p w:rsidR="00242391" w:rsidRPr="00610C7F" w:rsidRDefault="00C52303"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rFonts w:eastAsia="Calibri"/>
                <w:sz w:val="18"/>
                <w:szCs w:val="18"/>
                <w:lang w:val="en-CA"/>
              </w:rPr>
            </w:pPr>
            <w:r>
              <w:rPr>
                <w:rFonts w:eastAsia="Calibri"/>
                <w:sz w:val="18"/>
                <w:szCs w:val="18"/>
                <w:lang w:val="en-CA"/>
              </w:rPr>
              <w:t>US $</w:t>
            </w:r>
            <w:r w:rsidR="00242391" w:rsidRPr="00610C7F">
              <w:rPr>
                <w:rFonts w:eastAsia="Calibri"/>
                <w:sz w:val="18"/>
                <w:szCs w:val="18"/>
                <w:lang w:val="en-CA"/>
              </w:rPr>
              <w:t>/</w:t>
            </w:r>
            <w:proofErr w:type="spellStart"/>
            <w:r w:rsidR="00242391">
              <w:rPr>
                <w:rFonts w:eastAsia="Calibri"/>
                <w:sz w:val="18"/>
                <w:szCs w:val="18"/>
                <w:lang w:val="en-CA"/>
              </w:rPr>
              <w:t>mt</w:t>
            </w:r>
            <w:proofErr w:type="spellEnd"/>
            <w:r w:rsidR="00242391">
              <w:rPr>
                <w:rFonts w:eastAsia="Calibri"/>
                <w:sz w:val="18"/>
                <w:szCs w:val="18"/>
                <w:lang w:val="en-CA"/>
              </w:rPr>
              <w:t xml:space="preserve"> </w:t>
            </w:r>
            <w:r w:rsidR="00242391" w:rsidRPr="00610C7F">
              <w:rPr>
                <w:rFonts w:eastAsia="Calibri"/>
                <w:sz w:val="18"/>
                <w:szCs w:val="18"/>
                <w:lang w:val="en-CA"/>
              </w:rPr>
              <w:t>CO</w:t>
            </w:r>
            <w:r w:rsidR="00242391" w:rsidRPr="00610C7F">
              <w:rPr>
                <w:rFonts w:eastAsia="Calibri"/>
                <w:sz w:val="18"/>
                <w:szCs w:val="18"/>
                <w:vertAlign w:val="subscript"/>
                <w:lang w:val="en-CA"/>
              </w:rPr>
              <w:t>2</w:t>
            </w:r>
            <w:r w:rsidR="00242391" w:rsidRPr="00610C7F">
              <w:rPr>
                <w:rFonts w:eastAsia="Calibri"/>
                <w:sz w:val="18"/>
                <w:szCs w:val="18"/>
                <w:lang w:val="en-CA"/>
              </w:rPr>
              <w:noBreakHyphen/>
            </w:r>
            <w:r w:rsidR="00242391">
              <w:rPr>
                <w:rFonts w:eastAsia="Calibri"/>
                <w:sz w:val="18"/>
                <w:szCs w:val="18"/>
                <w:lang w:val="en-CA"/>
              </w:rPr>
              <w:t>eq</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11.65</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7.79</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Implementing agency support cost</w:t>
            </w:r>
            <w:r>
              <w:rPr>
                <w:rFonts w:eastAsia="Calibri"/>
                <w:sz w:val="20"/>
                <w:lang w:val="en-CA"/>
              </w:rPr>
              <w:t>s</w:t>
            </w:r>
            <w:r w:rsidRPr="00E640EA">
              <w:rPr>
                <w:rFonts w:eastAsia="Calibri"/>
                <w:sz w:val="20"/>
                <w:lang w:val="en-CA"/>
              </w:rPr>
              <w:t xml:space="preserve"> (</w:t>
            </w:r>
            <w:r w:rsidR="00C52303">
              <w:rPr>
                <w:rFonts w:eastAsia="Calibri"/>
                <w:sz w:val="20"/>
                <w:lang w:val="en-CA"/>
              </w:rPr>
              <w:t>US $</w:t>
            </w:r>
            <w:r w:rsidRPr="00E640EA">
              <w:rPr>
                <w:rFonts w:eastAsia="Calibri"/>
                <w:sz w:val="20"/>
                <w:lang w:val="en-CA"/>
              </w:rPr>
              <w:t>):</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464D28"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17,953</w:t>
            </w:r>
          </w:p>
        </w:tc>
        <w:tc>
          <w:tcPr>
            <w:tcW w:w="950" w:type="pct"/>
            <w:tcBorders>
              <w:top w:val="single" w:sz="4" w:space="0" w:color="auto"/>
              <w:left w:val="single" w:sz="4" w:space="0" w:color="auto"/>
              <w:bottom w:val="single" w:sz="4" w:space="0" w:color="auto"/>
              <w:right w:val="single" w:sz="4" w:space="0" w:color="auto"/>
            </w:tcBorders>
          </w:tcPr>
          <w:p w:rsidR="00242391" w:rsidRDefault="00464D28"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19,859</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Total cost of project to Multilateral Fund (</w:t>
            </w:r>
            <w:r w:rsidR="00C52303">
              <w:rPr>
                <w:rFonts w:eastAsia="Calibri"/>
                <w:sz w:val="20"/>
                <w:lang w:val="en-CA"/>
              </w:rPr>
              <w:t>US $</w:t>
            </w:r>
            <w:r w:rsidRPr="00E640EA">
              <w:rPr>
                <w:rFonts w:eastAsia="Calibri"/>
                <w:sz w:val="20"/>
                <w:lang w:val="en-CA"/>
              </w:rPr>
              <w:t>):</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464D28"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217</w:t>
            </w:r>
            <w:r w:rsidR="003E1C70">
              <w:rPr>
                <w:rFonts w:eastAsia="Calibri"/>
                <w:sz w:val="20"/>
                <w:lang w:val="en-CA"/>
              </w:rPr>
              <w:t>,43</w:t>
            </w:r>
            <w:r w:rsidR="00242391">
              <w:rPr>
                <w:rFonts w:eastAsia="Calibri"/>
                <w:sz w:val="20"/>
                <w:lang w:val="en-CA"/>
              </w:rPr>
              <w:t>3</w:t>
            </w:r>
          </w:p>
        </w:tc>
        <w:tc>
          <w:tcPr>
            <w:tcW w:w="950" w:type="pct"/>
            <w:tcBorders>
              <w:top w:val="single" w:sz="4" w:space="0" w:color="auto"/>
              <w:left w:val="single" w:sz="4" w:space="0" w:color="auto"/>
              <w:bottom w:val="single" w:sz="4" w:space="0" w:color="auto"/>
              <w:right w:val="single" w:sz="4" w:space="0" w:color="auto"/>
            </w:tcBorders>
          </w:tcPr>
          <w:p w:rsidR="00242391" w:rsidRDefault="00464D28"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240,519</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Pr>
                <w:rFonts w:eastAsia="Calibri"/>
                <w:sz w:val="20"/>
                <w:lang w:val="en-CA"/>
              </w:rPr>
              <w:t>C</w:t>
            </w:r>
            <w:r w:rsidRPr="00E640EA">
              <w:rPr>
                <w:rFonts w:eastAsia="Calibri"/>
                <w:sz w:val="20"/>
                <w:lang w:val="en-CA"/>
              </w:rPr>
              <w:t>ounterpart funding (Y/N):</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Y</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Y</w:t>
            </w:r>
          </w:p>
        </w:tc>
      </w:tr>
      <w:tr w:rsidR="00242391" w:rsidRPr="00E640EA" w:rsidTr="00F36731">
        <w:trPr>
          <w:jc w:val="center"/>
        </w:trPr>
        <w:tc>
          <w:tcPr>
            <w:tcW w:w="2734" w:type="pct"/>
            <w:gridSpan w:val="3"/>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Project monitoring milestones included (Y/N):</w:t>
            </w:r>
          </w:p>
        </w:tc>
        <w:tc>
          <w:tcPr>
            <w:tcW w:w="1316" w:type="pct"/>
            <w:gridSpan w:val="2"/>
            <w:tcBorders>
              <w:top w:val="single" w:sz="4" w:space="0" w:color="auto"/>
              <w:left w:val="single" w:sz="4" w:space="0" w:color="auto"/>
              <w:bottom w:val="single" w:sz="4" w:space="0" w:color="auto"/>
              <w:right w:val="single" w:sz="4" w:space="0" w:color="auto"/>
            </w:tcBorders>
          </w:tcPr>
          <w:p w:rsidR="00242391" w:rsidRPr="00E640EA"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Y</w:t>
            </w:r>
          </w:p>
        </w:tc>
        <w:tc>
          <w:tcPr>
            <w:tcW w:w="950" w:type="pct"/>
            <w:tcBorders>
              <w:top w:val="single" w:sz="4" w:space="0" w:color="auto"/>
              <w:left w:val="single" w:sz="4" w:space="0" w:color="auto"/>
              <w:bottom w:val="single" w:sz="4" w:space="0" w:color="auto"/>
              <w:right w:val="single" w:sz="4" w:space="0" w:color="auto"/>
            </w:tcBorders>
          </w:tcPr>
          <w:p w:rsidR="00242391"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Y</w:t>
            </w:r>
          </w:p>
        </w:tc>
      </w:tr>
    </w:tbl>
    <w:p w:rsidR="00242391" w:rsidRPr="00FF7F64" w:rsidRDefault="004958C3" w:rsidP="00FF7F64">
      <w:pPr>
        <w:pStyle w:val="Heading1"/>
        <w:numPr>
          <w:ilvl w:val="0"/>
          <w:numId w:val="0"/>
        </w:numPr>
        <w:rPr>
          <w:sz w:val="18"/>
          <w:szCs w:val="18"/>
          <w:lang w:val="en-CA"/>
        </w:rPr>
      </w:pPr>
      <w:r w:rsidRPr="00464D28">
        <w:rPr>
          <w:sz w:val="18"/>
          <w:szCs w:val="18"/>
          <w:lang w:val="en-CA"/>
        </w:rPr>
        <w:t>*Not available as a detailed review of the IOC did not take place</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3530"/>
      </w:tblGrid>
      <w:tr w:rsidR="00242391" w:rsidRPr="003F0F38" w:rsidTr="000D7AE5">
        <w:trPr>
          <w:trHeight w:val="296"/>
          <w:jc w:val="center"/>
        </w:trPr>
        <w:tc>
          <w:tcPr>
            <w:tcW w:w="5935" w:type="dxa"/>
            <w:tcBorders>
              <w:top w:val="single" w:sz="4" w:space="0" w:color="auto"/>
              <w:left w:val="single" w:sz="4" w:space="0" w:color="auto"/>
              <w:bottom w:val="single" w:sz="4" w:space="0" w:color="auto"/>
              <w:right w:val="single" w:sz="4" w:space="0" w:color="auto"/>
            </w:tcBorders>
          </w:tcPr>
          <w:p w:rsidR="00242391" w:rsidRPr="00C044C6"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rPr>
            </w:pPr>
            <w:r w:rsidRPr="00C044C6">
              <w:rPr>
                <w:b/>
                <w:sz w:val="20"/>
              </w:rPr>
              <w:t>SECRETARIAT’S RECOMMENDATION</w:t>
            </w:r>
          </w:p>
        </w:tc>
        <w:tc>
          <w:tcPr>
            <w:tcW w:w="3530" w:type="dxa"/>
            <w:tcBorders>
              <w:top w:val="single" w:sz="4" w:space="0" w:color="auto"/>
              <w:left w:val="single" w:sz="4" w:space="0" w:color="auto"/>
              <w:bottom w:val="single" w:sz="4" w:space="0" w:color="auto"/>
              <w:right w:val="single" w:sz="4" w:space="0" w:color="auto"/>
            </w:tcBorders>
          </w:tcPr>
          <w:p w:rsidR="00242391" w:rsidRPr="003F0F38" w:rsidRDefault="00242391" w:rsidP="000D7AE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3F0F38">
              <w:rPr>
                <w:sz w:val="20"/>
              </w:rPr>
              <w:t>For individual consideration</w:t>
            </w:r>
          </w:p>
        </w:tc>
      </w:tr>
    </w:tbl>
    <w:p w:rsidR="00242391" w:rsidRPr="00C044C6" w:rsidRDefault="00242391" w:rsidP="00242391">
      <w:pPr>
        <w:spacing w:after="240"/>
        <w:jc w:val="center"/>
        <w:outlineLvl w:val="0"/>
        <w:rPr>
          <w:b/>
        </w:rPr>
      </w:pPr>
      <w:bookmarkStart w:id="0" w:name="_GoBack"/>
      <w:bookmarkEnd w:id="0"/>
      <w:r w:rsidRPr="00C044C6">
        <w:rPr>
          <w:b/>
        </w:rPr>
        <w:t>PROJECT DESCRIPTION</w:t>
      </w:r>
    </w:p>
    <w:p w:rsidR="00242391" w:rsidRDefault="00242391" w:rsidP="00242391">
      <w:pPr>
        <w:pStyle w:val="Heading1"/>
        <w:numPr>
          <w:ilvl w:val="0"/>
          <w:numId w:val="29"/>
        </w:numPr>
        <w:tabs>
          <w:tab w:val="clear" w:pos="1134"/>
          <w:tab w:val="num" w:pos="0"/>
        </w:tabs>
        <w:ind w:left="0"/>
      </w:pPr>
      <w:r w:rsidRPr="003F0F38">
        <w:t xml:space="preserve">On </w:t>
      </w:r>
      <w:r w:rsidRPr="00E359E8">
        <w:t xml:space="preserve">behalf of the Government of Ecuador, UNIDO has submitted </w:t>
      </w:r>
      <w:r>
        <w:t xml:space="preserve">the following two project </w:t>
      </w:r>
      <w:r w:rsidRPr="00E359E8">
        <w:t>proposal</w:t>
      </w:r>
      <w:r>
        <w:t>s for the phase-out of HFCs in line with decision 78/3(g):</w:t>
      </w:r>
    </w:p>
    <w:p w:rsidR="00242391" w:rsidRDefault="00242391" w:rsidP="00242391">
      <w:pPr>
        <w:pStyle w:val="Heading2"/>
      </w:pPr>
      <w:r>
        <w:t>C</w:t>
      </w:r>
      <w:r w:rsidRPr="00E359E8">
        <w:t>onver</w:t>
      </w:r>
      <w:r>
        <w:t>sion of</w:t>
      </w:r>
      <w:r w:rsidRPr="00E359E8">
        <w:t xml:space="preserve"> the manufacturing of </w:t>
      </w:r>
      <w:r>
        <w:t xml:space="preserve">domestic and </w:t>
      </w:r>
      <w:r w:rsidRPr="00E359E8">
        <w:t>commercial refrigerators</w:t>
      </w:r>
      <w:r>
        <w:rPr>
          <w:rStyle w:val="FootnoteReference"/>
        </w:rPr>
        <w:footnoteReference w:id="7"/>
      </w:r>
      <w:r>
        <w:t xml:space="preserve"> at </w:t>
      </w:r>
      <w:proofErr w:type="spellStart"/>
      <w:r>
        <w:t>Ecasa</w:t>
      </w:r>
      <w:proofErr w:type="spellEnd"/>
      <w:r w:rsidRPr="00E359E8">
        <w:t xml:space="preserve"> from HFC-134a and R-404A to </w:t>
      </w:r>
      <w:proofErr w:type="spellStart"/>
      <w:r w:rsidRPr="00E359E8">
        <w:t>isobutane</w:t>
      </w:r>
      <w:proofErr w:type="spellEnd"/>
      <w:r w:rsidRPr="00E359E8">
        <w:t xml:space="preserve"> (R-600a) and propane (R-290)</w:t>
      </w:r>
      <w:r>
        <w:t>,</w:t>
      </w:r>
      <w:r w:rsidRPr="00E359E8">
        <w:t xml:space="preserve"> at a total cost of </w:t>
      </w:r>
      <w:r w:rsidR="00C52303">
        <w:t>US $</w:t>
      </w:r>
      <w:r w:rsidRPr="00E359E8">
        <w:t xml:space="preserve">235,190, plus agency support costs of </w:t>
      </w:r>
      <w:r w:rsidR="00C52303">
        <w:t>US $</w:t>
      </w:r>
      <w:r w:rsidR="00464D28">
        <w:t>21,167</w:t>
      </w:r>
      <w:r>
        <w:t>; and</w:t>
      </w:r>
    </w:p>
    <w:p w:rsidR="00242391" w:rsidRDefault="00242391" w:rsidP="00242391">
      <w:pPr>
        <w:pStyle w:val="Heading2"/>
      </w:pPr>
      <w:r>
        <w:t>Conversion of</w:t>
      </w:r>
      <w:r w:rsidRPr="00E048C3">
        <w:t xml:space="preserve"> the manufacturing of commercial refrigerators at </w:t>
      </w:r>
      <w:proofErr w:type="spellStart"/>
      <w:r w:rsidRPr="00E048C3">
        <w:t>Induglob</w:t>
      </w:r>
      <w:proofErr w:type="spellEnd"/>
      <w:r w:rsidRPr="00E048C3">
        <w:t xml:space="preserve"> from HFC-134a to </w:t>
      </w:r>
      <w:proofErr w:type="spellStart"/>
      <w:r w:rsidRPr="00E048C3">
        <w:t>isobutane</w:t>
      </w:r>
      <w:proofErr w:type="spellEnd"/>
      <w:r w:rsidRPr="00E048C3">
        <w:t xml:space="preserve"> (R-600a) and propane (R-290), at a total cost of </w:t>
      </w:r>
      <w:r w:rsidR="00C52303">
        <w:t>US $</w:t>
      </w:r>
      <w:r w:rsidRPr="00E048C3">
        <w:t xml:space="preserve">319,370, plus agency support costs of </w:t>
      </w:r>
      <w:r w:rsidR="00C52303">
        <w:t>US $</w:t>
      </w:r>
      <w:r w:rsidRPr="00E048C3">
        <w:t xml:space="preserve">22,356. </w:t>
      </w:r>
      <w:r w:rsidR="00880298">
        <w:t xml:space="preserve">UNIDO submitted this project proposal without receiving preparation funding from the Multilateral Fund. </w:t>
      </w:r>
    </w:p>
    <w:p w:rsidR="00242391" w:rsidRDefault="00242391" w:rsidP="00242391">
      <w:pPr>
        <w:pStyle w:val="Heading1"/>
        <w:tabs>
          <w:tab w:val="clear" w:pos="142"/>
          <w:tab w:val="num" w:pos="0"/>
        </w:tabs>
        <w:ind w:left="0"/>
      </w:pPr>
      <w:r>
        <w:t xml:space="preserve">The two project proposals relate to the two largest refrigeration manufacturing enterprises in Ecuador, </w:t>
      </w:r>
      <w:r w:rsidR="00FF7F64">
        <w:t>accounting for</w:t>
      </w:r>
      <w:r>
        <w:t xml:space="preserve"> over 99 per</w:t>
      </w:r>
      <w:r w:rsidR="00464D28">
        <w:t xml:space="preserve"> cent of the total HFC</w:t>
      </w:r>
      <w:r w:rsidR="00FF7F64">
        <w:t xml:space="preserve"> consumption</w:t>
      </w:r>
      <w:r>
        <w:t xml:space="preserve"> in this sector. The pre-requisites for the submission of the two project proposals</w:t>
      </w:r>
      <w:r w:rsidR="00FF7F64">
        <w:t>,</w:t>
      </w:r>
      <w:r>
        <w:t xml:space="preserve"> as well as the background information on the consumption in the country and in the sector, are applicable to both enterprises. In order to facilitate the review of the proposals by the Executive Committee and avoid duplicating the same information in each proposal, the present document consists of the following sections:</w:t>
      </w:r>
    </w:p>
    <w:p w:rsidR="00242391" w:rsidRDefault="00242391" w:rsidP="00242391">
      <w:pPr>
        <w:ind w:left="2160" w:hanging="1440"/>
      </w:pPr>
      <w:r>
        <w:t>Section 1:</w:t>
      </w:r>
      <w:r>
        <w:tab/>
        <w:t>Pre-requisite for the submission of the project proposals, including matters related to eligibility, m</w:t>
      </w:r>
      <w:r w:rsidRPr="008D2126">
        <w:t>aturity of the technology, replicability and sustainability</w:t>
      </w:r>
    </w:p>
    <w:p w:rsidR="00242391" w:rsidRDefault="00242391" w:rsidP="00242391">
      <w:pPr>
        <w:ind w:left="2160" w:hanging="1440"/>
      </w:pPr>
    </w:p>
    <w:p w:rsidR="00242391" w:rsidRDefault="00242391" w:rsidP="00242391">
      <w:pPr>
        <w:ind w:left="2160" w:hanging="1440"/>
      </w:pPr>
      <w:r>
        <w:t>Section 2:</w:t>
      </w:r>
      <w:r>
        <w:tab/>
        <w:t>Background, providing an overview on the total consumption of HFCs and in the refrigeration manufacturing sector in Ecuador</w:t>
      </w:r>
    </w:p>
    <w:p w:rsidR="00242391" w:rsidRDefault="00242391" w:rsidP="00242391">
      <w:pPr>
        <w:ind w:left="2160" w:hanging="1440"/>
      </w:pPr>
    </w:p>
    <w:p w:rsidR="00242391" w:rsidRDefault="00242391" w:rsidP="00242391">
      <w:pPr>
        <w:ind w:left="2160" w:hanging="1440"/>
      </w:pPr>
      <w:r>
        <w:t>Section 3:</w:t>
      </w:r>
      <w:r>
        <w:tab/>
        <w:t xml:space="preserve">Project proposal for conversion at </w:t>
      </w:r>
      <w:proofErr w:type="spellStart"/>
      <w:r>
        <w:t>Ecasa</w:t>
      </w:r>
      <w:proofErr w:type="spellEnd"/>
      <w:r>
        <w:t>, providing an overview of the enterprise, describing the manufacturing process, the changes proposed for the conversion to non-HFC refrigerants and associated incremental costs; Secretariat’s comments and recommendation</w:t>
      </w:r>
    </w:p>
    <w:p w:rsidR="00242391" w:rsidRDefault="00242391" w:rsidP="00242391">
      <w:pPr>
        <w:ind w:left="2160" w:hanging="1440"/>
      </w:pPr>
    </w:p>
    <w:p w:rsidR="00242391" w:rsidRDefault="00242391" w:rsidP="00242391">
      <w:pPr>
        <w:ind w:left="2160" w:hanging="1440"/>
      </w:pPr>
      <w:r>
        <w:t>Section 4:</w:t>
      </w:r>
      <w:r>
        <w:tab/>
        <w:t xml:space="preserve">Project proposal for conversion at </w:t>
      </w:r>
      <w:proofErr w:type="spellStart"/>
      <w:r>
        <w:t>Induglob</w:t>
      </w:r>
      <w:proofErr w:type="spellEnd"/>
      <w:r>
        <w:t xml:space="preserve"> (content similar to </w:t>
      </w:r>
      <w:proofErr w:type="spellStart"/>
      <w:r>
        <w:t>Ecasa</w:t>
      </w:r>
      <w:proofErr w:type="spellEnd"/>
      <w:r>
        <w:t>)</w:t>
      </w:r>
    </w:p>
    <w:p w:rsidR="00F36731" w:rsidRDefault="00F36731" w:rsidP="00F36731"/>
    <w:p w:rsidR="00242391" w:rsidRPr="008D2126" w:rsidRDefault="00242391" w:rsidP="00F36731">
      <w:pPr>
        <w:rPr>
          <w:b/>
        </w:rPr>
      </w:pPr>
      <w:r w:rsidRPr="008D2126">
        <w:rPr>
          <w:b/>
        </w:rPr>
        <w:t>Section 1:</w:t>
      </w:r>
      <w:r w:rsidRPr="008D2126">
        <w:rPr>
          <w:b/>
        </w:rPr>
        <w:tab/>
        <w:t xml:space="preserve">Pre-requisite for submission </w:t>
      </w:r>
      <w:r>
        <w:rPr>
          <w:b/>
        </w:rPr>
        <w:t xml:space="preserve">of </w:t>
      </w:r>
      <w:r w:rsidRPr="008D2126">
        <w:rPr>
          <w:b/>
        </w:rPr>
        <w:t>the project proposals</w:t>
      </w:r>
    </w:p>
    <w:p w:rsidR="00242391" w:rsidRPr="008D2126" w:rsidRDefault="00242391" w:rsidP="00F36731"/>
    <w:p w:rsidR="00242391" w:rsidRDefault="00242391" w:rsidP="00F36731">
      <w:pPr>
        <w:pStyle w:val="Heading1"/>
        <w:tabs>
          <w:tab w:val="clear" w:pos="142"/>
          <w:tab w:val="num" w:pos="0"/>
        </w:tabs>
        <w:ind w:left="0"/>
        <w:rPr>
          <w:lang w:val="en-CA"/>
        </w:rPr>
      </w:pPr>
      <w:r w:rsidRPr="00020ED4">
        <w:rPr>
          <w:lang w:val="en-CA"/>
        </w:rPr>
        <w:t xml:space="preserve">The Secretariat </w:t>
      </w:r>
      <w:r>
        <w:rPr>
          <w:lang w:val="en-CA"/>
        </w:rPr>
        <w:t xml:space="preserve">has </w:t>
      </w:r>
      <w:r w:rsidRPr="00020ED4">
        <w:rPr>
          <w:lang w:val="en-CA"/>
        </w:rPr>
        <w:t xml:space="preserve">reviewed the </w:t>
      </w:r>
      <w:r>
        <w:rPr>
          <w:lang w:val="en-CA"/>
        </w:rPr>
        <w:t xml:space="preserve">two </w:t>
      </w:r>
      <w:r w:rsidRPr="00020ED4">
        <w:rPr>
          <w:lang w:val="en-CA"/>
        </w:rPr>
        <w:t>project proposal</w:t>
      </w:r>
      <w:r>
        <w:rPr>
          <w:lang w:val="en-CA"/>
        </w:rPr>
        <w:t>s</w:t>
      </w:r>
      <w:r w:rsidRPr="00020ED4">
        <w:rPr>
          <w:lang w:val="en-CA"/>
        </w:rPr>
        <w:t xml:space="preserve"> </w:t>
      </w:r>
      <w:r>
        <w:rPr>
          <w:lang w:val="en-CA"/>
        </w:rPr>
        <w:t>on the basis</w:t>
      </w:r>
      <w:r w:rsidRPr="00020ED4">
        <w:rPr>
          <w:lang w:val="en-CA"/>
        </w:rPr>
        <w:t xml:space="preserve"> o</w:t>
      </w:r>
      <w:r>
        <w:rPr>
          <w:lang w:val="en-CA"/>
        </w:rPr>
        <w:t>f</w:t>
      </w:r>
      <w:r w:rsidRPr="00020ED4">
        <w:rPr>
          <w:lang w:val="en-CA"/>
        </w:rPr>
        <w:t xml:space="preserve"> the current policies and decisions of the</w:t>
      </w:r>
      <w:r>
        <w:rPr>
          <w:lang w:val="en-CA"/>
        </w:rPr>
        <w:t xml:space="preserve"> Executive Committee</w:t>
      </w:r>
      <w:r w:rsidRPr="00020ED4">
        <w:rPr>
          <w:lang w:val="en-CA"/>
        </w:rPr>
        <w:t>, similar approved conversion projects for CFC</w:t>
      </w:r>
      <w:r>
        <w:rPr>
          <w:lang w:val="en-CA"/>
        </w:rPr>
        <w:t xml:space="preserve"> and HFC </w:t>
      </w:r>
      <w:r w:rsidRPr="00020ED4">
        <w:rPr>
          <w:lang w:val="en-CA"/>
        </w:rPr>
        <w:t xml:space="preserve">phase-out </w:t>
      </w:r>
      <w:r w:rsidRPr="00175C3A">
        <w:rPr>
          <w:lang w:val="en-CA"/>
        </w:rPr>
        <w:t>and approved projects to phase</w:t>
      </w:r>
      <w:r>
        <w:rPr>
          <w:lang w:val="en-CA"/>
        </w:rPr>
        <w:t xml:space="preserve"> </w:t>
      </w:r>
      <w:r w:rsidRPr="00175C3A">
        <w:rPr>
          <w:lang w:val="en-CA"/>
        </w:rPr>
        <w:t>out ODS with flammable alternatives.</w:t>
      </w:r>
    </w:p>
    <w:p w:rsidR="00242391" w:rsidRPr="000B2FE4" w:rsidRDefault="00242391" w:rsidP="00F36731">
      <w:pPr>
        <w:rPr>
          <w:u w:val="single"/>
          <w:lang w:val="en-CA"/>
        </w:rPr>
      </w:pPr>
      <w:r w:rsidRPr="000B2FE4">
        <w:rPr>
          <w:u w:val="single"/>
          <w:lang w:val="en-CA"/>
        </w:rPr>
        <w:t>Eligibility</w:t>
      </w:r>
    </w:p>
    <w:p w:rsidR="00242391" w:rsidRPr="000B2FE4" w:rsidRDefault="00242391" w:rsidP="00F36731">
      <w:pPr>
        <w:rPr>
          <w:lang w:val="en-CA"/>
        </w:rPr>
      </w:pPr>
    </w:p>
    <w:p w:rsidR="00242391" w:rsidRPr="00175C3A" w:rsidRDefault="00242391" w:rsidP="00F36731">
      <w:pPr>
        <w:pStyle w:val="Heading1"/>
        <w:tabs>
          <w:tab w:val="clear" w:pos="142"/>
          <w:tab w:val="num" w:pos="0"/>
        </w:tabs>
        <w:ind w:left="0"/>
        <w:rPr>
          <w:lang w:val="en-CA"/>
        </w:rPr>
      </w:pPr>
      <w:r w:rsidRPr="00175C3A">
        <w:rPr>
          <w:lang w:val="en-CA"/>
        </w:rPr>
        <w:t xml:space="preserve">The project </w:t>
      </w:r>
      <w:r>
        <w:rPr>
          <w:lang w:val="en-CA"/>
        </w:rPr>
        <w:t xml:space="preserve">proposals </w:t>
      </w:r>
      <w:r w:rsidRPr="00175C3A">
        <w:rPr>
          <w:lang w:val="en-CA"/>
        </w:rPr>
        <w:t xml:space="preserve">for </w:t>
      </w:r>
      <w:r>
        <w:rPr>
          <w:lang w:val="en-CA"/>
        </w:rPr>
        <w:t xml:space="preserve">the conversions of </w:t>
      </w:r>
      <w:proofErr w:type="spellStart"/>
      <w:r>
        <w:rPr>
          <w:lang w:val="en-CA"/>
        </w:rPr>
        <w:t>Ecasa</w:t>
      </w:r>
      <w:proofErr w:type="spellEnd"/>
      <w:r w:rsidRPr="00175C3A">
        <w:rPr>
          <w:lang w:val="en-CA"/>
        </w:rPr>
        <w:t xml:space="preserve"> </w:t>
      </w:r>
      <w:r>
        <w:rPr>
          <w:lang w:val="en-CA"/>
        </w:rPr>
        <w:t xml:space="preserve">and </w:t>
      </w:r>
      <w:proofErr w:type="spellStart"/>
      <w:r>
        <w:rPr>
          <w:lang w:val="en-CA"/>
        </w:rPr>
        <w:t>Inglob</w:t>
      </w:r>
      <w:proofErr w:type="spellEnd"/>
      <w:r>
        <w:rPr>
          <w:lang w:val="en-CA"/>
        </w:rPr>
        <w:t xml:space="preserve"> </w:t>
      </w:r>
      <w:r w:rsidRPr="00175C3A">
        <w:rPr>
          <w:lang w:val="en-CA"/>
        </w:rPr>
        <w:t>ha</w:t>
      </w:r>
      <w:r>
        <w:rPr>
          <w:lang w:val="en-CA"/>
        </w:rPr>
        <w:t>ve</w:t>
      </w:r>
      <w:r w:rsidRPr="00175C3A">
        <w:rPr>
          <w:lang w:val="en-CA"/>
        </w:rPr>
        <w:t xml:space="preserve"> been submitted in line with decisions 78/3(g) and 79/45. </w:t>
      </w:r>
      <w:r>
        <w:rPr>
          <w:lang w:val="en-CA"/>
        </w:rPr>
        <w:t xml:space="preserve">The proposals </w:t>
      </w:r>
      <w:r w:rsidRPr="00175C3A">
        <w:rPr>
          <w:lang w:val="en-CA"/>
        </w:rPr>
        <w:t>include official letter</w:t>
      </w:r>
      <w:r>
        <w:rPr>
          <w:lang w:val="en-CA"/>
        </w:rPr>
        <w:t>s</w:t>
      </w:r>
      <w:r w:rsidRPr="00175C3A">
        <w:rPr>
          <w:lang w:val="en-CA"/>
        </w:rPr>
        <w:t xml:space="preserve"> from the Government </w:t>
      </w:r>
      <w:r>
        <w:rPr>
          <w:lang w:val="en-CA"/>
        </w:rPr>
        <w:t xml:space="preserve">of Ecuador (one for each enterprise) stating that the Government </w:t>
      </w:r>
      <w:r w:rsidRPr="00175C3A">
        <w:rPr>
          <w:lang w:val="en-CA"/>
        </w:rPr>
        <w:t>w</w:t>
      </w:r>
      <w:r>
        <w:rPr>
          <w:lang w:val="en-CA"/>
        </w:rPr>
        <w:t>ill</w:t>
      </w:r>
      <w:r w:rsidRPr="00175C3A">
        <w:rPr>
          <w:lang w:val="en-CA"/>
        </w:rPr>
        <w:t xml:space="preserve"> make every effort to ratify the Kigali Amendment, as soon as possible</w:t>
      </w:r>
      <w:r>
        <w:rPr>
          <w:lang w:val="en-CA"/>
        </w:rPr>
        <w:t>;</w:t>
      </w:r>
      <w:r w:rsidR="002840D5">
        <w:rPr>
          <w:lang w:val="en-CA"/>
        </w:rPr>
        <w:t xml:space="preserve"> confirming </w:t>
      </w:r>
      <w:r w:rsidRPr="00175C3A">
        <w:rPr>
          <w:lang w:val="en-CA"/>
        </w:rPr>
        <w:t>that it is aware that</w:t>
      </w:r>
      <w:r>
        <w:rPr>
          <w:lang w:val="en-CA"/>
        </w:rPr>
        <w:t>, if th</w:t>
      </w:r>
      <w:r w:rsidR="004008CF">
        <w:rPr>
          <w:lang w:val="en-CA"/>
        </w:rPr>
        <w:t>e</w:t>
      </w:r>
      <w:r>
        <w:rPr>
          <w:lang w:val="en-CA"/>
        </w:rPr>
        <w:t xml:space="preserve"> project is approved by the Executive Committee,</w:t>
      </w:r>
      <w:r w:rsidRPr="00175C3A">
        <w:rPr>
          <w:lang w:val="en-CA"/>
        </w:rPr>
        <w:t xml:space="preserve"> no further funding w</w:t>
      </w:r>
      <w:r>
        <w:rPr>
          <w:lang w:val="en-CA"/>
        </w:rPr>
        <w:t>ill</w:t>
      </w:r>
      <w:r w:rsidRPr="00175C3A">
        <w:rPr>
          <w:lang w:val="en-CA"/>
        </w:rPr>
        <w:t xml:space="preserve"> be available until the instrument of ratification of the Kigali Amendment ha</w:t>
      </w:r>
      <w:r>
        <w:rPr>
          <w:lang w:val="en-CA"/>
        </w:rPr>
        <w:t>s</w:t>
      </w:r>
      <w:r w:rsidRPr="00175C3A">
        <w:rPr>
          <w:lang w:val="en-CA"/>
        </w:rPr>
        <w:t xml:space="preserve"> been received by the depositary at the United Nations Headquart</w:t>
      </w:r>
      <w:r w:rsidR="002840D5">
        <w:rPr>
          <w:lang w:val="en-CA"/>
        </w:rPr>
        <w:t>ers in New York; and acknowledging</w:t>
      </w:r>
      <w:r w:rsidRPr="00175C3A">
        <w:rPr>
          <w:lang w:val="en-CA"/>
        </w:rPr>
        <w:t xml:space="preserve"> that</w:t>
      </w:r>
      <w:r>
        <w:rPr>
          <w:lang w:val="en-CA"/>
        </w:rPr>
        <w:t>,</w:t>
      </w:r>
      <w:r w:rsidRPr="00175C3A">
        <w:rPr>
          <w:lang w:val="en-CA"/>
        </w:rPr>
        <w:t xml:space="preserve"> in </w:t>
      </w:r>
      <w:r>
        <w:rPr>
          <w:lang w:val="en-CA"/>
        </w:rPr>
        <w:t>the event that</w:t>
      </w:r>
      <w:r w:rsidR="004008CF">
        <w:rPr>
          <w:lang w:val="en-CA"/>
        </w:rPr>
        <w:t xml:space="preserve"> the</w:t>
      </w:r>
      <w:r w:rsidRPr="00175C3A">
        <w:rPr>
          <w:lang w:val="en-CA"/>
        </w:rPr>
        <w:t xml:space="preserve"> project is approved, any </w:t>
      </w:r>
      <w:r>
        <w:rPr>
          <w:lang w:val="en-CA"/>
        </w:rPr>
        <w:t xml:space="preserve">reduction in </w:t>
      </w:r>
      <w:r w:rsidRPr="00175C3A">
        <w:rPr>
          <w:lang w:val="en-CA"/>
        </w:rPr>
        <w:t xml:space="preserve">HFC </w:t>
      </w:r>
      <w:r>
        <w:rPr>
          <w:lang w:val="en-CA"/>
        </w:rPr>
        <w:t>consumption</w:t>
      </w:r>
      <w:r w:rsidRPr="00175C3A">
        <w:rPr>
          <w:lang w:val="en-CA"/>
        </w:rPr>
        <w:t xml:space="preserve"> w</w:t>
      </w:r>
      <w:r>
        <w:rPr>
          <w:lang w:val="en-CA"/>
        </w:rPr>
        <w:t>ill</w:t>
      </w:r>
      <w:r w:rsidRPr="00175C3A">
        <w:rPr>
          <w:lang w:val="en-CA"/>
        </w:rPr>
        <w:t xml:space="preserve"> be deducted from </w:t>
      </w:r>
      <w:r>
        <w:rPr>
          <w:lang w:val="en-CA"/>
        </w:rPr>
        <w:t>any</w:t>
      </w:r>
      <w:r w:rsidRPr="00175C3A">
        <w:rPr>
          <w:lang w:val="en-CA"/>
        </w:rPr>
        <w:t xml:space="preserve"> starting point</w:t>
      </w:r>
      <w:r>
        <w:rPr>
          <w:lang w:val="en-CA"/>
        </w:rPr>
        <w:t xml:space="preserve"> that</w:t>
      </w:r>
      <w:r w:rsidRPr="00175C3A">
        <w:rPr>
          <w:lang w:val="en-CA"/>
        </w:rPr>
        <w:t xml:space="preserve"> may be agreed in the future. </w:t>
      </w:r>
    </w:p>
    <w:p w:rsidR="00242391" w:rsidRPr="0002460E" w:rsidRDefault="00242391" w:rsidP="00242391">
      <w:pPr>
        <w:pStyle w:val="Heading1"/>
        <w:numPr>
          <w:ilvl w:val="0"/>
          <w:numId w:val="0"/>
        </w:numPr>
        <w:rPr>
          <w:u w:val="single"/>
          <w:lang w:val="en-CA"/>
        </w:rPr>
      </w:pPr>
      <w:r w:rsidRPr="0002460E">
        <w:rPr>
          <w:u w:val="single"/>
          <w:lang w:val="en-CA"/>
        </w:rPr>
        <w:t xml:space="preserve">Maturity of the technology, replicability and sustainability </w:t>
      </w:r>
    </w:p>
    <w:p w:rsidR="00242391" w:rsidRDefault="00242391" w:rsidP="00242391">
      <w:pPr>
        <w:pStyle w:val="Heading1"/>
        <w:tabs>
          <w:tab w:val="clear" w:pos="142"/>
          <w:tab w:val="num" w:pos="0"/>
        </w:tabs>
        <w:ind w:left="0"/>
        <w:rPr>
          <w:lang w:val="en-CA"/>
        </w:rPr>
      </w:pPr>
      <w:r>
        <w:rPr>
          <w:lang w:val="en-CA"/>
        </w:rPr>
        <w:t>In providing information to demonstrate the sustainability of the two project proposals, UNIDO explained that the Government of Ecuador is working on the development of regulat</w:t>
      </w:r>
      <w:r w:rsidRPr="00515880">
        <w:rPr>
          <w:lang w:val="en-CA"/>
        </w:rPr>
        <w:t>ory measures to protect and support national production once the</w:t>
      </w:r>
      <w:r>
        <w:rPr>
          <w:lang w:val="en-CA"/>
        </w:rPr>
        <w:t xml:space="preserve"> two enterprises have been </w:t>
      </w:r>
      <w:r w:rsidRPr="00515880">
        <w:rPr>
          <w:lang w:val="en-CA"/>
        </w:rPr>
        <w:t>converted</w:t>
      </w:r>
      <w:r>
        <w:rPr>
          <w:lang w:val="en-CA"/>
        </w:rPr>
        <w:t>. This includes one technical regulation (</w:t>
      </w:r>
      <w:r w:rsidRPr="00515880">
        <w:rPr>
          <w:lang w:val="en-CA"/>
        </w:rPr>
        <w:t>RTE-035</w:t>
      </w:r>
      <w:r>
        <w:rPr>
          <w:lang w:val="en-CA"/>
        </w:rPr>
        <w:t>) intended</w:t>
      </w:r>
      <w:r w:rsidRPr="00515880">
        <w:rPr>
          <w:lang w:val="en-CA"/>
        </w:rPr>
        <w:t xml:space="preserve"> to </w:t>
      </w:r>
      <w:r>
        <w:rPr>
          <w:lang w:val="en-CA"/>
        </w:rPr>
        <w:t xml:space="preserve">classify and label equipment </w:t>
      </w:r>
      <w:r w:rsidRPr="00515880">
        <w:rPr>
          <w:lang w:val="en-CA"/>
        </w:rPr>
        <w:t>according to their</w:t>
      </w:r>
      <w:r>
        <w:rPr>
          <w:lang w:val="en-CA"/>
        </w:rPr>
        <w:t xml:space="preserve"> refrigerant and </w:t>
      </w:r>
      <w:r w:rsidRPr="00515880">
        <w:rPr>
          <w:lang w:val="en-CA"/>
        </w:rPr>
        <w:t>energ</w:t>
      </w:r>
      <w:r>
        <w:rPr>
          <w:lang w:val="en-CA"/>
        </w:rPr>
        <w:t xml:space="preserve">y consumption </w:t>
      </w:r>
      <w:r w:rsidRPr="00515880">
        <w:rPr>
          <w:lang w:val="en-CA"/>
        </w:rPr>
        <w:t>to prevent safety</w:t>
      </w:r>
      <w:r>
        <w:rPr>
          <w:lang w:val="en-CA"/>
        </w:rPr>
        <w:t xml:space="preserve"> and</w:t>
      </w:r>
      <w:r w:rsidRPr="00515880">
        <w:rPr>
          <w:lang w:val="en-CA"/>
        </w:rPr>
        <w:t xml:space="preserve"> health risks</w:t>
      </w:r>
      <w:r>
        <w:rPr>
          <w:lang w:val="en-CA"/>
        </w:rPr>
        <w:t>, and another regulation (</w:t>
      </w:r>
      <w:r w:rsidRPr="00515880">
        <w:rPr>
          <w:lang w:val="en-CA"/>
        </w:rPr>
        <w:t>RTE-009</w:t>
      </w:r>
      <w:r>
        <w:rPr>
          <w:lang w:val="en-CA"/>
        </w:rPr>
        <w:t>) that</w:t>
      </w:r>
      <w:r w:rsidRPr="00515880">
        <w:rPr>
          <w:lang w:val="en-CA"/>
        </w:rPr>
        <w:t xml:space="preserve"> will restrict access </w:t>
      </w:r>
      <w:r>
        <w:rPr>
          <w:lang w:val="en-CA"/>
        </w:rPr>
        <w:t>to</w:t>
      </w:r>
      <w:r w:rsidRPr="00515880">
        <w:rPr>
          <w:lang w:val="en-CA"/>
        </w:rPr>
        <w:t xml:space="preserve"> equipment containing HCFC or HFC as </w:t>
      </w:r>
      <w:r>
        <w:rPr>
          <w:lang w:val="en-CA"/>
        </w:rPr>
        <w:t xml:space="preserve">the </w:t>
      </w:r>
      <w:r w:rsidRPr="00515880">
        <w:rPr>
          <w:lang w:val="en-CA"/>
        </w:rPr>
        <w:t>refriger</w:t>
      </w:r>
      <w:r>
        <w:rPr>
          <w:lang w:val="en-CA"/>
        </w:rPr>
        <w:t>ant</w:t>
      </w:r>
      <w:r w:rsidRPr="00515880">
        <w:rPr>
          <w:lang w:val="en-CA"/>
        </w:rPr>
        <w:t xml:space="preserve">. </w:t>
      </w:r>
      <w:r>
        <w:rPr>
          <w:lang w:val="en-CA"/>
        </w:rPr>
        <w:t xml:space="preserve">It is also expected that the conversion of the two enterprises </w:t>
      </w:r>
      <w:r w:rsidRPr="00515880">
        <w:rPr>
          <w:lang w:val="en-CA"/>
        </w:rPr>
        <w:t>will improve national and regional competitiveness</w:t>
      </w:r>
      <w:r>
        <w:rPr>
          <w:lang w:val="en-CA"/>
        </w:rPr>
        <w:t xml:space="preserve">, as </w:t>
      </w:r>
      <w:r w:rsidRPr="00515880">
        <w:rPr>
          <w:lang w:val="en-CA"/>
        </w:rPr>
        <w:t>existing multilateral trade agreements allow the entry of</w:t>
      </w:r>
      <w:r>
        <w:rPr>
          <w:lang w:val="en-CA"/>
        </w:rPr>
        <w:t xml:space="preserve"> such</w:t>
      </w:r>
      <w:r w:rsidRPr="00515880">
        <w:rPr>
          <w:lang w:val="en-CA"/>
        </w:rPr>
        <w:t xml:space="preserve"> products </w:t>
      </w:r>
      <w:r>
        <w:rPr>
          <w:lang w:val="en-CA"/>
        </w:rPr>
        <w:t xml:space="preserve">into the country </w:t>
      </w:r>
      <w:r w:rsidRPr="00515880">
        <w:rPr>
          <w:lang w:val="en-CA"/>
        </w:rPr>
        <w:t>without tariffs.</w:t>
      </w:r>
    </w:p>
    <w:p w:rsidR="00242391" w:rsidRPr="00765FAD" w:rsidRDefault="00242391" w:rsidP="00242391">
      <w:pPr>
        <w:pStyle w:val="Heading1"/>
        <w:tabs>
          <w:tab w:val="clear" w:pos="142"/>
          <w:tab w:val="num" w:pos="0"/>
        </w:tabs>
        <w:ind w:left="0"/>
        <w:rPr>
          <w:lang w:val="en-CA"/>
        </w:rPr>
      </w:pPr>
      <w:r w:rsidRPr="00765FAD">
        <w:rPr>
          <w:lang w:val="en-CA"/>
        </w:rPr>
        <w:t xml:space="preserve">UNIDO has confirmed that </w:t>
      </w:r>
      <w:r>
        <w:rPr>
          <w:lang w:val="en-CA"/>
        </w:rPr>
        <w:t>HC</w:t>
      </w:r>
      <w:r>
        <w:rPr>
          <w:lang w:val="en-CA"/>
        </w:rPr>
        <w:noBreakHyphen/>
        <w:t xml:space="preserve">based products are already on the market, and there </w:t>
      </w:r>
      <w:r w:rsidRPr="00765FAD">
        <w:rPr>
          <w:lang w:val="en-CA"/>
        </w:rPr>
        <w:t xml:space="preserve">is no limitation or barrier </w:t>
      </w:r>
      <w:r>
        <w:rPr>
          <w:lang w:val="en-CA"/>
        </w:rPr>
        <w:t>to</w:t>
      </w:r>
      <w:r w:rsidRPr="00765FAD">
        <w:rPr>
          <w:lang w:val="en-CA"/>
        </w:rPr>
        <w:t xml:space="preserve"> the introduction of </w:t>
      </w:r>
      <w:r>
        <w:rPr>
          <w:lang w:val="en-CA"/>
        </w:rPr>
        <w:t xml:space="preserve">the domestic and commercial refrigerators converted to </w:t>
      </w:r>
      <w:r w:rsidRPr="00765FAD">
        <w:rPr>
          <w:lang w:val="en-CA"/>
        </w:rPr>
        <w:t>HC</w:t>
      </w:r>
      <w:r>
        <w:rPr>
          <w:lang w:val="en-CA"/>
        </w:rPr>
        <w:t xml:space="preserve">-based refrigerants into the market, </w:t>
      </w:r>
      <w:r w:rsidRPr="00765FAD">
        <w:rPr>
          <w:lang w:val="en-CA"/>
        </w:rPr>
        <w:t xml:space="preserve">since all units produced will have a </w:t>
      </w:r>
      <w:r>
        <w:rPr>
          <w:lang w:val="en-CA"/>
        </w:rPr>
        <w:t xml:space="preserve">refrigerant </w:t>
      </w:r>
      <w:r w:rsidRPr="00765FAD">
        <w:rPr>
          <w:lang w:val="en-CA"/>
        </w:rPr>
        <w:t>charge lower than 150</w:t>
      </w:r>
      <w:r>
        <w:rPr>
          <w:lang w:val="en-CA"/>
        </w:rPr>
        <w:t xml:space="preserve"> g</w:t>
      </w:r>
      <w:r w:rsidRPr="00765FAD">
        <w:rPr>
          <w:lang w:val="en-CA"/>
        </w:rPr>
        <w:t xml:space="preserve">. </w:t>
      </w:r>
      <w:r>
        <w:rPr>
          <w:lang w:val="en-CA"/>
        </w:rPr>
        <w:t xml:space="preserve">Furthermore, </w:t>
      </w:r>
      <w:r w:rsidRPr="00765FAD">
        <w:rPr>
          <w:lang w:val="en-CA"/>
        </w:rPr>
        <w:t xml:space="preserve">Ecuador has a national regulation for HC operations </w:t>
      </w:r>
      <w:r>
        <w:rPr>
          <w:lang w:val="en-CA"/>
        </w:rPr>
        <w:t>that</w:t>
      </w:r>
      <w:r w:rsidRPr="00765FAD">
        <w:rPr>
          <w:lang w:val="en-CA"/>
        </w:rPr>
        <w:t xml:space="preserve"> includes transportation considerations (standard NTE-2266). </w:t>
      </w:r>
      <w:r>
        <w:rPr>
          <w:lang w:val="en-CA"/>
        </w:rPr>
        <w:t>HC pre</w:t>
      </w:r>
      <w:r w:rsidR="00D83FE5">
        <w:rPr>
          <w:lang w:val="en-CA"/>
        </w:rPr>
        <w:t>-</w:t>
      </w:r>
      <w:r>
        <w:rPr>
          <w:lang w:val="en-CA"/>
        </w:rPr>
        <w:t>blended polyols are also</w:t>
      </w:r>
      <w:r w:rsidR="001D14D2">
        <w:rPr>
          <w:lang w:val="en-CA"/>
        </w:rPr>
        <w:t xml:space="preserve"> starting to be </w:t>
      </w:r>
      <w:r>
        <w:rPr>
          <w:lang w:val="en-CA"/>
        </w:rPr>
        <w:t xml:space="preserve">used in the manufacturing of </w:t>
      </w:r>
      <w:r w:rsidR="001D14D2">
        <w:rPr>
          <w:lang w:val="en-CA"/>
        </w:rPr>
        <w:t>PU</w:t>
      </w:r>
      <w:r>
        <w:rPr>
          <w:lang w:val="en-CA"/>
        </w:rPr>
        <w:t xml:space="preserve"> foam.</w:t>
      </w:r>
    </w:p>
    <w:p w:rsidR="00242391" w:rsidRDefault="00242391" w:rsidP="00242391">
      <w:pPr>
        <w:pStyle w:val="Heading1"/>
        <w:tabs>
          <w:tab w:val="clear" w:pos="142"/>
          <w:tab w:val="num" w:pos="0"/>
        </w:tabs>
        <w:ind w:left="0"/>
        <w:rPr>
          <w:lang w:val="en-CA"/>
        </w:rPr>
      </w:pPr>
      <w:r w:rsidRPr="006A7774">
        <w:rPr>
          <w:lang w:val="en-CA"/>
        </w:rPr>
        <w:t xml:space="preserve">UNIDO </w:t>
      </w:r>
      <w:r>
        <w:rPr>
          <w:lang w:val="en-CA"/>
        </w:rPr>
        <w:t xml:space="preserve">has </w:t>
      </w:r>
      <w:r w:rsidRPr="006A7774">
        <w:rPr>
          <w:lang w:val="en-CA"/>
        </w:rPr>
        <w:t xml:space="preserve">indicated that the results of the </w:t>
      </w:r>
      <w:r>
        <w:rPr>
          <w:lang w:val="en-CA"/>
        </w:rPr>
        <w:t xml:space="preserve">conversions associated with the two </w:t>
      </w:r>
      <w:r w:rsidRPr="006A7774">
        <w:rPr>
          <w:lang w:val="en-CA"/>
        </w:rPr>
        <w:t xml:space="preserve">project </w:t>
      </w:r>
      <w:r>
        <w:rPr>
          <w:lang w:val="en-CA"/>
        </w:rPr>
        <w:t xml:space="preserve">proposals </w:t>
      </w:r>
      <w:r w:rsidRPr="006A7774">
        <w:rPr>
          <w:lang w:val="en-CA"/>
        </w:rPr>
        <w:t xml:space="preserve">are expected to encourage adoption of energy-efficient R-290- and R-600a-based equipment by smaller commercial-refrigeration manufacturing enterprises </w:t>
      </w:r>
      <w:r>
        <w:rPr>
          <w:lang w:val="en-CA"/>
        </w:rPr>
        <w:t xml:space="preserve">in </w:t>
      </w:r>
      <w:r w:rsidRPr="006A7774">
        <w:rPr>
          <w:lang w:val="en-CA"/>
        </w:rPr>
        <w:t>the region and in other regions.</w:t>
      </w:r>
      <w:r>
        <w:rPr>
          <w:lang w:val="en-CA"/>
        </w:rPr>
        <w:t xml:space="preserve"> </w:t>
      </w:r>
    </w:p>
    <w:p w:rsidR="00242391" w:rsidRPr="006A7774" w:rsidRDefault="00242391" w:rsidP="00242391">
      <w:pPr>
        <w:pStyle w:val="Heading1"/>
        <w:tabs>
          <w:tab w:val="clear" w:pos="142"/>
          <w:tab w:val="num" w:pos="0"/>
        </w:tabs>
        <w:ind w:left="0"/>
        <w:rPr>
          <w:lang w:val="en-CA"/>
        </w:rPr>
      </w:pPr>
      <w:r w:rsidRPr="006A7774">
        <w:rPr>
          <w:lang w:val="en-CA"/>
        </w:rPr>
        <w:t xml:space="preserve">UNIDO </w:t>
      </w:r>
      <w:r>
        <w:rPr>
          <w:lang w:val="en-CA"/>
        </w:rPr>
        <w:t xml:space="preserve">has </w:t>
      </w:r>
      <w:r w:rsidRPr="006A7774">
        <w:rPr>
          <w:lang w:val="en-CA"/>
        </w:rPr>
        <w:t xml:space="preserve">confirmed that, with the approval of </w:t>
      </w:r>
      <w:r>
        <w:rPr>
          <w:lang w:val="en-CA"/>
        </w:rPr>
        <w:t xml:space="preserve">the two </w:t>
      </w:r>
      <w:r w:rsidRPr="006A7774">
        <w:rPr>
          <w:lang w:val="en-CA"/>
        </w:rPr>
        <w:t>project</w:t>
      </w:r>
      <w:r>
        <w:rPr>
          <w:lang w:val="en-CA"/>
        </w:rPr>
        <w:t xml:space="preserve"> proposals</w:t>
      </w:r>
      <w:r w:rsidRPr="006A7774">
        <w:rPr>
          <w:lang w:val="en-CA"/>
        </w:rPr>
        <w:t>, the enterprise</w:t>
      </w:r>
      <w:r>
        <w:rPr>
          <w:lang w:val="en-CA"/>
        </w:rPr>
        <w:t>s</w:t>
      </w:r>
      <w:r w:rsidRPr="006A7774">
        <w:rPr>
          <w:lang w:val="en-CA"/>
        </w:rPr>
        <w:t xml:space="preserve"> commit to total phase-out of HFC</w:t>
      </w:r>
      <w:r w:rsidRPr="006A7774">
        <w:rPr>
          <w:lang w:val="en-CA"/>
        </w:rPr>
        <w:noBreakHyphen/>
        <w:t>134a and R-404A.</w:t>
      </w:r>
    </w:p>
    <w:p w:rsidR="00242391" w:rsidRPr="008D2126" w:rsidRDefault="00242391" w:rsidP="00F36731">
      <w:pPr>
        <w:rPr>
          <w:b/>
        </w:rPr>
      </w:pPr>
      <w:r w:rsidRPr="008D2126">
        <w:rPr>
          <w:b/>
        </w:rPr>
        <w:t>Section 2:</w:t>
      </w:r>
      <w:r w:rsidRPr="008D2126">
        <w:rPr>
          <w:b/>
        </w:rPr>
        <w:tab/>
        <w:t>Background</w:t>
      </w:r>
    </w:p>
    <w:p w:rsidR="00242391" w:rsidRPr="008D2126" w:rsidRDefault="00242391" w:rsidP="00F36731">
      <w:pPr>
        <w:rPr>
          <w:lang w:val="en-CA"/>
        </w:rPr>
      </w:pPr>
    </w:p>
    <w:p w:rsidR="00242391" w:rsidRPr="001F78F5" w:rsidRDefault="00242391" w:rsidP="00F36731">
      <w:pPr>
        <w:rPr>
          <w:u w:val="single"/>
        </w:rPr>
      </w:pPr>
      <w:r w:rsidRPr="001F78F5">
        <w:rPr>
          <w:u w:val="single"/>
        </w:rPr>
        <w:t xml:space="preserve">HFC consumption </w:t>
      </w:r>
    </w:p>
    <w:p w:rsidR="00242391" w:rsidRPr="003F0F38" w:rsidRDefault="00242391" w:rsidP="00F36731">
      <w:pPr>
        <w:rPr>
          <w:highlight w:val="yellow"/>
        </w:rPr>
      </w:pPr>
    </w:p>
    <w:p w:rsidR="00242391" w:rsidRPr="00487A07" w:rsidRDefault="00242391" w:rsidP="00F36731">
      <w:pPr>
        <w:pStyle w:val="Heading1"/>
        <w:tabs>
          <w:tab w:val="clear" w:pos="142"/>
          <w:tab w:val="num" w:pos="0"/>
        </w:tabs>
        <w:ind w:left="0"/>
      </w:pPr>
      <w:r>
        <w:t xml:space="preserve">Based on the data reported under the surveys on ODS alternatives submitted to </w:t>
      </w:r>
      <w:r w:rsidRPr="00464D28">
        <w:t>the 78</w:t>
      </w:r>
      <w:r w:rsidRPr="00464D28">
        <w:rPr>
          <w:vertAlign w:val="superscript"/>
        </w:rPr>
        <w:t>th</w:t>
      </w:r>
      <w:r w:rsidR="002840D5" w:rsidRPr="00464D28">
        <w:t xml:space="preserve"> </w:t>
      </w:r>
      <w:r w:rsidRPr="00954D06">
        <w:t>me</w:t>
      </w:r>
      <w:r>
        <w:t xml:space="preserve">eting, a total of </w:t>
      </w:r>
      <w:r w:rsidRPr="00945780">
        <w:t xml:space="preserve">813.1 </w:t>
      </w:r>
      <w:proofErr w:type="spellStart"/>
      <w:r>
        <w:t>mt</w:t>
      </w:r>
      <w:proofErr w:type="spellEnd"/>
      <w:r>
        <w:t xml:space="preserve"> of HFCs (pure and in blends) were imported in 2015 into Ecuador. The main HFCs were HFC-134a (461.9 </w:t>
      </w:r>
      <w:proofErr w:type="spellStart"/>
      <w:r>
        <w:t>mt</w:t>
      </w:r>
      <w:proofErr w:type="spellEnd"/>
      <w:r>
        <w:t xml:space="preserve"> representing 56.8 per cent of the total consumption), R-404A (113.5 </w:t>
      </w:r>
      <w:proofErr w:type="spellStart"/>
      <w:r>
        <w:t>mt</w:t>
      </w:r>
      <w:proofErr w:type="spellEnd"/>
      <w:r>
        <w:t xml:space="preserve"> representing 14.0 per cent), R-410A (103.1 </w:t>
      </w:r>
      <w:proofErr w:type="spellStart"/>
      <w:r>
        <w:t>mt</w:t>
      </w:r>
      <w:proofErr w:type="spellEnd"/>
      <w:r>
        <w:t xml:space="preserve"> representing 12.7 per cent), and R-507A </w:t>
      </w:r>
      <w:r w:rsidR="00D83FE5">
        <w:t xml:space="preserve">(85.6 </w:t>
      </w:r>
      <w:proofErr w:type="spellStart"/>
      <w:r w:rsidR="00D83FE5">
        <w:t>mt</w:t>
      </w:r>
      <w:proofErr w:type="spellEnd"/>
      <w:r w:rsidR="00D83FE5">
        <w:t>, representing 10.5 per </w:t>
      </w:r>
      <w:r>
        <w:t>cent</w:t>
      </w:r>
      <w:r w:rsidR="00866A56">
        <w:t>)</w:t>
      </w:r>
      <w:r>
        <w:t xml:space="preserve">. The remaining consumption (49.0 </w:t>
      </w:r>
      <w:proofErr w:type="spellStart"/>
      <w:r>
        <w:t>mt</w:t>
      </w:r>
      <w:proofErr w:type="spellEnd"/>
      <w:r>
        <w:t xml:space="preserve"> representing 6.0 </w:t>
      </w:r>
      <w:r w:rsidR="00866A56">
        <w:t>per cent) included one pure HFC</w:t>
      </w:r>
      <w:r>
        <w:t xml:space="preserve"> (HFC-152a) and six blends of HFCs.</w:t>
      </w:r>
    </w:p>
    <w:p w:rsidR="00242391" w:rsidRPr="00F36731" w:rsidRDefault="00242391" w:rsidP="00F36731">
      <w:pPr>
        <w:pStyle w:val="Heading1"/>
        <w:tabs>
          <w:tab w:val="clear" w:pos="142"/>
          <w:tab w:val="num" w:pos="0"/>
        </w:tabs>
        <w:ind w:left="0"/>
      </w:pPr>
      <w:r>
        <w:t>The project proposals contained detailed information on the total consumption in Ecuador of the two HFCs used by the two enterprises, namely HFC-134a and R-404A (which represented approximately 71.0 per cent of the total consumption in 2015)</w:t>
      </w:r>
      <w:r w:rsidR="00AC23F1">
        <w:t>.</w:t>
      </w:r>
      <w:r>
        <w:t xml:space="preserve"> </w:t>
      </w:r>
      <w:r w:rsidRPr="00487A07">
        <w:t xml:space="preserve">In 2017, 897.15 </w:t>
      </w:r>
      <w:proofErr w:type="spellStart"/>
      <w:r w:rsidRPr="00487A07">
        <w:t>mt</w:t>
      </w:r>
      <w:proofErr w:type="spellEnd"/>
      <w:r w:rsidRPr="00487A07">
        <w:t xml:space="preserve"> of HFCs were imported in</w:t>
      </w:r>
      <w:r>
        <w:t>to</w:t>
      </w:r>
      <w:r w:rsidRPr="00487A07">
        <w:t xml:space="preserve"> Ecuador, </w:t>
      </w:r>
      <w:r>
        <w:t xml:space="preserve">including 509.51 </w:t>
      </w:r>
      <w:proofErr w:type="spellStart"/>
      <w:r>
        <w:t>mt</w:t>
      </w:r>
      <w:proofErr w:type="spellEnd"/>
      <w:r>
        <w:t xml:space="preserve"> of HFC-134a (57.0 </w:t>
      </w:r>
      <w:r w:rsidRPr="00487A07">
        <w:t>per</w:t>
      </w:r>
      <w:r>
        <w:t> </w:t>
      </w:r>
      <w:r w:rsidRPr="00487A07">
        <w:t xml:space="preserve">cent) and </w:t>
      </w:r>
      <w:r>
        <w:t>108.</w:t>
      </w:r>
      <w:r w:rsidRPr="00F36731">
        <w:t xml:space="preserve">43 </w:t>
      </w:r>
      <w:proofErr w:type="spellStart"/>
      <w:r w:rsidRPr="00F36731">
        <w:t>mt</w:t>
      </w:r>
      <w:proofErr w:type="spellEnd"/>
      <w:r w:rsidRPr="00F36731">
        <w:t xml:space="preserve"> of R-404A (12.0 per cent). Table 1 presents the imports of HFC-134a and R</w:t>
      </w:r>
      <w:r w:rsidRPr="00F36731">
        <w:noBreakHyphen/>
        <w:t>404A between 2012 and 2017</w:t>
      </w:r>
      <w:r w:rsidR="001D14D2" w:rsidRPr="00F36731">
        <w:t xml:space="preserve"> as presented in the proposal</w:t>
      </w:r>
      <w:r w:rsidRPr="00F36731">
        <w:t xml:space="preserve">. </w:t>
      </w:r>
    </w:p>
    <w:p w:rsidR="00242391" w:rsidRPr="00F36731" w:rsidRDefault="00242391" w:rsidP="00242391">
      <w:pPr>
        <w:pStyle w:val="Heading1"/>
        <w:numPr>
          <w:ilvl w:val="0"/>
          <w:numId w:val="0"/>
        </w:numPr>
        <w:spacing w:after="0"/>
        <w:rPr>
          <w:b/>
          <w:sz w:val="21"/>
          <w:szCs w:val="21"/>
        </w:rPr>
      </w:pPr>
      <w:r w:rsidRPr="00F36731">
        <w:rPr>
          <w:b/>
          <w:sz w:val="21"/>
          <w:szCs w:val="21"/>
        </w:rPr>
        <w:t>Table 1. Imports of HFC-134a and R-404A in Ecuador (2012–2017) (</w:t>
      </w:r>
      <w:proofErr w:type="spellStart"/>
      <w:r w:rsidRPr="00F36731">
        <w:rPr>
          <w:b/>
          <w:sz w:val="21"/>
          <w:szCs w:val="21"/>
        </w:rPr>
        <w:t>mt</w:t>
      </w:r>
      <w:proofErr w:type="spellEnd"/>
      <w:r w:rsidRPr="00F36731">
        <w:rPr>
          <w:b/>
          <w:sz w:val="21"/>
          <w:szCs w:val="21"/>
        </w:rPr>
        <w:t>)</w:t>
      </w:r>
    </w:p>
    <w:tbl>
      <w:tblPr>
        <w:tblStyle w:val="Cuadrculadetabla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241"/>
        <w:gridCol w:w="1241"/>
        <w:gridCol w:w="1241"/>
        <w:gridCol w:w="1241"/>
        <w:gridCol w:w="1241"/>
        <w:gridCol w:w="1241"/>
      </w:tblGrid>
      <w:tr w:rsidR="00242391" w:rsidRPr="00F36731" w:rsidTr="000D7AE5">
        <w:trPr>
          <w:jc w:val="center"/>
        </w:trPr>
        <w:tc>
          <w:tcPr>
            <w:tcW w:w="1042" w:type="pct"/>
            <w:hideMark/>
          </w:tcPr>
          <w:p w:rsidR="00242391" w:rsidRPr="00F36731" w:rsidRDefault="00242391" w:rsidP="000D7AE5">
            <w:pPr>
              <w:ind w:left="159"/>
              <w:jc w:val="left"/>
              <w:rPr>
                <w:rFonts w:ascii="Times New Roman" w:hAnsi="Times New Roman" w:cs="Times New Roman"/>
                <w:b/>
                <w:sz w:val="20"/>
                <w:szCs w:val="20"/>
                <w:lang w:val="en-US"/>
              </w:rPr>
            </w:pPr>
            <w:r w:rsidRPr="00F36731">
              <w:rPr>
                <w:rFonts w:ascii="Times New Roman" w:hAnsi="Times New Roman" w:cs="Times New Roman"/>
                <w:b/>
                <w:sz w:val="20"/>
                <w:szCs w:val="20"/>
                <w:lang w:val="en-US"/>
              </w:rPr>
              <w:t>Substance</w:t>
            </w:r>
          </w:p>
        </w:tc>
        <w:tc>
          <w:tcPr>
            <w:tcW w:w="660" w:type="pct"/>
            <w:noWrap/>
            <w:hideMark/>
          </w:tcPr>
          <w:p w:rsidR="00242391" w:rsidRPr="00F36731" w:rsidRDefault="00242391" w:rsidP="000D7AE5">
            <w:pPr>
              <w:ind w:left="360"/>
              <w:rPr>
                <w:rFonts w:ascii="Times New Roman" w:hAnsi="Times New Roman" w:cs="Times New Roman"/>
                <w:b/>
                <w:sz w:val="20"/>
                <w:szCs w:val="20"/>
                <w:lang w:val="en-US"/>
              </w:rPr>
            </w:pPr>
            <w:r w:rsidRPr="00F36731">
              <w:rPr>
                <w:rFonts w:ascii="Times New Roman" w:hAnsi="Times New Roman" w:cs="Times New Roman"/>
                <w:b/>
                <w:sz w:val="20"/>
                <w:szCs w:val="20"/>
                <w:lang w:val="en-US"/>
              </w:rPr>
              <w:t>2012</w:t>
            </w:r>
          </w:p>
        </w:tc>
        <w:tc>
          <w:tcPr>
            <w:tcW w:w="660" w:type="pct"/>
            <w:noWrap/>
            <w:hideMark/>
          </w:tcPr>
          <w:p w:rsidR="00242391" w:rsidRPr="00F36731" w:rsidRDefault="00242391" w:rsidP="000D7AE5">
            <w:pPr>
              <w:ind w:left="360"/>
              <w:rPr>
                <w:rFonts w:ascii="Times New Roman" w:hAnsi="Times New Roman" w:cs="Times New Roman"/>
                <w:b/>
                <w:sz w:val="20"/>
                <w:szCs w:val="20"/>
                <w:lang w:val="en-US"/>
              </w:rPr>
            </w:pPr>
            <w:r w:rsidRPr="00F36731">
              <w:rPr>
                <w:rFonts w:ascii="Times New Roman" w:hAnsi="Times New Roman" w:cs="Times New Roman"/>
                <w:b/>
                <w:sz w:val="20"/>
                <w:szCs w:val="20"/>
                <w:lang w:val="en-US"/>
              </w:rPr>
              <w:t>2013</w:t>
            </w:r>
          </w:p>
        </w:tc>
        <w:tc>
          <w:tcPr>
            <w:tcW w:w="660" w:type="pct"/>
            <w:noWrap/>
            <w:hideMark/>
          </w:tcPr>
          <w:p w:rsidR="00242391" w:rsidRPr="00F36731" w:rsidRDefault="00242391" w:rsidP="000D7AE5">
            <w:pPr>
              <w:ind w:left="360"/>
              <w:rPr>
                <w:rFonts w:ascii="Times New Roman" w:hAnsi="Times New Roman" w:cs="Times New Roman"/>
                <w:b/>
                <w:sz w:val="20"/>
                <w:szCs w:val="20"/>
                <w:lang w:val="en-US"/>
              </w:rPr>
            </w:pPr>
            <w:r w:rsidRPr="00F36731">
              <w:rPr>
                <w:rFonts w:ascii="Times New Roman" w:hAnsi="Times New Roman" w:cs="Times New Roman"/>
                <w:b/>
                <w:sz w:val="20"/>
                <w:szCs w:val="20"/>
                <w:lang w:val="en-US"/>
              </w:rPr>
              <w:t>2014</w:t>
            </w:r>
          </w:p>
        </w:tc>
        <w:tc>
          <w:tcPr>
            <w:tcW w:w="660" w:type="pct"/>
            <w:noWrap/>
            <w:hideMark/>
          </w:tcPr>
          <w:p w:rsidR="00242391" w:rsidRPr="00F36731" w:rsidRDefault="00242391" w:rsidP="000D7AE5">
            <w:pPr>
              <w:ind w:left="360"/>
              <w:rPr>
                <w:rFonts w:ascii="Times New Roman" w:hAnsi="Times New Roman" w:cs="Times New Roman"/>
                <w:b/>
                <w:sz w:val="20"/>
                <w:szCs w:val="20"/>
                <w:lang w:val="en-US"/>
              </w:rPr>
            </w:pPr>
            <w:r w:rsidRPr="00F36731">
              <w:rPr>
                <w:rFonts w:ascii="Times New Roman" w:hAnsi="Times New Roman" w:cs="Times New Roman"/>
                <w:b/>
                <w:sz w:val="20"/>
                <w:szCs w:val="20"/>
                <w:lang w:val="en-US"/>
              </w:rPr>
              <w:t>2015</w:t>
            </w:r>
          </w:p>
        </w:tc>
        <w:tc>
          <w:tcPr>
            <w:tcW w:w="660" w:type="pct"/>
            <w:noWrap/>
            <w:hideMark/>
          </w:tcPr>
          <w:p w:rsidR="00242391" w:rsidRPr="00F36731" w:rsidRDefault="00242391" w:rsidP="000D7AE5">
            <w:pPr>
              <w:ind w:left="360"/>
              <w:rPr>
                <w:rFonts w:ascii="Times New Roman" w:hAnsi="Times New Roman" w:cs="Times New Roman"/>
                <w:b/>
                <w:sz w:val="20"/>
                <w:szCs w:val="20"/>
                <w:lang w:val="en-US"/>
              </w:rPr>
            </w:pPr>
            <w:r w:rsidRPr="00F36731">
              <w:rPr>
                <w:rFonts w:ascii="Times New Roman" w:hAnsi="Times New Roman" w:cs="Times New Roman"/>
                <w:b/>
                <w:sz w:val="20"/>
                <w:szCs w:val="20"/>
                <w:lang w:val="en-US"/>
              </w:rPr>
              <w:t>2016</w:t>
            </w:r>
          </w:p>
        </w:tc>
        <w:tc>
          <w:tcPr>
            <w:tcW w:w="659" w:type="pct"/>
            <w:noWrap/>
            <w:hideMark/>
          </w:tcPr>
          <w:p w:rsidR="00242391" w:rsidRPr="00F36731" w:rsidRDefault="00242391" w:rsidP="000D7AE5">
            <w:pPr>
              <w:ind w:left="360"/>
              <w:rPr>
                <w:rFonts w:ascii="Times New Roman" w:hAnsi="Times New Roman" w:cs="Times New Roman"/>
                <w:b/>
                <w:sz w:val="20"/>
                <w:szCs w:val="20"/>
                <w:lang w:val="en-US"/>
              </w:rPr>
            </w:pPr>
            <w:r w:rsidRPr="00F36731">
              <w:rPr>
                <w:rFonts w:ascii="Times New Roman" w:hAnsi="Times New Roman" w:cs="Times New Roman"/>
                <w:b/>
                <w:sz w:val="20"/>
                <w:szCs w:val="20"/>
                <w:lang w:val="en-US"/>
              </w:rPr>
              <w:t>2017</w:t>
            </w:r>
          </w:p>
        </w:tc>
      </w:tr>
      <w:tr w:rsidR="00242391" w:rsidRPr="00F36731" w:rsidTr="000D7AE5">
        <w:trPr>
          <w:jc w:val="center"/>
        </w:trPr>
        <w:tc>
          <w:tcPr>
            <w:tcW w:w="1041" w:type="pct"/>
            <w:noWrap/>
            <w:hideMark/>
          </w:tcPr>
          <w:p w:rsidR="00242391" w:rsidRPr="00F36731" w:rsidRDefault="00242391" w:rsidP="000D7AE5">
            <w:pPr>
              <w:jc w:val="left"/>
              <w:rPr>
                <w:rFonts w:ascii="Times New Roman" w:hAnsi="Times New Roman" w:cs="Times New Roman"/>
                <w:sz w:val="20"/>
                <w:szCs w:val="20"/>
                <w:lang w:val="en-US"/>
              </w:rPr>
            </w:pPr>
            <w:r w:rsidRPr="00F36731">
              <w:rPr>
                <w:rFonts w:ascii="Times New Roman" w:hAnsi="Times New Roman" w:cs="Times New Roman"/>
                <w:sz w:val="20"/>
                <w:szCs w:val="20"/>
                <w:lang w:val="en-US"/>
              </w:rPr>
              <w:t>HFC-134a</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265.19</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351.08</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484.35</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521.37</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485.81</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509.51</w:t>
            </w:r>
          </w:p>
        </w:tc>
      </w:tr>
      <w:tr w:rsidR="00242391" w:rsidRPr="00F36731" w:rsidTr="000D7AE5">
        <w:trPr>
          <w:jc w:val="center"/>
        </w:trPr>
        <w:tc>
          <w:tcPr>
            <w:tcW w:w="1041" w:type="pct"/>
            <w:noWrap/>
            <w:hideMark/>
          </w:tcPr>
          <w:p w:rsidR="00242391" w:rsidRPr="00F36731" w:rsidRDefault="00242391" w:rsidP="000D7AE5">
            <w:pPr>
              <w:jc w:val="left"/>
              <w:rPr>
                <w:rFonts w:ascii="Times New Roman" w:hAnsi="Times New Roman" w:cs="Times New Roman"/>
                <w:sz w:val="20"/>
                <w:szCs w:val="20"/>
                <w:lang w:val="en-US"/>
              </w:rPr>
            </w:pPr>
            <w:r w:rsidRPr="00F36731">
              <w:rPr>
                <w:rFonts w:ascii="Times New Roman" w:hAnsi="Times New Roman" w:cs="Times New Roman"/>
                <w:sz w:val="20"/>
                <w:szCs w:val="20"/>
                <w:lang w:val="en-US"/>
              </w:rPr>
              <w:t>R</w:t>
            </w:r>
            <w:r w:rsidRPr="00F36731">
              <w:rPr>
                <w:rFonts w:ascii="Times New Roman" w:hAnsi="Times New Roman" w:cs="Times New Roman"/>
                <w:sz w:val="20"/>
                <w:szCs w:val="20"/>
                <w:lang w:val="en-US"/>
              </w:rPr>
              <w:noBreakHyphen/>
              <w:t>404A</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43.33</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81.00</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116.31</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120.95</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107.33</w:t>
            </w:r>
          </w:p>
        </w:tc>
        <w:tc>
          <w:tcPr>
            <w:tcW w:w="660" w:type="pct"/>
            <w:noWrap/>
            <w:tcMar>
              <w:left w:w="115" w:type="dxa"/>
              <w:right w:w="216" w:type="dxa"/>
            </w:tcMar>
            <w:vAlign w:val="bottom"/>
            <w:hideMark/>
          </w:tcPr>
          <w:p w:rsidR="00242391" w:rsidRPr="00F36731" w:rsidRDefault="00242391" w:rsidP="000D7AE5">
            <w:pPr>
              <w:ind w:left="360"/>
              <w:jc w:val="right"/>
              <w:rPr>
                <w:rFonts w:ascii="Times New Roman" w:hAnsi="Times New Roman" w:cs="Times New Roman"/>
                <w:sz w:val="20"/>
                <w:szCs w:val="20"/>
                <w:lang w:val="en-US"/>
              </w:rPr>
            </w:pPr>
            <w:r w:rsidRPr="00F36731">
              <w:rPr>
                <w:rFonts w:ascii="Times New Roman" w:hAnsi="Times New Roman" w:cs="Times New Roman"/>
                <w:sz w:val="20"/>
                <w:szCs w:val="20"/>
                <w:lang w:val="en-US"/>
              </w:rPr>
              <w:t>108.43</w:t>
            </w:r>
          </w:p>
        </w:tc>
      </w:tr>
      <w:tr w:rsidR="00242391" w:rsidRPr="00F36731" w:rsidTr="000D7AE5">
        <w:trPr>
          <w:jc w:val="center"/>
        </w:trPr>
        <w:tc>
          <w:tcPr>
            <w:tcW w:w="1041" w:type="pct"/>
            <w:noWrap/>
          </w:tcPr>
          <w:p w:rsidR="00242391" w:rsidRPr="00F36731" w:rsidRDefault="00242391" w:rsidP="000D7AE5">
            <w:pPr>
              <w:rPr>
                <w:rFonts w:ascii="Times New Roman" w:hAnsi="Times New Roman" w:cs="Times New Roman"/>
                <w:sz w:val="20"/>
                <w:szCs w:val="20"/>
              </w:rPr>
            </w:pPr>
            <w:r w:rsidRPr="00F36731">
              <w:rPr>
                <w:rFonts w:ascii="Times New Roman" w:hAnsi="Times New Roman" w:cs="Times New Roman"/>
                <w:sz w:val="20"/>
                <w:szCs w:val="20"/>
              </w:rPr>
              <w:t>Total</w:t>
            </w:r>
          </w:p>
        </w:tc>
        <w:tc>
          <w:tcPr>
            <w:tcW w:w="660" w:type="pct"/>
            <w:noWrap/>
            <w:tcMar>
              <w:left w:w="115" w:type="dxa"/>
              <w:right w:w="216" w:type="dxa"/>
            </w:tcMar>
            <w:vAlign w:val="bottom"/>
          </w:tcPr>
          <w:p w:rsidR="00242391" w:rsidRPr="00F36731" w:rsidRDefault="00242391" w:rsidP="000D7AE5">
            <w:pPr>
              <w:jc w:val="right"/>
              <w:rPr>
                <w:rFonts w:ascii="Times New Roman" w:hAnsi="Times New Roman" w:cs="Times New Roman"/>
                <w:sz w:val="20"/>
                <w:szCs w:val="20"/>
              </w:rPr>
            </w:pPr>
            <w:r w:rsidRPr="00F36731">
              <w:rPr>
                <w:rFonts w:ascii="Times New Roman" w:hAnsi="Times New Roman" w:cs="Times New Roman"/>
                <w:sz w:val="20"/>
                <w:szCs w:val="20"/>
              </w:rPr>
              <w:t>308.52</w:t>
            </w:r>
          </w:p>
        </w:tc>
        <w:tc>
          <w:tcPr>
            <w:tcW w:w="660" w:type="pct"/>
            <w:noWrap/>
            <w:tcMar>
              <w:left w:w="115" w:type="dxa"/>
              <w:right w:w="216" w:type="dxa"/>
            </w:tcMar>
            <w:vAlign w:val="bottom"/>
          </w:tcPr>
          <w:p w:rsidR="00242391" w:rsidRPr="00F36731" w:rsidRDefault="00242391" w:rsidP="000D7AE5">
            <w:pPr>
              <w:jc w:val="right"/>
              <w:rPr>
                <w:rFonts w:ascii="Times New Roman" w:hAnsi="Times New Roman" w:cs="Times New Roman"/>
                <w:sz w:val="20"/>
                <w:szCs w:val="20"/>
              </w:rPr>
            </w:pPr>
            <w:r w:rsidRPr="00F36731">
              <w:rPr>
                <w:rFonts w:ascii="Times New Roman" w:hAnsi="Times New Roman" w:cs="Times New Roman"/>
                <w:sz w:val="20"/>
                <w:szCs w:val="20"/>
              </w:rPr>
              <w:t>432.08</w:t>
            </w:r>
          </w:p>
        </w:tc>
        <w:tc>
          <w:tcPr>
            <w:tcW w:w="660" w:type="pct"/>
            <w:noWrap/>
            <w:tcMar>
              <w:left w:w="115" w:type="dxa"/>
              <w:right w:w="216" w:type="dxa"/>
            </w:tcMar>
            <w:vAlign w:val="bottom"/>
          </w:tcPr>
          <w:p w:rsidR="00242391" w:rsidRPr="00F36731" w:rsidRDefault="00242391" w:rsidP="000D7AE5">
            <w:pPr>
              <w:jc w:val="right"/>
              <w:rPr>
                <w:rFonts w:ascii="Times New Roman" w:hAnsi="Times New Roman" w:cs="Times New Roman"/>
                <w:sz w:val="20"/>
                <w:szCs w:val="20"/>
              </w:rPr>
            </w:pPr>
            <w:r w:rsidRPr="00F36731">
              <w:rPr>
                <w:rFonts w:ascii="Times New Roman" w:hAnsi="Times New Roman" w:cs="Times New Roman"/>
                <w:sz w:val="20"/>
                <w:szCs w:val="20"/>
              </w:rPr>
              <w:t>600.66</w:t>
            </w:r>
          </w:p>
        </w:tc>
        <w:tc>
          <w:tcPr>
            <w:tcW w:w="660" w:type="pct"/>
            <w:noWrap/>
            <w:tcMar>
              <w:left w:w="115" w:type="dxa"/>
              <w:right w:w="216" w:type="dxa"/>
            </w:tcMar>
            <w:vAlign w:val="bottom"/>
          </w:tcPr>
          <w:p w:rsidR="00242391" w:rsidRPr="00F36731" w:rsidRDefault="00242391" w:rsidP="000D7AE5">
            <w:pPr>
              <w:jc w:val="right"/>
              <w:rPr>
                <w:rFonts w:ascii="Times New Roman" w:hAnsi="Times New Roman" w:cs="Times New Roman"/>
                <w:sz w:val="20"/>
                <w:szCs w:val="20"/>
              </w:rPr>
            </w:pPr>
            <w:r w:rsidRPr="00F36731">
              <w:rPr>
                <w:rFonts w:ascii="Times New Roman" w:hAnsi="Times New Roman" w:cs="Times New Roman"/>
                <w:sz w:val="20"/>
                <w:szCs w:val="20"/>
              </w:rPr>
              <w:t>642.32</w:t>
            </w:r>
          </w:p>
        </w:tc>
        <w:tc>
          <w:tcPr>
            <w:tcW w:w="660" w:type="pct"/>
            <w:noWrap/>
            <w:tcMar>
              <w:left w:w="115" w:type="dxa"/>
              <w:right w:w="216" w:type="dxa"/>
            </w:tcMar>
            <w:vAlign w:val="bottom"/>
          </w:tcPr>
          <w:p w:rsidR="00242391" w:rsidRPr="00F36731" w:rsidRDefault="00242391" w:rsidP="000D7AE5">
            <w:pPr>
              <w:jc w:val="right"/>
              <w:rPr>
                <w:rFonts w:ascii="Times New Roman" w:hAnsi="Times New Roman" w:cs="Times New Roman"/>
                <w:sz w:val="20"/>
                <w:szCs w:val="20"/>
              </w:rPr>
            </w:pPr>
            <w:r w:rsidRPr="00F36731">
              <w:rPr>
                <w:rFonts w:ascii="Times New Roman" w:hAnsi="Times New Roman" w:cs="Times New Roman"/>
                <w:sz w:val="20"/>
                <w:szCs w:val="20"/>
              </w:rPr>
              <w:t>593.14</w:t>
            </w:r>
          </w:p>
        </w:tc>
        <w:tc>
          <w:tcPr>
            <w:tcW w:w="660" w:type="pct"/>
            <w:noWrap/>
            <w:tcMar>
              <w:left w:w="115" w:type="dxa"/>
              <w:right w:w="216" w:type="dxa"/>
            </w:tcMar>
            <w:vAlign w:val="bottom"/>
          </w:tcPr>
          <w:p w:rsidR="00242391" w:rsidRPr="00F36731" w:rsidRDefault="00242391" w:rsidP="000D7AE5">
            <w:pPr>
              <w:jc w:val="right"/>
              <w:rPr>
                <w:rFonts w:ascii="Times New Roman" w:hAnsi="Times New Roman" w:cs="Times New Roman"/>
                <w:sz w:val="20"/>
                <w:szCs w:val="20"/>
              </w:rPr>
            </w:pPr>
            <w:r w:rsidRPr="00F36731">
              <w:rPr>
                <w:rFonts w:ascii="Times New Roman" w:hAnsi="Times New Roman" w:cs="Times New Roman"/>
                <w:sz w:val="20"/>
                <w:szCs w:val="20"/>
              </w:rPr>
              <w:t>617.94</w:t>
            </w:r>
          </w:p>
        </w:tc>
      </w:tr>
    </w:tbl>
    <w:p w:rsidR="00242391" w:rsidRPr="00F36731" w:rsidRDefault="00242391" w:rsidP="00242391"/>
    <w:p w:rsidR="00242391" w:rsidRPr="00C73C95" w:rsidRDefault="00242391" w:rsidP="00242391">
      <w:pPr>
        <w:pStyle w:val="Heading1"/>
        <w:tabs>
          <w:tab w:val="clear" w:pos="142"/>
          <w:tab w:val="num" w:pos="0"/>
        </w:tabs>
        <w:ind w:left="0"/>
      </w:pPr>
      <w:r w:rsidRPr="00F36731">
        <w:t>In 2017, the total consumption of HFC-134 and R-404A in the domestic</w:t>
      </w:r>
      <w:r w:rsidRPr="00C73C95">
        <w:t xml:space="preserve"> and commercial refrigerator </w:t>
      </w:r>
      <w:r>
        <w:t xml:space="preserve">manufacturing </w:t>
      </w:r>
      <w:r w:rsidRPr="00C73C95">
        <w:t xml:space="preserve">sector </w:t>
      </w:r>
      <w:r>
        <w:t>wa</w:t>
      </w:r>
      <w:r w:rsidRPr="00C73C95">
        <w:t>s estimated at 21.</w:t>
      </w:r>
      <w:r>
        <w:t>81</w:t>
      </w:r>
      <w:r w:rsidRPr="00C73C95">
        <w:t xml:space="preserve"> </w:t>
      </w:r>
      <w:proofErr w:type="spellStart"/>
      <w:r w:rsidRPr="00C73C95">
        <w:t>mt</w:t>
      </w:r>
      <w:proofErr w:type="spellEnd"/>
      <w:r w:rsidRPr="00C73C95">
        <w:t xml:space="preserve"> and 3.5</w:t>
      </w:r>
      <w:r>
        <w:t>2</w:t>
      </w:r>
      <w:r w:rsidRPr="00C73C95">
        <w:t xml:space="preserve"> </w:t>
      </w:r>
      <w:proofErr w:type="spellStart"/>
      <w:r w:rsidRPr="00C73C95">
        <w:t>mt</w:t>
      </w:r>
      <w:proofErr w:type="spellEnd"/>
      <w:r w:rsidRPr="00C73C95">
        <w:t xml:space="preserve">, respectively. Practically all the consumption is by two enterprises, </w:t>
      </w:r>
      <w:proofErr w:type="spellStart"/>
      <w:r w:rsidRPr="00C73C95">
        <w:t>Ecasa</w:t>
      </w:r>
      <w:proofErr w:type="spellEnd"/>
      <w:r w:rsidRPr="00C73C95">
        <w:t xml:space="preserve"> and </w:t>
      </w:r>
      <w:proofErr w:type="spellStart"/>
      <w:r w:rsidRPr="00C73C95">
        <w:t>Induglob</w:t>
      </w:r>
      <w:proofErr w:type="spellEnd"/>
      <w:r>
        <w:t xml:space="preserve">, with 0.10 </w:t>
      </w:r>
      <w:proofErr w:type="spellStart"/>
      <w:r>
        <w:t>mt</w:t>
      </w:r>
      <w:proofErr w:type="spellEnd"/>
      <w:r>
        <w:t xml:space="preserve"> of HFC-134a used by a few small and medium size enterprises (SMEs) providing technical assistance and assembly of small refrigeration equipment, as shown in </w:t>
      </w:r>
      <w:r w:rsidRPr="00C73C95">
        <w:t>Table 2.</w:t>
      </w:r>
    </w:p>
    <w:p w:rsidR="00242391" w:rsidRPr="001D4B77" w:rsidRDefault="00242391" w:rsidP="00242391">
      <w:pPr>
        <w:widowControl w:val="0"/>
        <w:jc w:val="left"/>
        <w:rPr>
          <w:b/>
          <w:bCs/>
          <w:color w:val="000000"/>
        </w:rPr>
      </w:pPr>
      <w:r w:rsidRPr="001D4B77">
        <w:rPr>
          <w:b/>
          <w:bCs/>
          <w:color w:val="000000"/>
        </w:rPr>
        <w:t xml:space="preserve">Table 2. HFC-134a and R-404A </w:t>
      </w:r>
      <w:r>
        <w:rPr>
          <w:b/>
          <w:bCs/>
          <w:color w:val="000000"/>
        </w:rPr>
        <w:t>use in</w:t>
      </w:r>
      <w:r w:rsidRPr="001D4B77">
        <w:rPr>
          <w:b/>
          <w:bCs/>
          <w:color w:val="000000"/>
        </w:rPr>
        <w:t xml:space="preserve"> </w:t>
      </w:r>
      <w:r>
        <w:rPr>
          <w:b/>
          <w:bCs/>
          <w:color w:val="000000"/>
        </w:rPr>
        <w:t xml:space="preserve">domestic and </w:t>
      </w:r>
      <w:r w:rsidRPr="001D4B77">
        <w:rPr>
          <w:b/>
          <w:bCs/>
          <w:color w:val="000000"/>
        </w:rPr>
        <w:t>commercial refrige</w:t>
      </w:r>
      <w:r>
        <w:rPr>
          <w:b/>
          <w:bCs/>
          <w:color w:val="000000"/>
        </w:rPr>
        <w:t>rators (2017) (</w:t>
      </w:r>
      <w:proofErr w:type="spellStart"/>
      <w:r>
        <w:rPr>
          <w:b/>
          <w:bCs/>
          <w:color w:val="000000"/>
        </w:rPr>
        <w:t>mt</w:t>
      </w:r>
      <w:proofErr w:type="spellEnd"/>
      <w:r>
        <w:rPr>
          <w:b/>
          <w:bCs/>
          <w:color w:val="000000"/>
        </w:rPr>
        <w:t>)</w:t>
      </w:r>
    </w:p>
    <w:tbl>
      <w:tblPr>
        <w:tblW w:w="5000" w:type="pct"/>
        <w:tblLayout w:type="fixed"/>
        <w:tblLook w:val="04A0" w:firstRow="1" w:lastRow="0" w:firstColumn="1" w:lastColumn="0" w:noHBand="0" w:noVBand="1"/>
      </w:tblPr>
      <w:tblGrid>
        <w:gridCol w:w="5934"/>
        <w:gridCol w:w="1707"/>
        <w:gridCol w:w="1709"/>
      </w:tblGrid>
      <w:tr w:rsidR="00242391" w:rsidRPr="00F36731" w:rsidTr="000D7AE5">
        <w:tc>
          <w:tcPr>
            <w:tcW w:w="3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391" w:rsidRPr="00F36731" w:rsidRDefault="00242391" w:rsidP="000D7AE5">
            <w:pPr>
              <w:jc w:val="left"/>
              <w:rPr>
                <w:b/>
                <w:bCs/>
                <w:color w:val="000000"/>
                <w:sz w:val="20"/>
                <w:szCs w:val="20"/>
                <w:lang w:val="en-US"/>
              </w:rPr>
            </w:pPr>
            <w:r w:rsidRPr="00F36731">
              <w:rPr>
                <w:b/>
                <w:bCs/>
                <w:color w:val="000000"/>
                <w:sz w:val="20"/>
                <w:szCs w:val="20"/>
                <w:lang w:val="en-US" w:eastAsia="es-EC"/>
              </w:rPr>
              <w:t>Enterprise</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242391" w:rsidRPr="00F36731" w:rsidRDefault="00242391" w:rsidP="000D7AE5">
            <w:pPr>
              <w:jc w:val="center"/>
              <w:rPr>
                <w:b/>
                <w:bCs/>
                <w:color w:val="000000"/>
                <w:sz w:val="20"/>
                <w:szCs w:val="20"/>
                <w:lang w:val="en-US"/>
              </w:rPr>
            </w:pPr>
            <w:r w:rsidRPr="00F36731">
              <w:rPr>
                <w:b/>
                <w:bCs/>
                <w:color w:val="000000"/>
                <w:sz w:val="20"/>
                <w:szCs w:val="20"/>
                <w:lang w:val="en-US" w:eastAsia="es-EC"/>
              </w:rPr>
              <w:t xml:space="preserve">HFC-134a </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242391" w:rsidRPr="00F36731" w:rsidRDefault="00242391" w:rsidP="000D7AE5">
            <w:pPr>
              <w:jc w:val="center"/>
              <w:rPr>
                <w:b/>
                <w:bCs/>
                <w:color w:val="000000"/>
                <w:sz w:val="20"/>
                <w:szCs w:val="20"/>
                <w:lang w:val="en-US"/>
              </w:rPr>
            </w:pPr>
            <w:r w:rsidRPr="00F36731">
              <w:rPr>
                <w:b/>
                <w:bCs/>
                <w:color w:val="000000"/>
                <w:sz w:val="20"/>
                <w:szCs w:val="20"/>
                <w:lang w:val="en-US"/>
              </w:rPr>
              <w:t xml:space="preserve">R-404A </w:t>
            </w:r>
          </w:p>
        </w:tc>
      </w:tr>
      <w:tr w:rsidR="00242391" w:rsidRPr="00F36731" w:rsidTr="000D7AE5">
        <w:tc>
          <w:tcPr>
            <w:tcW w:w="3173" w:type="pct"/>
            <w:tcBorders>
              <w:top w:val="nil"/>
              <w:left w:val="single" w:sz="4" w:space="0" w:color="auto"/>
              <w:bottom w:val="single" w:sz="4" w:space="0" w:color="auto"/>
              <w:right w:val="single" w:sz="4" w:space="0" w:color="auto"/>
            </w:tcBorders>
            <w:shd w:val="clear" w:color="auto" w:fill="auto"/>
            <w:noWrap/>
            <w:vAlign w:val="center"/>
            <w:hideMark/>
          </w:tcPr>
          <w:p w:rsidR="00242391" w:rsidRPr="00F36731" w:rsidRDefault="00242391" w:rsidP="000D7AE5">
            <w:pPr>
              <w:rPr>
                <w:color w:val="000000"/>
                <w:sz w:val="20"/>
                <w:szCs w:val="20"/>
                <w:lang w:val="en-US"/>
              </w:rPr>
            </w:pPr>
            <w:proofErr w:type="spellStart"/>
            <w:r w:rsidRPr="00F36731">
              <w:rPr>
                <w:color w:val="000000"/>
                <w:sz w:val="20"/>
                <w:szCs w:val="20"/>
                <w:lang w:val="es-CO" w:eastAsia="es-EC"/>
              </w:rPr>
              <w:t>Ecasa</w:t>
            </w:r>
            <w:proofErr w:type="spellEnd"/>
          </w:p>
        </w:tc>
        <w:tc>
          <w:tcPr>
            <w:tcW w:w="913" w:type="pct"/>
            <w:tcBorders>
              <w:top w:val="nil"/>
              <w:left w:val="nil"/>
              <w:bottom w:val="single" w:sz="4" w:space="0" w:color="auto"/>
              <w:right w:val="single" w:sz="4" w:space="0" w:color="auto"/>
            </w:tcBorders>
            <w:shd w:val="clear" w:color="auto" w:fill="auto"/>
            <w:tcMar>
              <w:left w:w="115" w:type="dxa"/>
              <w:right w:w="288" w:type="dxa"/>
            </w:tcMar>
            <w:vAlign w:val="center"/>
            <w:hideMark/>
          </w:tcPr>
          <w:p w:rsidR="00242391" w:rsidRPr="00F36731" w:rsidRDefault="00242391" w:rsidP="000D7AE5">
            <w:pPr>
              <w:jc w:val="right"/>
              <w:rPr>
                <w:color w:val="000000"/>
                <w:sz w:val="20"/>
                <w:szCs w:val="20"/>
                <w:lang w:val="en-US"/>
              </w:rPr>
            </w:pPr>
            <w:r w:rsidRPr="00F36731">
              <w:rPr>
                <w:color w:val="000000"/>
                <w:sz w:val="20"/>
                <w:szCs w:val="20"/>
                <w:lang w:val="en-US"/>
              </w:rPr>
              <w:t>2.32</w:t>
            </w:r>
          </w:p>
        </w:tc>
        <w:tc>
          <w:tcPr>
            <w:tcW w:w="914" w:type="pct"/>
            <w:tcBorders>
              <w:top w:val="nil"/>
              <w:left w:val="nil"/>
              <w:bottom w:val="single" w:sz="4" w:space="0" w:color="auto"/>
              <w:right w:val="single" w:sz="4" w:space="0" w:color="auto"/>
            </w:tcBorders>
            <w:shd w:val="clear" w:color="auto" w:fill="auto"/>
            <w:tcMar>
              <w:left w:w="115" w:type="dxa"/>
              <w:right w:w="288" w:type="dxa"/>
            </w:tcMar>
            <w:vAlign w:val="center"/>
            <w:hideMark/>
          </w:tcPr>
          <w:p w:rsidR="00242391" w:rsidRPr="00F36731" w:rsidRDefault="00242391" w:rsidP="000D7AE5">
            <w:pPr>
              <w:jc w:val="right"/>
              <w:rPr>
                <w:color w:val="000000"/>
                <w:sz w:val="20"/>
                <w:szCs w:val="20"/>
                <w:lang w:val="en-US"/>
              </w:rPr>
            </w:pPr>
            <w:r w:rsidRPr="00F36731">
              <w:rPr>
                <w:color w:val="000000"/>
                <w:sz w:val="20"/>
                <w:szCs w:val="20"/>
                <w:lang w:val="en-US"/>
              </w:rPr>
              <w:t>3.52</w:t>
            </w:r>
          </w:p>
        </w:tc>
      </w:tr>
      <w:tr w:rsidR="00242391" w:rsidRPr="00F36731" w:rsidTr="000D7AE5">
        <w:tc>
          <w:tcPr>
            <w:tcW w:w="3173" w:type="pct"/>
            <w:tcBorders>
              <w:top w:val="nil"/>
              <w:left w:val="single" w:sz="4" w:space="0" w:color="auto"/>
              <w:bottom w:val="single" w:sz="4" w:space="0" w:color="auto"/>
              <w:right w:val="single" w:sz="4" w:space="0" w:color="auto"/>
            </w:tcBorders>
            <w:shd w:val="clear" w:color="auto" w:fill="auto"/>
            <w:noWrap/>
            <w:vAlign w:val="center"/>
            <w:hideMark/>
          </w:tcPr>
          <w:p w:rsidR="00242391" w:rsidRPr="00F36731" w:rsidRDefault="00242391" w:rsidP="000D7AE5">
            <w:pPr>
              <w:rPr>
                <w:color w:val="000000"/>
                <w:sz w:val="20"/>
                <w:szCs w:val="20"/>
                <w:lang w:val="en-US"/>
              </w:rPr>
            </w:pPr>
            <w:proofErr w:type="spellStart"/>
            <w:r w:rsidRPr="00F36731">
              <w:rPr>
                <w:color w:val="000000"/>
                <w:sz w:val="20"/>
                <w:szCs w:val="20"/>
                <w:lang w:val="en-US" w:eastAsia="es-EC"/>
              </w:rPr>
              <w:t>Induglob</w:t>
            </w:r>
            <w:proofErr w:type="spellEnd"/>
          </w:p>
        </w:tc>
        <w:tc>
          <w:tcPr>
            <w:tcW w:w="913" w:type="pct"/>
            <w:tcBorders>
              <w:top w:val="nil"/>
              <w:left w:val="nil"/>
              <w:bottom w:val="single" w:sz="4" w:space="0" w:color="auto"/>
              <w:right w:val="single" w:sz="4" w:space="0" w:color="auto"/>
            </w:tcBorders>
            <w:shd w:val="clear" w:color="auto" w:fill="auto"/>
            <w:tcMar>
              <w:left w:w="115" w:type="dxa"/>
              <w:right w:w="288" w:type="dxa"/>
            </w:tcMar>
            <w:vAlign w:val="center"/>
            <w:hideMark/>
          </w:tcPr>
          <w:p w:rsidR="00242391" w:rsidRPr="00F36731" w:rsidRDefault="00242391" w:rsidP="000D7AE5">
            <w:pPr>
              <w:jc w:val="right"/>
              <w:rPr>
                <w:color w:val="000000"/>
                <w:sz w:val="20"/>
                <w:szCs w:val="20"/>
                <w:lang w:val="en-US"/>
              </w:rPr>
            </w:pPr>
            <w:r w:rsidRPr="00F36731">
              <w:rPr>
                <w:color w:val="000000"/>
                <w:sz w:val="20"/>
                <w:szCs w:val="20"/>
                <w:lang w:val="en-US" w:eastAsia="es-EC"/>
              </w:rPr>
              <w:t>19.39</w:t>
            </w:r>
          </w:p>
        </w:tc>
        <w:tc>
          <w:tcPr>
            <w:tcW w:w="914" w:type="pct"/>
            <w:tcBorders>
              <w:top w:val="nil"/>
              <w:left w:val="nil"/>
              <w:bottom w:val="single" w:sz="4" w:space="0" w:color="auto"/>
              <w:right w:val="single" w:sz="4" w:space="0" w:color="auto"/>
            </w:tcBorders>
            <w:shd w:val="clear" w:color="auto" w:fill="auto"/>
            <w:tcMar>
              <w:left w:w="115" w:type="dxa"/>
              <w:right w:w="288" w:type="dxa"/>
            </w:tcMar>
            <w:vAlign w:val="center"/>
            <w:hideMark/>
          </w:tcPr>
          <w:p w:rsidR="00242391" w:rsidRPr="00F36731" w:rsidRDefault="00242391" w:rsidP="000D7AE5">
            <w:pPr>
              <w:jc w:val="right"/>
              <w:rPr>
                <w:color w:val="000000"/>
                <w:sz w:val="20"/>
                <w:szCs w:val="20"/>
                <w:lang w:val="en-US"/>
              </w:rPr>
            </w:pPr>
            <w:r w:rsidRPr="00F36731">
              <w:rPr>
                <w:color w:val="000000"/>
                <w:sz w:val="20"/>
                <w:szCs w:val="20"/>
                <w:lang w:val="en-US"/>
              </w:rPr>
              <w:t>0.00</w:t>
            </w:r>
          </w:p>
        </w:tc>
      </w:tr>
      <w:tr w:rsidR="00242391" w:rsidRPr="00F36731" w:rsidTr="000D7AE5">
        <w:tc>
          <w:tcPr>
            <w:tcW w:w="3173" w:type="pct"/>
            <w:tcBorders>
              <w:top w:val="nil"/>
              <w:left w:val="single" w:sz="4" w:space="0" w:color="auto"/>
              <w:bottom w:val="single" w:sz="4" w:space="0" w:color="auto"/>
              <w:right w:val="single" w:sz="4" w:space="0" w:color="auto"/>
            </w:tcBorders>
            <w:shd w:val="clear" w:color="auto" w:fill="auto"/>
            <w:noWrap/>
            <w:vAlign w:val="center"/>
            <w:hideMark/>
          </w:tcPr>
          <w:p w:rsidR="00242391" w:rsidRPr="00F36731" w:rsidRDefault="00242391" w:rsidP="000D7AE5">
            <w:pPr>
              <w:rPr>
                <w:color w:val="000000"/>
                <w:sz w:val="20"/>
                <w:szCs w:val="20"/>
                <w:lang w:val="en-US"/>
              </w:rPr>
            </w:pPr>
            <w:r w:rsidRPr="00F36731">
              <w:rPr>
                <w:color w:val="000000"/>
                <w:sz w:val="20"/>
                <w:szCs w:val="20"/>
                <w:lang w:val="en-US" w:eastAsia="es-EC"/>
              </w:rPr>
              <w:t>Others (</w:t>
            </w:r>
            <w:proofErr w:type="spellStart"/>
            <w:r w:rsidRPr="00F36731">
              <w:rPr>
                <w:color w:val="000000"/>
                <w:sz w:val="20"/>
                <w:szCs w:val="20"/>
                <w:lang w:val="en-US" w:eastAsia="es-EC"/>
              </w:rPr>
              <w:t>Fibroacero</w:t>
            </w:r>
            <w:proofErr w:type="spellEnd"/>
            <w:r w:rsidRPr="00F36731">
              <w:rPr>
                <w:color w:val="000000"/>
                <w:sz w:val="20"/>
                <w:szCs w:val="20"/>
                <w:lang w:val="en-US" w:eastAsia="es-EC"/>
              </w:rPr>
              <w:t xml:space="preserve">, </w:t>
            </w:r>
            <w:proofErr w:type="spellStart"/>
            <w:r w:rsidRPr="00F36731">
              <w:rPr>
                <w:sz w:val="20"/>
                <w:szCs w:val="20"/>
                <w:lang w:val="en-US"/>
              </w:rPr>
              <w:t>Mafrico</w:t>
            </w:r>
            <w:proofErr w:type="spellEnd"/>
            <w:r w:rsidRPr="00F36731">
              <w:rPr>
                <w:sz w:val="20"/>
                <w:szCs w:val="20"/>
                <w:lang w:val="en-US"/>
              </w:rPr>
              <w:t xml:space="preserve">, </w:t>
            </w:r>
            <w:proofErr w:type="spellStart"/>
            <w:r w:rsidRPr="00F36731">
              <w:rPr>
                <w:sz w:val="20"/>
                <w:szCs w:val="20"/>
                <w:lang w:val="en-US"/>
              </w:rPr>
              <w:t>Megafrio</w:t>
            </w:r>
            <w:proofErr w:type="spellEnd"/>
            <w:r w:rsidRPr="00F36731">
              <w:rPr>
                <w:sz w:val="20"/>
                <w:szCs w:val="20"/>
                <w:lang w:val="en-US"/>
              </w:rPr>
              <w:t xml:space="preserve">, </w:t>
            </w:r>
            <w:proofErr w:type="spellStart"/>
            <w:r w:rsidRPr="00F36731">
              <w:rPr>
                <w:sz w:val="20"/>
                <w:szCs w:val="20"/>
                <w:lang w:val="en-US"/>
              </w:rPr>
              <w:t>Refricerm</w:t>
            </w:r>
            <w:proofErr w:type="spellEnd"/>
            <w:r w:rsidRPr="00F36731">
              <w:rPr>
                <w:sz w:val="20"/>
                <w:szCs w:val="20"/>
                <w:lang w:val="en-US"/>
              </w:rPr>
              <w:t>, and other SMEs)</w:t>
            </w:r>
          </w:p>
        </w:tc>
        <w:tc>
          <w:tcPr>
            <w:tcW w:w="913" w:type="pct"/>
            <w:tcBorders>
              <w:top w:val="nil"/>
              <w:left w:val="nil"/>
              <w:bottom w:val="single" w:sz="4" w:space="0" w:color="auto"/>
              <w:right w:val="single" w:sz="4" w:space="0" w:color="auto"/>
            </w:tcBorders>
            <w:shd w:val="clear" w:color="auto" w:fill="auto"/>
            <w:tcMar>
              <w:left w:w="115" w:type="dxa"/>
              <w:right w:w="288" w:type="dxa"/>
            </w:tcMar>
            <w:vAlign w:val="center"/>
            <w:hideMark/>
          </w:tcPr>
          <w:p w:rsidR="00242391" w:rsidRPr="00F36731" w:rsidRDefault="00242391" w:rsidP="000D7AE5">
            <w:pPr>
              <w:jc w:val="right"/>
              <w:rPr>
                <w:color w:val="000000"/>
                <w:sz w:val="20"/>
                <w:szCs w:val="20"/>
                <w:lang w:val="en-US"/>
              </w:rPr>
            </w:pPr>
            <w:r w:rsidRPr="00F36731">
              <w:rPr>
                <w:color w:val="000000"/>
                <w:sz w:val="20"/>
                <w:szCs w:val="20"/>
                <w:lang w:val="en-US" w:eastAsia="es-EC"/>
              </w:rPr>
              <w:t>0.10</w:t>
            </w:r>
          </w:p>
        </w:tc>
        <w:tc>
          <w:tcPr>
            <w:tcW w:w="914" w:type="pct"/>
            <w:tcBorders>
              <w:top w:val="nil"/>
              <w:left w:val="nil"/>
              <w:bottom w:val="single" w:sz="4" w:space="0" w:color="auto"/>
              <w:right w:val="single" w:sz="4" w:space="0" w:color="auto"/>
            </w:tcBorders>
            <w:shd w:val="clear" w:color="auto" w:fill="auto"/>
            <w:tcMar>
              <w:left w:w="115" w:type="dxa"/>
              <w:right w:w="288" w:type="dxa"/>
            </w:tcMar>
            <w:vAlign w:val="center"/>
            <w:hideMark/>
          </w:tcPr>
          <w:p w:rsidR="00242391" w:rsidRPr="00F36731" w:rsidRDefault="00521BCF" w:rsidP="000D7AE5">
            <w:pPr>
              <w:jc w:val="right"/>
              <w:rPr>
                <w:color w:val="000000"/>
                <w:sz w:val="20"/>
                <w:szCs w:val="20"/>
                <w:lang w:val="en-US"/>
              </w:rPr>
            </w:pPr>
            <w:r w:rsidRPr="00F36731">
              <w:rPr>
                <w:color w:val="000000"/>
                <w:sz w:val="20"/>
                <w:szCs w:val="20"/>
                <w:lang w:val="en-US"/>
              </w:rPr>
              <w:t>n/a</w:t>
            </w:r>
          </w:p>
        </w:tc>
      </w:tr>
      <w:tr w:rsidR="00242391" w:rsidRPr="00F36731" w:rsidTr="000D7AE5">
        <w:tc>
          <w:tcPr>
            <w:tcW w:w="3173" w:type="pct"/>
            <w:tcBorders>
              <w:top w:val="nil"/>
              <w:left w:val="single" w:sz="4" w:space="0" w:color="auto"/>
              <w:bottom w:val="single" w:sz="4" w:space="0" w:color="auto"/>
              <w:right w:val="nil"/>
            </w:tcBorders>
            <w:shd w:val="clear" w:color="auto" w:fill="auto"/>
            <w:noWrap/>
            <w:vAlign w:val="center"/>
            <w:hideMark/>
          </w:tcPr>
          <w:p w:rsidR="00242391" w:rsidRPr="00F36731" w:rsidRDefault="00242391" w:rsidP="000D7AE5">
            <w:pPr>
              <w:jc w:val="left"/>
              <w:rPr>
                <w:b/>
                <w:bCs/>
                <w:color w:val="000000"/>
                <w:sz w:val="20"/>
                <w:szCs w:val="20"/>
                <w:lang w:val="en-US"/>
              </w:rPr>
            </w:pPr>
            <w:r w:rsidRPr="00F36731">
              <w:rPr>
                <w:b/>
                <w:bCs/>
                <w:color w:val="000000"/>
                <w:sz w:val="20"/>
                <w:szCs w:val="20"/>
                <w:lang w:val="en-US"/>
              </w:rPr>
              <w:t>Total</w:t>
            </w:r>
          </w:p>
        </w:tc>
        <w:tc>
          <w:tcPr>
            <w:tcW w:w="913" w:type="pct"/>
            <w:tcBorders>
              <w:top w:val="nil"/>
              <w:left w:val="single" w:sz="4" w:space="0" w:color="auto"/>
              <w:bottom w:val="single" w:sz="4" w:space="0" w:color="auto"/>
              <w:right w:val="single" w:sz="4" w:space="0" w:color="auto"/>
            </w:tcBorders>
            <w:shd w:val="clear" w:color="auto" w:fill="auto"/>
            <w:tcMar>
              <w:left w:w="115" w:type="dxa"/>
              <w:right w:w="288" w:type="dxa"/>
            </w:tcMar>
            <w:vAlign w:val="center"/>
            <w:hideMark/>
          </w:tcPr>
          <w:p w:rsidR="00242391" w:rsidRPr="00F36731" w:rsidRDefault="00242391" w:rsidP="000D7AE5">
            <w:pPr>
              <w:jc w:val="right"/>
              <w:rPr>
                <w:b/>
                <w:bCs/>
                <w:color w:val="000000"/>
                <w:sz w:val="20"/>
                <w:szCs w:val="20"/>
                <w:lang w:val="en-US"/>
              </w:rPr>
            </w:pPr>
            <w:r w:rsidRPr="00F36731">
              <w:rPr>
                <w:b/>
                <w:bCs/>
                <w:color w:val="000000"/>
                <w:sz w:val="20"/>
                <w:szCs w:val="20"/>
                <w:lang w:val="en-US"/>
              </w:rPr>
              <w:t>21.81</w:t>
            </w:r>
          </w:p>
        </w:tc>
        <w:tc>
          <w:tcPr>
            <w:tcW w:w="914" w:type="pct"/>
            <w:tcBorders>
              <w:top w:val="nil"/>
              <w:left w:val="nil"/>
              <w:bottom w:val="single" w:sz="4" w:space="0" w:color="auto"/>
              <w:right w:val="single" w:sz="4" w:space="0" w:color="auto"/>
            </w:tcBorders>
            <w:shd w:val="clear" w:color="auto" w:fill="auto"/>
            <w:tcMar>
              <w:left w:w="115" w:type="dxa"/>
              <w:right w:w="288" w:type="dxa"/>
            </w:tcMar>
            <w:vAlign w:val="center"/>
            <w:hideMark/>
          </w:tcPr>
          <w:p w:rsidR="00242391" w:rsidRPr="00F36731" w:rsidRDefault="00242391" w:rsidP="000D7AE5">
            <w:pPr>
              <w:jc w:val="right"/>
              <w:rPr>
                <w:b/>
                <w:bCs/>
                <w:color w:val="000000"/>
                <w:sz w:val="20"/>
                <w:szCs w:val="20"/>
                <w:lang w:val="en-US"/>
              </w:rPr>
            </w:pPr>
            <w:r w:rsidRPr="00F36731">
              <w:rPr>
                <w:b/>
                <w:bCs/>
                <w:color w:val="000000"/>
                <w:sz w:val="20"/>
                <w:szCs w:val="20"/>
                <w:lang w:val="en-US"/>
              </w:rPr>
              <w:t>3.52</w:t>
            </w:r>
          </w:p>
        </w:tc>
      </w:tr>
    </w:tbl>
    <w:p w:rsidR="00242391" w:rsidRPr="00F36731" w:rsidRDefault="00242391" w:rsidP="00242391">
      <w:pPr>
        <w:widowControl w:val="0"/>
        <w:jc w:val="left"/>
        <w:rPr>
          <w:bCs/>
          <w:color w:val="000000"/>
        </w:rPr>
      </w:pPr>
    </w:p>
    <w:p w:rsidR="00F36731" w:rsidRDefault="00F36731">
      <w:pPr>
        <w:jc w:val="left"/>
        <w:rPr>
          <w:b/>
        </w:rPr>
      </w:pPr>
      <w:r>
        <w:rPr>
          <w:b/>
        </w:rPr>
        <w:br w:type="page"/>
      </w:r>
    </w:p>
    <w:p w:rsidR="00242391" w:rsidRPr="007A6947" w:rsidRDefault="00242391" w:rsidP="00F36731">
      <w:pPr>
        <w:jc w:val="left"/>
        <w:rPr>
          <w:b/>
          <w:bCs/>
          <w:color w:val="000000"/>
          <w:highlight w:val="yellow"/>
        </w:rPr>
      </w:pPr>
      <w:r w:rsidRPr="007A6947">
        <w:rPr>
          <w:b/>
        </w:rPr>
        <w:t>Section 3:</w:t>
      </w:r>
      <w:r w:rsidRPr="007A6947">
        <w:rPr>
          <w:b/>
        </w:rPr>
        <w:tab/>
        <w:t xml:space="preserve">Project proposal for conversion at </w:t>
      </w:r>
      <w:proofErr w:type="spellStart"/>
      <w:r w:rsidRPr="007A6947">
        <w:rPr>
          <w:b/>
        </w:rPr>
        <w:t>Ecasa</w:t>
      </w:r>
      <w:proofErr w:type="spellEnd"/>
    </w:p>
    <w:p w:rsidR="00242391" w:rsidRPr="00C73C95" w:rsidRDefault="00242391" w:rsidP="00F36731">
      <w:pPr>
        <w:jc w:val="left"/>
        <w:rPr>
          <w:bCs/>
          <w:color w:val="000000"/>
          <w:highlight w:val="yellow"/>
        </w:rPr>
      </w:pPr>
    </w:p>
    <w:p w:rsidR="00242391" w:rsidRPr="00E971EA" w:rsidRDefault="00242391" w:rsidP="00F36731">
      <w:pPr>
        <w:rPr>
          <w:u w:val="single"/>
        </w:rPr>
      </w:pPr>
      <w:r w:rsidRPr="00E971EA">
        <w:rPr>
          <w:u w:val="single"/>
        </w:rPr>
        <w:t>Enterprise background</w:t>
      </w:r>
    </w:p>
    <w:p w:rsidR="00242391" w:rsidRPr="003F0F38" w:rsidRDefault="00242391" w:rsidP="00F36731">
      <w:pPr>
        <w:rPr>
          <w:highlight w:val="yellow"/>
        </w:rPr>
      </w:pPr>
    </w:p>
    <w:p w:rsidR="00242391" w:rsidRPr="00F36731" w:rsidRDefault="00242391" w:rsidP="00F36731">
      <w:pPr>
        <w:pStyle w:val="Heading1"/>
        <w:tabs>
          <w:tab w:val="clear" w:pos="142"/>
        </w:tabs>
        <w:ind w:left="0"/>
      </w:pPr>
      <w:proofErr w:type="spellStart"/>
      <w:r w:rsidRPr="00F36731">
        <w:t>Ecasa</w:t>
      </w:r>
      <w:proofErr w:type="spellEnd"/>
      <w:r w:rsidRPr="00F36731">
        <w:t>, a locally-owned enterprise, received Multilateral Fund assistance</w:t>
      </w:r>
      <w:r w:rsidRPr="00F36731">
        <w:rPr>
          <w:rStyle w:val="FootnoteReference"/>
        </w:rPr>
        <w:footnoteReference w:id="8"/>
      </w:r>
      <w:r w:rsidRPr="00F36731">
        <w:t xml:space="preserve"> to replace CFC</w:t>
      </w:r>
      <w:r w:rsidRPr="00F36731">
        <w:noBreakHyphen/>
      </w:r>
      <w:r w:rsidR="00E87AD6" w:rsidRPr="00F36731">
        <w:t>12</w:t>
      </w:r>
      <w:r w:rsidRPr="00F36731">
        <w:t xml:space="preserve"> with </w:t>
      </w:r>
      <w:r w:rsidR="00E87AD6" w:rsidRPr="00F36731">
        <w:t xml:space="preserve">HFC-134a </w:t>
      </w:r>
      <w:r w:rsidRPr="00F36731">
        <w:t xml:space="preserve">at the </w:t>
      </w:r>
      <w:r w:rsidR="005D7C55" w:rsidRPr="00F36731">
        <w:t>26</w:t>
      </w:r>
      <w:r w:rsidRPr="00F36731">
        <w:rPr>
          <w:vertAlign w:val="superscript"/>
        </w:rPr>
        <w:t>th</w:t>
      </w:r>
      <w:r w:rsidRPr="00F36731">
        <w:t xml:space="preserve"> meeting (</w:t>
      </w:r>
      <w:r w:rsidR="005D7C55" w:rsidRPr="00F36731">
        <w:t>November 1998</w:t>
      </w:r>
      <w:r w:rsidRPr="00F36731">
        <w:t xml:space="preserve">). </w:t>
      </w:r>
      <w:r w:rsidR="00C3371C" w:rsidRPr="00F36731">
        <w:t xml:space="preserve">Since the completion of the project in November 2001, HFC-134a has been used </w:t>
      </w:r>
      <w:r w:rsidR="00F36731">
        <w:t xml:space="preserve">as a refrigerant </w:t>
      </w:r>
      <w:r w:rsidR="00C3371C" w:rsidRPr="00F36731">
        <w:t>to charge their products.</w:t>
      </w:r>
      <w:r w:rsidR="00C52303" w:rsidRPr="00F36731">
        <w:t xml:space="preserve"> </w:t>
      </w:r>
      <w:r w:rsidRPr="00F36731">
        <w:t>As such, the Secretariat considers that this conversion falls under paragraph 18(b) of decision XXVIII/2.</w:t>
      </w:r>
    </w:p>
    <w:p w:rsidR="00242391" w:rsidRPr="007E4C8F" w:rsidRDefault="00242391" w:rsidP="00F36731">
      <w:pPr>
        <w:pStyle w:val="Heading1"/>
        <w:tabs>
          <w:tab w:val="clear" w:pos="142"/>
          <w:tab w:val="num" w:pos="0"/>
        </w:tabs>
        <w:ind w:left="0"/>
      </w:pPr>
      <w:proofErr w:type="spellStart"/>
      <w:r w:rsidRPr="00F36731">
        <w:t>Ecasa</w:t>
      </w:r>
      <w:proofErr w:type="spellEnd"/>
      <w:r w:rsidRPr="00F36731">
        <w:t xml:space="preserve"> manufactures 18 models of self-contained domestic refrigeration, vertical and horizontal coolers, which operate with different temperature ranges, in three manufacturing lines operating for one eight-hour shift per day. In 2017 the enterprise produced 14,518 units using HFC-134a and 12,283 units</w:t>
      </w:r>
      <w:r>
        <w:t xml:space="preserve"> using R</w:t>
      </w:r>
      <w:r>
        <w:noBreakHyphen/>
        <w:t xml:space="preserve">404A. Table </w:t>
      </w:r>
      <w:r w:rsidR="00C461B8">
        <w:t>3</w:t>
      </w:r>
      <w:r w:rsidRPr="007E4C8F">
        <w:t xml:space="preserve"> presents the 2015</w:t>
      </w:r>
      <w:r w:rsidRPr="007E4C8F">
        <w:rPr>
          <w:b/>
        </w:rPr>
        <w:t>–</w:t>
      </w:r>
      <w:r w:rsidRPr="007E4C8F">
        <w:t xml:space="preserve">2017 production of HFC-based domestic and commercial refrigerators at </w:t>
      </w:r>
      <w:proofErr w:type="spellStart"/>
      <w:r w:rsidRPr="007E4C8F">
        <w:t>Ecasa</w:t>
      </w:r>
      <w:proofErr w:type="spellEnd"/>
      <w:r w:rsidRPr="007E4C8F">
        <w:t>.</w:t>
      </w:r>
    </w:p>
    <w:p w:rsidR="00242391" w:rsidRPr="00CC4313" w:rsidRDefault="00242391" w:rsidP="00242391">
      <w:pPr>
        <w:contextualSpacing/>
        <w:rPr>
          <w:b/>
        </w:rPr>
      </w:pPr>
      <w:r>
        <w:rPr>
          <w:b/>
        </w:rPr>
        <w:t xml:space="preserve">Table </w:t>
      </w:r>
      <w:r w:rsidR="00C461B8">
        <w:rPr>
          <w:b/>
        </w:rPr>
        <w:t>3</w:t>
      </w:r>
      <w:r w:rsidRPr="00CC4313">
        <w:rPr>
          <w:b/>
        </w:rPr>
        <w:t xml:space="preserve">. Manufacturing of </w:t>
      </w:r>
      <w:r>
        <w:rPr>
          <w:b/>
        </w:rPr>
        <w:t xml:space="preserve">domestic and </w:t>
      </w:r>
      <w:r w:rsidRPr="00CC4313">
        <w:rPr>
          <w:b/>
        </w:rPr>
        <w:t xml:space="preserve">commercial refrigerators at </w:t>
      </w:r>
      <w:proofErr w:type="spellStart"/>
      <w:r w:rsidRPr="00CC4313">
        <w:rPr>
          <w:b/>
        </w:rPr>
        <w:t>Ecasa</w:t>
      </w:r>
      <w:proofErr w:type="spellEnd"/>
      <w:r w:rsidRPr="00CC4313">
        <w:rPr>
          <w:b/>
        </w:rPr>
        <w:t xml:space="preserve"> (2015–2017)</w:t>
      </w:r>
    </w:p>
    <w:tbl>
      <w:tblPr>
        <w:tblW w:w="5000" w:type="pct"/>
        <w:tblLook w:val="04A0" w:firstRow="1" w:lastRow="0" w:firstColumn="1" w:lastColumn="0" w:noHBand="0" w:noVBand="1"/>
      </w:tblPr>
      <w:tblGrid>
        <w:gridCol w:w="4225"/>
        <w:gridCol w:w="1708"/>
        <w:gridCol w:w="1708"/>
        <w:gridCol w:w="1709"/>
      </w:tblGrid>
      <w:tr w:rsidR="00242391" w:rsidRPr="00B02D27" w:rsidTr="000D7AE5">
        <w:trPr>
          <w:trHeight w:val="288"/>
        </w:trPr>
        <w:tc>
          <w:tcPr>
            <w:tcW w:w="2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391" w:rsidRPr="00FC7C69" w:rsidRDefault="00242391" w:rsidP="000D7AE5">
            <w:pPr>
              <w:jc w:val="left"/>
              <w:rPr>
                <w:b/>
                <w:bCs/>
                <w:color w:val="000000"/>
                <w:sz w:val="20"/>
                <w:szCs w:val="20"/>
                <w:lang w:val="en-US"/>
              </w:rPr>
            </w:pPr>
            <w:r w:rsidRPr="00FC7C69">
              <w:rPr>
                <w:b/>
                <w:bCs/>
                <w:color w:val="000000"/>
                <w:sz w:val="20"/>
                <w:szCs w:val="20"/>
                <w:lang w:val="en-US"/>
              </w:rPr>
              <w:t>Production (units/year)</w:t>
            </w:r>
          </w:p>
        </w:tc>
        <w:tc>
          <w:tcPr>
            <w:tcW w:w="913" w:type="pct"/>
            <w:tcBorders>
              <w:top w:val="single" w:sz="4" w:space="0" w:color="auto"/>
              <w:left w:val="nil"/>
              <w:bottom w:val="single" w:sz="4" w:space="0" w:color="auto"/>
              <w:right w:val="single" w:sz="4" w:space="0" w:color="auto"/>
            </w:tcBorders>
            <w:shd w:val="clear" w:color="auto" w:fill="auto"/>
            <w:noWrap/>
            <w:vAlign w:val="bottom"/>
            <w:hideMark/>
          </w:tcPr>
          <w:p w:rsidR="00242391" w:rsidRPr="00B02D27" w:rsidRDefault="00242391" w:rsidP="000D7AE5">
            <w:pPr>
              <w:jc w:val="center"/>
              <w:rPr>
                <w:b/>
                <w:bCs/>
                <w:color w:val="000000"/>
                <w:sz w:val="20"/>
                <w:szCs w:val="20"/>
                <w:lang w:val="en-US"/>
              </w:rPr>
            </w:pPr>
            <w:r w:rsidRPr="00B02D27">
              <w:rPr>
                <w:b/>
                <w:bCs/>
                <w:color w:val="000000"/>
                <w:sz w:val="20"/>
                <w:szCs w:val="20"/>
                <w:lang w:val="en-US"/>
              </w:rPr>
              <w:t>HFC-134a</w:t>
            </w:r>
          </w:p>
        </w:tc>
        <w:tc>
          <w:tcPr>
            <w:tcW w:w="913" w:type="pct"/>
            <w:tcBorders>
              <w:top w:val="single" w:sz="4" w:space="0" w:color="auto"/>
              <w:left w:val="nil"/>
              <w:bottom w:val="single" w:sz="4" w:space="0" w:color="auto"/>
              <w:right w:val="single" w:sz="4" w:space="0" w:color="auto"/>
            </w:tcBorders>
            <w:shd w:val="clear" w:color="auto" w:fill="auto"/>
            <w:noWrap/>
            <w:vAlign w:val="bottom"/>
            <w:hideMark/>
          </w:tcPr>
          <w:p w:rsidR="00242391" w:rsidRPr="00B02D27" w:rsidRDefault="00242391" w:rsidP="000D7AE5">
            <w:pPr>
              <w:jc w:val="center"/>
              <w:rPr>
                <w:b/>
                <w:bCs/>
                <w:color w:val="000000"/>
                <w:sz w:val="20"/>
                <w:szCs w:val="20"/>
                <w:lang w:val="en-US"/>
              </w:rPr>
            </w:pPr>
            <w:r w:rsidRPr="00B02D27">
              <w:rPr>
                <w:b/>
                <w:bCs/>
                <w:color w:val="000000"/>
                <w:sz w:val="20"/>
                <w:szCs w:val="20"/>
                <w:lang w:val="en-US"/>
              </w:rPr>
              <w:t>R-404A</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rsidR="00242391" w:rsidRPr="00B02D27" w:rsidRDefault="00242391" w:rsidP="000D7AE5">
            <w:pPr>
              <w:jc w:val="center"/>
              <w:rPr>
                <w:b/>
                <w:bCs/>
                <w:color w:val="000000"/>
                <w:sz w:val="20"/>
                <w:szCs w:val="20"/>
                <w:lang w:val="en-US"/>
              </w:rPr>
            </w:pPr>
            <w:r w:rsidRPr="00B02D27">
              <w:rPr>
                <w:b/>
                <w:bCs/>
                <w:color w:val="000000"/>
                <w:sz w:val="20"/>
                <w:szCs w:val="20"/>
                <w:lang w:val="en-US"/>
              </w:rPr>
              <w:t>Total</w:t>
            </w:r>
          </w:p>
        </w:tc>
      </w:tr>
      <w:tr w:rsidR="00242391" w:rsidRPr="00B02D27" w:rsidTr="000D7AE5">
        <w:trPr>
          <w:trHeight w:val="71"/>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rsidR="00242391" w:rsidRPr="00FC7C69" w:rsidRDefault="00242391" w:rsidP="000D7AE5">
            <w:pPr>
              <w:jc w:val="left"/>
              <w:rPr>
                <w:color w:val="000000"/>
                <w:sz w:val="20"/>
                <w:szCs w:val="20"/>
                <w:lang w:val="en-US"/>
              </w:rPr>
            </w:pPr>
            <w:r w:rsidRPr="00FC7C69">
              <w:rPr>
                <w:color w:val="000000"/>
                <w:sz w:val="20"/>
                <w:szCs w:val="20"/>
                <w:lang w:val="en-US"/>
              </w:rPr>
              <w:t>2015</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s-EC"/>
              </w:rPr>
              <w:t>12,225</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s-EC"/>
              </w:rPr>
              <w:t>9,957</w:t>
            </w: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22,182</w:t>
            </w:r>
          </w:p>
        </w:tc>
      </w:tr>
      <w:tr w:rsidR="00242391" w:rsidRPr="00B02D27" w:rsidTr="000D7AE5">
        <w:trPr>
          <w:trHeight w:val="54"/>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rsidR="00242391" w:rsidRPr="00FC7C69" w:rsidRDefault="00242391" w:rsidP="000D7AE5">
            <w:pPr>
              <w:jc w:val="left"/>
              <w:rPr>
                <w:color w:val="000000"/>
                <w:sz w:val="20"/>
                <w:szCs w:val="20"/>
                <w:lang w:val="en-US"/>
              </w:rPr>
            </w:pPr>
            <w:r w:rsidRPr="00FC7C69">
              <w:rPr>
                <w:color w:val="000000"/>
                <w:sz w:val="20"/>
                <w:szCs w:val="20"/>
                <w:lang w:val="en-US"/>
              </w:rPr>
              <w:t>2016</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s-EC"/>
              </w:rPr>
              <w:t>13,752</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s-EC"/>
              </w:rPr>
              <w:t>11,619</w:t>
            </w: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25,371</w:t>
            </w:r>
          </w:p>
        </w:tc>
      </w:tr>
      <w:tr w:rsidR="00242391" w:rsidRPr="00B02D27" w:rsidTr="000D7AE5">
        <w:trPr>
          <w:trHeight w:val="134"/>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rsidR="00242391" w:rsidRPr="00FC7C69" w:rsidRDefault="00242391" w:rsidP="000D7AE5">
            <w:pPr>
              <w:jc w:val="left"/>
              <w:rPr>
                <w:color w:val="000000"/>
                <w:sz w:val="20"/>
                <w:szCs w:val="20"/>
                <w:lang w:val="en-US"/>
              </w:rPr>
            </w:pPr>
            <w:r w:rsidRPr="00FC7C69">
              <w:rPr>
                <w:color w:val="000000"/>
                <w:sz w:val="20"/>
                <w:szCs w:val="20"/>
                <w:lang w:val="en-US"/>
              </w:rPr>
              <w:t>2017</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s-EC"/>
              </w:rPr>
              <w:t>14,518</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s-EC"/>
              </w:rPr>
              <w:t>12,283</w:t>
            </w: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26,801</w:t>
            </w:r>
          </w:p>
        </w:tc>
      </w:tr>
      <w:tr w:rsidR="00242391" w:rsidRPr="00B02D27" w:rsidTr="000D7AE5">
        <w:trPr>
          <w:trHeight w:val="54"/>
        </w:trPr>
        <w:tc>
          <w:tcPr>
            <w:tcW w:w="2259" w:type="pct"/>
            <w:tcBorders>
              <w:top w:val="nil"/>
              <w:left w:val="single" w:sz="4" w:space="0" w:color="auto"/>
              <w:bottom w:val="nil"/>
              <w:right w:val="single" w:sz="4" w:space="0" w:color="auto"/>
            </w:tcBorders>
            <w:shd w:val="clear" w:color="auto" w:fill="auto"/>
            <w:noWrap/>
            <w:vAlign w:val="bottom"/>
            <w:hideMark/>
          </w:tcPr>
          <w:p w:rsidR="00242391" w:rsidRPr="00FC7C69" w:rsidRDefault="00242391" w:rsidP="000D7AE5">
            <w:pPr>
              <w:jc w:val="left"/>
              <w:rPr>
                <w:b/>
                <w:bCs/>
                <w:color w:val="000000"/>
                <w:sz w:val="20"/>
                <w:szCs w:val="20"/>
                <w:lang w:val="en-US"/>
              </w:rPr>
            </w:pPr>
            <w:r w:rsidRPr="00FC7C69">
              <w:rPr>
                <w:b/>
                <w:bCs/>
                <w:color w:val="000000"/>
                <w:sz w:val="20"/>
                <w:szCs w:val="20"/>
                <w:lang w:val="en-US"/>
              </w:rPr>
              <w:t xml:space="preserve">Average </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b/>
                <w:bCs/>
                <w:color w:val="000000"/>
                <w:sz w:val="20"/>
                <w:szCs w:val="20"/>
                <w:lang w:val="en-US"/>
              </w:rPr>
            </w:pPr>
            <w:r w:rsidRPr="00B02D27">
              <w:rPr>
                <w:b/>
                <w:bCs/>
                <w:color w:val="000000"/>
                <w:sz w:val="20"/>
                <w:szCs w:val="20"/>
                <w:lang w:val="en-US"/>
              </w:rPr>
              <w:t>13,498</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b/>
                <w:bCs/>
                <w:color w:val="000000"/>
                <w:sz w:val="20"/>
                <w:szCs w:val="20"/>
                <w:lang w:val="en-US"/>
              </w:rPr>
            </w:pPr>
            <w:r w:rsidRPr="00B02D27">
              <w:rPr>
                <w:b/>
                <w:bCs/>
                <w:color w:val="000000"/>
                <w:sz w:val="20"/>
                <w:szCs w:val="20"/>
                <w:lang w:val="en-US"/>
              </w:rPr>
              <w:t>11,286</w:t>
            </w: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b/>
                <w:bCs/>
                <w:color w:val="000000"/>
                <w:sz w:val="20"/>
                <w:szCs w:val="20"/>
                <w:lang w:val="en-US"/>
              </w:rPr>
            </w:pPr>
            <w:r w:rsidRPr="00B02D27">
              <w:rPr>
                <w:b/>
                <w:bCs/>
                <w:color w:val="000000"/>
                <w:sz w:val="20"/>
                <w:szCs w:val="20"/>
                <w:lang w:val="en-US"/>
              </w:rPr>
              <w:t>24,785</w:t>
            </w:r>
          </w:p>
        </w:tc>
      </w:tr>
      <w:tr w:rsidR="00242391" w:rsidRPr="00B02D27" w:rsidTr="000D7AE5">
        <w:trPr>
          <w:trHeight w:val="161"/>
        </w:trPr>
        <w:tc>
          <w:tcPr>
            <w:tcW w:w="2259" w:type="pct"/>
            <w:tcBorders>
              <w:top w:val="single" w:sz="4" w:space="0" w:color="auto"/>
              <w:left w:val="single" w:sz="4" w:space="0" w:color="auto"/>
              <w:bottom w:val="nil"/>
              <w:right w:val="single" w:sz="4" w:space="0" w:color="auto"/>
            </w:tcBorders>
            <w:shd w:val="clear" w:color="auto" w:fill="auto"/>
            <w:noWrap/>
            <w:vAlign w:val="bottom"/>
            <w:hideMark/>
          </w:tcPr>
          <w:p w:rsidR="00242391" w:rsidRPr="00FC7C69" w:rsidRDefault="00242391" w:rsidP="000D7AE5">
            <w:pPr>
              <w:jc w:val="left"/>
              <w:rPr>
                <w:b/>
                <w:bCs/>
                <w:color w:val="000000"/>
                <w:sz w:val="20"/>
                <w:szCs w:val="20"/>
                <w:lang w:val="en-US"/>
              </w:rPr>
            </w:pPr>
            <w:r w:rsidRPr="00FC7C69">
              <w:rPr>
                <w:b/>
                <w:bCs/>
                <w:color w:val="000000"/>
                <w:sz w:val="20"/>
                <w:szCs w:val="20"/>
                <w:lang w:val="en-US"/>
              </w:rPr>
              <w:t>Consumption (kg/year)</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tcPr>
          <w:p w:rsidR="00242391" w:rsidRPr="00B02D27" w:rsidRDefault="00242391" w:rsidP="000D7AE5">
            <w:pPr>
              <w:jc w:val="center"/>
              <w:rPr>
                <w:b/>
                <w:bCs/>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tcPr>
          <w:p w:rsidR="00242391" w:rsidRPr="00B02D27" w:rsidRDefault="00242391" w:rsidP="000D7AE5">
            <w:pPr>
              <w:jc w:val="center"/>
              <w:rPr>
                <w:b/>
                <w:bCs/>
                <w:color w:val="000000"/>
                <w:sz w:val="20"/>
                <w:szCs w:val="20"/>
                <w:lang w:val="en-US"/>
              </w:rPr>
            </w:pP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tcPr>
          <w:p w:rsidR="00242391" w:rsidRPr="00B02D27" w:rsidRDefault="00242391" w:rsidP="000D7AE5">
            <w:pPr>
              <w:jc w:val="center"/>
              <w:rPr>
                <w:b/>
                <w:bCs/>
                <w:color w:val="000000"/>
                <w:sz w:val="20"/>
                <w:szCs w:val="20"/>
                <w:lang w:val="en-US"/>
              </w:rPr>
            </w:pPr>
          </w:p>
        </w:tc>
      </w:tr>
      <w:tr w:rsidR="00242391" w:rsidRPr="00B02D27" w:rsidTr="000D7AE5">
        <w:trPr>
          <w:trHeight w:val="143"/>
        </w:trPr>
        <w:tc>
          <w:tcPr>
            <w:tcW w:w="2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391" w:rsidRPr="00FC7C69" w:rsidRDefault="00242391" w:rsidP="000D7AE5">
            <w:pPr>
              <w:jc w:val="left"/>
              <w:rPr>
                <w:color w:val="000000"/>
                <w:sz w:val="20"/>
                <w:szCs w:val="20"/>
                <w:lang w:val="en-US"/>
              </w:rPr>
            </w:pPr>
            <w:r w:rsidRPr="00FC7C69">
              <w:rPr>
                <w:color w:val="000000"/>
                <w:sz w:val="20"/>
                <w:szCs w:val="20"/>
                <w:lang w:val="en-US"/>
              </w:rPr>
              <w:t>2015</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1.96</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2.84</w:t>
            </w: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4.80</w:t>
            </w:r>
          </w:p>
        </w:tc>
      </w:tr>
      <w:tr w:rsidR="00242391" w:rsidRPr="00B02D27" w:rsidTr="000D7AE5">
        <w:trPr>
          <w:trHeight w:val="54"/>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rsidR="00242391" w:rsidRPr="00FC7C69" w:rsidRDefault="00242391" w:rsidP="000D7AE5">
            <w:pPr>
              <w:jc w:val="left"/>
              <w:rPr>
                <w:color w:val="000000"/>
                <w:sz w:val="20"/>
                <w:szCs w:val="20"/>
                <w:lang w:val="en-US"/>
              </w:rPr>
            </w:pPr>
            <w:r w:rsidRPr="00FC7C69">
              <w:rPr>
                <w:color w:val="000000"/>
                <w:sz w:val="20"/>
                <w:szCs w:val="20"/>
                <w:lang w:val="en-US"/>
              </w:rPr>
              <w:t>2016</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2.20</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3.33</w:t>
            </w: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5.53</w:t>
            </w:r>
          </w:p>
        </w:tc>
      </w:tr>
      <w:tr w:rsidR="00242391" w:rsidRPr="00B02D27" w:rsidTr="000D7AE5">
        <w:trPr>
          <w:trHeight w:val="80"/>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rsidR="00242391" w:rsidRPr="00FC7C69" w:rsidRDefault="00242391" w:rsidP="000D7AE5">
            <w:pPr>
              <w:jc w:val="left"/>
              <w:rPr>
                <w:color w:val="000000"/>
                <w:sz w:val="20"/>
                <w:szCs w:val="20"/>
                <w:lang w:val="en-US"/>
              </w:rPr>
            </w:pPr>
            <w:r w:rsidRPr="00FC7C69">
              <w:rPr>
                <w:color w:val="000000"/>
                <w:sz w:val="20"/>
                <w:szCs w:val="20"/>
                <w:lang w:val="en-US"/>
              </w:rPr>
              <w:t>2017</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2.32</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3.52</w:t>
            </w: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color w:val="000000"/>
                <w:sz w:val="20"/>
                <w:szCs w:val="20"/>
                <w:lang w:val="en-US"/>
              </w:rPr>
            </w:pPr>
            <w:r w:rsidRPr="00B02D27">
              <w:rPr>
                <w:color w:val="000000"/>
                <w:sz w:val="20"/>
                <w:szCs w:val="20"/>
                <w:lang w:val="en-US"/>
              </w:rPr>
              <w:t>5.85</w:t>
            </w:r>
          </w:p>
        </w:tc>
      </w:tr>
      <w:tr w:rsidR="00242391" w:rsidRPr="00B02D27" w:rsidTr="000D7AE5">
        <w:trPr>
          <w:trHeight w:val="54"/>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rsidR="00242391" w:rsidRPr="00FC7C69" w:rsidRDefault="00242391" w:rsidP="00464D28">
            <w:pPr>
              <w:jc w:val="left"/>
              <w:rPr>
                <w:b/>
                <w:bCs/>
                <w:color w:val="000000"/>
                <w:sz w:val="20"/>
                <w:szCs w:val="20"/>
                <w:lang w:val="en-US"/>
              </w:rPr>
            </w:pPr>
            <w:r w:rsidRPr="00FC7C69">
              <w:rPr>
                <w:b/>
                <w:bCs/>
                <w:color w:val="000000"/>
                <w:sz w:val="20"/>
                <w:szCs w:val="20"/>
                <w:lang w:val="en-US"/>
              </w:rPr>
              <w:t>Av</w:t>
            </w:r>
            <w:r w:rsidR="00162D0B">
              <w:rPr>
                <w:b/>
                <w:bCs/>
                <w:color w:val="000000"/>
                <w:sz w:val="20"/>
                <w:szCs w:val="20"/>
                <w:lang w:val="en-US"/>
              </w:rPr>
              <w:t xml:space="preserve">erage </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b/>
                <w:bCs/>
                <w:color w:val="000000"/>
                <w:sz w:val="20"/>
                <w:szCs w:val="20"/>
                <w:lang w:val="en-US"/>
              </w:rPr>
            </w:pPr>
            <w:r w:rsidRPr="00B02D27">
              <w:rPr>
                <w:b/>
                <w:bCs/>
                <w:color w:val="000000"/>
                <w:sz w:val="20"/>
                <w:szCs w:val="20"/>
                <w:lang w:val="en-US"/>
              </w:rPr>
              <w:t>2.16</w:t>
            </w:r>
          </w:p>
        </w:tc>
        <w:tc>
          <w:tcPr>
            <w:tcW w:w="913"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b/>
                <w:bCs/>
                <w:color w:val="000000"/>
                <w:sz w:val="20"/>
                <w:szCs w:val="20"/>
                <w:lang w:val="en-US"/>
              </w:rPr>
            </w:pPr>
            <w:r w:rsidRPr="00B02D27">
              <w:rPr>
                <w:b/>
                <w:bCs/>
                <w:color w:val="000000"/>
                <w:sz w:val="20"/>
                <w:szCs w:val="20"/>
                <w:lang w:val="en-US"/>
              </w:rPr>
              <w:t>3.23</w:t>
            </w:r>
          </w:p>
        </w:tc>
        <w:tc>
          <w:tcPr>
            <w:tcW w:w="914" w:type="pct"/>
            <w:tcBorders>
              <w:top w:val="nil"/>
              <w:left w:val="nil"/>
              <w:bottom w:val="single" w:sz="4" w:space="0" w:color="auto"/>
              <w:right w:val="single" w:sz="4" w:space="0" w:color="auto"/>
            </w:tcBorders>
            <w:shd w:val="clear" w:color="auto" w:fill="auto"/>
            <w:noWrap/>
            <w:tcMar>
              <w:left w:w="115" w:type="dxa"/>
              <w:right w:w="360" w:type="dxa"/>
            </w:tcMar>
            <w:vAlign w:val="bottom"/>
            <w:hideMark/>
          </w:tcPr>
          <w:p w:rsidR="00242391" w:rsidRPr="00B02D27" w:rsidRDefault="00242391" w:rsidP="000D7AE5">
            <w:pPr>
              <w:jc w:val="right"/>
              <w:rPr>
                <w:b/>
                <w:bCs/>
                <w:color w:val="000000"/>
                <w:sz w:val="20"/>
                <w:szCs w:val="20"/>
                <w:lang w:val="en-US"/>
              </w:rPr>
            </w:pPr>
            <w:r w:rsidRPr="00B02D27">
              <w:rPr>
                <w:b/>
                <w:bCs/>
                <w:color w:val="000000"/>
                <w:sz w:val="20"/>
                <w:szCs w:val="20"/>
                <w:lang w:val="en-US"/>
              </w:rPr>
              <w:t>5.39</w:t>
            </w:r>
          </w:p>
        </w:tc>
      </w:tr>
    </w:tbl>
    <w:p w:rsidR="00242391" w:rsidRPr="003F0F38" w:rsidRDefault="00242391" w:rsidP="00242391">
      <w:pPr>
        <w:outlineLvl w:val="0"/>
        <w:rPr>
          <w:highlight w:val="yellow"/>
        </w:rPr>
      </w:pPr>
    </w:p>
    <w:p w:rsidR="00242391" w:rsidRPr="005E7EF4" w:rsidRDefault="00242391" w:rsidP="00242391">
      <w:pPr>
        <w:keepNext/>
        <w:spacing w:after="240"/>
        <w:outlineLvl w:val="0"/>
        <w:rPr>
          <w:u w:val="single"/>
        </w:rPr>
      </w:pPr>
      <w:r w:rsidRPr="005E7EF4">
        <w:rPr>
          <w:u w:val="single"/>
        </w:rPr>
        <w:t>Project description</w:t>
      </w:r>
    </w:p>
    <w:p w:rsidR="00242391" w:rsidRPr="006074A2" w:rsidRDefault="00242391" w:rsidP="00242391">
      <w:pPr>
        <w:pStyle w:val="Heading1"/>
        <w:tabs>
          <w:tab w:val="clear" w:pos="142"/>
          <w:tab w:val="num" w:pos="0"/>
        </w:tabs>
        <w:ind w:left="0"/>
        <w:rPr>
          <w:lang w:val="en-US"/>
        </w:rPr>
      </w:pPr>
      <w:proofErr w:type="spellStart"/>
      <w:r>
        <w:t>Ecasa</w:t>
      </w:r>
      <w:proofErr w:type="spellEnd"/>
      <w:r>
        <w:t xml:space="preserve"> aims to convert the manufacturing line with the highest </w:t>
      </w:r>
      <w:r w:rsidR="00866A56">
        <w:t>production ratio</w:t>
      </w:r>
      <w:r w:rsidRPr="007E4C8F">
        <w:t xml:space="preserve"> </w:t>
      </w:r>
      <w:r>
        <w:t xml:space="preserve">with assistance from the </w:t>
      </w:r>
      <w:r w:rsidRPr="007E4C8F">
        <w:t xml:space="preserve">Multilateral Fund. Through implementation of the project, the </w:t>
      </w:r>
      <w:r>
        <w:t xml:space="preserve">enterprise will integrate the </w:t>
      </w:r>
      <w:r w:rsidRPr="007E4C8F">
        <w:t>production of the other two lines in the converted line.</w:t>
      </w:r>
      <w:r>
        <w:t xml:space="preserve"> </w:t>
      </w:r>
    </w:p>
    <w:p w:rsidR="00242391" w:rsidRPr="00F36731" w:rsidRDefault="00242391" w:rsidP="00242391">
      <w:pPr>
        <w:pStyle w:val="Heading1"/>
        <w:tabs>
          <w:tab w:val="clear" w:pos="142"/>
          <w:tab w:val="num" w:pos="0"/>
        </w:tabs>
        <w:ind w:left="0"/>
        <w:rPr>
          <w:lang w:val="en-US"/>
        </w:rPr>
      </w:pPr>
      <w:r w:rsidRPr="00F36731">
        <w:rPr>
          <w:lang w:val="en-US"/>
        </w:rPr>
        <w:t>The currently available replacements for HFC-based capacity are HCs (R</w:t>
      </w:r>
      <w:r w:rsidRPr="00F36731">
        <w:rPr>
          <w:lang w:val="en-US"/>
        </w:rPr>
        <w:noBreakHyphen/>
        <w:t>290 and R-600a), HFOs and their blends. R-290 and R-600a have been selected as they: have zero ODP and very low global</w:t>
      </w:r>
      <w:r w:rsidR="00866A56" w:rsidRPr="00F36731">
        <w:rPr>
          <w:lang w:val="en-US"/>
        </w:rPr>
        <w:noBreakHyphen/>
      </w:r>
      <w:r w:rsidRPr="00F36731">
        <w:rPr>
          <w:lang w:val="en-US"/>
        </w:rPr>
        <w:t xml:space="preserve">warming potential (GWP); are proven, commercially available, </w:t>
      </w:r>
      <w:r w:rsidR="00866A56" w:rsidRPr="00F36731">
        <w:rPr>
          <w:lang w:val="en-US"/>
        </w:rPr>
        <w:t xml:space="preserve">and </w:t>
      </w:r>
      <w:r w:rsidRPr="00F36731">
        <w:rPr>
          <w:lang w:val="en-US"/>
        </w:rPr>
        <w:t xml:space="preserve">internationally accepted; require the use of 40 per cent less refrigerant; use mineral oil; </w:t>
      </w:r>
      <w:r w:rsidR="00352E61" w:rsidRPr="00F36731">
        <w:rPr>
          <w:lang w:val="en-US"/>
        </w:rPr>
        <w:t xml:space="preserve">have low corrosiveness; </w:t>
      </w:r>
      <w:r w:rsidRPr="00F36731">
        <w:rPr>
          <w:lang w:val="en-US"/>
        </w:rPr>
        <w:t xml:space="preserve">enhance overall technical reliability and performance; and reduce operating noise. In addition, the enterprise has experience in manufacturing panels with pre-blended HCs. </w:t>
      </w:r>
    </w:p>
    <w:p w:rsidR="00242391" w:rsidRPr="00E073D1" w:rsidRDefault="00242391" w:rsidP="00242391">
      <w:pPr>
        <w:pStyle w:val="Heading1"/>
        <w:tabs>
          <w:tab w:val="clear" w:pos="142"/>
          <w:tab w:val="num" w:pos="0"/>
        </w:tabs>
        <w:ind w:left="0"/>
      </w:pPr>
      <w:r>
        <w:t xml:space="preserve">Given </w:t>
      </w:r>
      <w:r w:rsidRPr="00E824EE">
        <w:t xml:space="preserve">the flammability of R-290 and R-600a, changes are required in the manufacturing process, in the refrigerant storage and supply and in the products. </w:t>
      </w:r>
      <w:r w:rsidRPr="00E073D1">
        <w:t xml:space="preserve">The conversion contains two main components for which funds are being requested: </w:t>
      </w:r>
    </w:p>
    <w:p w:rsidR="00242391" w:rsidRPr="00E073D1" w:rsidRDefault="00242391" w:rsidP="00242391">
      <w:pPr>
        <w:pStyle w:val="Heading2"/>
      </w:pPr>
      <w:r w:rsidRPr="00E073D1">
        <w:t xml:space="preserve">Product </w:t>
      </w:r>
      <w:r>
        <w:t>redesign for the new refrigerant and</w:t>
      </w:r>
      <w:r w:rsidRPr="00E073D1">
        <w:t xml:space="preserve"> pilot production </w:t>
      </w:r>
      <w:r>
        <w:t>of 10 products</w:t>
      </w:r>
      <w:r w:rsidRPr="00E073D1">
        <w:t xml:space="preserve"> (</w:t>
      </w:r>
      <w:r w:rsidR="00C52303">
        <w:t>US $</w:t>
      </w:r>
      <w:r>
        <w:t>12,000</w:t>
      </w:r>
      <w:r w:rsidRPr="00E073D1">
        <w:t>)</w:t>
      </w:r>
      <w:r>
        <w:t>;</w:t>
      </w:r>
    </w:p>
    <w:p w:rsidR="00242391" w:rsidRPr="00C461B8" w:rsidRDefault="00242391" w:rsidP="00242391">
      <w:pPr>
        <w:pStyle w:val="Heading2"/>
      </w:pPr>
      <w:r w:rsidRPr="00E073D1">
        <w:t>Replacement of manufacturing equipment, including adaptation of the assembly line</w:t>
      </w:r>
      <w:r>
        <w:t>;</w:t>
      </w:r>
      <w:r w:rsidRPr="00E073D1">
        <w:t xml:space="preserve"> introduction of one </w:t>
      </w:r>
      <w:r>
        <w:t xml:space="preserve">refrigerant </w:t>
      </w:r>
      <w:r w:rsidRPr="00E073D1">
        <w:t>charging station suited to R-290 and R-600a, along with a refrigerant booster pump</w:t>
      </w:r>
      <w:r>
        <w:t>;</w:t>
      </w:r>
      <w:r w:rsidRPr="00E073D1">
        <w:t xml:space="preserve"> safety control systems, ventilation and </w:t>
      </w:r>
      <w:r>
        <w:t xml:space="preserve">an </w:t>
      </w:r>
      <w:r w:rsidRPr="00E073D1">
        <w:t>antistatic floor</w:t>
      </w:r>
      <w:r>
        <w:t>;</w:t>
      </w:r>
      <w:r w:rsidRPr="00E073D1">
        <w:t xml:space="preserve"> one ultrasonic welding machine</w:t>
      </w:r>
      <w:r>
        <w:t>;</w:t>
      </w:r>
      <w:r w:rsidRPr="00E073D1">
        <w:t xml:space="preserve"> one post-charge leak detector</w:t>
      </w:r>
      <w:r>
        <w:t xml:space="preserve"> and </w:t>
      </w:r>
      <w:r w:rsidRPr="00E073D1">
        <w:t>one helium leak-detection system</w:t>
      </w:r>
      <w:r>
        <w:t>;</w:t>
      </w:r>
      <w:r w:rsidRPr="00E073D1">
        <w:t xml:space="preserve"> one</w:t>
      </w:r>
      <w:r w:rsidR="00954D06">
        <w:t xml:space="preserve"> HC recovery unit and four hand</w:t>
      </w:r>
      <w:r w:rsidRPr="00E073D1">
        <w:t>held leak detectors for product leak tests; contingencies; safety certification</w:t>
      </w:r>
      <w:r>
        <w:t>,</w:t>
      </w:r>
      <w:r w:rsidRPr="00E073D1">
        <w:t xml:space="preserve"> </w:t>
      </w:r>
      <w:r w:rsidRPr="00C461B8">
        <w:t>training and installation (</w:t>
      </w:r>
      <w:r w:rsidR="00C52303" w:rsidRPr="00C461B8">
        <w:t>US $</w:t>
      </w:r>
      <w:r w:rsidRPr="00C461B8">
        <w:t>2</w:t>
      </w:r>
      <w:r w:rsidR="00492D60" w:rsidRPr="00C461B8">
        <w:t>23</w:t>
      </w:r>
      <w:r w:rsidRPr="00C461B8">
        <w:t>,190).</w:t>
      </w:r>
    </w:p>
    <w:p w:rsidR="00242391" w:rsidRPr="00C461B8" w:rsidRDefault="00242391" w:rsidP="00242391">
      <w:pPr>
        <w:rPr>
          <w:u w:val="single"/>
        </w:rPr>
      </w:pPr>
      <w:r w:rsidRPr="00C461B8">
        <w:rPr>
          <w:u w:val="single"/>
        </w:rPr>
        <w:t xml:space="preserve">Project costs </w:t>
      </w:r>
    </w:p>
    <w:p w:rsidR="00242391" w:rsidRPr="00C461B8" w:rsidRDefault="00242391" w:rsidP="00242391"/>
    <w:p w:rsidR="00242391" w:rsidRPr="00C461B8" w:rsidRDefault="00242391" w:rsidP="00242391">
      <w:pPr>
        <w:pStyle w:val="Heading1"/>
        <w:tabs>
          <w:tab w:val="clear" w:pos="142"/>
          <w:tab w:val="num" w:pos="0"/>
        </w:tabs>
        <w:ind w:left="0"/>
      </w:pPr>
      <w:r w:rsidRPr="00C461B8">
        <w:t xml:space="preserve">The incremental capital costs (ICCs), as originally submitted, stood at </w:t>
      </w:r>
      <w:r w:rsidR="00C52303" w:rsidRPr="00C461B8">
        <w:t>US $</w:t>
      </w:r>
      <w:r w:rsidRPr="00C461B8">
        <w:t>2</w:t>
      </w:r>
      <w:r w:rsidR="003A2AFC" w:rsidRPr="00C461B8">
        <w:t>35</w:t>
      </w:r>
      <w:r w:rsidRPr="00C461B8">
        <w:t>,190 as shown in Table </w:t>
      </w:r>
      <w:r w:rsidR="00C461B8" w:rsidRPr="00C461B8">
        <w:t>4</w:t>
      </w:r>
      <w:r w:rsidRPr="00C461B8">
        <w:t>.</w:t>
      </w:r>
    </w:p>
    <w:p w:rsidR="00242391" w:rsidRPr="00C461B8" w:rsidRDefault="00242391" w:rsidP="00C461B8">
      <w:pPr>
        <w:autoSpaceDE w:val="0"/>
        <w:autoSpaceDN w:val="0"/>
        <w:adjustRightInd w:val="0"/>
        <w:rPr>
          <w:b/>
          <w:sz w:val="21"/>
          <w:szCs w:val="21"/>
        </w:rPr>
      </w:pPr>
      <w:r w:rsidRPr="00C461B8">
        <w:rPr>
          <w:b/>
          <w:sz w:val="21"/>
          <w:szCs w:val="21"/>
        </w:rPr>
        <w:t xml:space="preserve">Table </w:t>
      </w:r>
      <w:r w:rsidR="00C461B8" w:rsidRPr="00C461B8">
        <w:rPr>
          <w:b/>
          <w:sz w:val="21"/>
          <w:szCs w:val="21"/>
        </w:rPr>
        <w:t xml:space="preserve">4. </w:t>
      </w:r>
      <w:r w:rsidRPr="00C461B8">
        <w:rPr>
          <w:b/>
          <w:sz w:val="21"/>
          <w:szCs w:val="21"/>
        </w:rPr>
        <w:t xml:space="preserve"> ICCs for the conversion of domestic and commercial refrigerators manufacturing at </w:t>
      </w:r>
      <w:proofErr w:type="spellStart"/>
      <w:r w:rsidRPr="00C461B8">
        <w:rPr>
          <w:b/>
          <w:sz w:val="21"/>
          <w:szCs w:val="21"/>
        </w:rPr>
        <w:t>Ecasa</w:t>
      </w:r>
      <w:proofErr w:type="spellEnd"/>
      <w:r w:rsidRPr="00C461B8">
        <w:rPr>
          <w:b/>
          <w:sz w:val="21"/>
          <w:szCs w:val="21"/>
        </w:rPr>
        <w:t xml:space="preserve"> </w:t>
      </w:r>
    </w:p>
    <w:tbl>
      <w:tblPr>
        <w:tblW w:w="9360" w:type="dxa"/>
        <w:tblInd w:w="-5" w:type="dxa"/>
        <w:tblLook w:val="04A0" w:firstRow="1" w:lastRow="0" w:firstColumn="1" w:lastColumn="0" w:noHBand="0" w:noVBand="1"/>
      </w:tblPr>
      <w:tblGrid>
        <w:gridCol w:w="5040"/>
        <w:gridCol w:w="1613"/>
        <w:gridCol w:w="1362"/>
        <w:gridCol w:w="1345"/>
      </w:tblGrid>
      <w:tr w:rsidR="00242391" w:rsidRPr="00C461B8" w:rsidTr="00C461B8">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C461B8" w:rsidRDefault="00242391" w:rsidP="00C461B8">
            <w:pPr>
              <w:jc w:val="left"/>
              <w:rPr>
                <w:b/>
                <w:bCs/>
                <w:color w:val="000000"/>
                <w:sz w:val="20"/>
                <w:szCs w:val="20"/>
                <w:lang w:val="en-US"/>
              </w:rPr>
            </w:pPr>
            <w:r w:rsidRPr="00C461B8">
              <w:rPr>
                <w:b/>
                <w:bCs/>
                <w:color w:val="000000"/>
                <w:sz w:val="20"/>
                <w:szCs w:val="20"/>
                <w:lang w:val="en-US"/>
              </w:rPr>
              <w:t>Item</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242391" w:rsidRPr="00C461B8" w:rsidRDefault="00242391" w:rsidP="00C461B8">
            <w:pPr>
              <w:jc w:val="center"/>
              <w:rPr>
                <w:b/>
                <w:bCs/>
                <w:color w:val="000000"/>
                <w:sz w:val="20"/>
                <w:szCs w:val="20"/>
                <w:lang w:val="en-US"/>
              </w:rPr>
            </w:pPr>
            <w:r w:rsidRPr="00C461B8">
              <w:rPr>
                <w:b/>
                <w:bCs/>
                <w:color w:val="000000"/>
                <w:sz w:val="20"/>
                <w:szCs w:val="20"/>
                <w:lang w:val="en-US"/>
              </w:rPr>
              <w:t>Units</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242391" w:rsidRPr="00C461B8" w:rsidRDefault="00242391" w:rsidP="00C461B8">
            <w:pPr>
              <w:jc w:val="center"/>
              <w:rPr>
                <w:b/>
                <w:bCs/>
                <w:color w:val="000000"/>
                <w:sz w:val="20"/>
                <w:szCs w:val="20"/>
                <w:lang w:val="en-US"/>
              </w:rPr>
            </w:pPr>
            <w:r w:rsidRPr="00C461B8">
              <w:rPr>
                <w:b/>
                <w:bCs/>
                <w:color w:val="000000"/>
                <w:sz w:val="20"/>
                <w:szCs w:val="20"/>
                <w:lang w:val="en-US"/>
              </w:rPr>
              <w:t>Unit cost</w:t>
            </w:r>
          </w:p>
          <w:p w:rsidR="00242391" w:rsidRPr="00C461B8" w:rsidRDefault="00242391" w:rsidP="00C461B8">
            <w:pPr>
              <w:jc w:val="center"/>
              <w:rPr>
                <w:b/>
                <w:bCs/>
                <w:color w:val="000000"/>
                <w:sz w:val="20"/>
                <w:szCs w:val="20"/>
                <w:lang w:val="en-US"/>
              </w:rPr>
            </w:pPr>
            <w:r w:rsidRPr="00C461B8">
              <w:rPr>
                <w:b/>
                <w:bCs/>
                <w:color w:val="000000"/>
                <w:sz w:val="20"/>
                <w:szCs w:val="20"/>
                <w:lang w:val="en-US"/>
              </w:rPr>
              <w:t>(</w:t>
            </w:r>
            <w:r w:rsidR="00C52303" w:rsidRPr="00C461B8">
              <w:rPr>
                <w:b/>
                <w:bCs/>
                <w:color w:val="000000"/>
                <w:sz w:val="20"/>
                <w:szCs w:val="20"/>
                <w:lang w:val="en-US"/>
              </w:rPr>
              <w:t>US $</w:t>
            </w:r>
            <w:r w:rsidRPr="00C461B8">
              <w:rPr>
                <w:b/>
                <w:bCs/>
                <w:color w:val="000000"/>
                <w:sz w:val="20"/>
                <w:szCs w:val="20"/>
                <w:lang w:val="en-US"/>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242391" w:rsidRPr="00C461B8" w:rsidRDefault="00242391" w:rsidP="00C461B8">
            <w:pPr>
              <w:jc w:val="center"/>
              <w:rPr>
                <w:b/>
                <w:bCs/>
                <w:color w:val="000000"/>
                <w:sz w:val="18"/>
                <w:szCs w:val="18"/>
                <w:lang w:val="en-US"/>
              </w:rPr>
            </w:pPr>
            <w:r w:rsidRPr="00C461B8">
              <w:rPr>
                <w:b/>
                <w:bCs/>
                <w:color w:val="000000"/>
                <w:sz w:val="18"/>
                <w:szCs w:val="18"/>
                <w:lang w:val="en-US"/>
              </w:rPr>
              <w:t>Total cost</w:t>
            </w:r>
          </w:p>
          <w:p w:rsidR="00242391" w:rsidRPr="00C461B8" w:rsidRDefault="00242391" w:rsidP="00C461B8">
            <w:pPr>
              <w:jc w:val="center"/>
              <w:rPr>
                <w:b/>
                <w:bCs/>
                <w:color w:val="000000"/>
                <w:sz w:val="18"/>
                <w:szCs w:val="18"/>
                <w:lang w:val="en-US"/>
              </w:rPr>
            </w:pPr>
            <w:r w:rsidRPr="00C461B8">
              <w:rPr>
                <w:b/>
                <w:bCs/>
                <w:color w:val="000000"/>
                <w:sz w:val="18"/>
                <w:szCs w:val="18"/>
                <w:lang w:val="en-US"/>
              </w:rPr>
              <w:t>(</w:t>
            </w:r>
            <w:r w:rsidR="00C52303" w:rsidRPr="00C461B8">
              <w:rPr>
                <w:b/>
                <w:bCs/>
                <w:color w:val="000000"/>
                <w:sz w:val="18"/>
                <w:szCs w:val="18"/>
                <w:lang w:val="en-US"/>
              </w:rPr>
              <w:t>US $</w:t>
            </w:r>
            <w:r w:rsidRPr="00C461B8">
              <w:rPr>
                <w:b/>
                <w:bCs/>
                <w:color w:val="000000"/>
                <w:sz w:val="18"/>
                <w:szCs w:val="18"/>
                <w:lang w:val="en-US"/>
              </w:rPr>
              <w:t>)</w:t>
            </w:r>
          </w:p>
        </w:tc>
      </w:tr>
      <w:tr w:rsidR="00242391" w:rsidRPr="00C461B8" w:rsidTr="00C461B8">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C461B8">
            <w:pPr>
              <w:jc w:val="left"/>
              <w:rPr>
                <w:b/>
                <w:bCs/>
                <w:color w:val="000000"/>
                <w:sz w:val="20"/>
                <w:szCs w:val="20"/>
                <w:lang w:val="en-US"/>
              </w:rPr>
            </w:pPr>
            <w:r w:rsidRPr="00C461B8">
              <w:rPr>
                <w:b/>
                <w:bCs/>
                <w:color w:val="000000"/>
                <w:sz w:val="20"/>
                <w:szCs w:val="20"/>
                <w:lang w:val="en-US"/>
              </w:rPr>
              <w:t>1. General product redesign</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C461B8">
            <w:pPr>
              <w:ind w:left="251"/>
              <w:jc w:val="left"/>
              <w:rPr>
                <w:color w:val="000000"/>
                <w:sz w:val="20"/>
                <w:szCs w:val="20"/>
                <w:lang w:val="en-US"/>
              </w:rPr>
            </w:pPr>
            <w:r w:rsidRPr="00C461B8">
              <w:rPr>
                <w:color w:val="000000"/>
                <w:sz w:val="20"/>
                <w:szCs w:val="20"/>
                <w:lang w:val="en-US"/>
              </w:rPr>
              <w:t>Platform redesign</w:t>
            </w:r>
          </w:p>
        </w:tc>
        <w:tc>
          <w:tcPr>
            <w:tcW w:w="1613"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C461B8">
            <w:pPr>
              <w:jc w:val="center"/>
              <w:rPr>
                <w:color w:val="000000"/>
                <w:sz w:val="20"/>
                <w:szCs w:val="20"/>
                <w:lang w:val="en-US"/>
              </w:rPr>
            </w:pPr>
            <w:r w:rsidRPr="00C461B8">
              <w:rPr>
                <w:color w:val="000000"/>
                <w:sz w:val="20"/>
                <w:szCs w:val="20"/>
                <w:lang w:val="en-US"/>
              </w:rPr>
              <w:t>10</w:t>
            </w:r>
          </w:p>
        </w:tc>
        <w:tc>
          <w:tcPr>
            <w:tcW w:w="1362"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C461B8">
            <w:pPr>
              <w:jc w:val="right"/>
              <w:rPr>
                <w:color w:val="000000"/>
                <w:sz w:val="20"/>
                <w:szCs w:val="20"/>
                <w:lang w:val="en-US"/>
              </w:rPr>
            </w:pPr>
            <w:r w:rsidRPr="00C461B8">
              <w:rPr>
                <w:color w:val="000000"/>
                <w:sz w:val="20"/>
                <w:szCs w:val="20"/>
                <w:lang w:val="en-US"/>
              </w:rPr>
              <w:t>1,200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C461B8">
            <w:pPr>
              <w:jc w:val="right"/>
              <w:rPr>
                <w:color w:val="000000"/>
                <w:sz w:val="20"/>
                <w:szCs w:val="20"/>
                <w:lang w:val="en-US"/>
              </w:rPr>
            </w:pPr>
            <w:r w:rsidRPr="00C461B8">
              <w:rPr>
                <w:color w:val="000000"/>
                <w:sz w:val="20"/>
                <w:szCs w:val="20"/>
                <w:lang w:val="en-US"/>
              </w:rPr>
              <w:t>12,000</w:t>
            </w:r>
          </w:p>
        </w:tc>
      </w:tr>
      <w:tr w:rsidR="00242391" w:rsidRPr="00C461B8" w:rsidTr="00C461B8">
        <w:tc>
          <w:tcPr>
            <w:tcW w:w="80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C461B8" w:rsidRDefault="00242391" w:rsidP="00C461B8">
            <w:pPr>
              <w:jc w:val="left"/>
              <w:rPr>
                <w:b/>
                <w:bCs/>
                <w:color w:val="000000"/>
                <w:sz w:val="20"/>
                <w:szCs w:val="20"/>
                <w:lang w:val="en-US"/>
              </w:rPr>
            </w:pPr>
            <w:r w:rsidRPr="00C461B8">
              <w:rPr>
                <w:b/>
                <w:bCs/>
                <w:color w:val="000000"/>
                <w:sz w:val="20"/>
                <w:szCs w:val="20"/>
                <w:lang w:val="en-US"/>
              </w:rPr>
              <w:t>Total product design and trials</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C461B8">
            <w:pPr>
              <w:jc w:val="right"/>
              <w:rPr>
                <w:b/>
                <w:bCs/>
                <w:color w:val="000000"/>
                <w:sz w:val="20"/>
                <w:szCs w:val="20"/>
                <w:lang w:val="en-US"/>
              </w:rPr>
            </w:pPr>
            <w:r w:rsidRPr="00C461B8">
              <w:rPr>
                <w:b/>
                <w:bCs/>
                <w:color w:val="000000"/>
                <w:sz w:val="20"/>
                <w:szCs w:val="20"/>
                <w:lang w:val="en-US"/>
              </w:rPr>
              <w:t>12,000</w:t>
            </w:r>
          </w:p>
        </w:tc>
      </w:tr>
      <w:tr w:rsidR="00242391" w:rsidRPr="00C461B8" w:rsidTr="00C461B8">
        <w:tc>
          <w:tcPr>
            <w:tcW w:w="6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C461B8" w:rsidRDefault="00242391" w:rsidP="00C461B8">
            <w:pPr>
              <w:rPr>
                <w:b/>
                <w:bCs/>
                <w:color w:val="000000"/>
                <w:sz w:val="20"/>
                <w:szCs w:val="20"/>
                <w:lang w:val="en-US"/>
              </w:rPr>
            </w:pPr>
            <w:r w:rsidRPr="00C461B8">
              <w:rPr>
                <w:b/>
                <w:bCs/>
                <w:color w:val="000000"/>
                <w:sz w:val="20"/>
                <w:szCs w:val="20"/>
                <w:lang w:val="en-US"/>
              </w:rPr>
              <w:t>2. Production equipment</w:t>
            </w:r>
          </w:p>
        </w:tc>
        <w:tc>
          <w:tcPr>
            <w:tcW w:w="1362"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C461B8">
            <w:pPr>
              <w:jc w:val="left"/>
              <w:rPr>
                <w:color w:val="000000"/>
                <w:sz w:val="20"/>
                <w:szCs w:val="20"/>
                <w:lang w:val="en-US"/>
              </w:rPr>
            </w:pPr>
            <w:r w:rsidRPr="00C461B8">
              <w:rPr>
                <w:color w:val="000000"/>
                <w:sz w:val="20"/>
                <w:szCs w:val="20"/>
                <w:lang w:val="en-US"/>
              </w:rPr>
              <w:t> </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C461B8">
            <w:pPr>
              <w:jc w:val="left"/>
              <w:rPr>
                <w:color w:val="000000"/>
                <w:sz w:val="18"/>
                <w:szCs w:val="18"/>
                <w:lang w:val="en-US"/>
              </w:rPr>
            </w:pPr>
            <w:r w:rsidRPr="00C461B8">
              <w:rPr>
                <w:color w:val="000000"/>
                <w:sz w:val="18"/>
                <w:szCs w:val="18"/>
                <w:lang w:val="en-US"/>
              </w:rPr>
              <w:t> </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C461B8">
            <w:pPr>
              <w:ind w:left="251"/>
              <w:jc w:val="left"/>
              <w:rPr>
                <w:color w:val="000000"/>
                <w:sz w:val="20"/>
                <w:szCs w:val="20"/>
                <w:lang w:val="en-US"/>
              </w:rPr>
            </w:pPr>
            <w:r w:rsidRPr="00C461B8">
              <w:rPr>
                <w:color w:val="000000"/>
                <w:sz w:val="20"/>
                <w:szCs w:val="20"/>
                <w:lang w:val="en-US"/>
              </w:rPr>
              <w:t>Adaptation of assembly line</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C461B8">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C461B8">
            <w:pPr>
              <w:jc w:val="right"/>
              <w:rPr>
                <w:color w:val="000000"/>
                <w:sz w:val="20"/>
                <w:szCs w:val="20"/>
                <w:lang w:val="en-US"/>
              </w:rPr>
            </w:pPr>
            <w:r w:rsidRPr="00C461B8">
              <w:rPr>
                <w:color w:val="000000"/>
                <w:sz w:val="20"/>
                <w:szCs w:val="20"/>
                <w:lang w:val="en-US"/>
              </w:rPr>
              <w:t>5,000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C461B8">
            <w:pPr>
              <w:jc w:val="right"/>
              <w:rPr>
                <w:color w:val="000000"/>
                <w:sz w:val="20"/>
                <w:szCs w:val="20"/>
                <w:lang w:val="en-US"/>
              </w:rPr>
            </w:pPr>
            <w:r w:rsidRPr="00C461B8">
              <w:rPr>
                <w:color w:val="000000"/>
                <w:sz w:val="20"/>
                <w:szCs w:val="20"/>
                <w:lang w:val="en-US"/>
              </w:rPr>
              <w:t>5,000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C461B8">
            <w:pPr>
              <w:ind w:left="251"/>
              <w:jc w:val="left"/>
              <w:rPr>
                <w:color w:val="000000"/>
                <w:sz w:val="20"/>
                <w:szCs w:val="20"/>
                <w:lang w:val="en-US"/>
              </w:rPr>
            </w:pPr>
            <w:r w:rsidRPr="00C461B8">
              <w:rPr>
                <w:color w:val="000000"/>
                <w:sz w:val="20"/>
                <w:szCs w:val="20"/>
                <w:lang w:val="en-US"/>
              </w:rPr>
              <w:t>Charging machine for R-600a/R-290, explosion-proof</w:t>
            </w:r>
          </w:p>
        </w:tc>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C461B8">
            <w:pPr>
              <w:jc w:val="center"/>
              <w:rPr>
                <w:color w:val="000000"/>
                <w:sz w:val="20"/>
                <w:szCs w:val="20"/>
                <w:lang w:val="en-US"/>
              </w:rPr>
            </w:pPr>
            <w:r w:rsidRPr="00C461B8">
              <w:rPr>
                <w:color w:val="000000"/>
                <w:sz w:val="20"/>
                <w:szCs w:val="20"/>
                <w:lang w:val="en-US"/>
              </w:rPr>
              <w:t>1</w:t>
            </w: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C461B8">
            <w:pPr>
              <w:jc w:val="right"/>
              <w:rPr>
                <w:color w:val="000000"/>
                <w:sz w:val="20"/>
                <w:szCs w:val="20"/>
                <w:lang w:val="en-US"/>
              </w:rPr>
            </w:pPr>
            <w:r w:rsidRPr="00C461B8">
              <w:rPr>
                <w:color w:val="000000"/>
                <w:sz w:val="20"/>
                <w:szCs w:val="20"/>
                <w:lang w:val="en-US"/>
              </w:rPr>
              <w:t>55,000</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C461B8">
            <w:pPr>
              <w:jc w:val="right"/>
              <w:rPr>
                <w:color w:val="000000"/>
                <w:sz w:val="20"/>
                <w:szCs w:val="20"/>
                <w:lang w:val="en-US"/>
              </w:rPr>
            </w:pPr>
            <w:r w:rsidRPr="00C461B8">
              <w:rPr>
                <w:color w:val="000000"/>
                <w:sz w:val="20"/>
                <w:szCs w:val="20"/>
                <w:lang w:val="en-US"/>
              </w:rPr>
              <w:t>55,000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Safety control system for the charging area</w:t>
            </w:r>
          </w:p>
        </w:tc>
        <w:tc>
          <w:tcPr>
            <w:tcW w:w="1613" w:type="dxa"/>
            <w:vMerge/>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0D7AE5">
            <w:pPr>
              <w:jc w:val="left"/>
              <w:rPr>
                <w:color w:val="000000"/>
                <w:sz w:val="20"/>
                <w:szCs w:val="20"/>
                <w:lang w:val="en-US"/>
              </w:rPr>
            </w:pPr>
          </w:p>
        </w:tc>
        <w:tc>
          <w:tcPr>
            <w:tcW w:w="1362" w:type="dxa"/>
            <w:vMerge/>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0D7AE5">
            <w:pPr>
              <w:jc w:val="left"/>
              <w:rPr>
                <w:color w:val="000000"/>
                <w:sz w:val="20"/>
                <w:szCs w:val="20"/>
                <w:lang w:val="en-US"/>
              </w:rPr>
            </w:pPr>
          </w:p>
        </w:tc>
        <w:tc>
          <w:tcPr>
            <w:tcW w:w="1345" w:type="dxa"/>
            <w:vMerge/>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0D7AE5">
            <w:pPr>
              <w:jc w:val="left"/>
              <w:rPr>
                <w:color w:val="000000"/>
                <w:sz w:val="20"/>
                <w:szCs w:val="20"/>
                <w:lang w:val="en-US"/>
              </w:rPr>
            </w:pP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Refrigerant booster pump, pneumatic</w:t>
            </w:r>
          </w:p>
        </w:tc>
        <w:tc>
          <w:tcPr>
            <w:tcW w:w="1613" w:type="dxa"/>
            <w:vMerge/>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0D7AE5">
            <w:pPr>
              <w:jc w:val="left"/>
              <w:rPr>
                <w:color w:val="000000"/>
                <w:sz w:val="20"/>
                <w:szCs w:val="20"/>
                <w:lang w:val="en-US"/>
              </w:rPr>
            </w:pPr>
          </w:p>
        </w:tc>
        <w:tc>
          <w:tcPr>
            <w:tcW w:w="1362" w:type="dxa"/>
            <w:vMerge/>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0D7AE5">
            <w:pPr>
              <w:jc w:val="left"/>
              <w:rPr>
                <w:color w:val="000000"/>
                <w:sz w:val="20"/>
                <w:szCs w:val="20"/>
                <w:lang w:val="en-US"/>
              </w:rPr>
            </w:pPr>
          </w:p>
        </w:tc>
        <w:tc>
          <w:tcPr>
            <w:tcW w:w="1345" w:type="dxa"/>
            <w:vMerge/>
            <w:tcBorders>
              <w:top w:val="nil"/>
              <w:left w:val="single" w:sz="4" w:space="0" w:color="auto"/>
              <w:bottom w:val="single" w:sz="4" w:space="0" w:color="auto"/>
              <w:right w:val="single" w:sz="4" w:space="0" w:color="auto"/>
            </w:tcBorders>
            <w:shd w:val="clear" w:color="auto" w:fill="auto"/>
            <w:vAlign w:val="center"/>
            <w:hideMark/>
          </w:tcPr>
          <w:p w:rsidR="00242391" w:rsidRPr="00C461B8" w:rsidRDefault="00242391" w:rsidP="000D7AE5">
            <w:pPr>
              <w:jc w:val="left"/>
              <w:rPr>
                <w:color w:val="000000"/>
                <w:sz w:val="20"/>
                <w:szCs w:val="20"/>
                <w:lang w:val="en-US"/>
              </w:rPr>
            </w:pP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Safety ventilation</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12,000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12,000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 xml:space="preserve">HC leak detector, plus calibration unit </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15,000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15,000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Ultrasonic welding machine</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30,000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30,000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Antistatic floor</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3,800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3,800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HC recovery machine, explosion-proof</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3,500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3,500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Helium charging unit</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20,000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20,000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Helium recovery/recycling unit</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20,000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20,000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Helium leak detector, plus calibration</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15,000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15,000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954D06" w:rsidP="000D7AE5">
            <w:pPr>
              <w:ind w:left="251"/>
              <w:jc w:val="left"/>
              <w:rPr>
                <w:color w:val="000000"/>
                <w:sz w:val="20"/>
                <w:szCs w:val="20"/>
                <w:lang w:val="en-US"/>
              </w:rPr>
            </w:pPr>
            <w:r w:rsidRPr="00C461B8">
              <w:rPr>
                <w:color w:val="000000"/>
                <w:sz w:val="20"/>
                <w:szCs w:val="20"/>
                <w:lang w:val="en-US"/>
              </w:rPr>
              <w:t>Hand</w:t>
            </w:r>
            <w:r w:rsidR="00242391" w:rsidRPr="00C461B8">
              <w:rPr>
                <w:color w:val="000000"/>
                <w:sz w:val="20"/>
                <w:szCs w:val="20"/>
                <w:lang w:val="en-US"/>
              </w:rPr>
              <w:t xml:space="preserve">held HC </w:t>
            </w:r>
            <w:r w:rsidR="00541F28" w:rsidRPr="00C461B8">
              <w:rPr>
                <w:color w:val="000000"/>
                <w:sz w:val="20"/>
                <w:szCs w:val="20"/>
                <w:lang w:val="en-US"/>
              </w:rPr>
              <w:t xml:space="preserve">leak </w:t>
            </w:r>
            <w:r w:rsidR="00242391" w:rsidRPr="00C461B8">
              <w:rPr>
                <w:color w:val="000000"/>
                <w:sz w:val="20"/>
                <w:szCs w:val="20"/>
                <w:lang w:val="en-US"/>
              </w:rPr>
              <w:t>detectors</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4</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400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1,600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ind w:left="251"/>
              <w:jc w:val="left"/>
              <w:rPr>
                <w:color w:val="000000"/>
                <w:sz w:val="20"/>
                <w:szCs w:val="20"/>
                <w:lang w:val="en-US"/>
              </w:rPr>
            </w:pPr>
            <w:r w:rsidRPr="00C461B8">
              <w:rPr>
                <w:color w:val="000000"/>
                <w:sz w:val="20"/>
                <w:szCs w:val="20"/>
                <w:lang w:val="en-US"/>
              </w:rPr>
              <w:t>Refrigerant storage area, including safety items</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0</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jc w:val="left"/>
              <w:rPr>
                <w:b/>
                <w:bCs/>
                <w:color w:val="000000"/>
                <w:sz w:val="20"/>
                <w:szCs w:val="20"/>
                <w:lang w:val="en-US"/>
              </w:rPr>
            </w:pPr>
            <w:r w:rsidRPr="00C461B8">
              <w:rPr>
                <w:b/>
                <w:bCs/>
                <w:color w:val="000000"/>
                <w:sz w:val="20"/>
                <w:szCs w:val="20"/>
                <w:lang w:val="en-US"/>
              </w:rPr>
              <w:t>Subtotal equipment costs</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left"/>
              <w:rPr>
                <w:color w:val="000000"/>
                <w:sz w:val="20"/>
                <w:szCs w:val="20"/>
                <w:lang w:val="en-US"/>
              </w:rPr>
            </w:pPr>
            <w:r w:rsidRPr="00C461B8">
              <w:rPr>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left"/>
              <w:rPr>
                <w:b/>
                <w:bCs/>
                <w:color w:val="000000"/>
                <w:sz w:val="20"/>
                <w:szCs w:val="20"/>
                <w:lang w:val="en-US"/>
              </w:rPr>
            </w:pPr>
            <w:r w:rsidRPr="00C461B8">
              <w:rPr>
                <w:b/>
                <w:bCs/>
                <w:color w:val="000000"/>
                <w:sz w:val="20"/>
                <w:szCs w:val="20"/>
                <w:lang w:val="en-US"/>
              </w:rPr>
              <w:t> </w:t>
            </w:r>
          </w:p>
        </w:tc>
        <w:tc>
          <w:tcPr>
            <w:tcW w:w="1345"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3A2AFC">
            <w:pPr>
              <w:jc w:val="right"/>
              <w:rPr>
                <w:b/>
                <w:bCs/>
                <w:color w:val="000000"/>
                <w:sz w:val="20"/>
                <w:szCs w:val="20"/>
                <w:lang w:val="en-US"/>
              </w:rPr>
            </w:pPr>
            <w:r w:rsidRPr="00C461B8">
              <w:rPr>
                <w:b/>
                <w:bCs/>
                <w:color w:val="000000"/>
                <w:sz w:val="20"/>
                <w:szCs w:val="20"/>
                <w:lang w:val="en-US"/>
              </w:rPr>
              <w:t>1</w:t>
            </w:r>
            <w:r w:rsidR="003A2AFC" w:rsidRPr="00C461B8">
              <w:rPr>
                <w:b/>
                <w:bCs/>
                <w:color w:val="000000"/>
                <w:sz w:val="20"/>
                <w:szCs w:val="20"/>
                <w:lang w:val="en-US"/>
              </w:rPr>
              <w:t>80</w:t>
            </w:r>
            <w:r w:rsidRPr="00C461B8">
              <w:rPr>
                <w:b/>
                <w:bCs/>
                <w:color w:val="000000"/>
                <w:sz w:val="20"/>
                <w:szCs w:val="20"/>
                <w:lang w:val="en-US"/>
              </w:rPr>
              <w:t>,900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jc w:val="left"/>
              <w:rPr>
                <w:color w:val="000000"/>
                <w:sz w:val="20"/>
                <w:szCs w:val="20"/>
                <w:lang w:val="en-US"/>
              </w:rPr>
            </w:pPr>
            <w:r w:rsidRPr="00C461B8">
              <w:rPr>
                <w:color w:val="000000"/>
                <w:sz w:val="20"/>
                <w:szCs w:val="20"/>
                <w:lang w:val="en-US"/>
              </w:rPr>
              <w:t xml:space="preserve">Contingency (10% of investment costs) </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left"/>
              <w:rPr>
                <w:color w:val="000000"/>
                <w:sz w:val="20"/>
                <w:szCs w:val="20"/>
                <w:lang w:val="en-US"/>
              </w:rPr>
            </w:pPr>
            <w:r w:rsidRPr="00C461B8">
              <w:rPr>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left"/>
              <w:rPr>
                <w:color w:val="000000"/>
                <w:sz w:val="20"/>
                <w:szCs w:val="20"/>
                <w:lang w:val="en-US"/>
              </w:rPr>
            </w:pPr>
            <w:r w:rsidRPr="00C461B8">
              <w:rPr>
                <w:color w:val="000000"/>
                <w:sz w:val="20"/>
                <w:szCs w:val="20"/>
                <w:lang w:val="en-US"/>
              </w:rPr>
              <w:t> </w:t>
            </w:r>
          </w:p>
        </w:tc>
        <w:tc>
          <w:tcPr>
            <w:tcW w:w="1345"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19,290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jc w:val="left"/>
              <w:rPr>
                <w:color w:val="000000"/>
                <w:sz w:val="20"/>
                <w:szCs w:val="20"/>
                <w:lang w:val="en-US"/>
              </w:rPr>
            </w:pPr>
            <w:r w:rsidRPr="00C461B8">
              <w:rPr>
                <w:color w:val="000000"/>
                <w:sz w:val="20"/>
                <w:szCs w:val="20"/>
                <w:lang w:val="en-US"/>
              </w:rPr>
              <w:t xml:space="preserve">Safety certification by TÜV </w:t>
            </w:r>
            <w:proofErr w:type="spellStart"/>
            <w:r w:rsidRPr="00C461B8">
              <w:rPr>
                <w:color w:val="000000"/>
                <w:sz w:val="20"/>
                <w:szCs w:val="20"/>
                <w:lang w:val="en-US"/>
              </w:rPr>
              <w:t>Süd</w:t>
            </w:r>
            <w:proofErr w:type="spellEnd"/>
            <w:r w:rsidRPr="00C461B8">
              <w:rPr>
                <w:color w:val="000000"/>
                <w:sz w:val="20"/>
                <w:szCs w:val="20"/>
                <w:lang w:val="en-US"/>
              </w:rPr>
              <w:t xml:space="preserve"> </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15,000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15,000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D7AE5">
            <w:pPr>
              <w:jc w:val="left"/>
              <w:rPr>
                <w:color w:val="000000"/>
                <w:sz w:val="20"/>
                <w:szCs w:val="20"/>
                <w:lang w:val="en-US"/>
              </w:rPr>
            </w:pPr>
            <w:r w:rsidRPr="00C461B8">
              <w:rPr>
                <w:color w:val="000000"/>
                <w:sz w:val="20"/>
                <w:szCs w:val="20"/>
                <w:lang w:val="en-US"/>
              </w:rPr>
              <w:t>Training and installation</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8,000</w:t>
            </w:r>
          </w:p>
        </w:tc>
        <w:tc>
          <w:tcPr>
            <w:tcW w:w="1345" w:type="dxa"/>
            <w:tcBorders>
              <w:top w:val="nil"/>
              <w:left w:val="nil"/>
              <w:bottom w:val="single" w:sz="4" w:space="0" w:color="auto"/>
              <w:right w:val="single" w:sz="4" w:space="0" w:color="auto"/>
            </w:tcBorders>
            <w:shd w:val="clear" w:color="auto" w:fill="auto"/>
            <w:vAlign w:val="center"/>
            <w:hideMark/>
          </w:tcPr>
          <w:p w:rsidR="00242391" w:rsidRPr="00C461B8" w:rsidRDefault="00242391" w:rsidP="000D7AE5">
            <w:pPr>
              <w:jc w:val="right"/>
              <w:rPr>
                <w:color w:val="000000"/>
                <w:sz w:val="20"/>
                <w:szCs w:val="20"/>
                <w:lang w:val="en-US"/>
              </w:rPr>
            </w:pPr>
            <w:r w:rsidRPr="00C461B8">
              <w:rPr>
                <w:color w:val="000000"/>
                <w:sz w:val="20"/>
                <w:szCs w:val="20"/>
                <w:lang w:val="en-US"/>
              </w:rPr>
              <w:t>8,000</w:t>
            </w:r>
          </w:p>
        </w:tc>
      </w:tr>
      <w:tr w:rsidR="00242391" w:rsidRPr="00C461B8" w:rsidTr="00C461B8">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42391" w:rsidRPr="00C461B8" w:rsidRDefault="00242391" w:rsidP="0006039E">
            <w:pPr>
              <w:jc w:val="left"/>
              <w:rPr>
                <w:b/>
                <w:bCs/>
                <w:color w:val="000000"/>
                <w:sz w:val="20"/>
                <w:szCs w:val="20"/>
                <w:lang w:val="en-US"/>
              </w:rPr>
            </w:pPr>
            <w:r w:rsidRPr="00C461B8">
              <w:rPr>
                <w:b/>
                <w:bCs/>
                <w:color w:val="000000"/>
                <w:sz w:val="20"/>
                <w:szCs w:val="20"/>
                <w:lang w:val="en-US"/>
              </w:rPr>
              <w:t xml:space="preserve">Total </w:t>
            </w:r>
            <w:r w:rsidR="0006039E" w:rsidRPr="00C461B8">
              <w:rPr>
                <w:b/>
                <w:bCs/>
                <w:color w:val="000000"/>
                <w:sz w:val="20"/>
                <w:szCs w:val="20"/>
                <w:lang w:val="en-US"/>
              </w:rPr>
              <w:t>ICC</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center"/>
              <w:rPr>
                <w:color w:val="000000"/>
                <w:sz w:val="20"/>
                <w:szCs w:val="20"/>
                <w:lang w:val="en-US"/>
              </w:rPr>
            </w:pPr>
            <w:r w:rsidRPr="00C461B8">
              <w:rPr>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left"/>
              <w:rPr>
                <w:b/>
                <w:bCs/>
                <w:color w:val="000000"/>
                <w:sz w:val="20"/>
                <w:szCs w:val="20"/>
                <w:lang w:val="en-US"/>
              </w:rPr>
            </w:pPr>
            <w:r w:rsidRPr="00C461B8">
              <w:rPr>
                <w:b/>
                <w:bCs/>
                <w:color w:val="000000"/>
                <w:sz w:val="20"/>
                <w:szCs w:val="20"/>
                <w:lang w:val="en-US"/>
              </w:rPr>
              <w:t> </w:t>
            </w:r>
          </w:p>
        </w:tc>
        <w:tc>
          <w:tcPr>
            <w:tcW w:w="1345" w:type="dxa"/>
            <w:tcBorders>
              <w:top w:val="nil"/>
              <w:left w:val="nil"/>
              <w:bottom w:val="single" w:sz="4" w:space="0" w:color="auto"/>
              <w:right w:val="single" w:sz="4" w:space="0" w:color="auto"/>
            </w:tcBorders>
            <w:shd w:val="clear" w:color="auto" w:fill="auto"/>
            <w:noWrap/>
            <w:vAlign w:val="center"/>
            <w:hideMark/>
          </w:tcPr>
          <w:p w:rsidR="00242391" w:rsidRPr="00C461B8" w:rsidRDefault="00242391" w:rsidP="000D7AE5">
            <w:pPr>
              <w:jc w:val="right"/>
              <w:rPr>
                <w:b/>
                <w:bCs/>
                <w:color w:val="000000"/>
                <w:sz w:val="20"/>
                <w:szCs w:val="20"/>
                <w:lang w:val="en-US"/>
              </w:rPr>
            </w:pPr>
            <w:r w:rsidRPr="00C461B8">
              <w:rPr>
                <w:b/>
                <w:bCs/>
                <w:color w:val="000000"/>
                <w:sz w:val="20"/>
                <w:szCs w:val="20"/>
                <w:lang w:val="en-US"/>
              </w:rPr>
              <w:t>235,190</w:t>
            </w:r>
          </w:p>
        </w:tc>
      </w:tr>
    </w:tbl>
    <w:p w:rsidR="00242391" w:rsidRPr="00C461B8" w:rsidRDefault="00242391" w:rsidP="00242391">
      <w:pPr>
        <w:pStyle w:val="Heading1"/>
        <w:numPr>
          <w:ilvl w:val="0"/>
          <w:numId w:val="0"/>
        </w:numPr>
        <w:spacing w:after="0"/>
      </w:pPr>
    </w:p>
    <w:p w:rsidR="00242391" w:rsidRPr="00C461B8" w:rsidRDefault="00242391" w:rsidP="00C461B8">
      <w:pPr>
        <w:pStyle w:val="Heading1"/>
        <w:tabs>
          <w:tab w:val="clear" w:pos="142"/>
        </w:tabs>
        <w:ind w:left="0"/>
      </w:pPr>
      <w:r w:rsidRPr="00C461B8">
        <w:t xml:space="preserve">The incremental operating costs (IOCs), which include costs related to changes in the compressor, capillary tube, electrical components and refrigerant, were estimated at </w:t>
      </w:r>
      <w:r w:rsidR="00C52303" w:rsidRPr="00C461B8">
        <w:t>US $</w:t>
      </w:r>
      <w:r w:rsidRPr="00C461B8">
        <w:t xml:space="preserve">12.11 per unit converted from HFC-134a to R-600a and </w:t>
      </w:r>
      <w:r w:rsidR="00C52303" w:rsidRPr="00C461B8">
        <w:t>US $</w:t>
      </w:r>
      <w:r w:rsidRPr="00C461B8">
        <w:t xml:space="preserve">12.00 per unit converted from R-404A to R-290. The IOCs calculated for a 12-month period </w:t>
      </w:r>
      <w:r w:rsidR="00895F7A" w:rsidRPr="00C461B8">
        <w:t xml:space="preserve">are </w:t>
      </w:r>
      <w:r w:rsidR="00C52303" w:rsidRPr="00C461B8">
        <w:t>US $</w:t>
      </w:r>
      <w:r w:rsidR="00895F7A" w:rsidRPr="00C461B8">
        <w:t>323</w:t>
      </w:r>
      <w:r w:rsidRPr="00C461B8">
        <w:t>,</w:t>
      </w:r>
      <w:r w:rsidR="00895F7A" w:rsidRPr="00C461B8">
        <w:t>301</w:t>
      </w:r>
      <w:r w:rsidRPr="00C461B8">
        <w:t>, as shown in Table </w:t>
      </w:r>
      <w:r w:rsidR="00C461B8" w:rsidRPr="00C461B8">
        <w:t>5</w:t>
      </w:r>
      <w:r w:rsidRPr="00C461B8">
        <w:t>.</w:t>
      </w:r>
      <w:r w:rsidR="0031639D" w:rsidRPr="00C461B8">
        <w:t xml:space="preserve"> No funding for IOCs is being requested to the Multilateral Fund.</w:t>
      </w:r>
    </w:p>
    <w:p w:rsidR="00242391" w:rsidRPr="00C461B8" w:rsidRDefault="00242391" w:rsidP="00242391">
      <w:pPr>
        <w:keepNext/>
        <w:keepLines/>
        <w:rPr>
          <w:b/>
        </w:rPr>
      </w:pPr>
      <w:r w:rsidRPr="00C461B8">
        <w:rPr>
          <w:b/>
        </w:rPr>
        <w:t xml:space="preserve">Table </w:t>
      </w:r>
      <w:r w:rsidR="00C461B8" w:rsidRPr="00C461B8">
        <w:rPr>
          <w:b/>
        </w:rPr>
        <w:t>5</w:t>
      </w:r>
      <w:r w:rsidRPr="00C461B8">
        <w:rPr>
          <w:b/>
        </w:rPr>
        <w:t xml:space="preserve">. IOCs for domestic and commercial refrigerators manufacturing at </w:t>
      </w:r>
      <w:proofErr w:type="spellStart"/>
      <w:r w:rsidRPr="00C461B8">
        <w:rPr>
          <w:b/>
        </w:rPr>
        <w:t>Ecasa</w:t>
      </w:r>
      <w:proofErr w:type="spellEnd"/>
      <w:r w:rsidRPr="00C461B8">
        <w:rPr>
          <w:b/>
        </w:rPr>
        <w:t xml:space="preserve"> (</w:t>
      </w:r>
      <w:r w:rsidR="00C52303" w:rsidRPr="00C461B8">
        <w:rPr>
          <w:b/>
        </w:rPr>
        <w:t>US $</w:t>
      </w:r>
      <w:r w:rsidRPr="00C461B8">
        <w:rPr>
          <w:b/>
        </w:rPr>
        <w:t>)</w:t>
      </w:r>
    </w:p>
    <w:tbl>
      <w:tblPr>
        <w:tblW w:w="5000" w:type="pct"/>
        <w:tblLook w:val="04A0" w:firstRow="1" w:lastRow="0" w:firstColumn="1" w:lastColumn="0" w:noHBand="0" w:noVBand="1"/>
      </w:tblPr>
      <w:tblGrid>
        <w:gridCol w:w="2656"/>
        <w:gridCol w:w="1115"/>
        <w:gridCol w:w="1115"/>
        <w:gridCol w:w="1116"/>
        <w:gridCol w:w="1115"/>
        <w:gridCol w:w="1115"/>
        <w:gridCol w:w="1118"/>
      </w:tblGrid>
      <w:tr w:rsidR="00242391" w:rsidRPr="00C461B8" w:rsidTr="000D7AE5">
        <w:tc>
          <w:tcPr>
            <w:tcW w:w="14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Item</w:t>
            </w:r>
          </w:p>
        </w:tc>
        <w:tc>
          <w:tcPr>
            <w:tcW w:w="1789" w:type="pct"/>
            <w:gridSpan w:val="3"/>
            <w:tcBorders>
              <w:top w:val="single" w:sz="4" w:space="0" w:color="auto"/>
              <w:left w:val="nil"/>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 xml:space="preserve">HFC-134a to R-600a </w:t>
            </w:r>
          </w:p>
        </w:tc>
        <w:tc>
          <w:tcPr>
            <w:tcW w:w="1790" w:type="pct"/>
            <w:gridSpan w:val="3"/>
            <w:tcBorders>
              <w:top w:val="single" w:sz="4" w:space="0" w:color="auto"/>
              <w:left w:val="nil"/>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 xml:space="preserve">R-404A to R-290 </w:t>
            </w:r>
          </w:p>
        </w:tc>
      </w:tr>
      <w:tr w:rsidR="00242391" w:rsidRPr="00C461B8" w:rsidTr="000D7AE5">
        <w:tc>
          <w:tcPr>
            <w:tcW w:w="1421" w:type="pct"/>
            <w:vMerge/>
            <w:tcBorders>
              <w:top w:val="single" w:sz="4" w:space="0" w:color="auto"/>
              <w:left w:val="single" w:sz="4" w:space="0" w:color="auto"/>
              <w:bottom w:val="single" w:sz="4" w:space="0" w:color="auto"/>
              <w:right w:val="single" w:sz="4" w:space="0" w:color="auto"/>
            </w:tcBorders>
            <w:vAlign w:val="center"/>
            <w:hideMark/>
          </w:tcPr>
          <w:p w:rsidR="00242391" w:rsidRPr="00C461B8" w:rsidRDefault="00242391" w:rsidP="000D7AE5">
            <w:pPr>
              <w:jc w:val="left"/>
              <w:rPr>
                <w:b/>
                <w:bCs/>
                <w:color w:val="000000"/>
                <w:sz w:val="20"/>
                <w:szCs w:val="20"/>
                <w:lang w:val="en-US"/>
              </w:rPr>
            </w:pP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 xml:space="preserve">Baseline </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 xml:space="preserve">New </w:t>
            </w:r>
          </w:p>
        </w:tc>
        <w:tc>
          <w:tcPr>
            <w:tcW w:w="597"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Difference</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 xml:space="preserve">Baseline </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 xml:space="preserve">New </w:t>
            </w:r>
          </w:p>
        </w:tc>
        <w:tc>
          <w:tcPr>
            <w:tcW w:w="598"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center"/>
              <w:rPr>
                <w:b/>
                <w:bCs/>
                <w:color w:val="000000"/>
                <w:sz w:val="20"/>
                <w:szCs w:val="20"/>
                <w:lang w:val="en-US"/>
              </w:rPr>
            </w:pPr>
            <w:r w:rsidRPr="00C461B8">
              <w:rPr>
                <w:b/>
                <w:bCs/>
                <w:color w:val="000000"/>
                <w:sz w:val="20"/>
                <w:szCs w:val="20"/>
                <w:lang w:val="en-US"/>
              </w:rPr>
              <w:t>Difference</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hideMark/>
          </w:tcPr>
          <w:p w:rsidR="00242391" w:rsidRPr="00C461B8" w:rsidRDefault="00242391" w:rsidP="000D7AE5">
            <w:pPr>
              <w:jc w:val="left"/>
              <w:rPr>
                <w:color w:val="000000"/>
                <w:sz w:val="20"/>
                <w:szCs w:val="20"/>
                <w:lang w:val="en-US"/>
              </w:rPr>
            </w:pPr>
            <w:r w:rsidRPr="00C461B8">
              <w:rPr>
                <w:color w:val="000000"/>
                <w:sz w:val="20"/>
                <w:szCs w:val="20"/>
                <w:lang w:val="en-US"/>
              </w:rPr>
              <w:t>Compressor</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n-US"/>
              </w:rPr>
              <w:t>50.55</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n-US"/>
              </w:rPr>
              <w:t>55.90</w:t>
            </w:r>
          </w:p>
        </w:tc>
        <w:tc>
          <w:tcPr>
            <w:tcW w:w="597"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n-US"/>
              </w:rPr>
              <w:t>5.35</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n-US"/>
              </w:rPr>
              <w:t>60.85</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n-US"/>
              </w:rPr>
              <w:t>65.90</w:t>
            </w:r>
          </w:p>
        </w:tc>
        <w:tc>
          <w:tcPr>
            <w:tcW w:w="598"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n-US"/>
              </w:rPr>
              <w:t>5.05</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hideMark/>
          </w:tcPr>
          <w:p w:rsidR="00242391" w:rsidRPr="00C461B8" w:rsidRDefault="00242391" w:rsidP="000D7AE5">
            <w:pPr>
              <w:jc w:val="left"/>
              <w:rPr>
                <w:color w:val="000000"/>
                <w:sz w:val="20"/>
                <w:szCs w:val="20"/>
                <w:lang w:val="en-US"/>
              </w:rPr>
            </w:pPr>
            <w:r w:rsidRPr="00C461B8">
              <w:rPr>
                <w:color w:val="000000"/>
                <w:sz w:val="20"/>
                <w:szCs w:val="20"/>
                <w:lang w:val="en-US"/>
              </w:rPr>
              <w:t>Filter</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color w:val="000000"/>
                <w:sz w:val="20"/>
                <w:szCs w:val="20"/>
                <w:lang w:val="en-US"/>
              </w:rPr>
            </w:pPr>
            <w:r w:rsidRPr="00C461B8">
              <w:rPr>
                <w:color w:val="000000"/>
                <w:sz w:val="20"/>
                <w:szCs w:val="20"/>
                <w:lang w:val="en-US"/>
              </w:rPr>
              <w:t>2.50</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color w:val="000000"/>
                <w:sz w:val="20"/>
                <w:szCs w:val="20"/>
                <w:lang w:val="en-US"/>
              </w:rPr>
            </w:pPr>
            <w:r w:rsidRPr="00C461B8">
              <w:rPr>
                <w:color w:val="000000"/>
                <w:sz w:val="20"/>
                <w:szCs w:val="20"/>
                <w:lang w:val="en-US"/>
              </w:rPr>
              <w:t>2.50</w:t>
            </w:r>
          </w:p>
        </w:tc>
        <w:tc>
          <w:tcPr>
            <w:tcW w:w="597"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n-US"/>
              </w:rPr>
              <w:t>-</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color w:val="000000"/>
                <w:sz w:val="20"/>
                <w:szCs w:val="20"/>
                <w:lang w:val="en-US"/>
              </w:rPr>
            </w:pPr>
            <w:r w:rsidRPr="00C461B8">
              <w:rPr>
                <w:color w:val="000000"/>
                <w:sz w:val="20"/>
                <w:szCs w:val="20"/>
                <w:lang w:val="en-US"/>
              </w:rPr>
              <w:t>2.50</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color w:val="000000"/>
                <w:sz w:val="20"/>
                <w:szCs w:val="20"/>
                <w:lang w:val="en-US"/>
              </w:rPr>
            </w:pPr>
            <w:r w:rsidRPr="00C461B8">
              <w:rPr>
                <w:color w:val="000000"/>
                <w:sz w:val="20"/>
                <w:szCs w:val="20"/>
                <w:lang w:val="en-US"/>
              </w:rPr>
              <w:t>2.75</w:t>
            </w:r>
          </w:p>
        </w:tc>
        <w:tc>
          <w:tcPr>
            <w:tcW w:w="598"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n-US"/>
              </w:rPr>
              <w:t>0.25</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hideMark/>
          </w:tcPr>
          <w:p w:rsidR="00242391" w:rsidRPr="00C461B8" w:rsidRDefault="00242391" w:rsidP="000D7AE5">
            <w:pPr>
              <w:jc w:val="left"/>
              <w:rPr>
                <w:color w:val="000000"/>
                <w:sz w:val="20"/>
                <w:szCs w:val="20"/>
                <w:lang w:val="en-US"/>
              </w:rPr>
            </w:pPr>
            <w:r w:rsidRPr="00C461B8">
              <w:rPr>
                <w:color w:val="000000"/>
                <w:sz w:val="20"/>
                <w:szCs w:val="20"/>
                <w:lang w:val="en-US"/>
              </w:rPr>
              <w:t>Capillary tube</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color w:val="000000"/>
                <w:sz w:val="20"/>
                <w:szCs w:val="20"/>
                <w:lang w:val="en-US"/>
              </w:rPr>
            </w:pPr>
            <w:r w:rsidRPr="00C461B8">
              <w:rPr>
                <w:color w:val="000000"/>
                <w:sz w:val="20"/>
                <w:szCs w:val="20"/>
                <w:lang w:val="es-EC"/>
              </w:rPr>
              <w:t>5.00</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color w:val="000000"/>
                <w:sz w:val="20"/>
                <w:szCs w:val="20"/>
                <w:lang w:val="en-US"/>
              </w:rPr>
            </w:pPr>
            <w:r w:rsidRPr="00C461B8">
              <w:rPr>
                <w:color w:val="000000"/>
                <w:sz w:val="20"/>
                <w:szCs w:val="20"/>
                <w:lang w:val="es-EC"/>
              </w:rPr>
              <w:t>6.50</w:t>
            </w:r>
          </w:p>
        </w:tc>
        <w:tc>
          <w:tcPr>
            <w:tcW w:w="597"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1.50</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color w:val="000000"/>
                <w:sz w:val="20"/>
                <w:szCs w:val="20"/>
                <w:lang w:val="en-US"/>
              </w:rPr>
            </w:pPr>
            <w:r w:rsidRPr="00C461B8">
              <w:rPr>
                <w:color w:val="000000"/>
                <w:sz w:val="20"/>
                <w:szCs w:val="20"/>
                <w:lang w:val="es-EC"/>
              </w:rPr>
              <w:t>5.00</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color w:val="000000"/>
                <w:sz w:val="20"/>
                <w:szCs w:val="20"/>
                <w:lang w:val="en-US"/>
              </w:rPr>
            </w:pPr>
            <w:r w:rsidRPr="00C461B8">
              <w:rPr>
                <w:color w:val="000000"/>
                <w:sz w:val="20"/>
                <w:szCs w:val="20"/>
                <w:lang w:val="es-EC"/>
              </w:rPr>
              <w:t>6.50</w:t>
            </w:r>
          </w:p>
        </w:tc>
        <w:tc>
          <w:tcPr>
            <w:tcW w:w="598"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1.50</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hideMark/>
          </w:tcPr>
          <w:p w:rsidR="00242391" w:rsidRPr="00C461B8" w:rsidRDefault="00242391" w:rsidP="000D7AE5">
            <w:pPr>
              <w:jc w:val="left"/>
              <w:rPr>
                <w:color w:val="000000"/>
                <w:sz w:val="20"/>
                <w:szCs w:val="20"/>
                <w:lang w:val="en-US"/>
              </w:rPr>
            </w:pPr>
            <w:proofErr w:type="spellStart"/>
            <w:r w:rsidRPr="00C461B8">
              <w:rPr>
                <w:color w:val="000000"/>
                <w:sz w:val="20"/>
                <w:szCs w:val="20"/>
                <w:lang w:val="es-EC"/>
              </w:rPr>
              <w:t>Other</w:t>
            </w:r>
            <w:proofErr w:type="spellEnd"/>
            <w:r w:rsidRPr="00C461B8">
              <w:rPr>
                <w:color w:val="000000"/>
                <w:sz w:val="20"/>
                <w:szCs w:val="20"/>
                <w:lang w:val="es-EC"/>
              </w:rPr>
              <w:t xml:space="preserve"> </w:t>
            </w:r>
            <w:proofErr w:type="spellStart"/>
            <w:r w:rsidRPr="00C461B8">
              <w:rPr>
                <w:color w:val="000000"/>
                <w:sz w:val="20"/>
                <w:szCs w:val="20"/>
                <w:lang w:val="es-EC"/>
              </w:rPr>
              <w:t>electrical</w:t>
            </w:r>
            <w:proofErr w:type="spellEnd"/>
            <w:r w:rsidRPr="00C461B8">
              <w:rPr>
                <w:color w:val="000000"/>
                <w:sz w:val="20"/>
                <w:szCs w:val="20"/>
                <w:lang w:val="es-EC"/>
              </w:rPr>
              <w:t xml:space="preserve"> </w:t>
            </w:r>
            <w:proofErr w:type="spellStart"/>
            <w:r w:rsidRPr="00C461B8">
              <w:rPr>
                <w:color w:val="000000"/>
                <w:sz w:val="20"/>
                <w:szCs w:val="20"/>
                <w:lang w:val="es-EC"/>
              </w:rPr>
              <w:t>components</w:t>
            </w:r>
            <w:proofErr w:type="spellEnd"/>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45.50</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51.50</w:t>
            </w:r>
          </w:p>
        </w:tc>
        <w:tc>
          <w:tcPr>
            <w:tcW w:w="597"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6.00</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55.50</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61.75</w:t>
            </w:r>
          </w:p>
        </w:tc>
        <w:tc>
          <w:tcPr>
            <w:tcW w:w="598"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6.25</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hideMark/>
          </w:tcPr>
          <w:p w:rsidR="00242391" w:rsidRPr="00C461B8" w:rsidRDefault="00242391" w:rsidP="000D7AE5">
            <w:pPr>
              <w:jc w:val="left"/>
              <w:rPr>
                <w:color w:val="000000"/>
                <w:sz w:val="20"/>
                <w:szCs w:val="20"/>
                <w:lang w:val="en-US"/>
              </w:rPr>
            </w:pPr>
            <w:proofErr w:type="spellStart"/>
            <w:r w:rsidRPr="00C461B8">
              <w:rPr>
                <w:color w:val="000000"/>
                <w:sz w:val="20"/>
                <w:szCs w:val="20"/>
                <w:lang w:val="es-EC"/>
              </w:rPr>
              <w:t>Refrigerant</w:t>
            </w:r>
            <w:proofErr w:type="spellEnd"/>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1.73</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0.99</w:t>
            </w:r>
          </w:p>
        </w:tc>
        <w:tc>
          <w:tcPr>
            <w:tcW w:w="597"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(0.74)</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2.98</w:t>
            </w:r>
          </w:p>
        </w:tc>
        <w:tc>
          <w:tcPr>
            <w:tcW w:w="596" w:type="pct"/>
            <w:tcBorders>
              <w:top w:val="nil"/>
              <w:left w:val="nil"/>
              <w:bottom w:val="single" w:sz="4" w:space="0" w:color="auto"/>
              <w:right w:val="single" w:sz="4" w:space="0" w:color="auto"/>
            </w:tcBorders>
            <w:shd w:val="clear" w:color="auto" w:fill="auto"/>
            <w:hideMark/>
          </w:tcPr>
          <w:p w:rsidR="00242391" w:rsidRPr="00C461B8" w:rsidRDefault="00242391" w:rsidP="000D7AE5">
            <w:pPr>
              <w:jc w:val="right"/>
              <w:rPr>
                <w:color w:val="000000"/>
                <w:sz w:val="20"/>
                <w:szCs w:val="20"/>
                <w:lang w:val="en-US"/>
              </w:rPr>
            </w:pPr>
            <w:r w:rsidRPr="00C461B8">
              <w:rPr>
                <w:color w:val="000000"/>
                <w:sz w:val="20"/>
                <w:szCs w:val="20"/>
                <w:lang w:val="es-EC"/>
              </w:rPr>
              <w:t>2.05</w:t>
            </w:r>
          </w:p>
        </w:tc>
        <w:tc>
          <w:tcPr>
            <w:tcW w:w="598" w:type="pct"/>
            <w:tcBorders>
              <w:top w:val="nil"/>
              <w:left w:val="nil"/>
              <w:bottom w:val="single" w:sz="4" w:space="0" w:color="auto"/>
              <w:right w:val="single" w:sz="4" w:space="0" w:color="auto"/>
            </w:tcBorders>
            <w:shd w:val="clear" w:color="auto" w:fill="auto"/>
            <w:hideMark/>
          </w:tcPr>
          <w:p w:rsidR="00242391" w:rsidRPr="00C461B8" w:rsidRDefault="00242391" w:rsidP="00594A04">
            <w:pPr>
              <w:jc w:val="right"/>
              <w:rPr>
                <w:color w:val="000000"/>
                <w:sz w:val="20"/>
                <w:szCs w:val="20"/>
                <w:lang w:val="en-US"/>
              </w:rPr>
            </w:pPr>
            <w:r w:rsidRPr="00C461B8">
              <w:rPr>
                <w:color w:val="000000"/>
                <w:sz w:val="20"/>
                <w:szCs w:val="20"/>
                <w:lang w:val="es-EC"/>
              </w:rPr>
              <w:t>(0.9</w:t>
            </w:r>
            <w:r w:rsidR="00594A04" w:rsidRPr="00C461B8">
              <w:rPr>
                <w:color w:val="000000"/>
                <w:sz w:val="20"/>
                <w:szCs w:val="20"/>
                <w:lang w:val="es-EC"/>
              </w:rPr>
              <w:t>4</w:t>
            </w:r>
            <w:r w:rsidRPr="00C461B8">
              <w:rPr>
                <w:color w:val="000000"/>
                <w:sz w:val="20"/>
                <w:szCs w:val="20"/>
                <w:lang w:val="es-EC"/>
              </w:rPr>
              <w:t>)</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hideMark/>
          </w:tcPr>
          <w:p w:rsidR="00242391" w:rsidRPr="00C461B8" w:rsidRDefault="00242391" w:rsidP="000D7AE5">
            <w:pPr>
              <w:jc w:val="left"/>
              <w:rPr>
                <w:b/>
                <w:bCs/>
                <w:color w:val="000000"/>
                <w:sz w:val="20"/>
                <w:szCs w:val="20"/>
                <w:lang w:val="en-US"/>
              </w:rPr>
            </w:pPr>
            <w:r w:rsidRPr="00C461B8">
              <w:rPr>
                <w:b/>
                <w:bCs/>
                <w:color w:val="000000"/>
                <w:sz w:val="20"/>
                <w:szCs w:val="20"/>
                <w:lang w:val="es-EC"/>
              </w:rPr>
              <w:t>Total</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b/>
                <w:bCs/>
                <w:color w:val="000000"/>
                <w:sz w:val="20"/>
                <w:szCs w:val="20"/>
                <w:lang w:val="en-US"/>
              </w:rPr>
            </w:pPr>
            <w:r w:rsidRPr="00C461B8">
              <w:rPr>
                <w:b/>
                <w:bCs/>
                <w:color w:val="000000"/>
                <w:sz w:val="20"/>
                <w:szCs w:val="20"/>
                <w:lang w:val="es-EC"/>
              </w:rPr>
              <w:t>105.28</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b/>
                <w:bCs/>
                <w:color w:val="000000"/>
                <w:sz w:val="20"/>
                <w:szCs w:val="20"/>
                <w:lang w:val="en-US"/>
              </w:rPr>
            </w:pPr>
            <w:r w:rsidRPr="00C461B8">
              <w:rPr>
                <w:b/>
                <w:bCs/>
                <w:color w:val="000000"/>
                <w:sz w:val="20"/>
                <w:szCs w:val="20"/>
                <w:lang w:val="es-EC"/>
              </w:rPr>
              <w:t>117.39</w:t>
            </w:r>
          </w:p>
        </w:tc>
        <w:tc>
          <w:tcPr>
            <w:tcW w:w="597"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b/>
                <w:bCs/>
                <w:color w:val="000000"/>
                <w:sz w:val="20"/>
                <w:szCs w:val="20"/>
                <w:lang w:val="en-US"/>
              </w:rPr>
            </w:pPr>
            <w:r w:rsidRPr="00C461B8">
              <w:rPr>
                <w:b/>
                <w:bCs/>
                <w:color w:val="000000"/>
                <w:sz w:val="20"/>
                <w:szCs w:val="20"/>
                <w:lang w:val="es-EC"/>
              </w:rPr>
              <w:t>12.11</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b/>
                <w:bCs/>
                <w:color w:val="000000"/>
                <w:sz w:val="20"/>
                <w:szCs w:val="20"/>
                <w:lang w:val="en-US"/>
              </w:rPr>
            </w:pPr>
            <w:r w:rsidRPr="00C461B8">
              <w:rPr>
                <w:b/>
                <w:bCs/>
                <w:color w:val="000000"/>
                <w:sz w:val="20"/>
                <w:szCs w:val="20"/>
                <w:lang w:val="es-EC"/>
              </w:rPr>
              <w:t>126.83</w:t>
            </w:r>
          </w:p>
        </w:tc>
        <w:tc>
          <w:tcPr>
            <w:tcW w:w="596"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b/>
                <w:bCs/>
                <w:color w:val="000000"/>
                <w:sz w:val="20"/>
                <w:szCs w:val="20"/>
                <w:lang w:val="en-US"/>
              </w:rPr>
            </w:pPr>
            <w:r w:rsidRPr="00C461B8">
              <w:rPr>
                <w:b/>
                <w:bCs/>
                <w:color w:val="000000"/>
                <w:sz w:val="20"/>
                <w:szCs w:val="20"/>
                <w:lang w:val="es-EC"/>
              </w:rPr>
              <w:t>138.95</w:t>
            </w:r>
          </w:p>
        </w:tc>
        <w:tc>
          <w:tcPr>
            <w:tcW w:w="598" w:type="pct"/>
            <w:tcBorders>
              <w:top w:val="nil"/>
              <w:left w:val="nil"/>
              <w:bottom w:val="single" w:sz="4" w:space="0" w:color="auto"/>
              <w:right w:val="single" w:sz="4" w:space="0" w:color="auto"/>
            </w:tcBorders>
            <w:shd w:val="clear" w:color="auto" w:fill="auto"/>
            <w:noWrap/>
            <w:hideMark/>
          </w:tcPr>
          <w:p w:rsidR="00242391" w:rsidRPr="00C461B8" w:rsidRDefault="00242391" w:rsidP="000D7AE5">
            <w:pPr>
              <w:jc w:val="right"/>
              <w:rPr>
                <w:b/>
                <w:bCs/>
                <w:color w:val="000000"/>
                <w:sz w:val="20"/>
                <w:szCs w:val="20"/>
                <w:lang w:val="en-US"/>
              </w:rPr>
            </w:pPr>
            <w:r w:rsidRPr="00C461B8">
              <w:rPr>
                <w:b/>
                <w:bCs/>
                <w:color w:val="000000"/>
                <w:sz w:val="20"/>
                <w:szCs w:val="20"/>
                <w:lang w:val="es-EC"/>
              </w:rPr>
              <w:t>12.00</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hideMark/>
          </w:tcPr>
          <w:p w:rsidR="00242391" w:rsidRPr="00C461B8" w:rsidRDefault="00242391" w:rsidP="000D7AE5">
            <w:pPr>
              <w:jc w:val="left"/>
              <w:rPr>
                <w:color w:val="000000"/>
                <w:sz w:val="20"/>
                <w:szCs w:val="20"/>
                <w:lang w:val="en-US"/>
              </w:rPr>
            </w:pPr>
            <w:r w:rsidRPr="00C461B8">
              <w:rPr>
                <w:color w:val="000000"/>
                <w:sz w:val="20"/>
                <w:szCs w:val="20"/>
                <w:lang w:val="en-US"/>
              </w:rPr>
              <w:t>Units per year</w:t>
            </w:r>
          </w:p>
        </w:tc>
        <w:tc>
          <w:tcPr>
            <w:tcW w:w="1789" w:type="pct"/>
            <w:gridSpan w:val="3"/>
            <w:tcBorders>
              <w:top w:val="single" w:sz="4" w:space="0" w:color="auto"/>
              <w:left w:val="nil"/>
              <w:bottom w:val="single" w:sz="4" w:space="0" w:color="auto"/>
              <w:right w:val="single" w:sz="4" w:space="0" w:color="000000"/>
            </w:tcBorders>
            <w:shd w:val="clear" w:color="auto" w:fill="auto"/>
            <w:noWrap/>
            <w:hideMark/>
          </w:tcPr>
          <w:p w:rsidR="00242391" w:rsidRPr="00C461B8" w:rsidRDefault="00242391" w:rsidP="00594A04">
            <w:pPr>
              <w:jc w:val="right"/>
              <w:rPr>
                <w:color w:val="000000"/>
                <w:sz w:val="20"/>
                <w:szCs w:val="20"/>
                <w:lang w:val="en-US"/>
              </w:rPr>
            </w:pPr>
            <w:r w:rsidRPr="00C461B8">
              <w:rPr>
                <w:color w:val="000000"/>
                <w:sz w:val="20"/>
                <w:szCs w:val="20"/>
                <w:lang w:val="en-US"/>
              </w:rPr>
              <w:t>1</w:t>
            </w:r>
            <w:r w:rsidR="00594A04" w:rsidRPr="00C461B8">
              <w:rPr>
                <w:color w:val="000000"/>
                <w:sz w:val="20"/>
                <w:szCs w:val="20"/>
                <w:lang w:val="en-US"/>
              </w:rPr>
              <w:t>4</w:t>
            </w:r>
            <w:r w:rsidRPr="00C461B8">
              <w:rPr>
                <w:color w:val="000000"/>
                <w:sz w:val="20"/>
                <w:szCs w:val="20"/>
                <w:lang w:val="en-US"/>
              </w:rPr>
              <w:t>,</w:t>
            </w:r>
            <w:r w:rsidR="00594A04" w:rsidRPr="00C461B8">
              <w:rPr>
                <w:color w:val="000000"/>
                <w:sz w:val="20"/>
                <w:szCs w:val="20"/>
                <w:lang w:val="en-US"/>
              </w:rPr>
              <w:t>518</w:t>
            </w:r>
          </w:p>
        </w:tc>
        <w:tc>
          <w:tcPr>
            <w:tcW w:w="1790" w:type="pct"/>
            <w:gridSpan w:val="3"/>
            <w:tcBorders>
              <w:top w:val="single" w:sz="4" w:space="0" w:color="auto"/>
              <w:left w:val="nil"/>
              <w:bottom w:val="single" w:sz="4" w:space="0" w:color="auto"/>
              <w:right w:val="single" w:sz="4" w:space="0" w:color="000000"/>
            </w:tcBorders>
            <w:shd w:val="clear" w:color="auto" w:fill="auto"/>
            <w:hideMark/>
          </w:tcPr>
          <w:p w:rsidR="00242391" w:rsidRPr="00C461B8" w:rsidRDefault="00242391" w:rsidP="00594A04">
            <w:pPr>
              <w:jc w:val="right"/>
              <w:rPr>
                <w:color w:val="000000"/>
                <w:sz w:val="20"/>
                <w:szCs w:val="20"/>
                <w:lang w:val="en-US"/>
              </w:rPr>
            </w:pPr>
            <w:r w:rsidRPr="00C461B8">
              <w:rPr>
                <w:color w:val="000000"/>
                <w:sz w:val="20"/>
                <w:szCs w:val="20"/>
                <w:lang w:val="en-US"/>
              </w:rPr>
              <w:t>1</w:t>
            </w:r>
            <w:r w:rsidR="00594A04" w:rsidRPr="00C461B8">
              <w:rPr>
                <w:color w:val="000000"/>
                <w:sz w:val="20"/>
                <w:szCs w:val="20"/>
                <w:lang w:val="en-US"/>
              </w:rPr>
              <w:t>2,283</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noWrap/>
            <w:hideMark/>
          </w:tcPr>
          <w:p w:rsidR="00242391" w:rsidRPr="00C461B8" w:rsidRDefault="00242391" w:rsidP="000D7AE5">
            <w:pPr>
              <w:jc w:val="left"/>
              <w:rPr>
                <w:color w:val="000000"/>
                <w:sz w:val="20"/>
                <w:szCs w:val="20"/>
                <w:lang w:val="en-US"/>
              </w:rPr>
            </w:pPr>
            <w:r w:rsidRPr="00C461B8">
              <w:rPr>
                <w:color w:val="000000"/>
                <w:sz w:val="20"/>
                <w:szCs w:val="20"/>
                <w:lang w:val="en-US"/>
              </w:rPr>
              <w:t>IOC per type of product</w:t>
            </w:r>
          </w:p>
        </w:tc>
        <w:tc>
          <w:tcPr>
            <w:tcW w:w="1789" w:type="pct"/>
            <w:gridSpan w:val="3"/>
            <w:tcBorders>
              <w:top w:val="single" w:sz="4" w:space="0" w:color="auto"/>
              <w:left w:val="nil"/>
              <w:bottom w:val="single" w:sz="4" w:space="0" w:color="auto"/>
              <w:right w:val="single" w:sz="4" w:space="0" w:color="000000"/>
            </w:tcBorders>
            <w:shd w:val="clear" w:color="auto" w:fill="auto"/>
            <w:noWrap/>
            <w:hideMark/>
          </w:tcPr>
          <w:p w:rsidR="00242391" w:rsidRPr="00C461B8" w:rsidRDefault="00242391" w:rsidP="00594A04">
            <w:pPr>
              <w:jc w:val="right"/>
              <w:rPr>
                <w:color w:val="000000"/>
                <w:sz w:val="20"/>
                <w:szCs w:val="20"/>
                <w:lang w:val="en-US"/>
              </w:rPr>
            </w:pPr>
            <w:r w:rsidRPr="00C461B8">
              <w:rPr>
                <w:color w:val="000000"/>
                <w:sz w:val="20"/>
                <w:szCs w:val="20"/>
                <w:lang w:val="en-US"/>
              </w:rPr>
              <w:t>1</w:t>
            </w:r>
            <w:r w:rsidR="00594A04" w:rsidRPr="00C461B8">
              <w:rPr>
                <w:color w:val="000000"/>
                <w:sz w:val="20"/>
                <w:szCs w:val="20"/>
                <w:lang w:val="en-US"/>
              </w:rPr>
              <w:t>75,871</w:t>
            </w:r>
          </w:p>
        </w:tc>
        <w:tc>
          <w:tcPr>
            <w:tcW w:w="1790" w:type="pct"/>
            <w:gridSpan w:val="3"/>
            <w:tcBorders>
              <w:top w:val="single" w:sz="4" w:space="0" w:color="auto"/>
              <w:left w:val="nil"/>
              <w:bottom w:val="single" w:sz="4" w:space="0" w:color="auto"/>
              <w:right w:val="single" w:sz="4" w:space="0" w:color="000000"/>
            </w:tcBorders>
            <w:shd w:val="clear" w:color="auto" w:fill="auto"/>
            <w:noWrap/>
            <w:hideMark/>
          </w:tcPr>
          <w:p w:rsidR="00242391" w:rsidRPr="00C461B8" w:rsidRDefault="00242391" w:rsidP="00594A04">
            <w:pPr>
              <w:jc w:val="right"/>
              <w:rPr>
                <w:color w:val="000000"/>
                <w:sz w:val="20"/>
                <w:szCs w:val="20"/>
                <w:lang w:val="en-US"/>
              </w:rPr>
            </w:pPr>
            <w:r w:rsidRPr="00C461B8">
              <w:rPr>
                <w:color w:val="000000"/>
                <w:sz w:val="20"/>
                <w:szCs w:val="20"/>
                <w:lang w:val="en-US"/>
              </w:rPr>
              <w:t>1</w:t>
            </w:r>
            <w:r w:rsidR="00594A04" w:rsidRPr="00C461B8">
              <w:rPr>
                <w:color w:val="000000"/>
                <w:sz w:val="20"/>
                <w:szCs w:val="20"/>
                <w:lang w:val="en-US"/>
              </w:rPr>
              <w:t>47,430</w:t>
            </w:r>
          </w:p>
        </w:tc>
      </w:tr>
      <w:tr w:rsidR="00242391" w:rsidRPr="00C461B8" w:rsidTr="000D7AE5">
        <w:tc>
          <w:tcPr>
            <w:tcW w:w="1421" w:type="pct"/>
            <w:tcBorders>
              <w:top w:val="nil"/>
              <w:left w:val="single" w:sz="4" w:space="0" w:color="auto"/>
              <w:bottom w:val="single" w:sz="4" w:space="0" w:color="auto"/>
              <w:right w:val="single" w:sz="4" w:space="0" w:color="auto"/>
            </w:tcBorders>
            <w:shd w:val="clear" w:color="auto" w:fill="auto"/>
            <w:noWrap/>
            <w:hideMark/>
          </w:tcPr>
          <w:p w:rsidR="00242391" w:rsidRPr="00C461B8" w:rsidRDefault="00242391" w:rsidP="000D7AE5">
            <w:pPr>
              <w:jc w:val="left"/>
              <w:rPr>
                <w:b/>
                <w:bCs/>
                <w:color w:val="000000"/>
                <w:sz w:val="20"/>
                <w:szCs w:val="20"/>
                <w:lang w:val="en-US"/>
              </w:rPr>
            </w:pPr>
            <w:r w:rsidRPr="00C461B8">
              <w:rPr>
                <w:b/>
                <w:bCs/>
                <w:color w:val="000000"/>
                <w:sz w:val="20"/>
                <w:szCs w:val="20"/>
                <w:lang w:val="en-US"/>
              </w:rPr>
              <w:t>Total IOCs</w:t>
            </w:r>
          </w:p>
        </w:tc>
        <w:tc>
          <w:tcPr>
            <w:tcW w:w="3579" w:type="pct"/>
            <w:gridSpan w:val="6"/>
            <w:tcBorders>
              <w:top w:val="single" w:sz="4" w:space="0" w:color="auto"/>
              <w:left w:val="nil"/>
              <w:bottom w:val="single" w:sz="4" w:space="0" w:color="auto"/>
              <w:right w:val="single" w:sz="4" w:space="0" w:color="000000"/>
            </w:tcBorders>
            <w:shd w:val="clear" w:color="auto" w:fill="auto"/>
            <w:noWrap/>
            <w:hideMark/>
          </w:tcPr>
          <w:p w:rsidR="00242391" w:rsidRPr="00C461B8" w:rsidRDefault="00821FF3" w:rsidP="00594A04">
            <w:pPr>
              <w:jc w:val="right"/>
              <w:rPr>
                <w:b/>
                <w:bCs/>
                <w:color w:val="000000"/>
                <w:sz w:val="20"/>
                <w:szCs w:val="20"/>
                <w:lang w:val="en-US"/>
              </w:rPr>
            </w:pPr>
            <w:r w:rsidRPr="00C461B8">
              <w:rPr>
                <w:b/>
                <w:bCs/>
                <w:color w:val="000000"/>
                <w:sz w:val="20"/>
                <w:szCs w:val="20"/>
                <w:lang w:val="en-US"/>
              </w:rPr>
              <w:t>*</w:t>
            </w:r>
            <w:r w:rsidR="00242391" w:rsidRPr="00C461B8">
              <w:rPr>
                <w:b/>
                <w:bCs/>
                <w:color w:val="000000"/>
                <w:sz w:val="20"/>
                <w:szCs w:val="20"/>
                <w:lang w:val="en-US"/>
              </w:rPr>
              <w:t>32</w:t>
            </w:r>
            <w:r w:rsidR="00594A04" w:rsidRPr="00C461B8">
              <w:rPr>
                <w:b/>
                <w:bCs/>
                <w:color w:val="000000"/>
                <w:sz w:val="20"/>
                <w:szCs w:val="20"/>
                <w:lang w:val="en-US"/>
              </w:rPr>
              <w:t>3,301</w:t>
            </w:r>
          </w:p>
        </w:tc>
      </w:tr>
    </w:tbl>
    <w:p w:rsidR="00242391" w:rsidRPr="00C461B8" w:rsidRDefault="00821FF3" w:rsidP="00242391">
      <w:pPr>
        <w:pStyle w:val="Heading1"/>
        <w:numPr>
          <w:ilvl w:val="0"/>
          <w:numId w:val="0"/>
        </w:numPr>
        <w:rPr>
          <w:sz w:val="18"/>
          <w:szCs w:val="18"/>
        </w:rPr>
      </w:pPr>
      <w:r w:rsidRPr="00C461B8">
        <w:rPr>
          <w:sz w:val="18"/>
          <w:szCs w:val="18"/>
        </w:rPr>
        <w:t xml:space="preserve">*IOCs had been initially calculated at </w:t>
      </w:r>
      <w:r w:rsidR="00C52303" w:rsidRPr="00C461B8">
        <w:rPr>
          <w:sz w:val="18"/>
          <w:szCs w:val="18"/>
        </w:rPr>
        <w:t>US $</w:t>
      </w:r>
      <w:r w:rsidRPr="00C461B8">
        <w:rPr>
          <w:sz w:val="18"/>
          <w:szCs w:val="18"/>
        </w:rPr>
        <w:t>37,055 using the average production by model (1,320 units using HFC-134a and 1,755 units using R</w:t>
      </w:r>
      <w:r w:rsidRPr="00C461B8">
        <w:rPr>
          <w:sz w:val="18"/>
          <w:szCs w:val="18"/>
        </w:rPr>
        <w:noBreakHyphen/>
        <w:t xml:space="preserve">404A), but it was later corrected at </w:t>
      </w:r>
      <w:r w:rsidR="00C52303" w:rsidRPr="00C461B8">
        <w:rPr>
          <w:sz w:val="18"/>
          <w:szCs w:val="18"/>
        </w:rPr>
        <w:t>US $</w:t>
      </w:r>
      <w:r w:rsidRPr="00C461B8">
        <w:rPr>
          <w:sz w:val="18"/>
          <w:szCs w:val="18"/>
        </w:rPr>
        <w:t>323,301 to cover the entire production (14,518 units using HFC-134a and 12,283 units using R-404A).</w:t>
      </w:r>
    </w:p>
    <w:p w:rsidR="00242391" w:rsidRPr="00C461B8" w:rsidRDefault="00242391" w:rsidP="00242391">
      <w:pPr>
        <w:pStyle w:val="Heading1"/>
        <w:tabs>
          <w:tab w:val="clear" w:pos="142"/>
          <w:tab w:val="num" w:pos="0"/>
        </w:tabs>
        <w:ind w:left="0"/>
      </w:pPr>
      <w:r w:rsidRPr="00C461B8">
        <w:t xml:space="preserve">A summary of the total project cost, as submitted, is given in Table </w:t>
      </w:r>
      <w:r w:rsidR="00C461B8">
        <w:t>6</w:t>
      </w:r>
      <w:r w:rsidRPr="00C461B8">
        <w:t>.</w:t>
      </w:r>
    </w:p>
    <w:p w:rsidR="00242391" w:rsidRPr="00C461B8" w:rsidRDefault="00242391" w:rsidP="00242391">
      <w:pPr>
        <w:keepNext/>
        <w:outlineLvl w:val="0"/>
        <w:rPr>
          <w:b/>
          <w:sz w:val="20"/>
          <w:szCs w:val="20"/>
        </w:rPr>
      </w:pPr>
      <w:r w:rsidRPr="00C461B8">
        <w:rPr>
          <w:b/>
          <w:sz w:val="20"/>
          <w:szCs w:val="20"/>
        </w:rPr>
        <w:t xml:space="preserve">Table </w:t>
      </w:r>
      <w:r w:rsidR="00C461B8">
        <w:rPr>
          <w:b/>
          <w:sz w:val="20"/>
          <w:szCs w:val="20"/>
        </w:rPr>
        <w:t>6</w:t>
      </w:r>
      <w:r w:rsidRPr="00C461B8">
        <w:rPr>
          <w:b/>
          <w:sz w:val="20"/>
          <w:szCs w:val="20"/>
        </w:rPr>
        <w:t xml:space="preserve">. Total project cost and total cost requested for the conversion </w:t>
      </w:r>
      <w:r w:rsidRPr="00C461B8">
        <w:rPr>
          <w:b/>
          <w:sz w:val="20"/>
          <w:szCs w:val="20"/>
          <w:lang w:val="en-CA"/>
        </w:rPr>
        <w:t xml:space="preserve">of domestic and commercial refrigerators manufacturing at </w:t>
      </w:r>
      <w:proofErr w:type="spellStart"/>
      <w:r w:rsidRPr="00C461B8">
        <w:rPr>
          <w:b/>
          <w:sz w:val="20"/>
          <w:szCs w:val="20"/>
          <w:lang w:val="en-CA"/>
        </w:rPr>
        <w:t>Ecasa</w:t>
      </w:r>
      <w:proofErr w:type="spellEnd"/>
      <w:r w:rsidRPr="00C461B8">
        <w:rPr>
          <w:b/>
          <w:sz w:val="20"/>
          <w:szCs w:val="20"/>
          <w:lang w:val="en-CA"/>
        </w:rPr>
        <w:t xml:space="preserve"> </w:t>
      </w:r>
    </w:p>
    <w:tbl>
      <w:tblPr>
        <w:tblStyle w:val="TableGrid"/>
        <w:tblW w:w="0" w:type="auto"/>
        <w:tblInd w:w="-5" w:type="dxa"/>
        <w:tblLook w:val="04A0" w:firstRow="1" w:lastRow="0" w:firstColumn="1" w:lastColumn="0" w:noHBand="0" w:noVBand="1"/>
      </w:tblPr>
      <w:tblGrid>
        <w:gridCol w:w="4770"/>
        <w:gridCol w:w="4585"/>
      </w:tblGrid>
      <w:tr w:rsidR="00242391" w:rsidRPr="00C461B8" w:rsidTr="000D7AE5">
        <w:trPr>
          <w:trHeight w:val="276"/>
        </w:trPr>
        <w:tc>
          <w:tcPr>
            <w:tcW w:w="4770" w:type="dxa"/>
          </w:tcPr>
          <w:p w:rsidR="00242391" w:rsidRPr="00C461B8" w:rsidRDefault="00242391" w:rsidP="000D7AE5">
            <w:pPr>
              <w:keepNext/>
              <w:jc w:val="left"/>
              <w:rPr>
                <w:b/>
                <w:sz w:val="20"/>
                <w:szCs w:val="20"/>
              </w:rPr>
            </w:pPr>
            <w:r w:rsidRPr="00C461B8">
              <w:rPr>
                <w:b/>
                <w:sz w:val="20"/>
                <w:szCs w:val="20"/>
              </w:rPr>
              <w:t>Item</w:t>
            </w:r>
          </w:p>
        </w:tc>
        <w:tc>
          <w:tcPr>
            <w:tcW w:w="4585" w:type="dxa"/>
          </w:tcPr>
          <w:p w:rsidR="00242391" w:rsidRPr="00C461B8" w:rsidRDefault="00242391" w:rsidP="000D7AE5">
            <w:pPr>
              <w:keepNext/>
              <w:jc w:val="center"/>
              <w:rPr>
                <w:b/>
                <w:sz w:val="20"/>
                <w:szCs w:val="20"/>
              </w:rPr>
            </w:pPr>
            <w:r w:rsidRPr="00C461B8">
              <w:rPr>
                <w:b/>
                <w:sz w:val="20"/>
                <w:szCs w:val="20"/>
              </w:rPr>
              <w:t>Costs (</w:t>
            </w:r>
            <w:r w:rsidR="00C52303" w:rsidRPr="00C461B8">
              <w:rPr>
                <w:b/>
                <w:sz w:val="20"/>
                <w:szCs w:val="20"/>
              </w:rPr>
              <w:t>US $</w:t>
            </w:r>
            <w:r w:rsidRPr="00C461B8">
              <w:rPr>
                <w:b/>
                <w:sz w:val="20"/>
                <w:szCs w:val="20"/>
              </w:rPr>
              <w:t>)</w:t>
            </w:r>
          </w:p>
        </w:tc>
      </w:tr>
      <w:tr w:rsidR="00242391" w:rsidRPr="00C461B8" w:rsidTr="000D7AE5">
        <w:tc>
          <w:tcPr>
            <w:tcW w:w="4770" w:type="dxa"/>
          </w:tcPr>
          <w:p w:rsidR="00242391" w:rsidRPr="00C461B8" w:rsidRDefault="00242391" w:rsidP="000D7AE5">
            <w:pPr>
              <w:keepNext/>
              <w:rPr>
                <w:sz w:val="20"/>
                <w:szCs w:val="20"/>
              </w:rPr>
            </w:pPr>
            <w:r w:rsidRPr="00C461B8">
              <w:rPr>
                <w:sz w:val="20"/>
                <w:szCs w:val="20"/>
              </w:rPr>
              <w:t>ICCs</w:t>
            </w:r>
          </w:p>
        </w:tc>
        <w:tc>
          <w:tcPr>
            <w:tcW w:w="4585" w:type="dxa"/>
            <w:tcBorders>
              <w:top w:val="single" w:sz="4" w:space="0" w:color="auto"/>
              <w:left w:val="nil"/>
              <w:bottom w:val="single" w:sz="4" w:space="0" w:color="auto"/>
              <w:right w:val="single" w:sz="4" w:space="0" w:color="auto"/>
            </w:tcBorders>
            <w:shd w:val="clear" w:color="auto" w:fill="auto"/>
            <w:vAlign w:val="bottom"/>
          </w:tcPr>
          <w:p w:rsidR="00242391" w:rsidRPr="00C461B8" w:rsidRDefault="00242391" w:rsidP="00895F7A">
            <w:pPr>
              <w:keepNext/>
              <w:jc w:val="right"/>
              <w:rPr>
                <w:sz w:val="20"/>
                <w:szCs w:val="20"/>
              </w:rPr>
            </w:pPr>
            <w:r w:rsidRPr="00C461B8">
              <w:rPr>
                <w:sz w:val="20"/>
                <w:szCs w:val="20"/>
              </w:rPr>
              <w:t>2</w:t>
            </w:r>
            <w:r w:rsidR="00895F7A" w:rsidRPr="00C461B8">
              <w:rPr>
                <w:sz w:val="20"/>
                <w:szCs w:val="20"/>
              </w:rPr>
              <w:t>35</w:t>
            </w:r>
            <w:r w:rsidRPr="00C461B8">
              <w:rPr>
                <w:sz w:val="20"/>
                <w:szCs w:val="20"/>
              </w:rPr>
              <w:t>,190</w:t>
            </w:r>
          </w:p>
        </w:tc>
      </w:tr>
      <w:tr w:rsidR="00242391" w:rsidRPr="00C461B8" w:rsidTr="000D7AE5">
        <w:tc>
          <w:tcPr>
            <w:tcW w:w="4770" w:type="dxa"/>
          </w:tcPr>
          <w:p w:rsidR="00242391" w:rsidRPr="00C461B8" w:rsidRDefault="00242391" w:rsidP="000D7AE5">
            <w:pPr>
              <w:keepNext/>
              <w:rPr>
                <w:sz w:val="20"/>
                <w:szCs w:val="20"/>
              </w:rPr>
            </w:pPr>
            <w:r w:rsidRPr="00C461B8">
              <w:rPr>
                <w:sz w:val="20"/>
                <w:szCs w:val="20"/>
              </w:rPr>
              <w:t>IOCs</w:t>
            </w:r>
          </w:p>
        </w:tc>
        <w:tc>
          <w:tcPr>
            <w:tcW w:w="4585" w:type="dxa"/>
            <w:tcBorders>
              <w:top w:val="single" w:sz="4" w:space="0" w:color="auto"/>
              <w:left w:val="nil"/>
              <w:bottom w:val="single" w:sz="4" w:space="0" w:color="auto"/>
              <w:right w:val="single" w:sz="4" w:space="0" w:color="auto"/>
            </w:tcBorders>
            <w:shd w:val="clear" w:color="auto" w:fill="auto"/>
            <w:vAlign w:val="bottom"/>
          </w:tcPr>
          <w:p w:rsidR="00242391" w:rsidRPr="00C461B8" w:rsidRDefault="0079257B" w:rsidP="00895F7A">
            <w:pPr>
              <w:keepNext/>
              <w:jc w:val="right"/>
              <w:rPr>
                <w:sz w:val="20"/>
                <w:szCs w:val="20"/>
              </w:rPr>
            </w:pPr>
            <w:r w:rsidRPr="00C461B8">
              <w:rPr>
                <w:sz w:val="20"/>
                <w:szCs w:val="20"/>
              </w:rPr>
              <w:t>0</w:t>
            </w:r>
          </w:p>
        </w:tc>
      </w:tr>
      <w:tr w:rsidR="00242391" w:rsidRPr="00C461B8" w:rsidTr="000D7AE5">
        <w:tc>
          <w:tcPr>
            <w:tcW w:w="4770" w:type="dxa"/>
          </w:tcPr>
          <w:p w:rsidR="00242391" w:rsidRPr="00C461B8" w:rsidRDefault="00242391" w:rsidP="000D7AE5">
            <w:pPr>
              <w:keepNext/>
              <w:rPr>
                <w:b/>
                <w:sz w:val="20"/>
                <w:szCs w:val="20"/>
              </w:rPr>
            </w:pPr>
            <w:r w:rsidRPr="00C461B8">
              <w:rPr>
                <w:b/>
                <w:sz w:val="20"/>
                <w:szCs w:val="20"/>
              </w:rPr>
              <w:t>Total</w:t>
            </w:r>
            <w:r w:rsidR="0079257B" w:rsidRPr="00C461B8">
              <w:rPr>
                <w:b/>
                <w:sz w:val="20"/>
                <w:szCs w:val="20"/>
              </w:rPr>
              <w:t xml:space="preserve"> cost requested</w:t>
            </w:r>
          </w:p>
        </w:tc>
        <w:tc>
          <w:tcPr>
            <w:tcW w:w="4585" w:type="dxa"/>
            <w:tcBorders>
              <w:top w:val="single" w:sz="4" w:space="0" w:color="auto"/>
              <w:left w:val="nil"/>
              <w:bottom w:val="single" w:sz="4" w:space="0" w:color="auto"/>
              <w:right w:val="single" w:sz="4" w:space="0" w:color="auto"/>
            </w:tcBorders>
            <w:shd w:val="clear" w:color="auto" w:fill="auto"/>
            <w:vAlign w:val="bottom"/>
          </w:tcPr>
          <w:p w:rsidR="00242391" w:rsidRPr="00C461B8" w:rsidRDefault="0079257B" w:rsidP="0079257B">
            <w:pPr>
              <w:keepNext/>
              <w:jc w:val="right"/>
              <w:rPr>
                <w:b/>
                <w:sz w:val="20"/>
                <w:szCs w:val="20"/>
              </w:rPr>
            </w:pPr>
            <w:r w:rsidRPr="00C461B8">
              <w:rPr>
                <w:b/>
                <w:sz w:val="20"/>
                <w:szCs w:val="20"/>
              </w:rPr>
              <w:t>235,190</w:t>
            </w:r>
          </w:p>
        </w:tc>
      </w:tr>
    </w:tbl>
    <w:p w:rsidR="00242391" w:rsidRPr="00C461B8" w:rsidRDefault="00242391" w:rsidP="00242391">
      <w:pPr>
        <w:outlineLvl w:val="0"/>
      </w:pPr>
    </w:p>
    <w:p w:rsidR="00242391" w:rsidRPr="00C461B8" w:rsidRDefault="00242391" w:rsidP="00242391">
      <w:pPr>
        <w:pStyle w:val="Heading1"/>
        <w:tabs>
          <w:tab w:val="clear" w:pos="142"/>
          <w:tab w:val="num" w:pos="0"/>
        </w:tabs>
        <w:ind w:left="0"/>
      </w:pPr>
      <w:r w:rsidRPr="00C461B8">
        <w:t xml:space="preserve">The overall cost-effectiveness of the project is </w:t>
      </w:r>
      <w:r w:rsidR="00C52303" w:rsidRPr="00C461B8">
        <w:t>US $</w:t>
      </w:r>
      <w:r w:rsidRPr="00C461B8">
        <w:t>40.27/kg based on the funds requested from the Multilateral Fund. The project will be implemented over a period of 24 months.</w:t>
      </w:r>
    </w:p>
    <w:p w:rsidR="00242391" w:rsidRDefault="00242391" w:rsidP="00242391">
      <w:pPr>
        <w:pStyle w:val="Heading1"/>
        <w:tabs>
          <w:tab w:val="clear" w:pos="142"/>
          <w:tab w:val="num" w:pos="0"/>
        </w:tabs>
        <w:ind w:left="0"/>
      </w:pPr>
      <w:r w:rsidRPr="00C461B8">
        <w:t>The project will eliminate annual consumption of 2.32 </w:t>
      </w:r>
      <w:proofErr w:type="spellStart"/>
      <w:r w:rsidRPr="00C461B8">
        <w:t>mt</w:t>
      </w:r>
      <w:proofErr w:type="spellEnd"/>
      <w:r w:rsidRPr="00C461B8">
        <w:t xml:space="preserve"> (3,317.60 CO</w:t>
      </w:r>
      <w:r w:rsidRPr="00C461B8">
        <w:rPr>
          <w:vertAlign w:val="subscript"/>
        </w:rPr>
        <w:t>2</w:t>
      </w:r>
      <w:r w:rsidRPr="00C461B8">
        <w:t xml:space="preserve">-eq </w:t>
      </w:r>
      <w:proofErr w:type="spellStart"/>
      <w:r w:rsidRPr="00C461B8">
        <w:t>mt</w:t>
      </w:r>
      <w:proofErr w:type="spellEnd"/>
      <w:r w:rsidRPr="00C461B8">
        <w:t>) of HFC</w:t>
      </w:r>
      <w:r w:rsidRPr="00C461B8">
        <w:noBreakHyphen/>
        <w:t>134a and</w:t>
      </w:r>
      <w:r>
        <w:t xml:space="preserve"> 3.52 </w:t>
      </w:r>
      <w:proofErr w:type="spellStart"/>
      <w:r>
        <w:t>mt</w:t>
      </w:r>
      <w:proofErr w:type="spellEnd"/>
      <w:r>
        <w:t xml:space="preserve"> </w:t>
      </w:r>
      <w:r w:rsidRPr="003F0F38">
        <w:t>(</w:t>
      </w:r>
      <w:r>
        <w:t>13,805.44</w:t>
      </w:r>
      <w:r w:rsidRPr="003F0F38">
        <w:t xml:space="preserve"> CO</w:t>
      </w:r>
      <w:r w:rsidRPr="003F0F38">
        <w:rPr>
          <w:vertAlign w:val="subscript"/>
        </w:rPr>
        <w:t>2</w:t>
      </w:r>
      <w:r>
        <w:t xml:space="preserve">-eq </w:t>
      </w:r>
      <w:proofErr w:type="spellStart"/>
      <w:r>
        <w:t>mt</w:t>
      </w:r>
      <w:proofErr w:type="spellEnd"/>
      <w:r w:rsidRPr="003F0F38">
        <w:t>)</w:t>
      </w:r>
      <w:r>
        <w:t xml:space="preserve"> of R-404A.</w:t>
      </w:r>
      <w:r w:rsidRPr="003F0F38">
        <w:t xml:space="preserve"> The energy efficiency of the refrigerators is estimated to improve by about 1</w:t>
      </w:r>
      <w:r>
        <w:t>0 </w:t>
      </w:r>
      <w:r w:rsidRPr="003F0F38">
        <w:t>per</w:t>
      </w:r>
      <w:r>
        <w:t> </w:t>
      </w:r>
      <w:r w:rsidRPr="003F0F38">
        <w:t xml:space="preserve">cent through </w:t>
      </w:r>
      <w:r>
        <w:t>the modifications to the components.</w:t>
      </w:r>
    </w:p>
    <w:p w:rsidR="00242391" w:rsidRPr="00C044C6" w:rsidRDefault="00242391" w:rsidP="00242391">
      <w:pPr>
        <w:rPr>
          <w:b/>
          <w:lang w:val="en-CA"/>
        </w:rPr>
      </w:pPr>
      <w:r w:rsidRPr="00C044C6">
        <w:rPr>
          <w:b/>
          <w:lang w:val="en-CA"/>
        </w:rPr>
        <w:t xml:space="preserve">Secretariat’s comments </w:t>
      </w:r>
    </w:p>
    <w:p w:rsidR="00242391" w:rsidRPr="00B31E07" w:rsidRDefault="00242391" w:rsidP="00242391">
      <w:pPr>
        <w:rPr>
          <w:lang w:val="en-CA"/>
        </w:rPr>
      </w:pPr>
    </w:p>
    <w:p w:rsidR="00242391" w:rsidRPr="00B31E07" w:rsidRDefault="00242391" w:rsidP="00242391">
      <w:pPr>
        <w:rPr>
          <w:u w:val="single"/>
          <w:lang w:val="en-CA"/>
        </w:rPr>
      </w:pPr>
      <w:r w:rsidRPr="00B31E07">
        <w:rPr>
          <w:u w:val="single"/>
          <w:lang w:val="en-CA"/>
        </w:rPr>
        <w:t>Proposed costs</w:t>
      </w:r>
    </w:p>
    <w:p w:rsidR="00242391" w:rsidRPr="007871D3" w:rsidRDefault="00242391" w:rsidP="00242391">
      <w:pPr>
        <w:rPr>
          <w:i/>
          <w:highlight w:val="yellow"/>
          <w:lang w:val="en-CA"/>
        </w:rPr>
      </w:pPr>
    </w:p>
    <w:p w:rsidR="00242391" w:rsidRDefault="00242391" w:rsidP="00242391">
      <w:pPr>
        <w:pStyle w:val="Heading1"/>
        <w:tabs>
          <w:tab w:val="clear" w:pos="142"/>
          <w:tab w:val="num" w:pos="0"/>
        </w:tabs>
        <w:ind w:left="0"/>
        <w:rPr>
          <w:lang w:val="en-CA"/>
        </w:rPr>
      </w:pPr>
      <w:r>
        <w:rPr>
          <w:lang w:val="en-CA"/>
        </w:rPr>
        <w:t xml:space="preserve">Upon discussion with UNIDO of the elements included in the project, the following adjustments were </w:t>
      </w:r>
      <w:r w:rsidRPr="00D52639">
        <w:rPr>
          <w:lang w:val="en-CA"/>
        </w:rPr>
        <w:t>made and agreed</w:t>
      </w:r>
      <w:r>
        <w:rPr>
          <w:lang w:val="en-CA"/>
        </w:rPr>
        <w:t xml:space="preserve">: a </w:t>
      </w:r>
      <w:r w:rsidRPr="00A00FAC">
        <w:rPr>
          <w:lang w:val="en-CA"/>
        </w:rPr>
        <w:t xml:space="preserve">reduction in the cost of the charging unit, including safety elements, from </w:t>
      </w:r>
      <w:r w:rsidR="00C52303" w:rsidRPr="00A00FAC">
        <w:rPr>
          <w:lang w:val="en-CA"/>
        </w:rPr>
        <w:t>US $</w:t>
      </w:r>
      <w:r w:rsidRPr="00A00FAC">
        <w:rPr>
          <w:lang w:val="en-CA"/>
        </w:rPr>
        <w:t xml:space="preserve">55,000 to </w:t>
      </w:r>
      <w:r w:rsidR="00C52303" w:rsidRPr="00A00FAC">
        <w:rPr>
          <w:lang w:val="en-CA"/>
        </w:rPr>
        <w:t>US $</w:t>
      </w:r>
      <w:r w:rsidRPr="00A00FAC">
        <w:rPr>
          <w:lang w:val="en-CA"/>
        </w:rPr>
        <w:t>40,000</w:t>
      </w:r>
      <w:r w:rsidR="00541F28" w:rsidRPr="00A00FAC">
        <w:rPr>
          <w:lang w:val="en-CA"/>
        </w:rPr>
        <w:t>,</w:t>
      </w:r>
      <w:r w:rsidR="00994D37" w:rsidRPr="00A00FAC">
        <w:rPr>
          <w:lang w:val="en-CA"/>
        </w:rPr>
        <w:t xml:space="preserve"> given the </w:t>
      </w:r>
      <w:r w:rsidR="001D41ED" w:rsidRPr="00A00FAC">
        <w:rPr>
          <w:lang w:val="en-CA"/>
        </w:rPr>
        <w:t>level of production</w:t>
      </w:r>
      <w:r w:rsidR="00994D37" w:rsidRPr="00A00FAC">
        <w:rPr>
          <w:lang w:val="en-CA"/>
        </w:rPr>
        <w:t xml:space="preserve"> required</w:t>
      </w:r>
      <w:r w:rsidRPr="00A00FAC">
        <w:rPr>
          <w:lang w:val="en-CA"/>
        </w:rPr>
        <w:t xml:space="preserve">; a reduction in the cost of the helium management system from </w:t>
      </w:r>
      <w:r w:rsidR="00C52303" w:rsidRPr="00A00FAC">
        <w:rPr>
          <w:lang w:val="en-CA"/>
        </w:rPr>
        <w:t>US $</w:t>
      </w:r>
      <w:r w:rsidRPr="00A00FAC">
        <w:rPr>
          <w:lang w:val="en-CA"/>
        </w:rPr>
        <w:t xml:space="preserve">55,000 to </w:t>
      </w:r>
      <w:r w:rsidR="00C52303" w:rsidRPr="00A00FAC">
        <w:rPr>
          <w:lang w:val="en-CA"/>
        </w:rPr>
        <w:t>US $</w:t>
      </w:r>
      <w:r w:rsidRPr="00A00FAC">
        <w:rPr>
          <w:lang w:val="en-CA"/>
        </w:rPr>
        <w:t>38,000</w:t>
      </w:r>
      <w:r w:rsidR="00541F28" w:rsidRPr="00A00FAC">
        <w:rPr>
          <w:lang w:val="en-CA"/>
        </w:rPr>
        <w:t>,</w:t>
      </w:r>
      <w:r w:rsidRPr="00A00FAC">
        <w:rPr>
          <w:lang w:val="en-CA"/>
        </w:rPr>
        <w:t xml:space="preserve"> </w:t>
      </w:r>
      <w:r w:rsidR="00994D37" w:rsidRPr="00A00FAC">
        <w:rPr>
          <w:lang w:val="en-CA"/>
        </w:rPr>
        <w:t>in line with other proposals</w:t>
      </w:r>
      <w:r w:rsidRPr="00A00FAC">
        <w:rPr>
          <w:lang w:val="en-CA"/>
        </w:rPr>
        <w:t xml:space="preserve">; and a </w:t>
      </w:r>
      <w:r w:rsidR="00954D06" w:rsidRPr="00A00FAC">
        <w:rPr>
          <w:lang w:val="en-CA"/>
        </w:rPr>
        <w:t>reduction in the number of hand</w:t>
      </w:r>
      <w:r w:rsidRPr="00A00FAC">
        <w:rPr>
          <w:lang w:val="en-CA"/>
        </w:rPr>
        <w:t xml:space="preserve">held leak detectors from four to two on the basis of the needs </w:t>
      </w:r>
      <w:r w:rsidR="00541F28" w:rsidRPr="00A00FAC">
        <w:rPr>
          <w:lang w:val="en-CA"/>
        </w:rPr>
        <w:t>of the line. It was also agreed</w:t>
      </w:r>
      <w:r w:rsidRPr="00A00FAC">
        <w:rPr>
          <w:lang w:val="en-CA"/>
        </w:rPr>
        <w:t xml:space="preserve"> to include </w:t>
      </w:r>
      <w:r w:rsidR="00C52303" w:rsidRPr="00A00FAC">
        <w:rPr>
          <w:lang w:val="en-CA"/>
        </w:rPr>
        <w:t>US $</w:t>
      </w:r>
      <w:r w:rsidRPr="00A00FAC">
        <w:rPr>
          <w:lang w:val="en-CA"/>
        </w:rPr>
        <w:t xml:space="preserve">5,000 for the adaptation of the refrigerant storage and supply area </w:t>
      </w:r>
      <w:r w:rsidR="00994D37" w:rsidRPr="00A00FAC">
        <w:rPr>
          <w:lang w:val="en-CA"/>
        </w:rPr>
        <w:t xml:space="preserve">as </w:t>
      </w:r>
      <w:r w:rsidR="00541F28" w:rsidRPr="00A00FAC">
        <w:rPr>
          <w:lang w:val="en-CA"/>
        </w:rPr>
        <w:t>it is required but</w:t>
      </w:r>
      <w:r w:rsidR="00994D37" w:rsidRPr="00A00FAC">
        <w:rPr>
          <w:lang w:val="en-CA"/>
        </w:rPr>
        <w:t xml:space="preserve"> had not b</w:t>
      </w:r>
      <w:r w:rsidR="001D41ED" w:rsidRPr="00A00FAC">
        <w:rPr>
          <w:lang w:val="en-CA"/>
        </w:rPr>
        <w:t>e</w:t>
      </w:r>
      <w:r w:rsidR="00994D37" w:rsidRPr="00A00FAC">
        <w:rPr>
          <w:lang w:val="en-CA"/>
        </w:rPr>
        <w:t>en included in the proposal</w:t>
      </w:r>
      <w:r w:rsidRPr="00A00FAC">
        <w:rPr>
          <w:lang w:val="en-CA"/>
        </w:rPr>
        <w:t xml:space="preserve">, and to increase the cost of redesign and trial of products from </w:t>
      </w:r>
      <w:r w:rsidR="00C52303" w:rsidRPr="00A00FAC">
        <w:rPr>
          <w:lang w:val="en-CA"/>
        </w:rPr>
        <w:t>US $</w:t>
      </w:r>
      <w:r w:rsidRPr="00A00FAC">
        <w:rPr>
          <w:lang w:val="en-CA"/>
        </w:rPr>
        <w:t xml:space="preserve">1,200 to </w:t>
      </w:r>
      <w:r w:rsidR="00C52303" w:rsidRPr="00A00FAC">
        <w:rPr>
          <w:lang w:val="en-CA"/>
        </w:rPr>
        <w:t>US $</w:t>
      </w:r>
      <w:r w:rsidRPr="00A00FAC">
        <w:rPr>
          <w:lang w:val="en-CA"/>
        </w:rPr>
        <w:t>1,500 per product</w:t>
      </w:r>
      <w:r w:rsidR="00541F28" w:rsidRPr="00A00FAC">
        <w:rPr>
          <w:lang w:val="en-CA"/>
        </w:rPr>
        <w:t>,</w:t>
      </w:r>
      <w:r w:rsidR="00994D37" w:rsidRPr="00A00FAC">
        <w:rPr>
          <w:lang w:val="en-CA"/>
        </w:rPr>
        <w:t xml:space="preserve"> in line with </w:t>
      </w:r>
      <w:r w:rsidR="00D91519" w:rsidRPr="00A00FAC">
        <w:rPr>
          <w:lang w:val="en-CA"/>
        </w:rPr>
        <w:t xml:space="preserve">the </w:t>
      </w:r>
      <w:r w:rsidR="009B13BE" w:rsidRPr="00A00FAC">
        <w:rPr>
          <w:lang w:val="en-CA"/>
        </w:rPr>
        <w:t xml:space="preserve">other </w:t>
      </w:r>
      <w:r w:rsidR="00D91519" w:rsidRPr="00A00FAC">
        <w:rPr>
          <w:lang w:val="en-CA"/>
        </w:rPr>
        <w:t>proposal</w:t>
      </w:r>
      <w:r w:rsidR="009B13BE" w:rsidRPr="00A00FAC">
        <w:rPr>
          <w:lang w:val="en-CA"/>
        </w:rPr>
        <w:t xml:space="preserve"> in Ecuador</w:t>
      </w:r>
      <w:r w:rsidR="00D91519" w:rsidRPr="00A00FAC">
        <w:rPr>
          <w:lang w:val="en-CA"/>
        </w:rPr>
        <w:t xml:space="preserve"> </w:t>
      </w:r>
      <w:r w:rsidR="009B13BE" w:rsidRPr="00A00FAC">
        <w:rPr>
          <w:lang w:val="en-CA"/>
        </w:rPr>
        <w:t xml:space="preserve">by </w:t>
      </w:r>
      <w:proofErr w:type="spellStart"/>
      <w:r w:rsidR="00D91519" w:rsidRPr="00A00FAC">
        <w:rPr>
          <w:lang w:val="en-CA"/>
        </w:rPr>
        <w:t>Induglob</w:t>
      </w:r>
      <w:proofErr w:type="spellEnd"/>
      <w:r w:rsidRPr="00A00FAC">
        <w:rPr>
          <w:lang w:val="en-CA"/>
        </w:rPr>
        <w:t>.</w:t>
      </w:r>
    </w:p>
    <w:p w:rsidR="00994D37" w:rsidRDefault="00242391" w:rsidP="00242391">
      <w:pPr>
        <w:pStyle w:val="Heading1"/>
        <w:tabs>
          <w:tab w:val="clear" w:pos="142"/>
          <w:tab w:val="num" w:pos="0"/>
        </w:tabs>
        <w:ind w:left="0"/>
        <w:rPr>
          <w:lang w:val="en-CA"/>
        </w:rPr>
      </w:pPr>
      <w:r>
        <w:rPr>
          <w:lang w:val="en-CA"/>
        </w:rPr>
        <w:t xml:space="preserve">As IOCs are </w:t>
      </w:r>
      <w:r w:rsidRPr="00994D37">
        <w:rPr>
          <w:lang w:val="en-CA"/>
        </w:rPr>
        <w:t xml:space="preserve">not being requested, their calculation was not discussed in detail. The Secretariat, however, noted that the difference in the cost between the HFC-134a and the R-600a compressors should be no higher than </w:t>
      </w:r>
      <w:r w:rsidR="00C52303">
        <w:rPr>
          <w:lang w:val="en-CA"/>
        </w:rPr>
        <w:t>US $</w:t>
      </w:r>
      <w:r w:rsidRPr="00994D37">
        <w:rPr>
          <w:lang w:val="en-CA"/>
        </w:rPr>
        <w:t xml:space="preserve">1.00/unit rather than </w:t>
      </w:r>
      <w:r w:rsidR="00C52303">
        <w:rPr>
          <w:lang w:val="en-CA"/>
        </w:rPr>
        <w:t>US $</w:t>
      </w:r>
      <w:r w:rsidRPr="00994D37">
        <w:rPr>
          <w:lang w:val="en-CA"/>
        </w:rPr>
        <w:t xml:space="preserve">5.00/unit as estimated, given the existence of R-600a based compressor on the market. </w:t>
      </w:r>
    </w:p>
    <w:p w:rsidR="00242391" w:rsidRPr="00806690" w:rsidRDefault="00242391" w:rsidP="00242391">
      <w:pPr>
        <w:pStyle w:val="Heading1"/>
        <w:tabs>
          <w:tab w:val="clear" w:pos="142"/>
          <w:tab w:val="num" w:pos="0"/>
        </w:tabs>
        <w:ind w:left="0"/>
        <w:rPr>
          <w:lang w:val="en-CA"/>
        </w:rPr>
      </w:pPr>
      <w:r w:rsidRPr="00994D37">
        <w:rPr>
          <w:lang w:val="en-CA"/>
        </w:rPr>
        <w:t>Nevertheless, UNIDO has confirmed that, in line with decision 78/3(g), the project will collect, and include in the final report</w:t>
      </w:r>
      <w:r>
        <w:rPr>
          <w:lang w:val="en-CA"/>
        </w:rPr>
        <w:t xml:space="preserve">, </w:t>
      </w:r>
      <w:r w:rsidRPr="00806690">
        <w:rPr>
          <w:lang w:val="en-CA"/>
        </w:rPr>
        <w:t xml:space="preserve">data on </w:t>
      </w:r>
      <w:r>
        <w:rPr>
          <w:lang w:val="en-CA"/>
        </w:rPr>
        <w:t xml:space="preserve">the </w:t>
      </w:r>
      <w:r w:rsidRPr="00806690">
        <w:rPr>
          <w:lang w:val="en-CA"/>
        </w:rPr>
        <w:t>ICC</w:t>
      </w:r>
      <w:r>
        <w:rPr>
          <w:lang w:val="en-CA"/>
        </w:rPr>
        <w:t>s</w:t>
      </w:r>
      <w:r w:rsidRPr="00806690">
        <w:rPr>
          <w:lang w:val="en-CA"/>
        </w:rPr>
        <w:t xml:space="preserve"> and IOCs</w:t>
      </w:r>
      <w:r>
        <w:rPr>
          <w:lang w:val="en-CA"/>
        </w:rPr>
        <w:t xml:space="preserve"> incurred,</w:t>
      </w:r>
      <w:r w:rsidRPr="00806690">
        <w:rPr>
          <w:lang w:val="en-CA"/>
        </w:rPr>
        <w:t xml:space="preserve"> and that, in line with decision 22/38 and subsequent decisions of the Executive Committee, equipment to be replaced by the project w</w:t>
      </w:r>
      <w:r>
        <w:rPr>
          <w:lang w:val="en-CA"/>
        </w:rPr>
        <w:t>ill,</w:t>
      </w:r>
      <w:r w:rsidRPr="00806690">
        <w:rPr>
          <w:lang w:val="en-CA"/>
        </w:rPr>
        <w:t xml:space="preserve"> as part of the project</w:t>
      </w:r>
      <w:r>
        <w:rPr>
          <w:lang w:val="en-CA"/>
        </w:rPr>
        <w:t xml:space="preserve">, be </w:t>
      </w:r>
      <w:r w:rsidRPr="00806690">
        <w:rPr>
          <w:lang w:val="en-CA"/>
        </w:rPr>
        <w:t>destroyed or rendered unusable.</w:t>
      </w:r>
    </w:p>
    <w:p w:rsidR="00242391" w:rsidRPr="00FA0711" w:rsidRDefault="00242391" w:rsidP="00242391">
      <w:pPr>
        <w:pStyle w:val="Heading1"/>
        <w:tabs>
          <w:tab w:val="clear" w:pos="142"/>
          <w:tab w:val="num" w:pos="0"/>
        </w:tabs>
        <w:ind w:left="0"/>
        <w:rPr>
          <w:lang w:val="en-CA"/>
        </w:rPr>
      </w:pPr>
      <w:r w:rsidRPr="00B4558E">
        <w:rPr>
          <w:lang w:val="en-CA"/>
        </w:rPr>
        <w:t xml:space="preserve">The </w:t>
      </w:r>
      <w:r>
        <w:rPr>
          <w:lang w:val="en-CA"/>
        </w:rPr>
        <w:t>revised</w:t>
      </w:r>
      <w:r w:rsidRPr="00B4558E">
        <w:rPr>
          <w:lang w:val="en-CA"/>
        </w:rPr>
        <w:t xml:space="preserve"> costs of the conversion of </w:t>
      </w:r>
      <w:r>
        <w:rPr>
          <w:lang w:val="en-CA"/>
        </w:rPr>
        <w:t xml:space="preserve">the domestic and </w:t>
      </w:r>
      <w:r w:rsidRPr="00B4558E">
        <w:rPr>
          <w:lang w:val="en-CA"/>
        </w:rPr>
        <w:t>commercial refrigerat</w:t>
      </w:r>
      <w:r>
        <w:rPr>
          <w:lang w:val="en-CA"/>
        </w:rPr>
        <w:t>ors</w:t>
      </w:r>
      <w:r w:rsidRPr="00B4558E">
        <w:rPr>
          <w:lang w:val="en-CA"/>
        </w:rPr>
        <w:t xml:space="preserve"> manufacturing line in</w:t>
      </w:r>
      <w:r>
        <w:rPr>
          <w:lang w:val="en-CA"/>
        </w:rPr>
        <w:t xml:space="preserve"> </w:t>
      </w:r>
      <w:proofErr w:type="spellStart"/>
      <w:r>
        <w:rPr>
          <w:lang w:val="en-CA"/>
        </w:rPr>
        <w:t>Ecasa</w:t>
      </w:r>
      <w:proofErr w:type="spellEnd"/>
      <w:r>
        <w:rPr>
          <w:lang w:val="en-CA"/>
        </w:rPr>
        <w:t xml:space="preserve"> are sho</w:t>
      </w:r>
      <w:r w:rsidRPr="00B4558E">
        <w:rPr>
          <w:lang w:val="en-CA"/>
        </w:rPr>
        <w:t xml:space="preserve">wn in Table </w:t>
      </w:r>
      <w:r w:rsidR="00941A76">
        <w:rPr>
          <w:lang w:val="en-CA"/>
        </w:rPr>
        <w:t>7</w:t>
      </w:r>
      <w:r w:rsidRPr="00B4558E">
        <w:rPr>
          <w:lang w:val="en-CA"/>
        </w:rPr>
        <w:t>.</w:t>
      </w:r>
    </w:p>
    <w:p w:rsidR="00242391" w:rsidRPr="008F460B" w:rsidRDefault="00242391" w:rsidP="00242391">
      <w:pPr>
        <w:keepNext/>
        <w:keepLines/>
        <w:rPr>
          <w:b/>
          <w:sz w:val="21"/>
          <w:szCs w:val="21"/>
          <w:lang w:val="en-CA"/>
        </w:rPr>
      </w:pPr>
      <w:r w:rsidRPr="008F460B">
        <w:rPr>
          <w:b/>
          <w:sz w:val="21"/>
          <w:szCs w:val="21"/>
          <w:lang w:val="en-CA"/>
        </w:rPr>
        <w:t xml:space="preserve">Table </w:t>
      </w:r>
      <w:r w:rsidR="00941A76">
        <w:rPr>
          <w:b/>
          <w:sz w:val="21"/>
          <w:szCs w:val="21"/>
          <w:lang w:val="en-CA"/>
        </w:rPr>
        <w:t>7</w:t>
      </w:r>
      <w:r w:rsidRPr="008F460B">
        <w:rPr>
          <w:b/>
          <w:sz w:val="21"/>
          <w:szCs w:val="21"/>
          <w:lang w:val="en-CA"/>
        </w:rPr>
        <w:t>. Proposed and revised costs the conversion of domestic and commercial refrigerator</w:t>
      </w:r>
      <w:r>
        <w:rPr>
          <w:b/>
          <w:sz w:val="21"/>
          <w:szCs w:val="21"/>
          <w:lang w:val="en-CA"/>
        </w:rPr>
        <w:t>s</w:t>
      </w:r>
      <w:r w:rsidRPr="008F460B">
        <w:rPr>
          <w:b/>
          <w:sz w:val="21"/>
          <w:szCs w:val="21"/>
          <w:lang w:val="en-CA"/>
        </w:rPr>
        <w:t xml:space="preserve"> manufacturing at </w:t>
      </w:r>
      <w:proofErr w:type="spellStart"/>
      <w:r w:rsidRPr="008F460B">
        <w:rPr>
          <w:b/>
          <w:sz w:val="21"/>
          <w:szCs w:val="21"/>
          <w:lang w:val="en-CA"/>
        </w:rPr>
        <w:t>Ecasa</w:t>
      </w:r>
      <w:proofErr w:type="spellEnd"/>
    </w:p>
    <w:tbl>
      <w:tblPr>
        <w:tblW w:w="5000" w:type="pct"/>
        <w:tblLook w:val="04A0" w:firstRow="1" w:lastRow="0" w:firstColumn="1" w:lastColumn="0" w:noHBand="0" w:noVBand="1"/>
      </w:tblPr>
      <w:tblGrid>
        <w:gridCol w:w="6118"/>
        <w:gridCol w:w="1616"/>
        <w:gridCol w:w="1616"/>
      </w:tblGrid>
      <w:tr w:rsidR="00242391" w:rsidRPr="00941A76" w:rsidTr="00941A76">
        <w:trPr>
          <w:tblHeader/>
        </w:trPr>
        <w:tc>
          <w:tcPr>
            <w:tcW w:w="3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941A76" w:rsidRDefault="00242391" w:rsidP="000D7AE5">
            <w:pPr>
              <w:keepNext/>
              <w:keepLines/>
              <w:jc w:val="left"/>
              <w:rPr>
                <w:b/>
                <w:bCs/>
                <w:color w:val="000000"/>
                <w:sz w:val="20"/>
                <w:szCs w:val="20"/>
                <w:lang w:val="en-US"/>
              </w:rPr>
            </w:pPr>
            <w:r w:rsidRPr="00941A76">
              <w:rPr>
                <w:b/>
                <w:bCs/>
                <w:color w:val="000000"/>
                <w:sz w:val="20"/>
                <w:szCs w:val="20"/>
                <w:lang w:val="en-US"/>
              </w:rPr>
              <w:t>Item</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keepNext/>
              <w:keepLines/>
              <w:jc w:val="center"/>
              <w:rPr>
                <w:b/>
                <w:bCs/>
                <w:color w:val="000000"/>
                <w:sz w:val="18"/>
                <w:szCs w:val="18"/>
                <w:lang w:val="en-US"/>
              </w:rPr>
            </w:pPr>
            <w:r w:rsidRPr="00941A76">
              <w:rPr>
                <w:b/>
                <w:bCs/>
                <w:color w:val="000000"/>
                <w:sz w:val="20"/>
                <w:szCs w:val="20"/>
                <w:lang w:val="en-US"/>
              </w:rPr>
              <w:t>Proposed (</w:t>
            </w:r>
            <w:r w:rsidR="00C52303" w:rsidRPr="00941A76">
              <w:rPr>
                <w:b/>
                <w:bCs/>
                <w:color w:val="000000"/>
                <w:sz w:val="20"/>
                <w:szCs w:val="20"/>
                <w:lang w:val="en-US"/>
              </w:rPr>
              <w:t>US $</w:t>
            </w:r>
            <w:r w:rsidRPr="00941A76">
              <w:rPr>
                <w:b/>
                <w:bCs/>
                <w:color w:val="000000"/>
                <w:sz w:val="20"/>
                <w:szCs w:val="20"/>
                <w:lang w:val="en-US"/>
              </w:rPr>
              <w:t>)</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941A76" w:rsidRDefault="00242391" w:rsidP="000D7AE5">
            <w:pPr>
              <w:keepNext/>
              <w:keepLines/>
              <w:jc w:val="center"/>
              <w:rPr>
                <w:b/>
                <w:bCs/>
                <w:color w:val="000000"/>
                <w:sz w:val="20"/>
                <w:szCs w:val="20"/>
                <w:lang w:val="en-US"/>
              </w:rPr>
            </w:pPr>
            <w:r w:rsidRPr="00941A76">
              <w:rPr>
                <w:b/>
                <w:bCs/>
                <w:color w:val="000000"/>
                <w:sz w:val="20"/>
                <w:szCs w:val="20"/>
                <w:lang w:val="en-US"/>
              </w:rPr>
              <w:t>Revised (</w:t>
            </w:r>
            <w:r w:rsidR="00C52303" w:rsidRPr="00941A76">
              <w:rPr>
                <w:b/>
                <w:bCs/>
                <w:color w:val="000000"/>
                <w:sz w:val="20"/>
                <w:szCs w:val="20"/>
                <w:lang w:val="en-US"/>
              </w:rPr>
              <w:t>US $</w:t>
            </w:r>
            <w:r w:rsidRPr="00941A76">
              <w:rPr>
                <w:b/>
                <w:bCs/>
                <w:color w:val="000000"/>
                <w:sz w:val="20"/>
                <w:szCs w:val="20"/>
                <w:lang w:val="en-US"/>
              </w:rPr>
              <w:t>)</w:t>
            </w:r>
          </w:p>
        </w:tc>
      </w:tr>
      <w:tr w:rsidR="00242391" w:rsidRPr="00941A76" w:rsidTr="00941A76">
        <w:tc>
          <w:tcPr>
            <w:tcW w:w="3272" w:type="pct"/>
            <w:tcBorders>
              <w:top w:val="single" w:sz="4" w:space="0" w:color="auto"/>
              <w:left w:val="single" w:sz="4" w:space="0" w:color="auto"/>
              <w:bottom w:val="single" w:sz="4" w:space="0" w:color="auto"/>
              <w:right w:val="single" w:sz="4" w:space="0" w:color="auto"/>
            </w:tcBorders>
            <w:shd w:val="clear" w:color="auto" w:fill="auto"/>
            <w:vAlign w:val="center"/>
          </w:tcPr>
          <w:p w:rsidR="00242391" w:rsidRPr="00941A76" w:rsidRDefault="00242391" w:rsidP="000D7AE5">
            <w:pPr>
              <w:keepNext/>
              <w:keepLines/>
              <w:rPr>
                <w:b/>
                <w:bCs/>
                <w:color w:val="000000"/>
                <w:sz w:val="20"/>
                <w:szCs w:val="20"/>
                <w:lang w:val="en-US"/>
              </w:rPr>
            </w:pPr>
            <w:r w:rsidRPr="00941A76">
              <w:rPr>
                <w:b/>
                <w:bCs/>
                <w:color w:val="000000"/>
                <w:sz w:val="20"/>
                <w:szCs w:val="20"/>
                <w:lang w:val="en-US"/>
              </w:rPr>
              <w:t>1. General product redesign</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keepNext/>
              <w:keepLines/>
              <w:jc w:val="center"/>
              <w:rPr>
                <w:b/>
                <w:bCs/>
                <w:color w:val="000000"/>
                <w:sz w:val="18"/>
                <w:szCs w:val="18"/>
                <w:lang w:val="en-US"/>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242391" w:rsidRPr="00941A76" w:rsidRDefault="00242391" w:rsidP="000D7AE5">
            <w:pPr>
              <w:keepNext/>
              <w:keepLines/>
              <w:jc w:val="right"/>
              <w:rPr>
                <w:b/>
                <w:bCs/>
                <w:color w:val="000000"/>
                <w:sz w:val="20"/>
                <w:szCs w:val="20"/>
                <w:lang w:val="en-US"/>
              </w:rPr>
            </w:pP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vAlign w:val="center"/>
            <w:hideMark/>
          </w:tcPr>
          <w:p w:rsidR="00242391" w:rsidRPr="00941A76" w:rsidRDefault="00242391" w:rsidP="000D7AE5">
            <w:pPr>
              <w:keepNext/>
              <w:keepLines/>
              <w:ind w:left="251"/>
              <w:jc w:val="left"/>
              <w:rPr>
                <w:color w:val="000000"/>
                <w:sz w:val="20"/>
                <w:szCs w:val="20"/>
                <w:lang w:val="en-US"/>
              </w:rPr>
            </w:pPr>
            <w:r w:rsidRPr="00941A76">
              <w:rPr>
                <w:color w:val="000000"/>
                <w:sz w:val="20"/>
                <w:szCs w:val="20"/>
                <w:lang w:val="en-US"/>
              </w:rPr>
              <w:t>Platform redesign</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keepNext/>
              <w:keepLines/>
              <w:jc w:val="right"/>
              <w:rPr>
                <w:color w:val="000000"/>
                <w:sz w:val="20"/>
                <w:szCs w:val="20"/>
                <w:lang w:val="en-US"/>
              </w:rPr>
            </w:pPr>
            <w:r w:rsidRPr="00941A76">
              <w:rPr>
                <w:color w:val="000000"/>
                <w:sz w:val="20"/>
                <w:szCs w:val="20"/>
                <w:lang w:val="en-US"/>
              </w:rPr>
              <w:t>12,000</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941A76" w:rsidRDefault="00242391" w:rsidP="000D7AE5">
            <w:pPr>
              <w:keepNext/>
              <w:keepLines/>
              <w:jc w:val="right"/>
              <w:rPr>
                <w:color w:val="000000"/>
                <w:sz w:val="20"/>
                <w:szCs w:val="20"/>
                <w:lang w:val="en-US"/>
              </w:rPr>
            </w:pPr>
            <w:r w:rsidRPr="00941A76">
              <w:rPr>
                <w:color w:val="000000"/>
                <w:sz w:val="20"/>
                <w:szCs w:val="20"/>
              </w:rPr>
              <w:t>15,000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vAlign w:val="center"/>
          </w:tcPr>
          <w:p w:rsidR="00242391" w:rsidRPr="00941A76" w:rsidRDefault="00242391" w:rsidP="000D7AE5">
            <w:pPr>
              <w:jc w:val="left"/>
              <w:rPr>
                <w:b/>
                <w:bCs/>
                <w:color w:val="000000"/>
                <w:sz w:val="20"/>
                <w:szCs w:val="20"/>
                <w:lang w:val="en-US"/>
              </w:rPr>
            </w:pPr>
            <w:r w:rsidRPr="00941A76">
              <w:rPr>
                <w:b/>
                <w:bCs/>
                <w:color w:val="000000"/>
                <w:sz w:val="20"/>
                <w:szCs w:val="20"/>
                <w:lang w:val="en-US"/>
              </w:rPr>
              <w:t>Total product design and trials</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b/>
                <w:bCs/>
                <w:color w:val="000000"/>
                <w:sz w:val="20"/>
                <w:szCs w:val="20"/>
                <w:lang w:val="en-US"/>
              </w:rPr>
              <w:t>12,000</w:t>
            </w:r>
          </w:p>
        </w:tc>
        <w:tc>
          <w:tcPr>
            <w:tcW w:w="864" w:type="pct"/>
            <w:tcBorders>
              <w:top w:val="nil"/>
              <w:left w:val="single" w:sz="4" w:space="0" w:color="auto"/>
              <w:bottom w:val="single" w:sz="4" w:space="0" w:color="auto"/>
              <w:right w:val="single" w:sz="4" w:space="0" w:color="auto"/>
            </w:tcBorders>
            <w:shd w:val="clear" w:color="auto" w:fill="auto"/>
            <w:vAlign w:val="center"/>
          </w:tcPr>
          <w:p w:rsidR="00242391" w:rsidRPr="00941A76" w:rsidRDefault="00242391" w:rsidP="000D7AE5">
            <w:pPr>
              <w:jc w:val="right"/>
              <w:rPr>
                <w:b/>
                <w:bCs/>
                <w:color w:val="000000"/>
                <w:sz w:val="20"/>
                <w:szCs w:val="20"/>
              </w:rPr>
            </w:pPr>
            <w:r w:rsidRPr="00941A76">
              <w:rPr>
                <w:b/>
                <w:bCs/>
                <w:color w:val="000000"/>
                <w:sz w:val="20"/>
                <w:szCs w:val="20"/>
              </w:rPr>
              <w:t>15,000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vAlign w:val="center"/>
          </w:tcPr>
          <w:p w:rsidR="00242391" w:rsidRPr="00941A76" w:rsidRDefault="00242391" w:rsidP="000D7AE5">
            <w:pPr>
              <w:rPr>
                <w:b/>
                <w:bCs/>
                <w:color w:val="000000"/>
                <w:sz w:val="20"/>
                <w:szCs w:val="20"/>
                <w:lang w:val="en-US"/>
              </w:rPr>
            </w:pPr>
            <w:r w:rsidRPr="00941A76">
              <w:rPr>
                <w:b/>
                <w:bCs/>
                <w:color w:val="000000"/>
                <w:sz w:val="20"/>
                <w:szCs w:val="20"/>
                <w:lang w:val="en-US"/>
              </w:rPr>
              <w:t>2. Production equipment</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b/>
                <w:bCs/>
                <w:color w:val="000000"/>
                <w:sz w:val="20"/>
                <w:szCs w:val="20"/>
                <w:lang w:val="en-US"/>
              </w:rPr>
            </w:pPr>
          </w:p>
        </w:tc>
        <w:tc>
          <w:tcPr>
            <w:tcW w:w="864" w:type="pct"/>
            <w:tcBorders>
              <w:top w:val="nil"/>
              <w:left w:val="single" w:sz="4" w:space="0" w:color="auto"/>
              <w:bottom w:val="single" w:sz="4" w:space="0" w:color="auto"/>
              <w:right w:val="single" w:sz="4" w:space="0" w:color="auto"/>
            </w:tcBorders>
            <w:shd w:val="clear" w:color="auto" w:fill="auto"/>
            <w:vAlign w:val="center"/>
          </w:tcPr>
          <w:p w:rsidR="00242391" w:rsidRPr="00941A76" w:rsidRDefault="00242391" w:rsidP="000D7AE5">
            <w:pPr>
              <w:jc w:val="right"/>
              <w:rPr>
                <w:color w:val="000000"/>
                <w:sz w:val="20"/>
                <w:szCs w:val="20"/>
              </w:rPr>
            </w:pP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Adaptation assembly line</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5,000</w:t>
            </w:r>
          </w:p>
        </w:tc>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jc w:val="right"/>
              <w:rPr>
                <w:color w:val="000000"/>
                <w:sz w:val="20"/>
                <w:szCs w:val="20"/>
              </w:rPr>
            </w:pPr>
            <w:r w:rsidRPr="00941A76">
              <w:rPr>
                <w:color w:val="000000"/>
                <w:sz w:val="20"/>
                <w:szCs w:val="20"/>
              </w:rPr>
              <w:t>5,000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Charging machine for R-600a/R-290, explosion-proof</w:t>
            </w:r>
          </w:p>
        </w:tc>
        <w:tc>
          <w:tcPr>
            <w:tcW w:w="864" w:type="pct"/>
            <w:vMerge w:val="restart"/>
            <w:tcBorders>
              <w:top w:val="single" w:sz="4" w:space="0" w:color="auto"/>
              <w:left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55,000</w:t>
            </w:r>
          </w:p>
        </w:tc>
        <w:tc>
          <w:tcPr>
            <w:tcW w:w="8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jc w:val="right"/>
              <w:rPr>
                <w:color w:val="000000"/>
                <w:sz w:val="20"/>
                <w:szCs w:val="20"/>
              </w:rPr>
            </w:pPr>
            <w:r w:rsidRPr="00941A76">
              <w:rPr>
                <w:color w:val="000000"/>
                <w:sz w:val="20"/>
                <w:szCs w:val="20"/>
              </w:rPr>
              <w:t>40,000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Safety control system for the charging area</w:t>
            </w:r>
          </w:p>
        </w:tc>
        <w:tc>
          <w:tcPr>
            <w:tcW w:w="864" w:type="pct"/>
            <w:vMerge/>
            <w:tcBorders>
              <w:left w:val="single" w:sz="4" w:space="0" w:color="auto"/>
              <w:right w:val="single" w:sz="4" w:space="0" w:color="auto"/>
            </w:tcBorders>
            <w:vAlign w:val="center"/>
          </w:tcPr>
          <w:p w:rsidR="00242391" w:rsidRPr="00941A76" w:rsidRDefault="00242391" w:rsidP="000D7AE5">
            <w:pPr>
              <w:jc w:val="left"/>
              <w:rPr>
                <w:color w:val="000000"/>
                <w:sz w:val="20"/>
                <w:szCs w:val="20"/>
                <w:lang w:val="en-US"/>
              </w:rPr>
            </w:pPr>
          </w:p>
        </w:tc>
        <w:tc>
          <w:tcPr>
            <w:tcW w:w="864" w:type="pct"/>
            <w:vMerge/>
            <w:tcBorders>
              <w:top w:val="nil"/>
              <w:left w:val="single" w:sz="4" w:space="0" w:color="auto"/>
              <w:bottom w:val="single" w:sz="4" w:space="0" w:color="000000"/>
              <w:right w:val="single" w:sz="4" w:space="0" w:color="auto"/>
            </w:tcBorders>
            <w:shd w:val="clear" w:color="auto" w:fill="auto"/>
            <w:vAlign w:val="center"/>
            <w:hideMark/>
          </w:tcPr>
          <w:p w:rsidR="00242391" w:rsidRPr="00941A76" w:rsidRDefault="00242391" w:rsidP="000D7AE5">
            <w:pPr>
              <w:jc w:val="right"/>
              <w:rPr>
                <w:color w:val="000000"/>
                <w:sz w:val="20"/>
                <w:szCs w:val="20"/>
                <w:lang w:val="en-US"/>
              </w:rPr>
            </w:pP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Refrigerant booster pump, pneumatic</w:t>
            </w:r>
          </w:p>
        </w:tc>
        <w:tc>
          <w:tcPr>
            <w:tcW w:w="864" w:type="pct"/>
            <w:vMerge/>
            <w:tcBorders>
              <w:left w:val="single" w:sz="4" w:space="0" w:color="auto"/>
              <w:bottom w:val="single" w:sz="4" w:space="0" w:color="auto"/>
              <w:right w:val="single" w:sz="4" w:space="0" w:color="auto"/>
            </w:tcBorders>
            <w:vAlign w:val="center"/>
          </w:tcPr>
          <w:p w:rsidR="00242391" w:rsidRPr="00941A76" w:rsidRDefault="00242391" w:rsidP="000D7AE5">
            <w:pPr>
              <w:jc w:val="left"/>
              <w:rPr>
                <w:color w:val="000000"/>
                <w:sz w:val="20"/>
                <w:szCs w:val="20"/>
                <w:lang w:val="en-US"/>
              </w:rPr>
            </w:pPr>
          </w:p>
        </w:tc>
        <w:tc>
          <w:tcPr>
            <w:tcW w:w="864" w:type="pct"/>
            <w:vMerge/>
            <w:tcBorders>
              <w:top w:val="nil"/>
              <w:left w:val="single" w:sz="4" w:space="0" w:color="auto"/>
              <w:bottom w:val="single" w:sz="4" w:space="0" w:color="000000"/>
              <w:right w:val="single" w:sz="4" w:space="0" w:color="auto"/>
            </w:tcBorders>
            <w:vAlign w:val="center"/>
            <w:hideMark/>
          </w:tcPr>
          <w:p w:rsidR="00242391" w:rsidRPr="00941A76" w:rsidRDefault="00242391" w:rsidP="000D7AE5">
            <w:pPr>
              <w:jc w:val="right"/>
              <w:rPr>
                <w:color w:val="000000"/>
                <w:sz w:val="20"/>
                <w:szCs w:val="20"/>
                <w:lang w:val="en-US"/>
              </w:rPr>
            </w:pP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Safety ventilation</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12,000</w:t>
            </w:r>
          </w:p>
        </w:tc>
        <w:tc>
          <w:tcPr>
            <w:tcW w:w="864" w:type="pct"/>
            <w:tcBorders>
              <w:top w:val="nil"/>
              <w:left w:val="single" w:sz="4" w:space="0" w:color="auto"/>
              <w:bottom w:val="single" w:sz="4" w:space="0" w:color="000000"/>
              <w:right w:val="single" w:sz="4" w:space="0" w:color="auto"/>
            </w:tcBorders>
            <w:noWrap/>
            <w:vAlign w:val="center"/>
            <w:hideMark/>
          </w:tcPr>
          <w:p w:rsidR="00242391" w:rsidRPr="00941A76" w:rsidRDefault="00242391" w:rsidP="000D7AE5">
            <w:pPr>
              <w:jc w:val="right"/>
              <w:rPr>
                <w:color w:val="000000"/>
                <w:sz w:val="20"/>
                <w:szCs w:val="20"/>
              </w:rPr>
            </w:pPr>
            <w:r w:rsidRPr="00941A76">
              <w:rPr>
                <w:color w:val="000000"/>
                <w:sz w:val="20"/>
                <w:szCs w:val="20"/>
              </w:rPr>
              <w:t>12,000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 xml:space="preserve">HC leak detector, plus calibration unit </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15,000</w:t>
            </w:r>
          </w:p>
        </w:tc>
        <w:tc>
          <w:tcPr>
            <w:tcW w:w="864" w:type="pct"/>
            <w:tcBorders>
              <w:top w:val="nil"/>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color w:val="000000"/>
                <w:sz w:val="20"/>
                <w:szCs w:val="20"/>
              </w:rPr>
            </w:pPr>
            <w:r w:rsidRPr="00941A76">
              <w:rPr>
                <w:color w:val="000000"/>
                <w:sz w:val="20"/>
                <w:szCs w:val="20"/>
              </w:rPr>
              <w:t>15,000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Ultrasonic welding machine</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30,000</w:t>
            </w:r>
          </w:p>
        </w:tc>
        <w:tc>
          <w:tcPr>
            <w:tcW w:w="864" w:type="pct"/>
            <w:tcBorders>
              <w:top w:val="nil"/>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color w:val="000000"/>
                <w:sz w:val="20"/>
                <w:szCs w:val="20"/>
              </w:rPr>
            </w:pPr>
            <w:r w:rsidRPr="00941A76">
              <w:rPr>
                <w:color w:val="000000"/>
                <w:sz w:val="20"/>
                <w:szCs w:val="20"/>
              </w:rPr>
              <w:t>25,000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Antistatic floor</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3,800</w:t>
            </w:r>
          </w:p>
        </w:tc>
        <w:tc>
          <w:tcPr>
            <w:tcW w:w="864" w:type="pct"/>
            <w:tcBorders>
              <w:top w:val="nil"/>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color w:val="000000"/>
                <w:sz w:val="20"/>
                <w:szCs w:val="20"/>
              </w:rPr>
            </w:pPr>
            <w:r w:rsidRPr="00941A76">
              <w:rPr>
                <w:color w:val="000000"/>
                <w:sz w:val="20"/>
                <w:szCs w:val="20"/>
              </w:rPr>
              <w:t>3,800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HC recovery machine, explosion-proof</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3,500</w:t>
            </w:r>
          </w:p>
        </w:tc>
        <w:tc>
          <w:tcPr>
            <w:tcW w:w="864" w:type="pct"/>
            <w:tcBorders>
              <w:top w:val="nil"/>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color w:val="000000"/>
                <w:sz w:val="20"/>
                <w:szCs w:val="20"/>
              </w:rPr>
            </w:pPr>
            <w:r w:rsidRPr="00941A76">
              <w:rPr>
                <w:color w:val="000000"/>
                <w:sz w:val="20"/>
                <w:szCs w:val="20"/>
              </w:rPr>
              <w:t>2,000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Helium charging unit</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20,000</w:t>
            </w:r>
          </w:p>
        </w:tc>
        <w:tc>
          <w:tcPr>
            <w:tcW w:w="864" w:type="pct"/>
            <w:vMerge w:val="restart"/>
            <w:tcBorders>
              <w:top w:val="nil"/>
              <w:left w:val="single" w:sz="4" w:space="0" w:color="auto"/>
              <w:right w:val="single" w:sz="4" w:space="0" w:color="auto"/>
            </w:tcBorders>
            <w:shd w:val="clear" w:color="auto" w:fill="auto"/>
            <w:noWrap/>
            <w:vAlign w:val="center"/>
          </w:tcPr>
          <w:p w:rsidR="00242391" w:rsidRPr="00941A76" w:rsidRDefault="00242391" w:rsidP="000D7AE5">
            <w:pPr>
              <w:jc w:val="right"/>
              <w:rPr>
                <w:color w:val="000000"/>
                <w:sz w:val="20"/>
                <w:szCs w:val="20"/>
              </w:rPr>
            </w:pPr>
            <w:r w:rsidRPr="00941A76">
              <w:rPr>
                <w:color w:val="000000"/>
                <w:sz w:val="20"/>
                <w:szCs w:val="20"/>
              </w:rPr>
              <w:t>38,000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Helium recovery/recycling unit</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20,000</w:t>
            </w:r>
          </w:p>
        </w:tc>
        <w:tc>
          <w:tcPr>
            <w:tcW w:w="864" w:type="pct"/>
            <w:vMerge/>
            <w:tcBorders>
              <w:left w:val="single" w:sz="4" w:space="0" w:color="auto"/>
              <w:right w:val="single" w:sz="4" w:space="0" w:color="auto"/>
            </w:tcBorders>
            <w:shd w:val="clear" w:color="auto" w:fill="auto"/>
            <w:noWrap/>
            <w:vAlign w:val="center"/>
          </w:tcPr>
          <w:p w:rsidR="00242391" w:rsidRPr="00941A76" w:rsidRDefault="00242391" w:rsidP="000D7AE5">
            <w:pPr>
              <w:jc w:val="right"/>
              <w:rPr>
                <w:color w:val="000000"/>
                <w:sz w:val="20"/>
                <w:szCs w:val="20"/>
              </w:rPr>
            </w:pP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Helium leak detector, plus calibration</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15,000</w:t>
            </w:r>
          </w:p>
        </w:tc>
        <w:tc>
          <w:tcPr>
            <w:tcW w:w="864" w:type="pct"/>
            <w:vMerge/>
            <w:tcBorders>
              <w:left w:val="single" w:sz="4" w:space="0" w:color="auto"/>
              <w:bottom w:val="single" w:sz="4" w:space="0" w:color="000000"/>
              <w:right w:val="single" w:sz="4" w:space="0" w:color="auto"/>
            </w:tcBorders>
            <w:noWrap/>
            <w:vAlign w:val="center"/>
          </w:tcPr>
          <w:p w:rsidR="00242391" w:rsidRPr="00941A76" w:rsidRDefault="00242391" w:rsidP="000D7AE5">
            <w:pPr>
              <w:jc w:val="right"/>
              <w:rPr>
                <w:color w:val="000000"/>
                <w:sz w:val="20"/>
                <w:szCs w:val="20"/>
              </w:rPr>
            </w:pP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954D06" w:rsidP="000D7AE5">
            <w:pPr>
              <w:ind w:left="251"/>
              <w:jc w:val="left"/>
              <w:rPr>
                <w:color w:val="000000"/>
                <w:sz w:val="20"/>
                <w:szCs w:val="20"/>
                <w:lang w:val="en-US"/>
              </w:rPr>
            </w:pPr>
            <w:r w:rsidRPr="00941A76">
              <w:rPr>
                <w:color w:val="000000"/>
                <w:sz w:val="20"/>
                <w:szCs w:val="20"/>
                <w:lang w:val="en-US"/>
              </w:rPr>
              <w:t>Hand</w:t>
            </w:r>
            <w:r w:rsidR="00242391" w:rsidRPr="00941A76">
              <w:rPr>
                <w:color w:val="000000"/>
                <w:sz w:val="20"/>
                <w:szCs w:val="20"/>
                <w:lang w:val="en-US"/>
              </w:rPr>
              <w:t xml:space="preserve">held HC </w:t>
            </w:r>
            <w:r w:rsidRPr="00941A76">
              <w:rPr>
                <w:color w:val="000000"/>
                <w:sz w:val="20"/>
                <w:szCs w:val="20"/>
                <w:lang w:val="en-US"/>
              </w:rPr>
              <w:t xml:space="preserve">leak </w:t>
            </w:r>
            <w:r w:rsidR="00242391" w:rsidRPr="00941A76">
              <w:rPr>
                <w:color w:val="000000"/>
                <w:sz w:val="20"/>
                <w:szCs w:val="20"/>
                <w:lang w:val="en-US"/>
              </w:rPr>
              <w:t>detectors</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1,600</w:t>
            </w:r>
          </w:p>
        </w:tc>
        <w:tc>
          <w:tcPr>
            <w:tcW w:w="864" w:type="pct"/>
            <w:tcBorders>
              <w:top w:val="nil"/>
              <w:left w:val="single" w:sz="4" w:space="0" w:color="auto"/>
              <w:bottom w:val="single" w:sz="4" w:space="0" w:color="000000"/>
              <w:right w:val="single" w:sz="4" w:space="0" w:color="auto"/>
            </w:tcBorders>
            <w:noWrap/>
            <w:vAlign w:val="center"/>
          </w:tcPr>
          <w:p w:rsidR="00242391" w:rsidRPr="00941A76" w:rsidRDefault="00242391" w:rsidP="000D7AE5">
            <w:pPr>
              <w:jc w:val="right"/>
              <w:rPr>
                <w:color w:val="000000"/>
                <w:sz w:val="20"/>
                <w:szCs w:val="20"/>
              </w:rPr>
            </w:pPr>
            <w:r w:rsidRPr="00941A76">
              <w:rPr>
                <w:color w:val="000000"/>
                <w:sz w:val="20"/>
                <w:szCs w:val="20"/>
              </w:rPr>
              <w:t>1,000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Refrigerant storage area, including safety items</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0</w:t>
            </w:r>
          </w:p>
        </w:tc>
        <w:tc>
          <w:tcPr>
            <w:tcW w:w="864" w:type="pct"/>
            <w:tcBorders>
              <w:top w:val="nil"/>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color w:val="000000"/>
                <w:sz w:val="20"/>
                <w:szCs w:val="20"/>
              </w:rPr>
            </w:pPr>
            <w:r w:rsidRPr="00941A76">
              <w:rPr>
                <w:color w:val="000000"/>
                <w:sz w:val="20"/>
                <w:szCs w:val="20"/>
              </w:rPr>
              <w:t>5,000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jc w:val="left"/>
              <w:rPr>
                <w:b/>
                <w:bCs/>
                <w:color w:val="000000"/>
                <w:sz w:val="20"/>
                <w:szCs w:val="20"/>
                <w:lang w:val="en-US"/>
              </w:rPr>
            </w:pPr>
            <w:r w:rsidRPr="00941A76">
              <w:rPr>
                <w:b/>
                <w:bCs/>
                <w:color w:val="000000"/>
                <w:sz w:val="20"/>
                <w:szCs w:val="20"/>
                <w:lang w:val="en-US"/>
              </w:rPr>
              <w:t>Subtotal equipment costs</w:t>
            </w:r>
          </w:p>
        </w:tc>
        <w:tc>
          <w:tcPr>
            <w:tcW w:w="864" w:type="pct"/>
            <w:tcBorders>
              <w:top w:val="single" w:sz="4" w:space="0" w:color="auto"/>
              <w:left w:val="nil"/>
              <w:bottom w:val="single" w:sz="4" w:space="0" w:color="auto"/>
              <w:right w:val="single" w:sz="4" w:space="0" w:color="auto"/>
            </w:tcBorders>
            <w:vAlign w:val="center"/>
          </w:tcPr>
          <w:p w:rsidR="00242391" w:rsidRPr="00941A76" w:rsidRDefault="009B13BE" w:rsidP="000D7AE5">
            <w:pPr>
              <w:jc w:val="right"/>
              <w:rPr>
                <w:b/>
                <w:bCs/>
                <w:color w:val="000000"/>
                <w:sz w:val="20"/>
                <w:szCs w:val="20"/>
                <w:lang w:val="en-US"/>
              </w:rPr>
            </w:pPr>
            <w:r w:rsidRPr="00941A76">
              <w:rPr>
                <w:b/>
                <w:bCs/>
                <w:color w:val="000000"/>
                <w:sz w:val="20"/>
                <w:szCs w:val="20"/>
                <w:lang w:val="en-US"/>
              </w:rPr>
              <w:t>180,900</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b/>
                <w:bCs/>
                <w:color w:val="000000"/>
                <w:sz w:val="20"/>
                <w:szCs w:val="20"/>
                <w:lang w:val="en-US"/>
              </w:rPr>
            </w:pPr>
            <w:r w:rsidRPr="00941A76">
              <w:rPr>
                <w:b/>
                <w:bCs/>
                <w:color w:val="000000"/>
                <w:sz w:val="20"/>
                <w:szCs w:val="20"/>
              </w:rPr>
              <w:t>146,800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 xml:space="preserve">Contingency (10% of investment costs) </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19,290</w:t>
            </w:r>
          </w:p>
        </w:tc>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jc w:val="right"/>
              <w:rPr>
                <w:color w:val="000000"/>
                <w:sz w:val="20"/>
                <w:szCs w:val="20"/>
              </w:rPr>
            </w:pPr>
            <w:r w:rsidRPr="00941A76">
              <w:rPr>
                <w:color w:val="000000"/>
                <w:sz w:val="20"/>
                <w:szCs w:val="20"/>
              </w:rPr>
              <w:t>14,680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 xml:space="preserve">Safety certification by TÜV </w:t>
            </w:r>
            <w:proofErr w:type="spellStart"/>
            <w:r w:rsidRPr="00941A76">
              <w:rPr>
                <w:color w:val="000000"/>
                <w:sz w:val="20"/>
                <w:szCs w:val="20"/>
                <w:lang w:val="en-US"/>
              </w:rPr>
              <w:t>Süd</w:t>
            </w:r>
            <w:proofErr w:type="spellEnd"/>
            <w:r w:rsidRPr="00941A76">
              <w:rPr>
                <w:color w:val="000000"/>
                <w:sz w:val="20"/>
                <w:szCs w:val="20"/>
                <w:lang w:val="en-US"/>
              </w:rPr>
              <w:t xml:space="preserve"> </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15,000</w:t>
            </w:r>
          </w:p>
        </w:tc>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jc w:val="right"/>
              <w:rPr>
                <w:color w:val="000000"/>
                <w:sz w:val="20"/>
                <w:szCs w:val="20"/>
              </w:rPr>
            </w:pPr>
            <w:r w:rsidRPr="00941A76">
              <w:rPr>
                <w:color w:val="000000"/>
                <w:sz w:val="20"/>
                <w:szCs w:val="20"/>
              </w:rPr>
              <w:t>15,000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ind w:left="251"/>
              <w:jc w:val="left"/>
              <w:rPr>
                <w:color w:val="000000"/>
                <w:sz w:val="20"/>
                <w:szCs w:val="20"/>
                <w:lang w:val="en-US"/>
              </w:rPr>
            </w:pPr>
            <w:r w:rsidRPr="00941A76">
              <w:rPr>
                <w:color w:val="000000"/>
                <w:sz w:val="20"/>
                <w:szCs w:val="20"/>
                <w:lang w:val="en-US"/>
              </w:rPr>
              <w:t>Training and installation</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color w:val="000000"/>
                <w:sz w:val="20"/>
                <w:szCs w:val="20"/>
                <w:lang w:val="en-US"/>
              </w:rPr>
            </w:pPr>
            <w:r w:rsidRPr="00941A76">
              <w:rPr>
                <w:color w:val="000000"/>
                <w:sz w:val="20"/>
                <w:szCs w:val="20"/>
                <w:lang w:val="en-US"/>
              </w:rPr>
              <w:t>8,000</w:t>
            </w:r>
          </w:p>
        </w:tc>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242391" w:rsidP="000D7AE5">
            <w:pPr>
              <w:jc w:val="right"/>
              <w:rPr>
                <w:color w:val="000000"/>
                <w:sz w:val="20"/>
                <w:szCs w:val="20"/>
              </w:rPr>
            </w:pPr>
            <w:r w:rsidRPr="00941A76">
              <w:rPr>
                <w:color w:val="000000"/>
                <w:sz w:val="20"/>
                <w:szCs w:val="20"/>
              </w:rPr>
              <w:t>8,000</w:t>
            </w:r>
          </w:p>
        </w:tc>
      </w:tr>
      <w:tr w:rsidR="00242391" w:rsidRPr="00941A76" w:rsidTr="00941A76">
        <w:tc>
          <w:tcPr>
            <w:tcW w:w="3272" w:type="pct"/>
            <w:tcBorders>
              <w:top w:val="nil"/>
              <w:left w:val="single" w:sz="4" w:space="0" w:color="auto"/>
              <w:bottom w:val="single" w:sz="4" w:space="0" w:color="auto"/>
              <w:right w:val="single" w:sz="4" w:space="0" w:color="auto"/>
            </w:tcBorders>
            <w:shd w:val="clear" w:color="auto" w:fill="auto"/>
            <w:noWrap/>
            <w:vAlign w:val="center"/>
            <w:hideMark/>
          </w:tcPr>
          <w:p w:rsidR="00242391" w:rsidRPr="00941A76" w:rsidRDefault="00994D37" w:rsidP="000D7AE5">
            <w:pPr>
              <w:jc w:val="left"/>
              <w:rPr>
                <w:b/>
                <w:bCs/>
                <w:color w:val="000000"/>
                <w:sz w:val="20"/>
                <w:szCs w:val="20"/>
                <w:lang w:val="en-US"/>
              </w:rPr>
            </w:pPr>
            <w:r w:rsidRPr="00941A76">
              <w:rPr>
                <w:b/>
                <w:bCs/>
                <w:color w:val="000000"/>
                <w:sz w:val="20"/>
                <w:szCs w:val="20"/>
                <w:lang w:val="en-US"/>
              </w:rPr>
              <w:t>Total ICC</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b/>
                <w:bCs/>
                <w:color w:val="000000"/>
                <w:sz w:val="20"/>
                <w:szCs w:val="20"/>
                <w:lang w:val="en-US"/>
              </w:rPr>
            </w:pPr>
            <w:r w:rsidRPr="00941A76">
              <w:rPr>
                <w:b/>
                <w:bCs/>
                <w:color w:val="000000"/>
                <w:sz w:val="20"/>
                <w:szCs w:val="20"/>
                <w:lang w:val="en-US"/>
              </w:rPr>
              <w:t>235,190</w:t>
            </w:r>
          </w:p>
        </w:tc>
        <w:tc>
          <w:tcPr>
            <w:tcW w:w="864" w:type="pct"/>
            <w:tcBorders>
              <w:top w:val="nil"/>
              <w:left w:val="single" w:sz="4" w:space="0" w:color="auto"/>
              <w:bottom w:val="single" w:sz="4" w:space="0" w:color="auto"/>
              <w:right w:val="single" w:sz="4" w:space="0" w:color="auto"/>
            </w:tcBorders>
            <w:shd w:val="clear" w:color="auto" w:fill="auto"/>
            <w:noWrap/>
            <w:vAlign w:val="center"/>
          </w:tcPr>
          <w:p w:rsidR="00242391" w:rsidRPr="00941A76" w:rsidRDefault="00242391" w:rsidP="00994D37">
            <w:pPr>
              <w:jc w:val="right"/>
              <w:rPr>
                <w:b/>
                <w:bCs/>
                <w:color w:val="000000"/>
                <w:sz w:val="20"/>
                <w:szCs w:val="20"/>
              </w:rPr>
            </w:pPr>
            <w:r w:rsidRPr="00941A76">
              <w:rPr>
                <w:b/>
                <w:bCs/>
                <w:color w:val="000000"/>
                <w:sz w:val="20"/>
                <w:szCs w:val="20"/>
              </w:rPr>
              <w:t>1</w:t>
            </w:r>
            <w:r w:rsidR="00994D37" w:rsidRPr="00941A76">
              <w:rPr>
                <w:b/>
                <w:bCs/>
                <w:color w:val="000000"/>
                <w:sz w:val="20"/>
                <w:szCs w:val="20"/>
              </w:rPr>
              <w:t>99</w:t>
            </w:r>
            <w:r w:rsidRPr="00941A76">
              <w:rPr>
                <w:b/>
                <w:bCs/>
                <w:color w:val="000000"/>
                <w:sz w:val="20"/>
                <w:szCs w:val="20"/>
              </w:rPr>
              <w:t>,480</w:t>
            </w:r>
          </w:p>
        </w:tc>
      </w:tr>
      <w:tr w:rsidR="00242391" w:rsidRPr="00941A76" w:rsidTr="00941A76">
        <w:tc>
          <w:tcPr>
            <w:tcW w:w="3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left"/>
              <w:rPr>
                <w:bCs/>
                <w:color w:val="000000"/>
                <w:sz w:val="20"/>
                <w:szCs w:val="20"/>
                <w:lang w:val="en-US"/>
              </w:rPr>
            </w:pPr>
            <w:r w:rsidRPr="00941A76">
              <w:rPr>
                <w:bCs/>
                <w:color w:val="000000"/>
                <w:sz w:val="20"/>
                <w:szCs w:val="20"/>
                <w:lang w:val="en-US"/>
              </w:rPr>
              <w:t>IOCs</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994D37">
            <w:pPr>
              <w:jc w:val="right"/>
              <w:rPr>
                <w:bCs/>
                <w:color w:val="000000"/>
                <w:sz w:val="20"/>
                <w:szCs w:val="20"/>
                <w:lang w:val="en-US"/>
              </w:rPr>
            </w:pPr>
            <w:r w:rsidRPr="00941A76">
              <w:rPr>
                <w:bCs/>
                <w:color w:val="000000"/>
                <w:sz w:val="20"/>
                <w:szCs w:val="20"/>
                <w:lang w:val="en-US"/>
              </w:rPr>
              <w:t>32</w:t>
            </w:r>
            <w:r w:rsidR="00994D37" w:rsidRPr="00941A76">
              <w:rPr>
                <w:bCs/>
                <w:color w:val="000000"/>
                <w:sz w:val="20"/>
                <w:szCs w:val="20"/>
                <w:lang w:val="en-US"/>
              </w:rPr>
              <w:t>3</w:t>
            </w:r>
            <w:r w:rsidRPr="00941A76">
              <w:rPr>
                <w:bCs/>
                <w:color w:val="000000"/>
                <w:sz w:val="20"/>
                <w:szCs w:val="20"/>
                <w:lang w:val="en-US"/>
              </w:rPr>
              <w:t>,</w:t>
            </w:r>
            <w:r w:rsidR="00994D37" w:rsidRPr="00941A76">
              <w:rPr>
                <w:bCs/>
                <w:color w:val="000000"/>
                <w:sz w:val="20"/>
                <w:szCs w:val="20"/>
                <w:lang w:val="en-US"/>
              </w:rPr>
              <w:t>301</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4958C3" w:rsidP="00994D37">
            <w:pPr>
              <w:jc w:val="right"/>
              <w:rPr>
                <w:bCs/>
                <w:color w:val="000000"/>
                <w:sz w:val="20"/>
                <w:szCs w:val="20"/>
              </w:rPr>
            </w:pPr>
            <w:r w:rsidRPr="00941A76">
              <w:rPr>
                <w:bCs/>
                <w:color w:val="000000"/>
                <w:sz w:val="20"/>
                <w:szCs w:val="20"/>
              </w:rPr>
              <w:t>n/a*</w:t>
            </w:r>
          </w:p>
        </w:tc>
      </w:tr>
      <w:tr w:rsidR="00242391" w:rsidRPr="00941A76" w:rsidTr="00941A76">
        <w:tc>
          <w:tcPr>
            <w:tcW w:w="3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left"/>
              <w:rPr>
                <w:b/>
                <w:bCs/>
                <w:color w:val="000000"/>
                <w:sz w:val="20"/>
                <w:szCs w:val="20"/>
                <w:lang w:val="en-US"/>
              </w:rPr>
            </w:pPr>
            <w:r w:rsidRPr="00941A76">
              <w:rPr>
                <w:b/>
                <w:bCs/>
                <w:color w:val="000000"/>
                <w:sz w:val="20"/>
                <w:szCs w:val="20"/>
                <w:lang w:val="en-US"/>
              </w:rPr>
              <w:t>Total incremental cost</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994D37">
            <w:pPr>
              <w:jc w:val="right"/>
              <w:rPr>
                <w:b/>
                <w:bCs/>
                <w:color w:val="000000"/>
                <w:sz w:val="20"/>
                <w:szCs w:val="20"/>
                <w:lang w:val="en-US"/>
              </w:rPr>
            </w:pPr>
            <w:r w:rsidRPr="00941A76">
              <w:rPr>
                <w:b/>
                <w:bCs/>
                <w:color w:val="000000"/>
                <w:sz w:val="20"/>
                <w:szCs w:val="20"/>
                <w:lang w:val="en-US"/>
              </w:rPr>
              <w:t>5</w:t>
            </w:r>
            <w:r w:rsidR="00994D37" w:rsidRPr="00941A76">
              <w:rPr>
                <w:b/>
                <w:bCs/>
                <w:color w:val="000000"/>
                <w:sz w:val="20"/>
                <w:szCs w:val="20"/>
                <w:lang w:val="en-US"/>
              </w:rPr>
              <w:t>58,491</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4958C3" w:rsidP="00994D37">
            <w:pPr>
              <w:jc w:val="right"/>
              <w:rPr>
                <w:b/>
                <w:bCs/>
                <w:color w:val="000000"/>
                <w:sz w:val="20"/>
                <w:szCs w:val="20"/>
              </w:rPr>
            </w:pPr>
            <w:r w:rsidRPr="00941A76">
              <w:rPr>
                <w:b/>
                <w:bCs/>
                <w:color w:val="000000"/>
                <w:sz w:val="20"/>
                <w:szCs w:val="20"/>
              </w:rPr>
              <w:t>199,480</w:t>
            </w:r>
          </w:p>
        </w:tc>
      </w:tr>
      <w:tr w:rsidR="00242391" w:rsidRPr="00941A76" w:rsidTr="00941A76">
        <w:tc>
          <w:tcPr>
            <w:tcW w:w="3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left"/>
              <w:rPr>
                <w:b/>
                <w:bCs/>
                <w:color w:val="000000"/>
                <w:sz w:val="20"/>
                <w:szCs w:val="20"/>
                <w:lang w:val="en-US"/>
              </w:rPr>
            </w:pPr>
            <w:r w:rsidRPr="00941A76">
              <w:rPr>
                <w:b/>
                <w:bCs/>
                <w:color w:val="000000"/>
                <w:sz w:val="20"/>
                <w:szCs w:val="20"/>
                <w:lang w:val="en-US"/>
              </w:rPr>
              <w:t>Total funds requested</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b/>
                <w:bCs/>
                <w:color w:val="000000"/>
                <w:sz w:val="20"/>
                <w:szCs w:val="20"/>
                <w:lang w:val="en-US"/>
              </w:rPr>
            </w:pPr>
            <w:r w:rsidRPr="00941A76">
              <w:rPr>
                <w:b/>
                <w:bCs/>
                <w:color w:val="000000"/>
                <w:sz w:val="20"/>
                <w:szCs w:val="20"/>
                <w:lang w:val="en-US"/>
              </w:rPr>
              <w:t>235,190</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b/>
                <w:bCs/>
                <w:color w:val="000000"/>
                <w:sz w:val="20"/>
                <w:szCs w:val="20"/>
              </w:rPr>
            </w:pPr>
            <w:r w:rsidRPr="00941A76">
              <w:rPr>
                <w:b/>
                <w:bCs/>
                <w:color w:val="000000"/>
                <w:sz w:val="20"/>
                <w:szCs w:val="20"/>
              </w:rPr>
              <w:t>199,480</w:t>
            </w:r>
          </w:p>
        </w:tc>
      </w:tr>
      <w:tr w:rsidR="00242391" w:rsidRPr="00941A76" w:rsidTr="00941A76">
        <w:tc>
          <w:tcPr>
            <w:tcW w:w="3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left"/>
              <w:rPr>
                <w:b/>
                <w:bCs/>
                <w:color w:val="000000"/>
                <w:sz w:val="20"/>
                <w:szCs w:val="20"/>
                <w:lang w:val="en-US"/>
              </w:rPr>
            </w:pPr>
            <w:r w:rsidRPr="00941A76">
              <w:rPr>
                <w:bCs/>
                <w:color w:val="000000"/>
                <w:sz w:val="20"/>
                <w:szCs w:val="20"/>
                <w:lang w:val="en-US"/>
              </w:rPr>
              <w:t>HFC consumption per year</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bCs/>
                <w:color w:val="000000"/>
                <w:sz w:val="20"/>
                <w:szCs w:val="20"/>
                <w:lang w:val="en-US"/>
              </w:rPr>
            </w:pPr>
            <w:r w:rsidRPr="00941A76">
              <w:rPr>
                <w:bCs/>
                <w:color w:val="000000"/>
                <w:sz w:val="20"/>
                <w:szCs w:val="20"/>
                <w:lang w:val="en-US"/>
              </w:rPr>
              <w:t>5.84</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bCs/>
                <w:color w:val="000000"/>
                <w:sz w:val="20"/>
                <w:szCs w:val="20"/>
              </w:rPr>
            </w:pPr>
            <w:r w:rsidRPr="00941A76">
              <w:rPr>
                <w:bCs/>
                <w:color w:val="000000"/>
                <w:sz w:val="20"/>
                <w:szCs w:val="20"/>
              </w:rPr>
              <w:t>5.84</w:t>
            </w:r>
          </w:p>
        </w:tc>
      </w:tr>
      <w:tr w:rsidR="00242391" w:rsidRPr="00941A76" w:rsidTr="00941A76">
        <w:tc>
          <w:tcPr>
            <w:tcW w:w="3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left"/>
              <w:rPr>
                <w:bCs/>
                <w:color w:val="000000"/>
                <w:sz w:val="20"/>
                <w:szCs w:val="20"/>
                <w:lang w:val="en-US"/>
              </w:rPr>
            </w:pPr>
            <w:r w:rsidRPr="00941A76">
              <w:rPr>
                <w:bCs/>
                <w:color w:val="000000"/>
                <w:sz w:val="20"/>
                <w:szCs w:val="20"/>
                <w:lang w:val="en-US"/>
              </w:rPr>
              <w:t>Cost-effectiveness (</w:t>
            </w:r>
            <w:r w:rsidR="00C52303" w:rsidRPr="00941A76">
              <w:rPr>
                <w:bCs/>
                <w:color w:val="000000"/>
                <w:sz w:val="20"/>
                <w:szCs w:val="20"/>
                <w:lang w:val="en-US"/>
              </w:rPr>
              <w:t>US $</w:t>
            </w:r>
            <w:r w:rsidRPr="00941A76">
              <w:rPr>
                <w:bCs/>
                <w:color w:val="000000"/>
                <w:sz w:val="20"/>
                <w:szCs w:val="20"/>
                <w:lang w:val="en-US"/>
              </w:rPr>
              <w:t>/kg)</w:t>
            </w:r>
          </w:p>
        </w:tc>
        <w:tc>
          <w:tcPr>
            <w:tcW w:w="864" w:type="pct"/>
            <w:tcBorders>
              <w:top w:val="single" w:sz="4" w:space="0" w:color="auto"/>
              <w:left w:val="nil"/>
              <w:bottom w:val="single" w:sz="4" w:space="0" w:color="auto"/>
              <w:right w:val="single" w:sz="4" w:space="0" w:color="auto"/>
            </w:tcBorders>
            <w:vAlign w:val="center"/>
          </w:tcPr>
          <w:p w:rsidR="00242391" w:rsidRPr="00941A76" w:rsidRDefault="00242391" w:rsidP="000D7AE5">
            <w:pPr>
              <w:jc w:val="right"/>
              <w:rPr>
                <w:bCs/>
                <w:color w:val="000000"/>
                <w:sz w:val="20"/>
                <w:szCs w:val="20"/>
                <w:lang w:val="en-US"/>
              </w:rPr>
            </w:pPr>
            <w:r w:rsidRPr="00941A76">
              <w:rPr>
                <w:bCs/>
                <w:color w:val="000000"/>
                <w:sz w:val="20"/>
                <w:szCs w:val="20"/>
                <w:lang w:val="en-US"/>
              </w:rPr>
              <w:t>40.27</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941A76" w:rsidRDefault="00242391" w:rsidP="000D7AE5">
            <w:pPr>
              <w:jc w:val="right"/>
              <w:rPr>
                <w:bCs/>
                <w:color w:val="000000"/>
                <w:sz w:val="20"/>
                <w:szCs w:val="20"/>
              </w:rPr>
            </w:pPr>
            <w:r w:rsidRPr="00941A76">
              <w:rPr>
                <w:bCs/>
                <w:color w:val="000000"/>
                <w:sz w:val="20"/>
                <w:szCs w:val="20"/>
              </w:rPr>
              <w:t>34.16</w:t>
            </w:r>
          </w:p>
        </w:tc>
      </w:tr>
      <w:tr w:rsidR="0014283F" w:rsidRPr="00941A76" w:rsidTr="00941A76">
        <w:tc>
          <w:tcPr>
            <w:tcW w:w="3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283F" w:rsidRPr="00941A76" w:rsidRDefault="0014283F" w:rsidP="000D7AE5">
            <w:pPr>
              <w:jc w:val="left"/>
              <w:rPr>
                <w:bCs/>
                <w:color w:val="000000"/>
                <w:sz w:val="20"/>
                <w:szCs w:val="20"/>
                <w:lang w:val="en-US"/>
              </w:rPr>
            </w:pPr>
            <w:r w:rsidRPr="00941A76">
              <w:rPr>
                <w:bCs/>
                <w:color w:val="000000"/>
                <w:sz w:val="20"/>
                <w:szCs w:val="20"/>
                <w:lang w:val="en-US"/>
              </w:rPr>
              <w:t>Cost-effectiveness (</w:t>
            </w:r>
            <w:r w:rsidR="00C52303" w:rsidRPr="00941A76">
              <w:rPr>
                <w:bCs/>
                <w:color w:val="000000"/>
                <w:sz w:val="20"/>
                <w:szCs w:val="20"/>
                <w:lang w:val="en-US"/>
              </w:rPr>
              <w:t>US $</w:t>
            </w:r>
            <w:r w:rsidRPr="00941A76">
              <w:rPr>
                <w:bCs/>
                <w:color w:val="000000"/>
                <w:sz w:val="20"/>
                <w:szCs w:val="20"/>
                <w:lang w:val="en-US"/>
              </w:rPr>
              <w:t>/</w:t>
            </w:r>
            <w:proofErr w:type="spellStart"/>
            <w:r w:rsidRPr="00941A76">
              <w:rPr>
                <w:bCs/>
                <w:color w:val="000000"/>
                <w:sz w:val="20"/>
                <w:szCs w:val="20"/>
                <w:lang w:val="en-US"/>
              </w:rPr>
              <w:t>mt</w:t>
            </w:r>
            <w:proofErr w:type="spellEnd"/>
            <w:r w:rsidRPr="00941A76">
              <w:rPr>
                <w:bCs/>
                <w:color w:val="000000"/>
                <w:sz w:val="20"/>
                <w:szCs w:val="20"/>
                <w:lang w:val="en-US"/>
              </w:rPr>
              <w:t xml:space="preserve"> CO</w:t>
            </w:r>
            <w:r w:rsidRPr="00941A76">
              <w:rPr>
                <w:bCs/>
                <w:color w:val="000000"/>
                <w:sz w:val="20"/>
                <w:szCs w:val="20"/>
                <w:vertAlign w:val="subscript"/>
                <w:lang w:val="en-US"/>
              </w:rPr>
              <w:t>2</w:t>
            </w:r>
            <w:r w:rsidRPr="00941A76">
              <w:rPr>
                <w:bCs/>
                <w:color w:val="000000"/>
                <w:sz w:val="20"/>
                <w:szCs w:val="20"/>
                <w:lang w:val="en-US"/>
              </w:rPr>
              <w:t>-eq)</w:t>
            </w:r>
          </w:p>
        </w:tc>
        <w:tc>
          <w:tcPr>
            <w:tcW w:w="864" w:type="pct"/>
            <w:tcBorders>
              <w:top w:val="single" w:sz="4" w:space="0" w:color="auto"/>
              <w:left w:val="nil"/>
              <w:bottom w:val="single" w:sz="4" w:space="0" w:color="auto"/>
              <w:right w:val="single" w:sz="4" w:space="0" w:color="auto"/>
            </w:tcBorders>
            <w:vAlign w:val="center"/>
          </w:tcPr>
          <w:p w:rsidR="0014283F" w:rsidRPr="00941A76" w:rsidRDefault="0014283F" w:rsidP="000D7AE5">
            <w:pPr>
              <w:jc w:val="right"/>
              <w:rPr>
                <w:bCs/>
                <w:color w:val="000000"/>
                <w:sz w:val="20"/>
                <w:szCs w:val="20"/>
                <w:lang w:val="en-US"/>
              </w:rPr>
            </w:pPr>
            <w:r w:rsidRPr="00941A76">
              <w:rPr>
                <w:bCs/>
                <w:color w:val="000000"/>
                <w:sz w:val="20"/>
                <w:szCs w:val="20"/>
                <w:lang w:val="en-US"/>
              </w:rPr>
              <w:t>13.73</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283F" w:rsidRPr="00941A76" w:rsidRDefault="0014283F" w:rsidP="000D7AE5">
            <w:pPr>
              <w:jc w:val="right"/>
              <w:rPr>
                <w:bCs/>
                <w:color w:val="000000"/>
                <w:sz w:val="20"/>
                <w:szCs w:val="20"/>
              </w:rPr>
            </w:pPr>
            <w:r w:rsidRPr="00941A76">
              <w:rPr>
                <w:bCs/>
                <w:color w:val="000000"/>
                <w:sz w:val="20"/>
                <w:szCs w:val="20"/>
              </w:rPr>
              <w:t>11.65</w:t>
            </w:r>
          </w:p>
        </w:tc>
      </w:tr>
    </w:tbl>
    <w:p w:rsidR="004958C3" w:rsidRPr="00941A76" w:rsidRDefault="004958C3" w:rsidP="004958C3">
      <w:pPr>
        <w:pStyle w:val="Heading1"/>
        <w:numPr>
          <w:ilvl w:val="0"/>
          <w:numId w:val="0"/>
        </w:numPr>
        <w:rPr>
          <w:sz w:val="18"/>
          <w:szCs w:val="18"/>
          <w:lang w:val="en-CA"/>
        </w:rPr>
      </w:pPr>
      <w:r w:rsidRPr="00941A76">
        <w:rPr>
          <w:sz w:val="18"/>
          <w:szCs w:val="18"/>
          <w:lang w:val="en-CA"/>
        </w:rPr>
        <w:t>*Not available as a detailed review of the IOC did not take place</w:t>
      </w:r>
    </w:p>
    <w:p w:rsidR="00242391" w:rsidRPr="00941A76" w:rsidRDefault="00242391" w:rsidP="00242391">
      <w:pPr>
        <w:pStyle w:val="Heading1"/>
        <w:tabs>
          <w:tab w:val="clear" w:pos="142"/>
          <w:tab w:val="num" w:pos="0"/>
        </w:tabs>
        <w:ind w:left="0"/>
        <w:rPr>
          <w:lang w:val="en-CA"/>
        </w:rPr>
      </w:pPr>
      <w:r w:rsidRPr="00941A76">
        <w:rPr>
          <w:lang w:val="en-CA"/>
        </w:rPr>
        <w:t xml:space="preserve">The proposed incremental costs for the conversion of domestic and commercials refrigerators at </w:t>
      </w:r>
      <w:proofErr w:type="spellStart"/>
      <w:r w:rsidRPr="00941A76">
        <w:rPr>
          <w:lang w:val="en-CA"/>
        </w:rPr>
        <w:t>Ecasa</w:t>
      </w:r>
      <w:proofErr w:type="spellEnd"/>
      <w:r w:rsidRPr="00941A76">
        <w:rPr>
          <w:lang w:val="en-CA"/>
        </w:rPr>
        <w:t xml:space="preserve"> amount to </w:t>
      </w:r>
      <w:r w:rsidR="00C52303" w:rsidRPr="00941A76">
        <w:rPr>
          <w:lang w:val="en-CA"/>
        </w:rPr>
        <w:t>US $</w:t>
      </w:r>
      <w:r w:rsidRPr="00941A76">
        <w:rPr>
          <w:lang w:val="en-CA"/>
        </w:rPr>
        <w:t xml:space="preserve">199,480, to phase out a total of 5.84 </w:t>
      </w:r>
      <w:proofErr w:type="spellStart"/>
      <w:r w:rsidRPr="00941A76">
        <w:rPr>
          <w:lang w:val="en-CA"/>
        </w:rPr>
        <w:t>mt</w:t>
      </w:r>
      <w:proofErr w:type="spellEnd"/>
      <w:r w:rsidRPr="00941A76">
        <w:rPr>
          <w:lang w:val="en-CA"/>
        </w:rPr>
        <w:t xml:space="preserve"> (17,123.04 </w:t>
      </w:r>
      <w:r w:rsidRPr="00941A76">
        <w:t>CO</w:t>
      </w:r>
      <w:r w:rsidRPr="00941A76">
        <w:rPr>
          <w:vertAlign w:val="subscript"/>
        </w:rPr>
        <w:t>2</w:t>
      </w:r>
      <w:r w:rsidRPr="00941A76">
        <w:noBreakHyphen/>
        <w:t xml:space="preserve">eq </w:t>
      </w:r>
      <w:proofErr w:type="spellStart"/>
      <w:r w:rsidRPr="00941A76">
        <w:t>mt</w:t>
      </w:r>
      <w:proofErr w:type="spellEnd"/>
      <w:r w:rsidRPr="00941A76">
        <w:rPr>
          <w:lang w:val="en-CA"/>
        </w:rPr>
        <w:t>) of HFC-134a and</w:t>
      </w:r>
      <w:r w:rsidR="0014283F" w:rsidRPr="00941A76">
        <w:rPr>
          <w:lang w:val="en-CA"/>
        </w:rPr>
        <w:t xml:space="preserve"> R</w:t>
      </w:r>
      <w:r w:rsidR="0014283F" w:rsidRPr="00941A76">
        <w:rPr>
          <w:lang w:val="en-CA"/>
        </w:rPr>
        <w:noBreakHyphen/>
        <w:t>404A</w:t>
      </w:r>
      <w:r w:rsidRPr="00941A76">
        <w:rPr>
          <w:lang w:val="en-CA"/>
        </w:rPr>
        <w:t xml:space="preserve"> (</w:t>
      </w:r>
      <w:r w:rsidR="0014283F" w:rsidRPr="00941A76">
        <w:rPr>
          <w:lang w:val="en-CA"/>
        </w:rPr>
        <w:t xml:space="preserve">2.32 </w:t>
      </w:r>
      <w:proofErr w:type="spellStart"/>
      <w:r w:rsidR="0014283F" w:rsidRPr="00941A76">
        <w:rPr>
          <w:lang w:val="en-CA"/>
        </w:rPr>
        <w:t>mt</w:t>
      </w:r>
      <w:proofErr w:type="spellEnd"/>
      <w:r w:rsidR="0014283F" w:rsidRPr="00941A76">
        <w:rPr>
          <w:lang w:val="en-CA"/>
        </w:rPr>
        <w:t xml:space="preserve"> (3,317.60 </w:t>
      </w:r>
      <w:proofErr w:type="spellStart"/>
      <w:r w:rsidR="0014283F" w:rsidRPr="00941A76">
        <w:rPr>
          <w:lang w:val="en-CA"/>
        </w:rPr>
        <w:t>mt</w:t>
      </w:r>
      <w:proofErr w:type="spellEnd"/>
      <w:r w:rsidR="0014283F" w:rsidRPr="00941A76">
        <w:rPr>
          <w:lang w:val="en-CA"/>
        </w:rPr>
        <w:t xml:space="preserve"> CO</w:t>
      </w:r>
      <w:r w:rsidR="0014283F" w:rsidRPr="00941A76">
        <w:rPr>
          <w:vertAlign w:val="subscript"/>
          <w:lang w:val="en-CA"/>
        </w:rPr>
        <w:t>2</w:t>
      </w:r>
      <w:r w:rsidR="0014283F" w:rsidRPr="00941A76">
        <w:rPr>
          <w:lang w:val="en-CA"/>
        </w:rPr>
        <w:t>-eq) and 3.52</w:t>
      </w:r>
      <w:r w:rsidRPr="00941A76">
        <w:rPr>
          <w:lang w:val="en-CA"/>
        </w:rPr>
        <w:t xml:space="preserve"> </w:t>
      </w:r>
      <w:proofErr w:type="spellStart"/>
      <w:r w:rsidRPr="00941A76">
        <w:rPr>
          <w:lang w:val="en-CA"/>
        </w:rPr>
        <w:t>mt</w:t>
      </w:r>
      <w:proofErr w:type="spellEnd"/>
      <w:r w:rsidRPr="00941A76">
        <w:rPr>
          <w:lang w:val="en-CA"/>
        </w:rPr>
        <w:t xml:space="preserve"> </w:t>
      </w:r>
      <w:r w:rsidR="00A00FAC">
        <w:rPr>
          <w:lang w:val="en-CA"/>
        </w:rPr>
        <w:t>(13,</w:t>
      </w:r>
      <w:r w:rsidR="0014283F" w:rsidRPr="00941A76">
        <w:rPr>
          <w:lang w:val="en-CA"/>
        </w:rPr>
        <w:t xml:space="preserve">805.44 </w:t>
      </w:r>
      <w:proofErr w:type="spellStart"/>
      <w:r w:rsidR="0014283F" w:rsidRPr="00941A76">
        <w:rPr>
          <w:lang w:val="en-CA"/>
        </w:rPr>
        <w:t>mt</w:t>
      </w:r>
      <w:proofErr w:type="spellEnd"/>
      <w:r w:rsidRPr="00941A76">
        <w:rPr>
          <w:lang w:val="en-CA"/>
        </w:rPr>
        <w:t xml:space="preserve"> CO</w:t>
      </w:r>
      <w:r w:rsidRPr="00941A76">
        <w:rPr>
          <w:vertAlign w:val="subscript"/>
          <w:lang w:val="en-CA"/>
        </w:rPr>
        <w:t>2</w:t>
      </w:r>
      <w:r w:rsidRPr="00941A76">
        <w:rPr>
          <w:lang w:val="en-CA"/>
        </w:rPr>
        <w:t xml:space="preserve"> </w:t>
      </w:r>
      <w:proofErr w:type="spellStart"/>
      <w:r w:rsidRPr="00941A76">
        <w:rPr>
          <w:lang w:val="en-CA"/>
        </w:rPr>
        <w:t>eq</w:t>
      </w:r>
      <w:proofErr w:type="spellEnd"/>
      <w:r w:rsidRPr="00941A76">
        <w:rPr>
          <w:lang w:val="en-CA"/>
        </w:rPr>
        <w:t>)</w:t>
      </w:r>
      <w:r w:rsidR="0014283F" w:rsidRPr="00941A76">
        <w:rPr>
          <w:lang w:val="en-CA"/>
        </w:rPr>
        <w:t>, respectively)</w:t>
      </w:r>
      <w:r w:rsidRPr="00941A76">
        <w:rPr>
          <w:lang w:val="en-CA"/>
        </w:rPr>
        <w:t>, with a cost</w:t>
      </w:r>
      <w:r w:rsidR="0014283F" w:rsidRPr="00941A76">
        <w:rPr>
          <w:lang w:val="en-CA"/>
        </w:rPr>
        <w:noBreakHyphen/>
      </w:r>
      <w:r w:rsidRPr="00941A76">
        <w:rPr>
          <w:lang w:val="en-CA"/>
        </w:rPr>
        <w:t xml:space="preserve">effectiveness of </w:t>
      </w:r>
      <w:r w:rsidR="00C52303" w:rsidRPr="00941A76">
        <w:rPr>
          <w:lang w:val="en-CA"/>
        </w:rPr>
        <w:t>US $</w:t>
      </w:r>
      <w:r w:rsidR="00416F75">
        <w:rPr>
          <w:lang w:val="en-CA"/>
        </w:rPr>
        <w:t>34.</w:t>
      </w:r>
      <w:r w:rsidRPr="00941A76">
        <w:rPr>
          <w:lang w:val="en-CA"/>
        </w:rPr>
        <w:t>16/kg. The Secretariat noted that although funding was not requested for IOCs, the cost-effectiveness of the proposal is higher than that of larger manufacturing enterprises.</w:t>
      </w:r>
    </w:p>
    <w:p w:rsidR="00242391" w:rsidRPr="00941A76" w:rsidRDefault="00242391" w:rsidP="00242391">
      <w:pPr>
        <w:pStyle w:val="Heading1"/>
        <w:tabs>
          <w:tab w:val="clear" w:pos="142"/>
          <w:tab w:val="num" w:pos="0"/>
        </w:tabs>
        <w:ind w:left="0"/>
        <w:rPr>
          <w:lang w:val="en-CA"/>
        </w:rPr>
      </w:pPr>
      <w:r w:rsidRPr="00941A76">
        <w:rPr>
          <w:lang w:val="en-CA"/>
        </w:rPr>
        <w:t>The Secretariat notes that the purpose of implementing projects under decision 78/3(g) is to gain experience in the ICCs and IOCs that might be associated with phasing down HFCs. On the basis of the information available at the time of review, the Secretariat considers that the agreed costs are its best estimates of the overall incremental costs of conversion; these estimates, however, might change as more information becomes available and according to the specific characteristics of the enterprise. The Secretariat, therefore, considers that approval of the project at the levels proposed above would not constitute a precedent.</w:t>
      </w:r>
    </w:p>
    <w:p w:rsidR="00242391" w:rsidRPr="00B04EB0" w:rsidRDefault="00242391" w:rsidP="00242391">
      <w:pPr>
        <w:rPr>
          <w:u w:val="single"/>
          <w:lang w:val="en-CA"/>
        </w:rPr>
      </w:pPr>
      <w:r w:rsidRPr="00B04EB0">
        <w:rPr>
          <w:u w:val="single"/>
          <w:lang w:val="en-CA"/>
        </w:rPr>
        <w:t>2018</w:t>
      </w:r>
      <w:r w:rsidRPr="00B04EB0">
        <w:rPr>
          <w:sz w:val="18"/>
          <w:szCs w:val="18"/>
          <w:u w:val="single"/>
          <w:lang w:val="en-CA"/>
        </w:rPr>
        <w:t>–</w:t>
      </w:r>
      <w:r w:rsidRPr="00B04EB0">
        <w:rPr>
          <w:u w:val="single"/>
          <w:lang w:val="en-CA"/>
        </w:rPr>
        <w:t>2020 business plan</w:t>
      </w:r>
    </w:p>
    <w:p w:rsidR="00242391" w:rsidRPr="00597146" w:rsidRDefault="00242391" w:rsidP="00242391">
      <w:pPr>
        <w:rPr>
          <w:lang w:val="en-CA"/>
        </w:rPr>
      </w:pPr>
    </w:p>
    <w:p w:rsidR="00242391" w:rsidRPr="009503D1" w:rsidRDefault="00242391" w:rsidP="00242391">
      <w:pPr>
        <w:pStyle w:val="Heading1"/>
        <w:tabs>
          <w:tab w:val="clear" w:pos="142"/>
          <w:tab w:val="num" w:pos="0"/>
        </w:tabs>
        <w:ind w:left="0"/>
        <w:rPr>
          <w:lang w:val="en-CA"/>
        </w:rPr>
      </w:pPr>
      <w:r w:rsidRPr="009503D1">
        <w:rPr>
          <w:lang w:val="en-CA"/>
        </w:rPr>
        <w:t>This project is included in the 2018</w:t>
      </w:r>
      <w:r w:rsidRPr="009503D1">
        <w:rPr>
          <w:sz w:val="18"/>
          <w:szCs w:val="18"/>
          <w:lang w:val="en-CA"/>
        </w:rPr>
        <w:t>–</w:t>
      </w:r>
      <w:r w:rsidRPr="009503D1">
        <w:rPr>
          <w:lang w:val="en-CA"/>
        </w:rPr>
        <w:t xml:space="preserve">2020 business plan of the Multilateral Fund at a value of </w:t>
      </w:r>
      <w:r w:rsidR="00C52303">
        <w:rPr>
          <w:lang w:val="en-CA"/>
        </w:rPr>
        <w:t>US $</w:t>
      </w:r>
      <w:r w:rsidRPr="009503D1">
        <w:rPr>
          <w:lang w:val="en-CA"/>
        </w:rPr>
        <w:t xml:space="preserve">71,710, including </w:t>
      </w:r>
      <w:r>
        <w:rPr>
          <w:lang w:val="en-CA"/>
        </w:rPr>
        <w:t xml:space="preserve">agency </w:t>
      </w:r>
      <w:r w:rsidRPr="009503D1">
        <w:rPr>
          <w:lang w:val="en-CA"/>
        </w:rPr>
        <w:t>support cost</w:t>
      </w:r>
      <w:r>
        <w:rPr>
          <w:lang w:val="en-CA"/>
        </w:rPr>
        <w:t>s</w:t>
      </w:r>
      <w:r w:rsidRPr="009503D1">
        <w:rPr>
          <w:lang w:val="en-CA"/>
        </w:rPr>
        <w:t xml:space="preserve">, to phase out 8.80 </w:t>
      </w:r>
      <w:proofErr w:type="spellStart"/>
      <w:r w:rsidRPr="009503D1">
        <w:rPr>
          <w:lang w:val="en-CA"/>
        </w:rPr>
        <w:t>mt</w:t>
      </w:r>
      <w:proofErr w:type="spellEnd"/>
      <w:r w:rsidRPr="009503D1">
        <w:rPr>
          <w:lang w:val="en-CA"/>
        </w:rPr>
        <w:t xml:space="preserve"> of HFC. The Secretariat notes that after the adjustments to the cost</w:t>
      </w:r>
      <w:r>
        <w:rPr>
          <w:lang w:val="en-CA"/>
        </w:rPr>
        <w:t>s</w:t>
      </w:r>
      <w:r w:rsidRPr="009503D1">
        <w:rPr>
          <w:lang w:val="en-CA"/>
        </w:rPr>
        <w:t xml:space="preserve">, the proposal is </w:t>
      </w:r>
      <w:r w:rsidR="00C52303">
        <w:rPr>
          <w:lang w:val="en-CA"/>
        </w:rPr>
        <w:t>US $</w:t>
      </w:r>
      <w:r w:rsidRPr="009503D1">
        <w:rPr>
          <w:lang w:val="en-CA"/>
        </w:rPr>
        <w:t xml:space="preserve">141,733 </w:t>
      </w:r>
      <w:r>
        <w:rPr>
          <w:lang w:val="en-CA"/>
        </w:rPr>
        <w:t xml:space="preserve">more than what has been included </w:t>
      </w:r>
      <w:r w:rsidRPr="009503D1">
        <w:rPr>
          <w:lang w:val="en-CA"/>
        </w:rPr>
        <w:t>in</w:t>
      </w:r>
      <w:r>
        <w:rPr>
          <w:lang w:val="en-CA"/>
        </w:rPr>
        <w:t>to</w:t>
      </w:r>
      <w:r w:rsidRPr="009503D1">
        <w:rPr>
          <w:lang w:val="en-CA"/>
        </w:rPr>
        <w:t xml:space="preserve"> the </w:t>
      </w:r>
      <w:r>
        <w:rPr>
          <w:lang w:val="en-CA"/>
        </w:rPr>
        <w:t>b</w:t>
      </w:r>
      <w:r w:rsidRPr="009503D1">
        <w:rPr>
          <w:lang w:val="en-CA"/>
        </w:rPr>
        <w:t xml:space="preserve">usiness </w:t>
      </w:r>
      <w:r>
        <w:rPr>
          <w:lang w:val="en-CA"/>
        </w:rPr>
        <w:t>p</w:t>
      </w:r>
      <w:r w:rsidRPr="009503D1">
        <w:rPr>
          <w:lang w:val="en-CA"/>
        </w:rPr>
        <w:t>lan.</w:t>
      </w:r>
    </w:p>
    <w:p w:rsidR="00242391" w:rsidRPr="00AD3371" w:rsidRDefault="00242391" w:rsidP="00242391">
      <w:pPr>
        <w:keepNext/>
        <w:rPr>
          <w:b/>
          <w:lang w:val="en-CA"/>
        </w:rPr>
      </w:pPr>
      <w:r>
        <w:rPr>
          <w:b/>
          <w:lang w:val="en-CA"/>
        </w:rPr>
        <w:t>R</w:t>
      </w:r>
      <w:r w:rsidRPr="00AD3371">
        <w:rPr>
          <w:b/>
          <w:lang w:val="en-CA"/>
        </w:rPr>
        <w:t>ecommendation</w:t>
      </w:r>
    </w:p>
    <w:p w:rsidR="00242391" w:rsidRPr="00AD3371" w:rsidRDefault="00242391" w:rsidP="00242391">
      <w:pPr>
        <w:keepNext/>
        <w:rPr>
          <w:b/>
          <w:lang w:val="en-CA"/>
        </w:rPr>
      </w:pPr>
    </w:p>
    <w:p w:rsidR="00242391" w:rsidRDefault="00242391" w:rsidP="00242391">
      <w:pPr>
        <w:pStyle w:val="Heading1"/>
        <w:tabs>
          <w:tab w:val="clear" w:pos="142"/>
          <w:tab w:val="num" w:pos="0"/>
        </w:tabs>
        <w:ind w:left="0"/>
        <w:rPr>
          <w:lang w:val="en-CA"/>
        </w:rPr>
      </w:pPr>
      <w:r w:rsidRPr="00442237">
        <w:rPr>
          <w:lang w:val="en-CA"/>
        </w:rPr>
        <w:t>The Executive Committee may wish to consider</w:t>
      </w:r>
      <w:r>
        <w:rPr>
          <w:lang w:val="en-CA"/>
        </w:rPr>
        <w:t xml:space="preserve"> </w:t>
      </w:r>
    </w:p>
    <w:p w:rsidR="00242391" w:rsidRPr="003E481D" w:rsidRDefault="00242391" w:rsidP="00242391">
      <w:pPr>
        <w:pStyle w:val="Heading2"/>
        <w:rPr>
          <w:lang w:val="en-CA"/>
        </w:rPr>
      </w:pPr>
      <w:r w:rsidRPr="003E481D">
        <w:rPr>
          <w:lang w:val="en-CA"/>
        </w:rPr>
        <w:t xml:space="preserve">The project proposal for the conversion of domestic and commercial refrigerator manufacturing at </w:t>
      </w:r>
      <w:proofErr w:type="spellStart"/>
      <w:r w:rsidRPr="003E481D">
        <w:rPr>
          <w:lang w:val="en-CA"/>
        </w:rPr>
        <w:t>Ecasa</w:t>
      </w:r>
      <w:proofErr w:type="spellEnd"/>
      <w:r w:rsidRPr="003E481D">
        <w:rPr>
          <w:lang w:val="en-CA"/>
        </w:rPr>
        <w:t xml:space="preserve"> from the use of HFC-134a and R-404A as the refrigerants to propane (R-290) and </w:t>
      </w:r>
      <w:proofErr w:type="spellStart"/>
      <w:r w:rsidRPr="003E481D">
        <w:rPr>
          <w:lang w:val="en-CA"/>
        </w:rPr>
        <w:t>isobutane</w:t>
      </w:r>
      <w:proofErr w:type="spellEnd"/>
      <w:r w:rsidRPr="003E481D">
        <w:rPr>
          <w:lang w:val="en-CA"/>
        </w:rPr>
        <w:t xml:space="preserve"> (R-600a), in the context of its discussion on HFC stand</w:t>
      </w:r>
      <w:r w:rsidR="007D486C">
        <w:rPr>
          <w:lang w:val="en-CA"/>
        </w:rPr>
        <w:noBreakHyphen/>
      </w:r>
      <w:r w:rsidRPr="003E481D">
        <w:rPr>
          <w:lang w:val="en-CA"/>
        </w:rPr>
        <w:t>alone project submitted to the 81</w:t>
      </w:r>
      <w:r w:rsidRPr="003E481D">
        <w:rPr>
          <w:vertAlign w:val="superscript"/>
          <w:lang w:val="en-CA"/>
        </w:rPr>
        <w:t>st</w:t>
      </w:r>
      <w:r w:rsidR="003E481D" w:rsidRPr="003E481D">
        <w:rPr>
          <w:lang w:val="en-CA"/>
        </w:rPr>
        <w:t xml:space="preserve"> </w:t>
      </w:r>
      <w:r w:rsidRPr="003E481D">
        <w:rPr>
          <w:lang w:val="en-CA"/>
        </w:rPr>
        <w:t>meeting in line with decision 78/3(g), as described in the document on the Overview of issues identified during project review (UNEP/</w:t>
      </w:r>
      <w:proofErr w:type="spellStart"/>
      <w:r w:rsidRPr="003E481D">
        <w:rPr>
          <w:lang w:val="en-CA"/>
        </w:rPr>
        <w:t>OzL.Pro</w:t>
      </w:r>
      <w:proofErr w:type="spellEnd"/>
      <w:r w:rsidRPr="003E481D">
        <w:rPr>
          <w:lang w:val="en-CA"/>
        </w:rPr>
        <w:t>/</w:t>
      </w:r>
      <w:proofErr w:type="spellStart"/>
      <w:r w:rsidRPr="003E481D">
        <w:rPr>
          <w:lang w:val="en-CA"/>
        </w:rPr>
        <w:t>ExCom</w:t>
      </w:r>
      <w:proofErr w:type="spellEnd"/>
      <w:r w:rsidRPr="003E481D">
        <w:rPr>
          <w:lang w:val="en-CA"/>
        </w:rPr>
        <w:t>/81/14);</w:t>
      </w:r>
    </w:p>
    <w:p w:rsidR="00242391" w:rsidRPr="003E481D" w:rsidRDefault="00242391" w:rsidP="00242391">
      <w:pPr>
        <w:pStyle w:val="Heading2"/>
        <w:rPr>
          <w:lang w:val="en-CA"/>
        </w:rPr>
      </w:pPr>
      <w:r w:rsidRPr="003E481D">
        <w:rPr>
          <w:lang w:val="en-CA"/>
        </w:rPr>
        <w:t xml:space="preserve">Whether or not to approve the project proposal indicated in sub-paragraph (a) above in the amount of </w:t>
      </w:r>
      <w:r w:rsidR="00C52303">
        <w:rPr>
          <w:lang w:val="en-CA"/>
        </w:rPr>
        <w:t>US $</w:t>
      </w:r>
      <w:r w:rsidRPr="003E481D">
        <w:rPr>
          <w:lang w:val="en-CA"/>
        </w:rPr>
        <w:t xml:space="preserve">199,480, plus agency support costs of </w:t>
      </w:r>
      <w:r w:rsidR="00C52303">
        <w:rPr>
          <w:lang w:val="en-CA"/>
        </w:rPr>
        <w:t>US $</w:t>
      </w:r>
      <w:r w:rsidR="00416F75">
        <w:rPr>
          <w:lang w:val="en-CA"/>
        </w:rPr>
        <w:t>17,953</w:t>
      </w:r>
      <w:r w:rsidRPr="003E481D">
        <w:rPr>
          <w:lang w:val="en-CA"/>
        </w:rPr>
        <w:t xml:space="preserve"> for UNIDO, on the understanding, if the project were to be approved:</w:t>
      </w:r>
    </w:p>
    <w:p w:rsidR="00242391" w:rsidRDefault="00242391" w:rsidP="00242391">
      <w:pPr>
        <w:pStyle w:val="Heading3"/>
        <w:rPr>
          <w:lang w:val="en-CA"/>
        </w:rPr>
      </w:pPr>
      <w:r>
        <w:rPr>
          <w:lang w:val="en-CA"/>
        </w:rPr>
        <w:t>That n</w:t>
      </w:r>
      <w:r w:rsidRPr="000B26A6">
        <w:rPr>
          <w:lang w:val="en-CA"/>
        </w:rPr>
        <w:t xml:space="preserve">o further funding would be available until the instrument of ratification </w:t>
      </w:r>
      <w:r>
        <w:rPr>
          <w:lang w:val="en-CA"/>
        </w:rPr>
        <w:t xml:space="preserve">by the Government of Ecuador </w:t>
      </w:r>
      <w:r w:rsidRPr="000B26A6">
        <w:rPr>
          <w:lang w:val="en-CA"/>
        </w:rPr>
        <w:t xml:space="preserve">had been received by the depositary at the Headquarters of the United Nations in New York; </w:t>
      </w:r>
    </w:p>
    <w:p w:rsidR="00242391" w:rsidRPr="009224B6" w:rsidRDefault="00242391" w:rsidP="00242391">
      <w:pPr>
        <w:pStyle w:val="Heading3"/>
        <w:rPr>
          <w:lang w:val="en-CA"/>
        </w:rPr>
      </w:pPr>
      <w:r>
        <w:rPr>
          <w:lang w:val="en-CA"/>
        </w:rPr>
        <w:t>That 5.84</w:t>
      </w:r>
      <w:r w:rsidRPr="00274F6A">
        <w:rPr>
          <w:lang w:val="en-CA"/>
        </w:rPr>
        <w:t xml:space="preserve"> </w:t>
      </w:r>
      <w:proofErr w:type="spellStart"/>
      <w:r w:rsidRPr="00274F6A">
        <w:rPr>
          <w:lang w:val="en-CA"/>
        </w:rPr>
        <w:t>mt</w:t>
      </w:r>
      <w:proofErr w:type="spellEnd"/>
      <w:r w:rsidRPr="00274F6A">
        <w:rPr>
          <w:lang w:val="en-CA"/>
        </w:rPr>
        <w:t xml:space="preserve"> (</w:t>
      </w:r>
      <w:r>
        <w:rPr>
          <w:lang w:val="en-CA"/>
        </w:rPr>
        <w:t>17,123.04 </w:t>
      </w:r>
      <w:r>
        <w:t>CO</w:t>
      </w:r>
      <w:r w:rsidRPr="008F1303">
        <w:rPr>
          <w:vertAlign w:val="subscript"/>
        </w:rPr>
        <w:t>2</w:t>
      </w:r>
      <w:r>
        <w:noBreakHyphen/>
      </w:r>
      <w:r w:rsidRPr="008F1303">
        <w:t xml:space="preserve">eq </w:t>
      </w:r>
      <w:proofErr w:type="spellStart"/>
      <w:r w:rsidRPr="008F1303">
        <w:t>mt</w:t>
      </w:r>
      <w:proofErr w:type="spellEnd"/>
      <w:r w:rsidRPr="00274F6A">
        <w:rPr>
          <w:lang w:val="en-CA"/>
        </w:rPr>
        <w:t xml:space="preserve">) </w:t>
      </w:r>
      <w:r>
        <w:rPr>
          <w:lang w:val="en-CA"/>
        </w:rPr>
        <w:t xml:space="preserve">of </w:t>
      </w:r>
      <w:r w:rsidRPr="000B26A6">
        <w:rPr>
          <w:lang w:val="en-CA"/>
        </w:rPr>
        <w:t>HFC</w:t>
      </w:r>
      <w:r>
        <w:rPr>
          <w:lang w:val="en-CA"/>
        </w:rPr>
        <w:t xml:space="preserve">-134 and R-404A </w:t>
      </w:r>
      <w:r w:rsidRPr="009224B6">
        <w:rPr>
          <w:lang w:val="en-CA"/>
        </w:rPr>
        <w:t>would be deducted from the starting point for sustained aggregate reduction in HFC once it had been established;</w:t>
      </w:r>
    </w:p>
    <w:p w:rsidR="00242391" w:rsidRPr="009224B6" w:rsidRDefault="00242391" w:rsidP="00242391">
      <w:pPr>
        <w:pStyle w:val="Heading3"/>
        <w:rPr>
          <w:lang w:val="en-CA"/>
        </w:rPr>
      </w:pPr>
      <w:r w:rsidRPr="009224B6">
        <w:rPr>
          <w:lang w:val="en-CA"/>
        </w:rPr>
        <w:t xml:space="preserve">That the project would be completed within 24 months of the transfer of funds to UNIDO, and a comprehensive completion report with detailed information on the eligible incremental capital costs, incremental operating costs, any possible savings incurred during the conversion and relevant factors that facilitated implementation would be submitted within six months of project completion; and </w:t>
      </w:r>
    </w:p>
    <w:p w:rsidR="00242391" w:rsidRPr="00EE66FD" w:rsidRDefault="00242391" w:rsidP="00242391">
      <w:pPr>
        <w:pStyle w:val="Heading3"/>
        <w:rPr>
          <w:lang w:val="en-CA"/>
        </w:rPr>
      </w:pPr>
      <w:r w:rsidRPr="00A75F2A">
        <w:rPr>
          <w:lang w:val="en-CA"/>
        </w:rPr>
        <w:t>That any remaining funds would be returned to the Multilateral Fund no later than one year after the date of project completion.</w:t>
      </w:r>
    </w:p>
    <w:p w:rsidR="00F572EA" w:rsidRDefault="00F572EA">
      <w:pPr>
        <w:jc w:val="left"/>
        <w:rPr>
          <w:lang w:val="en-CA"/>
        </w:rPr>
      </w:pPr>
      <w:r>
        <w:rPr>
          <w:lang w:val="en-CA"/>
        </w:rPr>
        <w:br w:type="page"/>
      </w:r>
    </w:p>
    <w:p w:rsidR="00242391" w:rsidRPr="000F3E37" w:rsidRDefault="00242391" w:rsidP="000F3E37">
      <w:pPr>
        <w:jc w:val="left"/>
        <w:rPr>
          <w:b/>
        </w:rPr>
      </w:pPr>
      <w:r w:rsidRPr="000F3E37">
        <w:rPr>
          <w:b/>
        </w:rPr>
        <w:t>Section 4:</w:t>
      </w:r>
      <w:r w:rsidRPr="000F3E37">
        <w:rPr>
          <w:b/>
        </w:rPr>
        <w:tab/>
        <w:t xml:space="preserve">Project proposal for conversion at </w:t>
      </w:r>
      <w:proofErr w:type="spellStart"/>
      <w:r w:rsidRPr="000F3E37">
        <w:rPr>
          <w:b/>
        </w:rPr>
        <w:t>Induglob</w:t>
      </w:r>
      <w:proofErr w:type="spellEnd"/>
    </w:p>
    <w:p w:rsidR="00242391" w:rsidRPr="000F3E37" w:rsidRDefault="00242391" w:rsidP="000F3E37">
      <w:pPr>
        <w:jc w:val="left"/>
        <w:rPr>
          <w:b/>
          <w:u w:val="single"/>
        </w:rPr>
      </w:pPr>
    </w:p>
    <w:p w:rsidR="00242391" w:rsidRPr="000F3E37" w:rsidRDefault="00242391" w:rsidP="000F3E37">
      <w:pPr>
        <w:rPr>
          <w:u w:val="single"/>
          <w:lang w:val="en-CA"/>
        </w:rPr>
      </w:pPr>
      <w:r w:rsidRPr="000F3E37">
        <w:rPr>
          <w:u w:val="single"/>
          <w:lang w:val="en-CA"/>
        </w:rPr>
        <w:t>Enterprise background</w:t>
      </w:r>
    </w:p>
    <w:p w:rsidR="00242391" w:rsidRPr="000F3E37" w:rsidRDefault="00242391" w:rsidP="000F3E37">
      <w:pPr>
        <w:rPr>
          <w:lang w:val="en-CA"/>
        </w:rPr>
      </w:pPr>
    </w:p>
    <w:p w:rsidR="00242391" w:rsidRPr="000F3E37" w:rsidRDefault="00242391" w:rsidP="000F3E37">
      <w:pPr>
        <w:pStyle w:val="Heading1"/>
        <w:ind w:left="0"/>
      </w:pPr>
      <w:proofErr w:type="spellStart"/>
      <w:r w:rsidRPr="000F3E37">
        <w:t>Induglob</w:t>
      </w:r>
      <w:proofErr w:type="spellEnd"/>
      <w:r w:rsidRPr="000F3E37">
        <w:t xml:space="preserve">, a locally-owned enterprise (formerly as </w:t>
      </w:r>
      <w:proofErr w:type="spellStart"/>
      <w:r w:rsidRPr="000F3E37">
        <w:t>Indurama</w:t>
      </w:r>
      <w:proofErr w:type="spellEnd"/>
      <w:r w:rsidRPr="000F3E37">
        <w:t xml:space="preserve">), received Multilateral Fund assistance </w:t>
      </w:r>
      <w:r w:rsidR="001A2C2E" w:rsidRPr="000F3E37">
        <w:t>to replace CFC-</w:t>
      </w:r>
      <w:r w:rsidR="005D7C55" w:rsidRPr="000F3E37">
        <w:t>12 with HFC-134a at the 26</w:t>
      </w:r>
      <w:r w:rsidR="005D7C55" w:rsidRPr="000F3E37">
        <w:rPr>
          <w:vertAlign w:val="superscript"/>
        </w:rPr>
        <w:t>th</w:t>
      </w:r>
      <w:r w:rsidR="005D7C55" w:rsidRPr="000F3E37">
        <w:t xml:space="preserve"> meeting </w:t>
      </w:r>
      <w:r w:rsidR="00554221" w:rsidRPr="000F3E37">
        <w:t>(November </w:t>
      </w:r>
      <w:r w:rsidR="005D7C55" w:rsidRPr="000F3E37">
        <w:t>1998).</w:t>
      </w:r>
      <w:r w:rsidR="001A2C2E" w:rsidRPr="000F3E37">
        <w:rPr>
          <w:rStyle w:val="FootnoteReference"/>
        </w:rPr>
        <w:footnoteReference w:id="9"/>
      </w:r>
      <w:r w:rsidR="005D7C55" w:rsidRPr="000F3E37">
        <w:t xml:space="preserve"> Since the</w:t>
      </w:r>
      <w:r w:rsidR="00F572EA" w:rsidRPr="000F3E37">
        <w:t xml:space="preserve"> completion of the project in September 2002</w:t>
      </w:r>
      <w:r w:rsidR="005D7C55" w:rsidRPr="000F3E37">
        <w:t>,</w:t>
      </w:r>
      <w:r w:rsidR="00F572EA" w:rsidRPr="000F3E37">
        <w:t xml:space="preserve"> </w:t>
      </w:r>
      <w:r w:rsidR="005D7C55" w:rsidRPr="000F3E37">
        <w:t xml:space="preserve">HFC-134a </w:t>
      </w:r>
      <w:r w:rsidR="00F572EA" w:rsidRPr="000F3E37">
        <w:t xml:space="preserve">has been used </w:t>
      </w:r>
      <w:r w:rsidR="000F3E37">
        <w:t xml:space="preserve">as a refrigerant </w:t>
      </w:r>
      <w:r w:rsidR="00F572EA" w:rsidRPr="000F3E37">
        <w:t xml:space="preserve">to charge their products. </w:t>
      </w:r>
      <w:r w:rsidR="005D7C55" w:rsidRPr="000F3E37">
        <w:t>As such, the Secretariat considers that this conversion falls under paragraph 18(b) of decision XXVIII/2.</w:t>
      </w:r>
    </w:p>
    <w:p w:rsidR="00242391" w:rsidRPr="000F3E37" w:rsidRDefault="00242391" w:rsidP="000F3E37">
      <w:pPr>
        <w:pStyle w:val="Heading1"/>
        <w:tabs>
          <w:tab w:val="clear" w:pos="142"/>
          <w:tab w:val="num" w:pos="0"/>
        </w:tabs>
        <w:ind w:left="0"/>
        <w:rPr>
          <w:lang w:val="en-CA"/>
        </w:rPr>
      </w:pPr>
      <w:proofErr w:type="spellStart"/>
      <w:r w:rsidRPr="000F3E37">
        <w:rPr>
          <w:lang w:val="en-CA"/>
        </w:rPr>
        <w:t>Induglob</w:t>
      </w:r>
      <w:proofErr w:type="spellEnd"/>
      <w:r w:rsidRPr="000F3E37">
        <w:rPr>
          <w:lang w:val="en-CA"/>
        </w:rPr>
        <w:t xml:space="preserve"> manufactures self-co</w:t>
      </w:r>
      <w:r w:rsidR="00954D06" w:rsidRPr="000F3E37">
        <w:rPr>
          <w:lang w:val="en-CA"/>
        </w:rPr>
        <w:t xml:space="preserve">ntained domestic refrigeration and </w:t>
      </w:r>
      <w:r w:rsidRPr="000F3E37">
        <w:rPr>
          <w:lang w:val="en-CA"/>
        </w:rPr>
        <w:t>vertical and horizontal coolers, which operate with different temperature ranges, in two manufacturing lines, with two charging units, operating for one ten-hour shift per day. In 2017,</w:t>
      </w:r>
      <w:r w:rsidRPr="000F3E37">
        <w:t xml:space="preserve"> </w:t>
      </w:r>
      <w:r w:rsidRPr="000F3E37">
        <w:rPr>
          <w:lang w:val="en-CA"/>
        </w:rPr>
        <w:t xml:space="preserve">the enterprise produced 146,976 units using 19.80 </w:t>
      </w:r>
      <w:proofErr w:type="spellStart"/>
      <w:r w:rsidRPr="000F3E37">
        <w:rPr>
          <w:lang w:val="en-CA"/>
        </w:rPr>
        <w:t>mt</w:t>
      </w:r>
      <w:proofErr w:type="spellEnd"/>
      <w:r w:rsidRPr="000F3E37">
        <w:rPr>
          <w:lang w:val="en-CA"/>
        </w:rPr>
        <w:t xml:space="preserve"> of HFC-134a (an average charge of 135 g of refrigerant per unit)</w:t>
      </w:r>
      <w:r w:rsidR="00954D06" w:rsidRPr="000F3E37">
        <w:rPr>
          <w:lang w:val="en-CA"/>
        </w:rPr>
        <w:t>.</w:t>
      </w:r>
      <w:r w:rsidRPr="000F3E37">
        <w:rPr>
          <w:lang w:val="en-CA"/>
        </w:rPr>
        <w:t xml:space="preserve"> The average production is 16,000 units per month</w:t>
      </w:r>
      <w:r w:rsidR="00954D06" w:rsidRPr="000F3E37">
        <w:rPr>
          <w:lang w:val="en-CA"/>
        </w:rPr>
        <w:t xml:space="preserve">. </w:t>
      </w:r>
      <w:r w:rsidRPr="000F3E37">
        <w:rPr>
          <w:lang w:val="en-CA"/>
        </w:rPr>
        <w:t xml:space="preserve">Table </w:t>
      </w:r>
      <w:r w:rsidR="000826E3">
        <w:rPr>
          <w:lang w:val="en-CA"/>
        </w:rPr>
        <w:t>8</w:t>
      </w:r>
      <w:r w:rsidRPr="000F3E37">
        <w:rPr>
          <w:lang w:val="en-CA"/>
        </w:rPr>
        <w:t xml:space="preserve"> presents the 2015–2017 production of HFC-based domestic and commercial refrigerators at </w:t>
      </w:r>
      <w:proofErr w:type="spellStart"/>
      <w:r w:rsidRPr="000F3E37">
        <w:rPr>
          <w:lang w:val="en-CA"/>
        </w:rPr>
        <w:t>Induglob</w:t>
      </w:r>
      <w:proofErr w:type="spellEnd"/>
      <w:r w:rsidRPr="000F3E37">
        <w:rPr>
          <w:lang w:val="en-CA"/>
        </w:rPr>
        <w:t>.</w:t>
      </w:r>
    </w:p>
    <w:p w:rsidR="00242391" w:rsidRPr="00CC4313" w:rsidRDefault="00242391" w:rsidP="000826E3">
      <w:pPr>
        <w:contextualSpacing/>
        <w:rPr>
          <w:b/>
        </w:rPr>
      </w:pPr>
      <w:r>
        <w:rPr>
          <w:b/>
        </w:rPr>
        <w:t xml:space="preserve">Table </w:t>
      </w:r>
      <w:r w:rsidR="000826E3">
        <w:rPr>
          <w:b/>
        </w:rPr>
        <w:t>8</w:t>
      </w:r>
      <w:r w:rsidRPr="00CC4313">
        <w:rPr>
          <w:b/>
        </w:rPr>
        <w:t xml:space="preserve">. Manufacturing of </w:t>
      </w:r>
      <w:r>
        <w:rPr>
          <w:b/>
        </w:rPr>
        <w:t xml:space="preserve">domestic and </w:t>
      </w:r>
      <w:r w:rsidRPr="00CC4313">
        <w:rPr>
          <w:b/>
        </w:rPr>
        <w:t xml:space="preserve">commercial refrigerators at </w:t>
      </w:r>
      <w:proofErr w:type="spellStart"/>
      <w:r>
        <w:rPr>
          <w:b/>
        </w:rPr>
        <w:t>Induglob</w:t>
      </w:r>
      <w:proofErr w:type="spellEnd"/>
      <w:r w:rsidRPr="00CC4313">
        <w:rPr>
          <w:b/>
        </w:rPr>
        <w:t xml:space="preserve"> (2015–2017)</w:t>
      </w:r>
    </w:p>
    <w:tbl>
      <w:tblPr>
        <w:tblW w:w="5000" w:type="pct"/>
        <w:tblLayout w:type="fixed"/>
        <w:tblLook w:val="04A0" w:firstRow="1" w:lastRow="0" w:firstColumn="1" w:lastColumn="0" w:noHBand="0" w:noVBand="1"/>
      </w:tblPr>
      <w:tblGrid>
        <w:gridCol w:w="1974"/>
        <w:gridCol w:w="1829"/>
        <w:gridCol w:w="1829"/>
        <w:gridCol w:w="1829"/>
        <w:gridCol w:w="1889"/>
      </w:tblGrid>
      <w:tr w:rsidR="00242391" w:rsidRPr="00D764DD" w:rsidTr="000826E3">
        <w:trPr>
          <w:trHeight w:val="288"/>
        </w:trPr>
        <w:tc>
          <w:tcPr>
            <w:tcW w:w="1056" w:type="pct"/>
            <w:vMerge w:val="restart"/>
            <w:tcBorders>
              <w:top w:val="single" w:sz="4" w:space="0" w:color="auto"/>
              <w:left w:val="single" w:sz="4" w:space="0" w:color="auto"/>
              <w:right w:val="single" w:sz="4" w:space="0" w:color="auto"/>
            </w:tcBorders>
            <w:shd w:val="clear" w:color="auto" w:fill="auto"/>
            <w:noWrap/>
            <w:vAlign w:val="bottom"/>
            <w:hideMark/>
          </w:tcPr>
          <w:p w:rsidR="00242391" w:rsidRPr="00D764DD" w:rsidRDefault="00242391" w:rsidP="000826E3">
            <w:pPr>
              <w:jc w:val="left"/>
              <w:rPr>
                <w:b/>
                <w:bCs/>
                <w:color w:val="000000"/>
                <w:sz w:val="20"/>
                <w:szCs w:val="20"/>
                <w:lang w:val="en-US"/>
              </w:rPr>
            </w:pPr>
            <w:r w:rsidRPr="00D764DD">
              <w:rPr>
                <w:b/>
                <w:bCs/>
                <w:color w:val="000000"/>
                <w:sz w:val="20"/>
                <w:szCs w:val="20"/>
                <w:lang w:val="en-US"/>
              </w:rPr>
              <w:t>Year</w:t>
            </w:r>
          </w:p>
        </w:tc>
        <w:tc>
          <w:tcPr>
            <w:tcW w:w="2934" w:type="pct"/>
            <w:gridSpan w:val="3"/>
            <w:tcBorders>
              <w:top w:val="single" w:sz="4" w:space="0" w:color="auto"/>
              <w:left w:val="nil"/>
              <w:bottom w:val="single" w:sz="4" w:space="0" w:color="auto"/>
              <w:right w:val="single" w:sz="4" w:space="0" w:color="auto"/>
            </w:tcBorders>
            <w:shd w:val="clear" w:color="auto" w:fill="auto"/>
            <w:noWrap/>
            <w:vAlign w:val="bottom"/>
            <w:hideMark/>
          </w:tcPr>
          <w:p w:rsidR="00242391" w:rsidRPr="00D764DD" w:rsidRDefault="000826E3" w:rsidP="000826E3">
            <w:pPr>
              <w:jc w:val="center"/>
              <w:rPr>
                <w:b/>
                <w:bCs/>
                <w:color w:val="000000"/>
                <w:sz w:val="20"/>
                <w:szCs w:val="20"/>
                <w:lang w:val="en-US"/>
              </w:rPr>
            </w:pPr>
            <w:r>
              <w:rPr>
                <w:b/>
                <w:bCs/>
                <w:color w:val="000000"/>
                <w:sz w:val="20"/>
                <w:szCs w:val="20"/>
                <w:lang w:val="en-US"/>
              </w:rPr>
              <w:t xml:space="preserve">Refrigerator units </w:t>
            </w:r>
            <w:r w:rsidR="00242391" w:rsidRPr="00D764DD">
              <w:rPr>
                <w:b/>
                <w:bCs/>
                <w:color w:val="000000"/>
                <w:sz w:val="20"/>
                <w:szCs w:val="20"/>
                <w:lang w:val="en-US"/>
              </w:rPr>
              <w:t>produced</w:t>
            </w:r>
          </w:p>
        </w:tc>
        <w:tc>
          <w:tcPr>
            <w:tcW w:w="1010" w:type="pct"/>
            <w:vMerge w:val="restart"/>
            <w:tcBorders>
              <w:top w:val="single" w:sz="4" w:space="0" w:color="auto"/>
              <w:left w:val="nil"/>
              <w:right w:val="single" w:sz="4" w:space="0" w:color="auto"/>
            </w:tcBorders>
          </w:tcPr>
          <w:p w:rsidR="00242391" w:rsidRPr="00D764DD" w:rsidRDefault="00242391" w:rsidP="000826E3">
            <w:pPr>
              <w:jc w:val="center"/>
              <w:rPr>
                <w:b/>
                <w:bCs/>
                <w:color w:val="000000"/>
                <w:sz w:val="20"/>
                <w:szCs w:val="20"/>
                <w:lang w:val="en-US"/>
              </w:rPr>
            </w:pPr>
            <w:r w:rsidRPr="00D764DD">
              <w:rPr>
                <w:b/>
                <w:bCs/>
                <w:color w:val="000000"/>
                <w:sz w:val="20"/>
                <w:szCs w:val="20"/>
                <w:lang w:val="en-US"/>
              </w:rPr>
              <w:t>HFC-134a consumed</w:t>
            </w:r>
            <w:r w:rsidR="000826E3">
              <w:rPr>
                <w:b/>
                <w:bCs/>
                <w:color w:val="000000"/>
                <w:sz w:val="20"/>
                <w:szCs w:val="20"/>
                <w:lang w:val="en-US"/>
              </w:rPr>
              <w:t xml:space="preserve"> </w:t>
            </w:r>
            <w:r w:rsidRPr="00D764DD">
              <w:rPr>
                <w:b/>
                <w:bCs/>
                <w:color w:val="000000"/>
                <w:sz w:val="20"/>
                <w:szCs w:val="20"/>
                <w:lang w:val="en-US"/>
              </w:rPr>
              <w:t>(</w:t>
            </w:r>
            <w:proofErr w:type="spellStart"/>
            <w:r w:rsidRPr="00D764DD">
              <w:rPr>
                <w:b/>
                <w:bCs/>
                <w:color w:val="000000"/>
                <w:sz w:val="20"/>
                <w:szCs w:val="20"/>
                <w:lang w:val="en-US"/>
              </w:rPr>
              <w:t>mt</w:t>
            </w:r>
            <w:proofErr w:type="spellEnd"/>
            <w:r w:rsidRPr="00D764DD">
              <w:rPr>
                <w:b/>
                <w:bCs/>
                <w:color w:val="000000"/>
                <w:sz w:val="20"/>
                <w:szCs w:val="20"/>
                <w:lang w:val="en-US"/>
              </w:rPr>
              <w:t>)</w:t>
            </w:r>
          </w:p>
        </w:tc>
      </w:tr>
      <w:tr w:rsidR="00242391" w:rsidRPr="00D764DD" w:rsidTr="000826E3">
        <w:trPr>
          <w:trHeight w:val="288"/>
        </w:trPr>
        <w:tc>
          <w:tcPr>
            <w:tcW w:w="1056" w:type="pct"/>
            <w:vMerge/>
            <w:tcBorders>
              <w:left w:val="single" w:sz="4" w:space="0" w:color="auto"/>
              <w:bottom w:val="single" w:sz="4" w:space="0" w:color="auto"/>
              <w:right w:val="single" w:sz="4" w:space="0" w:color="auto"/>
            </w:tcBorders>
            <w:shd w:val="clear" w:color="auto" w:fill="auto"/>
            <w:noWrap/>
            <w:vAlign w:val="bottom"/>
          </w:tcPr>
          <w:p w:rsidR="00242391" w:rsidRPr="00D764DD" w:rsidRDefault="00242391" w:rsidP="000826E3">
            <w:pPr>
              <w:jc w:val="left"/>
              <w:rPr>
                <w:b/>
                <w:bCs/>
                <w:color w:val="000000"/>
                <w:sz w:val="20"/>
                <w:szCs w:val="20"/>
                <w:lang w:val="en-US"/>
              </w:rPr>
            </w:pPr>
          </w:p>
        </w:tc>
        <w:tc>
          <w:tcPr>
            <w:tcW w:w="978" w:type="pct"/>
            <w:tcBorders>
              <w:top w:val="single" w:sz="4" w:space="0" w:color="auto"/>
              <w:left w:val="nil"/>
              <w:bottom w:val="single" w:sz="4" w:space="0" w:color="auto"/>
              <w:right w:val="single" w:sz="4" w:space="0" w:color="auto"/>
            </w:tcBorders>
            <w:shd w:val="clear" w:color="auto" w:fill="auto"/>
            <w:noWrap/>
            <w:vAlign w:val="bottom"/>
          </w:tcPr>
          <w:p w:rsidR="00242391" w:rsidRPr="00D764DD" w:rsidRDefault="00242391" w:rsidP="000826E3">
            <w:pPr>
              <w:jc w:val="center"/>
              <w:rPr>
                <w:b/>
                <w:bCs/>
                <w:color w:val="000000"/>
                <w:sz w:val="20"/>
                <w:szCs w:val="20"/>
                <w:lang w:val="en-US"/>
              </w:rPr>
            </w:pPr>
            <w:r w:rsidRPr="00D764DD">
              <w:rPr>
                <w:b/>
                <w:bCs/>
                <w:color w:val="000000"/>
                <w:sz w:val="20"/>
                <w:szCs w:val="20"/>
                <w:lang w:val="en-US"/>
              </w:rPr>
              <w:t xml:space="preserve">Domestic </w:t>
            </w:r>
          </w:p>
        </w:tc>
        <w:tc>
          <w:tcPr>
            <w:tcW w:w="978" w:type="pct"/>
            <w:tcBorders>
              <w:top w:val="single" w:sz="4" w:space="0" w:color="auto"/>
              <w:left w:val="nil"/>
              <w:bottom w:val="single" w:sz="4" w:space="0" w:color="auto"/>
              <w:right w:val="single" w:sz="4" w:space="0" w:color="auto"/>
            </w:tcBorders>
            <w:shd w:val="clear" w:color="auto" w:fill="auto"/>
            <w:noWrap/>
            <w:vAlign w:val="bottom"/>
          </w:tcPr>
          <w:p w:rsidR="00242391" w:rsidRPr="00D764DD" w:rsidRDefault="00242391" w:rsidP="000826E3">
            <w:pPr>
              <w:jc w:val="center"/>
              <w:rPr>
                <w:b/>
                <w:bCs/>
                <w:color w:val="000000"/>
                <w:sz w:val="20"/>
                <w:szCs w:val="20"/>
                <w:lang w:val="en-US"/>
              </w:rPr>
            </w:pPr>
            <w:r w:rsidRPr="00D764DD">
              <w:rPr>
                <w:b/>
                <w:bCs/>
                <w:color w:val="000000"/>
                <w:sz w:val="20"/>
                <w:szCs w:val="20"/>
                <w:lang w:val="en-US"/>
              </w:rPr>
              <w:t xml:space="preserve">Commercial </w:t>
            </w:r>
          </w:p>
        </w:tc>
        <w:tc>
          <w:tcPr>
            <w:tcW w:w="978" w:type="pct"/>
            <w:tcBorders>
              <w:top w:val="single" w:sz="4" w:space="0" w:color="auto"/>
              <w:left w:val="nil"/>
              <w:bottom w:val="single" w:sz="4" w:space="0" w:color="auto"/>
              <w:right w:val="single" w:sz="4" w:space="0" w:color="auto"/>
            </w:tcBorders>
            <w:shd w:val="clear" w:color="auto" w:fill="auto"/>
            <w:noWrap/>
            <w:vAlign w:val="bottom"/>
          </w:tcPr>
          <w:p w:rsidR="00242391" w:rsidRPr="00D764DD" w:rsidRDefault="00242391" w:rsidP="000826E3">
            <w:pPr>
              <w:jc w:val="center"/>
              <w:rPr>
                <w:b/>
                <w:bCs/>
                <w:color w:val="000000"/>
                <w:sz w:val="20"/>
                <w:szCs w:val="20"/>
                <w:lang w:val="en-US"/>
              </w:rPr>
            </w:pPr>
            <w:r w:rsidRPr="00D764DD">
              <w:rPr>
                <w:b/>
                <w:bCs/>
                <w:color w:val="000000"/>
                <w:sz w:val="20"/>
                <w:szCs w:val="20"/>
                <w:lang w:val="en-US"/>
              </w:rPr>
              <w:t xml:space="preserve">Total </w:t>
            </w:r>
          </w:p>
        </w:tc>
        <w:tc>
          <w:tcPr>
            <w:tcW w:w="1010" w:type="pct"/>
            <w:vMerge/>
            <w:tcBorders>
              <w:left w:val="nil"/>
              <w:bottom w:val="single" w:sz="4" w:space="0" w:color="auto"/>
              <w:right w:val="single" w:sz="4" w:space="0" w:color="auto"/>
            </w:tcBorders>
          </w:tcPr>
          <w:p w:rsidR="00242391" w:rsidRPr="00D764DD" w:rsidRDefault="00242391" w:rsidP="000826E3">
            <w:pPr>
              <w:jc w:val="center"/>
              <w:rPr>
                <w:b/>
                <w:bCs/>
                <w:color w:val="000000"/>
                <w:sz w:val="20"/>
                <w:szCs w:val="20"/>
                <w:lang w:val="en-US"/>
              </w:rPr>
            </w:pPr>
          </w:p>
        </w:tc>
      </w:tr>
      <w:tr w:rsidR="00242391" w:rsidRPr="00D764DD" w:rsidTr="000826E3">
        <w:trPr>
          <w:trHeight w:val="71"/>
        </w:trPr>
        <w:tc>
          <w:tcPr>
            <w:tcW w:w="1056" w:type="pct"/>
            <w:tcBorders>
              <w:top w:val="nil"/>
              <w:left w:val="single" w:sz="4" w:space="0" w:color="auto"/>
              <w:bottom w:val="single" w:sz="4" w:space="0" w:color="auto"/>
              <w:right w:val="single" w:sz="4" w:space="0" w:color="auto"/>
            </w:tcBorders>
            <w:shd w:val="clear" w:color="auto" w:fill="auto"/>
            <w:noWrap/>
            <w:vAlign w:val="bottom"/>
            <w:hideMark/>
          </w:tcPr>
          <w:p w:rsidR="00242391" w:rsidRPr="00D764DD" w:rsidRDefault="00242391" w:rsidP="000826E3">
            <w:pPr>
              <w:jc w:val="left"/>
              <w:rPr>
                <w:color w:val="000000"/>
                <w:sz w:val="20"/>
                <w:szCs w:val="20"/>
                <w:lang w:val="en-US"/>
              </w:rPr>
            </w:pPr>
            <w:r w:rsidRPr="00D764DD">
              <w:rPr>
                <w:color w:val="000000"/>
                <w:sz w:val="20"/>
                <w:szCs w:val="20"/>
                <w:lang w:val="en-US"/>
              </w:rPr>
              <w:t>2015</w:t>
            </w:r>
          </w:p>
        </w:tc>
        <w:tc>
          <w:tcPr>
            <w:tcW w:w="978" w:type="pct"/>
            <w:tcBorders>
              <w:top w:val="nil"/>
              <w:left w:val="nil"/>
              <w:bottom w:val="single" w:sz="4" w:space="0" w:color="auto"/>
              <w:right w:val="single" w:sz="4" w:space="0" w:color="auto"/>
            </w:tcBorders>
            <w:shd w:val="clear" w:color="auto" w:fill="auto"/>
            <w:noWrap/>
            <w:vAlign w:val="center"/>
          </w:tcPr>
          <w:p w:rsidR="00242391" w:rsidRPr="00D764DD" w:rsidRDefault="00242391" w:rsidP="000826E3">
            <w:pPr>
              <w:jc w:val="right"/>
              <w:rPr>
                <w:sz w:val="20"/>
                <w:szCs w:val="20"/>
              </w:rPr>
            </w:pPr>
            <w:r w:rsidRPr="00D764DD">
              <w:rPr>
                <w:sz w:val="20"/>
                <w:szCs w:val="20"/>
              </w:rPr>
              <w:t>168,629</w:t>
            </w:r>
          </w:p>
        </w:tc>
        <w:tc>
          <w:tcPr>
            <w:tcW w:w="978" w:type="pct"/>
            <w:tcBorders>
              <w:top w:val="nil"/>
              <w:left w:val="nil"/>
              <w:bottom w:val="single" w:sz="4" w:space="0" w:color="auto"/>
              <w:right w:val="single" w:sz="4" w:space="0" w:color="auto"/>
            </w:tcBorders>
            <w:shd w:val="clear" w:color="auto" w:fill="auto"/>
            <w:noWrap/>
            <w:vAlign w:val="center"/>
          </w:tcPr>
          <w:p w:rsidR="00242391" w:rsidRPr="00D764DD" w:rsidRDefault="00242391" w:rsidP="000826E3">
            <w:pPr>
              <w:jc w:val="right"/>
              <w:rPr>
                <w:sz w:val="20"/>
                <w:szCs w:val="20"/>
              </w:rPr>
            </w:pPr>
            <w:r w:rsidRPr="00D764DD">
              <w:rPr>
                <w:sz w:val="20"/>
                <w:szCs w:val="20"/>
              </w:rPr>
              <w:t>37,899</w:t>
            </w:r>
          </w:p>
        </w:tc>
        <w:tc>
          <w:tcPr>
            <w:tcW w:w="978" w:type="pct"/>
            <w:tcBorders>
              <w:top w:val="nil"/>
              <w:left w:val="nil"/>
              <w:bottom w:val="single" w:sz="4" w:space="0" w:color="auto"/>
              <w:right w:val="single" w:sz="4" w:space="0" w:color="auto"/>
            </w:tcBorders>
            <w:shd w:val="clear" w:color="auto" w:fill="auto"/>
            <w:noWrap/>
            <w:vAlign w:val="center"/>
            <w:hideMark/>
          </w:tcPr>
          <w:p w:rsidR="00242391" w:rsidRPr="00D764DD" w:rsidRDefault="00242391" w:rsidP="000826E3">
            <w:pPr>
              <w:jc w:val="right"/>
              <w:rPr>
                <w:sz w:val="20"/>
                <w:szCs w:val="20"/>
              </w:rPr>
            </w:pPr>
            <w:r w:rsidRPr="00D764DD">
              <w:rPr>
                <w:sz w:val="20"/>
                <w:szCs w:val="20"/>
              </w:rPr>
              <w:t>206,528</w:t>
            </w:r>
          </w:p>
        </w:tc>
        <w:tc>
          <w:tcPr>
            <w:tcW w:w="1010" w:type="pct"/>
            <w:tcBorders>
              <w:top w:val="nil"/>
              <w:left w:val="nil"/>
              <w:bottom w:val="single" w:sz="4" w:space="0" w:color="auto"/>
              <w:right w:val="single" w:sz="4" w:space="0" w:color="auto"/>
            </w:tcBorders>
            <w:vAlign w:val="center"/>
          </w:tcPr>
          <w:p w:rsidR="00242391" w:rsidRPr="00D764DD" w:rsidRDefault="00242391" w:rsidP="000826E3">
            <w:pPr>
              <w:jc w:val="right"/>
              <w:rPr>
                <w:sz w:val="20"/>
                <w:szCs w:val="20"/>
              </w:rPr>
            </w:pPr>
            <w:r w:rsidRPr="00D764DD">
              <w:rPr>
                <w:sz w:val="20"/>
                <w:szCs w:val="20"/>
              </w:rPr>
              <w:t>25.70</w:t>
            </w:r>
          </w:p>
        </w:tc>
      </w:tr>
      <w:tr w:rsidR="00242391" w:rsidRPr="00D764DD" w:rsidTr="000826E3">
        <w:trPr>
          <w:trHeight w:val="54"/>
        </w:trPr>
        <w:tc>
          <w:tcPr>
            <w:tcW w:w="1056" w:type="pct"/>
            <w:tcBorders>
              <w:top w:val="nil"/>
              <w:left w:val="single" w:sz="4" w:space="0" w:color="auto"/>
              <w:bottom w:val="single" w:sz="4" w:space="0" w:color="auto"/>
              <w:right w:val="single" w:sz="4" w:space="0" w:color="auto"/>
            </w:tcBorders>
            <w:shd w:val="clear" w:color="auto" w:fill="auto"/>
            <w:noWrap/>
            <w:vAlign w:val="bottom"/>
            <w:hideMark/>
          </w:tcPr>
          <w:p w:rsidR="00242391" w:rsidRPr="00D764DD" w:rsidRDefault="00242391" w:rsidP="000826E3">
            <w:pPr>
              <w:jc w:val="left"/>
              <w:rPr>
                <w:color w:val="000000"/>
                <w:sz w:val="20"/>
                <w:szCs w:val="20"/>
                <w:lang w:val="en-US"/>
              </w:rPr>
            </w:pPr>
            <w:r w:rsidRPr="00D764DD">
              <w:rPr>
                <w:color w:val="000000"/>
                <w:sz w:val="20"/>
                <w:szCs w:val="20"/>
                <w:lang w:val="en-US"/>
              </w:rPr>
              <w:t>2016</w:t>
            </w:r>
          </w:p>
        </w:tc>
        <w:tc>
          <w:tcPr>
            <w:tcW w:w="978" w:type="pct"/>
            <w:tcBorders>
              <w:top w:val="nil"/>
              <w:left w:val="nil"/>
              <w:bottom w:val="single" w:sz="4" w:space="0" w:color="auto"/>
              <w:right w:val="single" w:sz="4" w:space="0" w:color="auto"/>
            </w:tcBorders>
            <w:shd w:val="clear" w:color="auto" w:fill="auto"/>
            <w:noWrap/>
            <w:vAlign w:val="center"/>
          </w:tcPr>
          <w:p w:rsidR="00242391" w:rsidRPr="00D764DD" w:rsidRDefault="00242391" w:rsidP="000826E3">
            <w:pPr>
              <w:jc w:val="right"/>
              <w:rPr>
                <w:sz w:val="20"/>
                <w:szCs w:val="20"/>
              </w:rPr>
            </w:pPr>
            <w:r w:rsidRPr="00D764DD">
              <w:rPr>
                <w:sz w:val="20"/>
                <w:szCs w:val="20"/>
              </w:rPr>
              <w:t>118,514</w:t>
            </w:r>
          </w:p>
        </w:tc>
        <w:tc>
          <w:tcPr>
            <w:tcW w:w="978" w:type="pct"/>
            <w:tcBorders>
              <w:top w:val="nil"/>
              <w:left w:val="nil"/>
              <w:bottom w:val="single" w:sz="4" w:space="0" w:color="auto"/>
              <w:right w:val="single" w:sz="4" w:space="0" w:color="auto"/>
            </w:tcBorders>
            <w:shd w:val="clear" w:color="auto" w:fill="auto"/>
            <w:noWrap/>
            <w:vAlign w:val="center"/>
          </w:tcPr>
          <w:p w:rsidR="00242391" w:rsidRPr="00D764DD" w:rsidRDefault="00242391" w:rsidP="000826E3">
            <w:pPr>
              <w:jc w:val="right"/>
              <w:rPr>
                <w:sz w:val="20"/>
                <w:szCs w:val="20"/>
              </w:rPr>
            </w:pPr>
            <w:r w:rsidRPr="00D764DD">
              <w:rPr>
                <w:sz w:val="20"/>
                <w:szCs w:val="20"/>
              </w:rPr>
              <w:t>36,325</w:t>
            </w:r>
          </w:p>
        </w:tc>
        <w:tc>
          <w:tcPr>
            <w:tcW w:w="978" w:type="pct"/>
            <w:tcBorders>
              <w:top w:val="nil"/>
              <w:left w:val="nil"/>
              <w:bottom w:val="single" w:sz="4" w:space="0" w:color="auto"/>
              <w:right w:val="single" w:sz="4" w:space="0" w:color="auto"/>
            </w:tcBorders>
            <w:shd w:val="clear" w:color="auto" w:fill="auto"/>
            <w:noWrap/>
            <w:vAlign w:val="center"/>
            <w:hideMark/>
          </w:tcPr>
          <w:p w:rsidR="00242391" w:rsidRPr="00D764DD" w:rsidRDefault="00242391" w:rsidP="000826E3">
            <w:pPr>
              <w:jc w:val="right"/>
              <w:rPr>
                <w:sz w:val="20"/>
                <w:szCs w:val="20"/>
              </w:rPr>
            </w:pPr>
            <w:r w:rsidRPr="00D764DD">
              <w:rPr>
                <w:sz w:val="20"/>
                <w:szCs w:val="20"/>
              </w:rPr>
              <w:t>154,839</w:t>
            </w:r>
          </w:p>
        </w:tc>
        <w:tc>
          <w:tcPr>
            <w:tcW w:w="1010" w:type="pct"/>
            <w:tcBorders>
              <w:top w:val="nil"/>
              <w:left w:val="nil"/>
              <w:bottom w:val="single" w:sz="4" w:space="0" w:color="auto"/>
              <w:right w:val="single" w:sz="4" w:space="0" w:color="auto"/>
            </w:tcBorders>
            <w:vAlign w:val="center"/>
          </w:tcPr>
          <w:p w:rsidR="00242391" w:rsidRPr="00D764DD" w:rsidRDefault="00242391" w:rsidP="000826E3">
            <w:pPr>
              <w:jc w:val="right"/>
              <w:rPr>
                <w:sz w:val="20"/>
                <w:szCs w:val="20"/>
              </w:rPr>
            </w:pPr>
            <w:r w:rsidRPr="00D764DD">
              <w:rPr>
                <w:sz w:val="20"/>
                <w:szCs w:val="20"/>
              </w:rPr>
              <w:t>20.10</w:t>
            </w:r>
          </w:p>
        </w:tc>
      </w:tr>
      <w:tr w:rsidR="00242391" w:rsidRPr="00D764DD" w:rsidTr="000826E3">
        <w:trPr>
          <w:trHeight w:val="134"/>
        </w:trPr>
        <w:tc>
          <w:tcPr>
            <w:tcW w:w="1056" w:type="pct"/>
            <w:tcBorders>
              <w:top w:val="nil"/>
              <w:left w:val="single" w:sz="4" w:space="0" w:color="auto"/>
              <w:bottom w:val="single" w:sz="4" w:space="0" w:color="auto"/>
              <w:right w:val="single" w:sz="4" w:space="0" w:color="auto"/>
            </w:tcBorders>
            <w:shd w:val="clear" w:color="auto" w:fill="auto"/>
            <w:noWrap/>
            <w:vAlign w:val="bottom"/>
            <w:hideMark/>
          </w:tcPr>
          <w:p w:rsidR="00242391" w:rsidRPr="00D764DD" w:rsidRDefault="00242391" w:rsidP="000826E3">
            <w:pPr>
              <w:jc w:val="left"/>
              <w:rPr>
                <w:color w:val="000000"/>
                <w:sz w:val="20"/>
                <w:szCs w:val="20"/>
                <w:lang w:val="en-US"/>
              </w:rPr>
            </w:pPr>
            <w:r w:rsidRPr="00D764DD">
              <w:rPr>
                <w:color w:val="000000"/>
                <w:sz w:val="20"/>
                <w:szCs w:val="20"/>
                <w:lang w:val="en-US"/>
              </w:rPr>
              <w:t>2017</w:t>
            </w:r>
          </w:p>
        </w:tc>
        <w:tc>
          <w:tcPr>
            <w:tcW w:w="978" w:type="pct"/>
            <w:tcBorders>
              <w:top w:val="nil"/>
              <w:left w:val="nil"/>
              <w:bottom w:val="single" w:sz="4" w:space="0" w:color="auto"/>
              <w:right w:val="single" w:sz="4" w:space="0" w:color="auto"/>
            </w:tcBorders>
            <w:shd w:val="clear" w:color="auto" w:fill="auto"/>
            <w:noWrap/>
            <w:vAlign w:val="center"/>
          </w:tcPr>
          <w:p w:rsidR="00242391" w:rsidRPr="00D764DD" w:rsidRDefault="00242391" w:rsidP="000826E3">
            <w:pPr>
              <w:jc w:val="right"/>
              <w:rPr>
                <w:sz w:val="20"/>
                <w:szCs w:val="20"/>
              </w:rPr>
            </w:pPr>
            <w:r w:rsidRPr="00D764DD">
              <w:rPr>
                <w:sz w:val="20"/>
                <w:szCs w:val="20"/>
              </w:rPr>
              <w:t>105,645</w:t>
            </w:r>
          </w:p>
        </w:tc>
        <w:tc>
          <w:tcPr>
            <w:tcW w:w="978" w:type="pct"/>
            <w:tcBorders>
              <w:top w:val="nil"/>
              <w:left w:val="nil"/>
              <w:bottom w:val="single" w:sz="4" w:space="0" w:color="auto"/>
              <w:right w:val="single" w:sz="4" w:space="0" w:color="auto"/>
            </w:tcBorders>
            <w:shd w:val="clear" w:color="auto" w:fill="auto"/>
            <w:noWrap/>
            <w:vAlign w:val="center"/>
          </w:tcPr>
          <w:p w:rsidR="00242391" w:rsidRPr="00D764DD" w:rsidRDefault="00242391" w:rsidP="000826E3">
            <w:pPr>
              <w:jc w:val="right"/>
              <w:rPr>
                <w:sz w:val="20"/>
                <w:szCs w:val="20"/>
              </w:rPr>
            </w:pPr>
            <w:r w:rsidRPr="00D764DD">
              <w:rPr>
                <w:sz w:val="20"/>
                <w:szCs w:val="20"/>
              </w:rPr>
              <w:t>41,331</w:t>
            </w:r>
          </w:p>
        </w:tc>
        <w:tc>
          <w:tcPr>
            <w:tcW w:w="978" w:type="pct"/>
            <w:tcBorders>
              <w:top w:val="nil"/>
              <w:left w:val="nil"/>
              <w:bottom w:val="single" w:sz="4" w:space="0" w:color="auto"/>
              <w:right w:val="single" w:sz="4" w:space="0" w:color="auto"/>
            </w:tcBorders>
            <w:shd w:val="clear" w:color="auto" w:fill="auto"/>
            <w:noWrap/>
            <w:vAlign w:val="center"/>
            <w:hideMark/>
          </w:tcPr>
          <w:p w:rsidR="00242391" w:rsidRPr="00D764DD" w:rsidRDefault="00242391" w:rsidP="000826E3">
            <w:pPr>
              <w:jc w:val="right"/>
              <w:rPr>
                <w:sz w:val="20"/>
                <w:szCs w:val="20"/>
              </w:rPr>
            </w:pPr>
            <w:r w:rsidRPr="00D764DD">
              <w:rPr>
                <w:sz w:val="20"/>
                <w:szCs w:val="20"/>
              </w:rPr>
              <w:t>146,976</w:t>
            </w:r>
          </w:p>
        </w:tc>
        <w:tc>
          <w:tcPr>
            <w:tcW w:w="1010" w:type="pct"/>
            <w:tcBorders>
              <w:top w:val="nil"/>
              <w:left w:val="nil"/>
              <w:bottom w:val="single" w:sz="4" w:space="0" w:color="auto"/>
              <w:right w:val="single" w:sz="4" w:space="0" w:color="auto"/>
            </w:tcBorders>
            <w:vAlign w:val="center"/>
          </w:tcPr>
          <w:p w:rsidR="00242391" w:rsidRPr="00D764DD" w:rsidRDefault="00242391" w:rsidP="000826E3">
            <w:pPr>
              <w:jc w:val="right"/>
              <w:rPr>
                <w:sz w:val="20"/>
                <w:szCs w:val="20"/>
              </w:rPr>
            </w:pPr>
            <w:r w:rsidRPr="00D764DD">
              <w:rPr>
                <w:sz w:val="20"/>
                <w:szCs w:val="20"/>
              </w:rPr>
              <w:t>19.80</w:t>
            </w:r>
          </w:p>
        </w:tc>
      </w:tr>
    </w:tbl>
    <w:p w:rsidR="00242391" w:rsidRDefault="00242391" w:rsidP="000826E3">
      <w:pPr>
        <w:rPr>
          <w:lang w:val="en-CA"/>
        </w:rPr>
      </w:pPr>
    </w:p>
    <w:p w:rsidR="00242391" w:rsidRDefault="00242391" w:rsidP="000826E3">
      <w:pPr>
        <w:rPr>
          <w:u w:val="single"/>
          <w:lang w:val="en-CA"/>
        </w:rPr>
      </w:pPr>
      <w:r w:rsidRPr="006B2E20">
        <w:rPr>
          <w:u w:val="single"/>
          <w:lang w:val="en-CA"/>
        </w:rPr>
        <w:t>Project description</w:t>
      </w:r>
    </w:p>
    <w:p w:rsidR="00242391" w:rsidRPr="006B2E20" w:rsidRDefault="00242391" w:rsidP="000826E3">
      <w:pPr>
        <w:rPr>
          <w:u w:val="single"/>
          <w:lang w:val="en-CA"/>
        </w:rPr>
      </w:pPr>
    </w:p>
    <w:p w:rsidR="00242391" w:rsidRPr="003177BB" w:rsidRDefault="00242391" w:rsidP="000826E3">
      <w:pPr>
        <w:pStyle w:val="Heading1"/>
        <w:tabs>
          <w:tab w:val="clear" w:pos="142"/>
          <w:tab w:val="num" w:pos="0"/>
        </w:tabs>
        <w:ind w:left="0"/>
        <w:rPr>
          <w:lang w:val="en-CA"/>
        </w:rPr>
      </w:pPr>
      <w:proofErr w:type="spellStart"/>
      <w:r w:rsidRPr="00EF37E4">
        <w:rPr>
          <w:lang w:val="en-CA"/>
        </w:rPr>
        <w:t>Induglob</w:t>
      </w:r>
      <w:proofErr w:type="spellEnd"/>
      <w:r w:rsidRPr="00EF37E4">
        <w:rPr>
          <w:lang w:val="en-CA"/>
        </w:rPr>
        <w:t xml:space="preserve"> is already converting one of its two manufacturing lines to R-600a; at present, this conversion is 50 per cent executed. Consequently, the present proposal is only requesting funds for the conversion of </w:t>
      </w:r>
      <w:proofErr w:type="gramStart"/>
      <w:r w:rsidRPr="00EF37E4">
        <w:rPr>
          <w:lang w:val="en-CA"/>
        </w:rPr>
        <w:t>one line</w:t>
      </w:r>
      <w:proofErr w:type="gramEnd"/>
      <w:r w:rsidRPr="00EF37E4">
        <w:rPr>
          <w:lang w:val="en-CA"/>
        </w:rPr>
        <w:t xml:space="preserve"> manufacturing commercial refrigerators.</w:t>
      </w:r>
    </w:p>
    <w:p w:rsidR="00242391" w:rsidRPr="000826E3" w:rsidRDefault="00242391" w:rsidP="000826E3">
      <w:pPr>
        <w:pStyle w:val="Heading1"/>
        <w:tabs>
          <w:tab w:val="clear" w:pos="142"/>
          <w:tab w:val="num" w:pos="0"/>
        </w:tabs>
        <w:ind w:left="0"/>
        <w:rPr>
          <w:lang w:val="en-US"/>
        </w:rPr>
      </w:pPr>
      <w:r>
        <w:rPr>
          <w:lang w:val="en-US"/>
        </w:rPr>
        <w:t>T</w:t>
      </w:r>
      <w:r w:rsidRPr="00373629">
        <w:rPr>
          <w:lang w:val="en-US"/>
        </w:rPr>
        <w:t xml:space="preserve">he currently available replacements </w:t>
      </w:r>
      <w:r>
        <w:rPr>
          <w:lang w:val="en-US"/>
        </w:rPr>
        <w:t>for</w:t>
      </w:r>
      <w:r w:rsidR="001A2C2E">
        <w:rPr>
          <w:lang w:val="en-US"/>
        </w:rPr>
        <w:t xml:space="preserve"> HFC-based capacity</w:t>
      </w:r>
      <w:r w:rsidRPr="006074A2">
        <w:rPr>
          <w:lang w:val="en-US"/>
        </w:rPr>
        <w:t xml:space="preserve"> are HCs (R</w:t>
      </w:r>
      <w:r w:rsidRPr="006074A2">
        <w:rPr>
          <w:lang w:val="en-US"/>
        </w:rPr>
        <w:noBreakHyphen/>
        <w:t>290 and R-600a), HFOs and their blends. R-290 and R-60</w:t>
      </w:r>
      <w:r w:rsidRPr="000826E3">
        <w:rPr>
          <w:lang w:val="en-US"/>
        </w:rPr>
        <w:t>0a have been selected as they: have zero ODP and very low global</w:t>
      </w:r>
      <w:r w:rsidR="00416F75">
        <w:rPr>
          <w:lang w:val="en-US"/>
        </w:rPr>
        <w:noBreakHyphen/>
      </w:r>
      <w:r w:rsidRPr="000826E3">
        <w:rPr>
          <w:lang w:val="en-US"/>
        </w:rPr>
        <w:t xml:space="preserve">warming potential (GWP); are proven, commercially available, </w:t>
      </w:r>
      <w:r w:rsidR="001A2C2E" w:rsidRPr="000826E3">
        <w:rPr>
          <w:lang w:val="en-US"/>
        </w:rPr>
        <w:t xml:space="preserve">and </w:t>
      </w:r>
      <w:r w:rsidRPr="000826E3">
        <w:rPr>
          <w:lang w:val="en-US"/>
        </w:rPr>
        <w:t xml:space="preserve">internationally accepted; require the use of 40 per cent less refrigerant; use mineral oil; </w:t>
      </w:r>
      <w:r w:rsidR="00352E61" w:rsidRPr="000826E3">
        <w:rPr>
          <w:lang w:val="en-US"/>
        </w:rPr>
        <w:t xml:space="preserve">have low </w:t>
      </w:r>
      <w:r w:rsidRPr="000826E3">
        <w:rPr>
          <w:lang w:val="en-US"/>
        </w:rPr>
        <w:t xml:space="preserve">corrosiveness; enhance overall technical reliability and performance; and reduce operating noise. In addition, the enterprise has experience in manufacturing panels with pre-blended HCs. </w:t>
      </w:r>
    </w:p>
    <w:p w:rsidR="00242391" w:rsidRPr="00E073D1" w:rsidRDefault="00242391" w:rsidP="000826E3">
      <w:pPr>
        <w:pStyle w:val="Heading1"/>
        <w:tabs>
          <w:tab w:val="clear" w:pos="142"/>
          <w:tab w:val="num" w:pos="0"/>
        </w:tabs>
        <w:ind w:left="0"/>
      </w:pPr>
      <w:r w:rsidRPr="000826E3">
        <w:t>Given the flammability of R-290 and R-600a, changes are required in the manufacturing process, in the refrigerant storage and supply and in the products. The conversion contains two main components for which funds are being requeste</w:t>
      </w:r>
      <w:r w:rsidRPr="00E073D1">
        <w:t xml:space="preserve">d: </w:t>
      </w:r>
    </w:p>
    <w:p w:rsidR="00242391" w:rsidRPr="00771CBD" w:rsidRDefault="00242391" w:rsidP="00242391">
      <w:pPr>
        <w:pStyle w:val="Heading2"/>
      </w:pPr>
      <w:r w:rsidRPr="00E073D1">
        <w:t xml:space="preserve">Product </w:t>
      </w:r>
      <w:r>
        <w:t>redesign for the new refrigerant and</w:t>
      </w:r>
      <w:r w:rsidRPr="00E073D1">
        <w:t xml:space="preserve"> pilot </w:t>
      </w:r>
      <w:r w:rsidRPr="00771CBD">
        <w:t xml:space="preserve">production of </w:t>
      </w:r>
      <w:r w:rsidR="00352E61">
        <w:t>26</w:t>
      </w:r>
      <w:r w:rsidRPr="00771CBD">
        <w:t xml:space="preserve"> products (</w:t>
      </w:r>
      <w:r w:rsidR="00C52303">
        <w:t>US $</w:t>
      </w:r>
      <w:r w:rsidR="00352E61">
        <w:t>39</w:t>
      </w:r>
      <w:r w:rsidRPr="00771CBD">
        <w:t>,000);</w:t>
      </w:r>
    </w:p>
    <w:p w:rsidR="00242391" w:rsidRPr="00E73A27" w:rsidRDefault="00242391" w:rsidP="00242391">
      <w:pPr>
        <w:pStyle w:val="Heading2"/>
      </w:pPr>
      <w:r w:rsidRPr="00E073D1">
        <w:t>Replace</w:t>
      </w:r>
      <w:r w:rsidRPr="00E73A27">
        <w:t>ment of manufacturing equipment, including adaptation of the assembly line; introduction of one refrigerant charging station suited to R-290, along with a refrigerant booster pump, safety control systems, ventilation and an antistatic floor; one ultrasonic welding machine; one helium leak-detection system; one HC recov</w:t>
      </w:r>
      <w:r w:rsidR="00954D06" w:rsidRPr="00E73A27">
        <w:t>ery unit and four hand</w:t>
      </w:r>
      <w:r w:rsidRPr="00E73A27">
        <w:t>held leak detectors for product leak tests; contingencies; safety certification; training; and installation (</w:t>
      </w:r>
      <w:r w:rsidR="00C52303" w:rsidRPr="00E73A27">
        <w:t>US $</w:t>
      </w:r>
      <w:r w:rsidRPr="00E73A27">
        <w:t>295,370).</w:t>
      </w:r>
    </w:p>
    <w:p w:rsidR="00242391" w:rsidRPr="00E73A27" w:rsidRDefault="00242391" w:rsidP="00242391">
      <w:pPr>
        <w:rPr>
          <w:u w:val="single"/>
        </w:rPr>
      </w:pPr>
      <w:r w:rsidRPr="00E73A27">
        <w:rPr>
          <w:u w:val="single"/>
        </w:rPr>
        <w:t xml:space="preserve">Project costs </w:t>
      </w:r>
    </w:p>
    <w:p w:rsidR="00242391" w:rsidRPr="00E73A27" w:rsidRDefault="00242391" w:rsidP="00242391"/>
    <w:p w:rsidR="00242391" w:rsidRPr="00E73A27" w:rsidRDefault="00242391" w:rsidP="00242391">
      <w:pPr>
        <w:pStyle w:val="Heading1"/>
        <w:tabs>
          <w:tab w:val="clear" w:pos="142"/>
          <w:tab w:val="num" w:pos="0"/>
        </w:tabs>
        <w:ind w:left="0"/>
      </w:pPr>
      <w:r w:rsidRPr="00E73A27">
        <w:t xml:space="preserve">The incremental capital costs (ICCs), as originally submitted, stood at </w:t>
      </w:r>
      <w:r w:rsidR="00C52303" w:rsidRPr="00E73A27">
        <w:t>US $</w:t>
      </w:r>
      <w:r w:rsidR="00352E61" w:rsidRPr="00E73A27">
        <w:t>334,370</w:t>
      </w:r>
      <w:r w:rsidRPr="00E73A27">
        <w:t xml:space="preserve"> as shown in Table </w:t>
      </w:r>
      <w:r w:rsidR="0084724A" w:rsidRPr="00E73A27">
        <w:t>9</w:t>
      </w:r>
      <w:r w:rsidRPr="00E73A27">
        <w:t>.</w:t>
      </w:r>
    </w:p>
    <w:p w:rsidR="00242391" w:rsidRPr="00E73A27" w:rsidRDefault="00242391" w:rsidP="00242391">
      <w:pPr>
        <w:keepNext/>
        <w:autoSpaceDE w:val="0"/>
        <w:autoSpaceDN w:val="0"/>
        <w:adjustRightInd w:val="0"/>
        <w:rPr>
          <w:b/>
        </w:rPr>
      </w:pPr>
      <w:r w:rsidRPr="00E73A27">
        <w:rPr>
          <w:b/>
        </w:rPr>
        <w:t xml:space="preserve">Table </w:t>
      </w:r>
      <w:r w:rsidR="0084724A" w:rsidRPr="00E73A27">
        <w:rPr>
          <w:b/>
        </w:rPr>
        <w:t>9.</w:t>
      </w:r>
      <w:r w:rsidRPr="00E73A27">
        <w:rPr>
          <w:b/>
        </w:rPr>
        <w:t xml:space="preserve"> </w:t>
      </w:r>
      <w:r w:rsidR="00352E61" w:rsidRPr="00E73A27">
        <w:rPr>
          <w:b/>
        </w:rPr>
        <w:t xml:space="preserve">ICC for the </w:t>
      </w:r>
      <w:r w:rsidRPr="00E73A27">
        <w:rPr>
          <w:b/>
        </w:rPr>
        <w:t xml:space="preserve">conversion of domestic and commercial refrigerators </w:t>
      </w:r>
      <w:r w:rsidR="007F568D" w:rsidRPr="00E73A27">
        <w:rPr>
          <w:b/>
        </w:rPr>
        <w:t xml:space="preserve">manufacturing </w:t>
      </w:r>
      <w:r w:rsidR="00352E61" w:rsidRPr="00E73A27">
        <w:rPr>
          <w:b/>
        </w:rPr>
        <w:t>at</w:t>
      </w:r>
      <w:r w:rsidRPr="00E73A27">
        <w:rPr>
          <w:b/>
        </w:rPr>
        <w:t xml:space="preserve"> </w:t>
      </w:r>
      <w:proofErr w:type="spellStart"/>
      <w:r w:rsidRPr="00E73A27">
        <w:rPr>
          <w:b/>
        </w:rPr>
        <w:t>Induglob</w:t>
      </w:r>
      <w:proofErr w:type="spellEnd"/>
      <w:r w:rsidRPr="00E73A27">
        <w:rPr>
          <w:b/>
        </w:rPr>
        <w:t xml:space="preserve"> </w:t>
      </w:r>
    </w:p>
    <w:tbl>
      <w:tblPr>
        <w:tblW w:w="9292" w:type="dxa"/>
        <w:tblInd w:w="-5" w:type="dxa"/>
        <w:tblLook w:val="04A0" w:firstRow="1" w:lastRow="0" w:firstColumn="1" w:lastColumn="0" w:noHBand="0" w:noVBand="1"/>
      </w:tblPr>
      <w:tblGrid>
        <w:gridCol w:w="4950"/>
        <w:gridCol w:w="1618"/>
        <w:gridCol w:w="1362"/>
        <w:gridCol w:w="1362"/>
      </w:tblGrid>
      <w:tr w:rsidR="00242391" w:rsidRPr="00E73A27" w:rsidTr="0084724A">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Item</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Units</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Unit cost</w:t>
            </w:r>
          </w:p>
          <w:p w:rsidR="00242391" w:rsidRPr="00E73A27" w:rsidRDefault="00242391" w:rsidP="000D7AE5">
            <w:pPr>
              <w:jc w:val="center"/>
              <w:rPr>
                <w:b/>
                <w:bCs/>
                <w:color w:val="000000"/>
                <w:sz w:val="20"/>
                <w:szCs w:val="20"/>
                <w:lang w:val="en-US"/>
              </w:rPr>
            </w:pPr>
            <w:r w:rsidRPr="00E73A27">
              <w:rPr>
                <w:b/>
                <w:bCs/>
                <w:color w:val="000000"/>
                <w:sz w:val="20"/>
                <w:szCs w:val="20"/>
                <w:lang w:val="en-US"/>
              </w:rPr>
              <w:t>(</w:t>
            </w:r>
            <w:r w:rsidR="00C52303" w:rsidRPr="00E73A27">
              <w:rPr>
                <w:b/>
                <w:bCs/>
                <w:color w:val="000000"/>
                <w:sz w:val="20"/>
                <w:szCs w:val="20"/>
                <w:lang w:val="en-US"/>
              </w:rPr>
              <w:t>US $</w:t>
            </w:r>
            <w:r w:rsidRPr="00E73A27">
              <w:rPr>
                <w:b/>
                <w:bCs/>
                <w:color w:val="000000"/>
                <w:sz w:val="20"/>
                <w:szCs w:val="20"/>
                <w:lang w:val="en-US"/>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Total cost</w:t>
            </w:r>
          </w:p>
          <w:p w:rsidR="00242391" w:rsidRPr="00E73A27" w:rsidRDefault="00242391" w:rsidP="000D7AE5">
            <w:pPr>
              <w:jc w:val="center"/>
              <w:rPr>
                <w:b/>
                <w:bCs/>
                <w:color w:val="000000"/>
                <w:sz w:val="20"/>
                <w:szCs w:val="20"/>
                <w:lang w:val="en-US"/>
              </w:rPr>
            </w:pPr>
            <w:r w:rsidRPr="00E73A27">
              <w:rPr>
                <w:b/>
                <w:bCs/>
                <w:color w:val="000000"/>
                <w:sz w:val="20"/>
                <w:szCs w:val="20"/>
                <w:lang w:val="en-US"/>
              </w:rPr>
              <w:t>(</w:t>
            </w:r>
            <w:r w:rsidR="00C52303" w:rsidRPr="00E73A27">
              <w:rPr>
                <w:b/>
                <w:bCs/>
                <w:color w:val="000000"/>
                <w:sz w:val="20"/>
                <w:szCs w:val="20"/>
                <w:lang w:val="en-US"/>
              </w:rPr>
              <w:t>US $</w:t>
            </w:r>
            <w:r w:rsidRPr="00E73A27">
              <w:rPr>
                <w:b/>
                <w:bCs/>
                <w:color w:val="000000"/>
                <w:sz w:val="20"/>
                <w:szCs w:val="20"/>
                <w:lang w:val="en-US"/>
              </w:rPr>
              <w:t>)</w:t>
            </w:r>
          </w:p>
        </w:tc>
      </w:tr>
      <w:tr w:rsidR="00242391" w:rsidRPr="00E73A27" w:rsidTr="0084724A">
        <w:tc>
          <w:tcPr>
            <w:tcW w:w="92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b/>
                <w:bCs/>
                <w:color w:val="000000"/>
                <w:sz w:val="20"/>
                <w:szCs w:val="20"/>
                <w:lang w:val="en-US"/>
              </w:rPr>
            </w:pPr>
            <w:r w:rsidRPr="00E73A27">
              <w:rPr>
                <w:b/>
                <w:bCs/>
                <w:color w:val="000000"/>
                <w:sz w:val="20"/>
                <w:szCs w:val="20"/>
                <w:lang w:val="en-US"/>
              </w:rPr>
              <w:t>1. General product redesign</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Platform redesign</w:t>
            </w:r>
          </w:p>
        </w:tc>
        <w:tc>
          <w:tcPr>
            <w:tcW w:w="1613" w:type="dxa"/>
            <w:tcBorders>
              <w:top w:val="nil"/>
              <w:left w:val="nil"/>
              <w:bottom w:val="single" w:sz="4" w:space="0" w:color="auto"/>
              <w:right w:val="single" w:sz="4" w:space="0" w:color="auto"/>
            </w:tcBorders>
            <w:shd w:val="clear" w:color="auto" w:fill="auto"/>
            <w:vAlign w:val="center"/>
            <w:hideMark/>
          </w:tcPr>
          <w:p w:rsidR="00242391" w:rsidRPr="00E73A27" w:rsidRDefault="00242391" w:rsidP="000D7AE5">
            <w:pPr>
              <w:jc w:val="center"/>
              <w:rPr>
                <w:color w:val="000000"/>
                <w:sz w:val="20"/>
                <w:szCs w:val="20"/>
                <w:lang w:val="en-US"/>
              </w:rPr>
            </w:pPr>
            <w:r w:rsidRPr="00E73A27">
              <w:rPr>
                <w:color w:val="000000"/>
                <w:sz w:val="20"/>
                <w:szCs w:val="20"/>
                <w:lang w:val="en-US"/>
              </w:rPr>
              <w:t>26</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1,500</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39,000</w:t>
            </w:r>
          </w:p>
        </w:tc>
      </w:tr>
      <w:tr w:rsidR="00242391" w:rsidRPr="00E73A27" w:rsidTr="0084724A">
        <w:tc>
          <w:tcPr>
            <w:tcW w:w="7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Total product design and trials</w:t>
            </w:r>
          </w:p>
        </w:tc>
        <w:tc>
          <w:tcPr>
            <w:tcW w:w="1362" w:type="dxa"/>
            <w:tcBorders>
              <w:top w:val="nil"/>
              <w:left w:val="nil"/>
              <w:bottom w:val="single" w:sz="4" w:space="0" w:color="auto"/>
              <w:right w:val="single" w:sz="4" w:space="0" w:color="auto"/>
            </w:tcBorders>
            <w:shd w:val="clear" w:color="auto" w:fill="auto"/>
            <w:vAlign w:val="center"/>
            <w:hideMark/>
          </w:tcPr>
          <w:p w:rsidR="00242391" w:rsidRPr="00E73A27" w:rsidRDefault="00242391" w:rsidP="000D7AE5">
            <w:pPr>
              <w:jc w:val="right"/>
              <w:rPr>
                <w:b/>
                <w:bCs/>
                <w:color w:val="000000"/>
                <w:sz w:val="20"/>
                <w:szCs w:val="20"/>
                <w:lang w:val="en-US"/>
              </w:rPr>
            </w:pPr>
          </w:p>
        </w:tc>
      </w:tr>
      <w:tr w:rsidR="00242391" w:rsidRPr="00E73A27" w:rsidTr="0084724A">
        <w:tc>
          <w:tcPr>
            <w:tcW w:w="6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rPr>
                <w:b/>
                <w:bCs/>
                <w:color w:val="000000"/>
                <w:sz w:val="20"/>
                <w:szCs w:val="20"/>
                <w:lang w:val="en-US"/>
              </w:rPr>
            </w:pPr>
            <w:r w:rsidRPr="00E73A27">
              <w:rPr>
                <w:b/>
                <w:bCs/>
                <w:color w:val="000000"/>
                <w:sz w:val="20"/>
                <w:szCs w:val="20"/>
                <w:lang w:val="en-US"/>
              </w:rPr>
              <w:t>2. Production equipment</w:t>
            </w:r>
          </w:p>
        </w:tc>
        <w:tc>
          <w:tcPr>
            <w:tcW w:w="1362" w:type="dxa"/>
            <w:tcBorders>
              <w:top w:val="nil"/>
              <w:left w:val="nil"/>
              <w:bottom w:val="single" w:sz="4" w:space="0" w:color="auto"/>
              <w:right w:val="single" w:sz="4" w:space="0" w:color="auto"/>
            </w:tcBorders>
            <w:shd w:val="clear" w:color="auto" w:fill="auto"/>
            <w:vAlign w:val="center"/>
            <w:hideMark/>
          </w:tcPr>
          <w:p w:rsidR="00242391" w:rsidRPr="00E73A27" w:rsidRDefault="00242391" w:rsidP="000D7AE5">
            <w:pPr>
              <w:jc w:val="center"/>
              <w:rPr>
                <w:color w:val="000000"/>
                <w:sz w:val="20"/>
                <w:szCs w:val="20"/>
                <w:lang w:val="en-US"/>
              </w:rPr>
            </w:pP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center"/>
              <w:rPr>
                <w:sz w:val="20"/>
                <w:szCs w:val="20"/>
              </w:rPr>
            </w:pP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Adaptation of assembly line</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8,000</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8,000</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Charging machine for R-290, explosion-proof</w:t>
            </w:r>
          </w:p>
        </w:tc>
        <w:tc>
          <w:tcPr>
            <w:tcW w:w="1613" w:type="dxa"/>
            <w:tcBorders>
              <w:top w:val="nil"/>
              <w:left w:val="single" w:sz="4" w:space="0" w:color="auto"/>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single" w:sz="4" w:space="0" w:color="auto"/>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48,000 </w:t>
            </w:r>
          </w:p>
        </w:tc>
        <w:tc>
          <w:tcPr>
            <w:tcW w:w="1362" w:type="dxa"/>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48,000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Safety control system for the charging area</w:t>
            </w:r>
          </w:p>
        </w:tc>
        <w:tc>
          <w:tcPr>
            <w:tcW w:w="1613" w:type="dxa"/>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center"/>
              <w:rPr>
                <w:color w:val="000000"/>
                <w:sz w:val="20"/>
                <w:szCs w:val="20"/>
                <w:lang w:val="en-US"/>
              </w:rPr>
            </w:pPr>
            <w:r w:rsidRPr="00E73A27">
              <w:rPr>
                <w:color w:val="000000"/>
                <w:sz w:val="20"/>
                <w:szCs w:val="20"/>
                <w:lang w:val="en-US"/>
              </w:rPr>
              <w:t>1</w:t>
            </w:r>
          </w:p>
        </w:tc>
        <w:tc>
          <w:tcPr>
            <w:tcW w:w="1362" w:type="dxa"/>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38,000 </w:t>
            </w:r>
          </w:p>
        </w:tc>
        <w:tc>
          <w:tcPr>
            <w:tcW w:w="1362" w:type="dxa"/>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38,000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Refrigerant booster pump, pneumatic</w:t>
            </w:r>
          </w:p>
        </w:tc>
        <w:tc>
          <w:tcPr>
            <w:tcW w:w="1613" w:type="dxa"/>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center"/>
              <w:rPr>
                <w:color w:val="000000"/>
                <w:sz w:val="20"/>
                <w:szCs w:val="20"/>
                <w:lang w:val="en-US"/>
              </w:rPr>
            </w:pPr>
            <w:r w:rsidRPr="00E73A27">
              <w:rPr>
                <w:color w:val="000000"/>
                <w:sz w:val="20"/>
                <w:szCs w:val="20"/>
                <w:lang w:val="en-US"/>
              </w:rPr>
              <w:t>1</w:t>
            </w:r>
          </w:p>
        </w:tc>
        <w:tc>
          <w:tcPr>
            <w:tcW w:w="1362" w:type="dxa"/>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8,000 </w:t>
            </w:r>
          </w:p>
        </w:tc>
        <w:tc>
          <w:tcPr>
            <w:tcW w:w="1362" w:type="dxa"/>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8,000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Safety ventilation</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15,000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15,000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 xml:space="preserve">HC leak detector, plus calibration unit </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0</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w:t>
            </w:r>
            <w:r w:rsidR="00C52303" w:rsidRPr="00E73A27">
              <w:rPr>
                <w:sz w:val="20"/>
                <w:szCs w:val="20"/>
              </w:rPr>
              <w:t xml:space="preserve"> </w:t>
            </w:r>
            <w:r w:rsidRPr="00E73A27">
              <w:rPr>
                <w:sz w:val="20"/>
                <w:szCs w:val="20"/>
              </w:rPr>
              <w:t xml:space="preserve">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w:t>
            </w:r>
            <w:r w:rsidR="00C52303" w:rsidRPr="00E73A27">
              <w:rPr>
                <w:sz w:val="20"/>
                <w:szCs w:val="20"/>
              </w:rPr>
              <w:t xml:space="preserve"> </w:t>
            </w:r>
            <w:r w:rsidRPr="00E73A27">
              <w:rPr>
                <w:sz w:val="20"/>
                <w:szCs w:val="20"/>
              </w:rPr>
              <w:t xml:space="preserve">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Ultrasonic welding machine</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30,000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30,000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Antistatic floor</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3,800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3,800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HC recovery machine, explosion-proof</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3,500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3,500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Helium charging unit</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20,000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20,000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Helium recovery/recycling unit</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20,000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20,000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Helium leak detector, plus calibration</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15,000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15,000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954D06" w:rsidP="000D7AE5">
            <w:pPr>
              <w:ind w:left="251"/>
              <w:jc w:val="left"/>
              <w:rPr>
                <w:color w:val="000000"/>
                <w:sz w:val="20"/>
                <w:szCs w:val="20"/>
                <w:lang w:val="en-US"/>
              </w:rPr>
            </w:pPr>
            <w:r w:rsidRPr="00E73A27">
              <w:rPr>
                <w:color w:val="000000"/>
                <w:sz w:val="20"/>
                <w:szCs w:val="20"/>
                <w:lang w:val="en-US"/>
              </w:rPr>
              <w:t xml:space="preserve">Handheld HC leak </w:t>
            </w:r>
            <w:r w:rsidR="00242391" w:rsidRPr="00E73A27">
              <w:rPr>
                <w:color w:val="000000"/>
                <w:sz w:val="20"/>
                <w:szCs w:val="20"/>
                <w:lang w:val="en-US"/>
              </w:rPr>
              <w:t>detectors</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4</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400 </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1,600 </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Refrigerant storage area, including safety items</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416F75" w:rsidP="00416F75">
            <w:pPr>
              <w:jc w:val="right"/>
              <w:rPr>
                <w:sz w:val="20"/>
                <w:szCs w:val="20"/>
              </w:rPr>
            </w:pPr>
            <w:r>
              <w:rPr>
                <w:sz w:val="20"/>
                <w:szCs w:val="20"/>
              </w:rPr>
              <w:t>26,8</w:t>
            </w:r>
            <w:r w:rsidR="00242391" w:rsidRPr="00E73A27">
              <w:rPr>
                <w:sz w:val="20"/>
                <w:szCs w:val="20"/>
              </w:rPr>
              <w:t>00</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416F75" w:rsidP="000D7AE5">
            <w:pPr>
              <w:jc w:val="right"/>
              <w:rPr>
                <w:sz w:val="20"/>
                <w:szCs w:val="20"/>
              </w:rPr>
            </w:pPr>
            <w:r>
              <w:rPr>
                <w:sz w:val="20"/>
                <w:szCs w:val="20"/>
              </w:rPr>
              <w:t>26,8</w:t>
            </w:r>
            <w:r w:rsidR="00242391" w:rsidRPr="00E73A27">
              <w:rPr>
                <w:sz w:val="20"/>
                <w:szCs w:val="20"/>
              </w:rPr>
              <w:t>00</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b/>
                <w:bCs/>
                <w:color w:val="000000"/>
                <w:sz w:val="20"/>
                <w:szCs w:val="20"/>
                <w:lang w:val="en-US"/>
              </w:rPr>
            </w:pPr>
            <w:r w:rsidRPr="00E73A27">
              <w:rPr>
                <w:b/>
                <w:bCs/>
                <w:color w:val="000000"/>
                <w:sz w:val="20"/>
                <w:szCs w:val="20"/>
                <w:lang w:val="en-US"/>
              </w:rPr>
              <w:t>Subtotal equipment costs</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E73A27" w:rsidRDefault="00242391" w:rsidP="000D7AE5">
            <w:pPr>
              <w:jc w:val="left"/>
              <w:rPr>
                <w:color w:val="000000"/>
                <w:sz w:val="20"/>
                <w:szCs w:val="20"/>
                <w:lang w:val="en-US"/>
              </w:rPr>
            </w:pPr>
            <w:r w:rsidRPr="00E73A27">
              <w:rPr>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E73A27" w:rsidRDefault="00242391" w:rsidP="000D7AE5">
            <w:pPr>
              <w:jc w:val="right"/>
              <w:rPr>
                <w:b/>
                <w:bCs/>
                <w:color w:val="000000"/>
                <w:sz w:val="20"/>
                <w:szCs w:val="20"/>
                <w:lang w:val="en-US"/>
              </w:rPr>
            </w:pPr>
            <w:r w:rsidRPr="00E73A27">
              <w:rPr>
                <w:b/>
                <w:bCs/>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b/>
                <w:sz w:val="20"/>
                <w:szCs w:val="20"/>
              </w:rPr>
            </w:pPr>
            <w:r w:rsidRPr="00E73A27">
              <w:rPr>
                <w:b/>
                <w:sz w:val="20"/>
                <w:szCs w:val="20"/>
              </w:rPr>
              <w:t>237,700</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color w:val="000000"/>
                <w:sz w:val="20"/>
                <w:szCs w:val="20"/>
                <w:lang w:val="en-US"/>
              </w:rPr>
            </w:pPr>
            <w:r w:rsidRPr="00E73A27">
              <w:rPr>
                <w:color w:val="000000"/>
                <w:sz w:val="20"/>
                <w:szCs w:val="20"/>
                <w:lang w:val="en-US"/>
              </w:rPr>
              <w:t xml:space="preserve">Contingency (10% of investment costs) </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E73A27" w:rsidRDefault="00242391" w:rsidP="000D7AE5">
            <w:pPr>
              <w:jc w:val="left"/>
              <w:rPr>
                <w:color w:val="000000"/>
                <w:sz w:val="20"/>
                <w:szCs w:val="20"/>
                <w:lang w:val="en-US"/>
              </w:rPr>
            </w:pPr>
            <w:r w:rsidRPr="00E73A27">
              <w:rPr>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E73A27" w:rsidRDefault="00242391" w:rsidP="000D7AE5">
            <w:pPr>
              <w:jc w:val="right"/>
              <w:rPr>
                <w:color w:val="000000"/>
                <w:sz w:val="20"/>
                <w:szCs w:val="20"/>
                <w:lang w:val="en-US"/>
              </w:rPr>
            </w:pP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27,670</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color w:val="000000"/>
                <w:sz w:val="20"/>
                <w:szCs w:val="20"/>
                <w:lang w:val="en-US"/>
              </w:rPr>
            </w:pPr>
            <w:r w:rsidRPr="00E73A27">
              <w:rPr>
                <w:color w:val="000000"/>
                <w:sz w:val="20"/>
                <w:szCs w:val="20"/>
                <w:lang w:val="en-US"/>
              </w:rPr>
              <w:t xml:space="preserve">Safety certification by TÜV </w:t>
            </w:r>
            <w:proofErr w:type="spellStart"/>
            <w:r w:rsidRPr="00E73A27">
              <w:rPr>
                <w:color w:val="000000"/>
                <w:sz w:val="20"/>
                <w:szCs w:val="20"/>
                <w:lang w:val="en-US"/>
              </w:rPr>
              <w:t>Süd</w:t>
            </w:r>
            <w:proofErr w:type="spellEnd"/>
            <w:r w:rsidRPr="00E73A27">
              <w:rPr>
                <w:color w:val="000000"/>
                <w:sz w:val="20"/>
                <w:szCs w:val="20"/>
                <w:lang w:val="en-US"/>
              </w:rPr>
              <w:t xml:space="preserve"> </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15,000</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15,000</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color w:val="000000"/>
                <w:sz w:val="20"/>
                <w:szCs w:val="20"/>
                <w:lang w:val="en-US"/>
              </w:rPr>
            </w:pPr>
            <w:r w:rsidRPr="00E73A27">
              <w:rPr>
                <w:color w:val="000000"/>
                <w:sz w:val="20"/>
                <w:szCs w:val="20"/>
                <w:lang w:val="en-US"/>
              </w:rPr>
              <w:t>Training and installation</w:t>
            </w:r>
          </w:p>
        </w:tc>
        <w:tc>
          <w:tcPr>
            <w:tcW w:w="1613"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center"/>
              <w:rPr>
                <w:sz w:val="20"/>
                <w:szCs w:val="20"/>
              </w:rPr>
            </w:pPr>
            <w:r w:rsidRPr="00E73A27">
              <w:rPr>
                <w:sz w:val="20"/>
                <w:szCs w:val="20"/>
              </w:rPr>
              <w:t>1</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15,000</w:t>
            </w:r>
          </w:p>
        </w:tc>
        <w:tc>
          <w:tcPr>
            <w:tcW w:w="1362" w:type="dxa"/>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15,000</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b/>
                <w:bCs/>
                <w:color w:val="000000"/>
                <w:sz w:val="20"/>
                <w:szCs w:val="20"/>
                <w:lang w:val="en-US"/>
              </w:rPr>
            </w:pPr>
            <w:r w:rsidRPr="00E73A27">
              <w:rPr>
                <w:b/>
                <w:bCs/>
                <w:color w:val="000000"/>
                <w:sz w:val="20"/>
                <w:szCs w:val="20"/>
                <w:lang w:val="en-US"/>
              </w:rPr>
              <w:t>Total equipment costs</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E73A27" w:rsidRDefault="00242391" w:rsidP="000D7AE5">
            <w:pPr>
              <w:jc w:val="center"/>
              <w:rPr>
                <w:color w:val="000000"/>
                <w:sz w:val="20"/>
                <w:szCs w:val="20"/>
                <w:lang w:val="en-US"/>
              </w:rPr>
            </w:pPr>
            <w:r w:rsidRPr="00E73A27">
              <w:rPr>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E73A27" w:rsidRDefault="00242391" w:rsidP="000D7AE5">
            <w:pPr>
              <w:jc w:val="right"/>
              <w:rPr>
                <w:b/>
                <w:bCs/>
                <w:color w:val="000000"/>
                <w:sz w:val="20"/>
                <w:szCs w:val="20"/>
                <w:lang w:val="en-US"/>
              </w:rPr>
            </w:pPr>
            <w:r w:rsidRPr="00E73A27">
              <w:rPr>
                <w:b/>
                <w:bCs/>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b/>
                <w:sz w:val="20"/>
                <w:szCs w:val="20"/>
              </w:rPr>
            </w:pPr>
            <w:r w:rsidRPr="00E73A27">
              <w:rPr>
                <w:b/>
                <w:sz w:val="20"/>
                <w:szCs w:val="20"/>
              </w:rPr>
              <w:t>295,370</w:t>
            </w:r>
          </w:p>
        </w:tc>
      </w:tr>
      <w:tr w:rsidR="00242391" w:rsidRPr="00E73A27" w:rsidTr="0084724A">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b/>
                <w:bCs/>
                <w:color w:val="000000"/>
                <w:sz w:val="20"/>
                <w:szCs w:val="20"/>
                <w:lang w:val="en-US"/>
              </w:rPr>
            </w:pPr>
            <w:r w:rsidRPr="00E73A27">
              <w:rPr>
                <w:b/>
                <w:bCs/>
                <w:color w:val="000000"/>
                <w:sz w:val="20"/>
                <w:szCs w:val="20"/>
                <w:lang w:val="en-US"/>
              </w:rPr>
              <w:t>Total ICCs</w:t>
            </w:r>
          </w:p>
        </w:tc>
        <w:tc>
          <w:tcPr>
            <w:tcW w:w="1613" w:type="dxa"/>
            <w:tcBorders>
              <w:top w:val="nil"/>
              <w:left w:val="nil"/>
              <w:bottom w:val="single" w:sz="4" w:space="0" w:color="auto"/>
              <w:right w:val="single" w:sz="4" w:space="0" w:color="auto"/>
            </w:tcBorders>
            <w:shd w:val="clear" w:color="auto" w:fill="auto"/>
            <w:noWrap/>
            <w:vAlign w:val="center"/>
            <w:hideMark/>
          </w:tcPr>
          <w:p w:rsidR="00242391" w:rsidRPr="00E73A27" w:rsidRDefault="00242391" w:rsidP="000D7AE5">
            <w:pPr>
              <w:jc w:val="left"/>
              <w:rPr>
                <w:b/>
                <w:bCs/>
                <w:color w:val="000000"/>
                <w:sz w:val="20"/>
                <w:szCs w:val="20"/>
                <w:lang w:val="en-US"/>
              </w:rPr>
            </w:pPr>
            <w:r w:rsidRPr="00E73A27">
              <w:rPr>
                <w:b/>
                <w:bCs/>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vAlign w:val="center"/>
            <w:hideMark/>
          </w:tcPr>
          <w:p w:rsidR="00242391" w:rsidRPr="00E73A27" w:rsidRDefault="00242391" w:rsidP="000D7AE5">
            <w:pPr>
              <w:jc w:val="right"/>
              <w:rPr>
                <w:b/>
                <w:bCs/>
                <w:color w:val="000000"/>
                <w:sz w:val="20"/>
                <w:szCs w:val="20"/>
                <w:lang w:val="en-US"/>
              </w:rPr>
            </w:pPr>
            <w:r w:rsidRPr="00E73A27">
              <w:rPr>
                <w:b/>
                <w:bCs/>
                <w:color w:val="000000"/>
                <w:sz w:val="20"/>
                <w:szCs w:val="20"/>
                <w:lang w:val="en-US"/>
              </w:rPr>
              <w:t> </w:t>
            </w:r>
          </w:p>
        </w:tc>
        <w:tc>
          <w:tcPr>
            <w:tcW w:w="1362" w:type="dxa"/>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b/>
                <w:sz w:val="20"/>
                <w:szCs w:val="20"/>
              </w:rPr>
            </w:pPr>
            <w:r w:rsidRPr="00E73A27">
              <w:rPr>
                <w:b/>
                <w:sz w:val="20"/>
                <w:szCs w:val="20"/>
              </w:rPr>
              <w:t>334,370</w:t>
            </w:r>
          </w:p>
        </w:tc>
      </w:tr>
    </w:tbl>
    <w:p w:rsidR="00242391" w:rsidRPr="00E73A27" w:rsidRDefault="00242391" w:rsidP="00242391">
      <w:pPr>
        <w:rPr>
          <w:i/>
          <w:lang w:val="en-CA"/>
        </w:rPr>
      </w:pPr>
    </w:p>
    <w:p w:rsidR="00242391" w:rsidRPr="00E73A27" w:rsidRDefault="00242391" w:rsidP="00242391">
      <w:pPr>
        <w:pStyle w:val="Heading1"/>
        <w:tabs>
          <w:tab w:val="clear" w:pos="142"/>
          <w:tab w:val="num" w:pos="0"/>
        </w:tabs>
        <w:ind w:left="0"/>
      </w:pPr>
      <w:r w:rsidRPr="00E73A27">
        <w:t xml:space="preserve">The incremental operating costs (IOCs), which include costs related to changes in the compressor, capillary tube, electrical components and refrigerant, were estimated at </w:t>
      </w:r>
      <w:r w:rsidR="00C52303" w:rsidRPr="00E73A27">
        <w:t>US $</w:t>
      </w:r>
      <w:r w:rsidRPr="00E73A27">
        <w:t>19.</w:t>
      </w:r>
      <w:r w:rsidR="00575CBF" w:rsidRPr="00E73A27">
        <w:t>46</w:t>
      </w:r>
      <w:r w:rsidRPr="00E73A27">
        <w:t xml:space="preserve"> per unit converted from HFC-134a to R-290. The IOCs calculated for a 12-month period are </w:t>
      </w:r>
      <w:r w:rsidR="00C52303" w:rsidRPr="00E73A27">
        <w:t>US $</w:t>
      </w:r>
      <w:r w:rsidR="00575CBF" w:rsidRPr="00E73A27">
        <w:t>804,301</w:t>
      </w:r>
      <w:r w:rsidRPr="00E73A27">
        <w:t>, as shown in Table </w:t>
      </w:r>
      <w:r w:rsidR="0084724A" w:rsidRPr="00E73A27">
        <w:t>10</w:t>
      </w:r>
      <w:r w:rsidRPr="00E73A27">
        <w:t>.</w:t>
      </w:r>
      <w:r w:rsidR="005743CD" w:rsidRPr="00E73A27">
        <w:t xml:space="preserve"> No fundin</w:t>
      </w:r>
      <w:r w:rsidR="00D6531F" w:rsidRPr="00E73A27">
        <w:t>g for IOCs is being requested from</w:t>
      </w:r>
      <w:r w:rsidR="005743CD" w:rsidRPr="00E73A27">
        <w:t xml:space="preserve"> the Multilateral Fund.</w:t>
      </w:r>
    </w:p>
    <w:p w:rsidR="00242391" w:rsidRPr="00E73A27" w:rsidRDefault="00242391" w:rsidP="00242391">
      <w:pPr>
        <w:keepNext/>
        <w:keepLines/>
        <w:rPr>
          <w:b/>
        </w:rPr>
      </w:pPr>
      <w:r w:rsidRPr="00E73A27">
        <w:rPr>
          <w:b/>
        </w:rPr>
        <w:t xml:space="preserve">Table </w:t>
      </w:r>
      <w:r w:rsidR="0084724A" w:rsidRPr="00E73A27">
        <w:rPr>
          <w:b/>
        </w:rPr>
        <w:t>10</w:t>
      </w:r>
      <w:r w:rsidRPr="00E73A27">
        <w:rPr>
          <w:b/>
        </w:rPr>
        <w:t xml:space="preserve">. IOCs for domestic and commercial refrigerator manufacturing in </w:t>
      </w:r>
      <w:proofErr w:type="spellStart"/>
      <w:r w:rsidRPr="00E73A27">
        <w:rPr>
          <w:b/>
        </w:rPr>
        <w:t>Induglob</w:t>
      </w:r>
      <w:proofErr w:type="spellEnd"/>
    </w:p>
    <w:tbl>
      <w:tblPr>
        <w:tblW w:w="5000" w:type="pct"/>
        <w:tblLook w:val="04A0" w:firstRow="1" w:lastRow="0" w:firstColumn="1" w:lastColumn="0" w:noHBand="0" w:noVBand="1"/>
      </w:tblPr>
      <w:tblGrid>
        <w:gridCol w:w="3325"/>
        <w:gridCol w:w="2429"/>
        <w:gridCol w:w="1801"/>
        <w:gridCol w:w="1795"/>
      </w:tblGrid>
      <w:tr w:rsidR="00242391" w:rsidRPr="00E73A27" w:rsidTr="0084724A">
        <w:tc>
          <w:tcPr>
            <w:tcW w:w="17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Item</w:t>
            </w:r>
          </w:p>
        </w:tc>
        <w:tc>
          <w:tcPr>
            <w:tcW w:w="3222" w:type="pct"/>
            <w:gridSpan w:val="3"/>
            <w:tcBorders>
              <w:top w:val="single" w:sz="4" w:space="0" w:color="auto"/>
              <w:left w:val="nil"/>
              <w:bottom w:val="single" w:sz="4" w:space="0" w:color="auto"/>
              <w:right w:val="single" w:sz="4" w:space="0" w:color="auto"/>
            </w:tcBorders>
            <w:shd w:val="clear" w:color="auto" w:fill="auto"/>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IOCs for conversion of HFC-134a-based products to R-290 (</w:t>
            </w:r>
            <w:r w:rsidR="00C52303" w:rsidRPr="00E73A27">
              <w:rPr>
                <w:b/>
                <w:bCs/>
                <w:color w:val="000000"/>
                <w:sz w:val="20"/>
                <w:szCs w:val="20"/>
                <w:lang w:val="en-US"/>
              </w:rPr>
              <w:t>US $</w:t>
            </w:r>
            <w:r w:rsidRPr="00E73A27">
              <w:rPr>
                <w:b/>
                <w:bCs/>
                <w:color w:val="000000"/>
                <w:sz w:val="20"/>
                <w:szCs w:val="20"/>
                <w:lang w:val="en-US"/>
              </w:rPr>
              <w:t>)</w:t>
            </w:r>
          </w:p>
        </w:tc>
      </w:tr>
      <w:tr w:rsidR="00242391" w:rsidRPr="00E73A27" w:rsidTr="0084724A">
        <w:tc>
          <w:tcPr>
            <w:tcW w:w="1778" w:type="pct"/>
            <w:vMerge/>
            <w:tcBorders>
              <w:top w:val="single" w:sz="4" w:space="0" w:color="auto"/>
              <w:left w:val="single" w:sz="4" w:space="0" w:color="auto"/>
              <w:bottom w:val="single" w:sz="4" w:space="0" w:color="auto"/>
              <w:right w:val="single" w:sz="4" w:space="0" w:color="auto"/>
            </w:tcBorders>
            <w:vAlign w:val="center"/>
            <w:hideMark/>
          </w:tcPr>
          <w:p w:rsidR="00242391" w:rsidRPr="00E73A27" w:rsidRDefault="00242391" w:rsidP="000D7AE5">
            <w:pPr>
              <w:jc w:val="left"/>
              <w:rPr>
                <w:b/>
                <w:bCs/>
                <w:color w:val="000000"/>
                <w:sz w:val="20"/>
                <w:szCs w:val="20"/>
                <w:lang w:val="en-US"/>
              </w:rPr>
            </w:pPr>
          </w:p>
        </w:tc>
        <w:tc>
          <w:tcPr>
            <w:tcW w:w="1299"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Baseline product</w:t>
            </w:r>
          </w:p>
        </w:tc>
        <w:tc>
          <w:tcPr>
            <w:tcW w:w="963"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New product</w:t>
            </w:r>
          </w:p>
        </w:tc>
        <w:tc>
          <w:tcPr>
            <w:tcW w:w="960"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Difference</w:t>
            </w:r>
          </w:p>
        </w:tc>
      </w:tr>
      <w:tr w:rsidR="00242391" w:rsidRPr="00E73A27" w:rsidTr="0084724A">
        <w:tc>
          <w:tcPr>
            <w:tcW w:w="1778" w:type="pct"/>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left"/>
              <w:rPr>
                <w:color w:val="000000"/>
                <w:sz w:val="20"/>
                <w:szCs w:val="20"/>
                <w:lang w:val="en-US"/>
              </w:rPr>
            </w:pPr>
            <w:r w:rsidRPr="00E73A27">
              <w:rPr>
                <w:color w:val="000000"/>
                <w:sz w:val="20"/>
                <w:szCs w:val="20"/>
                <w:lang w:val="en-US"/>
              </w:rPr>
              <w:t>Compressor</w:t>
            </w:r>
          </w:p>
        </w:tc>
        <w:tc>
          <w:tcPr>
            <w:tcW w:w="1299"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color w:val="000000"/>
                <w:sz w:val="20"/>
                <w:szCs w:val="20"/>
                <w:lang w:val="en-US"/>
              </w:rPr>
            </w:pPr>
            <w:r w:rsidRPr="00E73A27">
              <w:rPr>
                <w:color w:val="000000"/>
                <w:sz w:val="20"/>
                <w:szCs w:val="20"/>
                <w:lang w:val="en-US"/>
              </w:rPr>
              <w:t>50.55</w:t>
            </w:r>
          </w:p>
        </w:tc>
        <w:tc>
          <w:tcPr>
            <w:tcW w:w="963"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color w:val="000000"/>
                <w:sz w:val="20"/>
                <w:szCs w:val="20"/>
                <w:lang w:val="en-US"/>
              </w:rPr>
              <w:t>59.00</w:t>
            </w:r>
          </w:p>
        </w:tc>
        <w:tc>
          <w:tcPr>
            <w:tcW w:w="960"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color w:val="000000"/>
                <w:sz w:val="20"/>
                <w:szCs w:val="20"/>
                <w:lang w:val="en-US"/>
              </w:rPr>
              <w:t>8.45</w:t>
            </w:r>
          </w:p>
        </w:tc>
      </w:tr>
      <w:tr w:rsidR="00242391" w:rsidRPr="00E73A27" w:rsidTr="0084724A">
        <w:tc>
          <w:tcPr>
            <w:tcW w:w="1778" w:type="pct"/>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left"/>
              <w:rPr>
                <w:color w:val="000000"/>
                <w:sz w:val="20"/>
                <w:szCs w:val="20"/>
                <w:lang w:val="en-US"/>
              </w:rPr>
            </w:pPr>
            <w:r w:rsidRPr="00E73A27">
              <w:rPr>
                <w:color w:val="000000"/>
                <w:sz w:val="20"/>
                <w:szCs w:val="20"/>
                <w:lang w:val="en-US"/>
              </w:rPr>
              <w:t>Filter</w:t>
            </w:r>
          </w:p>
        </w:tc>
        <w:tc>
          <w:tcPr>
            <w:tcW w:w="1299" w:type="pct"/>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color w:val="000000"/>
                <w:sz w:val="20"/>
                <w:szCs w:val="20"/>
                <w:lang w:val="en-US"/>
              </w:rPr>
            </w:pPr>
            <w:r w:rsidRPr="00E73A27">
              <w:rPr>
                <w:color w:val="000000"/>
                <w:sz w:val="20"/>
                <w:szCs w:val="20"/>
                <w:lang w:val="en-US"/>
              </w:rPr>
              <w:t>2.50</w:t>
            </w:r>
          </w:p>
        </w:tc>
        <w:tc>
          <w:tcPr>
            <w:tcW w:w="963" w:type="pct"/>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color w:val="000000"/>
                <w:sz w:val="20"/>
                <w:szCs w:val="20"/>
                <w:lang w:val="en-US"/>
              </w:rPr>
              <w:t>2.75</w:t>
            </w:r>
          </w:p>
        </w:tc>
        <w:tc>
          <w:tcPr>
            <w:tcW w:w="960"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0.25</w:t>
            </w:r>
          </w:p>
        </w:tc>
      </w:tr>
      <w:tr w:rsidR="00242391" w:rsidRPr="00E73A27" w:rsidTr="0084724A">
        <w:tc>
          <w:tcPr>
            <w:tcW w:w="1778" w:type="pct"/>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left"/>
              <w:rPr>
                <w:color w:val="000000"/>
                <w:sz w:val="20"/>
                <w:szCs w:val="20"/>
                <w:lang w:val="en-US"/>
              </w:rPr>
            </w:pPr>
            <w:r w:rsidRPr="00E73A27">
              <w:rPr>
                <w:color w:val="000000"/>
                <w:sz w:val="20"/>
                <w:szCs w:val="20"/>
                <w:lang w:val="en-US"/>
              </w:rPr>
              <w:t>Capillary tube</w:t>
            </w:r>
          </w:p>
        </w:tc>
        <w:tc>
          <w:tcPr>
            <w:tcW w:w="1299" w:type="pct"/>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color w:val="000000"/>
                <w:sz w:val="20"/>
                <w:szCs w:val="20"/>
                <w:lang w:val="en-US"/>
              </w:rPr>
            </w:pPr>
            <w:r w:rsidRPr="00E73A27">
              <w:rPr>
                <w:color w:val="000000"/>
                <w:sz w:val="20"/>
                <w:szCs w:val="20"/>
                <w:lang w:val="es-EC"/>
              </w:rPr>
              <w:t>5.00</w:t>
            </w:r>
          </w:p>
        </w:tc>
        <w:tc>
          <w:tcPr>
            <w:tcW w:w="963" w:type="pct"/>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6.50</w:t>
            </w:r>
          </w:p>
        </w:tc>
        <w:tc>
          <w:tcPr>
            <w:tcW w:w="960"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1.5</w:t>
            </w:r>
            <w:r w:rsidR="007F568D" w:rsidRPr="00E73A27">
              <w:rPr>
                <w:sz w:val="20"/>
                <w:szCs w:val="20"/>
              </w:rPr>
              <w:t>0</w:t>
            </w:r>
          </w:p>
        </w:tc>
      </w:tr>
      <w:tr w:rsidR="00242391" w:rsidRPr="00E73A27" w:rsidTr="0084724A">
        <w:tc>
          <w:tcPr>
            <w:tcW w:w="1778" w:type="pct"/>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rPr>
                <w:sz w:val="20"/>
                <w:szCs w:val="20"/>
              </w:rPr>
            </w:pPr>
            <w:r w:rsidRPr="00E73A27">
              <w:rPr>
                <w:sz w:val="20"/>
                <w:szCs w:val="20"/>
              </w:rPr>
              <w:t>Electrical components</w:t>
            </w:r>
          </w:p>
        </w:tc>
        <w:tc>
          <w:tcPr>
            <w:tcW w:w="1299"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color w:val="000000"/>
                <w:sz w:val="20"/>
                <w:szCs w:val="20"/>
                <w:lang w:val="en-US"/>
              </w:rPr>
            </w:pPr>
            <w:r w:rsidRPr="00E73A27">
              <w:rPr>
                <w:color w:val="000000"/>
                <w:sz w:val="20"/>
                <w:szCs w:val="20"/>
                <w:lang w:val="es-EC"/>
              </w:rPr>
              <w:t>45.50</w:t>
            </w:r>
          </w:p>
        </w:tc>
        <w:tc>
          <w:tcPr>
            <w:tcW w:w="963"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55.50</w:t>
            </w:r>
          </w:p>
        </w:tc>
        <w:tc>
          <w:tcPr>
            <w:tcW w:w="960"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10</w:t>
            </w:r>
            <w:r w:rsidR="007F568D" w:rsidRPr="00E73A27">
              <w:rPr>
                <w:sz w:val="20"/>
                <w:szCs w:val="20"/>
              </w:rPr>
              <w:t>.00</w:t>
            </w:r>
          </w:p>
        </w:tc>
      </w:tr>
      <w:tr w:rsidR="00242391" w:rsidRPr="00E73A27" w:rsidTr="0084724A">
        <w:tc>
          <w:tcPr>
            <w:tcW w:w="1778" w:type="pct"/>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rPr>
                <w:sz w:val="20"/>
                <w:szCs w:val="20"/>
              </w:rPr>
            </w:pPr>
            <w:r w:rsidRPr="00E73A27">
              <w:rPr>
                <w:sz w:val="20"/>
                <w:szCs w:val="20"/>
              </w:rPr>
              <w:t>Refrigerant</w:t>
            </w:r>
          </w:p>
        </w:tc>
        <w:tc>
          <w:tcPr>
            <w:tcW w:w="1299"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color w:val="000000"/>
                <w:sz w:val="20"/>
                <w:szCs w:val="20"/>
                <w:lang w:val="en-US"/>
              </w:rPr>
            </w:pPr>
            <w:r w:rsidRPr="00E73A27">
              <w:rPr>
                <w:color w:val="000000"/>
                <w:sz w:val="20"/>
                <w:szCs w:val="20"/>
                <w:lang w:val="es-EC"/>
              </w:rPr>
              <w:t>1.73</w:t>
            </w:r>
          </w:p>
        </w:tc>
        <w:tc>
          <w:tcPr>
            <w:tcW w:w="963" w:type="pct"/>
            <w:tcBorders>
              <w:top w:val="nil"/>
              <w:left w:val="nil"/>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0.99</w:t>
            </w:r>
          </w:p>
        </w:tc>
        <w:tc>
          <w:tcPr>
            <w:tcW w:w="960" w:type="pct"/>
            <w:tcBorders>
              <w:top w:val="nil"/>
              <w:left w:val="nil"/>
              <w:bottom w:val="single" w:sz="4" w:space="0" w:color="auto"/>
              <w:right w:val="single" w:sz="4" w:space="0" w:color="auto"/>
            </w:tcBorders>
            <w:shd w:val="clear" w:color="auto" w:fill="auto"/>
            <w:hideMark/>
          </w:tcPr>
          <w:p w:rsidR="00242391" w:rsidRPr="00E73A27" w:rsidRDefault="00242391" w:rsidP="00575CBF">
            <w:pPr>
              <w:jc w:val="right"/>
              <w:rPr>
                <w:sz w:val="20"/>
                <w:szCs w:val="20"/>
              </w:rPr>
            </w:pPr>
            <w:r w:rsidRPr="00E73A27">
              <w:rPr>
                <w:sz w:val="20"/>
                <w:szCs w:val="20"/>
              </w:rPr>
              <w:t>(</w:t>
            </w:r>
            <w:r w:rsidR="00575CBF" w:rsidRPr="00E73A27">
              <w:rPr>
                <w:sz w:val="20"/>
                <w:szCs w:val="20"/>
              </w:rPr>
              <w:t>0.74</w:t>
            </w:r>
            <w:r w:rsidRPr="00E73A27">
              <w:rPr>
                <w:sz w:val="20"/>
                <w:szCs w:val="20"/>
              </w:rPr>
              <w:t>)</w:t>
            </w:r>
          </w:p>
        </w:tc>
      </w:tr>
      <w:tr w:rsidR="00242391" w:rsidRPr="00E73A27" w:rsidTr="0084724A">
        <w:tc>
          <w:tcPr>
            <w:tcW w:w="1778" w:type="pct"/>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left"/>
              <w:rPr>
                <w:b/>
                <w:bCs/>
                <w:color w:val="000000"/>
                <w:sz w:val="20"/>
                <w:szCs w:val="20"/>
                <w:lang w:val="en-US"/>
              </w:rPr>
            </w:pPr>
            <w:r w:rsidRPr="00E73A27">
              <w:rPr>
                <w:b/>
                <w:bCs/>
                <w:color w:val="000000"/>
                <w:sz w:val="20"/>
                <w:szCs w:val="20"/>
                <w:lang w:val="es-EC"/>
              </w:rPr>
              <w:t>Total</w:t>
            </w:r>
          </w:p>
        </w:tc>
        <w:tc>
          <w:tcPr>
            <w:tcW w:w="1299" w:type="pct"/>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b/>
                <w:sz w:val="20"/>
                <w:szCs w:val="20"/>
              </w:rPr>
            </w:pPr>
            <w:r w:rsidRPr="00E73A27">
              <w:rPr>
                <w:b/>
                <w:sz w:val="20"/>
                <w:szCs w:val="20"/>
              </w:rPr>
              <w:t>105.28</w:t>
            </w:r>
          </w:p>
        </w:tc>
        <w:tc>
          <w:tcPr>
            <w:tcW w:w="963" w:type="pct"/>
            <w:tcBorders>
              <w:top w:val="nil"/>
              <w:left w:val="nil"/>
              <w:bottom w:val="single" w:sz="4" w:space="0" w:color="auto"/>
              <w:right w:val="single" w:sz="4" w:space="0" w:color="auto"/>
            </w:tcBorders>
            <w:shd w:val="clear" w:color="auto" w:fill="auto"/>
            <w:noWrap/>
            <w:hideMark/>
          </w:tcPr>
          <w:p w:rsidR="00242391" w:rsidRPr="00E73A27" w:rsidRDefault="00242391" w:rsidP="000D7AE5">
            <w:pPr>
              <w:jc w:val="right"/>
              <w:rPr>
                <w:b/>
                <w:sz w:val="20"/>
                <w:szCs w:val="20"/>
              </w:rPr>
            </w:pPr>
            <w:r w:rsidRPr="00E73A27">
              <w:rPr>
                <w:b/>
                <w:sz w:val="20"/>
                <w:szCs w:val="20"/>
              </w:rPr>
              <w:t>124.74</w:t>
            </w:r>
          </w:p>
        </w:tc>
        <w:tc>
          <w:tcPr>
            <w:tcW w:w="960" w:type="pct"/>
            <w:tcBorders>
              <w:top w:val="nil"/>
              <w:left w:val="nil"/>
              <w:bottom w:val="single" w:sz="4" w:space="0" w:color="auto"/>
              <w:right w:val="single" w:sz="4" w:space="0" w:color="auto"/>
            </w:tcBorders>
            <w:shd w:val="clear" w:color="auto" w:fill="auto"/>
            <w:noWrap/>
            <w:hideMark/>
          </w:tcPr>
          <w:p w:rsidR="00242391" w:rsidRPr="00E73A27" w:rsidRDefault="00242391" w:rsidP="007F568D">
            <w:pPr>
              <w:jc w:val="right"/>
              <w:rPr>
                <w:b/>
                <w:sz w:val="20"/>
                <w:szCs w:val="20"/>
              </w:rPr>
            </w:pPr>
            <w:r w:rsidRPr="00E73A27">
              <w:rPr>
                <w:b/>
                <w:sz w:val="20"/>
                <w:szCs w:val="20"/>
              </w:rPr>
              <w:t>19.</w:t>
            </w:r>
            <w:r w:rsidR="007F568D" w:rsidRPr="00E73A27">
              <w:rPr>
                <w:b/>
                <w:sz w:val="20"/>
                <w:szCs w:val="20"/>
              </w:rPr>
              <w:t>46</w:t>
            </w:r>
          </w:p>
        </w:tc>
      </w:tr>
      <w:tr w:rsidR="00242391" w:rsidRPr="00E73A27" w:rsidTr="0084724A">
        <w:tc>
          <w:tcPr>
            <w:tcW w:w="1778" w:type="pct"/>
            <w:tcBorders>
              <w:top w:val="nil"/>
              <w:left w:val="single" w:sz="4" w:space="0" w:color="auto"/>
              <w:bottom w:val="single" w:sz="4" w:space="0" w:color="auto"/>
              <w:right w:val="single" w:sz="4" w:space="0" w:color="auto"/>
            </w:tcBorders>
            <w:shd w:val="clear" w:color="auto" w:fill="auto"/>
            <w:hideMark/>
          </w:tcPr>
          <w:p w:rsidR="00242391" w:rsidRPr="00E73A27" w:rsidRDefault="00242391" w:rsidP="000D7AE5">
            <w:pPr>
              <w:jc w:val="left"/>
              <w:rPr>
                <w:color w:val="000000"/>
                <w:sz w:val="20"/>
                <w:szCs w:val="20"/>
                <w:lang w:val="en-US"/>
              </w:rPr>
            </w:pPr>
            <w:r w:rsidRPr="00E73A27">
              <w:rPr>
                <w:color w:val="000000"/>
                <w:sz w:val="20"/>
                <w:szCs w:val="20"/>
                <w:lang w:val="en-US"/>
              </w:rPr>
              <w:t>Units per year line funded</w:t>
            </w:r>
          </w:p>
        </w:tc>
        <w:tc>
          <w:tcPr>
            <w:tcW w:w="3222" w:type="pct"/>
            <w:gridSpan w:val="3"/>
            <w:tcBorders>
              <w:top w:val="single" w:sz="4" w:space="0" w:color="auto"/>
              <w:left w:val="nil"/>
              <w:bottom w:val="single" w:sz="4" w:space="0" w:color="auto"/>
              <w:right w:val="single" w:sz="4" w:space="0" w:color="000000"/>
            </w:tcBorders>
            <w:shd w:val="clear" w:color="auto" w:fill="auto"/>
            <w:noWrap/>
            <w:hideMark/>
          </w:tcPr>
          <w:p w:rsidR="00242391" w:rsidRPr="00E73A27" w:rsidRDefault="00242391" w:rsidP="000D7AE5">
            <w:pPr>
              <w:jc w:val="right"/>
              <w:rPr>
                <w:sz w:val="20"/>
                <w:szCs w:val="20"/>
              </w:rPr>
            </w:pPr>
            <w:r w:rsidRPr="00E73A27">
              <w:rPr>
                <w:sz w:val="20"/>
                <w:szCs w:val="20"/>
              </w:rPr>
              <w:t>41,331</w:t>
            </w:r>
          </w:p>
        </w:tc>
      </w:tr>
      <w:tr w:rsidR="00242391" w:rsidRPr="00E73A27" w:rsidTr="0084724A">
        <w:tc>
          <w:tcPr>
            <w:tcW w:w="1778" w:type="pct"/>
            <w:tcBorders>
              <w:top w:val="nil"/>
              <w:left w:val="single" w:sz="4" w:space="0" w:color="auto"/>
              <w:bottom w:val="single" w:sz="4" w:space="0" w:color="auto"/>
              <w:right w:val="single" w:sz="4" w:space="0" w:color="auto"/>
            </w:tcBorders>
            <w:shd w:val="clear" w:color="auto" w:fill="auto"/>
            <w:noWrap/>
          </w:tcPr>
          <w:p w:rsidR="00242391" w:rsidRPr="00E73A27" w:rsidRDefault="00242391" w:rsidP="000D7AE5">
            <w:pPr>
              <w:jc w:val="left"/>
              <w:rPr>
                <w:b/>
                <w:color w:val="000000"/>
                <w:sz w:val="20"/>
                <w:szCs w:val="20"/>
                <w:lang w:val="en-US"/>
              </w:rPr>
            </w:pPr>
            <w:r w:rsidRPr="00E73A27">
              <w:rPr>
                <w:b/>
                <w:bCs/>
                <w:color w:val="000000"/>
                <w:sz w:val="20"/>
                <w:szCs w:val="20"/>
                <w:lang w:val="en-US"/>
              </w:rPr>
              <w:t>Total IOCs</w:t>
            </w:r>
          </w:p>
        </w:tc>
        <w:tc>
          <w:tcPr>
            <w:tcW w:w="3222" w:type="pct"/>
            <w:gridSpan w:val="3"/>
            <w:tcBorders>
              <w:top w:val="single" w:sz="4" w:space="0" w:color="auto"/>
              <w:left w:val="nil"/>
              <w:bottom w:val="single" w:sz="4" w:space="0" w:color="auto"/>
              <w:right w:val="single" w:sz="4" w:space="0" w:color="000000"/>
            </w:tcBorders>
            <w:shd w:val="clear" w:color="auto" w:fill="auto"/>
            <w:noWrap/>
          </w:tcPr>
          <w:p w:rsidR="00242391" w:rsidRPr="00E73A27" w:rsidRDefault="00D60FCF" w:rsidP="007F568D">
            <w:pPr>
              <w:jc w:val="right"/>
              <w:rPr>
                <w:b/>
                <w:color w:val="000000"/>
                <w:sz w:val="20"/>
                <w:szCs w:val="20"/>
                <w:lang w:val="en-US"/>
              </w:rPr>
            </w:pPr>
            <w:r w:rsidRPr="00E73A27">
              <w:rPr>
                <w:b/>
                <w:color w:val="000000"/>
                <w:sz w:val="20"/>
                <w:szCs w:val="20"/>
                <w:lang w:val="en-US"/>
              </w:rPr>
              <w:t>*</w:t>
            </w:r>
            <w:r w:rsidR="007F568D" w:rsidRPr="00E73A27">
              <w:rPr>
                <w:b/>
                <w:color w:val="000000"/>
                <w:sz w:val="20"/>
                <w:szCs w:val="20"/>
                <w:lang w:val="en-US"/>
              </w:rPr>
              <w:t>804,301</w:t>
            </w:r>
          </w:p>
        </w:tc>
      </w:tr>
    </w:tbl>
    <w:p w:rsidR="00D60FCF" w:rsidRPr="00E73A27" w:rsidRDefault="00D60FCF" w:rsidP="00D60FCF">
      <w:pPr>
        <w:pStyle w:val="Heading1"/>
        <w:numPr>
          <w:ilvl w:val="0"/>
          <w:numId w:val="0"/>
        </w:numPr>
        <w:rPr>
          <w:sz w:val="18"/>
          <w:szCs w:val="18"/>
        </w:rPr>
      </w:pPr>
      <w:r w:rsidRPr="00E73A27">
        <w:rPr>
          <w:sz w:val="18"/>
          <w:szCs w:val="18"/>
        </w:rPr>
        <w:t xml:space="preserve">*IOCs had been initially calculated at </w:t>
      </w:r>
      <w:r w:rsidR="00C52303" w:rsidRPr="00E73A27">
        <w:rPr>
          <w:sz w:val="18"/>
          <w:szCs w:val="18"/>
        </w:rPr>
        <w:t>US $</w:t>
      </w:r>
      <w:r w:rsidRPr="00E73A27">
        <w:rPr>
          <w:sz w:val="18"/>
          <w:szCs w:val="18"/>
        </w:rPr>
        <w:t>3</w:t>
      </w:r>
      <w:r w:rsidR="00D76743" w:rsidRPr="00E73A27">
        <w:rPr>
          <w:sz w:val="18"/>
          <w:szCs w:val="18"/>
        </w:rPr>
        <w:t>0</w:t>
      </w:r>
      <w:r w:rsidRPr="00E73A27">
        <w:rPr>
          <w:sz w:val="18"/>
          <w:szCs w:val="18"/>
        </w:rPr>
        <w:t>,</w:t>
      </w:r>
      <w:r w:rsidR="00D76743" w:rsidRPr="00E73A27">
        <w:rPr>
          <w:sz w:val="18"/>
          <w:szCs w:val="18"/>
        </w:rPr>
        <w:t>448</w:t>
      </w:r>
      <w:r w:rsidRPr="00E73A27">
        <w:rPr>
          <w:sz w:val="18"/>
          <w:szCs w:val="18"/>
        </w:rPr>
        <w:t xml:space="preserve"> using the average production by model (1,</w:t>
      </w:r>
      <w:r w:rsidR="00D76743" w:rsidRPr="00E73A27">
        <w:rPr>
          <w:sz w:val="18"/>
          <w:szCs w:val="18"/>
        </w:rPr>
        <w:t>590</w:t>
      </w:r>
      <w:r w:rsidRPr="00E73A27">
        <w:rPr>
          <w:sz w:val="18"/>
          <w:szCs w:val="18"/>
        </w:rPr>
        <w:t xml:space="preserve"> units</w:t>
      </w:r>
      <w:r w:rsidR="00D6531F" w:rsidRPr="00E73A27">
        <w:rPr>
          <w:sz w:val="18"/>
          <w:szCs w:val="18"/>
        </w:rPr>
        <w:t>), but it was later corrected to</w:t>
      </w:r>
      <w:r w:rsidRPr="00E73A27">
        <w:rPr>
          <w:sz w:val="18"/>
          <w:szCs w:val="18"/>
        </w:rPr>
        <w:t xml:space="preserve"> </w:t>
      </w:r>
      <w:r w:rsidR="00C52303" w:rsidRPr="00E73A27">
        <w:rPr>
          <w:sz w:val="18"/>
          <w:szCs w:val="18"/>
        </w:rPr>
        <w:t>US $</w:t>
      </w:r>
      <w:r w:rsidR="00D76743" w:rsidRPr="00E73A27">
        <w:rPr>
          <w:sz w:val="18"/>
          <w:szCs w:val="18"/>
        </w:rPr>
        <w:t>804,301</w:t>
      </w:r>
      <w:r w:rsidRPr="00E73A27">
        <w:rPr>
          <w:sz w:val="18"/>
          <w:szCs w:val="18"/>
        </w:rPr>
        <w:t xml:space="preserve"> to cover the entire production (</w:t>
      </w:r>
      <w:r w:rsidR="00D76743" w:rsidRPr="00E73A27">
        <w:rPr>
          <w:sz w:val="18"/>
          <w:szCs w:val="18"/>
        </w:rPr>
        <w:t xml:space="preserve">41,331 </w:t>
      </w:r>
      <w:r w:rsidRPr="00E73A27">
        <w:rPr>
          <w:sz w:val="18"/>
          <w:szCs w:val="18"/>
        </w:rPr>
        <w:t>units).</w:t>
      </w:r>
    </w:p>
    <w:p w:rsidR="00242391" w:rsidRPr="00E73A27" w:rsidRDefault="00242391" w:rsidP="00242391">
      <w:pPr>
        <w:pStyle w:val="Heading1"/>
        <w:tabs>
          <w:tab w:val="clear" w:pos="142"/>
          <w:tab w:val="num" w:pos="0"/>
        </w:tabs>
        <w:ind w:left="0"/>
        <w:rPr>
          <w:lang w:val="en-CA"/>
        </w:rPr>
      </w:pPr>
      <w:r w:rsidRPr="00E73A27">
        <w:rPr>
          <w:lang w:val="en-CA"/>
        </w:rPr>
        <w:t xml:space="preserve">A summary of the total project cost, as submitted, is given in Table </w:t>
      </w:r>
      <w:r w:rsidR="0084724A" w:rsidRPr="00E73A27">
        <w:rPr>
          <w:lang w:val="en-CA"/>
        </w:rPr>
        <w:t>11</w:t>
      </w:r>
      <w:r w:rsidRPr="00E73A27">
        <w:rPr>
          <w:lang w:val="en-CA"/>
        </w:rPr>
        <w:t>.</w:t>
      </w:r>
    </w:p>
    <w:p w:rsidR="00242391" w:rsidRPr="00E73A27" w:rsidRDefault="00242391" w:rsidP="00242391">
      <w:pPr>
        <w:keepNext/>
        <w:outlineLvl w:val="0"/>
        <w:rPr>
          <w:b/>
          <w:lang w:val="en-CA"/>
        </w:rPr>
      </w:pPr>
      <w:r w:rsidRPr="00E73A27">
        <w:rPr>
          <w:b/>
        </w:rPr>
        <w:t xml:space="preserve">Table </w:t>
      </w:r>
      <w:r w:rsidR="0084724A" w:rsidRPr="00E73A27">
        <w:rPr>
          <w:b/>
        </w:rPr>
        <w:t>11</w:t>
      </w:r>
      <w:r w:rsidRPr="00E73A27">
        <w:rPr>
          <w:b/>
        </w:rPr>
        <w:t xml:space="preserve">. Total project cost and total cost requested for the conversion </w:t>
      </w:r>
      <w:r w:rsidRPr="00E73A27">
        <w:rPr>
          <w:b/>
          <w:lang w:val="en-CA"/>
        </w:rPr>
        <w:t xml:space="preserve">of domestic and commercial refrigerators manufacturing at </w:t>
      </w:r>
      <w:proofErr w:type="spellStart"/>
      <w:r w:rsidRPr="00E73A27">
        <w:rPr>
          <w:b/>
          <w:lang w:val="en-CA"/>
        </w:rPr>
        <w:t>Induglob</w:t>
      </w:r>
      <w:proofErr w:type="spellEnd"/>
    </w:p>
    <w:tbl>
      <w:tblPr>
        <w:tblStyle w:val="TableGrid"/>
        <w:tblW w:w="0" w:type="auto"/>
        <w:tblInd w:w="-5" w:type="dxa"/>
        <w:tblLook w:val="04A0" w:firstRow="1" w:lastRow="0" w:firstColumn="1" w:lastColumn="0" w:noHBand="0" w:noVBand="1"/>
      </w:tblPr>
      <w:tblGrid>
        <w:gridCol w:w="4770"/>
        <w:gridCol w:w="4585"/>
      </w:tblGrid>
      <w:tr w:rsidR="00242391" w:rsidRPr="00E73A27" w:rsidTr="0084724A">
        <w:tc>
          <w:tcPr>
            <w:tcW w:w="4770" w:type="dxa"/>
          </w:tcPr>
          <w:p w:rsidR="00242391" w:rsidRPr="00E73A27" w:rsidRDefault="00242391" w:rsidP="000D7AE5">
            <w:pPr>
              <w:keepNext/>
              <w:jc w:val="left"/>
              <w:rPr>
                <w:b/>
                <w:sz w:val="20"/>
                <w:szCs w:val="20"/>
              </w:rPr>
            </w:pPr>
            <w:r w:rsidRPr="00E73A27">
              <w:rPr>
                <w:b/>
                <w:sz w:val="20"/>
                <w:szCs w:val="20"/>
              </w:rPr>
              <w:t>Item</w:t>
            </w:r>
          </w:p>
        </w:tc>
        <w:tc>
          <w:tcPr>
            <w:tcW w:w="4585" w:type="dxa"/>
          </w:tcPr>
          <w:p w:rsidR="00242391" w:rsidRPr="00E73A27" w:rsidRDefault="00242391" w:rsidP="000D7AE5">
            <w:pPr>
              <w:keepNext/>
              <w:jc w:val="center"/>
              <w:rPr>
                <w:b/>
                <w:sz w:val="20"/>
                <w:szCs w:val="20"/>
              </w:rPr>
            </w:pPr>
            <w:r w:rsidRPr="00E73A27">
              <w:rPr>
                <w:b/>
                <w:sz w:val="20"/>
                <w:szCs w:val="20"/>
              </w:rPr>
              <w:t xml:space="preserve">Costs in </w:t>
            </w:r>
            <w:r w:rsidR="00C52303" w:rsidRPr="00E73A27">
              <w:rPr>
                <w:b/>
                <w:sz w:val="20"/>
                <w:szCs w:val="20"/>
              </w:rPr>
              <w:t>US $</w:t>
            </w:r>
          </w:p>
        </w:tc>
      </w:tr>
      <w:tr w:rsidR="00242391" w:rsidRPr="00E73A27" w:rsidTr="0084724A">
        <w:tc>
          <w:tcPr>
            <w:tcW w:w="4770" w:type="dxa"/>
          </w:tcPr>
          <w:p w:rsidR="00242391" w:rsidRPr="00E73A27" w:rsidRDefault="00242391" w:rsidP="000D7AE5">
            <w:pPr>
              <w:keepNext/>
              <w:rPr>
                <w:sz w:val="20"/>
                <w:szCs w:val="20"/>
              </w:rPr>
            </w:pPr>
            <w:r w:rsidRPr="00E73A27">
              <w:rPr>
                <w:sz w:val="20"/>
                <w:szCs w:val="20"/>
              </w:rPr>
              <w:t>ICCs</w:t>
            </w:r>
          </w:p>
        </w:tc>
        <w:tc>
          <w:tcPr>
            <w:tcW w:w="4585" w:type="dxa"/>
            <w:tcBorders>
              <w:top w:val="single" w:sz="4" w:space="0" w:color="auto"/>
              <w:left w:val="nil"/>
              <w:bottom w:val="single" w:sz="4" w:space="0" w:color="auto"/>
              <w:right w:val="single" w:sz="4" w:space="0" w:color="auto"/>
            </w:tcBorders>
            <w:shd w:val="clear" w:color="auto" w:fill="auto"/>
          </w:tcPr>
          <w:p w:rsidR="00242391" w:rsidRPr="00E73A27" w:rsidRDefault="00242391" w:rsidP="000D7AE5">
            <w:pPr>
              <w:jc w:val="right"/>
              <w:rPr>
                <w:sz w:val="20"/>
                <w:szCs w:val="20"/>
              </w:rPr>
            </w:pPr>
            <w:r w:rsidRPr="00E73A27">
              <w:rPr>
                <w:color w:val="000000"/>
                <w:sz w:val="20"/>
                <w:szCs w:val="20"/>
                <w:lang w:val="en-US"/>
              </w:rPr>
              <w:t>334,370</w:t>
            </w:r>
          </w:p>
        </w:tc>
      </w:tr>
      <w:tr w:rsidR="00242391" w:rsidRPr="00E73A27" w:rsidTr="0084724A">
        <w:tc>
          <w:tcPr>
            <w:tcW w:w="4770" w:type="dxa"/>
          </w:tcPr>
          <w:p w:rsidR="00242391" w:rsidRPr="00E73A27" w:rsidRDefault="00242391" w:rsidP="000D7AE5">
            <w:pPr>
              <w:keepNext/>
              <w:rPr>
                <w:sz w:val="20"/>
                <w:szCs w:val="20"/>
              </w:rPr>
            </w:pPr>
            <w:r w:rsidRPr="00E73A27">
              <w:rPr>
                <w:sz w:val="20"/>
                <w:szCs w:val="20"/>
              </w:rPr>
              <w:t>IOCs</w:t>
            </w:r>
          </w:p>
        </w:tc>
        <w:tc>
          <w:tcPr>
            <w:tcW w:w="4585" w:type="dxa"/>
            <w:tcBorders>
              <w:top w:val="nil"/>
              <w:left w:val="nil"/>
              <w:bottom w:val="single" w:sz="4" w:space="0" w:color="auto"/>
              <w:right w:val="single" w:sz="4" w:space="0" w:color="auto"/>
            </w:tcBorders>
            <w:shd w:val="clear" w:color="auto" w:fill="auto"/>
          </w:tcPr>
          <w:p w:rsidR="00242391" w:rsidRPr="00E73A27" w:rsidRDefault="0079257B" w:rsidP="000D7AE5">
            <w:pPr>
              <w:jc w:val="right"/>
              <w:rPr>
                <w:sz w:val="20"/>
                <w:szCs w:val="20"/>
              </w:rPr>
            </w:pPr>
            <w:r w:rsidRPr="00E73A27">
              <w:rPr>
                <w:color w:val="000000"/>
                <w:sz w:val="20"/>
                <w:szCs w:val="20"/>
                <w:lang w:val="en-US"/>
              </w:rPr>
              <w:t>0</w:t>
            </w:r>
          </w:p>
        </w:tc>
      </w:tr>
      <w:tr w:rsidR="00242391" w:rsidRPr="00E73A27" w:rsidTr="0084724A">
        <w:tc>
          <w:tcPr>
            <w:tcW w:w="4770" w:type="dxa"/>
          </w:tcPr>
          <w:p w:rsidR="00242391" w:rsidRPr="00E73A27" w:rsidRDefault="00242391" w:rsidP="0079257B">
            <w:pPr>
              <w:keepNext/>
              <w:rPr>
                <w:b/>
                <w:sz w:val="20"/>
                <w:szCs w:val="20"/>
              </w:rPr>
            </w:pPr>
            <w:r w:rsidRPr="00E73A27">
              <w:rPr>
                <w:b/>
                <w:sz w:val="20"/>
                <w:szCs w:val="20"/>
              </w:rPr>
              <w:t>Total</w:t>
            </w:r>
            <w:r w:rsidR="0079257B" w:rsidRPr="00E73A27">
              <w:rPr>
                <w:b/>
                <w:sz w:val="20"/>
                <w:szCs w:val="20"/>
              </w:rPr>
              <w:t xml:space="preserve"> cost requested</w:t>
            </w:r>
          </w:p>
        </w:tc>
        <w:tc>
          <w:tcPr>
            <w:tcW w:w="4585" w:type="dxa"/>
            <w:tcBorders>
              <w:top w:val="nil"/>
              <w:left w:val="nil"/>
              <w:bottom w:val="single" w:sz="4" w:space="0" w:color="auto"/>
              <w:right w:val="single" w:sz="4" w:space="0" w:color="auto"/>
            </w:tcBorders>
            <w:shd w:val="clear" w:color="auto" w:fill="auto"/>
          </w:tcPr>
          <w:p w:rsidR="00242391" w:rsidRPr="00E73A27" w:rsidRDefault="0079257B" w:rsidP="005743CD">
            <w:pPr>
              <w:jc w:val="right"/>
              <w:rPr>
                <w:b/>
                <w:sz w:val="20"/>
                <w:szCs w:val="20"/>
              </w:rPr>
            </w:pPr>
            <w:r w:rsidRPr="00E73A27">
              <w:rPr>
                <w:b/>
                <w:color w:val="000000"/>
                <w:sz w:val="20"/>
                <w:szCs w:val="20"/>
                <w:lang w:val="en-US"/>
              </w:rPr>
              <w:t>319,370</w:t>
            </w:r>
          </w:p>
        </w:tc>
      </w:tr>
      <w:tr w:rsidR="00A24B7E" w:rsidRPr="00E73A27" w:rsidTr="0084724A">
        <w:tc>
          <w:tcPr>
            <w:tcW w:w="4770" w:type="dxa"/>
          </w:tcPr>
          <w:p w:rsidR="00A24B7E" w:rsidRPr="00E73A27" w:rsidRDefault="00D6531F" w:rsidP="000D7AE5">
            <w:pPr>
              <w:rPr>
                <w:sz w:val="20"/>
                <w:szCs w:val="20"/>
              </w:rPr>
            </w:pPr>
            <w:r w:rsidRPr="00E73A27">
              <w:rPr>
                <w:sz w:val="20"/>
                <w:szCs w:val="20"/>
              </w:rPr>
              <w:t>HFC phase-</w:t>
            </w:r>
            <w:r w:rsidR="00A24B7E" w:rsidRPr="00E73A27">
              <w:rPr>
                <w:sz w:val="20"/>
                <w:szCs w:val="20"/>
              </w:rPr>
              <w:t>out by funded line (</w:t>
            </w:r>
            <w:proofErr w:type="spellStart"/>
            <w:r w:rsidR="00A24B7E" w:rsidRPr="00E73A27">
              <w:rPr>
                <w:sz w:val="20"/>
                <w:szCs w:val="20"/>
              </w:rPr>
              <w:t>mt</w:t>
            </w:r>
            <w:proofErr w:type="spellEnd"/>
            <w:r w:rsidR="00A24B7E" w:rsidRPr="00E73A27">
              <w:rPr>
                <w:sz w:val="20"/>
                <w:szCs w:val="20"/>
              </w:rPr>
              <w:t>)</w:t>
            </w:r>
          </w:p>
        </w:tc>
        <w:tc>
          <w:tcPr>
            <w:tcW w:w="4585" w:type="dxa"/>
            <w:tcBorders>
              <w:top w:val="single" w:sz="4" w:space="0" w:color="auto"/>
              <w:left w:val="nil"/>
              <w:bottom w:val="single" w:sz="4" w:space="0" w:color="auto"/>
              <w:right w:val="single" w:sz="4" w:space="0" w:color="auto"/>
            </w:tcBorders>
            <w:shd w:val="clear" w:color="auto" w:fill="auto"/>
          </w:tcPr>
          <w:p w:rsidR="00A24B7E" w:rsidRPr="00E73A27" w:rsidRDefault="00A24B7E" w:rsidP="000D7AE5">
            <w:pPr>
              <w:jc w:val="right"/>
              <w:rPr>
                <w:color w:val="000000"/>
                <w:sz w:val="20"/>
                <w:szCs w:val="20"/>
              </w:rPr>
            </w:pPr>
            <w:r w:rsidRPr="00E73A27">
              <w:rPr>
                <w:color w:val="000000"/>
                <w:sz w:val="20"/>
                <w:szCs w:val="20"/>
              </w:rPr>
              <w:t>7.99</w:t>
            </w:r>
          </w:p>
        </w:tc>
      </w:tr>
      <w:tr w:rsidR="00242391" w:rsidRPr="00E73A27" w:rsidTr="0084724A">
        <w:tc>
          <w:tcPr>
            <w:tcW w:w="4770" w:type="dxa"/>
          </w:tcPr>
          <w:p w:rsidR="00242391" w:rsidRPr="00E73A27" w:rsidRDefault="00242391" w:rsidP="000D7AE5">
            <w:pPr>
              <w:rPr>
                <w:sz w:val="20"/>
                <w:szCs w:val="20"/>
              </w:rPr>
            </w:pPr>
            <w:r w:rsidRPr="00E73A27">
              <w:rPr>
                <w:sz w:val="20"/>
                <w:szCs w:val="20"/>
              </w:rPr>
              <w:t>Cost-effectiveness (</w:t>
            </w:r>
            <w:r w:rsidR="00C52303" w:rsidRPr="00E73A27">
              <w:rPr>
                <w:sz w:val="20"/>
                <w:szCs w:val="20"/>
              </w:rPr>
              <w:t>US $</w:t>
            </w:r>
            <w:r w:rsidRPr="00E73A27">
              <w:rPr>
                <w:sz w:val="20"/>
                <w:szCs w:val="20"/>
              </w:rPr>
              <w:t>/kg)</w:t>
            </w:r>
          </w:p>
        </w:tc>
        <w:tc>
          <w:tcPr>
            <w:tcW w:w="4585" w:type="dxa"/>
            <w:tcBorders>
              <w:top w:val="single" w:sz="4" w:space="0" w:color="auto"/>
              <w:left w:val="nil"/>
              <w:bottom w:val="single" w:sz="4" w:space="0" w:color="auto"/>
              <w:right w:val="single" w:sz="4" w:space="0" w:color="auto"/>
            </w:tcBorders>
            <w:shd w:val="clear" w:color="auto" w:fill="auto"/>
          </w:tcPr>
          <w:p w:rsidR="00242391" w:rsidRPr="00E73A27" w:rsidRDefault="00242391" w:rsidP="000D7AE5">
            <w:pPr>
              <w:jc w:val="right"/>
              <w:rPr>
                <w:color w:val="000000"/>
                <w:sz w:val="20"/>
                <w:szCs w:val="20"/>
                <w:lang w:val="en-US"/>
              </w:rPr>
            </w:pPr>
            <w:r w:rsidRPr="00E73A27">
              <w:rPr>
                <w:color w:val="000000"/>
                <w:sz w:val="20"/>
                <w:szCs w:val="20"/>
                <w:lang w:val="en-US"/>
              </w:rPr>
              <w:t>39.94</w:t>
            </w:r>
          </w:p>
        </w:tc>
      </w:tr>
      <w:tr w:rsidR="00242391" w:rsidRPr="00E73A27" w:rsidTr="0084724A">
        <w:tc>
          <w:tcPr>
            <w:tcW w:w="4770" w:type="dxa"/>
          </w:tcPr>
          <w:p w:rsidR="00242391" w:rsidRPr="00E73A27" w:rsidRDefault="00242391" w:rsidP="000D7AE5">
            <w:pPr>
              <w:rPr>
                <w:sz w:val="20"/>
                <w:szCs w:val="20"/>
              </w:rPr>
            </w:pPr>
            <w:r w:rsidRPr="00E73A27">
              <w:rPr>
                <w:sz w:val="20"/>
                <w:szCs w:val="20"/>
              </w:rPr>
              <w:t>Cost-effectiveness (</w:t>
            </w:r>
            <w:r w:rsidR="00C52303" w:rsidRPr="00E73A27">
              <w:rPr>
                <w:sz w:val="20"/>
                <w:szCs w:val="20"/>
              </w:rPr>
              <w:t>US $</w:t>
            </w:r>
            <w:r w:rsidRPr="00E73A27">
              <w:rPr>
                <w:sz w:val="20"/>
                <w:szCs w:val="20"/>
              </w:rPr>
              <w:t>/</w:t>
            </w:r>
            <w:proofErr w:type="spellStart"/>
            <w:r w:rsidRPr="00E73A27">
              <w:rPr>
                <w:sz w:val="20"/>
                <w:szCs w:val="20"/>
              </w:rPr>
              <w:t>mt</w:t>
            </w:r>
            <w:proofErr w:type="spellEnd"/>
            <w:r w:rsidRPr="00E73A27">
              <w:rPr>
                <w:sz w:val="20"/>
                <w:szCs w:val="20"/>
              </w:rPr>
              <w:t xml:space="preserve"> </w:t>
            </w:r>
            <w:r w:rsidRPr="00E73A27">
              <w:rPr>
                <w:rFonts w:eastAsia="Calibri"/>
                <w:sz w:val="20"/>
                <w:szCs w:val="20"/>
                <w:lang w:val="en-CA"/>
              </w:rPr>
              <w:t>CO</w:t>
            </w:r>
            <w:r w:rsidRPr="00E73A27">
              <w:rPr>
                <w:rFonts w:eastAsia="Calibri"/>
                <w:sz w:val="20"/>
                <w:szCs w:val="20"/>
                <w:vertAlign w:val="subscript"/>
                <w:lang w:val="en-CA"/>
              </w:rPr>
              <w:t>2</w:t>
            </w:r>
            <w:r w:rsidRPr="00E73A27">
              <w:rPr>
                <w:sz w:val="20"/>
                <w:szCs w:val="20"/>
              </w:rPr>
              <w:t>-</w:t>
            </w:r>
            <w:proofErr w:type="spellStart"/>
            <w:r w:rsidRPr="00E73A27">
              <w:rPr>
                <w:sz w:val="20"/>
                <w:szCs w:val="20"/>
              </w:rPr>
              <w:t>eq</w:t>
            </w:r>
            <w:proofErr w:type="spellEnd"/>
            <w:r w:rsidRPr="00E73A27">
              <w:rPr>
                <w:sz w:val="20"/>
                <w:szCs w:val="20"/>
              </w:rPr>
              <w:t>)</w:t>
            </w:r>
          </w:p>
        </w:tc>
        <w:tc>
          <w:tcPr>
            <w:tcW w:w="4585" w:type="dxa"/>
            <w:tcBorders>
              <w:top w:val="single" w:sz="4" w:space="0" w:color="auto"/>
              <w:left w:val="nil"/>
              <w:bottom w:val="single" w:sz="4" w:space="0" w:color="auto"/>
              <w:right w:val="single" w:sz="4" w:space="0" w:color="auto"/>
            </w:tcBorders>
            <w:shd w:val="clear" w:color="auto" w:fill="auto"/>
          </w:tcPr>
          <w:p w:rsidR="00242391" w:rsidRPr="00E73A27" w:rsidRDefault="00242391" w:rsidP="000D7AE5">
            <w:pPr>
              <w:jc w:val="right"/>
              <w:rPr>
                <w:color w:val="000000"/>
                <w:sz w:val="20"/>
                <w:szCs w:val="20"/>
                <w:lang w:val="en-US"/>
              </w:rPr>
            </w:pPr>
            <w:r w:rsidRPr="00E73A27">
              <w:rPr>
                <w:color w:val="000000"/>
                <w:sz w:val="20"/>
                <w:szCs w:val="20"/>
                <w:lang w:val="en-US"/>
              </w:rPr>
              <w:t>27.93</w:t>
            </w:r>
          </w:p>
        </w:tc>
      </w:tr>
    </w:tbl>
    <w:p w:rsidR="00242391" w:rsidRPr="00E73A27" w:rsidRDefault="00242391" w:rsidP="00242391">
      <w:pPr>
        <w:outlineLvl w:val="0"/>
      </w:pPr>
    </w:p>
    <w:p w:rsidR="00242391" w:rsidRPr="00E73A27" w:rsidRDefault="00242391" w:rsidP="00242391">
      <w:pPr>
        <w:pStyle w:val="Heading1"/>
        <w:tabs>
          <w:tab w:val="clear" w:pos="142"/>
          <w:tab w:val="num" w:pos="0"/>
        </w:tabs>
        <w:ind w:left="0"/>
      </w:pPr>
      <w:r w:rsidRPr="00E73A27">
        <w:t xml:space="preserve">The overall cost-effectiveness of the project is </w:t>
      </w:r>
      <w:r w:rsidR="00C52303" w:rsidRPr="00E73A27">
        <w:t>US $</w:t>
      </w:r>
      <w:r w:rsidRPr="00E73A27">
        <w:t>39.94/kg based on the funds requested from the Multilateral Fund. The project will be implemented over a period of 24 months.</w:t>
      </w:r>
    </w:p>
    <w:p w:rsidR="00242391" w:rsidRPr="00E73A27" w:rsidRDefault="00242391" w:rsidP="00242391">
      <w:pPr>
        <w:pStyle w:val="Heading1"/>
        <w:tabs>
          <w:tab w:val="clear" w:pos="142"/>
          <w:tab w:val="num" w:pos="0"/>
        </w:tabs>
        <w:ind w:left="0"/>
        <w:rPr>
          <w:rFonts w:eastAsia="Calibri"/>
          <w:lang w:val="en-CA"/>
        </w:rPr>
      </w:pPr>
      <w:r w:rsidRPr="00E73A27">
        <w:t xml:space="preserve">The project will eliminate annual consumption of 19.80 </w:t>
      </w:r>
      <w:proofErr w:type="spellStart"/>
      <w:r w:rsidRPr="00E73A27">
        <w:t>mt</w:t>
      </w:r>
      <w:proofErr w:type="spellEnd"/>
      <w:r w:rsidRPr="00E73A27">
        <w:t xml:space="preserve"> (</w:t>
      </w:r>
      <w:r w:rsidRPr="00E73A27">
        <w:rPr>
          <w:rFonts w:eastAsia="Calibri"/>
          <w:lang w:val="en-CA"/>
        </w:rPr>
        <w:t>28,314 CO</w:t>
      </w:r>
      <w:r w:rsidRPr="00E73A27">
        <w:rPr>
          <w:rFonts w:eastAsia="Calibri"/>
          <w:vertAlign w:val="subscript"/>
          <w:lang w:val="en-CA"/>
        </w:rPr>
        <w:t>2</w:t>
      </w:r>
      <w:r w:rsidRPr="00E73A27">
        <w:rPr>
          <w:rFonts w:eastAsia="Calibri"/>
          <w:lang w:val="en-CA"/>
        </w:rPr>
        <w:t xml:space="preserve">-eq </w:t>
      </w:r>
      <w:proofErr w:type="spellStart"/>
      <w:r w:rsidRPr="00E73A27">
        <w:rPr>
          <w:rFonts w:eastAsia="Calibri"/>
          <w:lang w:val="en-CA"/>
        </w:rPr>
        <w:t>mt</w:t>
      </w:r>
      <w:proofErr w:type="spellEnd"/>
      <w:r w:rsidRPr="00E73A27">
        <w:rPr>
          <w:rFonts w:eastAsia="Calibri"/>
          <w:lang w:val="en-CA"/>
        </w:rPr>
        <w:t>) of HFC-134a.</w:t>
      </w:r>
      <w:r w:rsidRPr="00E73A27">
        <w:t xml:space="preserve"> </w:t>
      </w:r>
      <w:r w:rsidRPr="00E73A27">
        <w:rPr>
          <w:rFonts w:eastAsia="Calibri"/>
          <w:lang w:val="en-CA"/>
        </w:rPr>
        <w:t xml:space="preserve">The energy efficiency of the refrigerators is estimated to improve by about </w:t>
      </w:r>
      <w:r w:rsidR="00A24B7E" w:rsidRPr="00E73A27">
        <w:rPr>
          <w:rFonts w:eastAsia="Calibri"/>
          <w:lang w:val="en-CA"/>
        </w:rPr>
        <w:t xml:space="preserve">10 </w:t>
      </w:r>
      <w:r w:rsidRPr="00E73A27">
        <w:rPr>
          <w:rFonts w:eastAsia="Calibri"/>
          <w:lang w:val="en-CA"/>
        </w:rPr>
        <w:t>per cent through the modifications to the components.</w:t>
      </w:r>
    </w:p>
    <w:p w:rsidR="00242391" w:rsidRPr="00E73A27" w:rsidRDefault="00242391" w:rsidP="00242391">
      <w:pPr>
        <w:rPr>
          <w:b/>
          <w:lang w:val="en-CA"/>
        </w:rPr>
      </w:pPr>
      <w:r w:rsidRPr="00E73A27">
        <w:rPr>
          <w:b/>
          <w:lang w:val="en-CA"/>
        </w:rPr>
        <w:t xml:space="preserve">Secretariat’s comments </w:t>
      </w:r>
    </w:p>
    <w:p w:rsidR="00242391" w:rsidRPr="00E73A27" w:rsidRDefault="00242391" w:rsidP="00242391">
      <w:pPr>
        <w:rPr>
          <w:lang w:val="en-CA"/>
        </w:rPr>
      </w:pPr>
    </w:p>
    <w:p w:rsidR="00242391" w:rsidRPr="00E73A27" w:rsidRDefault="00242391" w:rsidP="00242391">
      <w:pPr>
        <w:rPr>
          <w:u w:val="single"/>
          <w:lang w:val="en-CA"/>
        </w:rPr>
      </w:pPr>
      <w:r w:rsidRPr="00E73A27">
        <w:rPr>
          <w:u w:val="single"/>
          <w:lang w:val="en-CA"/>
        </w:rPr>
        <w:t>Proposed costs</w:t>
      </w:r>
    </w:p>
    <w:p w:rsidR="00242391" w:rsidRPr="00E73A27" w:rsidRDefault="00242391" w:rsidP="00242391">
      <w:pPr>
        <w:rPr>
          <w:u w:val="single"/>
          <w:lang w:val="en-CA"/>
        </w:rPr>
      </w:pPr>
    </w:p>
    <w:p w:rsidR="00242391" w:rsidRPr="00E73A27" w:rsidRDefault="00242391" w:rsidP="00242391">
      <w:pPr>
        <w:pStyle w:val="Heading1"/>
        <w:tabs>
          <w:tab w:val="clear" w:pos="142"/>
          <w:tab w:val="num" w:pos="0"/>
        </w:tabs>
        <w:ind w:left="0"/>
        <w:rPr>
          <w:lang w:val="en-CA"/>
        </w:rPr>
      </w:pPr>
      <w:r w:rsidRPr="00E73A27">
        <w:rPr>
          <w:lang w:val="en-CA"/>
        </w:rPr>
        <w:t xml:space="preserve">Upon discussion with UNIDO of the elements included in the project, the following adjustments were made and agreed: a reduction in the cost of product design and trials from </w:t>
      </w:r>
      <w:r w:rsidR="00C52303" w:rsidRPr="00E73A27">
        <w:rPr>
          <w:lang w:val="en-CA"/>
        </w:rPr>
        <w:t>US $</w:t>
      </w:r>
      <w:r w:rsidRPr="00E73A27">
        <w:rPr>
          <w:lang w:val="en-CA"/>
        </w:rPr>
        <w:t xml:space="preserve">39,000 to </w:t>
      </w:r>
      <w:r w:rsidR="00C52303" w:rsidRPr="00E73A27">
        <w:rPr>
          <w:lang w:val="en-CA"/>
        </w:rPr>
        <w:t>US $</w:t>
      </w:r>
      <w:r w:rsidRPr="00E73A27">
        <w:rPr>
          <w:lang w:val="en-CA"/>
        </w:rPr>
        <w:t xml:space="preserve">22,500, given that different products are based on common patterns; the removal of a new charging machine as the existing one can already operate with flammable refrigerants (instead </w:t>
      </w:r>
      <w:r w:rsidR="00C52303" w:rsidRPr="00E73A27">
        <w:rPr>
          <w:lang w:val="en-CA"/>
        </w:rPr>
        <w:t>US $</w:t>
      </w:r>
      <w:r w:rsidRPr="00E73A27">
        <w:rPr>
          <w:lang w:val="en-CA"/>
        </w:rPr>
        <w:t xml:space="preserve">7,000 were agreed to undertake needed repairs to the unit to operate safely with R-290); a reduction in the cost of the helium management system from </w:t>
      </w:r>
      <w:r w:rsidR="00C52303" w:rsidRPr="00E73A27">
        <w:rPr>
          <w:lang w:val="en-CA"/>
        </w:rPr>
        <w:t>US $</w:t>
      </w:r>
      <w:r w:rsidRPr="00E73A27">
        <w:rPr>
          <w:lang w:val="en-CA"/>
        </w:rPr>
        <w:t xml:space="preserve">55,000 to </w:t>
      </w:r>
      <w:r w:rsidR="00C52303" w:rsidRPr="00E73A27">
        <w:rPr>
          <w:lang w:val="en-CA"/>
        </w:rPr>
        <w:t>US $</w:t>
      </w:r>
      <w:r w:rsidRPr="00E73A27">
        <w:rPr>
          <w:lang w:val="en-CA"/>
        </w:rPr>
        <w:t xml:space="preserve">38,000 </w:t>
      </w:r>
      <w:r w:rsidR="00A24B7E" w:rsidRPr="00E73A27">
        <w:rPr>
          <w:lang w:val="en-CA"/>
        </w:rPr>
        <w:t>in line with other proposals;</w:t>
      </w:r>
      <w:r w:rsidRPr="00E73A27">
        <w:rPr>
          <w:lang w:val="en-CA"/>
        </w:rPr>
        <w:t xml:space="preserve"> a </w:t>
      </w:r>
      <w:r w:rsidR="00954D06" w:rsidRPr="00E73A27">
        <w:rPr>
          <w:lang w:val="en-CA"/>
        </w:rPr>
        <w:t>reduction in the number of hand</w:t>
      </w:r>
      <w:r w:rsidRPr="00E73A27">
        <w:rPr>
          <w:lang w:val="en-CA"/>
        </w:rPr>
        <w:t xml:space="preserve">held leak detectors from four to two, based on the needs of the line; and minor adjustments to the safety </w:t>
      </w:r>
      <w:r w:rsidR="00AF57FB" w:rsidRPr="00E73A27">
        <w:rPr>
          <w:lang w:val="en-CA"/>
        </w:rPr>
        <w:t xml:space="preserve">systems costs as shown in Table </w:t>
      </w:r>
      <w:r w:rsidR="00E73A27" w:rsidRPr="00E73A27">
        <w:rPr>
          <w:lang w:val="en-CA"/>
        </w:rPr>
        <w:t>12</w:t>
      </w:r>
      <w:r w:rsidRPr="00E73A27">
        <w:rPr>
          <w:lang w:val="en-CA"/>
        </w:rPr>
        <w:t>.</w:t>
      </w:r>
    </w:p>
    <w:p w:rsidR="00A24B7E" w:rsidRPr="00E73A27" w:rsidRDefault="00242391" w:rsidP="00A24B7E">
      <w:pPr>
        <w:pStyle w:val="Heading1"/>
        <w:tabs>
          <w:tab w:val="clear" w:pos="142"/>
          <w:tab w:val="num" w:pos="90"/>
        </w:tabs>
        <w:ind w:left="0"/>
        <w:rPr>
          <w:lang w:val="en-CA"/>
        </w:rPr>
      </w:pPr>
      <w:r w:rsidRPr="00E73A27">
        <w:rPr>
          <w:lang w:val="en-CA"/>
        </w:rPr>
        <w:t xml:space="preserve">As IOCs are not being requested, their calculation was not discussed in detail. </w:t>
      </w:r>
      <w:r w:rsidR="00A24B7E" w:rsidRPr="00E73A27">
        <w:rPr>
          <w:lang w:val="en-CA"/>
        </w:rPr>
        <w:t>The Secretariat, however, noted that the costs of R-290-based compressors are expected to be comparable with HFC</w:t>
      </w:r>
      <w:r w:rsidR="00A24B7E" w:rsidRPr="00E73A27">
        <w:rPr>
          <w:lang w:val="en-CA"/>
        </w:rPr>
        <w:noBreakHyphen/>
        <w:t>134a</w:t>
      </w:r>
      <w:r w:rsidR="00A24B7E" w:rsidRPr="00E73A27">
        <w:rPr>
          <w:lang w:val="en-CA"/>
        </w:rPr>
        <w:noBreakHyphen/>
        <w:t>based compressors once economies-of-scale are achieved</w:t>
      </w:r>
      <w:r w:rsidR="005E5253" w:rsidRPr="00E73A27">
        <w:rPr>
          <w:lang w:val="en-CA"/>
        </w:rPr>
        <w:t xml:space="preserve"> in their production.</w:t>
      </w:r>
    </w:p>
    <w:p w:rsidR="00242391" w:rsidRPr="00E73A27" w:rsidRDefault="00A24B7E" w:rsidP="00A24B7E">
      <w:pPr>
        <w:pStyle w:val="Heading1"/>
        <w:tabs>
          <w:tab w:val="clear" w:pos="142"/>
          <w:tab w:val="num" w:pos="90"/>
        </w:tabs>
        <w:ind w:left="0"/>
        <w:rPr>
          <w:lang w:val="en-CA"/>
        </w:rPr>
      </w:pPr>
      <w:r w:rsidRPr="00E73A27">
        <w:rPr>
          <w:lang w:val="en-CA"/>
        </w:rPr>
        <w:t>Nevertheless, UNIDO has confirmed that, in line with decision 78/3(g), the project will collect, and include in the final report, data on the ICCs and IOCs incurred, and that, in line with decision 22/38 and subsequent decisions of the Executive Committee, equipment to be replaced by the project will, as part of the project, be destroyed or rendered unusable.</w:t>
      </w:r>
    </w:p>
    <w:p w:rsidR="00242391" w:rsidRPr="00E73A27" w:rsidRDefault="00242391" w:rsidP="00242391">
      <w:pPr>
        <w:pStyle w:val="Heading1"/>
        <w:tabs>
          <w:tab w:val="clear" w:pos="142"/>
          <w:tab w:val="num" w:pos="0"/>
        </w:tabs>
        <w:ind w:left="0"/>
        <w:rPr>
          <w:lang w:val="en-CA"/>
        </w:rPr>
      </w:pPr>
      <w:r w:rsidRPr="00E73A27">
        <w:rPr>
          <w:lang w:val="en-CA"/>
        </w:rPr>
        <w:t xml:space="preserve">The revised costs of the conversion of the commercial refrigeration manufacturing line in </w:t>
      </w:r>
      <w:proofErr w:type="spellStart"/>
      <w:r w:rsidRPr="00E73A27">
        <w:rPr>
          <w:lang w:val="en-CA"/>
        </w:rPr>
        <w:t>Induglob</w:t>
      </w:r>
      <w:proofErr w:type="spellEnd"/>
      <w:r w:rsidRPr="00E73A27">
        <w:rPr>
          <w:lang w:val="en-CA"/>
        </w:rPr>
        <w:t xml:space="preserve"> are shown in Table </w:t>
      </w:r>
      <w:r w:rsidR="0084724A" w:rsidRPr="00E73A27">
        <w:rPr>
          <w:lang w:val="en-CA"/>
        </w:rPr>
        <w:t>12</w:t>
      </w:r>
      <w:r w:rsidRPr="00E73A27">
        <w:rPr>
          <w:lang w:val="en-CA"/>
        </w:rPr>
        <w:t>.</w:t>
      </w:r>
    </w:p>
    <w:p w:rsidR="00242391" w:rsidRPr="00E73A27" w:rsidRDefault="00242391" w:rsidP="00142968">
      <w:pPr>
        <w:pStyle w:val="Heading1"/>
        <w:numPr>
          <w:ilvl w:val="0"/>
          <w:numId w:val="0"/>
        </w:numPr>
        <w:spacing w:after="0"/>
        <w:rPr>
          <w:b/>
          <w:lang w:val="en-CA"/>
        </w:rPr>
      </w:pPr>
      <w:r w:rsidRPr="00E73A27">
        <w:rPr>
          <w:b/>
          <w:lang w:val="en-CA"/>
        </w:rPr>
        <w:t xml:space="preserve">Table </w:t>
      </w:r>
      <w:r w:rsidR="0084724A" w:rsidRPr="00E73A27">
        <w:rPr>
          <w:b/>
          <w:lang w:val="en-CA"/>
        </w:rPr>
        <w:t>12</w:t>
      </w:r>
      <w:r w:rsidRPr="00E73A27">
        <w:rPr>
          <w:b/>
          <w:lang w:val="en-CA"/>
        </w:rPr>
        <w:t>.</w:t>
      </w:r>
      <w:r w:rsidRPr="00E73A27">
        <w:rPr>
          <w:b/>
          <w:sz w:val="21"/>
          <w:szCs w:val="21"/>
          <w:lang w:val="en-CA"/>
        </w:rPr>
        <w:t xml:space="preserve"> Proposed and revised costs </w:t>
      </w:r>
      <w:r w:rsidR="00AF57FB" w:rsidRPr="00E73A27">
        <w:rPr>
          <w:b/>
          <w:sz w:val="21"/>
          <w:szCs w:val="21"/>
          <w:lang w:val="en-CA"/>
        </w:rPr>
        <w:t xml:space="preserve">of </w:t>
      </w:r>
      <w:r w:rsidRPr="00E73A27">
        <w:rPr>
          <w:b/>
          <w:sz w:val="21"/>
          <w:szCs w:val="21"/>
          <w:lang w:val="en-CA"/>
        </w:rPr>
        <w:t>the conversion of domestic and commercial refrigerators manufacturing at</w:t>
      </w:r>
      <w:r w:rsidRPr="00E73A27">
        <w:rPr>
          <w:b/>
          <w:lang w:val="en-CA"/>
        </w:rPr>
        <w:t xml:space="preserve"> </w:t>
      </w:r>
      <w:proofErr w:type="spellStart"/>
      <w:r w:rsidRPr="00E73A27">
        <w:rPr>
          <w:b/>
          <w:lang w:val="en-CA"/>
        </w:rPr>
        <w:t>Induglob</w:t>
      </w:r>
      <w:proofErr w:type="spellEnd"/>
    </w:p>
    <w:tbl>
      <w:tblPr>
        <w:tblW w:w="5000" w:type="pct"/>
        <w:tblLook w:val="04A0" w:firstRow="1" w:lastRow="0" w:firstColumn="1" w:lastColumn="0" w:noHBand="0" w:noVBand="1"/>
      </w:tblPr>
      <w:tblGrid>
        <w:gridCol w:w="6148"/>
        <w:gridCol w:w="1601"/>
        <w:gridCol w:w="1601"/>
      </w:tblGrid>
      <w:tr w:rsidR="00242391" w:rsidRPr="00E73A27" w:rsidTr="0084724A">
        <w:trPr>
          <w:tblHeader/>
        </w:trPr>
        <w:tc>
          <w:tcPr>
            <w:tcW w:w="3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Item</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center"/>
              <w:rPr>
                <w:b/>
                <w:bCs/>
                <w:color w:val="000000"/>
                <w:sz w:val="20"/>
                <w:szCs w:val="20"/>
                <w:lang w:val="en-US"/>
              </w:rPr>
            </w:pPr>
            <w:r w:rsidRPr="00E73A27">
              <w:rPr>
                <w:b/>
                <w:bCs/>
                <w:color w:val="000000"/>
                <w:sz w:val="20"/>
                <w:szCs w:val="20"/>
                <w:lang w:val="en-US"/>
              </w:rPr>
              <w:t>Proposed costs</w:t>
            </w:r>
          </w:p>
          <w:p w:rsidR="00242391" w:rsidRPr="00E73A27" w:rsidRDefault="00242391" w:rsidP="000D7AE5">
            <w:pPr>
              <w:jc w:val="center"/>
              <w:rPr>
                <w:b/>
                <w:bCs/>
                <w:color w:val="000000"/>
                <w:sz w:val="20"/>
                <w:szCs w:val="20"/>
                <w:lang w:val="en-US"/>
              </w:rPr>
            </w:pPr>
            <w:r w:rsidRPr="00E73A27">
              <w:rPr>
                <w:b/>
                <w:bCs/>
                <w:color w:val="000000"/>
                <w:sz w:val="20"/>
                <w:szCs w:val="20"/>
                <w:lang w:val="en-US"/>
              </w:rPr>
              <w:t>(</w:t>
            </w:r>
            <w:r w:rsidR="00C52303" w:rsidRPr="00E73A27">
              <w:rPr>
                <w:b/>
                <w:bCs/>
                <w:color w:val="000000"/>
                <w:sz w:val="20"/>
                <w:szCs w:val="20"/>
                <w:lang w:val="en-US"/>
              </w:rPr>
              <w:t>US $</w:t>
            </w:r>
            <w:r w:rsidRPr="00E73A27">
              <w:rPr>
                <w:b/>
                <w:bCs/>
                <w:color w:val="000000"/>
                <w:sz w:val="20"/>
                <w:szCs w:val="20"/>
                <w:lang w:val="en-U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jc w:val="center"/>
              <w:rPr>
                <w:b/>
                <w:bCs/>
                <w:color w:val="000000"/>
                <w:sz w:val="20"/>
                <w:szCs w:val="20"/>
                <w:lang w:val="en-US"/>
              </w:rPr>
            </w:pPr>
            <w:r w:rsidRPr="00E73A27">
              <w:rPr>
                <w:b/>
                <w:bCs/>
                <w:color w:val="000000"/>
                <w:sz w:val="20"/>
                <w:szCs w:val="20"/>
                <w:lang w:val="en-US"/>
              </w:rPr>
              <w:t>Revised costs</w:t>
            </w:r>
          </w:p>
          <w:p w:rsidR="00242391" w:rsidRPr="00E73A27" w:rsidRDefault="00242391" w:rsidP="000D7AE5">
            <w:pPr>
              <w:jc w:val="center"/>
              <w:rPr>
                <w:b/>
                <w:bCs/>
                <w:color w:val="000000"/>
                <w:sz w:val="20"/>
                <w:szCs w:val="20"/>
                <w:lang w:val="en-US"/>
              </w:rPr>
            </w:pPr>
            <w:r w:rsidRPr="00E73A27">
              <w:rPr>
                <w:b/>
                <w:bCs/>
                <w:color w:val="000000"/>
                <w:sz w:val="20"/>
                <w:szCs w:val="20"/>
                <w:lang w:val="en-US"/>
              </w:rPr>
              <w:t>(</w:t>
            </w:r>
            <w:r w:rsidR="00C52303" w:rsidRPr="00E73A27">
              <w:rPr>
                <w:b/>
                <w:bCs/>
                <w:color w:val="000000"/>
                <w:sz w:val="20"/>
                <w:szCs w:val="20"/>
                <w:lang w:val="en-US"/>
              </w:rPr>
              <w:t>US $</w:t>
            </w:r>
            <w:r w:rsidRPr="00E73A27">
              <w:rPr>
                <w:b/>
                <w:bCs/>
                <w:color w:val="000000"/>
                <w:sz w:val="20"/>
                <w:szCs w:val="20"/>
                <w:lang w:val="en-US"/>
              </w:rPr>
              <w:t>)</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rsidR="00242391" w:rsidRPr="00E73A27" w:rsidRDefault="00242391" w:rsidP="000D7AE5">
            <w:pPr>
              <w:rPr>
                <w:b/>
                <w:bCs/>
                <w:color w:val="000000"/>
                <w:sz w:val="20"/>
                <w:szCs w:val="20"/>
                <w:lang w:val="en-US"/>
              </w:rPr>
            </w:pPr>
            <w:r w:rsidRPr="00E73A27">
              <w:rPr>
                <w:b/>
                <w:bCs/>
                <w:color w:val="000000"/>
                <w:sz w:val="20"/>
                <w:szCs w:val="20"/>
                <w:lang w:val="en-US"/>
              </w:rPr>
              <w:t>1. General product redesign</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
                <w:bCs/>
                <w:color w:val="000000"/>
                <w:sz w:val="20"/>
                <w:szCs w:val="20"/>
                <w:lang w:val="en-US"/>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42391" w:rsidRPr="00E73A27" w:rsidRDefault="00242391" w:rsidP="000D7AE5">
            <w:pPr>
              <w:jc w:val="right"/>
              <w:rPr>
                <w:b/>
                <w:bCs/>
                <w:color w:val="000000"/>
                <w:sz w:val="20"/>
                <w:szCs w:val="20"/>
                <w:lang w:val="en-US"/>
              </w:rPr>
            </w:pP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Platform redesign</w:t>
            </w:r>
          </w:p>
        </w:tc>
        <w:tc>
          <w:tcPr>
            <w:tcW w:w="856" w:type="pct"/>
            <w:tcBorders>
              <w:top w:val="single" w:sz="4" w:space="0" w:color="auto"/>
              <w:left w:val="nil"/>
              <w:bottom w:val="single" w:sz="4" w:space="0" w:color="auto"/>
              <w:right w:val="single" w:sz="4" w:space="0" w:color="auto"/>
            </w:tcBorders>
          </w:tcPr>
          <w:p w:rsidR="00242391" w:rsidRPr="00E73A27" w:rsidRDefault="00242391" w:rsidP="000D7AE5">
            <w:pPr>
              <w:jc w:val="right"/>
              <w:rPr>
                <w:sz w:val="20"/>
                <w:szCs w:val="20"/>
              </w:rPr>
            </w:pPr>
            <w:r w:rsidRPr="00E73A27">
              <w:rPr>
                <w:sz w:val="20"/>
                <w:szCs w:val="20"/>
              </w:rPr>
              <w:t xml:space="preserve"> 39,000 </w:t>
            </w:r>
          </w:p>
        </w:tc>
        <w:tc>
          <w:tcPr>
            <w:tcW w:w="856" w:type="pct"/>
            <w:tcBorders>
              <w:top w:val="single" w:sz="4" w:space="0" w:color="auto"/>
              <w:left w:val="single" w:sz="4" w:space="0" w:color="auto"/>
              <w:bottom w:val="single" w:sz="4" w:space="0" w:color="auto"/>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22,500 </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vAlign w:val="center"/>
          </w:tcPr>
          <w:p w:rsidR="00242391" w:rsidRPr="00E73A27" w:rsidRDefault="00242391" w:rsidP="000D7AE5">
            <w:pPr>
              <w:jc w:val="left"/>
              <w:rPr>
                <w:b/>
                <w:bCs/>
                <w:color w:val="000000"/>
                <w:sz w:val="20"/>
                <w:szCs w:val="20"/>
                <w:lang w:val="en-US"/>
              </w:rPr>
            </w:pPr>
            <w:r w:rsidRPr="00E73A27">
              <w:rPr>
                <w:b/>
                <w:bCs/>
                <w:color w:val="000000"/>
                <w:sz w:val="20"/>
                <w:szCs w:val="20"/>
                <w:lang w:val="en-US"/>
              </w:rPr>
              <w:t>Total product design and trials</w:t>
            </w:r>
          </w:p>
        </w:tc>
        <w:tc>
          <w:tcPr>
            <w:tcW w:w="856" w:type="pct"/>
            <w:tcBorders>
              <w:top w:val="single" w:sz="4" w:space="0" w:color="auto"/>
              <w:left w:val="nil"/>
              <w:bottom w:val="single" w:sz="4" w:space="0" w:color="auto"/>
              <w:right w:val="single" w:sz="4" w:space="0" w:color="auto"/>
            </w:tcBorders>
          </w:tcPr>
          <w:p w:rsidR="00242391" w:rsidRPr="00E73A27" w:rsidRDefault="00242391" w:rsidP="000D7AE5">
            <w:pPr>
              <w:jc w:val="right"/>
              <w:rPr>
                <w:b/>
                <w:sz w:val="20"/>
                <w:szCs w:val="20"/>
              </w:rPr>
            </w:pPr>
            <w:r w:rsidRPr="00E73A27">
              <w:rPr>
                <w:b/>
                <w:sz w:val="20"/>
                <w:szCs w:val="20"/>
              </w:rPr>
              <w:t xml:space="preserve"> 39,000 </w:t>
            </w:r>
          </w:p>
        </w:tc>
        <w:tc>
          <w:tcPr>
            <w:tcW w:w="856" w:type="pct"/>
            <w:tcBorders>
              <w:top w:val="nil"/>
              <w:left w:val="single" w:sz="4" w:space="0" w:color="auto"/>
              <w:bottom w:val="single" w:sz="4" w:space="0" w:color="auto"/>
              <w:right w:val="single" w:sz="4" w:space="0" w:color="auto"/>
            </w:tcBorders>
            <w:shd w:val="clear" w:color="auto" w:fill="auto"/>
          </w:tcPr>
          <w:p w:rsidR="00242391" w:rsidRPr="00E73A27" w:rsidRDefault="00242391" w:rsidP="000D7AE5">
            <w:pPr>
              <w:jc w:val="right"/>
              <w:rPr>
                <w:b/>
                <w:sz w:val="20"/>
                <w:szCs w:val="20"/>
              </w:rPr>
            </w:pPr>
            <w:r w:rsidRPr="00E73A27">
              <w:rPr>
                <w:b/>
                <w:sz w:val="20"/>
                <w:szCs w:val="20"/>
              </w:rPr>
              <w:t xml:space="preserve"> 22,500 </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vAlign w:val="center"/>
          </w:tcPr>
          <w:p w:rsidR="00242391" w:rsidRPr="00E73A27" w:rsidRDefault="00242391" w:rsidP="000D7AE5">
            <w:pPr>
              <w:rPr>
                <w:b/>
                <w:bCs/>
                <w:color w:val="000000"/>
                <w:sz w:val="20"/>
                <w:szCs w:val="20"/>
                <w:lang w:val="en-US"/>
              </w:rPr>
            </w:pPr>
            <w:r w:rsidRPr="00E73A27">
              <w:rPr>
                <w:b/>
                <w:bCs/>
                <w:color w:val="000000"/>
                <w:sz w:val="20"/>
                <w:szCs w:val="20"/>
                <w:lang w:val="en-US"/>
              </w:rPr>
              <w:t>2. Production equipment</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
                <w:bCs/>
                <w:color w:val="000000"/>
                <w:sz w:val="20"/>
                <w:szCs w:val="20"/>
                <w:lang w:val="en-US"/>
              </w:rPr>
            </w:pPr>
          </w:p>
        </w:tc>
        <w:tc>
          <w:tcPr>
            <w:tcW w:w="856" w:type="pct"/>
            <w:tcBorders>
              <w:top w:val="nil"/>
              <w:left w:val="single" w:sz="4" w:space="0" w:color="auto"/>
              <w:bottom w:val="single" w:sz="4" w:space="0" w:color="auto"/>
              <w:right w:val="single" w:sz="4" w:space="0" w:color="auto"/>
            </w:tcBorders>
            <w:shd w:val="clear" w:color="auto" w:fill="auto"/>
            <w:vAlign w:val="center"/>
          </w:tcPr>
          <w:p w:rsidR="00242391" w:rsidRPr="00E73A27" w:rsidRDefault="00242391" w:rsidP="000D7AE5">
            <w:pPr>
              <w:jc w:val="right"/>
              <w:rPr>
                <w:color w:val="000000"/>
                <w:sz w:val="20"/>
                <w:szCs w:val="20"/>
              </w:rPr>
            </w:pP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Adaptation assembly line</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8,000</w:t>
            </w:r>
          </w:p>
        </w:tc>
        <w:tc>
          <w:tcPr>
            <w:tcW w:w="856"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right"/>
              <w:rPr>
                <w:color w:val="000000"/>
                <w:sz w:val="20"/>
                <w:szCs w:val="20"/>
              </w:rPr>
            </w:pPr>
            <w:r w:rsidRPr="00E73A27">
              <w:rPr>
                <w:color w:val="000000"/>
                <w:sz w:val="20"/>
                <w:szCs w:val="20"/>
              </w:rPr>
              <w:t>5,000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Charging machine for R-600a/R-290, explosion-proof</w:t>
            </w:r>
          </w:p>
        </w:tc>
        <w:tc>
          <w:tcPr>
            <w:tcW w:w="856" w:type="pct"/>
            <w:tcBorders>
              <w:top w:val="single" w:sz="4" w:space="0" w:color="auto"/>
              <w:left w:val="single" w:sz="4" w:space="0" w:color="auto"/>
              <w:bottom w:val="single" w:sz="4" w:space="0" w:color="auto"/>
              <w:right w:val="single" w:sz="4" w:space="0" w:color="auto"/>
            </w:tcBorders>
          </w:tcPr>
          <w:p w:rsidR="00242391" w:rsidRPr="00E73A27" w:rsidRDefault="00242391" w:rsidP="000D7AE5">
            <w:pPr>
              <w:jc w:val="right"/>
              <w:rPr>
                <w:sz w:val="20"/>
                <w:szCs w:val="20"/>
              </w:rPr>
            </w:pPr>
            <w:r w:rsidRPr="00E73A27">
              <w:rPr>
                <w:sz w:val="20"/>
                <w:szCs w:val="20"/>
              </w:rPr>
              <w:t xml:space="preserve"> 48,000 </w:t>
            </w:r>
          </w:p>
        </w:tc>
        <w:tc>
          <w:tcPr>
            <w:tcW w:w="856" w:type="pct"/>
            <w:tcBorders>
              <w:top w:val="nil"/>
              <w:left w:val="single" w:sz="4" w:space="0" w:color="auto"/>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 7,000 </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Safety control system for the charging area</w:t>
            </w:r>
          </w:p>
        </w:tc>
        <w:tc>
          <w:tcPr>
            <w:tcW w:w="856" w:type="pct"/>
            <w:tcBorders>
              <w:top w:val="single" w:sz="4" w:space="0" w:color="auto"/>
              <w:left w:val="single" w:sz="4" w:space="0" w:color="auto"/>
              <w:bottom w:val="single" w:sz="4" w:space="0" w:color="auto"/>
              <w:right w:val="single" w:sz="4" w:space="0" w:color="auto"/>
            </w:tcBorders>
          </w:tcPr>
          <w:p w:rsidR="00242391" w:rsidRPr="00E73A27" w:rsidRDefault="00242391" w:rsidP="000D7AE5">
            <w:pPr>
              <w:jc w:val="right"/>
              <w:rPr>
                <w:sz w:val="20"/>
                <w:szCs w:val="20"/>
              </w:rPr>
            </w:pPr>
            <w:r w:rsidRPr="00E73A27">
              <w:rPr>
                <w:sz w:val="20"/>
                <w:szCs w:val="20"/>
              </w:rPr>
              <w:t xml:space="preserve"> 38,000 </w:t>
            </w:r>
          </w:p>
        </w:tc>
        <w:tc>
          <w:tcPr>
            <w:tcW w:w="856" w:type="pct"/>
            <w:tcBorders>
              <w:top w:val="nil"/>
              <w:left w:val="single" w:sz="4" w:space="0" w:color="auto"/>
              <w:bottom w:val="single" w:sz="4" w:space="0" w:color="000000"/>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30,000 </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Refrigerant booster pump, pneumatic</w:t>
            </w:r>
          </w:p>
        </w:tc>
        <w:tc>
          <w:tcPr>
            <w:tcW w:w="856" w:type="pct"/>
            <w:tcBorders>
              <w:top w:val="single" w:sz="4" w:space="0" w:color="auto"/>
              <w:left w:val="single" w:sz="4" w:space="0" w:color="auto"/>
              <w:bottom w:val="single" w:sz="4" w:space="0" w:color="auto"/>
              <w:right w:val="single" w:sz="4" w:space="0" w:color="auto"/>
            </w:tcBorders>
          </w:tcPr>
          <w:p w:rsidR="00242391" w:rsidRPr="00E73A27" w:rsidRDefault="00242391" w:rsidP="000D7AE5">
            <w:pPr>
              <w:jc w:val="right"/>
              <w:rPr>
                <w:sz w:val="20"/>
                <w:szCs w:val="20"/>
              </w:rPr>
            </w:pPr>
            <w:r w:rsidRPr="00E73A27">
              <w:rPr>
                <w:sz w:val="20"/>
                <w:szCs w:val="20"/>
              </w:rPr>
              <w:t xml:space="preserve"> 8,000 </w:t>
            </w:r>
          </w:p>
        </w:tc>
        <w:tc>
          <w:tcPr>
            <w:tcW w:w="856" w:type="pct"/>
            <w:tcBorders>
              <w:top w:val="nil"/>
              <w:left w:val="single" w:sz="4" w:space="0" w:color="auto"/>
              <w:bottom w:val="single" w:sz="4" w:space="0" w:color="000000"/>
              <w:right w:val="single" w:sz="4" w:space="0" w:color="auto"/>
            </w:tcBorders>
            <w:shd w:val="clear" w:color="auto" w:fill="auto"/>
            <w:hideMark/>
          </w:tcPr>
          <w:p w:rsidR="00242391" w:rsidRPr="00E73A27" w:rsidRDefault="00242391" w:rsidP="000D7AE5">
            <w:pPr>
              <w:jc w:val="right"/>
              <w:rPr>
                <w:sz w:val="20"/>
                <w:szCs w:val="20"/>
              </w:rPr>
            </w:pPr>
            <w:r w:rsidRPr="00E73A27">
              <w:rPr>
                <w:sz w:val="20"/>
                <w:szCs w:val="20"/>
              </w:rPr>
              <w:t xml:space="preserve"> 8,000 </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Safety ventilation</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15,000</w:t>
            </w:r>
          </w:p>
        </w:tc>
        <w:tc>
          <w:tcPr>
            <w:tcW w:w="856" w:type="pct"/>
            <w:tcBorders>
              <w:top w:val="nil"/>
              <w:left w:val="single" w:sz="4" w:space="0" w:color="auto"/>
              <w:bottom w:val="single" w:sz="4" w:space="0" w:color="000000"/>
              <w:right w:val="single" w:sz="4" w:space="0" w:color="auto"/>
            </w:tcBorders>
            <w:noWrap/>
            <w:vAlign w:val="center"/>
            <w:hideMark/>
          </w:tcPr>
          <w:p w:rsidR="00242391" w:rsidRPr="00E73A27" w:rsidRDefault="00242391" w:rsidP="000D7AE5">
            <w:pPr>
              <w:jc w:val="right"/>
              <w:rPr>
                <w:color w:val="000000"/>
                <w:sz w:val="20"/>
                <w:szCs w:val="20"/>
              </w:rPr>
            </w:pPr>
            <w:r w:rsidRPr="00E73A27">
              <w:rPr>
                <w:color w:val="000000"/>
                <w:sz w:val="20"/>
                <w:szCs w:val="20"/>
              </w:rPr>
              <w:t>12,000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Ultrasonic welding machine</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30,000</w:t>
            </w:r>
          </w:p>
        </w:tc>
        <w:tc>
          <w:tcPr>
            <w:tcW w:w="856" w:type="pct"/>
            <w:tcBorders>
              <w:top w:val="nil"/>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color w:val="000000"/>
                <w:sz w:val="20"/>
                <w:szCs w:val="20"/>
              </w:rPr>
            </w:pPr>
            <w:r w:rsidRPr="00E73A27">
              <w:rPr>
                <w:color w:val="000000"/>
                <w:sz w:val="20"/>
                <w:szCs w:val="20"/>
              </w:rPr>
              <w:t>25,000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Antistatic floor</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3,800</w:t>
            </w:r>
          </w:p>
        </w:tc>
        <w:tc>
          <w:tcPr>
            <w:tcW w:w="856" w:type="pct"/>
            <w:tcBorders>
              <w:top w:val="nil"/>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color w:val="000000"/>
                <w:sz w:val="20"/>
                <w:szCs w:val="20"/>
              </w:rPr>
            </w:pPr>
            <w:r w:rsidRPr="00E73A27">
              <w:rPr>
                <w:color w:val="000000"/>
                <w:sz w:val="20"/>
                <w:szCs w:val="20"/>
              </w:rPr>
              <w:t>3,800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HC recovery machine, explosion-proof</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3,500</w:t>
            </w:r>
          </w:p>
        </w:tc>
        <w:tc>
          <w:tcPr>
            <w:tcW w:w="856" w:type="pct"/>
            <w:tcBorders>
              <w:top w:val="nil"/>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color w:val="000000"/>
                <w:sz w:val="20"/>
                <w:szCs w:val="20"/>
              </w:rPr>
            </w:pPr>
            <w:r w:rsidRPr="00E73A27">
              <w:rPr>
                <w:color w:val="000000"/>
                <w:sz w:val="20"/>
                <w:szCs w:val="20"/>
              </w:rPr>
              <w:t>2,000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Helium charging unit</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20,000</w:t>
            </w:r>
          </w:p>
        </w:tc>
        <w:tc>
          <w:tcPr>
            <w:tcW w:w="856" w:type="pct"/>
            <w:vMerge w:val="restart"/>
            <w:tcBorders>
              <w:top w:val="nil"/>
              <w:left w:val="single" w:sz="4" w:space="0" w:color="auto"/>
              <w:right w:val="single" w:sz="4" w:space="0" w:color="auto"/>
            </w:tcBorders>
            <w:shd w:val="clear" w:color="auto" w:fill="auto"/>
            <w:noWrap/>
            <w:vAlign w:val="center"/>
          </w:tcPr>
          <w:p w:rsidR="00242391" w:rsidRPr="00E73A27" w:rsidRDefault="00242391" w:rsidP="000D7AE5">
            <w:pPr>
              <w:jc w:val="right"/>
              <w:rPr>
                <w:color w:val="000000"/>
                <w:sz w:val="20"/>
                <w:szCs w:val="20"/>
              </w:rPr>
            </w:pPr>
            <w:r w:rsidRPr="00E73A27">
              <w:rPr>
                <w:color w:val="000000"/>
                <w:sz w:val="20"/>
                <w:szCs w:val="20"/>
              </w:rPr>
              <w:t>38,000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Helium recovery/recycling unit</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20,000</w:t>
            </w:r>
          </w:p>
        </w:tc>
        <w:tc>
          <w:tcPr>
            <w:tcW w:w="856" w:type="pct"/>
            <w:vMerge/>
            <w:tcBorders>
              <w:left w:val="single" w:sz="4" w:space="0" w:color="auto"/>
              <w:right w:val="single" w:sz="4" w:space="0" w:color="auto"/>
            </w:tcBorders>
            <w:shd w:val="clear" w:color="auto" w:fill="auto"/>
            <w:noWrap/>
            <w:vAlign w:val="center"/>
          </w:tcPr>
          <w:p w:rsidR="00242391" w:rsidRPr="00E73A27" w:rsidRDefault="00242391" w:rsidP="000D7AE5">
            <w:pPr>
              <w:jc w:val="right"/>
              <w:rPr>
                <w:color w:val="000000"/>
                <w:sz w:val="20"/>
                <w:szCs w:val="20"/>
              </w:rPr>
            </w:pP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Helium leak detector, plus calibration</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15,000</w:t>
            </w:r>
          </w:p>
        </w:tc>
        <w:tc>
          <w:tcPr>
            <w:tcW w:w="856" w:type="pct"/>
            <w:vMerge/>
            <w:tcBorders>
              <w:left w:val="single" w:sz="4" w:space="0" w:color="auto"/>
              <w:bottom w:val="single" w:sz="4" w:space="0" w:color="000000"/>
              <w:right w:val="single" w:sz="4" w:space="0" w:color="auto"/>
            </w:tcBorders>
            <w:noWrap/>
            <w:vAlign w:val="center"/>
          </w:tcPr>
          <w:p w:rsidR="00242391" w:rsidRPr="00E73A27" w:rsidRDefault="00242391" w:rsidP="000D7AE5">
            <w:pPr>
              <w:jc w:val="right"/>
              <w:rPr>
                <w:color w:val="000000"/>
                <w:sz w:val="20"/>
                <w:szCs w:val="20"/>
              </w:rPr>
            </w:pP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Hand</w:t>
            </w:r>
            <w:r w:rsidR="00954D06" w:rsidRPr="00E73A27">
              <w:rPr>
                <w:color w:val="000000"/>
                <w:sz w:val="20"/>
                <w:szCs w:val="20"/>
                <w:lang w:val="en-US"/>
              </w:rPr>
              <w:t xml:space="preserve">held HC leak </w:t>
            </w:r>
            <w:r w:rsidRPr="00E73A27">
              <w:rPr>
                <w:color w:val="000000"/>
                <w:sz w:val="20"/>
                <w:szCs w:val="20"/>
                <w:lang w:val="en-US"/>
              </w:rPr>
              <w:t>detectors</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1,600</w:t>
            </w:r>
          </w:p>
        </w:tc>
        <w:tc>
          <w:tcPr>
            <w:tcW w:w="856" w:type="pct"/>
            <w:tcBorders>
              <w:top w:val="nil"/>
              <w:left w:val="single" w:sz="4" w:space="0" w:color="auto"/>
              <w:bottom w:val="single" w:sz="4" w:space="0" w:color="000000"/>
              <w:right w:val="single" w:sz="4" w:space="0" w:color="auto"/>
            </w:tcBorders>
            <w:noWrap/>
            <w:vAlign w:val="center"/>
          </w:tcPr>
          <w:p w:rsidR="00242391" w:rsidRPr="00E73A27" w:rsidRDefault="00242391" w:rsidP="000D7AE5">
            <w:pPr>
              <w:jc w:val="right"/>
              <w:rPr>
                <w:color w:val="000000"/>
                <w:sz w:val="20"/>
                <w:szCs w:val="20"/>
              </w:rPr>
            </w:pPr>
            <w:r w:rsidRPr="00E73A27">
              <w:rPr>
                <w:color w:val="000000"/>
                <w:sz w:val="20"/>
                <w:szCs w:val="20"/>
              </w:rPr>
              <w:t>1,000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Refrigerant storage area, including safety items</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color w:val="000000"/>
                <w:sz w:val="20"/>
                <w:szCs w:val="20"/>
                <w:lang w:val="en-US"/>
              </w:rPr>
            </w:pPr>
            <w:r w:rsidRPr="00E73A27">
              <w:rPr>
                <w:color w:val="000000"/>
                <w:sz w:val="20"/>
                <w:szCs w:val="20"/>
                <w:lang w:val="en-US"/>
              </w:rPr>
              <w:t>26,800</w:t>
            </w:r>
          </w:p>
        </w:tc>
        <w:tc>
          <w:tcPr>
            <w:tcW w:w="856" w:type="pct"/>
            <w:tcBorders>
              <w:top w:val="nil"/>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color w:val="000000"/>
                <w:sz w:val="20"/>
                <w:szCs w:val="20"/>
              </w:rPr>
            </w:pPr>
            <w:r w:rsidRPr="00E73A27">
              <w:rPr>
                <w:color w:val="000000"/>
                <w:sz w:val="20"/>
                <w:szCs w:val="20"/>
              </w:rPr>
              <w:t>23,800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b/>
                <w:bCs/>
                <w:color w:val="000000"/>
                <w:sz w:val="20"/>
                <w:szCs w:val="20"/>
                <w:lang w:val="en-US"/>
              </w:rPr>
            </w:pPr>
            <w:r w:rsidRPr="00E73A27">
              <w:rPr>
                <w:b/>
                <w:bCs/>
                <w:color w:val="000000"/>
                <w:sz w:val="20"/>
                <w:szCs w:val="20"/>
                <w:lang w:val="en-US"/>
              </w:rPr>
              <w:t>Subtotal equipment costs</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9C1AAD">
            <w:pPr>
              <w:jc w:val="right"/>
              <w:rPr>
                <w:b/>
                <w:bCs/>
                <w:color w:val="000000"/>
                <w:sz w:val="20"/>
                <w:szCs w:val="20"/>
                <w:lang w:val="en-US"/>
              </w:rPr>
            </w:pPr>
            <w:r w:rsidRPr="00E73A27">
              <w:rPr>
                <w:b/>
                <w:bCs/>
                <w:color w:val="000000"/>
                <w:sz w:val="20"/>
                <w:szCs w:val="20"/>
                <w:lang w:val="en-US"/>
              </w:rPr>
              <w:t>2</w:t>
            </w:r>
            <w:r w:rsidR="009C1AAD" w:rsidRPr="00E73A27">
              <w:rPr>
                <w:b/>
                <w:bCs/>
                <w:color w:val="000000"/>
                <w:sz w:val="20"/>
                <w:szCs w:val="20"/>
                <w:lang w:val="en-US"/>
              </w:rPr>
              <w:t>37</w:t>
            </w:r>
            <w:r w:rsidRPr="00E73A27">
              <w:rPr>
                <w:b/>
                <w:bCs/>
                <w:color w:val="000000"/>
                <w:sz w:val="20"/>
                <w:szCs w:val="20"/>
                <w:lang w:val="en-US"/>
              </w:rPr>
              <w:t>,700</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
                <w:bCs/>
                <w:color w:val="000000"/>
                <w:sz w:val="20"/>
                <w:szCs w:val="20"/>
                <w:lang w:val="en-US"/>
              </w:rPr>
            </w:pPr>
            <w:r w:rsidRPr="00E73A27">
              <w:rPr>
                <w:b/>
                <w:bCs/>
                <w:color w:val="000000"/>
                <w:sz w:val="20"/>
                <w:szCs w:val="20"/>
              </w:rPr>
              <w:t>155,600</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 xml:space="preserve">Contingency (10% of investment costs) </w:t>
            </w:r>
          </w:p>
        </w:tc>
        <w:tc>
          <w:tcPr>
            <w:tcW w:w="856" w:type="pct"/>
            <w:tcBorders>
              <w:top w:val="single" w:sz="4" w:space="0" w:color="auto"/>
              <w:left w:val="nil"/>
              <w:bottom w:val="single" w:sz="4" w:space="0" w:color="auto"/>
              <w:right w:val="single" w:sz="4" w:space="0" w:color="auto"/>
            </w:tcBorders>
          </w:tcPr>
          <w:p w:rsidR="00242391" w:rsidRPr="00E73A27" w:rsidRDefault="00242391" w:rsidP="000D7AE5">
            <w:pPr>
              <w:jc w:val="right"/>
              <w:rPr>
                <w:sz w:val="20"/>
                <w:szCs w:val="20"/>
              </w:rPr>
            </w:pPr>
            <w:r w:rsidRPr="00E73A27">
              <w:rPr>
                <w:sz w:val="20"/>
                <w:szCs w:val="20"/>
              </w:rPr>
              <w:t xml:space="preserve">27,670 </w:t>
            </w:r>
          </w:p>
        </w:tc>
        <w:tc>
          <w:tcPr>
            <w:tcW w:w="856" w:type="pct"/>
            <w:tcBorders>
              <w:top w:val="nil"/>
              <w:left w:val="single" w:sz="4" w:space="0" w:color="auto"/>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15,560 </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 xml:space="preserve">Safety certification by TÜV </w:t>
            </w:r>
            <w:proofErr w:type="spellStart"/>
            <w:r w:rsidRPr="00E73A27">
              <w:rPr>
                <w:color w:val="000000"/>
                <w:sz w:val="20"/>
                <w:szCs w:val="20"/>
                <w:lang w:val="en-US"/>
              </w:rPr>
              <w:t>Süd</w:t>
            </w:r>
            <w:proofErr w:type="spellEnd"/>
            <w:r w:rsidRPr="00E73A27">
              <w:rPr>
                <w:color w:val="000000"/>
                <w:sz w:val="20"/>
                <w:szCs w:val="20"/>
                <w:lang w:val="en-US"/>
              </w:rPr>
              <w:t xml:space="preserve"> </w:t>
            </w:r>
          </w:p>
        </w:tc>
        <w:tc>
          <w:tcPr>
            <w:tcW w:w="856" w:type="pct"/>
            <w:tcBorders>
              <w:top w:val="single" w:sz="4" w:space="0" w:color="auto"/>
              <w:left w:val="nil"/>
              <w:bottom w:val="single" w:sz="4" w:space="0" w:color="auto"/>
              <w:right w:val="single" w:sz="4" w:space="0" w:color="auto"/>
            </w:tcBorders>
          </w:tcPr>
          <w:p w:rsidR="00242391" w:rsidRPr="00E73A27" w:rsidRDefault="00242391" w:rsidP="000D7AE5">
            <w:pPr>
              <w:jc w:val="right"/>
              <w:rPr>
                <w:sz w:val="20"/>
                <w:szCs w:val="20"/>
              </w:rPr>
            </w:pPr>
            <w:r w:rsidRPr="00E73A27">
              <w:rPr>
                <w:sz w:val="20"/>
                <w:szCs w:val="20"/>
              </w:rPr>
              <w:t xml:space="preserve">15,000 </w:t>
            </w:r>
          </w:p>
        </w:tc>
        <w:tc>
          <w:tcPr>
            <w:tcW w:w="856" w:type="pct"/>
            <w:tcBorders>
              <w:top w:val="nil"/>
              <w:left w:val="single" w:sz="4" w:space="0" w:color="auto"/>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15,000 </w:t>
            </w:r>
          </w:p>
        </w:tc>
      </w:tr>
      <w:tr w:rsidR="00242391" w:rsidRPr="00E73A27" w:rsidTr="0084724A">
        <w:tc>
          <w:tcPr>
            <w:tcW w:w="3288" w:type="pct"/>
            <w:tcBorders>
              <w:top w:val="nil"/>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ind w:left="251"/>
              <w:jc w:val="left"/>
              <w:rPr>
                <w:color w:val="000000"/>
                <w:sz w:val="20"/>
                <w:szCs w:val="20"/>
                <w:lang w:val="en-US"/>
              </w:rPr>
            </w:pPr>
            <w:r w:rsidRPr="00E73A27">
              <w:rPr>
                <w:color w:val="000000"/>
                <w:sz w:val="20"/>
                <w:szCs w:val="20"/>
                <w:lang w:val="en-US"/>
              </w:rPr>
              <w:t>Training and installation</w:t>
            </w:r>
          </w:p>
        </w:tc>
        <w:tc>
          <w:tcPr>
            <w:tcW w:w="856" w:type="pct"/>
            <w:tcBorders>
              <w:top w:val="single" w:sz="4" w:space="0" w:color="auto"/>
              <w:left w:val="nil"/>
              <w:bottom w:val="single" w:sz="4" w:space="0" w:color="auto"/>
              <w:right w:val="single" w:sz="4" w:space="0" w:color="auto"/>
            </w:tcBorders>
          </w:tcPr>
          <w:p w:rsidR="00242391" w:rsidRPr="00E73A27" w:rsidRDefault="00242391" w:rsidP="000D7AE5">
            <w:pPr>
              <w:jc w:val="right"/>
              <w:rPr>
                <w:sz w:val="20"/>
                <w:szCs w:val="20"/>
              </w:rPr>
            </w:pPr>
            <w:r w:rsidRPr="00E73A27">
              <w:rPr>
                <w:sz w:val="20"/>
                <w:szCs w:val="20"/>
              </w:rPr>
              <w:t xml:space="preserve">15,000 </w:t>
            </w:r>
          </w:p>
        </w:tc>
        <w:tc>
          <w:tcPr>
            <w:tcW w:w="856" w:type="pct"/>
            <w:tcBorders>
              <w:top w:val="nil"/>
              <w:left w:val="single" w:sz="4" w:space="0" w:color="auto"/>
              <w:bottom w:val="single" w:sz="4" w:space="0" w:color="auto"/>
              <w:right w:val="single" w:sz="4" w:space="0" w:color="auto"/>
            </w:tcBorders>
            <w:shd w:val="clear" w:color="auto" w:fill="auto"/>
            <w:noWrap/>
            <w:hideMark/>
          </w:tcPr>
          <w:p w:rsidR="00242391" w:rsidRPr="00E73A27" w:rsidRDefault="00242391" w:rsidP="000D7AE5">
            <w:pPr>
              <w:jc w:val="right"/>
              <w:rPr>
                <w:sz w:val="20"/>
                <w:szCs w:val="20"/>
              </w:rPr>
            </w:pPr>
            <w:r w:rsidRPr="00E73A27">
              <w:rPr>
                <w:sz w:val="20"/>
                <w:szCs w:val="20"/>
              </w:rPr>
              <w:t xml:space="preserve">12,000 </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391" w:rsidRPr="00E73A27" w:rsidRDefault="00242391" w:rsidP="000D7AE5">
            <w:pPr>
              <w:jc w:val="left"/>
              <w:rPr>
                <w:b/>
                <w:bCs/>
                <w:color w:val="000000"/>
                <w:sz w:val="20"/>
                <w:szCs w:val="20"/>
                <w:lang w:val="en-US"/>
              </w:rPr>
            </w:pPr>
            <w:r w:rsidRPr="00E73A27">
              <w:rPr>
                <w:b/>
                <w:bCs/>
                <w:color w:val="000000"/>
                <w:sz w:val="20"/>
                <w:szCs w:val="20"/>
                <w:lang w:val="en-US"/>
              </w:rPr>
              <w:t>Total ICCs</w:t>
            </w:r>
          </w:p>
        </w:tc>
        <w:tc>
          <w:tcPr>
            <w:tcW w:w="856" w:type="pct"/>
            <w:tcBorders>
              <w:top w:val="single" w:sz="4" w:space="0" w:color="auto"/>
              <w:left w:val="nil"/>
              <w:bottom w:val="single" w:sz="4" w:space="0" w:color="auto"/>
              <w:right w:val="single" w:sz="4" w:space="0" w:color="auto"/>
            </w:tcBorders>
          </w:tcPr>
          <w:p w:rsidR="00242391" w:rsidRPr="00E73A27" w:rsidRDefault="00242391" w:rsidP="000D7AE5">
            <w:pPr>
              <w:jc w:val="right"/>
              <w:rPr>
                <w:b/>
                <w:sz w:val="20"/>
                <w:szCs w:val="20"/>
              </w:rPr>
            </w:pPr>
            <w:r w:rsidRPr="00E73A27">
              <w:rPr>
                <w:b/>
                <w:sz w:val="20"/>
                <w:szCs w:val="20"/>
              </w:rPr>
              <w:t xml:space="preserve">334,370 </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rsidR="00242391" w:rsidRPr="00E73A27" w:rsidRDefault="00242391" w:rsidP="000D7AE5">
            <w:pPr>
              <w:jc w:val="right"/>
              <w:rPr>
                <w:b/>
                <w:sz w:val="20"/>
                <w:szCs w:val="20"/>
              </w:rPr>
            </w:pPr>
            <w:r w:rsidRPr="00E73A27">
              <w:rPr>
                <w:b/>
                <w:sz w:val="20"/>
                <w:szCs w:val="20"/>
              </w:rPr>
              <w:t xml:space="preserve">220,660 </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left"/>
              <w:rPr>
                <w:bCs/>
                <w:color w:val="000000"/>
                <w:sz w:val="20"/>
                <w:szCs w:val="20"/>
                <w:lang w:val="en-US"/>
              </w:rPr>
            </w:pPr>
            <w:r w:rsidRPr="00E73A27">
              <w:rPr>
                <w:bCs/>
                <w:color w:val="000000"/>
                <w:sz w:val="20"/>
                <w:szCs w:val="20"/>
                <w:lang w:val="en-US"/>
              </w:rPr>
              <w:t>IOCs</w:t>
            </w:r>
          </w:p>
        </w:tc>
        <w:tc>
          <w:tcPr>
            <w:tcW w:w="856" w:type="pct"/>
            <w:tcBorders>
              <w:top w:val="single" w:sz="4" w:space="0" w:color="auto"/>
              <w:left w:val="nil"/>
              <w:bottom w:val="single" w:sz="4" w:space="0" w:color="auto"/>
              <w:right w:val="single" w:sz="4" w:space="0" w:color="auto"/>
            </w:tcBorders>
            <w:vAlign w:val="center"/>
          </w:tcPr>
          <w:p w:rsidR="00242391" w:rsidRPr="00E73A27" w:rsidRDefault="0079257B" w:rsidP="000D7AE5">
            <w:pPr>
              <w:jc w:val="right"/>
              <w:rPr>
                <w:bCs/>
                <w:color w:val="000000"/>
                <w:sz w:val="20"/>
                <w:szCs w:val="20"/>
                <w:lang w:val="en-US"/>
              </w:rPr>
            </w:pPr>
            <w:r w:rsidRPr="00E73A27">
              <w:rPr>
                <w:bCs/>
                <w:color w:val="000000"/>
                <w:sz w:val="20"/>
                <w:szCs w:val="20"/>
                <w:lang w:val="en-US"/>
              </w:rPr>
              <w:t>804,301</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Cs/>
                <w:color w:val="000000"/>
                <w:sz w:val="20"/>
                <w:szCs w:val="20"/>
              </w:rPr>
            </w:pPr>
            <w:r w:rsidRPr="00E73A27">
              <w:rPr>
                <w:bCs/>
                <w:color w:val="000000"/>
                <w:sz w:val="20"/>
                <w:szCs w:val="20"/>
              </w:rPr>
              <w:t>n/a*</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left"/>
              <w:rPr>
                <w:b/>
                <w:bCs/>
                <w:color w:val="000000"/>
                <w:sz w:val="20"/>
                <w:szCs w:val="20"/>
                <w:lang w:val="en-US"/>
              </w:rPr>
            </w:pPr>
            <w:r w:rsidRPr="00E73A27">
              <w:rPr>
                <w:b/>
                <w:bCs/>
                <w:color w:val="000000"/>
                <w:sz w:val="20"/>
                <w:szCs w:val="20"/>
                <w:lang w:val="en-US"/>
              </w:rPr>
              <w:t>Total incremental cost</w:t>
            </w:r>
          </w:p>
        </w:tc>
        <w:tc>
          <w:tcPr>
            <w:tcW w:w="856" w:type="pct"/>
            <w:tcBorders>
              <w:top w:val="single" w:sz="4" w:space="0" w:color="auto"/>
              <w:left w:val="nil"/>
              <w:bottom w:val="single" w:sz="4" w:space="0" w:color="auto"/>
              <w:right w:val="single" w:sz="4" w:space="0" w:color="auto"/>
            </w:tcBorders>
          </w:tcPr>
          <w:p w:rsidR="00242391" w:rsidRPr="00E73A27" w:rsidRDefault="00242391" w:rsidP="0079257B">
            <w:pPr>
              <w:jc w:val="right"/>
              <w:rPr>
                <w:b/>
                <w:sz w:val="20"/>
                <w:szCs w:val="20"/>
              </w:rPr>
            </w:pPr>
            <w:r w:rsidRPr="00E73A27">
              <w:rPr>
                <w:b/>
                <w:sz w:val="20"/>
                <w:szCs w:val="20"/>
              </w:rPr>
              <w:t>1,</w:t>
            </w:r>
            <w:r w:rsidR="0079257B" w:rsidRPr="00E73A27">
              <w:rPr>
                <w:b/>
                <w:sz w:val="20"/>
                <w:szCs w:val="20"/>
              </w:rPr>
              <w:t>138,671</w:t>
            </w:r>
            <w:r w:rsidRPr="00E73A27">
              <w:rPr>
                <w:b/>
                <w:sz w:val="20"/>
                <w:szCs w:val="2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rsidR="00242391" w:rsidRPr="00E73A27" w:rsidRDefault="00242391" w:rsidP="000D7AE5">
            <w:pPr>
              <w:jc w:val="right"/>
              <w:rPr>
                <w:b/>
                <w:sz w:val="20"/>
                <w:szCs w:val="20"/>
              </w:rPr>
            </w:pPr>
            <w:r w:rsidRPr="00E73A27">
              <w:rPr>
                <w:b/>
                <w:sz w:val="20"/>
                <w:szCs w:val="20"/>
              </w:rPr>
              <w:t xml:space="preserve">220,660 </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left"/>
              <w:rPr>
                <w:b/>
                <w:bCs/>
                <w:color w:val="000000"/>
                <w:sz w:val="20"/>
                <w:szCs w:val="20"/>
                <w:lang w:val="en-US"/>
              </w:rPr>
            </w:pPr>
            <w:r w:rsidRPr="00E73A27">
              <w:rPr>
                <w:b/>
                <w:bCs/>
                <w:color w:val="000000"/>
                <w:sz w:val="20"/>
                <w:szCs w:val="20"/>
                <w:lang w:val="en-US"/>
              </w:rPr>
              <w:t>Total funds requested</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
                <w:bCs/>
                <w:color w:val="000000"/>
                <w:sz w:val="20"/>
                <w:szCs w:val="20"/>
                <w:lang w:val="en-US"/>
              </w:rPr>
            </w:pPr>
            <w:r w:rsidRPr="00E73A27">
              <w:rPr>
                <w:b/>
                <w:bCs/>
                <w:color w:val="000000"/>
                <w:sz w:val="20"/>
                <w:szCs w:val="20"/>
                <w:lang w:val="en-US"/>
              </w:rPr>
              <w:t>319,370</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
                <w:bCs/>
                <w:color w:val="000000"/>
                <w:sz w:val="20"/>
                <w:szCs w:val="20"/>
              </w:rPr>
            </w:pPr>
            <w:r w:rsidRPr="00E73A27">
              <w:rPr>
                <w:b/>
                <w:bCs/>
                <w:color w:val="000000"/>
                <w:sz w:val="20"/>
                <w:szCs w:val="20"/>
              </w:rPr>
              <w:t>220,660</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left"/>
              <w:rPr>
                <w:b/>
                <w:bCs/>
                <w:color w:val="000000"/>
                <w:sz w:val="20"/>
                <w:szCs w:val="20"/>
                <w:lang w:val="en-US"/>
              </w:rPr>
            </w:pPr>
            <w:r w:rsidRPr="00E73A27">
              <w:rPr>
                <w:bCs/>
                <w:color w:val="000000"/>
                <w:sz w:val="20"/>
                <w:szCs w:val="20"/>
                <w:lang w:val="en-US"/>
              </w:rPr>
              <w:t>HFC consumption per year in line to be funded (</w:t>
            </w:r>
            <w:proofErr w:type="spellStart"/>
            <w:r w:rsidRPr="00E73A27">
              <w:rPr>
                <w:bCs/>
                <w:color w:val="000000"/>
                <w:sz w:val="20"/>
                <w:szCs w:val="20"/>
                <w:lang w:val="en-US"/>
              </w:rPr>
              <w:t>mt</w:t>
            </w:r>
            <w:proofErr w:type="spellEnd"/>
            <w:r w:rsidRPr="00E73A27">
              <w:rPr>
                <w:bCs/>
                <w:color w:val="000000"/>
                <w:sz w:val="20"/>
                <w:szCs w:val="20"/>
                <w:lang w:val="en-US"/>
              </w:rPr>
              <w:t>)</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Cs/>
                <w:color w:val="000000"/>
                <w:sz w:val="20"/>
                <w:szCs w:val="20"/>
                <w:lang w:val="en-US"/>
              </w:rPr>
            </w:pPr>
            <w:r w:rsidRPr="00E73A27">
              <w:rPr>
                <w:bCs/>
                <w:color w:val="000000"/>
                <w:sz w:val="20"/>
                <w:szCs w:val="20"/>
                <w:lang w:val="en-US"/>
              </w:rPr>
              <w:t>7.99</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Cs/>
                <w:color w:val="000000"/>
                <w:sz w:val="20"/>
                <w:szCs w:val="20"/>
              </w:rPr>
            </w:pPr>
            <w:r w:rsidRPr="00E73A27">
              <w:rPr>
                <w:bCs/>
                <w:color w:val="000000"/>
                <w:sz w:val="20"/>
                <w:szCs w:val="20"/>
              </w:rPr>
              <w:t>7.99</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left"/>
              <w:rPr>
                <w:bCs/>
                <w:color w:val="000000"/>
                <w:sz w:val="20"/>
                <w:szCs w:val="20"/>
                <w:lang w:val="en-US"/>
              </w:rPr>
            </w:pPr>
            <w:r w:rsidRPr="00E73A27">
              <w:rPr>
                <w:bCs/>
                <w:color w:val="000000"/>
                <w:sz w:val="20"/>
                <w:szCs w:val="20"/>
                <w:lang w:val="en-US"/>
              </w:rPr>
              <w:t>Cost-effectiveness (</w:t>
            </w:r>
            <w:r w:rsidR="00C52303" w:rsidRPr="00E73A27">
              <w:rPr>
                <w:bCs/>
                <w:color w:val="000000"/>
                <w:sz w:val="20"/>
                <w:szCs w:val="20"/>
                <w:lang w:val="en-US"/>
              </w:rPr>
              <w:t>US $</w:t>
            </w:r>
            <w:r w:rsidRPr="00E73A27">
              <w:rPr>
                <w:bCs/>
                <w:color w:val="000000"/>
                <w:sz w:val="20"/>
                <w:szCs w:val="20"/>
                <w:lang w:val="en-US"/>
              </w:rPr>
              <w:t>/kg)</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Cs/>
                <w:color w:val="000000"/>
                <w:sz w:val="20"/>
                <w:szCs w:val="20"/>
                <w:lang w:val="en-US"/>
              </w:rPr>
            </w:pPr>
            <w:r w:rsidRPr="00E73A27">
              <w:rPr>
                <w:bCs/>
                <w:color w:val="000000"/>
                <w:sz w:val="20"/>
                <w:szCs w:val="20"/>
                <w:lang w:val="en-US"/>
              </w:rPr>
              <w:t>39.95</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Cs/>
                <w:color w:val="000000"/>
                <w:sz w:val="20"/>
                <w:szCs w:val="20"/>
              </w:rPr>
            </w:pPr>
            <w:r w:rsidRPr="00E73A27">
              <w:rPr>
                <w:bCs/>
                <w:color w:val="000000"/>
                <w:sz w:val="20"/>
                <w:szCs w:val="20"/>
              </w:rPr>
              <w:t>27.58</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left"/>
              <w:rPr>
                <w:bCs/>
                <w:color w:val="000000"/>
                <w:sz w:val="20"/>
                <w:szCs w:val="20"/>
                <w:lang w:val="en-US"/>
              </w:rPr>
            </w:pPr>
            <w:r w:rsidRPr="00E73A27">
              <w:rPr>
                <w:bCs/>
                <w:color w:val="000000"/>
                <w:sz w:val="20"/>
                <w:szCs w:val="20"/>
                <w:lang w:val="en-US"/>
              </w:rPr>
              <w:t>Cost-effectiveness (</w:t>
            </w:r>
            <w:r w:rsidR="00C52303" w:rsidRPr="00E73A27">
              <w:rPr>
                <w:bCs/>
                <w:color w:val="000000"/>
                <w:sz w:val="20"/>
                <w:szCs w:val="20"/>
                <w:lang w:val="en-US"/>
              </w:rPr>
              <w:t>US $</w:t>
            </w:r>
            <w:r w:rsidRPr="00E73A27">
              <w:rPr>
                <w:bCs/>
                <w:color w:val="000000"/>
                <w:sz w:val="20"/>
                <w:szCs w:val="20"/>
                <w:lang w:val="en-US"/>
              </w:rPr>
              <w:t>/</w:t>
            </w:r>
            <w:proofErr w:type="spellStart"/>
            <w:r w:rsidRPr="00E73A27">
              <w:rPr>
                <w:bCs/>
                <w:color w:val="000000"/>
                <w:sz w:val="20"/>
                <w:szCs w:val="20"/>
                <w:lang w:val="en-US"/>
              </w:rPr>
              <w:t>mt</w:t>
            </w:r>
            <w:proofErr w:type="spellEnd"/>
            <w:r w:rsidRPr="00E73A27">
              <w:rPr>
                <w:bCs/>
                <w:color w:val="000000"/>
                <w:sz w:val="20"/>
                <w:szCs w:val="20"/>
                <w:lang w:val="en-US"/>
              </w:rPr>
              <w:t xml:space="preserve"> </w:t>
            </w:r>
            <w:r w:rsidRPr="00E73A27">
              <w:rPr>
                <w:rFonts w:eastAsia="Calibri"/>
                <w:sz w:val="20"/>
                <w:lang w:val="en-CA"/>
              </w:rPr>
              <w:t>CO</w:t>
            </w:r>
            <w:r w:rsidRPr="00E73A27">
              <w:rPr>
                <w:rFonts w:eastAsia="Calibri"/>
                <w:sz w:val="20"/>
                <w:vertAlign w:val="subscript"/>
                <w:lang w:val="en-CA"/>
              </w:rPr>
              <w:t>2</w:t>
            </w:r>
            <w:r w:rsidRPr="00E73A27">
              <w:rPr>
                <w:bCs/>
                <w:color w:val="000000"/>
                <w:sz w:val="20"/>
                <w:szCs w:val="20"/>
                <w:lang w:val="en-US"/>
              </w:rPr>
              <w:t>-</w:t>
            </w:r>
            <w:proofErr w:type="spellStart"/>
            <w:r w:rsidRPr="00E73A27">
              <w:rPr>
                <w:bCs/>
                <w:color w:val="000000"/>
                <w:sz w:val="20"/>
                <w:szCs w:val="20"/>
                <w:lang w:val="en-US"/>
              </w:rPr>
              <w:t>eq</w:t>
            </w:r>
            <w:proofErr w:type="spellEnd"/>
            <w:r w:rsidRPr="00E73A27">
              <w:rPr>
                <w:bCs/>
                <w:color w:val="000000"/>
                <w:sz w:val="20"/>
                <w:szCs w:val="20"/>
                <w:lang w:val="en-US"/>
              </w:rPr>
              <w:t>)</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Cs/>
                <w:color w:val="000000"/>
                <w:sz w:val="20"/>
                <w:szCs w:val="20"/>
                <w:lang w:val="en-US"/>
              </w:rPr>
            </w:pPr>
            <w:r w:rsidRPr="00E73A27">
              <w:rPr>
                <w:bCs/>
                <w:color w:val="000000"/>
                <w:sz w:val="20"/>
                <w:szCs w:val="20"/>
                <w:lang w:val="en-US"/>
              </w:rPr>
              <w:t>27.93</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Cs/>
                <w:color w:val="000000"/>
                <w:sz w:val="20"/>
                <w:szCs w:val="20"/>
              </w:rPr>
            </w:pPr>
            <w:r w:rsidRPr="00E73A27">
              <w:rPr>
                <w:bCs/>
                <w:color w:val="000000"/>
                <w:sz w:val="20"/>
                <w:szCs w:val="20"/>
              </w:rPr>
              <w:t>19.30</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left"/>
              <w:rPr>
                <w:bCs/>
                <w:color w:val="000000"/>
                <w:sz w:val="20"/>
                <w:szCs w:val="20"/>
                <w:lang w:val="en-US"/>
              </w:rPr>
            </w:pPr>
            <w:r w:rsidRPr="00E73A27">
              <w:rPr>
                <w:bCs/>
                <w:color w:val="000000"/>
                <w:sz w:val="20"/>
                <w:szCs w:val="20"/>
                <w:lang w:val="en-US"/>
              </w:rPr>
              <w:t>HFC consumption per year entire plant (funded and non-funded lines (</w:t>
            </w:r>
            <w:proofErr w:type="spellStart"/>
            <w:r w:rsidRPr="00E73A27">
              <w:rPr>
                <w:bCs/>
                <w:color w:val="000000"/>
                <w:sz w:val="20"/>
                <w:szCs w:val="20"/>
                <w:lang w:val="en-US"/>
              </w:rPr>
              <w:t>mt</w:t>
            </w:r>
            <w:proofErr w:type="spellEnd"/>
            <w:r w:rsidRPr="00E73A27">
              <w:rPr>
                <w:bCs/>
                <w:color w:val="000000"/>
                <w:sz w:val="20"/>
                <w:szCs w:val="20"/>
                <w:lang w:val="en-US"/>
              </w:rPr>
              <w:t>)</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Cs/>
                <w:color w:val="000000"/>
                <w:sz w:val="20"/>
                <w:szCs w:val="20"/>
                <w:lang w:val="en-US"/>
              </w:rPr>
            </w:pPr>
            <w:r w:rsidRPr="00E73A27">
              <w:rPr>
                <w:bCs/>
                <w:color w:val="000000"/>
                <w:sz w:val="20"/>
                <w:szCs w:val="20"/>
                <w:lang w:val="en-US"/>
              </w:rPr>
              <w:t>19.80</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Cs/>
                <w:color w:val="000000"/>
                <w:sz w:val="20"/>
                <w:szCs w:val="20"/>
              </w:rPr>
            </w:pPr>
            <w:r w:rsidRPr="00E73A27">
              <w:rPr>
                <w:bCs/>
                <w:color w:val="000000"/>
                <w:sz w:val="20"/>
                <w:szCs w:val="20"/>
              </w:rPr>
              <w:t>19.80</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tcPr>
          <w:p w:rsidR="00242391" w:rsidRPr="00E73A27" w:rsidRDefault="00242391" w:rsidP="000D7AE5">
            <w:pPr>
              <w:rPr>
                <w:sz w:val="20"/>
                <w:szCs w:val="20"/>
              </w:rPr>
            </w:pPr>
            <w:r w:rsidRPr="00E73A27">
              <w:rPr>
                <w:sz w:val="20"/>
                <w:szCs w:val="20"/>
              </w:rPr>
              <w:t>Cost-effectiveness including the self-funded line (</w:t>
            </w:r>
            <w:r w:rsidR="00C52303" w:rsidRPr="00E73A27">
              <w:rPr>
                <w:sz w:val="20"/>
                <w:szCs w:val="20"/>
              </w:rPr>
              <w:t>US $</w:t>
            </w:r>
            <w:r w:rsidRPr="00E73A27">
              <w:rPr>
                <w:sz w:val="20"/>
                <w:szCs w:val="20"/>
              </w:rPr>
              <w:t>/kg)</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Cs/>
                <w:color w:val="000000"/>
                <w:sz w:val="20"/>
                <w:szCs w:val="20"/>
                <w:lang w:val="en-US"/>
              </w:rPr>
            </w:pPr>
            <w:r w:rsidRPr="00E73A27">
              <w:rPr>
                <w:bCs/>
                <w:color w:val="000000"/>
                <w:sz w:val="20"/>
                <w:szCs w:val="20"/>
                <w:lang w:val="en-US"/>
              </w:rPr>
              <w:t>16.13</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Cs/>
                <w:color w:val="000000"/>
                <w:sz w:val="20"/>
                <w:szCs w:val="20"/>
              </w:rPr>
            </w:pPr>
            <w:r w:rsidRPr="00E73A27">
              <w:rPr>
                <w:bCs/>
                <w:color w:val="000000"/>
                <w:sz w:val="20"/>
                <w:szCs w:val="20"/>
              </w:rPr>
              <w:t>11.14</w:t>
            </w:r>
          </w:p>
        </w:tc>
      </w:tr>
      <w:tr w:rsidR="00242391" w:rsidRPr="00E73A27" w:rsidTr="0084724A">
        <w:tc>
          <w:tcPr>
            <w:tcW w:w="3288" w:type="pct"/>
            <w:tcBorders>
              <w:top w:val="single" w:sz="4" w:space="0" w:color="auto"/>
              <w:left w:val="single" w:sz="4" w:space="0" w:color="auto"/>
              <w:bottom w:val="single" w:sz="4" w:space="0" w:color="auto"/>
              <w:right w:val="single" w:sz="4" w:space="0" w:color="auto"/>
            </w:tcBorders>
            <w:shd w:val="clear" w:color="auto" w:fill="auto"/>
            <w:noWrap/>
          </w:tcPr>
          <w:p w:rsidR="00242391" w:rsidRPr="00E73A27" w:rsidRDefault="00242391" w:rsidP="000D7AE5">
            <w:pPr>
              <w:rPr>
                <w:sz w:val="20"/>
                <w:szCs w:val="20"/>
              </w:rPr>
            </w:pPr>
            <w:r w:rsidRPr="00E73A27">
              <w:rPr>
                <w:sz w:val="20"/>
                <w:szCs w:val="20"/>
              </w:rPr>
              <w:t>Cost-effectiveness including the self-funded line(</w:t>
            </w:r>
            <w:r w:rsidR="00C52303" w:rsidRPr="00E73A27">
              <w:rPr>
                <w:sz w:val="20"/>
                <w:szCs w:val="20"/>
              </w:rPr>
              <w:t>US $</w:t>
            </w:r>
            <w:r w:rsidRPr="00E73A27">
              <w:rPr>
                <w:sz w:val="20"/>
                <w:szCs w:val="20"/>
              </w:rPr>
              <w:t>/</w:t>
            </w:r>
            <w:proofErr w:type="spellStart"/>
            <w:r w:rsidRPr="00E73A27">
              <w:rPr>
                <w:sz w:val="20"/>
                <w:szCs w:val="20"/>
              </w:rPr>
              <w:t>mt</w:t>
            </w:r>
            <w:proofErr w:type="spellEnd"/>
            <w:r w:rsidRPr="00E73A27">
              <w:rPr>
                <w:sz w:val="20"/>
                <w:szCs w:val="20"/>
              </w:rPr>
              <w:t xml:space="preserve"> </w:t>
            </w:r>
            <w:r w:rsidRPr="00E73A27">
              <w:rPr>
                <w:rFonts w:eastAsia="Calibri"/>
                <w:sz w:val="20"/>
                <w:lang w:val="en-CA"/>
              </w:rPr>
              <w:t>CO</w:t>
            </w:r>
            <w:r w:rsidRPr="00E73A27">
              <w:rPr>
                <w:rFonts w:eastAsia="Calibri"/>
                <w:sz w:val="20"/>
                <w:vertAlign w:val="subscript"/>
                <w:lang w:val="en-CA"/>
              </w:rPr>
              <w:t>2</w:t>
            </w:r>
            <w:r w:rsidRPr="00E73A27">
              <w:rPr>
                <w:sz w:val="20"/>
                <w:szCs w:val="20"/>
              </w:rPr>
              <w:t>-</w:t>
            </w:r>
            <w:proofErr w:type="spellStart"/>
            <w:r w:rsidRPr="00E73A27">
              <w:rPr>
                <w:sz w:val="20"/>
                <w:szCs w:val="20"/>
              </w:rPr>
              <w:t>eq</w:t>
            </w:r>
            <w:proofErr w:type="spellEnd"/>
            <w:r w:rsidRPr="00E73A27">
              <w:rPr>
                <w:sz w:val="20"/>
                <w:szCs w:val="20"/>
              </w:rPr>
              <w:t>)</w:t>
            </w:r>
          </w:p>
        </w:tc>
        <w:tc>
          <w:tcPr>
            <w:tcW w:w="856" w:type="pct"/>
            <w:tcBorders>
              <w:top w:val="single" w:sz="4" w:space="0" w:color="auto"/>
              <w:left w:val="nil"/>
              <w:bottom w:val="single" w:sz="4" w:space="0" w:color="auto"/>
              <w:right w:val="single" w:sz="4" w:space="0" w:color="auto"/>
            </w:tcBorders>
            <w:vAlign w:val="center"/>
          </w:tcPr>
          <w:p w:rsidR="00242391" w:rsidRPr="00E73A27" w:rsidRDefault="00242391" w:rsidP="000D7AE5">
            <w:pPr>
              <w:jc w:val="right"/>
              <w:rPr>
                <w:bCs/>
                <w:color w:val="000000"/>
                <w:sz w:val="20"/>
                <w:szCs w:val="20"/>
                <w:lang w:val="en-US"/>
              </w:rPr>
            </w:pPr>
            <w:r w:rsidRPr="00E73A27">
              <w:rPr>
                <w:bCs/>
                <w:color w:val="000000"/>
                <w:sz w:val="20"/>
                <w:szCs w:val="20"/>
                <w:lang w:val="en-US"/>
              </w:rPr>
              <w:t>11.28</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2391" w:rsidRPr="00E73A27" w:rsidRDefault="00242391" w:rsidP="000D7AE5">
            <w:pPr>
              <w:jc w:val="right"/>
              <w:rPr>
                <w:bCs/>
                <w:color w:val="000000"/>
                <w:sz w:val="20"/>
                <w:szCs w:val="20"/>
              </w:rPr>
            </w:pPr>
            <w:r w:rsidRPr="00E73A27">
              <w:rPr>
                <w:bCs/>
                <w:color w:val="000000"/>
                <w:sz w:val="20"/>
                <w:szCs w:val="20"/>
              </w:rPr>
              <w:t>7.79</w:t>
            </w:r>
          </w:p>
        </w:tc>
      </w:tr>
    </w:tbl>
    <w:p w:rsidR="00242391" w:rsidRPr="00E73A27" w:rsidRDefault="00242391" w:rsidP="00242391">
      <w:pPr>
        <w:pStyle w:val="Heading1"/>
        <w:numPr>
          <w:ilvl w:val="0"/>
          <w:numId w:val="0"/>
        </w:numPr>
        <w:rPr>
          <w:sz w:val="18"/>
          <w:szCs w:val="18"/>
          <w:lang w:val="en-CA"/>
        </w:rPr>
      </w:pPr>
      <w:r w:rsidRPr="00E73A27">
        <w:rPr>
          <w:sz w:val="18"/>
          <w:szCs w:val="18"/>
          <w:lang w:val="en-CA"/>
        </w:rPr>
        <w:t>*Not available as a detailed review of the IOC did not take place</w:t>
      </w:r>
    </w:p>
    <w:p w:rsidR="00242391" w:rsidRPr="00E73A27" w:rsidRDefault="00242391" w:rsidP="00242391">
      <w:pPr>
        <w:pStyle w:val="Heading1"/>
        <w:tabs>
          <w:tab w:val="clear" w:pos="142"/>
          <w:tab w:val="num" w:pos="0"/>
        </w:tabs>
        <w:ind w:left="0"/>
        <w:rPr>
          <w:lang w:val="en-CA"/>
        </w:rPr>
      </w:pPr>
      <w:r w:rsidRPr="00E73A27">
        <w:rPr>
          <w:lang w:val="en-CA"/>
        </w:rPr>
        <w:t xml:space="preserve">The proposed incremental costs for the conversion of commercial refrigerators at </w:t>
      </w:r>
      <w:proofErr w:type="spellStart"/>
      <w:r w:rsidRPr="00E73A27">
        <w:rPr>
          <w:lang w:val="en-CA"/>
        </w:rPr>
        <w:t>Induglob</w:t>
      </w:r>
      <w:proofErr w:type="spellEnd"/>
      <w:r w:rsidRPr="00E73A27">
        <w:rPr>
          <w:lang w:val="en-CA"/>
        </w:rPr>
        <w:t xml:space="preserve"> amount to </w:t>
      </w:r>
      <w:r w:rsidR="00C52303" w:rsidRPr="00E73A27">
        <w:rPr>
          <w:lang w:val="en-CA"/>
        </w:rPr>
        <w:t>US $</w:t>
      </w:r>
      <w:r w:rsidRPr="00E73A27">
        <w:rPr>
          <w:lang w:val="en-CA"/>
        </w:rPr>
        <w:t xml:space="preserve">220,660, to phase out a total of 7.99 </w:t>
      </w:r>
      <w:proofErr w:type="spellStart"/>
      <w:r w:rsidRPr="00E73A27">
        <w:rPr>
          <w:lang w:val="en-CA"/>
        </w:rPr>
        <w:t>mt</w:t>
      </w:r>
      <w:proofErr w:type="spellEnd"/>
      <w:r w:rsidRPr="00E73A27">
        <w:rPr>
          <w:lang w:val="en-CA"/>
        </w:rPr>
        <w:t xml:space="preserve"> (11,432 </w:t>
      </w:r>
      <w:proofErr w:type="spellStart"/>
      <w:r w:rsidRPr="00E73A27">
        <w:rPr>
          <w:lang w:val="en-CA"/>
        </w:rPr>
        <w:t>mt</w:t>
      </w:r>
      <w:proofErr w:type="spellEnd"/>
      <w:r w:rsidRPr="00E73A27">
        <w:rPr>
          <w:lang w:val="en-CA"/>
        </w:rPr>
        <w:t xml:space="preserve"> </w:t>
      </w:r>
      <w:r w:rsidRPr="00E73A27">
        <w:t>CO</w:t>
      </w:r>
      <w:r w:rsidRPr="00E73A27">
        <w:rPr>
          <w:vertAlign w:val="subscript"/>
        </w:rPr>
        <w:t>2</w:t>
      </w:r>
      <w:r w:rsidRPr="00E73A27">
        <w:noBreakHyphen/>
        <w:t>eq</w:t>
      </w:r>
      <w:r w:rsidRPr="00E73A27">
        <w:rPr>
          <w:lang w:val="en-CA"/>
        </w:rPr>
        <w:t xml:space="preserve">) of HFC-134a, with a cost-effectiveness of </w:t>
      </w:r>
      <w:r w:rsidR="00C52303" w:rsidRPr="00E73A27">
        <w:rPr>
          <w:lang w:val="en-CA"/>
        </w:rPr>
        <w:t>US $</w:t>
      </w:r>
      <w:r w:rsidRPr="00E73A27">
        <w:rPr>
          <w:lang w:val="en-CA"/>
        </w:rPr>
        <w:t xml:space="preserve">27.58/kg (or </w:t>
      </w:r>
      <w:r w:rsidR="00C52303" w:rsidRPr="00E73A27">
        <w:rPr>
          <w:lang w:val="en-CA"/>
        </w:rPr>
        <w:t>US $</w:t>
      </w:r>
      <w:r w:rsidRPr="00E73A27">
        <w:rPr>
          <w:lang w:val="en-CA"/>
        </w:rPr>
        <w:t>19.30/</w:t>
      </w:r>
      <w:proofErr w:type="spellStart"/>
      <w:r w:rsidRPr="00E73A27">
        <w:rPr>
          <w:lang w:val="en-CA"/>
        </w:rPr>
        <w:t>mt</w:t>
      </w:r>
      <w:proofErr w:type="spellEnd"/>
      <w:r w:rsidRPr="00E73A27">
        <w:rPr>
          <w:lang w:val="en-CA"/>
        </w:rPr>
        <w:t xml:space="preserve"> </w:t>
      </w:r>
      <w:r w:rsidRPr="00E73A27">
        <w:t>CO</w:t>
      </w:r>
      <w:r w:rsidRPr="00E73A27">
        <w:rPr>
          <w:vertAlign w:val="subscript"/>
        </w:rPr>
        <w:t>2</w:t>
      </w:r>
      <w:r w:rsidRPr="00E73A27">
        <w:noBreakHyphen/>
        <w:t>eq</w:t>
      </w:r>
      <w:r w:rsidRPr="00E73A27">
        <w:rPr>
          <w:lang w:val="en-CA"/>
        </w:rPr>
        <w:t xml:space="preserve">). Including the HFC-134a consumption of the other line, whose conversion is currently self-funded by </w:t>
      </w:r>
      <w:proofErr w:type="spellStart"/>
      <w:r w:rsidRPr="00E73A27">
        <w:rPr>
          <w:lang w:val="en-CA"/>
        </w:rPr>
        <w:t>Induglob</w:t>
      </w:r>
      <w:proofErr w:type="spellEnd"/>
      <w:r w:rsidRPr="00E73A27">
        <w:rPr>
          <w:lang w:val="en-CA"/>
        </w:rPr>
        <w:t xml:space="preserve"> (19.80 </w:t>
      </w:r>
      <w:proofErr w:type="spellStart"/>
      <w:r w:rsidRPr="00E73A27">
        <w:rPr>
          <w:lang w:val="en-CA"/>
        </w:rPr>
        <w:t>mt</w:t>
      </w:r>
      <w:proofErr w:type="spellEnd"/>
      <w:r w:rsidRPr="00E73A27">
        <w:rPr>
          <w:lang w:val="en-CA"/>
        </w:rPr>
        <w:t xml:space="preserve"> in total for both lines), the cost-effectiveness for the enterprise is </w:t>
      </w:r>
      <w:r w:rsidR="00C52303" w:rsidRPr="00E73A27">
        <w:rPr>
          <w:lang w:val="en-CA"/>
        </w:rPr>
        <w:t>US $</w:t>
      </w:r>
      <w:r w:rsidRPr="00E73A27">
        <w:rPr>
          <w:lang w:val="en-CA"/>
        </w:rPr>
        <w:t xml:space="preserve">11.14/kg (or </w:t>
      </w:r>
      <w:r w:rsidR="00C52303" w:rsidRPr="00E73A27">
        <w:rPr>
          <w:lang w:val="en-CA"/>
        </w:rPr>
        <w:t>US $</w:t>
      </w:r>
      <w:r w:rsidRPr="00E73A27">
        <w:rPr>
          <w:lang w:val="en-CA"/>
        </w:rPr>
        <w:t>7.79/</w:t>
      </w:r>
      <w:proofErr w:type="spellStart"/>
      <w:r w:rsidRPr="00E73A27">
        <w:rPr>
          <w:lang w:val="en-CA"/>
        </w:rPr>
        <w:t>mt</w:t>
      </w:r>
      <w:proofErr w:type="spellEnd"/>
      <w:r w:rsidRPr="00E73A27">
        <w:rPr>
          <w:lang w:val="en-CA"/>
        </w:rPr>
        <w:t xml:space="preserve"> </w:t>
      </w:r>
      <w:r w:rsidRPr="00E73A27">
        <w:t>CO</w:t>
      </w:r>
      <w:r w:rsidRPr="00E73A27">
        <w:rPr>
          <w:vertAlign w:val="subscript"/>
        </w:rPr>
        <w:t>2</w:t>
      </w:r>
      <w:r w:rsidRPr="00E73A27">
        <w:noBreakHyphen/>
        <w:t>eq</w:t>
      </w:r>
      <w:r w:rsidRPr="00E73A27">
        <w:rPr>
          <w:lang w:val="en-CA"/>
        </w:rPr>
        <w:t>).</w:t>
      </w:r>
    </w:p>
    <w:p w:rsidR="00242391" w:rsidRPr="00E73A27" w:rsidRDefault="00242391" w:rsidP="00242391">
      <w:pPr>
        <w:pStyle w:val="Heading1"/>
        <w:tabs>
          <w:tab w:val="clear" w:pos="142"/>
          <w:tab w:val="num" w:pos="0"/>
        </w:tabs>
        <w:ind w:left="0"/>
        <w:rPr>
          <w:lang w:val="en-CA"/>
        </w:rPr>
      </w:pPr>
      <w:r w:rsidRPr="00E73A27">
        <w:rPr>
          <w:lang w:val="en-CA"/>
        </w:rPr>
        <w:t>The Secretariat notes that the purpose of implementing projects under decision 78/3(g) is to gain experience in the ICCs and IOCs that might be associated with phasing down HFCs. On the basis of the information available at the time of review, the Secretariat considers that the agreed costs are its best estimates of the overall incremental costs of conversion; these estimates, however, might change as more information becomes available and according to the specific characteristics of the enterprises. The Secretariat, therefore, considers that approval of the project at the levels proposed above would not constitute a precedent.</w:t>
      </w:r>
    </w:p>
    <w:p w:rsidR="00242391" w:rsidRPr="00E73A27" w:rsidRDefault="00242391" w:rsidP="00242391">
      <w:pPr>
        <w:rPr>
          <w:u w:val="single"/>
          <w:lang w:val="en-CA"/>
        </w:rPr>
      </w:pPr>
      <w:r w:rsidRPr="00E73A27">
        <w:rPr>
          <w:u w:val="single"/>
          <w:lang w:val="en-CA"/>
        </w:rPr>
        <w:t>2018</w:t>
      </w:r>
      <w:r w:rsidRPr="00E73A27">
        <w:rPr>
          <w:sz w:val="18"/>
          <w:szCs w:val="18"/>
          <w:u w:val="single"/>
          <w:lang w:val="en-CA"/>
        </w:rPr>
        <w:t>–</w:t>
      </w:r>
      <w:r w:rsidRPr="00E73A27">
        <w:rPr>
          <w:u w:val="single"/>
          <w:lang w:val="en-CA"/>
        </w:rPr>
        <w:t>2020 business plan</w:t>
      </w:r>
    </w:p>
    <w:p w:rsidR="00242391" w:rsidRPr="00E73A27" w:rsidRDefault="00242391" w:rsidP="00242391">
      <w:pPr>
        <w:rPr>
          <w:b/>
          <w:lang w:val="en-CA"/>
        </w:rPr>
      </w:pPr>
    </w:p>
    <w:p w:rsidR="00242391" w:rsidRPr="00E73A27" w:rsidRDefault="00242391" w:rsidP="00242391">
      <w:pPr>
        <w:pStyle w:val="Heading1"/>
        <w:tabs>
          <w:tab w:val="clear" w:pos="142"/>
          <w:tab w:val="num" w:pos="0"/>
        </w:tabs>
        <w:ind w:left="0"/>
        <w:rPr>
          <w:lang w:val="en-CA"/>
        </w:rPr>
      </w:pPr>
      <w:r w:rsidRPr="00E73A27">
        <w:rPr>
          <w:lang w:val="en-CA"/>
        </w:rPr>
        <w:t xml:space="preserve">This project is included in the 2018–2020 business plan of the Multilateral Fund at a value of </w:t>
      </w:r>
      <w:r w:rsidR="00C52303" w:rsidRPr="00E73A27">
        <w:rPr>
          <w:lang w:val="en-CA"/>
        </w:rPr>
        <w:t>US $</w:t>
      </w:r>
      <w:r w:rsidRPr="00E73A27">
        <w:rPr>
          <w:lang w:val="en-CA"/>
        </w:rPr>
        <w:t xml:space="preserve">148,015, including agency support costs, to phase out 18.2 </w:t>
      </w:r>
      <w:proofErr w:type="spellStart"/>
      <w:r w:rsidRPr="00E73A27">
        <w:rPr>
          <w:lang w:val="en-CA"/>
        </w:rPr>
        <w:t>mt</w:t>
      </w:r>
      <w:proofErr w:type="spellEnd"/>
      <w:r w:rsidRPr="00E73A27">
        <w:rPr>
          <w:lang w:val="en-CA"/>
        </w:rPr>
        <w:t xml:space="preserve"> of HFC. The Secretariat notes that after the adjustments to the costs, the proposal is </w:t>
      </w:r>
      <w:r w:rsidR="00C52303" w:rsidRPr="00E73A27">
        <w:rPr>
          <w:lang w:val="en-CA"/>
        </w:rPr>
        <w:t>US $</w:t>
      </w:r>
      <w:r w:rsidRPr="00E73A27">
        <w:rPr>
          <w:lang w:val="en-CA"/>
        </w:rPr>
        <w:t>72,645 more than what has been included into the business plan.</w:t>
      </w:r>
    </w:p>
    <w:p w:rsidR="00242391" w:rsidRPr="00E73A27" w:rsidRDefault="00242391" w:rsidP="00242391">
      <w:pPr>
        <w:keepNext/>
        <w:rPr>
          <w:b/>
          <w:lang w:val="en-CA"/>
        </w:rPr>
      </w:pPr>
      <w:r w:rsidRPr="00E73A27">
        <w:rPr>
          <w:b/>
          <w:lang w:val="en-CA"/>
        </w:rPr>
        <w:t>Recommendation</w:t>
      </w:r>
    </w:p>
    <w:p w:rsidR="00242391" w:rsidRPr="00E73A27" w:rsidRDefault="00242391" w:rsidP="00242391">
      <w:pPr>
        <w:rPr>
          <w:lang w:val="en-CA"/>
        </w:rPr>
      </w:pPr>
    </w:p>
    <w:p w:rsidR="00242391" w:rsidRPr="00E73A27" w:rsidRDefault="00242391" w:rsidP="00242391">
      <w:pPr>
        <w:pStyle w:val="Heading1"/>
        <w:tabs>
          <w:tab w:val="clear" w:pos="142"/>
          <w:tab w:val="num" w:pos="0"/>
        </w:tabs>
        <w:ind w:left="0"/>
        <w:rPr>
          <w:lang w:val="en-CA"/>
        </w:rPr>
      </w:pPr>
      <w:r w:rsidRPr="00E73A27">
        <w:rPr>
          <w:lang w:val="en-CA"/>
        </w:rPr>
        <w:t>The Executive Committee may wish to consider:</w:t>
      </w:r>
    </w:p>
    <w:p w:rsidR="00242391" w:rsidRPr="00E73A27" w:rsidRDefault="00242391" w:rsidP="00242391">
      <w:pPr>
        <w:pStyle w:val="Heading2"/>
        <w:rPr>
          <w:lang w:val="en-CA"/>
        </w:rPr>
      </w:pPr>
      <w:r w:rsidRPr="00E73A27">
        <w:rPr>
          <w:lang w:val="en-CA"/>
        </w:rPr>
        <w:t xml:space="preserve">The project proposal for the conversion of commercial refrigerators manufacturing at </w:t>
      </w:r>
      <w:proofErr w:type="spellStart"/>
      <w:r w:rsidRPr="00E73A27">
        <w:rPr>
          <w:lang w:val="en-CA"/>
        </w:rPr>
        <w:t>Induglob</w:t>
      </w:r>
      <w:proofErr w:type="spellEnd"/>
      <w:r w:rsidRPr="00E73A27">
        <w:rPr>
          <w:lang w:val="en-CA"/>
        </w:rPr>
        <w:t xml:space="preserve"> from the use of HFC-134a as the refrigerant to propane (R-290) and </w:t>
      </w:r>
      <w:proofErr w:type="spellStart"/>
      <w:r w:rsidRPr="00E73A27">
        <w:rPr>
          <w:lang w:val="en-CA"/>
        </w:rPr>
        <w:t>isobutane</w:t>
      </w:r>
      <w:proofErr w:type="spellEnd"/>
      <w:r w:rsidRPr="00E73A27">
        <w:rPr>
          <w:lang w:val="en-CA"/>
        </w:rPr>
        <w:t xml:space="preserve"> (R-600a), in the context of its discussion on HFC stand-alone project submitted to the 81</w:t>
      </w:r>
      <w:r w:rsidR="00416F75" w:rsidRPr="00416F75">
        <w:rPr>
          <w:vertAlign w:val="superscript"/>
          <w:lang w:val="en-CA"/>
        </w:rPr>
        <w:t>st</w:t>
      </w:r>
      <w:r w:rsidR="00416F75">
        <w:rPr>
          <w:vertAlign w:val="superscript"/>
          <w:lang w:val="en-CA"/>
        </w:rPr>
        <w:t> </w:t>
      </w:r>
      <w:r w:rsidRPr="00E73A27">
        <w:rPr>
          <w:lang w:val="en-CA"/>
        </w:rPr>
        <w:t>meeting in line with decision 78/3(g) and decision 79/45, as described in the document on the Overview of issues identified during project review (UNEP/</w:t>
      </w:r>
      <w:proofErr w:type="spellStart"/>
      <w:r w:rsidRPr="00E73A27">
        <w:rPr>
          <w:lang w:val="en-CA"/>
        </w:rPr>
        <w:t>OzL.Pro</w:t>
      </w:r>
      <w:proofErr w:type="spellEnd"/>
      <w:r w:rsidRPr="00E73A27">
        <w:rPr>
          <w:lang w:val="en-CA"/>
        </w:rPr>
        <w:t>/</w:t>
      </w:r>
      <w:proofErr w:type="spellStart"/>
      <w:r w:rsidRPr="00E73A27">
        <w:rPr>
          <w:lang w:val="en-CA"/>
        </w:rPr>
        <w:t>ExCom</w:t>
      </w:r>
      <w:proofErr w:type="spellEnd"/>
      <w:r w:rsidRPr="00E73A27">
        <w:rPr>
          <w:lang w:val="en-CA"/>
        </w:rPr>
        <w:t>/81/14);</w:t>
      </w:r>
    </w:p>
    <w:p w:rsidR="00242391" w:rsidRPr="00E73A27" w:rsidRDefault="00242391" w:rsidP="00242391">
      <w:pPr>
        <w:pStyle w:val="Heading2"/>
        <w:rPr>
          <w:lang w:val="en-CA"/>
        </w:rPr>
      </w:pPr>
      <w:r w:rsidRPr="00E73A27">
        <w:rPr>
          <w:lang w:val="en-CA"/>
        </w:rPr>
        <w:t xml:space="preserve">Whether or not to approve the project proposal indicated in sub-paragraph (a) above in the amount of </w:t>
      </w:r>
      <w:r w:rsidR="00C52303" w:rsidRPr="00E73A27">
        <w:rPr>
          <w:lang w:val="en-CA"/>
        </w:rPr>
        <w:t>US $</w:t>
      </w:r>
      <w:r w:rsidRPr="00E73A27">
        <w:rPr>
          <w:lang w:val="en-CA"/>
        </w:rPr>
        <w:t>220,660, plus agency support costs of US </w:t>
      </w:r>
      <w:proofErr w:type="spellStart"/>
      <w:r w:rsidR="00C52303" w:rsidRPr="00E73A27">
        <w:rPr>
          <w:lang w:val="en-CA"/>
        </w:rPr>
        <w:t>US</w:t>
      </w:r>
      <w:proofErr w:type="spellEnd"/>
      <w:r w:rsidR="00C52303" w:rsidRPr="00E73A27">
        <w:rPr>
          <w:lang w:val="en-CA"/>
        </w:rPr>
        <w:t> $</w:t>
      </w:r>
      <w:r w:rsidR="00416F75">
        <w:rPr>
          <w:lang w:val="en-CA"/>
        </w:rPr>
        <w:t>19,859</w:t>
      </w:r>
      <w:r w:rsidRPr="00E73A27">
        <w:rPr>
          <w:lang w:val="en-CA"/>
        </w:rPr>
        <w:t xml:space="preserve"> for UNIDO, on the understanding, if the project were to be approved:</w:t>
      </w:r>
    </w:p>
    <w:p w:rsidR="00242391" w:rsidRPr="00E73A27" w:rsidRDefault="00242391" w:rsidP="00242391">
      <w:pPr>
        <w:pStyle w:val="Heading3"/>
        <w:rPr>
          <w:lang w:val="en-CA"/>
        </w:rPr>
      </w:pPr>
      <w:r w:rsidRPr="00E73A27">
        <w:rPr>
          <w:lang w:val="en-CA"/>
        </w:rPr>
        <w:t xml:space="preserve">That no further funding would be available until the instrument of ratification by the Government of Ecuador had been received by the depositary at the Headquarters of the United Nations in New York; </w:t>
      </w:r>
    </w:p>
    <w:p w:rsidR="00242391" w:rsidRPr="00E73A27" w:rsidRDefault="00242391" w:rsidP="00242391">
      <w:pPr>
        <w:pStyle w:val="Heading3"/>
        <w:rPr>
          <w:lang w:val="en-CA"/>
        </w:rPr>
      </w:pPr>
      <w:r w:rsidRPr="00E73A27">
        <w:rPr>
          <w:lang w:val="en-CA"/>
        </w:rPr>
        <w:t xml:space="preserve">That 19.80 </w:t>
      </w:r>
      <w:proofErr w:type="spellStart"/>
      <w:r w:rsidRPr="00E73A27">
        <w:rPr>
          <w:lang w:val="en-CA"/>
        </w:rPr>
        <w:t>mt</w:t>
      </w:r>
      <w:proofErr w:type="spellEnd"/>
      <w:r w:rsidRPr="00E73A27">
        <w:rPr>
          <w:lang w:val="en-CA"/>
        </w:rPr>
        <w:t xml:space="preserve"> (28,3144 </w:t>
      </w:r>
      <w:r w:rsidRPr="00E73A27">
        <w:t>CO</w:t>
      </w:r>
      <w:r w:rsidRPr="00E73A27">
        <w:rPr>
          <w:vertAlign w:val="subscript"/>
        </w:rPr>
        <w:t>2</w:t>
      </w:r>
      <w:r w:rsidRPr="00E73A27">
        <w:noBreakHyphen/>
        <w:t xml:space="preserve">eq </w:t>
      </w:r>
      <w:proofErr w:type="spellStart"/>
      <w:r w:rsidRPr="00E73A27">
        <w:t>mt</w:t>
      </w:r>
      <w:proofErr w:type="spellEnd"/>
      <w:r w:rsidRPr="00E73A27">
        <w:rPr>
          <w:lang w:val="en-CA"/>
        </w:rPr>
        <w:t>) of HFC-134a would be deducted from the starting point for sustained aggregate reduction in HFC once it had been established;</w:t>
      </w:r>
    </w:p>
    <w:p w:rsidR="00242391" w:rsidRPr="00E73A27" w:rsidRDefault="00242391" w:rsidP="00242391">
      <w:pPr>
        <w:pStyle w:val="Heading3"/>
        <w:rPr>
          <w:lang w:val="en-CA"/>
        </w:rPr>
      </w:pPr>
      <w:r w:rsidRPr="00E73A27">
        <w:rPr>
          <w:lang w:val="en-CA"/>
        </w:rPr>
        <w:t xml:space="preserve">That the project would be completed within 24 months of the transfer of funds to UNIDO, and a comprehensive completion report with detailed information on the eligible incremental capital costs, incremental operating costs, any possible savings incurred during the conversion and relevant factors that facilitated implementation would be submitted within six months of project completion; and </w:t>
      </w:r>
    </w:p>
    <w:p w:rsidR="00242391" w:rsidRPr="00E73A27" w:rsidRDefault="00242391" w:rsidP="00242391">
      <w:pPr>
        <w:pStyle w:val="Heading3"/>
        <w:rPr>
          <w:lang w:val="en-CA"/>
        </w:rPr>
      </w:pPr>
      <w:r w:rsidRPr="00E73A27">
        <w:rPr>
          <w:lang w:val="en-CA"/>
        </w:rPr>
        <w:t>That any remaining funds would be returned to the Multilateral Fund no later than one year after the date of project completion.</w:t>
      </w:r>
    </w:p>
    <w:p w:rsidR="00242391" w:rsidRDefault="00242391" w:rsidP="00242391">
      <w:pPr>
        <w:rPr>
          <w:lang w:val="en-CA"/>
        </w:rPr>
      </w:pPr>
    </w:p>
    <w:p w:rsidR="00242391" w:rsidRPr="00702174" w:rsidRDefault="00242391" w:rsidP="00242391">
      <w:pPr>
        <w:rPr>
          <w:i/>
          <w:lang w:val="en-CA"/>
        </w:rPr>
      </w:pPr>
    </w:p>
    <w:tbl>
      <w:tblPr>
        <w:tblStyle w:val="TableGrid"/>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32D05" w:rsidTr="001D14D2">
        <w:tc>
          <w:tcPr>
            <w:tcW w:w="1871" w:type="dxa"/>
          </w:tcPr>
          <w:p w:rsidR="00532D05" w:rsidRDefault="00532D05" w:rsidP="001D14D2">
            <w:r>
              <w:br w:type="page"/>
            </w:r>
          </w:p>
        </w:tc>
        <w:tc>
          <w:tcPr>
            <w:tcW w:w="1872" w:type="dxa"/>
          </w:tcPr>
          <w:p w:rsidR="00532D05" w:rsidRDefault="00532D05" w:rsidP="001D14D2"/>
        </w:tc>
        <w:tc>
          <w:tcPr>
            <w:tcW w:w="1872" w:type="dxa"/>
            <w:tcBorders>
              <w:bottom w:val="single" w:sz="4" w:space="0" w:color="auto"/>
            </w:tcBorders>
          </w:tcPr>
          <w:p w:rsidR="00532D05" w:rsidRDefault="00532D05" w:rsidP="001D14D2"/>
        </w:tc>
        <w:tc>
          <w:tcPr>
            <w:tcW w:w="1872" w:type="dxa"/>
          </w:tcPr>
          <w:p w:rsidR="00532D05" w:rsidRDefault="00532D05" w:rsidP="001D14D2"/>
        </w:tc>
        <w:tc>
          <w:tcPr>
            <w:tcW w:w="1873" w:type="dxa"/>
          </w:tcPr>
          <w:p w:rsidR="00532D05" w:rsidRDefault="00532D05" w:rsidP="001D14D2"/>
        </w:tc>
      </w:tr>
    </w:tbl>
    <w:p w:rsidR="00532D05" w:rsidRPr="00450E43" w:rsidRDefault="00532D05" w:rsidP="00E73A27"/>
    <w:sectPr w:rsidR="00532D05" w:rsidRPr="00450E43" w:rsidSect="00E757D8">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07" w:rsidRDefault="00764F07" w:rsidP="004A504B">
      <w:r>
        <w:separator/>
      </w:r>
    </w:p>
  </w:endnote>
  <w:endnote w:type="continuationSeparator" w:id="0">
    <w:p w:rsidR="00764F07" w:rsidRDefault="00764F07" w:rsidP="004A504B">
      <w:r>
        <w:continuationSeparator/>
      </w:r>
    </w:p>
  </w:endnote>
  <w:endnote w:type="continuationNotice" w:id="1">
    <w:p w:rsidR="00764F07" w:rsidRDefault="00764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07" w:rsidRPr="0033525D" w:rsidRDefault="00764F07">
    <w:pPr>
      <w:jc w:val="center"/>
    </w:pPr>
    <w:r>
      <w:fldChar w:fldCharType="begin"/>
    </w:r>
    <w:r>
      <w:instrText xml:space="preserve"> PAGE </w:instrText>
    </w:r>
    <w:r>
      <w:fldChar w:fldCharType="separate"/>
    </w:r>
    <w:r w:rsidR="007742B8">
      <w:rPr>
        <w:noProof/>
      </w:rPr>
      <w:t>12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07" w:rsidRPr="0033525D" w:rsidRDefault="00764F07">
    <w:pPr>
      <w:jc w:val="center"/>
    </w:pPr>
    <w:r>
      <w:fldChar w:fldCharType="begin"/>
    </w:r>
    <w:r>
      <w:instrText xml:space="preserve"> PAGE </w:instrText>
    </w:r>
    <w:r>
      <w:fldChar w:fldCharType="separate"/>
    </w:r>
    <w:r w:rsidR="007742B8">
      <w:rPr>
        <w:noProof/>
      </w:rPr>
      <w:t>11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07" w:rsidRDefault="00764F0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64F07" w:rsidRDefault="00764F0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07" w:rsidRDefault="00764F07" w:rsidP="004A504B">
      <w:r>
        <w:separator/>
      </w:r>
    </w:p>
  </w:footnote>
  <w:footnote w:type="continuationSeparator" w:id="0">
    <w:p w:rsidR="00764F07" w:rsidRDefault="00764F07" w:rsidP="004A504B">
      <w:r>
        <w:continuationSeparator/>
      </w:r>
    </w:p>
  </w:footnote>
  <w:footnote w:type="continuationNotice" w:id="1">
    <w:p w:rsidR="00764F07" w:rsidRDefault="00764F07"/>
  </w:footnote>
  <w:footnote w:id="2">
    <w:p w:rsidR="00764F07" w:rsidRPr="002D407D" w:rsidRDefault="00764F07" w:rsidP="00624407">
      <w:pPr>
        <w:pStyle w:val="FootnoteText"/>
      </w:pPr>
      <w:r>
        <w:rPr>
          <w:rStyle w:val="FootnoteReference"/>
        </w:rPr>
        <w:footnoteRef/>
      </w:r>
      <w:r>
        <w:t xml:space="preserve"> </w:t>
      </w:r>
      <w:r w:rsidRPr="002D407D">
        <w:t>UNEP/</w:t>
      </w:r>
      <w:proofErr w:type="spellStart"/>
      <w:r w:rsidRPr="002D407D">
        <w:t>OzL.Pro</w:t>
      </w:r>
      <w:proofErr w:type="spellEnd"/>
      <w:r w:rsidRPr="002D407D">
        <w:t>/</w:t>
      </w:r>
      <w:proofErr w:type="spellStart"/>
      <w:r w:rsidRPr="002D407D">
        <w:t>ExCom</w:t>
      </w:r>
      <w:proofErr w:type="spellEnd"/>
      <w:r w:rsidRPr="002D407D">
        <w:t>/65/31</w:t>
      </w:r>
    </w:p>
  </w:footnote>
  <w:footnote w:id="3">
    <w:p w:rsidR="00764F07" w:rsidRPr="00C91A2E" w:rsidRDefault="00764F07" w:rsidP="00624407">
      <w:pPr>
        <w:pStyle w:val="FootnoteText"/>
      </w:pPr>
      <w:r>
        <w:rPr>
          <w:rStyle w:val="FootnoteReference"/>
        </w:rPr>
        <w:footnoteRef/>
      </w:r>
      <w:r>
        <w:t xml:space="preserve"> UNEP/</w:t>
      </w:r>
      <w:proofErr w:type="spellStart"/>
      <w:r>
        <w:t>OzL.Pro</w:t>
      </w:r>
      <w:proofErr w:type="spellEnd"/>
      <w:r>
        <w:t>/</w:t>
      </w:r>
      <w:proofErr w:type="spellStart"/>
      <w:r>
        <w:t>ExCom</w:t>
      </w:r>
      <w:proofErr w:type="spellEnd"/>
      <w:r>
        <w:t>/65/31 and Appendix 8-A of the Agreement between the Government of Ecuador and the Executive Committee for stage I of the HPMP.</w:t>
      </w:r>
    </w:p>
  </w:footnote>
  <w:footnote w:id="4">
    <w:p w:rsidR="00764F07" w:rsidRPr="00242391" w:rsidRDefault="00764F07" w:rsidP="00624407">
      <w:pPr>
        <w:pStyle w:val="FootnoteText"/>
        <w:rPr>
          <w:sz w:val="19"/>
          <w:szCs w:val="19"/>
          <w:lang w:val="en-US"/>
        </w:rPr>
      </w:pPr>
      <w:r>
        <w:rPr>
          <w:rStyle w:val="FootnoteReference"/>
        </w:rPr>
        <w:footnoteRef/>
      </w:r>
      <w:r>
        <w:t xml:space="preserve"> </w:t>
      </w:r>
      <w:r w:rsidRPr="00242391">
        <w:rPr>
          <w:sz w:val="19"/>
          <w:szCs w:val="19"/>
        </w:rPr>
        <w:t xml:space="preserve">Project ECU/FOA/09/INV/10 included </w:t>
      </w:r>
      <w:proofErr w:type="spellStart"/>
      <w:r w:rsidRPr="00242391">
        <w:rPr>
          <w:sz w:val="19"/>
          <w:szCs w:val="19"/>
        </w:rPr>
        <w:t>Ecasa</w:t>
      </w:r>
      <w:proofErr w:type="spellEnd"/>
      <w:r w:rsidRPr="00242391">
        <w:rPr>
          <w:sz w:val="19"/>
          <w:szCs w:val="19"/>
        </w:rPr>
        <w:t xml:space="preserve"> and </w:t>
      </w:r>
      <w:proofErr w:type="spellStart"/>
      <w:r w:rsidRPr="00242391">
        <w:rPr>
          <w:sz w:val="19"/>
          <w:szCs w:val="19"/>
        </w:rPr>
        <w:t>Mafrico</w:t>
      </w:r>
      <w:proofErr w:type="spellEnd"/>
      <w:r w:rsidRPr="00242391">
        <w:rPr>
          <w:sz w:val="19"/>
          <w:szCs w:val="19"/>
        </w:rPr>
        <w:t xml:space="preserve">. Project ECU/FOA/26/INV/24 included </w:t>
      </w:r>
      <w:proofErr w:type="spellStart"/>
      <w:r w:rsidRPr="00242391">
        <w:rPr>
          <w:sz w:val="19"/>
          <w:szCs w:val="19"/>
        </w:rPr>
        <w:t>Elasto</w:t>
      </w:r>
      <w:proofErr w:type="spellEnd"/>
      <w:r w:rsidRPr="00242391">
        <w:rPr>
          <w:sz w:val="19"/>
          <w:szCs w:val="19"/>
        </w:rPr>
        <w:t>.</w:t>
      </w:r>
    </w:p>
  </w:footnote>
  <w:footnote w:id="5">
    <w:p w:rsidR="00764F07" w:rsidRPr="00242391" w:rsidRDefault="00764F07" w:rsidP="00624407">
      <w:pPr>
        <w:pStyle w:val="FootnoteText"/>
        <w:rPr>
          <w:sz w:val="19"/>
          <w:szCs w:val="19"/>
          <w:lang w:val="en-US"/>
        </w:rPr>
      </w:pPr>
      <w:r w:rsidRPr="00242391">
        <w:rPr>
          <w:rStyle w:val="FootnoteReference"/>
          <w:sz w:val="19"/>
          <w:szCs w:val="19"/>
        </w:rPr>
        <w:footnoteRef/>
      </w:r>
      <w:r w:rsidRPr="00242391">
        <w:rPr>
          <w:sz w:val="19"/>
          <w:szCs w:val="19"/>
        </w:rPr>
        <w:t xml:space="preserve"> Decision 60/44(b)(</w:t>
      </w:r>
      <w:proofErr w:type="spellStart"/>
      <w:r w:rsidRPr="00242391">
        <w:rPr>
          <w:sz w:val="19"/>
          <w:szCs w:val="19"/>
        </w:rPr>
        <w:t>i</w:t>
      </w:r>
      <w:proofErr w:type="spellEnd"/>
      <w:r w:rsidRPr="00242391">
        <w:rPr>
          <w:sz w:val="19"/>
          <w:szCs w:val="19"/>
        </w:rPr>
        <w:t>) and (ii): (b)(</w:t>
      </w:r>
      <w:proofErr w:type="spellStart"/>
      <w:r w:rsidRPr="00242391">
        <w:rPr>
          <w:sz w:val="19"/>
          <w:szCs w:val="19"/>
        </w:rPr>
        <w:t>i</w:t>
      </w:r>
      <w:proofErr w:type="spellEnd"/>
      <w:r w:rsidRPr="00242391">
        <w:rPr>
          <w:sz w:val="19"/>
          <w:szCs w:val="19"/>
        </w:rPr>
        <w:t>) Full funding of eligible incremental costs of second-stage conversion projects will be considered in those cases where an Article 5 Party clearly demonstrates in its HPMP that such projects are necessary to comply with the Montreal Protocol HCFC targets up to and including the 35 per cent reduction step by 1 January 2020 and/or are the most cost-effective projects measured in ODP tonnes that the Party concerned can undertake in the manufacturing sector in order to comply with these targets; (b)(ii) Funding for all other second-stage conversion projects not covered under paragraph (b)(</w:t>
      </w:r>
      <w:proofErr w:type="spellStart"/>
      <w:r w:rsidRPr="00242391">
        <w:rPr>
          <w:sz w:val="19"/>
          <w:szCs w:val="19"/>
        </w:rPr>
        <w:t>i</w:t>
      </w:r>
      <w:proofErr w:type="spellEnd"/>
      <w:r w:rsidRPr="00242391">
        <w:rPr>
          <w:sz w:val="19"/>
          <w:szCs w:val="19"/>
        </w:rPr>
        <w:t>) above will be limited to funding for installation, trials, and training associated with those projects.</w:t>
      </w:r>
    </w:p>
  </w:footnote>
  <w:footnote w:id="6">
    <w:p w:rsidR="00764F07" w:rsidRPr="00242391" w:rsidRDefault="00764F07" w:rsidP="008E3BC4">
      <w:pPr>
        <w:pStyle w:val="FootnoteText"/>
        <w:rPr>
          <w:sz w:val="19"/>
          <w:szCs w:val="19"/>
          <w:lang w:val="en-US"/>
        </w:rPr>
      </w:pPr>
      <w:r w:rsidRPr="00242391">
        <w:rPr>
          <w:rStyle w:val="FootnoteReference"/>
          <w:sz w:val="19"/>
          <w:szCs w:val="19"/>
        </w:rPr>
        <w:footnoteRef/>
      </w:r>
      <w:r w:rsidRPr="00242391">
        <w:rPr>
          <w:sz w:val="19"/>
          <w:szCs w:val="19"/>
        </w:rPr>
        <w:t xml:space="preserve"> </w:t>
      </w:r>
      <w:r w:rsidRPr="00C52303">
        <w:rPr>
          <w:sz w:val="19"/>
          <w:szCs w:val="19"/>
        </w:rPr>
        <w:t>The 2014 FTOC Assessment Report indicates that: “for PU spray foam the major challenge relates to the safe processing of these systems under in-situ conditions within a building. The potential for the accumulation of blowing agent in ‘pockets’ creates the risk of fire or explosion if flammable materials are used. Therefore, HCs have broadly been ruled out for these applications.”</w:t>
      </w:r>
    </w:p>
  </w:footnote>
  <w:footnote w:id="7">
    <w:p w:rsidR="00764F07" w:rsidRPr="005F1B39" w:rsidRDefault="00764F07" w:rsidP="00242391">
      <w:pPr>
        <w:pStyle w:val="FootnoteText"/>
      </w:pPr>
      <w:r>
        <w:rPr>
          <w:rStyle w:val="FootnoteReference"/>
        </w:rPr>
        <w:footnoteRef/>
      </w:r>
      <w:r>
        <w:t xml:space="preserve"> For the purpose of the present document, commercial refrigerators refer to stand-alone appliances used in the commercial refrigeration sector, which contain HFC refrigerant charges below 500 grams.</w:t>
      </w:r>
    </w:p>
  </w:footnote>
  <w:footnote w:id="8">
    <w:p w:rsidR="00764F07" w:rsidRPr="003054F0" w:rsidRDefault="00764F07" w:rsidP="003054F0">
      <w:pPr>
        <w:pStyle w:val="FootnoteText"/>
        <w:rPr>
          <w:lang w:val="en-US"/>
        </w:rPr>
      </w:pPr>
      <w:r w:rsidRPr="00C461B8">
        <w:rPr>
          <w:rStyle w:val="FootnoteReference"/>
        </w:rPr>
        <w:footnoteRef/>
      </w:r>
      <w:r w:rsidRPr="00C461B8">
        <w:t xml:space="preserve"> </w:t>
      </w:r>
      <w:r w:rsidRPr="00C461B8">
        <w:rPr>
          <w:lang w:val="en-US"/>
        </w:rPr>
        <w:t xml:space="preserve">Project ECU/REF/26/INV/26. </w:t>
      </w:r>
      <w:proofErr w:type="spellStart"/>
      <w:r w:rsidRPr="00C461B8">
        <w:rPr>
          <w:lang w:val="en-US"/>
        </w:rPr>
        <w:t>Ecasa</w:t>
      </w:r>
      <w:proofErr w:type="spellEnd"/>
      <w:r w:rsidRPr="00C461B8">
        <w:rPr>
          <w:lang w:val="en-US"/>
        </w:rPr>
        <w:t xml:space="preserve"> also received assistance to convert its foam panels from CFC-11 to water based technology (later changed to HCFC-141b) at the 9</w:t>
      </w:r>
      <w:r w:rsidRPr="00C461B8">
        <w:rPr>
          <w:vertAlign w:val="superscript"/>
          <w:lang w:val="en-US"/>
        </w:rPr>
        <w:t>th</w:t>
      </w:r>
      <w:r>
        <w:rPr>
          <w:lang w:val="en-US"/>
        </w:rPr>
        <w:t xml:space="preserve"> </w:t>
      </w:r>
      <w:r w:rsidRPr="00C461B8">
        <w:rPr>
          <w:lang w:val="en-US"/>
        </w:rPr>
        <w:t>meeting (March 1993)</w:t>
      </w:r>
      <w:r w:rsidRPr="00C461B8">
        <w:t xml:space="preserve"> (</w:t>
      </w:r>
      <w:r w:rsidRPr="00C461B8">
        <w:rPr>
          <w:lang w:val="en-US"/>
        </w:rPr>
        <w:t>ECU/FOA/09/INV/10).</w:t>
      </w:r>
    </w:p>
  </w:footnote>
  <w:footnote w:id="9">
    <w:p w:rsidR="00764F07" w:rsidRPr="00424306" w:rsidRDefault="00764F07" w:rsidP="001A2C2E">
      <w:pPr>
        <w:pStyle w:val="FootnoteText"/>
        <w:rPr>
          <w:lang w:val="en-US"/>
        </w:rPr>
      </w:pPr>
      <w:r w:rsidRPr="000826E3">
        <w:rPr>
          <w:rStyle w:val="FootnoteReference"/>
        </w:rPr>
        <w:footnoteRef/>
      </w:r>
      <w:r w:rsidRPr="000826E3">
        <w:t xml:space="preserve"> </w:t>
      </w:r>
      <w:r w:rsidRPr="000826E3">
        <w:rPr>
          <w:lang w:val="en-US"/>
        </w:rPr>
        <w:t xml:space="preserve">ECU/REF/26/INV/25. </w:t>
      </w:r>
      <w:proofErr w:type="spellStart"/>
      <w:r w:rsidRPr="000826E3">
        <w:rPr>
          <w:lang w:val="en-US"/>
        </w:rPr>
        <w:t>Induglob</w:t>
      </w:r>
      <w:proofErr w:type="spellEnd"/>
      <w:r w:rsidRPr="000826E3">
        <w:rPr>
          <w:lang w:val="en-US"/>
        </w:rPr>
        <w:t xml:space="preserve"> also received assistance to convert its foam panels from CFC-11 to water</w:t>
      </w:r>
      <w:r w:rsidRPr="000826E3">
        <w:rPr>
          <w:lang w:val="en-US"/>
        </w:rPr>
        <w:noBreakHyphen/>
        <w:t>based technology (later changed to HCFC-141b) at the 9</w:t>
      </w:r>
      <w:r w:rsidRPr="000826E3">
        <w:rPr>
          <w:vertAlign w:val="superscript"/>
          <w:lang w:val="en-US"/>
        </w:rPr>
        <w:t>th</w:t>
      </w:r>
      <w:r w:rsidRPr="000826E3">
        <w:rPr>
          <w:lang w:val="en-US"/>
        </w:rPr>
        <w:t xml:space="preserve"> meeting (ECU/FOA/09/INV/10) and to convert from HCFC-141b to </w:t>
      </w:r>
      <w:proofErr w:type="spellStart"/>
      <w:r w:rsidRPr="000826E3">
        <w:rPr>
          <w:lang w:val="en-US"/>
        </w:rPr>
        <w:t>cyclopentane</w:t>
      </w:r>
      <w:proofErr w:type="spellEnd"/>
      <w:r w:rsidRPr="000826E3">
        <w:rPr>
          <w:lang w:val="en-US"/>
        </w:rPr>
        <w:t xml:space="preserve"> at the 65</w:t>
      </w:r>
      <w:r w:rsidRPr="000826E3">
        <w:rPr>
          <w:vertAlign w:val="superscript"/>
          <w:lang w:val="en-US"/>
        </w:rPr>
        <w:t>th</w:t>
      </w:r>
      <w:r w:rsidRPr="000826E3">
        <w:rPr>
          <w:lang w:val="en-US"/>
        </w:rPr>
        <w:t xml:space="preserve"> meeting (ECU/PHA/65/INV/55).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07" w:rsidRPr="0033525D" w:rsidRDefault="00764F07">
    <w:r w:rsidRPr="001609DE">
      <w:t>U</w:t>
    </w:r>
    <w:r>
      <w:t>NEP/</w:t>
    </w:r>
    <w:proofErr w:type="spellStart"/>
    <w:r>
      <w:t>OzL.Pro</w:t>
    </w:r>
    <w:proofErr w:type="spellEnd"/>
    <w:r>
      <w:t>/</w:t>
    </w:r>
    <w:proofErr w:type="spellStart"/>
    <w:r>
      <w:t>ExCom</w:t>
    </w:r>
    <w:proofErr w:type="spellEnd"/>
    <w:r>
      <w:t>/81/32</w:t>
    </w:r>
  </w:p>
  <w:p w:rsidR="00764F07" w:rsidRDefault="00764F07"/>
  <w:p w:rsidR="00764F07" w:rsidRPr="0033525D" w:rsidRDefault="00764F0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07" w:rsidRDefault="00764F07" w:rsidP="001609DE">
    <w:pPr>
      <w:jc w:val="right"/>
    </w:pPr>
    <w:r w:rsidRPr="001609DE">
      <w:t>U</w:t>
    </w:r>
    <w:r>
      <w:t>NEP/</w:t>
    </w:r>
    <w:proofErr w:type="spellStart"/>
    <w:r>
      <w:t>OzL.Pro</w:t>
    </w:r>
    <w:proofErr w:type="spellEnd"/>
    <w:r>
      <w:t>/</w:t>
    </w:r>
    <w:proofErr w:type="spellStart"/>
    <w:r>
      <w:t>ExCom</w:t>
    </w:r>
    <w:proofErr w:type="spellEnd"/>
    <w:r>
      <w:t>/81/32</w:t>
    </w:r>
  </w:p>
  <w:p w:rsidR="00764F07" w:rsidRPr="0033525D" w:rsidRDefault="00764F07" w:rsidP="001609DE">
    <w:pPr>
      <w:jc w:val="right"/>
    </w:pPr>
  </w:p>
  <w:p w:rsidR="00764F07" w:rsidRPr="0033525D" w:rsidRDefault="00764F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3F6333E"/>
    <w:lvl w:ilvl="0">
      <w:start w:val="1"/>
      <w:numFmt w:val="decimal"/>
      <w:pStyle w:val="Heading1"/>
      <w:lvlText w:val="%1."/>
      <w:lvlJc w:val="left"/>
      <w:pPr>
        <w:tabs>
          <w:tab w:val="num" w:pos="1134"/>
        </w:tabs>
        <w:ind w:left="1134" w:firstLine="0"/>
      </w:pPr>
      <w:rPr>
        <w:strike w:val="0"/>
        <w:lang w:val="en-CA"/>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F11E55"/>
    <w:multiLevelType w:val="hybridMultilevel"/>
    <w:tmpl w:val="B49A163C"/>
    <w:lvl w:ilvl="0" w:tplc="10090001">
      <w:start w:val="1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84616F"/>
    <w:multiLevelType w:val="hybridMultilevel"/>
    <w:tmpl w:val="DBE209E4"/>
    <w:lvl w:ilvl="0" w:tplc="2050E1E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F94536E"/>
    <w:multiLevelType w:val="hybridMultilevel"/>
    <w:tmpl w:val="A164F196"/>
    <w:lvl w:ilvl="0" w:tplc="10090001">
      <w:start w:val="17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8"/>
  </w:num>
  <w:num w:numId="5">
    <w:abstractNumId w:val="19"/>
  </w:num>
  <w:num w:numId="6">
    <w:abstractNumId w:val="15"/>
  </w:num>
  <w:num w:numId="7">
    <w:abstractNumId w:val="10"/>
  </w:num>
  <w:num w:numId="8">
    <w:abstractNumId w:val="10"/>
  </w:num>
  <w:num w:numId="9">
    <w:abstractNumId w:val="10"/>
  </w:num>
  <w:num w:numId="10">
    <w:abstractNumId w:val="10"/>
  </w:num>
  <w:num w:numId="11">
    <w:abstractNumId w:val="16"/>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BF65E9"/>
    <w:rsid w:val="00000FC5"/>
    <w:rsid w:val="00000FED"/>
    <w:rsid w:val="0000434E"/>
    <w:rsid w:val="00012280"/>
    <w:rsid w:val="00012AEA"/>
    <w:rsid w:val="000211A9"/>
    <w:rsid w:val="000253FE"/>
    <w:rsid w:val="00031260"/>
    <w:rsid w:val="000344E2"/>
    <w:rsid w:val="00035978"/>
    <w:rsid w:val="0003681A"/>
    <w:rsid w:val="00037B83"/>
    <w:rsid w:val="000407FC"/>
    <w:rsid w:val="000546CE"/>
    <w:rsid w:val="000567CE"/>
    <w:rsid w:val="0006039E"/>
    <w:rsid w:val="00061EC2"/>
    <w:rsid w:val="0007371E"/>
    <w:rsid w:val="00080ED0"/>
    <w:rsid w:val="000826E3"/>
    <w:rsid w:val="00083BC3"/>
    <w:rsid w:val="00085B8F"/>
    <w:rsid w:val="00090481"/>
    <w:rsid w:val="0009357C"/>
    <w:rsid w:val="000A1692"/>
    <w:rsid w:val="000A348B"/>
    <w:rsid w:val="000A3CD5"/>
    <w:rsid w:val="000A65BF"/>
    <w:rsid w:val="000A6C26"/>
    <w:rsid w:val="000C2FA8"/>
    <w:rsid w:val="000D4FFC"/>
    <w:rsid w:val="000D7AE5"/>
    <w:rsid w:val="000E07BC"/>
    <w:rsid w:val="000F1CD4"/>
    <w:rsid w:val="000F3E37"/>
    <w:rsid w:val="000F4103"/>
    <w:rsid w:val="000F70A7"/>
    <w:rsid w:val="00110C98"/>
    <w:rsid w:val="00122F25"/>
    <w:rsid w:val="00125BBF"/>
    <w:rsid w:val="00133E94"/>
    <w:rsid w:val="00134193"/>
    <w:rsid w:val="00135980"/>
    <w:rsid w:val="001414B4"/>
    <w:rsid w:val="001418AC"/>
    <w:rsid w:val="0014283F"/>
    <w:rsid w:val="00142968"/>
    <w:rsid w:val="001609DE"/>
    <w:rsid w:val="00162D0B"/>
    <w:rsid w:val="00164719"/>
    <w:rsid w:val="00166FC4"/>
    <w:rsid w:val="001677AC"/>
    <w:rsid w:val="0018046E"/>
    <w:rsid w:val="001804EA"/>
    <w:rsid w:val="00182878"/>
    <w:rsid w:val="001868F3"/>
    <w:rsid w:val="0019018C"/>
    <w:rsid w:val="00190A61"/>
    <w:rsid w:val="00191ACF"/>
    <w:rsid w:val="001964E3"/>
    <w:rsid w:val="001973D9"/>
    <w:rsid w:val="001A2C2E"/>
    <w:rsid w:val="001A3342"/>
    <w:rsid w:val="001A3E3D"/>
    <w:rsid w:val="001A46C6"/>
    <w:rsid w:val="001A7049"/>
    <w:rsid w:val="001A71AA"/>
    <w:rsid w:val="001B1E40"/>
    <w:rsid w:val="001C117D"/>
    <w:rsid w:val="001C24D7"/>
    <w:rsid w:val="001C764E"/>
    <w:rsid w:val="001D14D2"/>
    <w:rsid w:val="001D41ED"/>
    <w:rsid w:val="001D7873"/>
    <w:rsid w:val="001E1052"/>
    <w:rsid w:val="001E21B1"/>
    <w:rsid w:val="001E2F93"/>
    <w:rsid w:val="001E33FF"/>
    <w:rsid w:val="001E61E5"/>
    <w:rsid w:val="001F0822"/>
    <w:rsid w:val="001F2159"/>
    <w:rsid w:val="001F6425"/>
    <w:rsid w:val="00200FA2"/>
    <w:rsid w:val="00203EFE"/>
    <w:rsid w:val="00214863"/>
    <w:rsid w:val="002156B4"/>
    <w:rsid w:val="00217A07"/>
    <w:rsid w:val="00224C23"/>
    <w:rsid w:val="0022703A"/>
    <w:rsid w:val="00227F62"/>
    <w:rsid w:val="00242391"/>
    <w:rsid w:val="002469D9"/>
    <w:rsid w:val="00253222"/>
    <w:rsid w:val="00254BA9"/>
    <w:rsid w:val="0025720C"/>
    <w:rsid w:val="00262847"/>
    <w:rsid w:val="00265257"/>
    <w:rsid w:val="002709A2"/>
    <w:rsid w:val="00277613"/>
    <w:rsid w:val="00281BB2"/>
    <w:rsid w:val="002840D5"/>
    <w:rsid w:val="0028606B"/>
    <w:rsid w:val="00287F45"/>
    <w:rsid w:val="002949E6"/>
    <w:rsid w:val="002A60EB"/>
    <w:rsid w:val="002B021C"/>
    <w:rsid w:val="002B72E9"/>
    <w:rsid w:val="002C4608"/>
    <w:rsid w:val="002C5B57"/>
    <w:rsid w:val="002C7998"/>
    <w:rsid w:val="002E0167"/>
    <w:rsid w:val="002F1E53"/>
    <w:rsid w:val="002F2CAA"/>
    <w:rsid w:val="0030052C"/>
    <w:rsid w:val="003054F0"/>
    <w:rsid w:val="0031639D"/>
    <w:rsid w:val="003243E7"/>
    <w:rsid w:val="003306E1"/>
    <w:rsid w:val="003320E4"/>
    <w:rsid w:val="0033525D"/>
    <w:rsid w:val="00341256"/>
    <w:rsid w:val="003414F3"/>
    <w:rsid w:val="00352E61"/>
    <w:rsid w:val="0035613E"/>
    <w:rsid w:val="0035635B"/>
    <w:rsid w:val="00363EE9"/>
    <w:rsid w:val="0036530E"/>
    <w:rsid w:val="00372313"/>
    <w:rsid w:val="00376128"/>
    <w:rsid w:val="0037742E"/>
    <w:rsid w:val="0038245A"/>
    <w:rsid w:val="00385CFC"/>
    <w:rsid w:val="0039337A"/>
    <w:rsid w:val="0039527A"/>
    <w:rsid w:val="00396E9D"/>
    <w:rsid w:val="003973E3"/>
    <w:rsid w:val="003A2AFC"/>
    <w:rsid w:val="003A3189"/>
    <w:rsid w:val="003B33BD"/>
    <w:rsid w:val="003B569D"/>
    <w:rsid w:val="003B6A1E"/>
    <w:rsid w:val="003C3C0E"/>
    <w:rsid w:val="003C4166"/>
    <w:rsid w:val="003C4BFA"/>
    <w:rsid w:val="003D4FAC"/>
    <w:rsid w:val="003E1C70"/>
    <w:rsid w:val="003E3447"/>
    <w:rsid w:val="003E481D"/>
    <w:rsid w:val="003E7906"/>
    <w:rsid w:val="003F3C50"/>
    <w:rsid w:val="003F6AC4"/>
    <w:rsid w:val="004008CF"/>
    <w:rsid w:val="004036FA"/>
    <w:rsid w:val="00406A6A"/>
    <w:rsid w:val="00406B22"/>
    <w:rsid w:val="004072E0"/>
    <w:rsid w:val="004104CD"/>
    <w:rsid w:val="0041328F"/>
    <w:rsid w:val="00413AC7"/>
    <w:rsid w:val="00414879"/>
    <w:rsid w:val="0041578B"/>
    <w:rsid w:val="00416AF1"/>
    <w:rsid w:val="00416F75"/>
    <w:rsid w:val="004310A2"/>
    <w:rsid w:val="004328A7"/>
    <w:rsid w:val="0043434B"/>
    <w:rsid w:val="00434C74"/>
    <w:rsid w:val="00436711"/>
    <w:rsid w:val="00436EE4"/>
    <w:rsid w:val="00437E82"/>
    <w:rsid w:val="00443E1D"/>
    <w:rsid w:val="0045652D"/>
    <w:rsid w:val="00456EB4"/>
    <w:rsid w:val="00464D28"/>
    <w:rsid w:val="00470487"/>
    <w:rsid w:val="004718F3"/>
    <w:rsid w:val="00475040"/>
    <w:rsid w:val="00485554"/>
    <w:rsid w:val="00492D60"/>
    <w:rsid w:val="00493D40"/>
    <w:rsid w:val="004941E4"/>
    <w:rsid w:val="004958C3"/>
    <w:rsid w:val="004967B6"/>
    <w:rsid w:val="004973FC"/>
    <w:rsid w:val="004A2D78"/>
    <w:rsid w:val="004A3F53"/>
    <w:rsid w:val="004A504B"/>
    <w:rsid w:val="004A6911"/>
    <w:rsid w:val="004B54E0"/>
    <w:rsid w:val="004B7384"/>
    <w:rsid w:val="004C4269"/>
    <w:rsid w:val="004C6D15"/>
    <w:rsid w:val="004D098B"/>
    <w:rsid w:val="004D1818"/>
    <w:rsid w:val="004D33BA"/>
    <w:rsid w:val="004D508B"/>
    <w:rsid w:val="004D6236"/>
    <w:rsid w:val="004D7ACA"/>
    <w:rsid w:val="004E4DBB"/>
    <w:rsid w:val="004E4E41"/>
    <w:rsid w:val="004E5C6C"/>
    <w:rsid w:val="004E7F9C"/>
    <w:rsid w:val="004F1D24"/>
    <w:rsid w:val="004F3493"/>
    <w:rsid w:val="004F4D5C"/>
    <w:rsid w:val="004F5143"/>
    <w:rsid w:val="004F60EB"/>
    <w:rsid w:val="00502F9C"/>
    <w:rsid w:val="00512483"/>
    <w:rsid w:val="00512B09"/>
    <w:rsid w:val="00521BCF"/>
    <w:rsid w:val="00523613"/>
    <w:rsid w:val="00532D05"/>
    <w:rsid w:val="00541F28"/>
    <w:rsid w:val="00554221"/>
    <w:rsid w:val="005542AA"/>
    <w:rsid w:val="00555D75"/>
    <w:rsid w:val="00557823"/>
    <w:rsid w:val="00560DF0"/>
    <w:rsid w:val="0056759C"/>
    <w:rsid w:val="005717D4"/>
    <w:rsid w:val="00572316"/>
    <w:rsid w:val="00573C0C"/>
    <w:rsid w:val="005743CD"/>
    <w:rsid w:val="005746CE"/>
    <w:rsid w:val="00575CBF"/>
    <w:rsid w:val="00577853"/>
    <w:rsid w:val="00585D88"/>
    <w:rsid w:val="00587F13"/>
    <w:rsid w:val="00592B4E"/>
    <w:rsid w:val="00592E14"/>
    <w:rsid w:val="00594A04"/>
    <w:rsid w:val="0059513E"/>
    <w:rsid w:val="005A56F4"/>
    <w:rsid w:val="005B23DF"/>
    <w:rsid w:val="005B48FF"/>
    <w:rsid w:val="005C3C34"/>
    <w:rsid w:val="005C54C6"/>
    <w:rsid w:val="005D1E2B"/>
    <w:rsid w:val="005D3D33"/>
    <w:rsid w:val="005D7C55"/>
    <w:rsid w:val="005D7DAE"/>
    <w:rsid w:val="005E17E6"/>
    <w:rsid w:val="005E1A39"/>
    <w:rsid w:val="005E5253"/>
    <w:rsid w:val="005F6E78"/>
    <w:rsid w:val="00603CCF"/>
    <w:rsid w:val="00604C15"/>
    <w:rsid w:val="006158D5"/>
    <w:rsid w:val="0061737D"/>
    <w:rsid w:val="00624407"/>
    <w:rsid w:val="00624753"/>
    <w:rsid w:val="00625D83"/>
    <w:rsid w:val="00635C47"/>
    <w:rsid w:val="00640388"/>
    <w:rsid w:val="00642E09"/>
    <w:rsid w:val="00653E7C"/>
    <w:rsid w:val="006623E7"/>
    <w:rsid w:val="00662B80"/>
    <w:rsid w:val="00670784"/>
    <w:rsid w:val="00670F6C"/>
    <w:rsid w:val="006852C7"/>
    <w:rsid w:val="00693432"/>
    <w:rsid w:val="00696FDE"/>
    <w:rsid w:val="006A4E4E"/>
    <w:rsid w:val="006C1727"/>
    <w:rsid w:val="006C32FD"/>
    <w:rsid w:val="006C39CE"/>
    <w:rsid w:val="006D0FCC"/>
    <w:rsid w:val="006E1FC3"/>
    <w:rsid w:val="006E2B5A"/>
    <w:rsid w:val="006E4B9A"/>
    <w:rsid w:val="006F2DEB"/>
    <w:rsid w:val="0070616B"/>
    <w:rsid w:val="00706FDA"/>
    <w:rsid w:val="00710320"/>
    <w:rsid w:val="00711F9A"/>
    <w:rsid w:val="00713810"/>
    <w:rsid w:val="00723BEA"/>
    <w:rsid w:val="007303A5"/>
    <w:rsid w:val="00730B3E"/>
    <w:rsid w:val="0073420B"/>
    <w:rsid w:val="0074760E"/>
    <w:rsid w:val="00754418"/>
    <w:rsid w:val="00754ABA"/>
    <w:rsid w:val="007565DB"/>
    <w:rsid w:val="00760487"/>
    <w:rsid w:val="00764F07"/>
    <w:rsid w:val="007742B8"/>
    <w:rsid w:val="00783640"/>
    <w:rsid w:val="00783AFE"/>
    <w:rsid w:val="0079257B"/>
    <w:rsid w:val="007A1546"/>
    <w:rsid w:val="007A228C"/>
    <w:rsid w:val="007A368E"/>
    <w:rsid w:val="007A5868"/>
    <w:rsid w:val="007B04CE"/>
    <w:rsid w:val="007B0660"/>
    <w:rsid w:val="007B6871"/>
    <w:rsid w:val="007B7A2F"/>
    <w:rsid w:val="007C263C"/>
    <w:rsid w:val="007C38A5"/>
    <w:rsid w:val="007C3D33"/>
    <w:rsid w:val="007C4750"/>
    <w:rsid w:val="007D294A"/>
    <w:rsid w:val="007D47D2"/>
    <w:rsid w:val="007D486C"/>
    <w:rsid w:val="007D6EC0"/>
    <w:rsid w:val="007D7E1D"/>
    <w:rsid w:val="007E115B"/>
    <w:rsid w:val="007E2C45"/>
    <w:rsid w:val="007F04B7"/>
    <w:rsid w:val="007F568D"/>
    <w:rsid w:val="007F579F"/>
    <w:rsid w:val="00800F76"/>
    <w:rsid w:val="00804982"/>
    <w:rsid w:val="00816475"/>
    <w:rsid w:val="00821FF3"/>
    <w:rsid w:val="008275D6"/>
    <w:rsid w:val="00831979"/>
    <w:rsid w:val="0084685E"/>
    <w:rsid w:val="008469C9"/>
    <w:rsid w:val="0084724A"/>
    <w:rsid w:val="00851352"/>
    <w:rsid w:val="008616CB"/>
    <w:rsid w:val="00862870"/>
    <w:rsid w:val="00862DB2"/>
    <w:rsid w:val="00863230"/>
    <w:rsid w:val="00866A56"/>
    <w:rsid w:val="008717D8"/>
    <w:rsid w:val="0087215C"/>
    <w:rsid w:val="0087254B"/>
    <w:rsid w:val="00872BB1"/>
    <w:rsid w:val="00880298"/>
    <w:rsid w:val="00883B61"/>
    <w:rsid w:val="008875FE"/>
    <w:rsid w:val="00887F8E"/>
    <w:rsid w:val="0089165A"/>
    <w:rsid w:val="00891E0D"/>
    <w:rsid w:val="00895616"/>
    <w:rsid w:val="00895F7A"/>
    <w:rsid w:val="00896234"/>
    <w:rsid w:val="00897E43"/>
    <w:rsid w:val="008A60C5"/>
    <w:rsid w:val="008A7C96"/>
    <w:rsid w:val="008B0FBE"/>
    <w:rsid w:val="008B14FA"/>
    <w:rsid w:val="008B28B7"/>
    <w:rsid w:val="008B2BA5"/>
    <w:rsid w:val="008C5738"/>
    <w:rsid w:val="008C7EAD"/>
    <w:rsid w:val="008D0CFE"/>
    <w:rsid w:val="008D106F"/>
    <w:rsid w:val="008D5AA2"/>
    <w:rsid w:val="008D6152"/>
    <w:rsid w:val="008D7C93"/>
    <w:rsid w:val="008E2995"/>
    <w:rsid w:val="008E3BC4"/>
    <w:rsid w:val="008F0F81"/>
    <w:rsid w:val="008F27BF"/>
    <w:rsid w:val="008F50EC"/>
    <w:rsid w:val="008F5A99"/>
    <w:rsid w:val="009142EC"/>
    <w:rsid w:val="00914F6F"/>
    <w:rsid w:val="009154C3"/>
    <w:rsid w:val="00921547"/>
    <w:rsid w:val="00922632"/>
    <w:rsid w:val="00923540"/>
    <w:rsid w:val="009240C5"/>
    <w:rsid w:val="00926767"/>
    <w:rsid w:val="009361D5"/>
    <w:rsid w:val="00936E75"/>
    <w:rsid w:val="00941A76"/>
    <w:rsid w:val="009428A4"/>
    <w:rsid w:val="0094421D"/>
    <w:rsid w:val="00954D06"/>
    <w:rsid w:val="00956C33"/>
    <w:rsid w:val="009659F4"/>
    <w:rsid w:val="00970D60"/>
    <w:rsid w:val="00974794"/>
    <w:rsid w:val="00975FCC"/>
    <w:rsid w:val="00976B21"/>
    <w:rsid w:val="00977CB4"/>
    <w:rsid w:val="00983C7A"/>
    <w:rsid w:val="009847CE"/>
    <w:rsid w:val="00985BA2"/>
    <w:rsid w:val="00994D37"/>
    <w:rsid w:val="009956F8"/>
    <w:rsid w:val="009960E5"/>
    <w:rsid w:val="009A7ADC"/>
    <w:rsid w:val="009B13BE"/>
    <w:rsid w:val="009B409E"/>
    <w:rsid w:val="009B588E"/>
    <w:rsid w:val="009C0725"/>
    <w:rsid w:val="009C19B7"/>
    <w:rsid w:val="009C1AAD"/>
    <w:rsid w:val="009C1DE1"/>
    <w:rsid w:val="009C37F0"/>
    <w:rsid w:val="009D4CAF"/>
    <w:rsid w:val="009D7C51"/>
    <w:rsid w:val="009E285A"/>
    <w:rsid w:val="009F33B9"/>
    <w:rsid w:val="009F36BF"/>
    <w:rsid w:val="00A0087A"/>
    <w:rsid w:val="00A00FAC"/>
    <w:rsid w:val="00A111B6"/>
    <w:rsid w:val="00A21197"/>
    <w:rsid w:val="00A24B7E"/>
    <w:rsid w:val="00A26D27"/>
    <w:rsid w:val="00A376EE"/>
    <w:rsid w:val="00A42346"/>
    <w:rsid w:val="00A42A99"/>
    <w:rsid w:val="00A5151A"/>
    <w:rsid w:val="00A57B31"/>
    <w:rsid w:val="00A57E0A"/>
    <w:rsid w:val="00A76ED6"/>
    <w:rsid w:val="00A77B5D"/>
    <w:rsid w:val="00A823F6"/>
    <w:rsid w:val="00A84071"/>
    <w:rsid w:val="00A87919"/>
    <w:rsid w:val="00AA0A89"/>
    <w:rsid w:val="00AA38A6"/>
    <w:rsid w:val="00AA6429"/>
    <w:rsid w:val="00AB6F05"/>
    <w:rsid w:val="00AB796F"/>
    <w:rsid w:val="00AC01AA"/>
    <w:rsid w:val="00AC23F1"/>
    <w:rsid w:val="00AC4F72"/>
    <w:rsid w:val="00AC51D2"/>
    <w:rsid w:val="00AC732A"/>
    <w:rsid w:val="00AE04A9"/>
    <w:rsid w:val="00AE766F"/>
    <w:rsid w:val="00AF57FB"/>
    <w:rsid w:val="00AF741A"/>
    <w:rsid w:val="00B0158F"/>
    <w:rsid w:val="00B01ADB"/>
    <w:rsid w:val="00B04161"/>
    <w:rsid w:val="00B056F9"/>
    <w:rsid w:val="00B05E52"/>
    <w:rsid w:val="00B11E3D"/>
    <w:rsid w:val="00B17E82"/>
    <w:rsid w:val="00B24B97"/>
    <w:rsid w:val="00B2670A"/>
    <w:rsid w:val="00B365F2"/>
    <w:rsid w:val="00B37491"/>
    <w:rsid w:val="00B42698"/>
    <w:rsid w:val="00B4575A"/>
    <w:rsid w:val="00B575BA"/>
    <w:rsid w:val="00B57D1B"/>
    <w:rsid w:val="00B60F0F"/>
    <w:rsid w:val="00B7157A"/>
    <w:rsid w:val="00B738C5"/>
    <w:rsid w:val="00B76429"/>
    <w:rsid w:val="00B83CFB"/>
    <w:rsid w:val="00B9298F"/>
    <w:rsid w:val="00B93EDB"/>
    <w:rsid w:val="00B956D4"/>
    <w:rsid w:val="00B9609D"/>
    <w:rsid w:val="00B97446"/>
    <w:rsid w:val="00BA7432"/>
    <w:rsid w:val="00BA7875"/>
    <w:rsid w:val="00BB4ABB"/>
    <w:rsid w:val="00BB69B8"/>
    <w:rsid w:val="00BB728F"/>
    <w:rsid w:val="00BC1AA0"/>
    <w:rsid w:val="00BC2073"/>
    <w:rsid w:val="00BC2495"/>
    <w:rsid w:val="00BC7EB9"/>
    <w:rsid w:val="00BD2643"/>
    <w:rsid w:val="00BD26C2"/>
    <w:rsid w:val="00BD4138"/>
    <w:rsid w:val="00BD56B1"/>
    <w:rsid w:val="00BD6229"/>
    <w:rsid w:val="00BD6558"/>
    <w:rsid w:val="00BE7C3F"/>
    <w:rsid w:val="00BF0DD4"/>
    <w:rsid w:val="00BF2B6A"/>
    <w:rsid w:val="00BF3022"/>
    <w:rsid w:val="00BF3214"/>
    <w:rsid w:val="00BF5573"/>
    <w:rsid w:val="00BF65E9"/>
    <w:rsid w:val="00C03250"/>
    <w:rsid w:val="00C11003"/>
    <w:rsid w:val="00C15867"/>
    <w:rsid w:val="00C2296D"/>
    <w:rsid w:val="00C23155"/>
    <w:rsid w:val="00C25BF8"/>
    <w:rsid w:val="00C27DA2"/>
    <w:rsid w:val="00C3371C"/>
    <w:rsid w:val="00C40866"/>
    <w:rsid w:val="00C40C41"/>
    <w:rsid w:val="00C41DB0"/>
    <w:rsid w:val="00C446EC"/>
    <w:rsid w:val="00C45885"/>
    <w:rsid w:val="00C461B8"/>
    <w:rsid w:val="00C46D01"/>
    <w:rsid w:val="00C50F22"/>
    <w:rsid w:val="00C51785"/>
    <w:rsid w:val="00C52303"/>
    <w:rsid w:val="00C57971"/>
    <w:rsid w:val="00C61E43"/>
    <w:rsid w:val="00C661F2"/>
    <w:rsid w:val="00C760F2"/>
    <w:rsid w:val="00C76BA4"/>
    <w:rsid w:val="00C8391F"/>
    <w:rsid w:val="00C83A48"/>
    <w:rsid w:val="00C84054"/>
    <w:rsid w:val="00C85865"/>
    <w:rsid w:val="00C85E32"/>
    <w:rsid w:val="00C85E85"/>
    <w:rsid w:val="00C96835"/>
    <w:rsid w:val="00CA2EAE"/>
    <w:rsid w:val="00CA4AC1"/>
    <w:rsid w:val="00CA52A1"/>
    <w:rsid w:val="00CB0316"/>
    <w:rsid w:val="00CB0B11"/>
    <w:rsid w:val="00CB5354"/>
    <w:rsid w:val="00CC43F7"/>
    <w:rsid w:val="00CC6A14"/>
    <w:rsid w:val="00CC70A3"/>
    <w:rsid w:val="00CC7FA3"/>
    <w:rsid w:val="00CD00A4"/>
    <w:rsid w:val="00CD3C05"/>
    <w:rsid w:val="00CD4442"/>
    <w:rsid w:val="00CD4515"/>
    <w:rsid w:val="00CD53C3"/>
    <w:rsid w:val="00CD574E"/>
    <w:rsid w:val="00CE4C22"/>
    <w:rsid w:val="00CF41EC"/>
    <w:rsid w:val="00CF5D04"/>
    <w:rsid w:val="00D04DE4"/>
    <w:rsid w:val="00D063F1"/>
    <w:rsid w:val="00D06C22"/>
    <w:rsid w:val="00D06E90"/>
    <w:rsid w:val="00D14F22"/>
    <w:rsid w:val="00D304E4"/>
    <w:rsid w:val="00D4755B"/>
    <w:rsid w:val="00D51DDF"/>
    <w:rsid w:val="00D52639"/>
    <w:rsid w:val="00D54A54"/>
    <w:rsid w:val="00D5535A"/>
    <w:rsid w:val="00D55913"/>
    <w:rsid w:val="00D57918"/>
    <w:rsid w:val="00D60FCF"/>
    <w:rsid w:val="00D61618"/>
    <w:rsid w:val="00D61CE8"/>
    <w:rsid w:val="00D63926"/>
    <w:rsid w:val="00D64135"/>
    <w:rsid w:val="00D6531F"/>
    <w:rsid w:val="00D73DC6"/>
    <w:rsid w:val="00D74C1A"/>
    <w:rsid w:val="00D754C1"/>
    <w:rsid w:val="00D76743"/>
    <w:rsid w:val="00D76E8A"/>
    <w:rsid w:val="00D77393"/>
    <w:rsid w:val="00D77A35"/>
    <w:rsid w:val="00D81B3E"/>
    <w:rsid w:val="00D83FE5"/>
    <w:rsid w:val="00D90C70"/>
    <w:rsid w:val="00D90E49"/>
    <w:rsid w:val="00D91519"/>
    <w:rsid w:val="00D93939"/>
    <w:rsid w:val="00D96799"/>
    <w:rsid w:val="00D96ADE"/>
    <w:rsid w:val="00DA05DA"/>
    <w:rsid w:val="00DA40A3"/>
    <w:rsid w:val="00DB5F41"/>
    <w:rsid w:val="00DB5FD1"/>
    <w:rsid w:val="00DC47E4"/>
    <w:rsid w:val="00DC543B"/>
    <w:rsid w:val="00DC6A10"/>
    <w:rsid w:val="00DD737C"/>
    <w:rsid w:val="00DE657E"/>
    <w:rsid w:val="00DF4704"/>
    <w:rsid w:val="00DF6E28"/>
    <w:rsid w:val="00E00D30"/>
    <w:rsid w:val="00E01598"/>
    <w:rsid w:val="00E024AA"/>
    <w:rsid w:val="00E07282"/>
    <w:rsid w:val="00E105FD"/>
    <w:rsid w:val="00E17758"/>
    <w:rsid w:val="00E20C57"/>
    <w:rsid w:val="00E2254B"/>
    <w:rsid w:val="00E250F1"/>
    <w:rsid w:val="00E3550D"/>
    <w:rsid w:val="00E40891"/>
    <w:rsid w:val="00E43D77"/>
    <w:rsid w:val="00E614E0"/>
    <w:rsid w:val="00E73A27"/>
    <w:rsid w:val="00E73F7F"/>
    <w:rsid w:val="00E741CE"/>
    <w:rsid w:val="00E757D8"/>
    <w:rsid w:val="00E76078"/>
    <w:rsid w:val="00E85409"/>
    <w:rsid w:val="00E85FF5"/>
    <w:rsid w:val="00E87AD6"/>
    <w:rsid w:val="00E97706"/>
    <w:rsid w:val="00EA0AE5"/>
    <w:rsid w:val="00EA0D5F"/>
    <w:rsid w:val="00EA429F"/>
    <w:rsid w:val="00EA4F9E"/>
    <w:rsid w:val="00EA55DE"/>
    <w:rsid w:val="00EA63CA"/>
    <w:rsid w:val="00EA6D3B"/>
    <w:rsid w:val="00EB00AD"/>
    <w:rsid w:val="00EB136C"/>
    <w:rsid w:val="00EB480E"/>
    <w:rsid w:val="00EB5EC6"/>
    <w:rsid w:val="00EB7FC9"/>
    <w:rsid w:val="00EC10FB"/>
    <w:rsid w:val="00ED27E8"/>
    <w:rsid w:val="00ED7137"/>
    <w:rsid w:val="00EE5626"/>
    <w:rsid w:val="00EF1A75"/>
    <w:rsid w:val="00EF70C5"/>
    <w:rsid w:val="00F02752"/>
    <w:rsid w:val="00F02B43"/>
    <w:rsid w:val="00F1100C"/>
    <w:rsid w:val="00F14B15"/>
    <w:rsid w:val="00F21088"/>
    <w:rsid w:val="00F231F5"/>
    <w:rsid w:val="00F32308"/>
    <w:rsid w:val="00F327E7"/>
    <w:rsid w:val="00F35746"/>
    <w:rsid w:val="00F36731"/>
    <w:rsid w:val="00F37476"/>
    <w:rsid w:val="00F41E4E"/>
    <w:rsid w:val="00F447C7"/>
    <w:rsid w:val="00F455E0"/>
    <w:rsid w:val="00F51F7D"/>
    <w:rsid w:val="00F554A9"/>
    <w:rsid w:val="00F572EA"/>
    <w:rsid w:val="00F67F39"/>
    <w:rsid w:val="00F716FD"/>
    <w:rsid w:val="00F80355"/>
    <w:rsid w:val="00F8541F"/>
    <w:rsid w:val="00F900C4"/>
    <w:rsid w:val="00F93D40"/>
    <w:rsid w:val="00F94E92"/>
    <w:rsid w:val="00FB0C81"/>
    <w:rsid w:val="00FB0EF6"/>
    <w:rsid w:val="00FC2200"/>
    <w:rsid w:val="00FC2540"/>
    <w:rsid w:val="00FC690E"/>
    <w:rsid w:val="00FC7C69"/>
    <w:rsid w:val="00FD703F"/>
    <w:rsid w:val="00FE3056"/>
    <w:rsid w:val="00FF0204"/>
    <w:rsid w:val="00FF3180"/>
    <w:rsid w:val="00FF3946"/>
    <w:rsid w:val="00FF3AED"/>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0437F"/>
  <w15:docId w15:val="{731175FB-B27D-442B-8AE4-8F33C965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9D"/>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tabs>
        <w:tab w:val="clear" w:pos="1134"/>
        <w:tab w:val="num" w:pos="142"/>
      </w:tabs>
      <w:spacing w:after="240"/>
      <w:ind w:left="142"/>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Footer1">
    <w:name w:val="Footer1"/>
    <w:basedOn w:val="Normal"/>
    <w:rsid w:val="00BF65E9"/>
    <w:pPr>
      <w:widowControl w:val="0"/>
      <w:tabs>
        <w:tab w:val="center" w:pos="4320"/>
        <w:tab w:val="right" w:pos="8640"/>
        <w:tab w:val="left" w:pos="9000"/>
      </w:tabs>
      <w:jc w:val="left"/>
    </w:pPr>
    <w:rPr>
      <w:snapToGrid w:val="0"/>
      <w:sz w:val="20"/>
      <w:szCs w:val="20"/>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E1A39"/>
    <w:rPr>
      <w:sz w:val="22"/>
      <w:szCs w:val="22"/>
      <w:lang w:val="en-GB"/>
    </w:rPr>
  </w:style>
  <w:style w:type="paragraph" w:styleId="FootnoteText">
    <w:name w:val="footnote text"/>
    <w:aliases w:val="Char1,Char1 Char Char, Char1, Char1 Char Char"/>
    <w:basedOn w:val="Normal"/>
    <w:link w:val="FootnoteTextChar"/>
    <w:uiPriority w:val="99"/>
    <w:unhideWhenUsed/>
    <w:qFormat/>
    <w:rsid w:val="005E1A39"/>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5E1A39"/>
    <w:rPr>
      <w:lang w:val="en-GB"/>
    </w:rPr>
  </w:style>
  <w:style w:type="character" w:styleId="FootnoteReference">
    <w:name w:val="footnote reference"/>
    <w:basedOn w:val="DefaultParagraphFont"/>
    <w:uiPriority w:val="99"/>
    <w:semiHidden/>
    <w:unhideWhenUsed/>
    <w:rsid w:val="005E1A39"/>
    <w:rPr>
      <w:vertAlign w:val="superscript"/>
    </w:rPr>
  </w:style>
  <w:style w:type="paragraph" w:styleId="ListParagraph">
    <w:name w:val="List Paragraph"/>
    <w:basedOn w:val="Normal"/>
    <w:uiPriority w:val="34"/>
    <w:qFormat/>
    <w:rsid w:val="002949E6"/>
    <w:pPr>
      <w:ind w:left="720"/>
      <w:contextualSpacing/>
    </w:pPr>
  </w:style>
  <w:style w:type="paragraph" w:styleId="Revision">
    <w:name w:val="Revision"/>
    <w:hidden/>
    <w:uiPriority w:val="99"/>
    <w:semiHidden/>
    <w:rsid w:val="001C117D"/>
    <w:rPr>
      <w:sz w:val="22"/>
      <w:szCs w:val="22"/>
      <w:lang w:val="en-GB"/>
    </w:rPr>
  </w:style>
  <w:style w:type="character" w:customStyle="1" w:styleId="HeaderChar">
    <w:name w:val="Header Char"/>
    <w:basedOn w:val="DefaultParagraphFont"/>
    <w:link w:val="Header"/>
    <w:uiPriority w:val="99"/>
    <w:rsid w:val="00693432"/>
    <w:rPr>
      <w:sz w:val="22"/>
      <w:szCs w:val="22"/>
      <w:lang w:val="en-GB"/>
    </w:rPr>
  </w:style>
  <w:style w:type="character" w:styleId="Hyperlink">
    <w:name w:val="Hyperlink"/>
    <w:basedOn w:val="DefaultParagraphFont"/>
    <w:uiPriority w:val="99"/>
    <w:unhideWhenUsed/>
    <w:rsid w:val="00AC732A"/>
    <w:rPr>
      <w:color w:val="0000FF" w:themeColor="hyperlink"/>
      <w:u w:val="single"/>
    </w:rPr>
  </w:style>
  <w:style w:type="character" w:customStyle="1" w:styleId="0Heading0Char">
    <w:name w:val="0 Heading 0 Char"/>
    <w:link w:val="0Heading0"/>
    <w:uiPriority w:val="99"/>
    <w:rsid w:val="00624407"/>
    <w:rPr>
      <w:sz w:val="22"/>
      <w:szCs w:val="22"/>
      <w:lang w:val="en-GB"/>
    </w:rPr>
  </w:style>
  <w:style w:type="character" w:customStyle="1" w:styleId="FooterChar">
    <w:name w:val="Footer Char"/>
    <w:basedOn w:val="DefaultParagraphFont"/>
    <w:link w:val="Footer"/>
    <w:uiPriority w:val="99"/>
    <w:rsid w:val="00242391"/>
    <w:rPr>
      <w:sz w:val="22"/>
      <w:szCs w:val="22"/>
      <w:lang w:val="en-GB"/>
    </w:rPr>
  </w:style>
  <w:style w:type="table" w:customStyle="1" w:styleId="Cuadrculadetablaclara1">
    <w:name w:val="Cuadrícula de tabla clara1"/>
    <w:basedOn w:val="TableNormal"/>
    <w:uiPriority w:val="40"/>
    <w:rsid w:val="00242391"/>
    <w:rPr>
      <w:rFonts w:asciiTheme="minorHAnsi" w:eastAsiaTheme="minorHAnsi" w:hAnsiTheme="minorHAnsi" w:cstheme="minorBidi"/>
      <w:sz w:val="22"/>
      <w:szCs w:val="22"/>
      <w:lang w:val="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065">
      <w:bodyDiv w:val="1"/>
      <w:marLeft w:val="0"/>
      <w:marRight w:val="0"/>
      <w:marTop w:val="0"/>
      <w:marBottom w:val="0"/>
      <w:divBdr>
        <w:top w:val="none" w:sz="0" w:space="0" w:color="auto"/>
        <w:left w:val="none" w:sz="0" w:space="0" w:color="auto"/>
        <w:bottom w:val="none" w:sz="0" w:space="0" w:color="auto"/>
        <w:right w:val="none" w:sz="0" w:space="0" w:color="auto"/>
      </w:divBdr>
    </w:div>
    <w:div w:id="136646914">
      <w:bodyDiv w:val="1"/>
      <w:marLeft w:val="0"/>
      <w:marRight w:val="0"/>
      <w:marTop w:val="0"/>
      <w:marBottom w:val="0"/>
      <w:divBdr>
        <w:top w:val="none" w:sz="0" w:space="0" w:color="auto"/>
        <w:left w:val="none" w:sz="0" w:space="0" w:color="auto"/>
        <w:bottom w:val="none" w:sz="0" w:space="0" w:color="auto"/>
        <w:right w:val="none" w:sz="0" w:space="0" w:color="auto"/>
      </w:divBdr>
    </w:div>
    <w:div w:id="154103495">
      <w:bodyDiv w:val="1"/>
      <w:marLeft w:val="0"/>
      <w:marRight w:val="0"/>
      <w:marTop w:val="0"/>
      <w:marBottom w:val="0"/>
      <w:divBdr>
        <w:top w:val="none" w:sz="0" w:space="0" w:color="auto"/>
        <w:left w:val="none" w:sz="0" w:space="0" w:color="auto"/>
        <w:bottom w:val="none" w:sz="0" w:space="0" w:color="auto"/>
        <w:right w:val="none" w:sz="0" w:space="0" w:color="auto"/>
      </w:divBdr>
    </w:div>
    <w:div w:id="77667969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UNEP/OzL.Pro/ExCom/81/32</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CF2F34-E87B-4757-9AA1-CA07F6825D45}"/>
</file>

<file path=customXml/itemProps2.xml><?xml version="1.0" encoding="utf-8"?>
<ds:datastoreItem xmlns:ds="http://schemas.openxmlformats.org/officeDocument/2006/customXml" ds:itemID="{6F48B56C-3D50-4678-B46D-0A539E69373E}"/>
</file>

<file path=customXml/itemProps3.xml><?xml version="1.0" encoding="utf-8"?>
<ds:datastoreItem xmlns:ds="http://schemas.openxmlformats.org/officeDocument/2006/customXml" ds:itemID="{8F67FF4F-2DF5-4766-80A4-835C236E5F2A}"/>
</file>

<file path=customXml/itemProps4.xml><?xml version="1.0" encoding="utf-8"?>
<ds:datastoreItem xmlns:ds="http://schemas.openxmlformats.org/officeDocument/2006/customXml" ds:itemID="{A11D4857-26A6-40B0-9791-8CAEBABC4C4B}"/>
</file>

<file path=docProps/app.xml><?xml version="1.0" encoding="utf-8"?>
<Properties xmlns="http://schemas.openxmlformats.org/officeDocument/2006/extended-properties" xmlns:vt="http://schemas.openxmlformats.org/officeDocument/2006/docPropsVTypes">
  <Template>normal</Template>
  <TotalTime>24</TotalTime>
  <Pages>24</Pages>
  <Words>9235</Words>
  <Characters>50762</Characters>
  <Application>Microsoft Office Word</Application>
  <DocSecurity>0</DocSecurity>
  <Lines>1980</Lines>
  <Paragraphs>1379</Paragraphs>
  <ScaleCrop>false</ScaleCrop>
  <HeadingPairs>
    <vt:vector size="2" baseType="variant">
      <vt:variant>
        <vt:lpstr>Title</vt:lpstr>
      </vt:variant>
      <vt:variant>
        <vt:i4>1</vt:i4>
      </vt:variant>
    </vt:vector>
  </HeadingPairs>
  <TitlesOfParts>
    <vt:vector size="1" baseType="lpstr">
      <vt:lpstr>Project proposals: Ecuador</vt:lpstr>
    </vt:vector>
  </TitlesOfParts>
  <Company/>
  <LinksUpToDate>false</LinksUpToDate>
  <CharactersWithSpaces>58795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Ecuador</dc:title>
  <dc:subject>81st</dc:subject>
  <dc:creator>Alejandro Ramirez Pabon</dc:creator>
  <cp:keywords/>
  <dc:description/>
  <cp:lastModifiedBy>Dominika Anna Suwik</cp:lastModifiedBy>
  <cp:revision>6</cp:revision>
  <cp:lastPrinted>2018-06-01T21:28:00Z</cp:lastPrinted>
  <dcterms:created xsi:type="dcterms:W3CDTF">2018-06-01T19:56:00Z</dcterms:created>
  <dcterms:modified xsi:type="dcterms:W3CDTF">2018-06-01T21:29:00Z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UNEP/OzL.Pro/ExCom/81/32</vt:lpwstr>
  </property>
  <property fmtid="{D5CDD505-2E9C-101B-9397-08002B2CF9AE}" pid="3" name="Revision date">
    <vt:lpwstr>01/06/2018</vt:lpwstr>
  </property>
  <property fmtid="{D5CDD505-2E9C-101B-9397-08002B2CF9AE}" pid="4" name="ContentTypeId">
    <vt:lpwstr>0x0101004B13B1B27BA23146A32B327DDC69C6DE</vt:lpwstr>
  </property>
</Properties>
</file>