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Tr="00170AB7">
        <w:trPr>
          <w:trHeight w:val="720"/>
        </w:trPr>
        <w:tc>
          <w:tcPr>
            <w:tcW w:w="5490" w:type="dxa"/>
            <w:gridSpan w:val="2"/>
            <w:tcBorders>
              <w:bottom w:val="single" w:sz="18" w:space="0" w:color="auto"/>
            </w:tcBorders>
          </w:tcPr>
          <w:p w:rsidR="00C15867" w:rsidRPr="0000434E" w:rsidRDefault="00C15867" w:rsidP="008979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00434E">
              <w:rPr>
                <w:rFonts w:ascii="Univers" w:hAnsi="Univers"/>
                <w:b/>
                <w:sz w:val="28"/>
                <w:szCs w:val="28"/>
              </w:rPr>
              <w:t>UNITED</w:t>
            </w:r>
            <w:r w:rsidRPr="0000434E">
              <w:rPr>
                <w:rFonts w:ascii="Univers" w:hAnsi="Univers"/>
                <w:b/>
                <w:sz w:val="28"/>
                <w:szCs w:val="28"/>
              </w:rPr>
              <w:br/>
              <w:t>NATIONS</w:t>
            </w:r>
          </w:p>
        </w:tc>
        <w:tc>
          <w:tcPr>
            <w:tcW w:w="4590" w:type="dxa"/>
            <w:tcBorders>
              <w:bottom w:val="single" w:sz="18" w:space="0" w:color="auto"/>
            </w:tcBorders>
          </w:tcPr>
          <w:p w:rsidR="00C15867" w:rsidRPr="00493D40" w:rsidRDefault="00C15867" w:rsidP="00897905">
            <w:pPr>
              <w:jc w:val="right"/>
              <w:rPr>
                <w:sz w:val="52"/>
                <w:szCs w:val="52"/>
              </w:rPr>
            </w:pPr>
            <w:r>
              <w:rPr>
                <w:rFonts w:ascii="Univers Bold" w:hAnsi="Univers Bold"/>
                <w:b/>
                <w:sz w:val="72"/>
              </w:rPr>
              <w:t>EP</w:t>
            </w:r>
          </w:p>
        </w:tc>
      </w:tr>
      <w:tr w:rsidR="00C15867" w:rsidTr="0017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Default="00C15867" w:rsidP="00897905">
            <w:pPr>
              <w:spacing w:before="120"/>
            </w:pPr>
            <w:r>
              <w:rPr>
                <w:noProof/>
                <w:lang w:val="en-US"/>
              </w:rPr>
              <w:drawing>
                <wp:anchor distT="0" distB="0" distL="114300" distR="114300" simplePos="0" relativeHeight="251660288" behindDoc="0" locked="0" layoutInCell="1" allowOverlap="1" wp14:anchorId="2668C470" wp14:editId="1C44D4E1">
                  <wp:simplePos x="0" y="0"/>
                  <wp:positionH relativeFrom="column">
                    <wp:posOffset>19050</wp:posOffset>
                  </wp:positionH>
                  <wp:positionV relativeFrom="paragraph">
                    <wp:posOffset>823881</wp:posOffset>
                  </wp:positionV>
                  <wp:extent cx="880110" cy="776034"/>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603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0" allowOverlap="1" wp14:anchorId="17A78D90" wp14:editId="11EE8E47">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rsidR="00C15867" w:rsidRDefault="00C15867" w:rsidP="008979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Pr>
                <w:rFonts w:ascii="Univers" w:hAnsi="Univers"/>
                <w:b/>
                <w:sz w:val="32"/>
              </w:rPr>
              <w:t>United Nations</w:t>
            </w:r>
          </w:p>
          <w:p w:rsidR="00C15867" w:rsidRDefault="00C15867" w:rsidP="008979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Pr>
                <w:rFonts w:ascii="Univers" w:hAnsi="Univers"/>
                <w:b/>
                <w:sz w:val="32"/>
              </w:rPr>
              <w:t>Environment</w:t>
            </w:r>
          </w:p>
          <w:p w:rsidR="00C15867" w:rsidRDefault="00C15867" w:rsidP="00897905">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Pr>
                <w:rFonts w:ascii="Univers" w:hAnsi="Univers"/>
                <w:b/>
                <w:sz w:val="32"/>
              </w:rPr>
              <w:t>Programme</w:t>
            </w:r>
          </w:p>
          <w:p w:rsidR="00C15867" w:rsidRDefault="00C15867" w:rsidP="00897905">
            <w:pPr>
              <w:spacing w:before="720"/>
              <w:ind w:left="158"/>
            </w:pPr>
          </w:p>
        </w:tc>
        <w:tc>
          <w:tcPr>
            <w:tcW w:w="4590" w:type="dxa"/>
            <w:tcBorders>
              <w:top w:val="nil"/>
              <w:left w:val="nil"/>
              <w:bottom w:val="single" w:sz="36" w:space="0" w:color="auto"/>
              <w:right w:val="nil"/>
            </w:tcBorders>
          </w:tcPr>
          <w:p w:rsidR="00C15867" w:rsidRPr="0033525D" w:rsidRDefault="00C15867" w:rsidP="00897905">
            <w:r w:rsidRPr="0033525D">
              <w:t>Distr.</w:t>
            </w:r>
          </w:p>
          <w:p w:rsidR="00923540" w:rsidRPr="0033525D" w:rsidRDefault="00923540" w:rsidP="00897905">
            <w:r w:rsidRPr="0033525D">
              <w:t>GENERAL</w:t>
            </w:r>
          </w:p>
          <w:p w:rsidR="00C15867" w:rsidRPr="0033525D" w:rsidRDefault="00C15867" w:rsidP="00897905"/>
          <w:p w:rsidR="00C15867" w:rsidRPr="003F73BA" w:rsidRDefault="00C15867" w:rsidP="00897905"/>
          <w:p w:rsidR="00C15867" w:rsidRPr="003F73BA" w:rsidRDefault="006846E2" w:rsidP="00897905">
            <w:fldSimple w:instr=" DOCPROPERTY &quot;Document number&quot;  \* MERGEFORMAT ">
              <w:r w:rsidR="00B609A9">
                <w:t>UNEP/OzL.Pro/ExCom/81/33</w:t>
              </w:r>
            </w:fldSimple>
          </w:p>
          <w:p w:rsidR="00C15867" w:rsidRPr="003F73BA" w:rsidRDefault="00BC2495" w:rsidP="00897905">
            <w:r>
              <w:fldChar w:fldCharType="begin"/>
            </w:r>
            <w:r w:rsidR="00851352">
              <w:instrText xml:space="preserve"> DOCPROPERTY "Revision date" \@ "d MMMM YYYY"  \* MERGEFORMAT </w:instrText>
            </w:r>
            <w:r>
              <w:fldChar w:fldCharType="separate"/>
            </w:r>
            <w:r w:rsidR="00401F34">
              <w:t>28 May 2018</w:t>
            </w:r>
            <w:r>
              <w:fldChar w:fldCharType="end"/>
            </w:r>
          </w:p>
          <w:p w:rsidR="00C15867" w:rsidRPr="00000FED" w:rsidRDefault="00C15867" w:rsidP="00897905">
            <w:pPr>
              <w:rPr>
                <w:caps/>
              </w:rPr>
            </w:pPr>
          </w:p>
          <w:p w:rsidR="00C15867" w:rsidRDefault="00C15867" w:rsidP="00897905">
            <w:r w:rsidRPr="0033525D">
              <w:t>ORIGINAL: ENGLISH</w:t>
            </w:r>
          </w:p>
        </w:tc>
      </w:tr>
    </w:tbl>
    <w:p w:rsidR="009E196C" w:rsidRPr="00612F2F" w:rsidRDefault="00C15867" w:rsidP="00897905">
      <w:pPr>
        <w:jc w:val="left"/>
      </w:pPr>
      <w:r w:rsidRPr="0033525D">
        <w:t>EXECUTIVE COMMITTEE OF</w:t>
      </w:r>
      <w:r w:rsidRPr="0033525D">
        <w:br/>
      </w:r>
      <w:r w:rsidR="00897905">
        <w:t xml:space="preserve"> </w:t>
      </w:r>
      <w:r w:rsidRPr="0033525D">
        <w:t>THE MULTILATERAL FUND FOR THE</w:t>
      </w:r>
      <w:r w:rsidRPr="0033525D">
        <w:br/>
      </w:r>
      <w:r w:rsidR="00897905">
        <w:t xml:space="preserve"> </w:t>
      </w:r>
      <w:r w:rsidRPr="0033525D">
        <w:t>IMPLEMENTATION OF THE MONTREAL PROTOCOL</w:t>
      </w:r>
      <w:r w:rsidRPr="0033525D">
        <w:br/>
      </w:r>
      <w:r w:rsidR="009E196C">
        <w:rPr>
          <w:lang w:val="en-CA"/>
        </w:rPr>
        <w:t xml:space="preserve">Eighty-first </w:t>
      </w:r>
      <w:r w:rsidR="009E196C">
        <w:t>Meeting</w:t>
      </w:r>
    </w:p>
    <w:p w:rsidR="009E196C" w:rsidRPr="006C39CE" w:rsidRDefault="009E196C" w:rsidP="00897905">
      <w:pPr>
        <w:jc w:val="left"/>
        <w:rPr>
          <w:lang w:val="en-CA"/>
        </w:rPr>
      </w:pPr>
      <w:r>
        <w:rPr>
          <w:lang w:val="en-CA"/>
        </w:rPr>
        <w:t>Montreal</w:t>
      </w:r>
      <w:r w:rsidRPr="00042E3E">
        <w:rPr>
          <w:lang w:val="en-CA"/>
        </w:rPr>
        <w:t xml:space="preserve">, </w:t>
      </w:r>
      <w:r>
        <w:t>18-22 June 2018</w:t>
      </w:r>
    </w:p>
    <w:p w:rsidR="00C15867" w:rsidRPr="00765DE4" w:rsidRDefault="00C15867" w:rsidP="00897905">
      <w:pPr>
        <w:jc w:val="left"/>
        <w:rPr>
          <w:lang w:val="en-US"/>
        </w:rPr>
      </w:pPr>
    </w:p>
    <w:p w:rsidR="00945F98" w:rsidRPr="00945F98" w:rsidRDefault="00945F98" w:rsidP="00897905">
      <w:pPr>
        <w:jc w:val="left"/>
        <w:rPr>
          <w:lang w:val="en-US"/>
        </w:rPr>
      </w:pPr>
    </w:p>
    <w:p w:rsidR="00945F98" w:rsidRPr="00945F98" w:rsidRDefault="00945F98" w:rsidP="00897905">
      <w:pPr>
        <w:jc w:val="center"/>
        <w:outlineLvl w:val="0"/>
        <w:rPr>
          <w:b/>
          <w:caps/>
        </w:rPr>
      </w:pPr>
    </w:p>
    <w:p w:rsidR="00945F98" w:rsidRPr="00945F98" w:rsidRDefault="00945F98" w:rsidP="00897905">
      <w:pPr>
        <w:spacing w:after="240"/>
        <w:jc w:val="center"/>
        <w:outlineLvl w:val="0"/>
        <w:rPr>
          <w:b/>
        </w:rPr>
      </w:pPr>
      <w:r w:rsidRPr="00945F98">
        <w:rPr>
          <w:b/>
        </w:rPr>
        <w:t>PROJECT PROPOSAL:</w:t>
      </w:r>
      <w:r w:rsidR="00897905">
        <w:rPr>
          <w:b/>
        </w:rPr>
        <w:t xml:space="preserve"> </w:t>
      </w:r>
      <w:r w:rsidRPr="00945F98">
        <w:rPr>
          <w:b/>
        </w:rPr>
        <w:t>EGYPT</w:t>
      </w:r>
    </w:p>
    <w:p w:rsidR="00945F98" w:rsidRPr="00945F98" w:rsidRDefault="00945F98" w:rsidP="00897905"/>
    <w:p w:rsidR="00945F98" w:rsidRPr="00945F98" w:rsidRDefault="00945F98" w:rsidP="00897905">
      <w:pPr>
        <w:ind w:firstLine="720"/>
        <w:rPr>
          <w:lang w:val="en-CA"/>
        </w:rPr>
      </w:pPr>
      <w:r w:rsidRPr="00945F98">
        <w:rPr>
          <w:lang w:val="en-CA"/>
        </w:rPr>
        <w:t xml:space="preserve">This document consists of the comments and recommendation of the Secretariat on the following project proposal: </w:t>
      </w:r>
    </w:p>
    <w:p w:rsidR="00945F98" w:rsidRPr="00945F98" w:rsidRDefault="00945F98" w:rsidP="00897905">
      <w:pPr>
        <w:rPr>
          <w:lang w:val="en-CA"/>
        </w:rPr>
      </w:pPr>
    </w:p>
    <w:p w:rsidR="00945F98" w:rsidRPr="00945F98" w:rsidRDefault="00945F98" w:rsidP="00897905">
      <w:pPr>
        <w:rPr>
          <w:u w:val="single"/>
          <w:lang w:val="en-CA"/>
        </w:rPr>
      </w:pPr>
      <w:r w:rsidRPr="00945F98">
        <w:rPr>
          <w:u w:val="single"/>
          <w:lang w:val="en-CA"/>
        </w:rPr>
        <w:t>Refrigeration</w:t>
      </w:r>
    </w:p>
    <w:p w:rsidR="00945F98" w:rsidRPr="00945F98" w:rsidRDefault="00945F98" w:rsidP="00897905">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2391"/>
      </w:tblGrid>
      <w:tr w:rsidR="00945F98" w:rsidRPr="00945F98" w:rsidTr="00C3642B">
        <w:tc>
          <w:tcPr>
            <w:tcW w:w="6969" w:type="dxa"/>
          </w:tcPr>
          <w:p w:rsidR="00945F98" w:rsidRPr="00945F98" w:rsidRDefault="00945F98" w:rsidP="006C3753">
            <w:pPr>
              <w:ind w:left="720" w:hanging="720"/>
              <w:rPr>
                <w:lang w:val="en-CA"/>
              </w:rPr>
            </w:pPr>
            <w:r w:rsidRPr="00945F98">
              <w:rPr>
                <w:lang w:val="en-CA"/>
              </w:rPr>
              <w:t>•</w:t>
            </w:r>
            <w:r w:rsidRPr="00945F98">
              <w:rPr>
                <w:lang w:val="en-CA"/>
              </w:rPr>
              <w:tab/>
              <w:t xml:space="preserve">Conversion of discontinuous panel </w:t>
            </w:r>
            <w:r w:rsidR="00C3642B">
              <w:rPr>
                <w:lang w:val="en-CA"/>
              </w:rPr>
              <w:t xml:space="preserve">manufacturing facility from </w:t>
            </w:r>
            <w:r w:rsidR="006C3753">
              <w:rPr>
                <w:lang w:val="en-CA"/>
              </w:rPr>
              <w:t xml:space="preserve">   </w:t>
            </w:r>
            <w:r w:rsidR="00C3642B">
              <w:rPr>
                <w:lang w:val="en-CA"/>
              </w:rPr>
              <w:t>HFC-</w:t>
            </w:r>
            <w:r w:rsidRPr="00945F98">
              <w:rPr>
                <w:lang w:val="en-CA"/>
              </w:rPr>
              <w:t>134a to H</w:t>
            </w:r>
            <w:r w:rsidR="0052386A">
              <w:rPr>
                <w:lang w:val="en-CA"/>
              </w:rPr>
              <w:t>FO blowing agent at Army Factory</w:t>
            </w:r>
            <w:r w:rsidRPr="00945F98">
              <w:rPr>
                <w:lang w:val="en-CA"/>
              </w:rPr>
              <w:t xml:space="preserve"> </w:t>
            </w:r>
          </w:p>
        </w:tc>
        <w:tc>
          <w:tcPr>
            <w:tcW w:w="2391" w:type="dxa"/>
          </w:tcPr>
          <w:p w:rsidR="00945F98" w:rsidRPr="00945F98" w:rsidRDefault="00945F98" w:rsidP="00897905">
            <w:pPr>
              <w:jc w:val="right"/>
              <w:rPr>
                <w:lang w:val="en-CA"/>
              </w:rPr>
            </w:pPr>
            <w:r w:rsidRPr="00945F98">
              <w:rPr>
                <w:lang w:val="en-CA"/>
              </w:rPr>
              <w:t>UNDP</w:t>
            </w:r>
          </w:p>
        </w:tc>
      </w:tr>
    </w:tbl>
    <w:p w:rsidR="00945F98" w:rsidRPr="00945F98" w:rsidRDefault="00945F98" w:rsidP="00897905">
      <w:pPr>
        <w:jc w:val="center"/>
        <w:outlineLvl w:val="0"/>
        <w:rPr>
          <w:b/>
          <w:caps/>
          <w:lang w:val="en-CA"/>
        </w:rPr>
      </w:pPr>
    </w:p>
    <w:p w:rsidR="00945F98" w:rsidRPr="00945F98" w:rsidRDefault="00945F98" w:rsidP="00897905">
      <w:pPr>
        <w:jc w:val="center"/>
        <w:outlineLvl w:val="0"/>
        <w:rPr>
          <w:b/>
          <w:caps/>
        </w:rPr>
      </w:pPr>
    </w:p>
    <w:p w:rsidR="00945F98" w:rsidRPr="00945F98" w:rsidRDefault="00945F98" w:rsidP="00897905">
      <w:pPr>
        <w:spacing w:after="240"/>
        <w:outlineLvl w:val="0"/>
      </w:pPr>
    </w:p>
    <w:p w:rsidR="00945F98" w:rsidRPr="00945F98" w:rsidRDefault="00945F98" w:rsidP="00897905">
      <w:pPr>
        <w:widowControl w:val="0"/>
        <w:tabs>
          <w:tab w:val="left" w:pos="2880"/>
          <w:tab w:val="left" w:pos="5760"/>
        </w:tabs>
        <w:spacing w:after="240"/>
        <w:rPr>
          <w:sz w:val="20"/>
        </w:rPr>
      </w:pPr>
    </w:p>
    <w:p w:rsidR="00945F98" w:rsidRPr="00945F98" w:rsidRDefault="00945F98" w:rsidP="00897905">
      <w:pPr>
        <w:widowControl w:val="0"/>
        <w:tabs>
          <w:tab w:val="left" w:pos="2880"/>
          <w:tab w:val="left" w:pos="5760"/>
        </w:tabs>
        <w:spacing w:after="240"/>
        <w:rPr>
          <w:sz w:val="20"/>
        </w:rPr>
      </w:pPr>
      <w:r w:rsidRPr="00945F98">
        <w:rPr>
          <w:sz w:val="20"/>
        </w:rPr>
        <w:br w:type="page"/>
      </w:r>
    </w:p>
    <w:p w:rsidR="00945F98" w:rsidRPr="00945F98" w:rsidRDefault="00945F98" w:rsidP="00897905">
      <w:pPr>
        <w:keepLines/>
        <w:jc w:val="center"/>
        <w:rPr>
          <w:b/>
        </w:rPr>
      </w:pPr>
      <w:r w:rsidRPr="00945F98">
        <w:rPr>
          <w:b/>
        </w:rPr>
        <w:lastRenderedPageBreak/>
        <w:t>PROJECT EVALUATION SHEET – NON-MULTI-YEAR PROJECT</w:t>
      </w:r>
    </w:p>
    <w:p w:rsidR="00945F98" w:rsidRPr="00945F98" w:rsidRDefault="00945F98" w:rsidP="00897905">
      <w:pPr>
        <w:keepLines/>
        <w:jc w:val="center"/>
        <w:rPr>
          <w:b/>
        </w:rPr>
      </w:pPr>
    </w:p>
    <w:p w:rsidR="00945F98" w:rsidRPr="00945F98" w:rsidRDefault="00945F98" w:rsidP="00897905">
      <w:pPr>
        <w:jc w:val="center"/>
        <w:rPr>
          <w:b/>
          <w:szCs w:val="24"/>
        </w:rPr>
      </w:pPr>
      <w:r>
        <w:rPr>
          <w:b/>
          <w:szCs w:val="24"/>
        </w:rPr>
        <w:t>EGYPT</w:t>
      </w:r>
    </w:p>
    <w:p w:rsidR="00945F98" w:rsidRPr="00945F98" w:rsidRDefault="00945F98" w:rsidP="00897905">
      <w:pPr>
        <w:rPr>
          <w:sz w:val="20"/>
        </w:rPr>
      </w:pPr>
    </w:p>
    <w:p w:rsidR="00945F98" w:rsidRPr="00945F98" w:rsidRDefault="00945F98" w:rsidP="00897905">
      <w:pPr>
        <w:tabs>
          <w:tab w:val="left" w:pos="5580"/>
        </w:tabs>
        <w:ind w:right="-540"/>
        <w:rPr>
          <w:b/>
          <w:sz w:val="20"/>
        </w:rPr>
      </w:pPr>
      <w:r w:rsidRPr="00945F98">
        <w:rPr>
          <w:b/>
          <w:caps/>
          <w:sz w:val="20"/>
        </w:rPr>
        <w:t>Project title(S)</w:t>
      </w:r>
      <w:r w:rsidRPr="00945F98">
        <w:rPr>
          <w:b/>
          <w:sz w:val="20"/>
        </w:rPr>
        <w:tab/>
      </w:r>
      <w:r w:rsidRPr="00945F98">
        <w:rPr>
          <w:b/>
          <w:caps/>
          <w:sz w:val="20"/>
        </w:rPr>
        <w:t>Bilateral/implementing agency</w:t>
      </w:r>
    </w:p>
    <w:tbl>
      <w:tblPr>
        <w:tblStyle w:val="TableGrid"/>
        <w:tblpPr w:leftFromText="180" w:rightFromText="180" w:vertAnchor="text" w:horzAnchor="margin" w:tblpXSpec="center" w:tblpY="62"/>
        <w:tblW w:w="0" w:type="auto"/>
        <w:tblBorders>
          <w:insideH w:val="none" w:sz="0" w:space="0" w:color="auto"/>
          <w:insideV w:val="none" w:sz="0" w:space="0" w:color="auto"/>
        </w:tblBorders>
        <w:tblLook w:val="01E0" w:firstRow="1" w:lastRow="1" w:firstColumn="1" w:lastColumn="1" w:noHBand="0" w:noVBand="0"/>
      </w:tblPr>
      <w:tblGrid>
        <w:gridCol w:w="467"/>
        <w:gridCol w:w="6575"/>
        <w:gridCol w:w="2308"/>
      </w:tblGrid>
      <w:tr w:rsidR="00945F98" w:rsidRPr="00945F98" w:rsidTr="00945F98">
        <w:trPr>
          <w:trHeight w:val="251"/>
        </w:trPr>
        <w:tc>
          <w:tcPr>
            <w:tcW w:w="467" w:type="dxa"/>
            <w:tcBorders>
              <w:bottom w:val="single" w:sz="4" w:space="0" w:color="auto"/>
            </w:tcBorders>
          </w:tcPr>
          <w:p w:rsidR="00945F98" w:rsidRPr="00945F98" w:rsidRDefault="0052386A" w:rsidP="00897905">
            <w:pPr>
              <w:tabs>
                <w:tab w:val="left" w:pos="383"/>
              </w:tabs>
              <w:rPr>
                <w:sz w:val="20"/>
                <w:szCs w:val="20"/>
              </w:rPr>
            </w:pPr>
            <w:r>
              <w:rPr>
                <w:sz w:val="20"/>
                <w:szCs w:val="20"/>
              </w:rPr>
              <w:t>(a)</w:t>
            </w:r>
          </w:p>
        </w:tc>
        <w:tc>
          <w:tcPr>
            <w:tcW w:w="6575" w:type="dxa"/>
            <w:tcBorders>
              <w:bottom w:val="single" w:sz="4" w:space="0" w:color="auto"/>
              <w:right w:val="single" w:sz="4" w:space="0" w:color="auto"/>
            </w:tcBorders>
          </w:tcPr>
          <w:p w:rsidR="00945F98" w:rsidRPr="00945F98" w:rsidRDefault="00945F98" w:rsidP="00897905">
            <w:pPr>
              <w:jc w:val="left"/>
              <w:rPr>
                <w:sz w:val="20"/>
                <w:szCs w:val="20"/>
              </w:rPr>
            </w:pPr>
            <w:r w:rsidRPr="00945F98">
              <w:rPr>
                <w:sz w:val="20"/>
                <w:szCs w:val="20"/>
                <w:lang w:val="en-CA"/>
              </w:rPr>
              <w:t xml:space="preserve">Conversion of discontinuous panel manufacturing facility from HFC-134a to HFO blowing agent at Army </w:t>
            </w:r>
            <w:r w:rsidR="0052386A">
              <w:rPr>
                <w:sz w:val="20"/>
                <w:szCs w:val="20"/>
                <w:lang w:val="en-CA"/>
              </w:rPr>
              <w:t>Factory</w:t>
            </w:r>
            <w:r w:rsidRPr="00945F98">
              <w:rPr>
                <w:sz w:val="20"/>
                <w:szCs w:val="20"/>
                <w:lang w:val="en-CA"/>
              </w:rPr>
              <w:t>, Egypt.</w:t>
            </w:r>
          </w:p>
        </w:tc>
        <w:tc>
          <w:tcPr>
            <w:tcW w:w="2308" w:type="dxa"/>
            <w:tcBorders>
              <w:top w:val="single" w:sz="4" w:space="0" w:color="auto"/>
              <w:left w:val="single" w:sz="4" w:space="0" w:color="auto"/>
              <w:bottom w:val="single" w:sz="4" w:space="0" w:color="auto"/>
            </w:tcBorders>
          </w:tcPr>
          <w:p w:rsidR="00945F98" w:rsidRPr="00945F98" w:rsidRDefault="00945F98" w:rsidP="00897905">
            <w:pPr>
              <w:jc w:val="right"/>
              <w:rPr>
                <w:sz w:val="20"/>
                <w:szCs w:val="20"/>
              </w:rPr>
            </w:pPr>
            <w:r w:rsidRPr="00945F98">
              <w:rPr>
                <w:sz w:val="20"/>
                <w:szCs w:val="20"/>
              </w:rPr>
              <w:t>UNDP</w:t>
            </w:r>
          </w:p>
        </w:tc>
      </w:tr>
    </w:tbl>
    <w:p w:rsidR="00945F98" w:rsidRPr="00945F98" w:rsidRDefault="00945F98" w:rsidP="00897905">
      <w:pPr>
        <w:rPr>
          <w:sz w:val="20"/>
        </w:rPr>
      </w:pPr>
    </w:p>
    <w:tbl>
      <w:tblPr>
        <w:tblStyle w:val="TableGrid"/>
        <w:tblW w:w="0" w:type="auto"/>
        <w:jc w:val="center"/>
        <w:tblLook w:val="01E0" w:firstRow="1" w:lastRow="1" w:firstColumn="1" w:lastColumn="1" w:noHBand="0" w:noVBand="0"/>
      </w:tblPr>
      <w:tblGrid>
        <w:gridCol w:w="5098"/>
        <w:gridCol w:w="4252"/>
      </w:tblGrid>
      <w:tr w:rsidR="00945F98" w:rsidRPr="00945F98" w:rsidTr="004B720B">
        <w:trPr>
          <w:jc w:val="center"/>
        </w:trPr>
        <w:tc>
          <w:tcPr>
            <w:tcW w:w="5098" w:type="dxa"/>
          </w:tcPr>
          <w:p w:rsidR="00945F98" w:rsidRPr="00945F98" w:rsidRDefault="00945F98" w:rsidP="00897905">
            <w:pPr>
              <w:rPr>
                <w:sz w:val="20"/>
              </w:rPr>
            </w:pPr>
            <w:r w:rsidRPr="00945F98">
              <w:rPr>
                <w:b/>
                <w:caps/>
                <w:sz w:val="20"/>
              </w:rPr>
              <w:t>National co-ordinating agency</w:t>
            </w:r>
          </w:p>
        </w:tc>
        <w:tc>
          <w:tcPr>
            <w:tcW w:w="4252" w:type="dxa"/>
          </w:tcPr>
          <w:p w:rsidR="00945F98" w:rsidRPr="00945F98" w:rsidRDefault="00945F98" w:rsidP="00897905">
            <w:pPr>
              <w:jc w:val="right"/>
              <w:rPr>
                <w:sz w:val="20"/>
              </w:rPr>
            </w:pPr>
            <w:r w:rsidRPr="00945F98">
              <w:rPr>
                <w:sz w:val="20"/>
              </w:rPr>
              <w:t>Egyptian Environmental Affair Agency (EEAA)</w:t>
            </w:r>
          </w:p>
        </w:tc>
      </w:tr>
    </w:tbl>
    <w:p w:rsidR="00945F98" w:rsidRPr="00945F98" w:rsidRDefault="00945F98" w:rsidP="00897905">
      <w:pPr>
        <w:rPr>
          <w:caps/>
          <w:sz w:val="20"/>
        </w:rPr>
      </w:pPr>
    </w:p>
    <w:p w:rsidR="0052386A" w:rsidRDefault="0052386A" w:rsidP="00897905">
      <w:pPr>
        <w:rPr>
          <w:b/>
          <w:caps/>
          <w:sz w:val="20"/>
        </w:rPr>
      </w:pPr>
    </w:p>
    <w:p w:rsidR="0052386A" w:rsidRPr="003D26AF" w:rsidRDefault="0052386A" w:rsidP="00897905">
      <w:pPr>
        <w:jc w:val="left"/>
        <w:rPr>
          <w:rFonts w:eastAsia="Calibri"/>
          <w:b/>
          <w:caps/>
          <w:sz w:val="18"/>
          <w:szCs w:val="18"/>
          <w:lang w:val="en-CA"/>
        </w:rPr>
      </w:pPr>
      <w:r w:rsidRPr="003D26AF">
        <w:rPr>
          <w:rFonts w:eastAsia="Calibri"/>
          <w:b/>
          <w:caps/>
          <w:sz w:val="18"/>
          <w:szCs w:val="18"/>
          <w:lang w:val="en-CA"/>
        </w:rPr>
        <w:t xml:space="preserve">LateSt reported consumption data for ODS addressed in project </w:t>
      </w:r>
    </w:p>
    <w:p w:rsidR="0052386A" w:rsidRPr="003D26AF" w:rsidRDefault="0052386A" w:rsidP="00897905">
      <w:pPr>
        <w:jc w:val="left"/>
        <w:rPr>
          <w:rFonts w:eastAsia="Calibri"/>
          <w:b/>
          <w:caps/>
          <w:sz w:val="18"/>
          <w:szCs w:val="18"/>
          <w:lang w:val="en-CA"/>
        </w:rPr>
      </w:pPr>
      <w:r w:rsidRPr="003D26AF">
        <w:rPr>
          <w:rFonts w:eastAsia="Calibri"/>
          <w:b/>
          <w:caps/>
          <w:sz w:val="18"/>
          <w:szCs w:val="18"/>
          <w:lang w:val="en-CA"/>
        </w:rPr>
        <w:t>A:</w:t>
      </w:r>
      <w:r w:rsidR="00897905">
        <w:rPr>
          <w:rFonts w:eastAsia="Calibri"/>
          <w:b/>
          <w:caps/>
          <w:sz w:val="18"/>
          <w:szCs w:val="18"/>
          <w:lang w:val="en-CA"/>
        </w:rPr>
        <w:t xml:space="preserve"> </w:t>
      </w:r>
      <w:r w:rsidRPr="003D26AF">
        <w:rPr>
          <w:rFonts w:eastAsia="Calibri"/>
          <w:b/>
          <w:caps/>
          <w:sz w:val="18"/>
          <w:szCs w:val="18"/>
          <w:lang w:val="en-CA"/>
        </w:rPr>
        <w:t>Article-7 data (METRIC tonnes, 2017, as of MAY 2018)</w:t>
      </w:r>
    </w:p>
    <w:tbl>
      <w:tblPr>
        <w:tblStyle w:val="TableGrid10"/>
        <w:tblW w:w="9360" w:type="dxa"/>
        <w:tblInd w:w="108" w:type="dxa"/>
        <w:tblLayout w:type="fixed"/>
        <w:tblLook w:val="01E0" w:firstRow="1" w:lastRow="1" w:firstColumn="1" w:lastColumn="1" w:noHBand="0" w:noVBand="0"/>
      </w:tblPr>
      <w:tblGrid>
        <w:gridCol w:w="6555"/>
        <w:gridCol w:w="1574"/>
        <w:gridCol w:w="1231"/>
      </w:tblGrid>
      <w:tr w:rsidR="0052386A" w:rsidRPr="003D26AF" w:rsidTr="002E7734">
        <w:tc>
          <w:tcPr>
            <w:tcW w:w="6555" w:type="dxa"/>
            <w:vMerge w:val="restart"/>
            <w:tcBorders>
              <w:right w:val="single" w:sz="4" w:space="0" w:color="auto"/>
            </w:tcBorders>
            <w:vAlign w:val="center"/>
          </w:tcPr>
          <w:p w:rsidR="0052386A" w:rsidRPr="003D26AF" w:rsidRDefault="0052386A" w:rsidP="00897905">
            <w:pPr>
              <w:jc w:val="left"/>
              <w:rPr>
                <w:sz w:val="18"/>
                <w:szCs w:val="18"/>
                <w:lang w:val="en-CA"/>
              </w:rPr>
            </w:pPr>
            <w:r w:rsidRPr="003D26AF">
              <w:rPr>
                <w:sz w:val="18"/>
                <w:szCs w:val="18"/>
                <w:lang w:val="en-CA"/>
              </w:rPr>
              <w:t>Annex F, Group I</w:t>
            </w:r>
          </w:p>
        </w:tc>
        <w:tc>
          <w:tcPr>
            <w:tcW w:w="1574" w:type="dxa"/>
            <w:tcBorders>
              <w:left w:val="single" w:sz="4" w:space="0" w:color="auto"/>
              <w:right w:val="single" w:sz="4" w:space="0" w:color="auto"/>
            </w:tcBorders>
            <w:shd w:val="clear" w:color="auto" w:fill="auto"/>
          </w:tcPr>
          <w:p w:rsidR="0052386A" w:rsidRPr="003D26AF" w:rsidRDefault="0052386A" w:rsidP="00897905">
            <w:pPr>
              <w:jc w:val="left"/>
              <w:rPr>
                <w:sz w:val="18"/>
                <w:szCs w:val="18"/>
                <w:lang w:val="en-CA"/>
              </w:rPr>
            </w:pPr>
            <w:r w:rsidRPr="003D26AF">
              <w:rPr>
                <w:sz w:val="18"/>
                <w:szCs w:val="18"/>
                <w:lang w:val="en-CA"/>
              </w:rPr>
              <w:t>mt</w:t>
            </w:r>
          </w:p>
        </w:tc>
        <w:tc>
          <w:tcPr>
            <w:tcW w:w="1231" w:type="dxa"/>
            <w:tcBorders>
              <w:left w:val="single" w:sz="4" w:space="0" w:color="auto"/>
              <w:right w:val="single" w:sz="4" w:space="0" w:color="auto"/>
            </w:tcBorders>
          </w:tcPr>
          <w:p w:rsidR="0052386A" w:rsidRPr="003D26AF" w:rsidRDefault="0052386A" w:rsidP="00897905">
            <w:pPr>
              <w:jc w:val="right"/>
              <w:rPr>
                <w:sz w:val="18"/>
                <w:szCs w:val="18"/>
                <w:lang w:val="en-CA"/>
              </w:rPr>
            </w:pPr>
            <w:r w:rsidRPr="003D26AF">
              <w:rPr>
                <w:sz w:val="18"/>
                <w:szCs w:val="18"/>
                <w:lang w:val="en-CA"/>
              </w:rPr>
              <w:t>n/a</w:t>
            </w:r>
          </w:p>
        </w:tc>
      </w:tr>
      <w:tr w:rsidR="0052386A" w:rsidRPr="003D26AF" w:rsidTr="002E7734">
        <w:tc>
          <w:tcPr>
            <w:tcW w:w="6555" w:type="dxa"/>
            <w:vMerge/>
            <w:tcBorders>
              <w:right w:val="single" w:sz="4" w:space="0" w:color="auto"/>
            </w:tcBorders>
          </w:tcPr>
          <w:p w:rsidR="0052386A" w:rsidRPr="003D26AF" w:rsidRDefault="0052386A" w:rsidP="00897905">
            <w:pPr>
              <w:rPr>
                <w:sz w:val="18"/>
                <w:szCs w:val="18"/>
                <w:lang w:val="en-CA"/>
              </w:rPr>
            </w:pPr>
          </w:p>
        </w:tc>
        <w:tc>
          <w:tcPr>
            <w:tcW w:w="1574" w:type="dxa"/>
            <w:tcBorders>
              <w:left w:val="single" w:sz="4" w:space="0" w:color="auto"/>
              <w:right w:val="single" w:sz="4" w:space="0" w:color="auto"/>
            </w:tcBorders>
            <w:shd w:val="clear" w:color="auto" w:fill="auto"/>
          </w:tcPr>
          <w:p w:rsidR="0052386A" w:rsidRPr="003D26AF" w:rsidRDefault="0052386A" w:rsidP="00897905">
            <w:pPr>
              <w:jc w:val="left"/>
              <w:rPr>
                <w:sz w:val="18"/>
                <w:szCs w:val="18"/>
                <w:lang w:val="en-CA"/>
              </w:rPr>
            </w:pPr>
            <w:r w:rsidRPr="003D26AF">
              <w:rPr>
                <w:sz w:val="18"/>
                <w:szCs w:val="18"/>
                <w:lang w:val="en-CA"/>
              </w:rPr>
              <w:t>mt CO</w:t>
            </w:r>
            <w:r w:rsidRPr="003D26AF">
              <w:rPr>
                <w:sz w:val="18"/>
                <w:szCs w:val="18"/>
                <w:vertAlign w:val="subscript"/>
                <w:lang w:val="en-CA"/>
              </w:rPr>
              <w:t>2</w:t>
            </w:r>
            <w:r w:rsidRPr="003D26AF">
              <w:rPr>
                <w:sz w:val="18"/>
                <w:szCs w:val="18"/>
                <w:lang w:val="en-CA"/>
              </w:rPr>
              <w:t>-eq.</w:t>
            </w:r>
          </w:p>
        </w:tc>
        <w:tc>
          <w:tcPr>
            <w:tcW w:w="1231" w:type="dxa"/>
            <w:tcBorders>
              <w:left w:val="single" w:sz="4" w:space="0" w:color="auto"/>
              <w:right w:val="single" w:sz="4" w:space="0" w:color="auto"/>
            </w:tcBorders>
          </w:tcPr>
          <w:p w:rsidR="0052386A" w:rsidRPr="003D26AF" w:rsidRDefault="0052386A" w:rsidP="00897905">
            <w:pPr>
              <w:jc w:val="right"/>
              <w:rPr>
                <w:sz w:val="18"/>
                <w:szCs w:val="18"/>
                <w:lang w:val="en-CA"/>
              </w:rPr>
            </w:pPr>
            <w:r w:rsidRPr="003D26AF">
              <w:rPr>
                <w:sz w:val="18"/>
                <w:szCs w:val="18"/>
                <w:lang w:val="en-CA"/>
              </w:rPr>
              <w:t>n/a</w:t>
            </w:r>
          </w:p>
        </w:tc>
      </w:tr>
    </w:tbl>
    <w:p w:rsidR="0052386A" w:rsidRPr="003D26AF" w:rsidRDefault="0052386A" w:rsidP="00897905">
      <w:pPr>
        <w:jc w:val="left"/>
        <w:rPr>
          <w:rFonts w:eastAsia="Calibri"/>
          <w:b/>
          <w:sz w:val="16"/>
          <w:szCs w:val="18"/>
          <w:lang w:val="en-CA"/>
        </w:rPr>
      </w:pPr>
    </w:p>
    <w:p w:rsidR="0052386A" w:rsidRPr="003D26AF" w:rsidRDefault="0052386A" w:rsidP="00897905">
      <w:pPr>
        <w:jc w:val="left"/>
        <w:rPr>
          <w:rFonts w:eastAsia="Calibri"/>
          <w:b/>
          <w:caps/>
          <w:sz w:val="18"/>
          <w:szCs w:val="18"/>
          <w:lang w:val="en-CA"/>
        </w:rPr>
      </w:pPr>
      <w:r w:rsidRPr="003D26AF">
        <w:rPr>
          <w:rFonts w:eastAsia="Calibri"/>
          <w:b/>
          <w:sz w:val="18"/>
          <w:szCs w:val="18"/>
          <w:lang w:val="en-CA"/>
        </w:rPr>
        <w:t>B:</w:t>
      </w:r>
      <w:r w:rsidR="00897905">
        <w:rPr>
          <w:rFonts w:eastAsia="Calibri"/>
          <w:b/>
          <w:sz w:val="18"/>
          <w:szCs w:val="18"/>
          <w:lang w:val="en-CA"/>
        </w:rPr>
        <w:t xml:space="preserve"> </w:t>
      </w:r>
      <w:r w:rsidRPr="003D26AF">
        <w:rPr>
          <w:rFonts w:eastAsia="Calibri"/>
          <w:b/>
          <w:sz w:val="18"/>
          <w:szCs w:val="18"/>
          <w:lang w:val="en-CA"/>
        </w:rPr>
        <w:t xml:space="preserve">COUNTRY PROGRAMME SECTORAL DATA </w:t>
      </w:r>
      <w:r w:rsidRPr="003D26AF">
        <w:rPr>
          <w:rFonts w:eastAsia="Calibri"/>
          <w:b/>
          <w:caps/>
          <w:sz w:val="18"/>
          <w:szCs w:val="18"/>
          <w:lang w:val="en-CA"/>
        </w:rPr>
        <w:t>(METRIC tonnes, 2017, as of may 2018)</w:t>
      </w:r>
    </w:p>
    <w:tbl>
      <w:tblPr>
        <w:tblStyle w:val="TableGrid10"/>
        <w:tblW w:w="9360" w:type="dxa"/>
        <w:tblInd w:w="108" w:type="dxa"/>
        <w:tblLayout w:type="fixed"/>
        <w:tblLook w:val="01E0" w:firstRow="1" w:lastRow="1" w:firstColumn="1" w:lastColumn="1" w:noHBand="0" w:noVBand="0"/>
      </w:tblPr>
      <w:tblGrid>
        <w:gridCol w:w="6555"/>
        <w:gridCol w:w="1574"/>
        <w:gridCol w:w="1231"/>
      </w:tblGrid>
      <w:tr w:rsidR="0052386A" w:rsidRPr="003D26AF" w:rsidTr="002E7734">
        <w:tc>
          <w:tcPr>
            <w:tcW w:w="6555" w:type="dxa"/>
            <w:vMerge w:val="restart"/>
            <w:tcBorders>
              <w:right w:val="single" w:sz="4" w:space="0" w:color="auto"/>
            </w:tcBorders>
            <w:vAlign w:val="center"/>
          </w:tcPr>
          <w:p w:rsidR="0052386A" w:rsidRPr="003D26AF" w:rsidRDefault="0052386A" w:rsidP="00897905">
            <w:pPr>
              <w:jc w:val="left"/>
              <w:rPr>
                <w:sz w:val="18"/>
                <w:szCs w:val="18"/>
                <w:lang w:val="en-CA"/>
              </w:rPr>
            </w:pPr>
            <w:r w:rsidRPr="003D26AF">
              <w:rPr>
                <w:sz w:val="18"/>
                <w:szCs w:val="18"/>
                <w:lang w:val="en-CA"/>
              </w:rPr>
              <w:t>Annex F, Group I</w:t>
            </w:r>
          </w:p>
        </w:tc>
        <w:tc>
          <w:tcPr>
            <w:tcW w:w="1574" w:type="dxa"/>
            <w:tcBorders>
              <w:left w:val="single" w:sz="4" w:space="0" w:color="auto"/>
              <w:right w:val="single" w:sz="4" w:space="0" w:color="auto"/>
            </w:tcBorders>
            <w:shd w:val="clear" w:color="auto" w:fill="auto"/>
          </w:tcPr>
          <w:p w:rsidR="0052386A" w:rsidRPr="003D26AF" w:rsidRDefault="0052386A" w:rsidP="00897905">
            <w:pPr>
              <w:jc w:val="left"/>
              <w:rPr>
                <w:sz w:val="18"/>
                <w:szCs w:val="18"/>
                <w:lang w:val="en-CA"/>
              </w:rPr>
            </w:pPr>
            <w:r w:rsidRPr="003D26AF">
              <w:rPr>
                <w:sz w:val="18"/>
                <w:szCs w:val="18"/>
                <w:lang w:val="en-CA"/>
              </w:rPr>
              <w:t>mt</w:t>
            </w:r>
          </w:p>
        </w:tc>
        <w:tc>
          <w:tcPr>
            <w:tcW w:w="1231" w:type="dxa"/>
            <w:tcBorders>
              <w:left w:val="single" w:sz="4" w:space="0" w:color="auto"/>
              <w:right w:val="single" w:sz="4" w:space="0" w:color="auto"/>
            </w:tcBorders>
          </w:tcPr>
          <w:p w:rsidR="0052386A" w:rsidRPr="003D26AF" w:rsidRDefault="0052386A" w:rsidP="00897905">
            <w:pPr>
              <w:jc w:val="right"/>
              <w:rPr>
                <w:sz w:val="18"/>
                <w:szCs w:val="18"/>
                <w:lang w:val="en-CA"/>
              </w:rPr>
            </w:pPr>
            <w:r w:rsidRPr="003D26AF">
              <w:rPr>
                <w:sz w:val="18"/>
                <w:szCs w:val="18"/>
                <w:lang w:val="en-CA"/>
              </w:rPr>
              <w:t>n/a</w:t>
            </w:r>
          </w:p>
        </w:tc>
      </w:tr>
      <w:tr w:rsidR="0052386A" w:rsidRPr="003D26AF" w:rsidTr="002E7734">
        <w:tc>
          <w:tcPr>
            <w:tcW w:w="6555" w:type="dxa"/>
            <w:vMerge/>
            <w:tcBorders>
              <w:right w:val="single" w:sz="4" w:space="0" w:color="auto"/>
            </w:tcBorders>
          </w:tcPr>
          <w:p w:rsidR="0052386A" w:rsidRPr="003D26AF" w:rsidRDefault="0052386A" w:rsidP="00897905">
            <w:pPr>
              <w:rPr>
                <w:sz w:val="18"/>
                <w:szCs w:val="18"/>
                <w:lang w:val="en-CA"/>
              </w:rPr>
            </w:pPr>
          </w:p>
        </w:tc>
        <w:tc>
          <w:tcPr>
            <w:tcW w:w="1574" w:type="dxa"/>
            <w:tcBorders>
              <w:left w:val="single" w:sz="4" w:space="0" w:color="auto"/>
              <w:right w:val="single" w:sz="4" w:space="0" w:color="auto"/>
            </w:tcBorders>
            <w:shd w:val="clear" w:color="auto" w:fill="auto"/>
          </w:tcPr>
          <w:p w:rsidR="0052386A" w:rsidRPr="003D26AF" w:rsidRDefault="0052386A" w:rsidP="00897905">
            <w:pPr>
              <w:jc w:val="left"/>
              <w:rPr>
                <w:sz w:val="18"/>
                <w:szCs w:val="18"/>
                <w:lang w:val="en-CA"/>
              </w:rPr>
            </w:pPr>
            <w:r w:rsidRPr="003D26AF">
              <w:rPr>
                <w:sz w:val="18"/>
                <w:szCs w:val="18"/>
                <w:lang w:val="en-CA"/>
              </w:rPr>
              <w:t>mt CO</w:t>
            </w:r>
            <w:r w:rsidRPr="003D26AF">
              <w:rPr>
                <w:sz w:val="18"/>
                <w:szCs w:val="18"/>
                <w:vertAlign w:val="subscript"/>
                <w:lang w:val="en-CA"/>
              </w:rPr>
              <w:t>2</w:t>
            </w:r>
            <w:r w:rsidRPr="003D26AF">
              <w:rPr>
                <w:sz w:val="18"/>
                <w:szCs w:val="18"/>
                <w:lang w:val="en-CA"/>
              </w:rPr>
              <w:t>-eq.</w:t>
            </w:r>
          </w:p>
        </w:tc>
        <w:tc>
          <w:tcPr>
            <w:tcW w:w="1231" w:type="dxa"/>
            <w:tcBorders>
              <w:left w:val="single" w:sz="4" w:space="0" w:color="auto"/>
              <w:right w:val="single" w:sz="4" w:space="0" w:color="auto"/>
            </w:tcBorders>
          </w:tcPr>
          <w:p w:rsidR="0052386A" w:rsidRPr="003D26AF" w:rsidRDefault="0052386A" w:rsidP="00897905">
            <w:pPr>
              <w:jc w:val="right"/>
              <w:rPr>
                <w:sz w:val="18"/>
                <w:szCs w:val="18"/>
                <w:lang w:val="en-CA"/>
              </w:rPr>
            </w:pPr>
            <w:r w:rsidRPr="003D26AF">
              <w:rPr>
                <w:sz w:val="18"/>
                <w:szCs w:val="18"/>
                <w:lang w:val="en-CA"/>
              </w:rPr>
              <w:t>n/a</w:t>
            </w:r>
          </w:p>
        </w:tc>
      </w:tr>
    </w:tbl>
    <w:p w:rsidR="0052386A" w:rsidRPr="003D26AF" w:rsidRDefault="0052386A" w:rsidP="00897905">
      <w:pPr>
        <w:jc w:val="left"/>
        <w:rPr>
          <w:rFonts w:eastAsia="Calibri"/>
          <w:sz w:val="18"/>
          <w:szCs w:val="18"/>
          <w:lang w:val="en-CA"/>
        </w:rPr>
      </w:pPr>
    </w:p>
    <w:tbl>
      <w:tblPr>
        <w:tblStyle w:val="TableGrid10"/>
        <w:tblW w:w="9360" w:type="dxa"/>
        <w:tblInd w:w="108" w:type="dxa"/>
        <w:tblLayout w:type="fixed"/>
        <w:tblLook w:val="01E0" w:firstRow="1" w:lastRow="1" w:firstColumn="1" w:lastColumn="1" w:noHBand="0" w:noVBand="0"/>
      </w:tblPr>
      <w:tblGrid>
        <w:gridCol w:w="6555"/>
        <w:gridCol w:w="1574"/>
        <w:gridCol w:w="1231"/>
      </w:tblGrid>
      <w:tr w:rsidR="0052386A" w:rsidRPr="003D26AF" w:rsidTr="002E7734">
        <w:tc>
          <w:tcPr>
            <w:tcW w:w="6555" w:type="dxa"/>
            <w:vMerge w:val="restart"/>
            <w:vAlign w:val="center"/>
          </w:tcPr>
          <w:p w:rsidR="0052386A" w:rsidRPr="003D26AF" w:rsidRDefault="0052386A" w:rsidP="00897905">
            <w:pPr>
              <w:jc w:val="left"/>
              <w:rPr>
                <w:sz w:val="18"/>
                <w:szCs w:val="18"/>
                <w:lang w:val="en-CA"/>
              </w:rPr>
            </w:pPr>
            <w:r w:rsidRPr="003D26AF">
              <w:rPr>
                <w:b/>
                <w:sz w:val="18"/>
                <w:szCs w:val="18"/>
                <w:lang w:val="en-CA"/>
              </w:rPr>
              <w:t>HFC consumption remaining eligible for funding</w:t>
            </w:r>
          </w:p>
        </w:tc>
        <w:tc>
          <w:tcPr>
            <w:tcW w:w="1574" w:type="dxa"/>
            <w:shd w:val="clear" w:color="auto" w:fill="auto"/>
          </w:tcPr>
          <w:p w:rsidR="0052386A" w:rsidRPr="003D26AF" w:rsidRDefault="0052386A" w:rsidP="00897905">
            <w:pPr>
              <w:jc w:val="left"/>
              <w:rPr>
                <w:sz w:val="18"/>
                <w:szCs w:val="18"/>
                <w:lang w:val="en-CA"/>
              </w:rPr>
            </w:pPr>
            <w:r w:rsidRPr="003D26AF">
              <w:rPr>
                <w:sz w:val="18"/>
                <w:szCs w:val="18"/>
                <w:lang w:val="en-CA"/>
              </w:rPr>
              <w:t>mt</w:t>
            </w:r>
          </w:p>
        </w:tc>
        <w:tc>
          <w:tcPr>
            <w:tcW w:w="1231" w:type="dxa"/>
          </w:tcPr>
          <w:p w:rsidR="0052386A" w:rsidRPr="003D26AF" w:rsidRDefault="0052386A" w:rsidP="00897905">
            <w:pPr>
              <w:jc w:val="right"/>
              <w:rPr>
                <w:sz w:val="18"/>
                <w:szCs w:val="18"/>
                <w:lang w:val="en-CA"/>
              </w:rPr>
            </w:pPr>
            <w:r w:rsidRPr="003D26AF">
              <w:rPr>
                <w:sz w:val="18"/>
                <w:szCs w:val="18"/>
                <w:lang w:val="en-CA"/>
              </w:rPr>
              <w:t>n/a</w:t>
            </w:r>
          </w:p>
        </w:tc>
      </w:tr>
      <w:tr w:rsidR="0052386A" w:rsidRPr="003D26AF" w:rsidTr="002E7734">
        <w:tc>
          <w:tcPr>
            <w:tcW w:w="6555" w:type="dxa"/>
            <w:vMerge/>
          </w:tcPr>
          <w:p w:rsidR="0052386A" w:rsidRPr="003D26AF" w:rsidRDefault="0052386A" w:rsidP="00897905">
            <w:pPr>
              <w:rPr>
                <w:sz w:val="18"/>
                <w:szCs w:val="18"/>
                <w:lang w:val="en-CA"/>
              </w:rPr>
            </w:pPr>
          </w:p>
        </w:tc>
        <w:tc>
          <w:tcPr>
            <w:tcW w:w="1574" w:type="dxa"/>
            <w:shd w:val="clear" w:color="auto" w:fill="auto"/>
          </w:tcPr>
          <w:p w:rsidR="0052386A" w:rsidRPr="003D26AF" w:rsidRDefault="0052386A" w:rsidP="00897905">
            <w:pPr>
              <w:jc w:val="left"/>
              <w:rPr>
                <w:sz w:val="18"/>
                <w:szCs w:val="18"/>
                <w:lang w:val="en-CA"/>
              </w:rPr>
            </w:pPr>
            <w:r w:rsidRPr="003D26AF">
              <w:rPr>
                <w:sz w:val="18"/>
                <w:szCs w:val="18"/>
                <w:lang w:val="en-CA"/>
              </w:rPr>
              <w:t>mt CO</w:t>
            </w:r>
            <w:r w:rsidRPr="003D26AF">
              <w:rPr>
                <w:sz w:val="18"/>
                <w:szCs w:val="18"/>
                <w:vertAlign w:val="subscript"/>
                <w:lang w:val="en-CA"/>
              </w:rPr>
              <w:t>2</w:t>
            </w:r>
            <w:r w:rsidRPr="003D26AF">
              <w:rPr>
                <w:sz w:val="18"/>
                <w:szCs w:val="18"/>
                <w:lang w:val="en-CA"/>
              </w:rPr>
              <w:t>-eq.</w:t>
            </w:r>
          </w:p>
        </w:tc>
        <w:tc>
          <w:tcPr>
            <w:tcW w:w="1231" w:type="dxa"/>
          </w:tcPr>
          <w:p w:rsidR="0052386A" w:rsidRPr="003D26AF" w:rsidRDefault="0052386A" w:rsidP="00897905">
            <w:pPr>
              <w:jc w:val="right"/>
              <w:rPr>
                <w:sz w:val="18"/>
                <w:szCs w:val="18"/>
                <w:lang w:val="en-CA"/>
              </w:rPr>
            </w:pPr>
            <w:r w:rsidRPr="003D26AF">
              <w:rPr>
                <w:sz w:val="18"/>
                <w:szCs w:val="18"/>
                <w:lang w:val="en-CA"/>
              </w:rPr>
              <w:t>n/a</w:t>
            </w:r>
          </w:p>
        </w:tc>
      </w:tr>
    </w:tbl>
    <w:p w:rsidR="0052386A" w:rsidRPr="003D26AF" w:rsidRDefault="0052386A" w:rsidP="00897905">
      <w:pPr>
        <w:jc w:val="left"/>
        <w:rPr>
          <w:rFonts w:eastAsia="Calibri"/>
          <w:sz w:val="16"/>
          <w:szCs w:val="18"/>
          <w:lang w:val="en-CA"/>
        </w:rPr>
      </w:pPr>
    </w:p>
    <w:tbl>
      <w:tblPr>
        <w:tblStyle w:val="TableGrid10"/>
        <w:tblpPr w:leftFromText="180" w:rightFromText="180" w:vertAnchor="text" w:horzAnchor="margin" w:tblpX="108" w:tblpY="62"/>
        <w:tblW w:w="0" w:type="auto"/>
        <w:tblBorders>
          <w:insideV w:val="none" w:sz="0" w:space="0" w:color="auto"/>
        </w:tblBorders>
        <w:tblLook w:val="01E0" w:firstRow="1" w:lastRow="1" w:firstColumn="1" w:lastColumn="1" w:noHBand="0" w:noVBand="0"/>
      </w:tblPr>
      <w:tblGrid>
        <w:gridCol w:w="4361"/>
        <w:gridCol w:w="450"/>
        <w:gridCol w:w="2261"/>
        <w:gridCol w:w="2278"/>
      </w:tblGrid>
      <w:tr w:rsidR="0052386A" w:rsidRPr="003D26AF" w:rsidTr="002E7734">
        <w:trPr>
          <w:trHeight w:val="248"/>
        </w:trPr>
        <w:tc>
          <w:tcPr>
            <w:tcW w:w="4374" w:type="dxa"/>
            <w:vMerge w:val="restart"/>
            <w:tcBorders>
              <w:right w:val="single" w:sz="4" w:space="0" w:color="auto"/>
            </w:tcBorders>
          </w:tcPr>
          <w:p w:rsidR="0052386A" w:rsidRPr="003D26AF" w:rsidRDefault="0052386A" w:rsidP="002E7734">
            <w:pPr>
              <w:jc w:val="left"/>
              <w:rPr>
                <w:i/>
                <w:sz w:val="18"/>
                <w:szCs w:val="18"/>
                <w:lang w:val="en-CA"/>
              </w:rPr>
            </w:pPr>
            <w:r w:rsidRPr="003D26AF">
              <w:rPr>
                <w:b/>
                <w:caps/>
                <w:sz w:val="18"/>
                <w:szCs w:val="18"/>
                <w:lang w:val="en-CA"/>
              </w:rPr>
              <w:t>Current year Business Plan ALLOCATIONS</w:t>
            </w:r>
          </w:p>
        </w:tc>
        <w:tc>
          <w:tcPr>
            <w:tcW w:w="450" w:type="dxa"/>
            <w:tcBorders>
              <w:left w:val="single" w:sz="4" w:space="0" w:color="auto"/>
              <w:right w:val="single" w:sz="4" w:space="0" w:color="auto"/>
            </w:tcBorders>
          </w:tcPr>
          <w:p w:rsidR="0052386A" w:rsidRPr="003D26AF" w:rsidRDefault="0052386A" w:rsidP="002E7734">
            <w:pPr>
              <w:rPr>
                <w:i/>
                <w:sz w:val="18"/>
                <w:szCs w:val="18"/>
                <w:lang w:val="en-CA"/>
              </w:rPr>
            </w:pPr>
          </w:p>
        </w:tc>
        <w:tc>
          <w:tcPr>
            <w:tcW w:w="2268" w:type="dxa"/>
            <w:tcBorders>
              <w:left w:val="single" w:sz="4" w:space="0" w:color="auto"/>
              <w:right w:val="single" w:sz="4" w:space="0" w:color="auto"/>
            </w:tcBorders>
          </w:tcPr>
          <w:p w:rsidR="0052386A" w:rsidRPr="003D26AF" w:rsidRDefault="0052386A" w:rsidP="002E7734">
            <w:pPr>
              <w:jc w:val="center"/>
              <w:rPr>
                <w:b/>
                <w:i/>
                <w:sz w:val="18"/>
                <w:szCs w:val="18"/>
                <w:lang w:val="en-CA"/>
              </w:rPr>
            </w:pPr>
            <w:r w:rsidRPr="003D26AF">
              <w:rPr>
                <w:b/>
                <w:sz w:val="18"/>
                <w:szCs w:val="18"/>
                <w:lang w:val="en-CA"/>
              </w:rPr>
              <w:t xml:space="preserve">Funding </w:t>
            </w:r>
            <w:r w:rsidR="00897905">
              <w:rPr>
                <w:b/>
                <w:sz w:val="18"/>
                <w:szCs w:val="18"/>
                <w:lang w:val="en-CA"/>
              </w:rPr>
              <w:t>US $</w:t>
            </w:r>
          </w:p>
        </w:tc>
        <w:tc>
          <w:tcPr>
            <w:tcW w:w="2286" w:type="dxa"/>
            <w:tcBorders>
              <w:left w:val="single" w:sz="4" w:space="0" w:color="auto"/>
            </w:tcBorders>
          </w:tcPr>
          <w:p w:rsidR="0052386A" w:rsidRPr="003D26AF" w:rsidRDefault="0052386A" w:rsidP="002E7734">
            <w:pPr>
              <w:jc w:val="center"/>
              <w:rPr>
                <w:b/>
                <w:i/>
                <w:sz w:val="18"/>
                <w:szCs w:val="18"/>
                <w:lang w:val="en-CA"/>
              </w:rPr>
            </w:pPr>
            <w:r w:rsidRPr="003D26AF">
              <w:rPr>
                <w:b/>
                <w:sz w:val="18"/>
                <w:szCs w:val="18"/>
                <w:lang w:val="en-CA"/>
              </w:rPr>
              <w:t>Phase-out ODP tonnes</w:t>
            </w:r>
          </w:p>
        </w:tc>
      </w:tr>
      <w:tr w:rsidR="0052386A" w:rsidRPr="003D26AF" w:rsidTr="002E7734">
        <w:trPr>
          <w:trHeight w:val="172"/>
        </w:trPr>
        <w:tc>
          <w:tcPr>
            <w:tcW w:w="4374" w:type="dxa"/>
            <w:vMerge/>
            <w:tcBorders>
              <w:right w:val="single" w:sz="4" w:space="0" w:color="auto"/>
            </w:tcBorders>
          </w:tcPr>
          <w:p w:rsidR="0052386A" w:rsidRPr="003D26AF" w:rsidRDefault="0052386A" w:rsidP="002E7734">
            <w:pPr>
              <w:rPr>
                <w:sz w:val="18"/>
                <w:szCs w:val="18"/>
                <w:lang w:val="en-CA"/>
              </w:rPr>
            </w:pPr>
          </w:p>
        </w:tc>
        <w:tc>
          <w:tcPr>
            <w:tcW w:w="450" w:type="dxa"/>
            <w:tcBorders>
              <w:left w:val="single" w:sz="4" w:space="0" w:color="auto"/>
              <w:right w:val="single" w:sz="4" w:space="0" w:color="auto"/>
            </w:tcBorders>
          </w:tcPr>
          <w:p w:rsidR="0052386A" w:rsidRPr="003D26AF" w:rsidRDefault="0052386A" w:rsidP="002E7734">
            <w:pPr>
              <w:rPr>
                <w:sz w:val="18"/>
                <w:szCs w:val="18"/>
                <w:lang w:val="en-CA"/>
              </w:rPr>
            </w:pPr>
            <w:r w:rsidRPr="003D26AF">
              <w:rPr>
                <w:sz w:val="18"/>
                <w:szCs w:val="18"/>
                <w:lang w:val="en-CA"/>
              </w:rPr>
              <w:t>(a)</w:t>
            </w:r>
          </w:p>
        </w:tc>
        <w:tc>
          <w:tcPr>
            <w:tcW w:w="2268" w:type="dxa"/>
            <w:tcBorders>
              <w:left w:val="single" w:sz="4" w:space="0" w:color="auto"/>
              <w:right w:val="single" w:sz="4" w:space="0" w:color="auto"/>
            </w:tcBorders>
          </w:tcPr>
          <w:p w:rsidR="0052386A" w:rsidRPr="003D26AF" w:rsidRDefault="0052386A" w:rsidP="002E7734">
            <w:pPr>
              <w:jc w:val="right"/>
              <w:rPr>
                <w:sz w:val="18"/>
                <w:szCs w:val="18"/>
                <w:lang w:val="en-CA"/>
              </w:rPr>
            </w:pPr>
            <w:r w:rsidRPr="003D26AF">
              <w:rPr>
                <w:sz w:val="18"/>
                <w:szCs w:val="18"/>
                <w:lang w:val="en-CA"/>
              </w:rPr>
              <w:t>n/a</w:t>
            </w:r>
          </w:p>
        </w:tc>
        <w:tc>
          <w:tcPr>
            <w:tcW w:w="2286" w:type="dxa"/>
            <w:tcBorders>
              <w:left w:val="single" w:sz="4" w:space="0" w:color="auto"/>
            </w:tcBorders>
          </w:tcPr>
          <w:p w:rsidR="0052386A" w:rsidRPr="003D26AF" w:rsidRDefault="0052386A" w:rsidP="002E7734">
            <w:pPr>
              <w:jc w:val="right"/>
              <w:rPr>
                <w:sz w:val="18"/>
                <w:szCs w:val="18"/>
                <w:lang w:val="en-CA"/>
              </w:rPr>
            </w:pPr>
            <w:r w:rsidRPr="003D26AF">
              <w:rPr>
                <w:sz w:val="18"/>
                <w:szCs w:val="18"/>
                <w:lang w:val="en-CA"/>
              </w:rPr>
              <w:t>n/a</w:t>
            </w:r>
          </w:p>
        </w:tc>
      </w:tr>
    </w:tbl>
    <w:p w:rsidR="0052386A" w:rsidRPr="003D26AF" w:rsidRDefault="0052386A" w:rsidP="00897905">
      <w:pPr>
        <w:jc w:val="left"/>
        <w:rPr>
          <w:rFonts w:eastAsia="Calibri"/>
          <w:sz w:val="16"/>
          <w:szCs w:val="18"/>
          <w:lang w:val="en-C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4975"/>
        <w:gridCol w:w="1497"/>
        <w:gridCol w:w="1676"/>
      </w:tblGrid>
      <w:tr w:rsidR="0052386A" w:rsidRPr="003D26AF" w:rsidTr="002E7734">
        <w:trPr>
          <w:trHeight w:val="250"/>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b/>
                <w:sz w:val="18"/>
                <w:szCs w:val="18"/>
                <w:lang w:val="en-CA"/>
              </w:rPr>
            </w:pPr>
            <w:r w:rsidRPr="003D26AF">
              <w:rPr>
                <w:rFonts w:eastAsia="Calibri"/>
                <w:b/>
                <w:sz w:val="18"/>
                <w:szCs w:val="18"/>
                <w:lang w:val="en-CA"/>
              </w:rPr>
              <w:t>PROJECT TITLE:</w:t>
            </w:r>
          </w:p>
        </w:tc>
        <w:tc>
          <w:tcPr>
            <w:tcW w:w="3173" w:type="dxa"/>
            <w:gridSpan w:val="2"/>
            <w:tcBorders>
              <w:top w:val="single" w:sz="4" w:space="0" w:color="auto"/>
              <w:left w:val="single" w:sz="4" w:space="0" w:color="auto"/>
              <w:bottom w:val="single" w:sz="4" w:space="0" w:color="auto"/>
              <w:right w:val="single" w:sz="4" w:space="0" w:color="auto"/>
            </w:tcBorders>
          </w:tcPr>
          <w:p w:rsidR="0052386A" w:rsidRPr="003D26AF" w:rsidRDefault="00E87211"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center"/>
              <w:rPr>
                <w:rFonts w:eastAsia="Calibri"/>
                <w:sz w:val="18"/>
                <w:szCs w:val="18"/>
                <w:lang w:val="en-CA"/>
              </w:rPr>
            </w:pPr>
            <w:r>
              <w:rPr>
                <w:rFonts w:eastAsia="Calibri"/>
                <w:sz w:val="18"/>
                <w:szCs w:val="18"/>
                <w:lang w:val="en-CA"/>
              </w:rPr>
              <w:t>Army Factory</w:t>
            </w:r>
          </w:p>
        </w:tc>
      </w:tr>
      <w:tr w:rsidR="0052386A" w:rsidRPr="003D26AF" w:rsidTr="002E7734">
        <w:trPr>
          <w:trHeight w:val="239"/>
        </w:trPr>
        <w:tc>
          <w:tcPr>
            <w:tcW w:w="6187" w:type="dxa"/>
            <w:gridSpan w:val="2"/>
            <w:vMerge w:val="restart"/>
            <w:tcBorders>
              <w:top w:val="single" w:sz="4" w:space="0" w:color="auto"/>
              <w:left w:val="single" w:sz="4" w:space="0" w:color="auto"/>
              <w:right w:val="single" w:sz="4" w:space="0" w:color="auto"/>
            </w:tcBorders>
            <w:vAlign w:val="center"/>
          </w:tcPr>
          <w:p w:rsidR="0052386A" w:rsidRPr="003D26AF" w:rsidRDefault="0052386A" w:rsidP="000508A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HFC-134a used at</w:t>
            </w:r>
            <w:r w:rsidR="000508A0">
              <w:rPr>
                <w:rFonts w:eastAsia="Calibri"/>
                <w:sz w:val="18"/>
                <w:szCs w:val="18"/>
                <w:lang w:val="en-CA"/>
              </w:rPr>
              <w:t xml:space="preserve"> enterprise</w:t>
            </w:r>
            <w:r w:rsidRPr="003D26AF">
              <w:rPr>
                <w:rFonts w:eastAsia="Calibri"/>
                <w:sz w:val="18"/>
                <w:szCs w:val="18"/>
                <w:lang w:val="en-CA"/>
              </w:rPr>
              <w:t xml:space="preserve">: </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mt</w:t>
            </w: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55.5</w:t>
            </w:r>
          </w:p>
        </w:tc>
      </w:tr>
      <w:tr w:rsidR="0052386A" w:rsidRPr="003D26AF" w:rsidTr="002E7734">
        <w:trPr>
          <w:trHeight w:val="239"/>
        </w:trPr>
        <w:tc>
          <w:tcPr>
            <w:tcW w:w="6187" w:type="dxa"/>
            <w:gridSpan w:val="2"/>
            <w:vMerge/>
            <w:tcBorders>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mt CO</w:t>
            </w:r>
            <w:r w:rsidRPr="003D26AF">
              <w:rPr>
                <w:rFonts w:eastAsia="Calibri"/>
                <w:sz w:val="18"/>
                <w:szCs w:val="18"/>
                <w:vertAlign w:val="subscript"/>
                <w:lang w:val="en-CA"/>
              </w:rPr>
              <w:t>2</w:t>
            </w:r>
            <w:r w:rsidRPr="003D26AF">
              <w:rPr>
                <w:rFonts w:eastAsia="Calibri"/>
                <w:sz w:val="18"/>
                <w:szCs w:val="18"/>
                <w:lang w:val="en-CA"/>
              </w:rPr>
              <w:t>-eq.</w:t>
            </w: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79,365</w:t>
            </w:r>
          </w:p>
        </w:tc>
      </w:tr>
      <w:tr w:rsidR="0052386A" w:rsidRPr="003D26AF" w:rsidTr="002E7734">
        <w:trPr>
          <w:trHeight w:val="250"/>
        </w:trPr>
        <w:tc>
          <w:tcPr>
            <w:tcW w:w="6187" w:type="dxa"/>
            <w:gridSpan w:val="2"/>
            <w:vMerge w:val="restart"/>
            <w:tcBorders>
              <w:top w:val="single" w:sz="4" w:space="0" w:color="auto"/>
              <w:left w:val="single" w:sz="4" w:space="0" w:color="auto"/>
              <w:right w:val="single" w:sz="4" w:space="0" w:color="auto"/>
            </w:tcBorders>
            <w:vAlign w:val="center"/>
          </w:tcPr>
          <w:p w:rsidR="0052386A" w:rsidRPr="003D26AF" w:rsidRDefault="0052386A" w:rsidP="000508A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HFC-134a to be phased out through this project: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mt</w:t>
            </w: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55.5</w:t>
            </w:r>
          </w:p>
        </w:tc>
      </w:tr>
      <w:tr w:rsidR="0052386A" w:rsidRPr="003D26AF" w:rsidTr="002E7734">
        <w:trPr>
          <w:trHeight w:val="250"/>
        </w:trPr>
        <w:tc>
          <w:tcPr>
            <w:tcW w:w="6187" w:type="dxa"/>
            <w:gridSpan w:val="2"/>
            <w:vMerge/>
            <w:tcBorders>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mt CO</w:t>
            </w:r>
            <w:r w:rsidRPr="003D26AF">
              <w:rPr>
                <w:rFonts w:eastAsia="Calibri"/>
                <w:sz w:val="18"/>
                <w:szCs w:val="18"/>
                <w:vertAlign w:val="subscript"/>
                <w:lang w:val="en-CA"/>
              </w:rPr>
              <w:t>2</w:t>
            </w:r>
            <w:r w:rsidRPr="003D26AF">
              <w:rPr>
                <w:rFonts w:eastAsia="Calibri"/>
                <w:sz w:val="18"/>
                <w:szCs w:val="18"/>
                <w:lang w:val="en-CA"/>
              </w:rPr>
              <w:t>-eq.</w:t>
            </w: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79,365</w:t>
            </w:r>
          </w:p>
        </w:tc>
      </w:tr>
      <w:tr w:rsidR="0052386A" w:rsidRPr="003D26AF" w:rsidTr="002E7734">
        <w:trPr>
          <w:trHeight w:val="250"/>
        </w:trPr>
        <w:tc>
          <w:tcPr>
            <w:tcW w:w="6187" w:type="dxa"/>
            <w:gridSpan w:val="2"/>
            <w:vMerge w:val="restart"/>
            <w:tcBorders>
              <w:top w:val="single" w:sz="4" w:space="0" w:color="auto"/>
              <w:left w:val="single" w:sz="4" w:space="0" w:color="auto"/>
              <w:right w:val="single" w:sz="4" w:space="0" w:color="auto"/>
            </w:tcBorders>
            <w:vAlign w:val="center"/>
          </w:tcPr>
          <w:p w:rsidR="0052386A" w:rsidRPr="003D26AF" w:rsidRDefault="0052386A" w:rsidP="000508A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Pr>
                <w:rFonts w:eastAsia="Calibri"/>
                <w:sz w:val="18"/>
                <w:szCs w:val="18"/>
                <w:lang w:val="en-CA"/>
              </w:rPr>
              <w:t>HFO</w:t>
            </w:r>
            <w:r w:rsidRPr="003D26AF">
              <w:rPr>
                <w:rFonts w:eastAsia="Calibri"/>
                <w:sz w:val="18"/>
                <w:szCs w:val="18"/>
                <w:lang w:val="en-CA"/>
              </w:rPr>
              <w:t xml:space="preserve"> to be phased</w:t>
            </w:r>
            <w:r w:rsidR="006C3753">
              <w:rPr>
                <w:rFonts w:eastAsia="Calibri"/>
                <w:sz w:val="18"/>
                <w:szCs w:val="18"/>
                <w:lang w:val="en-CA"/>
              </w:rPr>
              <w:t xml:space="preserve"> in</w:t>
            </w:r>
            <w:r w:rsidRPr="003D26AF">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mt</w:t>
            </w: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35.52</w:t>
            </w:r>
          </w:p>
        </w:tc>
      </w:tr>
      <w:tr w:rsidR="0052386A" w:rsidRPr="003D26AF" w:rsidTr="002E7734">
        <w:trPr>
          <w:trHeight w:val="155"/>
        </w:trPr>
        <w:tc>
          <w:tcPr>
            <w:tcW w:w="6187" w:type="dxa"/>
            <w:gridSpan w:val="2"/>
            <w:vMerge/>
            <w:tcBorders>
              <w:left w:val="single" w:sz="4" w:space="0" w:color="auto"/>
              <w:bottom w:val="single" w:sz="4" w:space="0" w:color="auto"/>
              <w:right w:val="single" w:sz="4" w:space="0" w:color="auto"/>
            </w:tcBorders>
            <w:vAlign w:val="center"/>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mt CO</w:t>
            </w:r>
            <w:r w:rsidRPr="003D26AF">
              <w:rPr>
                <w:rFonts w:eastAsia="Calibri"/>
                <w:sz w:val="18"/>
                <w:szCs w:val="18"/>
                <w:vertAlign w:val="subscript"/>
                <w:lang w:val="en-CA"/>
              </w:rPr>
              <w:t>2</w:t>
            </w:r>
            <w:r w:rsidRPr="003D26AF">
              <w:rPr>
                <w:rFonts w:eastAsia="Calibri"/>
                <w:sz w:val="18"/>
                <w:szCs w:val="18"/>
                <w:lang w:val="en-CA"/>
              </w:rPr>
              <w:t>-eq.</w:t>
            </w: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107</w:t>
            </w:r>
          </w:p>
        </w:tc>
      </w:tr>
      <w:tr w:rsidR="0052386A" w:rsidRPr="003D26AF" w:rsidTr="002E7734">
        <w:trPr>
          <w:trHeight w:val="262"/>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Project duration (months):</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jc w:val="right"/>
              <w:rPr>
                <w:rFonts w:eastAsia="Calibri"/>
                <w:sz w:val="18"/>
                <w:szCs w:val="18"/>
                <w:lang w:val="en-CA"/>
              </w:rPr>
            </w:pPr>
            <w:r w:rsidRPr="003D26AF">
              <w:rPr>
                <w:rFonts w:eastAsia="Calibri"/>
                <w:sz w:val="18"/>
                <w:szCs w:val="18"/>
                <w:lang w:val="en-CA"/>
              </w:rPr>
              <w:t>24</w:t>
            </w:r>
          </w:p>
        </w:tc>
      </w:tr>
      <w:tr w:rsidR="0052386A" w:rsidRPr="003D26AF" w:rsidTr="002E7734">
        <w:trPr>
          <w:trHeight w:val="239"/>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Initial amount requested (</w:t>
            </w:r>
            <w:r w:rsidR="00897905">
              <w:rPr>
                <w:rFonts w:eastAsia="Calibri"/>
                <w:sz w:val="18"/>
                <w:szCs w:val="18"/>
                <w:lang w:val="en-CA"/>
              </w:rPr>
              <w:t>US $</w:t>
            </w:r>
            <w:r w:rsidRPr="003D26AF">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1,007,400</w:t>
            </w:r>
          </w:p>
        </w:tc>
      </w:tr>
      <w:tr w:rsidR="0052386A" w:rsidRPr="003D26AF" w:rsidTr="002E7734">
        <w:trPr>
          <w:trHeight w:val="250"/>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Final project costs (</w:t>
            </w:r>
            <w:r w:rsidR="00897905">
              <w:rPr>
                <w:rFonts w:eastAsia="Calibri"/>
                <w:sz w:val="18"/>
                <w:szCs w:val="18"/>
                <w:lang w:val="en-CA"/>
              </w:rPr>
              <w:t>US $</w:t>
            </w:r>
            <w:r w:rsidRPr="003D26AF">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r>
      <w:tr w:rsidR="0052386A" w:rsidRPr="003D26AF" w:rsidTr="002E7734">
        <w:trPr>
          <w:trHeight w:val="239"/>
        </w:trPr>
        <w:tc>
          <w:tcPr>
            <w:tcW w:w="1212" w:type="dxa"/>
            <w:tcBorders>
              <w:top w:val="single" w:sz="4" w:space="0" w:color="auto"/>
              <w:left w:val="single" w:sz="4" w:space="0" w:color="auto"/>
              <w:bottom w:val="single" w:sz="4" w:space="0" w:color="auto"/>
              <w:right w:val="nil"/>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4975" w:type="dxa"/>
            <w:tcBorders>
              <w:top w:val="single" w:sz="4" w:space="0" w:color="auto"/>
              <w:left w:val="nil"/>
              <w:bottom w:val="single" w:sz="4" w:space="0" w:color="auto"/>
              <w:right w:val="single" w:sz="4" w:space="0" w:color="auto"/>
            </w:tcBorders>
          </w:tcPr>
          <w:p w:rsidR="0052386A" w:rsidRPr="003D26AF" w:rsidRDefault="0052386A" w:rsidP="00897905">
            <w:pPr>
              <w:tabs>
                <w:tab w:val="left" w:pos="-717"/>
                <w:tab w:val="left" w:pos="5042"/>
                <w:tab w:val="left" w:pos="5762"/>
                <w:tab w:val="left" w:pos="6482"/>
                <w:tab w:val="left" w:pos="7202"/>
                <w:tab w:val="left" w:pos="7922"/>
              </w:tabs>
              <w:ind w:right="-108"/>
              <w:jc w:val="left"/>
              <w:rPr>
                <w:rFonts w:eastAsia="Calibri"/>
                <w:sz w:val="18"/>
                <w:szCs w:val="18"/>
                <w:lang w:val="en-CA"/>
              </w:rPr>
            </w:pPr>
            <w:r w:rsidRPr="003D26AF">
              <w:rPr>
                <w:rFonts w:eastAsia="Calibri"/>
                <w:sz w:val="18"/>
                <w:szCs w:val="18"/>
                <w:lang w:val="en-CA"/>
              </w:rPr>
              <w:t>Incremental capital cost: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left w:val="single" w:sz="4" w:space="0" w:color="auto"/>
              <w:right w:val="single" w:sz="4" w:space="0" w:color="auto"/>
            </w:tcBorders>
          </w:tcPr>
          <w:p w:rsidR="0052386A" w:rsidRPr="00B15EE6" w:rsidRDefault="0052386A" w:rsidP="00897905">
            <w:pPr>
              <w:jc w:val="right"/>
              <w:rPr>
                <w:rFonts w:eastAsia="Calibri"/>
                <w:sz w:val="18"/>
                <w:szCs w:val="18"/>
                <w:highlight w:val="yellow"/>
                <w:lang w:val="en-CA"/>
              </w:rPr>
            </w:pPr>
          </w:p>
        </w:tc>
      </w:tr>
      <w:tr w:rsidR="0052386A" w:rsidRPr="003D26AF" w:rsidTr="002E7734">
        <w:trPr>
          <w:trHeight w:val="250"/>
        </w:trPr>
        <w:tc>
          <w:tcPr>
            <w:tcW w:w="1212" w:type="dxa"/>
            <w:tcBorders>
              <w:top w:val="single" w:sz="4" w:space="0" w:color="auto"/>
              <w:left w:val="single" w:sz="4" w:space="0" w:color="auto"/>
              <w:bottom w:val="single" w:sz="4" w:space="0" w:color="auto"/>
              <w:right w:val="nil"/>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4975" w:type="dxa"/>
            <w:tcBorders>
              <w:top w:val="single" w:sz="4" w:space="0" w:color="auto"/>
              <w:left w:val="nil"/>
              <w:bottom w:val="single" w:sz="4" w:space="0" w:color="auto"/>
              <w:right w:val="single" w:sz="4" w:space="0" w:color="auto"/>
            </w:tcBorders>
          </w:tcPr>
          <w:p w:rsidR="0052386A" w:rsidRPr="003D26AF" w:rsidRDefault="0052386A" w:rsidP="00897905">
            <w:pPr>
              <w:tabs>
                <w:tab w:val="left" w:pos="-717"/>
                <w:tab w:val="left" w:pos="5042"/>
                <w:tab w:val="left" w:pos="5762"/>
                <w:tab w:val="left" w:pos="6482"/>
                <w:tab w:val="left" w:pos="7202"/>
                <w:tab w:val="left" w:pos="7922"/>
              </w:tabs>
              <w:ind w:right="2052"/>
              <w:jc w:val="left"/>
              <w:rPr>
                <w:rFonts w:eastAsia="Calibri"/>
                <w:sz w:val="18"/>
                <w:szCs w:val="18"/>
                <w:lang w:val="en-CA"/>
              </w:rPr>
            </w:pPr>
            <w:r w:rsidRPr="003D26AF">
              <w:rPr>
                <w:rFonts w:eastAsia="Calibri"/>
                <w:sz w:val="18"/>
                <w:szCs w:val="18"/>
                <w:lang w:val="en-CA"/>
              </w:rPr>
              <w:t>Contingency (10%):</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left w:val="single" w:sz="4" w:space="0" w:color="auto"/>
              <w:right w:val="single" w:sz="4" w:space="0" w:color="auto"/>
            </w:tcBorders>
          </w:tcPr>
          <w:p w:rsidR="0052386A" w:rsidRPr="00B15EE6" w:rsidRDefault="0052386A" w:rsidP="00897905">
            <w:pPr>
              <w:jc w:val="right"/>
              <w:rPr>
                <w:rFonts w:eastAsia="Calibri"/>
                <w:sz w:val="18"/>
                <w:szCs w:val="18"/>
                <w:highlight w:val="yellow"/>
                <w:lang w:val="en-CA"/>
              </w:rPr>
            </w:pPr>
          </w:p>
        </w:tc>
      </w:tr>
      <w:tr w:rsidR="0052386A" w:rsidRPr="003D26AF" w:rsidTr="002E7734">
        <w:trPr>
          <w:trHeight w:val="239"/>
        </w:trPr>
        <w:tc>
          <w:tcPr>
            <w:tcW w:w="1212" w:type="dxa"/>
            <w:tcBorders>
              <w:top w:val="single" w:sz="4" w:space="0" w:color="auto"/>
              <w:left w:val="single" w:sz="4" w:space="0" w:color="auto"/>
              <w:bottom w:val="single" w:sz="4" w:space="0" w:color="auto"/>
              <w:right w:val="nil"/>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4975" w:type="dxa"/>
            <w:tcBorders>
              <w:top w:val="single" w:sz="4" w:space="0" w:color="auto"/>
              <w:left w:val="nil"/>
              <w:bottom w:val="single" w:sz="4" w:space="0" w:color="auto"/>
              <w:right w:val="single" w:sz="4" w:space="0" w:color="auto"/>
            </w:tcBorders>
          </w:tcPr>
          <w:p w:rsidR="0052386A" w:rsidRPr="003D26AF" w:rsidRDefault="0052386A" w:rsidP="00897905">
            <w:pPr>
              <w:tabs>
                <w:tab w:val="left" w:pos="-717"/>
                <w:tab w:val="left" w:pos="5042"/>
                <w:tab w:val="left" w:pos="5762"/>
                <w:tab w:val="left" w:pos="6482"/>
                <w:tab w:val="left" w:pos="7202"/>
                <w:tab w:val="left" w:pos="7922"/>
              </w:tabs>
              <w:ind w:right="1422"/>
              <w:jc w:val="left"/>
              <w:rPr>
                <w:rFonts w:eastAsia="Calibri"/>
                <w:sz w:val="18"/>
                <w:szCs w:val="18"/>
                <w:lang w:val="en-CA"/>
              </w:rPr>
            </w:pPr>
            <w:r w:rsidRPr="003D26AF">
              <w:rPr>
                <w:rFonts w:eastAsia="Calibri"/>
                <w:sz w:val="18"/>
                <w:szCs w:val="18"/>
                <w:lang w:val="en-CA"/>
              </w:rPr>
              <w:t>Incremental operating cost: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left w:val="single" w:sz="4" w:space="0" w:color="auto"/>
              <w:right w:val="single" w:sz="4" w:space="0" w:color="auto"/>
            </w:tcBorders>
          </w:tcPr>
          <w:p w:rsidR="0052386A" w:rsidRPr="006A1102" w:rsidRDefault="0052386A" w:rsidP="00897905">
            <w:pPr>
              <w:jc w:val="right"/>
              <w:rPr>
                <w:rFonts w:eastAsia="Calibri"/>
                <w:sz w:val="18"/>
                <w:szCs w:val="18"/>
                <w:lang w:val="en-CA"/>
              </w:rPr>
            </w:pPr>
          </w:p>
        </w:tc>
      </w:tr>
      <w:tr w:rsidR="0052386A" w:rsidRPr="003D26AF" w:rsidTr="002E7734">
        <w:trPr>
          <w:trHeight w:val="250"/>
        </w:trPr>
        <w:tc>
          <w:tcPr>
            <w:tcW w:w="1212" w:type="dxa"/>
            <w:tcBorders>
              <w:top w:val="single" w:sz="4" w:space="0" w:color="auto"/>
              <w:left w:val="single" w:sz="4" w:space="0" w:color="auto"/>
              <w:bottom w:val="single" w:sz="4" w:space="0" w:color="auto"/>
              <w:right w:val="nil"/>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4975" w:type="dxa"/>
            <w:tcBorders>
              <w:top w:val="single" w:sz="4" w:space="0" w:color="auto"/>
              <w:left w:val="nil"/>
              <w:bottom w:val="single" w:sz="4" w:space="0" w:color="auto"/>
              <w:right w:val="single" w:sz="4" w:space="0" w:color="auto"/>
            </w:tcBorders>
          </w:tcPr>
          <w:p w:rsidR="0052386A" w:rsidRPr="003D26AF" w:rsidRDefault="0052386A" w:rsidP="00897905">
            <w:pPr>
              <w:tabs>
                <w:tab w:val="left" w:pos="-717"/>
                <w:tab w:val="left" w:pos="5042"/>
                <w:tab w:val="left" w:pos="5762"/>
                <w:tab w:val="left" w:pos="6482"/>
                <w:tab w:val="left" w:pos="7202"/>
                <w:tab w:val="left" w:pos="7922"/>
              </w:tabs>
              <w:ind w:right="2052"/>
              <w:jc w:val="left"/>
              <w:rPr>
                <w:rFonts w:eastAsia="Calibri"/>
                <w:sz w:val="18"/>
                <w:szCs w:val="18"/>
                <w:lang w:val="en-CA"/>
              </w:rPr>
            </w:pPr>
            <w:r w:rsidRPr="003D26AF">
              <w:rPr>
                <w:rFonts w:eastAsia="Calibri"/>
                <w:sz w:val="18"/>
                <w:szCs w:val="18"/>
                <w:lang w:val="en-CA"/>
              </w:rPr>
              <w:t xml:space="preserve">Total project cost: </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left w:val="single" w:sz="4" w:space="0" w:color="auto"/>
              <w:right w:val="single" w:sz="4" w:space="0" w:color="auto"/>
            </w:tcBorders>
          </w:tcPr>
          <w:p w:rsidR="0052386A" w:rsidRPr="006A1102" w:rsidRDefault="0052386A" w:rsidP="00897905">
            <w:pPr>
              <w:jc w:val="right"/>
              <w:rPr>
                <w:rFonts w:eastAsia="Calibri"/>
                <w:sz w:val="18"/>
                <w:szCs w:val="18"/>
                <w:lang w:val="en-CA"/>
              </w:rPr>
            </w:pPr>
          </w:p>
        </w:tc>
      </w:tr>
      <w:tr w:rsidR="0052386A" w:rsidRPr="003D26AF" w:rsidTr="002E7734">
        <w:trPr>
          <w:trHeight w:val="262"/>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Local ownership (%):</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widowControl w:val="0"/>
              <w:tabs>
                <w:tab w:val="center" w:pos="4320"/>
                <w:tab w:val="right" w:pos="8640"/>
                <w:tab w:val="left" w:pos="9000"/>
              </w:tabs>
              <w:jc w:val="right"/>
              <w:rPr>
                <w:rFonts w:eastAsia="Calibri"/>
                <w:snapToGrid w:val="0"/>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jc w:val="right"/>
              <w:rPr>
                <w:rFonts w:eastAsia="Calibri"/>
                <w:sz w:val="18"/>
                <w:szCs w:val="18"/>
                <w:lang w:val="en-CA"/>
              </w:rPr>
            </w:pPr>
            <w:r w:rsidRPr="006A1102">
              <w:rPr>
                <w:rFonts w:eastAsia="Calibri"/>
                <w:sz w:val="18"/>
                <w:szCs w:val="18"/>
                <w:lang w:val="en-CA"/>
              </w:rPr>
              <w:t>100</w:t>
            </w:r>
          </w:p>
        </w:tc>
      </w:tr>
      <w:tr w:rsidR="0052386A" w:rsidRPr="003D26AF" w:rsidTr="002E7734">
        <w:trPr>
          <w:trHeight w:val="239"/>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Export component (%):</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jc w:val="right"/>
              <w:rPr>
                <w:rFonts w:eastAsia="Calibri"/>
                <w:sz w:val="18"/>
                <w:szCs w:val="18"/>
                <w:lang w:val="en-CA"/>
              </w:rPr>
            </w:pPr>
            <w:r w:rsidRPr="006A1102">
              <w:rPr>
                <w:rFonts w:eastAsia="Calibri"/>
                <w:sz w:val="18"/>
                <w:szCs w:val="18"/>
                <w:lang w:val="en-CA"/>
              </w:rPr>
              <w:t>0</w:t>
            </w:r>
          </w:p>
        </w:tc>
      </w:tr>
      <w:tr w:rsidR="0052386A" w:rsidRPr="003D26AF" w:rsidTr="002E7734">
        <w:trPr>
          <w:trHeight w:val="250"/>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Requested grant (</w:t>
            </w:r>
            <w:r w:rsidR="00897905">
              <w:rPr>
                <w:rFonts w:eastAsia="Calibri"/>
                <w:sz w:val="18"/>
                <w:szCs w:val="18"/>
                <w:lang w:val="en-CA"/>
              </w:rPr>
              <w:t>US $</w:t>
            </w:r>
            <w:r w:rsidRPr="003D26AF">
              <w:rPr>
                <w:rFonts w:eastAsia="Calibri"/>
                <w:sz w:val="18"/>
                <w:szCs w:val="18"/>
                <w:lang w:val="en-CA"/>
              </w:rPr>
              <w:t>):</w:t>
            </w:r>
            <w:r w:rsidR="00911705">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jc w:val="right"/>
              <w:rPr>
                <w:rFonts w:eastAsia="Calibri"/>
                <w:sz w:val="18"/>
                <w:szCs w:val="18"/>
                <w:lang w:val="en-CA"/>
              </w:rPr>
            </w:pPr>
            <w:r w:rsidRPr="006A1102">
              <w:rPr>
                <w:rFonts w:eastAsia="Calibri"/>
                <w:sz w:val="18"/>
                <w:szCs w:val="18"/>
                <w:lang w:val="en-CA"/>
              </w:rPr>
              <w:t>1,007,400</w:t>
            </w:r>
          </w:p>
        </w:tc>
      </w:tr>
      <w:tr w:rsidR="0052386A" w:rsidRPr="003D26AF" w:rsidTr="002E7734">
        <w:trPr>
          <w:trHeight w:val="250"/>
        </w:trPr>
        <w:tc>
          <w:tcPr>
            <w:tcW w:w="6187" w:type="dxa"/>
            <w:gridSpan w:val="2"/>
            <w:vMerge w:val="restart"/>
            <w:tcBorders>
              <w:top w:val="single" w:sz="4" w:space="0" w:color="auto"/>
              <w:left w:val="single" w:sz="4" w:space="0" w:color="auto"/>
              <w:right w:val="single" w:sz="4" w:space="0" w:color="auto"/>
            </w:tcBorders>
            <w:vAlign w:val="center"/>
          </w:tcPr>
          <w:p w:rsidR="0052386A" w:rsidRPr="003D26AF" w:rsidRDefault="000508A0" w:rsidP="000508A0">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Pr>
                <w:rFonts w:eastAsia="Calibri"/>
                <w:sz w:val="18"/>
                <w:szCs w:val="18"/>
                <w:lang w:val="en-CA"/>
              </w:rPr>
              <w:t>Cost-effectiveness</w:t>
            </w:r>
            <w:r w:rsidR="006B4939">
              <w:rPr>
                <w:rFonts w:eastAsia="Calibri"/>
                <w:sz w:val="18"/>
                <w:szCs w:val="18"/>
                <w:lang w:val="en-CA"/>
              </w:rPr>
              <w:t>*</w:t>
            </w:r>
            <w:r>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897905"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Pr>
                <w:rFonts w:eastAsia="Calibri"/>
                <w:sz w:val="18"/>
                <w:szCs w:val="18"/>
                <w:lang w:val="en-CA"/>
              </w:rPr>
              <w:t>US $</w:t>
            </w:r>
            <w:r w:rsidR="0052386A" w:rsidRPr="003D26AF">
              <w:rPr>
                <w:rFonts w:eastAsia="Calibri"/>
                <w:sz w:val="18"/>
                <w:szCs w:val="18"/>
                <w:lang w:val="en-CA"/>
              </w:rPr>
              <w:t>/kg</w:t>
            </w: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sidRPr="006A1102">
              <w:rPr>
                <w:rFonts w:eastAsia="Calibri"/>
                <w:sz w:val="18"/>
                <w:szCs w:val="18"/>
                <w:lang w:val="en-CA"/>
              </w:rPr>
              <w:t>18.15</w:t>
            </w:r>
          </w:p>
        </w:tc>
      </w:tr>
      <w:tr w:rsidR="0052386A" w:rsidRPr="003D26AF" w:rsidTr="002E7734">
        <w:trPr>
          <w:trHeight w:val="213"/>
        </w:trPr>
        <w:tc>
          <w:tcPr>
            <w:tcW w:w="6187" w:type="dxa"/>
            <w:gridSpan w:val="2"/>
            <w:vMerge/>
            <w:tcBorders>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897905"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Pr>
                <w:rFonts w:eastAsia="Calibri"/>
                <w:sz w:val="18"/>
                <w:szCs w:val="18"/>
                <w:lang w:val="en-CA"/>
              </w:rPr>
              <w:t>US $</w:t>
            </w:r>
            <w:r w:rsidR="0052386A" w:rsidRPr="003D26AF">
              <w:rPr>
                <w:rFonts w:eastAsia="Calibri"/>
                <w:sz w:val="18"/>
                <w:szCs w:val="18"/>
                <w:lang w:val="en-CA"/>
              </w:rPr>
              <w:t>/mt CO</w:t>
            </w:r>
            <w:r w:rsidR="0052386A" w:rsidRPr="003D26AF">
              <w:rPr>
                <w:rFonts w:eastAsia="Calibri"/>
                <w:sz w:val="18"/>
                <w:szCs w:val="18"/>
                <w:vertAlign w:val="subscript"/>
                <w:lang w:val="en-CA"/>
              </w:rPr>
              <w:t>2</w:t>
            </w:r>
            <w:r w:rsidR="0052386A" w:rsidRPr="003D26AF">
              <w:rPr>
                <w:rFonts w:eastAsia="Calibri"/>
                <w:sz w:val="18"/>
                <w:szCs w:val="18"/>
                <w:lang w:val="en-CA"/>
              </w:rPr>
              <w:t>-eq.</w:t>
            </w: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12.71</w:t>
            </w:r>
          </w:p>
        </w:tc>
      </w:tr>
      <w:tr w:rsidR="0052386A" w:rsidRPr="003D26AF" w:rsidTr="002E7734">
        <w:trPr>
          <w:trHeight w:val="239"/>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Implementing agency support cost (</w:t>
            </w:r>
            <w:r w:rsidR="00897905">
              <w:rPr>
                <w:rFonts w:eastAsia="Calibri"/>
                <w:sz w:val="18"/>
                <w:szCs w:val="18"/>
                <w:lang w:val="en-CA"/>
              </w:rPr>
              <w:t>US $</w:t>
            </w:r>
            <w:r w:rsidRPr="003D26AF">
              <w:rPr>
                <w:rFonts w:eastAsia="Calibri"/>
                <w:sz w:val="18"/>
                <w:szCs w:val="18"/>
                <w:lang w:val="en-CA"/>
              </w:rPr>
              <w:t>):</w:t>
            </w:r>
            <w:r w:rsidR="006B4939">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70,518</w:t>
            </w:r>
          </w:p>
        </w:tc>
      </w:tr>
      <w:tr w:rsidR="0052386A" w:rsidRPr="003D26AF" w:rsidTr="002E7734">
        <w:trPr>
          <w:trHeight w:val="250"/>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Total cost of project to Multilateral Fund (</w:t>
            </w:r>
            <w:r w:rsidR="00897905">
              <w:rPr>
                <w:rFonts w:eastAsia="Calibri"/>
                <w:sz w:val="18"/>
                <w:szCs w:val="18"/>
                <w:lang w:val="en-CA"/>
              </w:rPr>
              <w:t>US $</w:t>
            </w:r>
            <w:r w:rsidRPr="003D26AF">
              <w:rPr>
                <w:rFonts w:eastAsia="Calibri"/>
                <w:sz w:val="18"/>
                <w:szCs w:val="18"/>
                <w:lang w:val="en-CA"/>
              </w:rPr>
              <w:t>):</w:t>
            </w:r>
            <w:r w:rsidR="006B4939">
              <w:rPr>
                <w:rFonts w:eastAsia="Calibri"/>
                <w:sz w:val="18"/>
                <w:szCs w:val="18"/>
                <w:lang w:val="en-CA"/>
              </w:rPr>
              <w:t>*</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6A1102"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Pr>
                <w:rFonts w:eastAsia="Calibri"/>
                <w:sz w:val="18"/>
                <w:szCs w:val="18"/>
                <w:lang w:val="en-CA"/>
              </w:rPr>
              <w:t>1,077,918</w:t>
            </w:r>
          </w:p>
        </w:tc>
      </w:tr>
      <w:tr w:rsidR="0052386A" w:rsidRPr="003D26AF" w:rsidTr="002E7734">
        <w:trPr>
          <w:trHeight w:val="239"/>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Status of counterpart funding (Y/N):</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sidRPr="006A1102">
              <w:rPr>
                <w:rFonts w:eastAsia="Calibri"/>
                <w:sz w:val="18"/>
                <w:szCs w:val="18"/>
                <w:lang w:val="en-CA"/>
              </w:rPr>
              <w:t>N</w:t>
            </w:r>
          </w:p>
        </w:tc>
      </w:tr>
      <w:tr w:rsidR="0052386A" w:rsidRPr="003D26AF" w:rsidTr="002E7734">
        <w:trPr>
          <w:trHeight w:val="250"/>
        </w:trPr>
        <w:tc>
          <w:tcPr>
            <w:tcW w:w="6187" w:type="dxa"/>
            <w:gridSpan w:val="2"/>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left"/>
              <w:rPr>
                <w:rFonts w:eastAsia="Calibri"/>
                <w:sz w:val="18"/>
                <w:szCs w:val="18"/>
                <w:lang w:val="en-CA"/>
              </w:rPr>
            </w:pPr>
            <w:r w:rsidRPr="003D26AF">
              <w:rPr>
                <w:rFonts w:eastAsia="Calibri"/>
                <w:sz w:val="18"/>
                <w:szCs w:val="18"/>
                <w:lang w:val="en-CA"/>
              </w:rPr>
              <w:t>Project monitoring milestones included (Y/N):</w:t>
            </w:r>
          </w:p>
        </w:tc>
        <w:tc>
          <w:tcPr>
            <w:tcW w:w="1497" w:type="dxa"/>
            <w:tcBorders>
              <w:top w:val="single" w:sz="4" w:space="0" w:color="auto"/>
              <w:left w:val="single" w:sz="4" w:space="0" w:color="auto"/>
              <w:bottom w:val="single" w:sz="4" w:space="0" w:color="auto"/>
              <w:right w:val="single" w:sz="4" w:space="0" w:color="auto"/>
            </w:tcBorders>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p>
        </w:tc>
        <w:tc>
          <w:tcPr>
            <w:tcW w:w="1676" w:type="dxa"/>
            <w:tcBorders>
              <w:top w:val="single" w:sz="4" w:space="0" w:color="auto"/>
              <w:left w:val="single" w:sz="4" w:space="0" w:color="auto"/>
              <w:bottom w:val="single" w:sz="4" w:space="0" w:color="auto"/>
              <w:right w:val="single" w:sz="4" w:space="0" w:color="auto"/>
            </w:tcBorders>
          </w:tcPr>
          <w:p w:rsidR="0052386A" w:rsidRPr="006A1102"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jc w:val="right"/>
              <w:rPr>
                <w:rFonts w:eastAsia="Calibri"/>
                <w:sz w:val="18"/>
                <w:szCs w:val="18"/>
                <w:lang w:val="en-CA"/>
              </w:rPr>
            </w:pPr>
            <w:r w:rsidRPr="006A1102">
              <w:rPr>
                <w:rFonts w:eastAsia="Calibri"/>
                <w:sz w:val="18"/>
                <w:szCs w:val="18"/>
                <w:lang w:val="en-CA"/>
              </w:rPr>
              <w:t>Y</w:t>
            </w:r>
          </w:p>
        </w:tc>
      </w:tr>
      <w:tr w:rsidR="0052386A" w:rsidRPr="003D26AF" w:rsidTr="002E7734">
        <w:trPr>
          <w:trHeight w:val="296"/>
        </w:trPr>
        <w:tc>
          <w:tcPr>
            <w:tcW w:w="6187" w:type="dxa"/>
            <w:gridSpan w:val="2"/>
            <w:tcBorders>
              <w:top w:val="single" w:sz="4" w:space="0" w:color="auto"/>
              <w:left w:val="single" w:sz="4" w:space="0" w:color="auto"/>
              <w:bottom w:val="single" w:sz="4" w:space="0" w:color="auto"/>
              <w:right w:val="single" w:sz="4" w:space="0" w:color="auto"/>
            </w:tcBorders>
            <w:vAlign w:val="center"/>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160"/>
              <w:jc w:val="left"/>
              <w:rPr>
                <w:rFonts w:eastAsia="Calibri"/>
                <w:b/>
                <w:sz w:val="18"/>
                <w:szCs w:val="18"/>
                <w:lang w:val="en-CA"/>
              </w:rPr>
            </w:pPr>
            <w:r w:rsidRPr="003D26AF">
              <w:rPr>
                <w:rFonts w:eastAsia="Calibri"/>
                <w:b/>
                <w:sz w:val="18"/>
                <w:szCs w:val="18"/>
                <w:lang w:val="en-CA"/>
              </w:rPr>
              <w:t>SECRETARIAT’S RECOMMENDATION</w:t>
            </w:r>
          </w:p>
        </w:tc>
        <w:tc>
          <w:tcPr>
            <w:tcW w:w="3173" w:type="dxa"/>
            <w:gridSpan w:val="2"/>
            <w:tcBorders>
              <w:top w:val="single" w:sz="4" w:space="0" w:color="auto"/>
              <w:left w:val="single" w:sz="4" w:space="0" w:color="auto"/>
              <w:bottom w:val="single" w:sz="4" w:space="0" w:color="auto"/>
              <w:right w:val="single" w:sz="4" w:space="0" w:color="auto"/>
            </w:tcBorders>
            <w:vAlign w:val="bottom"/>
          </w:tcPr>
          <w:p w:rsidR="0052386A" w:rsidRPr="003D26AF" w:rsidRDefault="0052386A" w:rsidP="00897905">
            <w:pPr>
              <w:tabs>
                <w:tab w:val="left" w:pos="-717"/>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160"/>
              <w:jc w:val="center"/>
              <w:rPr>
                <w:rFonts w:eastAsia="Calibri"/>
                <w:sz w:val="18"/>
                <w:szCs w:val="18"/>
                <w:lang w:val="en-CA"/>
              </w:rPr>
            </w:pPr>
            <w:r w:rsidRPr="003D26AF">
              <w:rPr>
                <w:rFonts w:eastAsia="Calibri"/>
                <w:sz w:val="18"/>
                <w:szCs w:val="18"/>
                <w:lang w:val="en-CA"/>
              </w:rPr>
              <w:t>For individual consideration</w:t>
            </w:r>
          </w:p>
        </w:tc>
      </w:tr>
    </w:tbl>
    <w:p w:rsidR="00911705" w:rsidRPr="00911705" w:rsidRDefault="00911705" w:rsidP="00911705">
      <w:pPr>
        <w:rPr>
          <w:sz w:val="20"/>
        </w:rPr>
      </w:pPr>
      <w:r w:rsidRPr="00911705">
        <w:rPr>
          <w:b/>
          <w:sz w:val="20"/>
        </w:rPr>
        <w:t>*</w:t>
      </w:r>
      <w:r w:rsidRPr="00911705">
        <w:rPr>
          <w:sz w:val="20"/>
        </w:rPr>
        <w:t xml:space="preserve"> As submitted.</w:t>
      </w:r>
    </w:p>
    <w:p w:rsidR="002E7734" w:rsidRDefault="002E7734">
      <w:pPr>
        <w:jc w:val="left"/>
        <w:rPr>
          <w:b/>
          <w:caps/>
          <w:sz w:val="20"/>
        </w:rPr>
      </w:pPr>
      <w:r>
        <w:rPr>
          <w:b/>
          <w:caps/>
          <w:sz w:val="20"/>
        </w:rPr>
        <w:br w:type="page"/>
      </w:r>
    </w:p>
    <w:p w:rsidR="00945F98" w:rsidRPr="00945F98" w:rsidRDefault="00945F98" w:rsidP="00897905">
      <w:pPr>
        <w:spacing w:after="240"/>
        <w:jc w:val="center"/>
        <w:outlineLvl w:val="0"/>
        <w:rPr>
          <w:b/>
        </w:rPr>
      </w:pPr>
      <w:r w:rsidRPr="00945F98">
        <w:rPr>
          <w:b/>
        </w:rPr>
        <w:lastRenderedPageBreak/>
        <w:t>PROJECT DESCRIPTION</w:t>
      </w:r>
    </w:p>
    <w:p w:rsidR="00945F98" w:rsidRPr="00ED25A9" w:rsidRDefault="00945F98" w:rsidP="00DD57D3">
      <w:pPr>
        <w:pStyle w:val="Heading1"/>
      </w:pPr>
      <w:r w:rsidRPr="00945F98">
        <w:t xml:space="preserve">On behalf of the Government of Egypt, UNDP has submitted a project proposal to convert the manufacturing </w:t>
      </w:r>
      <w:r w:rsidR="009C1BA2">
        <w:t xml:space="preserve">of </w:t>
      </w:r>
      <w:r w:rsidRPr="00945F98">
        <w:t>discontinuous panels</w:t>
      </w:r>
      <w:r w:rsidR="00B15EE6">
        <w:t xml:space="preserve"> using HFC-13a as foam-blowing agent to HFOs</w:t>
      </w:r>
      <w:r w:rsidRPr="00945F98">
        <w:t xml:space="preserve"> in Army Factory,</w:t>
      </w:r>
      <w:r w:rsidR="006C3753">
        <w:t> </w:t>
      </w:r>
      <w:r w:rsidRPr="00ED25A9">
        <w:t xml:space="preserve">Egypt at a total cost of </w:t>
      </w:r>
      <w:r w:rsidR="00897905" w:rsidRPr="00ED25A9">
        <w:t>US $</w:t>
      </w:r>
      <w:r w:rsidRPr="00ED25A9">
        <w:t>1,0</w:t>
      </w:r>
      <w:r w:rsidR="00722A46" w:rsidRPr="00ED25A9">
        <w:t>0</w:t>
      </w:r>
      <w:r w:rsidRPr="00ED25A9">
        <w:t>7,</w:t>
      </w:r>
      <w:r w:rsidR="00911705">
        <w:t>400</w:t>
      </w:r>
      <w:r w:rsidRPr="00ED25A9">
        <w:t xml:space="preserve">, </w:t>
      </w:r>
      <w:r w:rsidR="00722A46" w:rsidRPr="00ED25A9">
        <w:t>plus</w:t>
      </w:r>
      <w:r w:rsidRPr="00ED25A9">
        <w:t xml:space="preserve"> agency support costs of </w:t>
      </w:r>
      <w:r w:rsidR="00897905" w:rsidRPr="00ED25A9">
        <w:t>US $</w:t>
      </w:r>
      <w:r w:rsidRPr="00ED25A9">
        <w:t>70,518</w:t>
      </w:r>
      <w:r w:rsidR="00722A46" w:rsidRPr="00ED25A9">
        <w:t>, as originally submitted including</w:t>
      </w:r>
      <w:r w:rsidRPr="00ED25A9">
        <w:t xml:space="preserve">. </w:t>
      </w:r>
      <w:r w:rsidR="002E7734" w:rsidRPr="00ED25A9">
        <w:t>At the 80</w:t>
      </w:r>
      <w:r w:rsidR="002E7734" w:rsidRPr="00ED25A9">
        <w:rPr>
          <w:vertAlign w:val="superscript"/>
        </w:rPr>
        <w:t>th</w:t>
      </w:r>
      <w:r w:rsidR="002E7734" w:rsidRPr="00ED25A9">
        <w:t xml:space="preserve"> meeting, US $30,000, plus agency support costs of US $</w:t>
      </w:r>
      <w:r w:rsidR="00ED25A9" w:rsidRPr="00ED25A9">
        <w:t>2,100</w:t>
      </w:r>
      <w:r w:rsidR="002E7734" w:rsidRPr="00ED25A9">
        <w:t xml:space="preserve">, was approved for the </w:t>
      </w:r>
      <w:r w:rsidR="00E14C88" w:rsidRPr="00ED25A9">
        <w:t xml:space="preserve">preparation </w:t>
      </w:r>
      <w:r w:rsidR="002E7734" w:rsidRPr="00ED25A9">
        <w:t>of this project</w:t>
      </w:r>
      <w:r w:rsidR="00E14C88" w:rsidRPr="00ED25A9">
        <w:t>.</w:t>
      </w:r>
    </w:p>
    <w:p w:rsidR="00E14C88" w:rsidRPr="00E14C88" w:rsidRDefault="00945F98" w:rsidP="00DD57D3">
      <w:pPr>
        <w:pStyle w:val="Heading1"/>
        <w:rPr>
          <w:u w:val="single"/>
        </w:rPr>
      </w:pPr>
      <w:r w:rsidRPr="00945F98">
        <w:t xml:space="preserve">In line with decisions 78/3(g) and 79/45, the endorsement letter from the Government of </w:t>
      </w:r>
      <w:r w:rsidR="0073709D">
        <w:t>Egypt</w:t>
      </w:r>
      <w:r w:rsidRPr="00945F98">
        <w:t xml:space="preserve"> for the project indicates the Government’s intention to ratify Kigali Amendment</w:t>
      </w:r>
      <w:r w:rsidR="002E7734">
        <w:t>;</w:t>
      </w:r>
      <w:r w:rsidRPr="00945F98">
        <w:rPr>
          <w:vertAlign w:val="superscript"/>
        </w:rPr>
        <w:footnoteReference w:id="1"/>
      </w:r>
      <w:r w:rsidRPr="00945F98">
        <w:t xml:space="preserve"> that the Government is aware that no further funding would be available until the instrument of ratification of the Kigali Amendment had been received by the depositary at the United Nations Headquarters in New York, if this project would be approved by the Executive Committee; and that the Government acknowledges that in case this project is approved, any HFC reduced would be deducted from its starting point (which may be agreed in the future). </w:t>
      </w:r>
    </w:p>
    <w:p w:rsidR="00945F98" w:rsidRPr="00945F98" w:rsidRDefault="00945F98" w:rsidP="00897905">
      <w:pPr>
        <w:rPr>
          <w:u w:val="single"/>
        </w:rPr>
      </w:pPr>
      <w:r w:rsidRPr="00945F98">
        <w:rPr>
          <w:u w:val="single"/>
        </w:rPr>
        <w:t>HFC consumption and sector background</w:t>
      </w:r>
    </w:p>
    <w:p w:rsidR="00074195" w:rsidRDefault="00722A46" w:rsidP="00DD57D3">
      <w:pPr>
        <w:pStyle w:val="Heading1"/>
      </w:pPr>
      <w:r>
        <w:t xml:space="preserve">The project proposal did not include information on total HFC consumption nor </w:t>
      </w:r>
      <w:r w:rsidR="00E42B08" w:rsidRPr="00945F98">
        <w:t xml:space="preserve">information </w:t>
      </w:r>
      <w:r w:rsidR="00E42B08">
        <w:t>on HFC-134a consumption</w:t>
      </w:r>
      <w:r w:rsidR="00E42B08" w:rsidRPr="00E42B08">
        <w:t xml:space="preserve"> </w:t>
      </w:r>
      <w:r w:rsidR="00E42B08" w:rsidRPr="00945F98">
        <w:t xml:space="preserve">in </w:t>
      </w:r>
      <w:r w:rsidR="00E42B08">
        <w:t xml:space="preserve">the </w:t>
      </w:r>
      <w:r w:rsidR="00074195">
        <w:t>polyurethane (</w:t>
      </w:r>
      <w:r w:rsidR="00E42B08" w:rsidRPr="00945F98">
        <w:t>PU</w:t>
      </w:r>
      <w:r w:rsidR="00074195">
        <w:t>)</w:t>
      </w:r>
      <w:r w:rsidR="00E42B08" w:rsidRPr="00945F98">
        <w:t xml:space="preserve"> foam industry</w:t>
      </w:r>
      <w:r w:rsidR="00074195">
        <w:t xml:space="preserve"> in Egypt</w:t>
      </w:r>
      <w:r w:rsidR="00E42B08">
        <w:t xml:space="preserve">. </w:t>
      </w:r>
      <w:r w:rsidR="00074195" w:rsidRPr="00945F98">
        <w:t xml:space="preserve">The project </w:t>
      </w:r>
      <w:r w:rsidR="00074195">
        <w:t>proposed</w:t>
      </w:r>
      <w:r w:rsidR="00074195" w:rsidRPr="00945F98">
        <w:t xml:space="preserve"> indicate</w:t>
      </w:r>
      <w:r w:rsidR="00074195">
        <w:t>d</w:t>
      </w:r>
      <w:r w:rsidR="00074195" w:rsidRPr="00945F98">
        <w:t xml:space="preserve"> that there is at least one </w:t>
      </w:r>
      <w:r w:rsidR="00074195">
        <w:t>other foam manufacturer</w:t>
      </w:r>
      <w:r w:rsidR="00074195" w:rsidRPr="00945F98">
        <w:t xml:space="preserve"> in </w:t>
      </w:r>
      <w:r w:rsidR="00074195">
        <w:t>Egypt using HFCs; but it did not include information on the type of HFC being used and the level of consumption.</w:t>
      </w:r>
      <w:r w:rsidR="00897905">
        <w:t xml:space="preserve"> </w:t>
      </w:r>
    </w:p>
    <w:p w:rsidR="00074195" w:rsidRPr="00074195" w:rsidRDefault="00074195" w:rsidP="00DD57D3">
      <w:pPr>
        <w:spacing w:after="240"/>
        <w:outlineLvl w:val="0"/>
        <w:rPr>
          <w:i/>
        </w:rPr>
      </w:pPr>
      <w:r w:rsidRPr="00074195">
        <w:rPr>
          <w:i/>
        </w:rPr>
        <w:t>Global use of HFC-134a in the foam sector</w:t>
      </w:r>
    </w:p>
    <w:p w:rsidR="002E7734" w:rsidRDefault="00530A59" w:rsidP="00DD57D3">
      <w:pPr>
        <w:pStyle w:val="Heading1"/>
      </w:pPr>
      <w:r>
        <w:t xml:space="preserve">Based on </w:t>
      </w:r>
      <w:r w:rsidR="00DD65CA">
        <w:t>the</w:t>
      </w:r>
      <w:r>
        <w:t xml:space="preserve"> TEAP</w:t>
      </w:r>
      <w:r w:rsidR="005D61B8">
        <w:t xml:space="preserve"> </w:t>
      </w:r>
      <w:r w:rsidR="002E7734">
        <w:t xml:space="preserve">Task Force Report submitted to </w:t>
      </w:r>
      <w:r w:rsidR="005D61B8">
        <w:t xml:space="preserve">the </w:t>
      </w:r>
      <w:r w:rsidR="002E7734">
        <w:t xml:space="preserve">Twenty-eighth </w:t>
      </w:r>
      <w:r w:rsidR="005D61B8">
        <w:t>Meeting of the Parties</w:t>
      </w:r>
      <w:r w:rsidR="002E7734">
        <w:t>,</w:t>
      </w:r>
      <w:r w:rsidR="00724233">
        <w:rPr>
          <w:rStyle w:val="FootnoteReference"/>
        </w:rPr>
        <w:footnoteReference w:id="2"/>
      </w:r>
      <w:r>
        <w:t xml:space="preserve"> </w:t>
      </w:r>
      <w:r w:rsidR="002E7734">
        <w:t xml:space="preserve">in 2015 </w:t>
      </w:r>
      <w:r w:rsidR="00074195">
        <w:t>the</w:t>
      </w:r>
      <w:r w:rsidR="005D61B8">
        <w:t xml:space="preserve"> </w:t>
      </w:r>
      <w:r>
        <w:t>consumption of HFC</w:t>
      </w:r>
      <w:r w:rsidR="005D61B8">
        <w:t xml:space="preserve">-134a in the foam sector </w:t>
      </w:r>
      <w:r w:rsidR="00074195">
        <w:t>in Article 5 countries amount</w:t>
      </w:r>
      <w:r w:rsidR="002E7734">
        <w:t>ed</w:t>
      </w:r>
      <w:r w:rsidR="00074195">
        <w:t xml:space="preserve"> to 3,364 </w:t>
      </w:r>
      <w:r w:rsidR="002E7734">
        <w:t>metric tonnes (</w:t>
      </w:r>
      <w:r w:rsidR="00074195">
        <w:t>mt</w:t>
      </w:r>
      <w:r w:rsidR="002E7734">
        <w:t>)</w:t>
      </w:r>
      <w:r w:rsidR="00074195">
        <w:t xml:space="preserve">, </w:t>
      </w:r>
      <w:r w:rsidR="002E7734">
        <w:t xml:space="preserve">representing </w:t>
      </w:r>
      <w:r w:rsidR="00074195">
        <w:t>4.2 per cent of total HFC-134a consumption</w:t>
      </w:r>
      <w:r w:rsidR="002E7734">
        <w:t>. T</w:t>
      </w:r>
      <w:r w:rsidR="00074195">
        <w:t xml:space="preserve">his amount </w:t>
      </w:r>
      <w:r w:rsidR="002E7734">
        <w:t xml:space="preserve">represented the total </w:t>
      </w:r>
      <w:r w:rsidR="00074195">
        <w:t xml:space="preserve">consumption </w:t>
      </w:r>
      <w:r w:rsidR="002E7734">
        <w:t xml:space="preserve">used as a blowing agent for </w:t>
      </w:r>
      <w:r w:rsidR="00074195">
        <w:t>extruded polystyrene (XPS) and PU foam</w:t>
      </w:r>
      <w:r w:rsidR="002E7734">
        <w:t>s,</w:t>
      </w:r>
      <w:r w:rsidR="00724233">
        <w:t xml:space="preserve"> though the</w:t>
      </w:r>
      <w:r w:rsidR="00B15EE6">
        <w:t>ir</w:t>
      </w:r>
      <w:r w:rsidR="00724233">
        <w:t xml:space="preserve"> relative proportions of HFC-134a consumption is not available</w:t>
      </w:r>
      <w:r w:rsidR="00074195">
        <w:t>.</w:t>
      </w:r>
      <w:r w:rsidR="00897905">
        <w:t xml:space="preserve"> </w:t>
      </w:r>
    </w:p>
    <w:p w:rsidR="00CB2A0C" w:rsidRDefault="00074195" w:rsidP="00DD57D3">
      <w:pPr>
        <w:pStyle w:val="Heading1"/>
      </w:pPr>
      <w:r>
        <w:t xml:space="preserve">Information from </w:t>
      </w:r>
      <w:r w:rsidR="00FA496B">
        <w:t xml:space="preserve">the surveys on </w:t>
      </w:r>
      <w:r>
        <w:t xml:space="preserve">ODS alternatives for 119 </w:t>
      </w:r>
      <w:r w:rsidR="00FA496B">
        <w:t xml:space="preserve">Article 5 </w:t>
      </w:r>
      <w:r>
        <w:t>countries submitted to the 80</w:t>
      </w:r>
      <w:r w:rsidRPr="00074195">
        <w:rPr>
          <w:vertAlign w:val="superscript"/>
        </w:rPr>
        <w:t>th</w:t>
      </w:r>
      <w:r w:rsidR="000508A0">
        <w:rPr>
          <w:vertAlign w:val="superscript"/>
        </w:rPr>
        <w:t> </w:t>
      </w:r>
      <w:r>
        <w:t>meeting</w:t>
      </w:r>
      <w:r w:rsidR="00FA496B">
        <w:t>,</w:t>
      </w:r>
      <w:r w:rsidR="00FA496B">
        <w:rPr>
          <w:rStyle w:val="FootnoteReference"/>
        </w:rPr>
        <w:footnoteReference w:id="3"/>
      </w:r>
      <w:r>
        <w:t xml:space="preserve"> shows that </w:t>
      </w:r>
      <w:r w:rsidR="00FA496B">
        <w:t xml:space="preserve">the </w:t>
      </w:r>
      <w:r>
        <w:t xml:space="preserve">consumption of HFC-134a in </w:t>
      </w:r>
      <w:r w:rsidR="00FA496B">
        <w:t xml:space="preserve">the </w:t>
      </w:r>
      <w:r>
        <w:t>foam sector account</w:t>
      </w:r>
      <w:r w:rsidR="00FA496B">
        <w:t>ed</w:t>
      </w:r>
      <w:r>
        <w:t xml:space="preserve"> for 1.4</w:t>
      </w:r>
      <w:r w:rsidR="00B15EE6">
        <w:t>6</w:t>
      </w:r>
      <w:r>
        <w:t xml:space="preserve"> per cent of the total HFC-134a consumption</w:t>
      </w:r>
      <w:r w:rsidR="00FA496B">
        <w:t xml:space="preserve"> in 2015. F</w:t>
      </w:r>
      <w:r>
        <w:t xml:space="preserve">urther, it is also noted that only </w:t>
      </w:r>
      <w:r w:rsidR="00724233">
        <w:t>four</w:t>
      </w:r>
      <w:r>
        <w:t xml:space="preserve"> countries</w:t>
      </w:r>
      <w:r w:rsidR="00724233">
        <w:t xml:space="preserve"> </w:t>
      </w:r>
      <w:r w:rsidR="00FA496B">
        <w:t>(of</w:t>
      </w:r>
      <w:r w:rsidR="006C3753">
        <w:t> </w:t>
      </w:r>
      <w:r w:rsidR="00FA496B">
        <w:t>the</w:t>
      </w:r>
      <w:r w:rsidR="006C3753">
        <w:t> </w:t>
      </w:r>
      <w:r w:rsidR="00FA496B">
        <w:t>119</w:t>
      </w:r>
      <w:r w:rsidR="006C3753">
        <w:t> </w:t>
      </w:r>
      <w:r w:rsidR="00724233">
        <w:t>covered in the survey</w:t>
      </w:r>
      <w:r w:rsidR="00FA496B">
        <w:t>)</w:t>
      </w:r>
      <w:r>
        <w:t xml:space="preserve"> have reported HFC-134a consumption </w:t>
      </w:r>
      <w:r w:rsidR="00724233">
        <w:t>in PU foam applications.</w:t>
      </w:r>
    </w:p>
    <w:p w:rsidR="00724233" w:rsidRPr="00724233" w:rsidRDefault="00724233" w:rsidP="00ED25A9">
      <w:pPr>
        <w:keepNext/>
        <w:keepLines/>
        <w:spacing w:line="360" w:lineRule="auto"/>
        <w:rPr>
          <w:u w:val="single"/>
        </w:rPr>
      </w:pPr>
      <w:r w:rsidRPr="00724233">
        <w:rPr>
          <w:u w:val="single"/>
        </w:rPr>
        <w:t>PU foam industry in Egypt</w:t>
      </w:r>
    </w:p>
    <w:p w:rsidR="00945F98" w:rsidRPr="00945F98" w:rsidRDefault="00945F98" w:rsidP="00DD57D3">
      <w:pPr>
        <w:pStyle w:val="Heading1"/>
      </w:pPr>
      <w:r w:rsidRPr="00945F98">
        <w:t>The PU foam industry</w:t>
      </w:r>
      <w:r w:rsidR="00BA14BB">
        <w:t xml:space="preserve">, mainly manufacturing </w:t>
      </w:r>
      <w:r w:rsidR="00BA14BB" w:rsidRPr="00945F98">
        <w:t xml:space="preserve">rigid </w:t>
      </w:r>
      <w:r w:rsidR="00BA14BB">
        <w:t xml:space="preserve">foam </w:t>
      </w:r>
      <w:r w:rsidR="00BA14BB" w:rsidRPr="00945F98">
        <w:t>and, to a lesser degree, integral skin products</w:t>
      </w:r>
      <w:r w:rsidR="00BA14BB">
        <w:t>,</w:t>
      </w:r>
      <w:r w:rsidR="00BA14BB" w:rsidRPr="00945F98">
        <w:t xml:space="preserve"> </w:t>
      </w:r>
      <w:r w:rsidRPr="00945F98">
        <w:t xml:space="preserve">plays a significant role in the economy of Egypt. </w:t>
      </w:r>
      <w:r w:rsidR="00BA14BB">
        <w:t>F</w:t>
      </w:r>
      <w:r w:rsidRPr="00945F98">
        <w:t xml:space="preserve">oam manufacturers </w:t>
      </w:r>
      <w:r w:rsidR="009F6C7E">
        <w:t xml:space="preserve">rely </w:t>
      </w:r>
      <w:r w:rsidRPr="00945F98">
        <w:t>heavily on chemical and technology supply through system</w:t>
      </w:r>
      <w:r w:rsidR="00BA14BB">
        <w:t>s</w:t>
      </w:r>
      <w:r w:rsidRPr="00945F98">
        <w:t xml:space="preserve"> houses</w:t>
      </w:r>
      <w:r w:rsidR="00CB2A0C">
        <w:t xml:space="preserve">, and </w:t>
      </w:r>
      <w:r w:rsidR="00CB2A0C" w:rsidRPr="00945F98">
        <w:t xml:space="preserve">mainly </w:t>
      </w:r>
      <w:r w:rsidR="00CB2A0C">
        <w:t xml:space="preserve">use </w:t>
      </w:r>
      <w:r w:rsidR="00CB2A0C" w:rsidRPr="00945F98">
        <w:t xml:space="preserve">HCFC-141b </w:t>
      </w:r>
      <w:r w:rsidR="00CB2A0C">
        <w:t>as a blowing agent</w:t>
      </w:r>
      <w:r w:rsidR="00724233">
        <w:t>.</w:t>
      </w:r>
      <w:r w:rsidR="00897905">
        <w:t xml:space="preserve"> </w:t>
      </w:r>
      <w:r w:rsidR="00724233">
        <w:t xml:space="preserve">During </w:t>
      </w:r>
      <w:r w:rsidR="00BA14BB">
        <w:t xml:space="preserve">the implementation of </w:t>
      </w:r>
      <w:r w:rsidR="00CB2A0C" w:rsidRPr="00945F98">
        <w:t xml:space="preserve">stage II </w:t>
      </w:r>
      <w:r w:rsidR="00724233">
        <w:t xml:space="preserve">of the </w:t>
      </w:r>
      <w:r w:rsidR="00724233" w:rsidRPr="00945F98">
        <w:t>HPMP</w:t>
      </w:r>
      <w:r w:rsidR="00BA14BB">
        <w:rPr>
          <w:rStyle w:val="FootnoteReference"/>
        </w:rPr>
        <w:footnoteReference w:id="4"/>
      </w:r>
      <w:r w:rsidR="00724233" w:rsidRPr="00945F98">
        <w:t xml:space="preserve"> </w:t>
      </w:r>
      <w:r w:rsidR="00CB2A0C" w:rsidRPr="00945F98">
        <w:t>approved at the 79</w:t>
      </w:r>
      <w:r w:rsidR="00CB2A0C" w:rsidRPr="00945F98">
        <w:rPr>
          <w:vertAlign w:val="superscript"/>
        </w:rPr>
        <w:t>th</w:t>
      </w:r>
      <w:r w:rsidR="00CB2A0C" w:rsidRPr="00945F98">
        <w:t xml:space="preserve"> meeting, the Government has agreed to fully </w:t>
      </w:r>
      <w:r w:rsidR="00CB2A0C">
        <w:t>replac</w:t>
      </w:r>
      <w:r w:rsidR="00BA14BB">
        <w:t>e</w:t>
      </w:r>
      <w:r w:rsidR="00CB2A0C">
        <w:t xml:space="preserve"> the use of HCFC-141b</w:t>
      </w:r>
      <w:r w:rsidR="00C64ECA">
        <w:t xml:space="preserve"> </w:t>
      </w:r>
      <w:r w:rsidR="00BA14BB">
        <w:t xml:space="preserve">(pure and contained in imported pre-blended polyols) </w:t>
      </w:r>
      <w:r w:rsidR="00CB2A0C">
        <w:t>with</w:t>
      </w:r>
      <w:r w:rsidR="00CB2A0C" w:rsidRPr="00945F98">
        <w:t xml:space="preserve"> hydrocarbon (HC</w:t>
      </w:r>
      <w:r w:rsidR="00724233">
        <w:t>-</w:t>
      </w:r>
      <w:r w:rsidR="00CB2A0C" w:rsidRPr="00945F98">
        <w:t>) or HFO</w:t>
      </w:r>
      <w:r w:rsidR="00724233">
        <w:t>-</w:t>
      </w:r>
      <w:r w:rsidR="00CB2A0C" w:rsidRPr="00945F98">
        <w:t xml:space="preserve">based </w:t>
      </w:r>
      <w:r w:rsidR="00BA14BB">
        <w:t xml:space="preserve">polyol systems </w:t>
      </w:r>
      <w:r w:rsidR="00CB2A0C" w:rsidRPr="00945F98">
        <w:t xml:space="preserve">by </w:t>
      </w:r>
      <w:r w:rsidR="00724233">
        <w:t>1 January</w:t>
      </w:r>
      <w:r w:rsidR="00CB2A0C" w:rsidRPr="00945F98">
        <w:t xml:space="preserve"> </w:t>
      </w:r>
      <w:r w:rsidR="00CB2A0C">
        <w:t>2020</w:t>
      </w:r>
      <w:r w:rsidR="00CB2A0C" w:rsidRPr="00945F98">
        <w:t>.</w:t>
      </w:r>
    </w:p>
    <w:p w:rsidR="00945F98" w:rsidRPr="00945F98" w:rsidRDefault="00945F98" w:rsidP="00ED25A9">
      <w:pPr>
        <w:keepNext/>
        <w:spacing w:line="360" w:lineRule="auto"/>
        <w:rPr>
          <w:u w:val="single"/>
        </w:rPr>
      </w:pPr>
      <w:r w:rsidRPr="00945F98">
        <w:rPr>
          <w:u w:val="single"/>
        </w:rPr>
        <w:t>Enterprise background</w:t>
      </w:r>
    </w:p>
    <w:p w:rsidR="00945F98" w:rsidRPr="00945F98" w:rsidRDefault="00945F98" w:rsidP="00DD57D3">
      <w:pPr>
        <w:pStyle w:val="Heading1"/>
      </w:pPr>
      <w:r w:rsidRPr="00945F98">
        <w:t xml:space="preserve">The Army Factory </w:t>
      </w:r>
      <w:r w:rsidR="00F12E4F">
        <w:t>is not a commercial enterprise</w:t>
      </w:r>
      <w:r w:rsidR="003E3879">
        <w:t xml:space="preserve">; </w:t>
      </w:r>
      <w:r w:rsidR="00BA14BB">
        <w:t xml:space="preserve">it </w:t>
      </w:r>
      <w:r w:rsidR="00724233">
        <w:t>u</w:t>
      </w:r>
      <w:r w:rsidRPr="00945F98">
        <w:t xml:space="preserve">ndertakes construction projects for the </w:t>
      </w:r>
      <w:r w:rsidR="00BA14BB">
        <w:t>A</w:t>
      </w:r>
      <w:r w:rsidRPr="00945F98">
        <w:t>rmy</w:t>
      </w:r>
      <w:r w:rsidR="00BA14BB">
        <w:t>,</w:t>
      </w:r>
      <w:r w:rsidR="006C3753">
        <w:t> </w:t>
      </w:r>
      <w:r w:rsidR="00F12E4F">
        <w:t>producing</w:t>
      </w:r>
      <w:r w:rsidRPr="00945F98">
        <w:t xml:space="preserve"> </w:t>
      </w:r>
      <w:r w:rsidR="00F12E4F">
        <w:t xml:space="preserve">discontinuous foam for </w:t>
      </w:r>
      <w:r w:rsidRPr="00945F98">
        <w:t xml:space="preserve">sandwich panels </w:t>
      </w:r>
      <w:r w:rsidR="00724233">
        <w:t xml:space="preserve">and </w:t>
      </w:r>
      <w:r w:rsidRPr="00945F98">
        <w:t xml:space="preserve">for construction applications such as cold stores, </w:t>
      </w:r>
      <w:r w:rsidR="00CB2A0C">
        <w:t>prefabricated</w:t>
      </w:r>
      <w:r w:rsidR="00CB2A0C" w:rsidRPr="00945F98">
        <w:t xml:space="preserve"> </w:t>
      </w:r>
      <w:r w:rsidRPr="00945F98">
        <w:t>housing</w:t>
      </w:r>
      <w:r w:rsidR="00F12E4F">
        <w:t>,</w:t>
      </w:r>
      <w:r w:rsidRPr="00945F98">
        <w:t xml:space="preserve"> and other uses</w:t>
      </w:r>
      <w:r w:rsidR="00B15EE6">
        <w:t>.</w:t>
      </w:r>
      <w:r w:rsidR="00897905">
        <w:t xml:space="preserve"> </w:t>
      </w:r>
      <w:r w:rsidR="00B15EE6">
        <w:t xml:space="preserve">The </w:t>
      </w:r>
      <w:r w:rsidR="00BA14BB">
        <w:t xml:space="preserve">enterprise also has </w:t>
      </w:r>
      <w:r w:rsidRPr="00945F98">
        <w:t>spray/</w:t>
      </w:r>
      <w:r w:rsidR="00724233">
        <w:t>pour-in-place (</w:t>
      </w:r>
      <w:r w:rsidRPr="00945F98">
        <w:t>PIP</w:t>
      </w:r>
      <w:r w:rsidR="00724233">
        <w:t>)</w:t>
      </w:r>
      <w:r w:rsidRPr="00945F98">
        <w:t xml:space="preserve"> foam</w:t>
      </w:r>
      <w:r w:rsidR="00B15EE6">
        <w:t xml:space="preserve"> operations</w:t>
      </w:r>
      <w:r w:rsidRPr="00945F98">
        <w:t>.</w:t>
      </w:r>
    </w:p>
    <w:p w:rsidR="00945F98" w:rsidRPr="00945F98" w:rsidRDefault="00945F98" w:rsidP="00DD57D3">
      <w:pPr>
        <w:pStyle w:val="Heading1"/>
      </w:pPr>
      <w:r w:rsidRPr="00945F98">
        <w:lastRenderedPageBreak/>
        <w:t>The Army</w:t>
      </w:r>
      <w:r w:rsidR="00A05E02">
        <w:t xml:space="preserve"> Factory was one of the enterprises that received funding under </w:t>
      </w:r>
      <w:r w:rsidR="00724233">
        <w:t>a</w:t>
      </w:r>
      <w:r w:rsidR="00A05E02">
        <w:t xml:space="preserve"> foam sector project </w:t>
      </w:r>
      <w:r w:rsidRPr="00945F98">
        <w:t xml:space="preserve">approved </w:t>
      </w:r>
      <w:r w:rsidR="00F12E4F">
        <w:t>at</w:t>
      </w:r>
      <w:r w:rsidR="00F12E4F" w:rsidRPr="00945F98">
        <w:t xml:space="preserve"> </w:t>
      </w:r>
      <w:r w:rsidRPr="00945F98">
        <w:t xml:space="preserve">the </w:t>
      </w:r>
      <w:r w:rsidR="00A05E02">
        <w:t>22</w:t>
      </w:r>
      <w:r w:rsidR="00A05E02" w:rsidRPr="00A05E02">
        <w:rPr>
          <w:vertAlign w:val="superscript"/>
        </w:rPr>
        <w:t>nd</w:t>
      </w:r>
      <w:r w:rsidR="00A05E02">
        <w:t xml:space="preserve"> </w:t>
      </w:r>
      <w:r w:rsidRPr="00945F98">
        <w:t>meeting for con</w:t>
      </w:r>
      <w:r w:rsidR="00724233">
        <w:t>version from CFC-11 to HFC-134a.</w:t>
      </w:r>
      <w:r w:rsidR="00BA14BB">
        <w:rPr>
          <w:rStyle w:val="FootnoteReference"/>
        </w:rPr>
        <w:footnoteReference w:id="5"/>
      </w:r>
      <w:r w:rsidRPr="00945F98">
        <w:t xml:space="preserve"> </w:t>
      </w:r>
      <w:r w:rsidR="00724233">
        <w:t>T</w:t>
      </w:r>
      <w:r w:rsidRPr="00945F98">
        <w:t xml:space="preserve">his conversion was unique given that HFC-134a was chosen by </w:t>
      </w:r>
      <w:r w:rsidR="00F12E4F">
        <w:t xml:space="preserve">the </w:t>
      </w:r>
      <w:r w:rsidRPr="00945F98">
        <w:t xml:space="preserve">Army as they </w:t>
      </w:r>
      <w:r w:rsidR="00F12E4F">
        <w:t>required the use of a</w:t>
      </w:r>
      <w:r w:rsidR="00F12E4F" w:rsidRPr="00945F98">
        <w:t xml:space="preserve"> </w:t>
      </w:r>
      <w:r w:rsidRPr="00945F98">
        <w:t>non-flammable blowing agent</w:t>
      </w:r>
      <w:r w:rsidR="00DD65CA">
        <w:t>, while the other enterprises selected cyclopentane</w:t>
      </w:r>
      <w:r w:rsidRPr="00945F98">
        <w:t>. The proje</w:t>
      </w:r>
      <w:r w:rsidR="00BA14BB">
        <w:t>ct was successfully completed in</w:t>
      </w:r>
      <w:r w:rsidRPr="00945F98">
        <w:t xml:space="preserve"> </w:t>
      </w:r>
      <w:r w:rsidR="00A05E02">
        <w:t>2003</w:t>
      </w:r>
      <w:r w:rsidR="008B2B74">
        <w:t>.</w:t>
      </w:r>
      <w:r w:rsidR="00897905">
        <w:t xml:space="preserve"> </w:t>
      </w:r>
      <w:r w:rsidR="008B2B74">
        <w:t>T</w:t>
      </w:r>
      <w:r w:rsidR="00F12E4F">
        <w:t xml:space="preserve">he funding </w:t>
      </w:r>
      <w:r w:rsidR="00BA14BB">
        <w:t>request submitted to the 81</w:t>
      </w:r>
      <w:r w:rsidR="00BA14BB" w:rsidRPr="00BA14BB">
        <w:rPr>
          <w:vertAlign w:val="superscript"/>
        </w:rPr>
        <w:t>st</w:t>
      </w:r>
      <w:r w:rsidR="00BA14BB">
        <w:t xml:space="preserve"> meeting </w:t>
      </w:r>
      <w:r w:rsidR="00F12E4F">
        <w:t xml:space="preserve">relates to the </w:t>
      </w:r>
      <w:r w:rsidRPr="00945F98">
        <w:t>conversion of that manufacturing operation to HFOs</w:t>
      </w:r>
      <w:r w:rsidR="00911705">
        <w:t xml:space="preserve"> that </w:t>
      </w:r>
      <w:r w:rsidR="006B4939">
        <w:t xml:space="preserve">are </w:t>
      </w:r>
      <w:r w:rsidR="00911705">
        <w:t>not flammable</w:t>
      </w:r>
      <w:r w:rsidR="008B2B74">
        <w:t>.</w:t>
      </w:r>
      <w:r w:rsidRPr="00945F98">
        <w:t xml:space="preserve"> </w:t>
      </w:r>
    </w:p>
    <w:p w:rsidR="00945F98" w:rsidRPr="00945F98" w:rsidRDefault="00945F98" w:rsidP="00ED25A9">
      <w:pPr>
        <w:spacing w:line="360" w:lineRule="auto"/>
        <w:rPr>
          <w:u w:val="single"/>
        </w:rPr>
      </w:pPr>
      <w:r w:rsidRPr="00945F98">
        <w:rPr>
          <w:u w:val="single"/>
        </w:rPr>
        <w:t>HFC consumption by the enterprise</w:t>
      </w:r>
    </w:p>
    <w:p w:rsidR="00945F98" w:rsidRPr="00945F98" w:rsidRDefault="00945F98" w:rsidP="00DD57D3">
      <w:pPr>
        <w:pStyle w:val="Heading1"/>
      </w:pPr>
      <w:r w:rsidRPr="00945F98">
        <w:t>The Army Factor</w:t>
      </w:r>
      <w:r w:rsidR="008B2B74">
        <w:t>y</w:t>
      </w:r>
      <w:r w:rsidRPr="00945F98">
        <w:t xml:space="preserve"> </w:t>
      </w:r>
      <w:r w:rsidR="00F12E4F">
        <w:t>reported a consumption of</w:t>
      </w:r>
      <w:r w:rsidR="00F12E4F" w:rsidRPr="00945F98">
        <w:t xml:space="preserve"> </w:t>
      </w:r>
      <w:r w:rsidRPr="00945F98">
        <w:t>55.5 mt of HFCs in 2017</w:t>
      </w:r>
      <w:r w:rsidR="00DC576F">
        <w:t xml:space="preserve">. </w:t>
      </w:r>
      <w:r w:rsidRPr="00945F98">
        <w:t xml:space="preserve">The </w:t>
      </w:r>
      <w:r w:rsidR="00F12E4F">
        <w:t xml:space="preserve">fluctuation in </w:t>
      </w:r>
      <w:r w:rsidRPr="00945F98">
        <w:t xml:space="preserve">consumption </w:t>
      </w:r>
      <w:r w:rsidR="00DC576F">
        <w:t xml:space="preserve">of HFC-134a in previous years </w:t>
      </w:r>
      <w:r w:rsidRPr="00945F98">
        <w:t>is driven by the demand for foam manufacturing by the Army</w:t>
      </w:r>
      <w:r w:rsidR="00DC576F">
        <w:t xml:space="preserve"> (Table 1)</w:t>
      </w:r>
      <w:r w:rsidRPr="00945F98">
        <w:t>.</w:t>
      </w:r>
    </w:p>
    <w:p w:rsidR="00945F98" w:rsidRPr="00945F98" w:rsidRDefault="00945F98" w:rsidP="00ED25A9">
      <w:pPr>
        <w:spacing w:line="360" w:lineRule="auto"/>
        <w:rPr>
          <w:b/>
        </w:rPr>
      </w:pPr>
      <w:r w:rsidRPr="00945F98">
        <w:rPr>
          <w:b/>
        </w:rPr>
        <w:t xml:space="preserve">Table </w:t>
      </w:r>
      <w:r w:rsidR="002D35F5">
        <w:rPr>
          <w:b/>
        </w:rPr>
        <w:t>1</w:t>
      </w:r>
      <w:r w:rsidRPr="00945F98">
        <w:rPr>
          <w:b/>
        </w:rPr>
        <w:t xml:space="preserve">. Consumption of HFC-134a at Army Factory </w:t>
      </w:r>
    </w:p>
    <w:tbl>
      <w:tblPr>
        <w:tblStyle w:val="TableGrid"/>
        <w:tblW w:w="0" w:type="auto"/>
        <w:tblInd w:w="108" w:type="dxa"/>
        <w:tblLook w:val="04A0" w:firstRow="1" w:lastRow="0" w:firstColumn="1" w:lastColumn="0" w:noHBand="0" w:noVBand="1"/>
      </w:tblPr>
      <w:tblGrid>
        <w:gridCol w:w="3070"/>
        <w:gridCol w:w="3085"/>
        <w:gridCol w:w="3087"/>
      </w:tblGrid>
      <w:tr w:rsidR="00897905" w:rsidRPr="00945F98" w:rsidTr="00897905">
        <w:tc>
          <w:tcPr>
            <w:tcW w:w="3120" w:type="dxa"/>
            <w:vMerge w:val="restart"/>
            <w:vAlign w:val="center"/>
          </w:tcPr>
          <w:p w:rsidR="00897905" w:rsidRPr="00945F98" w:rsidRDefault="00897905" w:rsidP="00ED25A9">
            <w:pPr>
              <w:spacing w:line="360" w:lineRule="auto"/>
              <w:jc w:val="left"/>
              <w:rPr>
                <w:b/>
              </w:rPr>
            </w:pPr>
            <w:r w:rsidRPr="00945F98">
              <w:rPr>
                <w:b/>
              </w:rPr>
              <w:t>Year</w:t>
            </w:r>
          </w:p>
        </w:tc>
        <w:tc>
          <w:tcPr>
            <w:tcW w:w="6240" w:type="dxa"/>
            <w:gridSpan w:val="2"/>
          </w:tcPr>
          <w:p w:rsidR="00897905" w:rsidRPr="00945F98" w:rsidRDefault="00897905" w:rsidP="00ED25A9">
            <w:pPr>
              <w:spacing w:line="360" w:lineRule="auto"/>
              <w:jc w:val="center"/>
              <w:rPr>
                <w:b/>
              </w:rPr>
            </w:pPr>
            <w:r w:rsidRPr="00945F98">
              <w:rPr>
                <w:b/>
              </w:rPr>
              <w:t xml:space="preserve">Quantity </w:t>
            </w:r>
          </w:p>
        </w:tc>
      </w:tr>
      <w:tr w:rsidR="00897905" w:rsidRPr="00945F98" w:rsidTr="00897905">
        <w:tc>
          <w:tcPr>
            <w:tcW w:w="3120" w:type="dxa"/>
            <w:vMerge/>
          </w:tcPr>
          <w:p w:rsidR="00897905" w:rsidRPr="00945F98" w:rsidRDefault="00897905" w:rsidP="00ED25A9">
            <w:pPr>
              <w:spacing w:line="360" w:lineRule="auto"/>
              <w:rPr>
                <w:b/>
              </w:rPr>
            </w:pPr>
          </w:p>
        </w:tc>
        <w:tc>
          <w:tcPr>
            <w:tcW w:w="3120" w:type="dxa"/>
          </w:tcPr>
          <w:p w:rsidR="00897905" w:rsidRPr="00945F98" w:rsidRDefault="00897905" w:rsidP="00ED25A9">
            <w:pPr>
              <w:spacing w:line="360" w:lineRule="auto"/>
              <w:jc w:val="center"/>
              <w:rPr>
                <w:b/>
              </w:rPr>
            </w:pPr>
            <w:r>
              <w:rPr>
                <w:b/>
              </w:rPr>
              <w:t>Metric tonnes</w:t>
            </w:r>
          </w:p>
        </w:tc>
        <w:tc>
          <w:tcPr>
            <w:tcW w:w="3120" w:type="dxa"/>
          </w:tcPr>
          <w:p w:rsidR="00897905" w:rsidRPr="00945F98" w:rsidRDefault="00897905" w:rsidP="00ED25A9">
            <w:pPr>
              <w:spacing w:line="360" w:lineRule="auto"/>
              <w:jc w:val="center"/>
              <w:rPr>
                <w:b/>
              </w:rPr>
            </w:pPr>
            <w:r>
              <w:rPr>
                <w:b/>
              </w:rPr>
              <w:t>CO</w:t>
            </w:r>
            <w:r w:rsidRPr="008B2B74">
              <w:rPr>
                <w:b/>
                <w:vertAlign w:val="subscript"/>
              </w:rPr>
              <w:t>2</w:t>
            </w:r>
            <w:r>
              <w:rPr>
                <w:b/>
              </w:rPr>
              <w:t>- eq</w:t>
            </w:r>
          </w:p>
        </w:tc>
      </w:tr>
      <w:tr w:rsidR="008B2B74" w:rsidRPr="00945F98" w:rsidTr="00897905">
        <w:tc>
          <w:tcPr>
            <w:tcW w:w="3120" w:type="dxa"/>
          </w:tcPr>
          <w:p w:rsidR="008B2B74" w:rsidRPr="00945F98" w:rsidRDefault="008B2B74" w:rsidP="00ED25A9">
            <w:pPr>
              <w:spacing w:line="360" w:lineRule="auto"/>
            </w:pPr>
            <w:r w:rsidRPr="00945F98">
              <w:t xml:space="preserve">2015 </w:t>
            </w:r>
          </w:p>
        </w:tc>
        <w:tc>
          <w:tcPr>
            <w:tcW w:w="3120" w:type="dxa"/>
            <w:tcMar>
              <w:left w:w="115" w:type="dxa"/>
              <w:right w:w="1008" w:type="dxa"/>
            </w:tcMar>
            <w:vAlign w:val="bottom"/>
          </w:tcPr>
          <w:p w:rsidR="008B2B74" w:rsidRPr="00945F98" w:rsidRDefault="008B2B74" w:rsidP="00ED25A9">
            <w:pPr>
              <w:spacing w:line="360" w:lineRule="auto"/>
              <w:jc w:val="right"/>
            </w:pPr>
            <w:r w:rsidRPr="00945F98">
              <w:t xml:space="preserve">60.10 </w:t>
            </w:r>
          </w:p>
        </w:tc>
        <w:tc>
          <w:tcPr>
            <w:tcW w:w="3120" w:type="dxa"/>
            <w:shd w:val="clear" w:color="auto" w:fill="auto"/>
            <w:tcMar>
              <w:left w:w="115" w:type="dxa"/>
              <w:right w:w="1008" w:type="dxa"/>
            </w:tcMar>
            <w:vAlign w:val="center"/>
          </w:tcPr>
          <w:p w:rsidR="008B2B74" w:rsidRDefault="00897905" w:rsidP="00ED25A9">
            <w:pPr>
              <w:spacing w:line="360" w:lineRule="auto"/>
              <w:jc w:val="right"/>
              <w:rPr>
                <w:color w:val="000000"/>
                <w:lang w:val="en-CA"/>
              </w:rPr>
            </w:pPr>
            <w:r>
              <w:rPr>
                <w:color w:val="000000"/>
              </w:rPr>
              <w:t xml:space="preserve"> </w:t>
            </w:r>
            <w:r w:rsidR="008B2B74">
              <w:rPr>
                <w:color w:val="000000"/>
              </w:rPr>
              <w:t xml:space="preserve">85,943 </w:t>
            </w:r>
          </w:p>
        </w:tc>
      </w:tr>
      <w:tr w:rsidR="008B2B74" w:rsidRPr="00945F98" w:rsidTr="00897905">
        <w:tc>
          <w:tcPr>
            <w:tcW w:w="3120" w:type="dxa"/>
          </w:tcPr>
          <w:p w:rsidR="008B2B74" w:rsidRPr="00945F98" w:rsidRDefault="008B2B74" w:rsidP="00ED25A9">
            <w:pPr>
              <w:spacing w:line="360" w:lineRule="auto"/>
            </w:pPr>
            <w:r w:rsidRPr="00945F98">
              <w:t>2016</w:t>
            </w:r>
          </w:p>
        </w:tc>
        <w:tc>
          <w:tcPr>
            <w:tcW w:w="3120" w:type="dxa"/>
            <w:tcMar>
              <w:left w:w="115" w:type="dxa"/>
              <w:right w:w="1008" w:type="dxa"/>
            </w:tcMar>
            <w:vAlign w:val="bottom"/>
          </w:tcPr>
          <w:p w:rsidR="008B2B74" w:rsidRPr="00945F98" w:rsidRDefault="008B2B74" w:rsidP="00ED25A9">
            <w:pPr>
              <w:spacing w:line="360" w:lineRule="auto"/>
              <w:jc w:val="right"/>
            </w:pPr>
            <w:r w:rsidRPr="00945F98">
              <w:t xml:space="preserve">33.80 </w:t>
            </w:r>
          </w:p>
        </w:tc>
        <w:tc>
          <w:tcPr>
            <w:tcW w:w="3120" w:type="dxa"/>
            <w:shd w:val="clear" w:color="auto" w:fill="auto"/>
            <w:tcMar>
              <w:left w:w="115" w:type="dxa"/>
              <w:right w:w="1008" w:type="dxa"/>
            </w:tcMar>
            <w:vAlign w:val="center"/>
          </w:tcPr>
          <w:p w:rsidR="008B2B74" w:rsidRDefault="00897905" w:rsidP="00ED25A9">
            <w:pPr>
              <w:spacing w:line="360" w:lineRule="auto"/>
              <w:jc w:val="right"/>
              <w:rPr>
                <w:color w:val="000000"/>
              </w:rPr>
            </w:pPr>
            <w:r>
              <w:rPr>
                <w:color w:val="000000"/>
              </w:rPr>
              <w:t xml:space="preserve"> </w:t>
            </w:r>
            <w:r w:rsidR="008B2B74">
              <w:rPr>
                <w:color w:val="000000"/>
              </w:rPr>
              <w:t xml:space="preserve">48,334 </w:t>
            </w:r>
          </w:p>
        </w:tc>
      </w:tr>
      <w:tr w:rsidR="008B2B74" w:rsidRPr="00945F98" w:rsidTr="00897905">
        <w:tc>
          <w:tcPr>
            <w:tcW w:w="3120" w:type="dxa"/>
          </w:tcPr>
          <w:p w:rsidR="008B2B74" w:rsidRPr="00945F98" w:rsidRDefault="008B2B74" w:rsidP="00ED25A9">
            <w:pPr>
              <w:spacing w:line="360" w:lineRule="auto"/>
            </w:pPr>
            <w:r w:rsidRPr="00945F98">
              <w:t>2017</w:t>
            </w:r>
          </w:p>
        </w:tc>
        <w:tc>
          <w:tcPr>
            <w:tcW w:w="3120" w:type="dxa"/>
            <w:tcMar>
              <w:left w:w="115" w:type="dxa"/>
              <w:right w:w="1008" w:type="dxa"/>
            </w:tcMar>
            <w:vAlign w:val="bottom"/>
          </w:tcPr>
          <w:p w:rsidR="008B2B74" w:rsidRPr="00945F98" w:rsidRDefault="008B2B74" w:rsidP="00ED25A9">
            <w:pPr>
              <w:spacing w:line="360" w:lineRule="auto"/>
              <w:jc w:val="right"/>
            </w:pPr>
            <w:r w:rsidRPr="00945F98">
              <w:t xml:space="preserve">55.50 </w:t>
            </w:r>
          </w:p>
        </w:tc>
        <w:tc>
          <w:tcPr>
            <w:tcW w:w="3120" w:type="dxa"/>
            <w:shd w:val="clear" w:color="auto" w:fill="auto"/>
            <w:tcMar>
              <w:left w:w="115" w:type="dxa"/>
              <w:right w:w="1008" w:type="dxa"/>
            </w:tcMar>
            <w:vAlign w:val="center"/>
          </w:tcPr>
          <w:p w:rsidR="008B2B74" w:rsidRDefault="00897905" w:rsidP="00ED25A9">
            <w:pPr>
              <w:spacing w:line="360" w:lineRule="auto"/>
              <w:jc w:val="right"/>
              <w:rPr>
                <w:color w:val="000000"/>
              </w:rPr>
            </w:pPr>
            <w:r>
              <w:rPr>
                <w:color w:val="000000"/>
              </w:rPr>
              <w:t xml:space="preserve"> </w:t>
            </w:r>
            <w:r w:rsidR="008B2B74">
              <w:rPr>
                <w:color w:val="000000"/>
              </w:rPr>
              <w:t xml:space="preserve">79,365 </w:t>
            </w:r>
          </w:p>
        </w:tc>
      </w:tr>
      <w:tr w:rsidR="008B2B74" w:rsidRPr="00945F98" w:rsidTr="00897905">
        <w:tc>
          <w:tcPr>
            <w:tcW w:w="3120" w:type="dxa"/>
          </w:tcPr>
          <w:p w:rsidR="008B2B74" w:rsidRPr="00945F98" w:rsidRDefault="008B2B74" w:rsidP="00ED25A9">
            <w:pPr>
              <w:spacing w:line="360" w:lineRule="auto"/>
              <w:rPr>
                <w:b/>
              </w:rPr>
            </w:pPr>
            <w:r w:rsidRPr="00945F98">
              <w:rPr>
                <w:b/>
              </w:rPr>
              <w:t xml:space="preserve">Average </w:t>
            </w:r>
            <w:r w:rsidR="00897905">
              <w:rPr>
                <w:b/>
              </w:rPr>
              <w:t>(2015-2017)</w:t>
            </w:r>
          </w:p>
        </w:tc>
        <w:tc>
          <w:tcPr>
            <w:tcW w:w="3120" w:type="dxa"/>
            <w:tcMar>
              <w:left w:w="115" w:type="dxa"/>
              <w:right w:w="1008" w:type="dxa"/>
            </w:tcMar>
            <w:vAlign w:val="bottom"/>
          </w:tcPr>
          <w:p w:rsidR="008B2B74" w:rsidRPr="00945F98" w:rsidRDefault="008B2B74" w:rsidP="00ED25A9">
            <w:pPr>
              <w:spacing w:line="360" w:lineRule="auto"/>
              <w:jc w:val="right"/>
              <w:rPr>
                <w:b/>
              </w:rPr>
            </w:pPr>
            <w:r>
              <w:rPr>
                <w:b/>
              </w:rPr>
              <w:t>49.80</w:t>
            </w:r>
            <w:r w:rsidRPr="00945F98">
              <w:rPr>
                <w:b/>
              </w:rPr>
              <w:t xml:space="preserve"> </w:t>
            </w:r>
          </w:p>
        </w:tc>
        <w:tc>
          <w:tcPr>
            <w:tcW w:w="3120" w:type="dxa"/>
            <w:tcMar>
              <w:left w:w="115" w:type="dxa"/>
              <w:right w:w="1008" w:type="dxa"/>
            </w:tcMar>
          </w:tcPr>
          <w:p w:rsidR="008B2B74" w:rsidRPr="00945F98" w:rsidRDefault="008B2B74" w:rsidP="00ED25A9">
            <w:pPr>
              <w:spacing w:line="360" w:lineRule="auto"/>
              <w:jc w:val="right"/>
              <w:rPr>
                <w:b/>
              </w:rPr>
            </w:pPr>
            <w:r>
              <w:rPr>
                <w:b/>
              </w:rPr>
              <w:t>71,214</w:t>
            </w:r>
          </w:p>
        </w:tc>
      </w:tr>
    </w:tbl>
    <w:p w:rsidR="00945F98" w:rsidRPr="00945F98" w:rsidRDefault="00945F98" w:rsidP="00897905"/>
    <w:p w:rsidR="00F12E4F" w:rsidRDefault="00F12E4F" w:rsidP="00ED25A9">
      <w:pPr>
        <w:spacing w:line="360" w:lineRule="auto"/>
        <w:rPr>
          <w:u w:val="single"/>
        </w:rPr>
      </w:pPr>
      <w:r>
        <w:rPr>
          <w:u w:val="single"/>
        </w:rPr>
        <w:t>Project overview and funding request</w:t>
      </w:r>
    </w:p>
    <w:p w:rsidR="00F12E4F" w:rsidRDefault="00F12E4F" w:rsidP="00DD57D3">
      <w:pPr>
        <w:rPr>
          <w:u w:val="single"/>
        </w:rPr>
      </w:pPr>
    </w:p>
    <w:p w:rsidR="00945F98" w:rsidRPr="0016105B" w:rsidRDefault="00945F98" w:rsidP="00DD57D3">
      <w:pPr>
        <w:rPr>
          <w:i/>
        </w:rPr>
      </w:pPr>
      <w:r w:rsidRPr="0016105B">
        <w:rPr>
          <w:i/>
        </w:rPr>
        <w:t>Selection of alternative technology</w:t>
      </w:r>
    </w:p>
    <w:p w:rsidR="00945F98" w:rsidRPr="00945F98" w:rsidRDefault="00945F98" w:rsidP="00DD57D3"/>
    <w:p w:rsidR="00945F98" w:rsidRPr="00945F98" w:rsidRDefault="00945F98" w:rsidP="00DD57D3">
      <w:pPr>
        <w:pStyle w:val="Heading1"/>
        <w:rPr>
          <w:lang w:val="en-US"/>
        </w:rPr>
      </w:pPr>
      <w:r w:rsidRPr="00945F98">
        <w:rPr>
          <w:lang w:val="en-US"/>
        </w:rPr>
        <w:t xml:space="preserve">Army Factory needs to adopt </w:t>
      </w:r>
      <w:r w:rsidR="008B2B74">
        <w:rPr>
          <w:lang w:val="en-US"/>
        </w:rPr>
        <w:t>a final technology</w:t>
      </w:r>
      <w:r w:rsidR="00A05E02" w:rsidRPr="00945F98">
        <w:rPr>
          <w:lang w:val="en-US"/>
        </w:rPr>
        <w:t xml:space="preserve"> </w:t>
      </w:r>
      <w:r w:rsidR="00EE49F9" w:rsidRPr="00945F98">
        <w:rPr>
          <w:lang w:val="en-US"/>
        </w:rPr>
        <w:t xml:space="preserve">to replace HFC-134a </w:t>
      </w:r>
      <w:r w:rsidR="00A05E02" w:rsidRPr="00945F98">
        <w:rPr>
          <w:lang w:val="en-US"/>
        </w:rPr>
        <w:t>which</w:t>
      </w:r>
      <w:r w:rsidRPr="00945F98">
        <w:rPr>
          <w:lang w:val="en-US"/>
        </w:rPr>
        <w:t xml:space="preserve"> </w:t>
      </w:r>
      <w:r w:rsidR="008B2B74">
        <w:rPr>
          <w:lang w:val="en-US"/>
        </w:rPr>
        <w:t>is</w:t>
      </w:r>
      <w:r w:rsidRPr="00945F98">
        <w:rPr>
          <w:lang w:val="en-US"/>
        </w:rPr>
        <w:t xml:space="preserve"> non-flammable </w:t>
      </w:r>
      <w:r w:rsidR="008B2B74">
        <w:rPr>
          <w:lang w:val="en-US"/>
        </w:rPr>
        <w:t xml:space="preserve">and </w:t>
      </w:r>
      <w:r w:rsidRPr="00945F98">
        <w:rPr>
          <w:lang w:val="en-US"/>
        </w:rPr>
        <w:t>demonstrate</w:t>
      </w:r>
      <w:r w:rsidR="008B2B74">
        <w:rPr>
          <w:lang w:val="en-US"/>
        </w:rPr>
        <w:t>s</w:t>
      </w:r>
      <w:r w:rsidRPr="00945F98">
        <w:rPr>
          <w:lang w:val="en-US"/>
        </w:rPr>
        <w:t xml:space="preserve"> good </w:t>
      </w:r>
      <w:r w:rsidR="008B2B74">
        <w:rPr>
          <w:lang w:val="en-US"/>
        </w:rPr>
        <w:t xml:space="preserve">foam </w:t>
      </w:r>
      <w:r w:rsidRPr="00945F98">
        <w:rPr>
          <w:lang w:val="en-US"/>
        </w:rPr>
        <w:t>insulation properties.</w:t>
      </w:r>
      <w:r w:rsidR="00897905">
        <w:rPr>
          <w:lang w:val="en-US"/>
        </w:rPr>
        <w:t xml:space="preserve"> </w:t>
      </w:r>
      <w:r w:rsidR="008B2B74">
        <w:rPr>
          <w:lang w:val="en-US"/>
        </w:rPr>
        <w:t>On this basis</w:t>
      </w:r>
      <w:r w:rsidRPr="00945F98">
        <w:rPr>
          <w:lang w:val="en-US"/>
        </w:rPr>
        <w:t xml:space="preserve">, HFO </w:t>
      </w:r>
      <w:r w:rsidR="008B2B74">
        <w:rPr>
          <w:lang w:val="en-US"/>
        </w:rPr>
        <w:t>was</w:t>
      </w:r>
      <w:r w:rsidR="00F12E4F">
        <w:rPr>
          <w:lang w:val="en-US"/>
        </w:rPr>
        <w:t xml:space="preserve"> selected as the alternative blowing agent. The proposal indicated that the choice will be </w:t>
      </w:r>
      <w:r w:rsidR="00A05E02">
        <w:rPr>
          <w:lang w:val="en-US"/>
        </w:rPr>
        <w:t>either HFO-1233zd(E)</w:t>
      </w:r>
      <w:r w:rsidRPr="00945F98">
        <w:rPr>
          <w:lang w:val="en-US"/>
        </w:rPr>
        <w:t xml:space="preserve"> </w:t>
      </w:r>
      <w:r w:rsidR="00EE49F9">
        <w:rPr>
          <w:lang w:val="en-US"/>
        </w:rPr>
        <w:t xml:space="preserve">or </w:t>
      </w:r>
      <w:r w:rsidRPr="00945F98">
        <w:rPr>
          <w:lang w:val="en-US"/>
        </w:rPr>
        <w:t>HFO-1336mzz.</w:t>
      </w:r>
      <w:r w:rsidR="00897905">
        <w:rPr>
          <w:lang w:val="en-US"/>
        </w:rPr>
        <w:t xml:space="preserve"> </w:t>
      </w:r>
      <w:r w:rsidRPr="00945F98">
        <w:rPr>
          <w:lang w:val="en-US"/>
        </w:rPr>
        <w:t>In line with decision 74/20, commercial availability of HFOs in Egypt was confirmed by two chemical producers and one systems house that they can make available formulations using HFOs</w:t>
      </w:r>
      <w:r w:rsidR="00EE49F9">
        <w:rPr>
          <w:lang w:val="en-US"/>
        </w:rPr>
        <w:t>,</w:t>
      </w:r>
      <w:r w:rsidR="006D1FEA">
        <w:rPr>
          <w:lang w:val="en-US"/>
        </w:rPr>
        <w:t xml:space="preserve"> </w:t>
      </w:r>
      <w:r w:rsidR="0073709D">
        <w:rPr>
          <w:lang w:val="en-US"/>
        </w:rPr>
        <w:t>though specific dates of availability were not provided</w:t>
      </w:r>
      <w:r w:rsidR="00EE49F9">
        <w:rPr>
          <w:lang w:val="en-US"/>
        </w:rPr>
        <w:t>.</w:t>
      </w:r>
      <w:r w:rsidR="006D1FEA">
        <w:rPr>
          <w:rStyle w:val="FootnoteReference"/>
          <w:lang w:val="en-US"/>
        </w:rPr>
        <w:footnoteReference w:id="6"/>
      </w:r>
      <w:r w:rsidRPr="00945F98">
        <w:t xml:space="preserve"> </w:t>
      </w:r>
    </w:p>
    <w:p w:rsidR="00945F98" w:rsidRPr="0016105B" w:rsidRDefault="00945F98" w:rsidP="00DD57D3">
      <w:pPr>
        <w:keepNext/>
        <w:spacing w:after="240"/>
        <w:outlineLvl w:val="0"/>
        <w:rPr>
          <w:i/>
        </w:rPr>
      </w:pPr>
      <w:r w:rsidRPr="0016105B">
        <w:rPr>
          <w:i/>
        </w:rPr>
        <w:t>Project description</w:t>
      </w:r>
    </w:p>
    <w:p w:rsidR="006D1FEA" w:rsidRPr="0016105B" w:rsidRDefault="008B2B74" w:rsidP="00DD57D3">
      <w:pPr>
        <w:pStyle w:val="Heading1"/>
        <w:rPr>
          <w:u w:val="single"/>
        </w:rPr>
      </w:pPr>
      <w:r>
        <w:t>The</w:t>
      </w:r>
      <w:r w:rsidR="006D1FEA">
        <w:t xml:space="preserve"> project proposes to replace the current high pressure</w:t>
      </w:r>
      <w:r w:rsidR="00EE37C4">
        <w:t xml:space="preserve"> (HP)</w:t>
      </w:r>
      <w:r w:rsidR="006D1FEA">
        <w:t xml:space="preserve"> foaming equipment</w:t>
      </w:r>
      <w:r>
        <w:t>,</w:t>
      </w:r>
      <w:r w:rsidR="006D1FEA">
        <w:t xml:space="preserve"> that </w:t>
      </w:r>
      <w:r w:rsidR="006D1FEA" w:rsidRPr="00A05E02">
        <w:t>is more than 15 years old</w:t>
      </w:r>
      <w:r w:rsidR="00B15EE6">
        <w:t>,</w:t>
      </w:r>
      <w:r w:rsidR="006D1FEA" w:rsidRPr="00A05E02">
        <w:t xml:space="preserve"> </w:t>
      </w:r>
      <w:r>
        <w:t xml:space="preserve">with a new high-pressure foam machine </w:t>
      </w:r>
      <w:r w:rsidR="00EE49F9">
        <w:t xml:space="preserve">and a spare mixing head, </w:t>
      </w:r>
      <w:r>
        <w:t xml:space="preserve">as </w:t>
      </w:r>
      <w:r w:rsidR="00DD65CA">
        <w:t xml:space="preserve">the age of the </w:t>
      </w:r>
      <w:r>
        <w:t>foam machine</w:t>
      </w:r>
      <w:r w:rsidR="00DD65CA">
        <w:t xml:space="preserve"> makes it difficult for</w:t>
      </w:r>
      <w:r w:rsidR="0016105B">
        <w:t xml:space="preserve"> the enterprise to use </w:t>
      </w:r>
      <w:r>
        <w:t xml:space="preserve">it </w:t>
      </w:r>
      <w:r w:rsidR="0016105B">
        <w:t>with HFOs</w:t>
      </w:r>
      <w:r w:rsidR="00DD65CA">
        <w:t>,</w:t>
      </w:r>
      <w:r w:rsidR="0016105B">
        <w:t xml:space="preserve"> and need for provisions for co-blowing with other blowing agents</w:t>
      </w:r>
      <w:r w:rsidR="006D1FEA">
        <w:t>.</w:t>
      </w:r>
      <w:r w:rsidR="00B15EE6">
        <w:t xml:space="preserve"> </w:t>
      </w:r>
      <w:r>
        <w:t>T</w:t>
      </w:r>
      <w:r w:rsidR="006D1FEA">
        <w:t xml:space="preserve">he project </w:t>
      </w:r>
      <w:r w:rsidR="006007A1">
        <w:t>also includes</w:t>
      </w:r>
      <w:r w:rsidR="00B15EE6">
        <w:t xml:space="preserve"> costs relating to</w:t>
      </w:r>
      <w:r w:rsidR="006D1FEA">
        <w:t xml:space="preserve"> technical assistance for the development of new HFO formulations</w:t>
      </w:r>
      <w:r w:rsidR="00B15EE6">
        <w:t>, trials, safety audit, and international seminar and project support</w:t>
      </w:r>
      <w:r w:rsidR="006D1FEA">
        <w:t>.</w:t>
      </w:r>
      <w:r w:rsidR="00897905">
        <w:t xml:space="preserve"> </w:t>
      </w:r>
      <w:r>
        <w:t>Incremental operating cost (</w:t>
      </w:r>
      <w:r w:rsidR="0073709D">
        <w:t>IOC</w:t>
      </w:r>
      <w:r>
        <w:t>)</w:t>
      </w:r>
      <w:r w:rsidR="0073709D">
        <w:t xml:space="preserve"> is requested based on the proposed HFO formulation.</w:t>
      </w:r>
      <w:r w:rsidR="006D1FEA">
        <w:t xml:space="preserve"> </w:t>
      </w:r>
    </w:p>
    <w:p w:rsidR="00945F98" w:rsidRPr="0016105B" w:rsidRDefault="00945F98" w:rsidP="00DD57D3">
      <w:pPr>
        <w:pStyle w:val="Heading1"/>
        <w:numPr>
          <w:ilvl w:val="0"/>
          <w:numId w:val="0"/>
        </w:numPr>
        <w:rPr>
          <w:i/>
        </w:rPr>
      </w:pPr>
      <w:r w:rsidRPr="0016105B">
        <w:rPr>
          <w:i/>
        </w:rPr>
        <w:t xml:space="preserve">Project costs </w:t>
      </w:r>
    </w:p>
    <w:p w:rsidR="00945F98" w:rsidRPr="004A5AAF" w:rsidRDefault="00945F98" w:rsidP="00DD57D3">
      <w:pPr>
        <w:pStyle w:val="Heading1"/>
      </w:pPr>
      <w:r w:rsidRPr="004A5AAF">
        <w:t xml:space="preserve">The incremental capital costs (ICC), as originally submitted, </w:t>
      </w:r>
      <w:r w:rsidR="00EE37C4" w:rsidRPr="004A5AAF">
        <w:t>amounts to</w:t>
      </w:r>
      <w:r w:rsidRPr="004A5AAF">
        <w:t xml:space="preserve"> </w:t>
      </w:r>
      <w:r w:rsidR="00897905" w:rsidRPr="004A5AAF">
        <w:t>US $</w:t>
      </w:r>
      <w:r w:rsidRPr="004A5AAF">
        <w:t xml:space="preserve">297,000 as </w:t>
      </w:r>
      <w:r w:rsidR="00EE37C4" w:rsidRPr="004A5AAF">
        <w:t>shown in Table 2.</w:t>
      </w:r>
    </w:p>
    <w:p w:rsidR="00945F98" w:rsidRPr="00945F98" w:rsidRDefault="00945F98" w:rsidP="00ED25A9">
      <w:pPr>
        <w:keepNext/>
        <w:spacing w:line="360" w:lineRule="auto"/>
        <w:outlineLvl w:val="0"/>
        <w:rPr>
          <w:b/>
        </w:rPr>
      </w:pPr>
      <w:r w:rsidRPr="00945F98">
        <w:rPr>
          <w:b/>
        </w:rPr>
        <w:lastRenderedPageBreak/>
        <w:t xml:space="preserve">Table </w:t>
      </w:r>
      <w:r w:rsidR="002D35F5">
        <w:rPr>
          <w:b/>
        </w:rPr>
        <w:t>2</w:t>
      </w:r>
      <w:r w:rsidRPr="00945F98">
        <w:rPr>
          <w:b/>
        </w:rPr>
        <w:t xml:space="preserve">: </w:t>
      </w:r>
      <w:r w:rsidR="004A5AAF">
        <w:rPr>
          <w:b/>
        </w:rPr>
        <w:t xml:space="preserve">ICC </w:t>
      </w:r>
      <w:r w:rsidRPr="00945F98">
        <w:rPr>
          <w:b/>
        </w:rPr>
        <w:t xml:space="preserve">for conversion to HFOs </w:t>
      </w:r>
      <w:r w:rsidR="004A5AAF">
        <w:rPr>
          <w:b/>
        </w:rPr>
        <w:t>at Army Factory</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420"/>
      </w:tblGrid>
      <w:tr w:rsidR="00945F98" w:rsidRPr="00897905" w:rsidTr="005A1F11">
        <w:trPr>
          <w:tblHeader/>
        </w:trPr>
        <w:tc>
          <w:tcPr>
            <w:tcW w:w="5557" w:type="dxa"/>
            <w:shd w:val="clear" w:color="auto" w:fill="auto"/>
            <w:noWrap/>
            <w:vAlign w:val="center"/>
            <w:hideMark/>
          </w:tcPr>
          <w:p w:rsidR="00945F98" w:rsidRPr="00897905" w:rsidRDefault="00945F98" w:rsidP="00ED25A9">
            <w:pPr>
              <w:spacing w:line="360" w:lineRule="auto"/>
              <w:jc w:val="left"/>
              <w:rPr>
                <w:b/>
              </w:rPr>
            </w:pPr>
            <w:r w:rsidRPr="00897905">
              <w:rPr>
                <w:b/>
              </w:rPr>
              <w:t>Description</w:t>
            </w:r>
          </w:p>
        </w:tc>
        <w:tc>
          <w:tcPr>
            <w:tcW w:w="3420" w:type="dxa"/>
            <w:shd w:val="clear" w:color="auto" w:fill="auto"/>
            <w:noWrap/>
            <w:vAlign w:val="center"/>
            <w:hideMark/>
          </w:tcPr>
          <w:p w:rsidR="00945F98" w:rsidRPr="00897905" w:rsidRDefault="00945F98" w:rsidP="00ED25A9">
            <w:pPr>
              <w:spacing w:line="360" w:lineRule="auto"/>
              <w:jc w:val="center"/>
              <w:rPr>
                <w:b/>
              </w:rPr>
            </w:pPr>
            <w:r w:rsidRPr="00897905">
              <w:rPr>
                <w:b/>
              </w:rPr>
              <w:t>Cost (US$)</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t>H</w:t>
            </w:r>
            <w:r w:rsidR="00EE49F9">
              <w:t>igh pressure</w:t>
            </w:r>
            <w:r w:rsidRPr="00897905">
              <w:t xml:space="preserve"> </w:t>
            </w:r>
            <w:r w:rsidR="00EE37C4" w:rsidRPr="00897905">
              <w:t>d</w:t>
            </w:r>
            <w:r w:rsidRPr="00897905">
              <w:t>ispenser</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130,000</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t>Spare mixing head</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20,000</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t xml:space="preserve">Technical </w:t>
            </w:r>
            <w:r w:rsidR="00EE37C4" w:rsidRPr="00897905">
              <w:t>s</w:t>
            </w:r>
            <w:r w:rsidRPr="00897905">
              <w:t>upport</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50,000</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t>Trials</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40,000</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t xml:space="preserve">Safety </w:t>
            </w:r>
            <w:r w:rsidR="00EE37C4" w:rsidRPr="00897905">
              <w:t>a</w:t>
            </w:r>
            <w:r w:rsidRPr="00897905">
              <w:t>udit</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10,000</w:t>
            </w:r>
          </w:p>
        </w:tc>
      </w:tr>
      <w:tr w:rsidR="00945F98" w:rsidRPr="00897905" w:rsidTr="005A1F11">
        <w:tc>
          <w:tcPr>
            <w:tcW w:w="5557" w:type="dxa"/>
            <w:shd w:val="clear" w:color="auto" w:fill="auto"/>
            <w:noWrap/>
            <w:vAlign w:val="center"/>
            <w:hideMark/>
          </w:tcPr>
          <w:p w:rsidR="00945F98" w:rsidRPr="00897905" w:rsidRDefault="00EE37C4" w:rsidP="00ED25A9">
            <w:pPr>
              <w:spacing w:line="360" w:lineRule="auto"/>
              <w:rPr>
                <w:color w:val="000000"/>
              </w:rPr>
            </w:pPr>
            <w:r w:rsidRPr="00897905">
              <w:t>International</w:t>
            </w:r>
            <w:r w:rsidR="00945F98" w:rsidRPr="00897905">
              <w:t xml:space="preserve"> </w:t>
            </w:r>
            <w:r w:rsidR="00EE49F9">
              <w:t>s</w:t>
            </w:r>
            <w:r w:rsidR="00945F98" w:rsidRPr="00897905">
              <w:t>eminar</w:t>
            </w:r>
            <w:r w:rsidRPr="00897905">
              <w:t xml:space="preserve"> and project support</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20,000</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t>Contingencies</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t>27,000</w:t>
            </w:r>
          </w:p>
        </w:tc>
      </w:tr>
      <w:tr w:rsidR="00945F98" w:rsidRPr="00897905" w:rsidTr="005A1F11">
        <w:tc>
          <w:tcPr>
            <w:tcW w:w="5557" w:type="dxa"/>
            <w:shd w:val="clear" w:color="auto" w:fill="auto"/>
            <w:noWrap/>
            <w:vAlign w:val="center"/>
            <w:hideMark/>
          </w:tcPr>
          <w:p w:rsidR="00945F98" w:rsidRPr="00897905" w:rsidRDefault="00945F98" w:rsidP="00ED25A9">
            <w:pPr>
              <w:spacing w:line="360" w:lineRule="auto"/>
              <w:rPr>
                <w:color w:val="000000"/>
              </w:rPr>
            </w:pPr>
            <w:r w:rsidRPr="00897905">
              <w:rPr>
                <w:b/>
              </w:rPr>
              <w:t>Total</w:t>
            </w:r>
          </w:p>
        </w:tc>
        <w:tc>
          <w:tcPr>
            <w:tcW w:w="3420" w:type="dxa"/>
            <w:shd w:val="clear" w:color="auto" w:fill="auto"/>
            <w:noWrap/>
            <w:tcMar>
              <w:left w:w="115" w:type="dxa"/>
              <w:right w:w="1152" w:type="dxa"/>
            </w:tcMar>
            <w:vAlign w:val="center"/>
            <w:hideMark/>
          </w:tcPr>
          <w:p w:rsidR="00945F98" w:rsidRPr="00897905" w:rsidRDefault="00945F98" w:rsidP="005A1F11">
            <w:pPr>
              <w:tabs>
                <w:tab w:val="left" w:pos="2516"/>
              </w:tabs>
              <w:spacing w:line="360" w:lineRule="auto"/>
              <w:ind w:right="-967"/>
              <w:jc w:val="right"/>
              <w:rPr>
                <w:color w:val="000000"/>
              </w:rPr>
            </w:pPr>
            <w:r w:rsidRPr="00897905">
              <w:rPr>
                <w:b/>
              </w:rPr>
              <w:t>297,000</w:t>
            </w:r>
          </w:p>
        </w:tc>
      </w:tr>
    </w:tbl>
    <w:p w:rsidR="00945F98" w:rsidRPr="00945F98" w:rsidRDefault="00945F98" w:rsidP="00ED25A9">
      <w:pPr>
        <w:spacing w:line="360" w:lineRule="auto"/>
        <w:outlineLvl w:val="0"/>
        <w:rPr>
          <w:b/>
        </w:rPr>
      </w:pPr>
    </w:p>
    <w:p w:rsidR="00945F98" w:rsidRPr="00945F98" w:rsidRDefault="00EE37C4" w:rsidP="00DD57D3">
      <w:pPr>
        <w:pStyle w:val="Heading1"/>
      </w:pPr>
      <w:r>
        <w:t>The IOCs</w:t>
      </w:r>
      <w:r w:rsidR="004A5AAF">
        <w:t xml:space="preserve"> calculated on the costs of the </w:t>
      </w:r>
      <w:r w:rsidR="00EE49F9">
        <w:t xml:space="preserve">different </w:t>
      </w:r>
      <w:r w:rsidR="004A5AAF">
        <w:t>foam blowing agents, as originally submitted,</w:t>
      </w:r>
      <w:r w:rsidR="006C3753">
        <w:t> </w:t>
      </w:r>
      <w:r w:rsidR="00EE49F9">
        <w:t>amounts to US $</w:t>
      </w:r>
      <w:r w:rsidR="00EE49F9" w:rsidRPr="00EE49F9">
        <w:t>710,400</w:t>
      </w:r>
      <w:r w:rsidR="00EE49F9">
        <w:t>, as</w:t>
      </w:r>
      <w:r w:rsidR="006D1FEA">
        <w:t xml:space="preserve"> shown in </w:t>
      </w:r>
      <w:r w:rsidR="00945F98" w:rsidRPr="00945F98">
        <w:t xml:space="preserve">Table </w:t>
      </w:r>
      <w:r w:rsidR="002D35F5">
        <w:t>3</w:t>
      </w:r>
      <w:r w:rsidR="00945F98" w:rsidRPr="00945F98">
        <w:t>.</w:t>
      </w:r>
    </w:p>
    <w:p w:rsidR="00945F98" w:rsidRPr="00945F98" w:rsidRDefault="00945F98" w:rsidP="00ED25A9">
      <w:pPr>
        <w:keepNext/>
        <w:spacing w:line="360" w:lineRule="auto"/>
        <w:outlineLvl w:val="0"/>
        <w:rPr>
          <w:b/>
        </w:rPr>
      </w:pPr>
      <w:r w:rsidRPr="00945F98">
        <w:rPr>
          <w:b/>
        </w:rPr>
        <w:t xml:space="preserve">Table </w:t>
      </w:r>
      <w:r w:rsidR="002D35F5">
        <w:rPr>
          <w:b/>
        </w:rPr>
        <w:t>3</w:t>
      </w:r>
      <w:r w:rsidRPr="00945F98">
        <w:rPr>
          <w:b/>
        </w:rPr>
        <w:t xml:space="preserve">. </w:t>
      </w:r>
      <w:r w:rsidR="004A5AAF">
        <w:rPr>
          <w:b/>
        </w:rPr>
        <w:t xml:space="preserve">IOC </w:t>
      </w:r>
      <w:r w:rsidR="004A5AAF" w:rsidRPr="00945F98">
        <w:rPr>
          <w:b/>
        </w:rPr>
        <w:t xml:space="preserve">to HFOs </w:t>
      </w:r>
      <w:r w:rsidR="004A5AAF">
        <w:rPr>
          <w:b/>
        </w:rPr>
        <w:t>at Army Factory</w:t>
      </w:r>
    </w:p>
    <w:tbl>
      <w:tblPr>
        <w:tblW w:w="9252" w:type="dxa"/>
        <w:tblInd w:w="108" w:type="dxa"/>
        <w:tblLayout w:type="fixed"/>
        <w:tblLook w:val="04A0" w:firstRow="1" w:lastRow="0" w:firstColumn="1" w:lastColumn="0" w:noHBand="0" w:noVBand="1"/>
      </w:tblPr>
      <w:tblGrid>
        <w:gridCol w:w="1643"/>
        <w:gridCol w:w="1268"/>
        <w:gridCol w:w="1268"/>
        <w:gridCol w:w="1268"/>
        <w:gridCol w:w="1268"/>
        <w:gridCol w:w="1268"/>
        <w:gridCol w:w="9"/>
        <w:gridCol w:w="1260"/>
      </w:tblGrid>
      <w:tr w:rsidR="00945F98" w:rsidRPr="00897905" w:rsidTr="00897905">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F98" w:rsidRPr="00897905" w:rsidRDefault="00945F98" w:rsidP="00ED25A9">
            <w:pPr>
              <w:spacing w:line="360" w:lineRule="auto"/>
              <w:jc w:val="left"/>
              <w:rPr>
                <w:b/>
                <w:bCs/>
                <w:color w:val="000000"/>
                <w:lang w:val="en-CA" w:eastAsia="en-CA"/>
              </w:rPr>
            </w:pPr>
            <w:r w:rsidRPr="00897905">
              <w:rPr>
                <w:b/>
                <w:bCs/>
                <w:color w:val="000000"/>
                <w:lang w:val="en-CA" w:eastAsia="en-CA"/>
              </w:rPr>
              <w:t>Particulars</w:t>
            </w:r>
          </w:p>
        </w:tc>
        <w:tc>
          <w:tcPr>
            <w:tcW w:w="3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945F98" w:rsidRPr="00897905" w:rsidRDefault="00945F98" w:rsidP="00ED25A9">
            <w:pPr>
              <w:spacing w:line="360" w:lineRule="auto"/>
              <w:jc w:val="center"/>
              <w:rPr>
                <w:b/>
                <w:bCs/>
                <w:color w:val="000000"/>
                <w:lang w:val="en-CA" w:eastAsia="en-CA"/>
              </w:rPr>
            </w:pPr>
            <w:r w:rsidRPr="00897905">
              <w:rPr>
                <w:b/>
                <w:bCs/>
                <w:color w:val="000000"/>
                <w:lang w:val="en-CA" w:eastAsia="en-CA"/>
              </w:rPr>
              <w:t>HFC-134a</w:t>
            </w:r>
          </w:p>
        </w:tc>
        <w:tc>
          <w:tcPr>
            <w:tcW w:w="3805" w:type="dxa"/>
            <w:gridSpan w:val="4"/>
            <w:tcBorders>
              <w:top w:val="single" w:sz="4" w:space="0" w:color="auto"/>
              <w:left w:val="nil"/>
              <w:bottom w:val="single" w:sz="4" w:space="0" w:color="auto"/>
              <w:right w:val="single" w:sz="4" w:space="0" w:color="auto"/>
            </w:tcBorders>
            <w:shd w:val="clear" w:color="auto" w:fill="auto"/>
            <w:noWrap/>
            <w:vAlign w:val="bottom"/>
            <w:hideMark/>
          </w:tcPr>
          <w:p w:rsidR="00945F98" w:rsidRPr="00897905" w:rsidRDefault="00945F98" w:rsidP="00ED25A9">
            <w:pPr>
              <w:spacing w:line="360" w:lineRule="auto"/>
              <w:jc w:val="center"/>
              <w:rPr>
                <w:b/>
                <w:bCs/>
                <w:color w:val="000000"/>
                <w:lang w:val="en-CA" w:eastAsia="en-CA"/>
              </w:rPr>
            </w:pPr>
            <w:r w:rsidRPr="00897905">
              <w:rPr>
                <w:b/>
                <w:bCs/>
                <w:color w:val="000000"/>
                <w:lang w:val="en-CA" w:eastAsia="en-CA"/>
              </w:rPr>
              <w:t>HFO</w:t>
            </w:r>
          </w:p>
        </w:tc>
      </w:tr>
      <w:tr w:rsidR="00945F98" w:rsidRPr="00897905" w:rsidTr="00897905">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F98" w:rsidRPr="00897905" w:rsidRDefault="00945F98" w:rsidP="00ED25A9">
            <w:pPr>
              <w:spacing w:line="360" w:lineRule="auto"/>
              <w:jc w:val="left"/>
              <w:rPr>
                <w:b/>
                <w:bCs/>
                <w:color w:val="000000"/>
                <w:lang w:val="en-CA" w:eastAsia="en-CA"/>
              </w:rPr>
            </w:pP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897905" w:rsidP="00ED25A9">
            <w:pPr>
              <w:spacing w:line="360" w:lineRule="auto"/>
              <w:jc w:val="center"/>
              <w:rPr>
                <w:b/>
                <w:bCs/>
                <w:color w:val="000000"/>
                <w:lang w:val="en-CA" w:eastAsia="en-CA"/>
              </w:rPr>
            </w:pPr>
            <w:r w:rsidRPr="00897905">
              <w:rPr>
                <w:b/>
                <w:bCs/>
                <w:color w:val="000000"/>
                <w:lang w:val="en-CA" w:eastAsia="en-CA"/>
              </w:rPr>
              <w:t>US $</w:t>
            </w:r>
            <w:r w:rsidR="00945F98" w:rsidRPr="00897905">
              <w:rPr>
                <w:b/>
                <w:bCs/>
                <w:color w:val="000000"/>
                <w:lang w:val="en-CA" w:eastAsia="en-CA"/>
              </w:rPr>
              <w:t>/kg</w:t>
            </w: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945F98" w:rsidP="00ED25A9">
            <w:pPr>
              <w:spacing w:line="360" w:lineRule="auto"/>
              <w:jc w:val="center"/>
              <w:rPr>
                <w:b/>
                <w:bCs/>
                <w:color w:val="000000"/>
                <w:lang w:val="en-CA" w:eastAsia="en-CA"/>
              </w:rPr>
            </w:pPr>
            <w:r w:rsidRPr="00897905">
              <w:rPr>
                <w:b/>
                <w:bCs/>
                <w:color w:val="000000"/>
                <w:lang w:val="en-CA" w:eastAsia="en-CA"/>
              </w:rPr>
              <w:t>Percentage</w:t>
            </w: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945F98" w:rsidP="00ED25A9">
            <w:pPr>
              <w:spacing w:line="360" w:lineRule="auto"/>
              <w:jc w:val="center"/>
              <w:rPr>
                <w:b/>
                <w:bCs/>
                <w:color w:val="000000"/>
                <w:lang w:val="en-CA" w:eastAsia="en-CA"/>
              </w:rPr>
            </w:pP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897905" w:rsidP="00ED25A9">
            <w:pPr>
              <w:spacing w:line="360" w:lineRule="auto"/>
              <w:jc w:val="center"/>
              <w:rPr>
                <w:b/>
                <w:bCs/>
                <w:color w:val="000000"/>
                <w:lang w:val="en-CA" w:eastAsia="en-CA"/>
              </w:rPr>
            </w:pPr>
            <w:r w:rsidRPr="00897905">
              <w:rPr>
                <w:b/>
                <w:bCs/>
                <w:color w:val="000000"/>
                <w:lang w:val="en-CA" w:eastAsia="en-CA"/>
              </w:rPr>
              <w:t>US $</w:t>
            </w:r>
            <w:r w:rsidR="00945F98" w:rsidRPr="00897905">
              <w:rPr>
                <w:b/>
                <w:bCs/>
                <w:color w:val="000000"/>
                <w:lang w:val="en-CA" w:eastAsia="en-CA"/>
              </w:rPr>
              <w:t>/kg</w:t>
            </w: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945F98" w:rsidP="00ED25A9">
            <w:pPr>
              <w:spacing w:line="360" w:lineRule="auto"/>
              <w:jc w:val="center"/>
              <w:rPr>
                <w:b/>
                <w:bCs/>
                <w:color w:val="000000"/>
                <w:lang w:val="en-CA" w:eastAsia="en-CA"/>
              </w:rPr>
            </w:pPr>
            <w:r w:rsidRPr="00897905">
              <w:rPr>
                <w:b/>
                <w:bCs/>
                <w:color w:val="000000"/>
                <w:lang w:val="en-CA" w:eastAsia="en-CA"/>
              </w:rPr>
              <w:t>Percentage</w:t>
            </w:r>
          </w:p>
        </w:tc>
        <w:tc>
          <w:tcPr>
            <w:tcW w:w="1269" w:type="dxa"/>
            <w:gridSpan w:val="2"/>
            <w:tcBorders>
              <w:top w:val="single" w:sz="4" w:space="0" w:color="auto"/>
              <w:left w:val="nil"/>
              <w:bottom w:val="single" w:sz="4" w:space="0" w:color="auto"/>
              <w:right w:val="single" w:sz="4" w:space="0" w:color="auto"/>
            </w:tcBorders>
            <w:shd w:val="clear" w:color="auto" w:fill="auto"/>
            <w:noWrap/>
          </w:tcPr>
          <w:p w:rsidR="00945F98" w:rsidRPr="00897905" w:rsidRDefault="00945F98" w:rsidP="00ED25A9">
            <w:pPr>
              <w:spacing w:line="360" w:lineRule="auto"/>
              <w:jc w:val="center"/>
              <w:rPr>
                <w:b/>
                <w:bCs/>
                <w:color w:val="000000"/>
                <w:lang w:val="en-CA" w:eastAsia="en-CA"/>
              </w:rPr>
            </w:pPr>
          </w:p>
        </w:tc>
      </w:tr>
      <w:tr w:rsidR="00945F98" w:rsidRPr="00897905" w:rsidTr="00897905">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F98" w:rsidRPr="00897905" w:rsidRDefault="00945F98" w:rsidP="00ED25A9">
            <w:pPr>
              <w:spacing w:line="360" w:lineRule="auto"/>
              <w:jc w:val="left"/>
              <w:rPr>
                <w:b/>
                <w:bCs/>
                <w:color w:val="000000"/>
                <w:lang w:val="en-CA" w:eastAsia="en-CA"/>
              </w:rPr>
            </w:pP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EE37C4" w:rsidP="00ED25A9">
            <w:pPr>
              <w:spacing w:line="360" w:lineRule="auto"/>
              <w:jc w:val="center"/>
              <w:rPr>
                <w:b/>
                <w:bCs/>
                <w:color w:val="000000"/>
                <w:lang w:val="en-CA" w:eastAsia="en-CA"/>
              </w:rPr>
            </w:pPr>
            <w:r w:rsidRPr="00897905">
              <w:rPr>
                <w:b/>
                <w:bCs/>
                <w:color w:val="000000"/>
                <w:lang w:val="en-CA" w:eastAsia="en-CA"/>
              </w:rPr>
              <w:t>(</w:t>
            </w:r>
            <w:r w:rsidR="00945F98" w:rsidRPr="00897905">
              <w:rPr>
                <w:b/>
                <w:bCs/>
                <w:color w:val="000000"/>
                <w:lang w:val="en-CA" w:eastAsia="en-CA"/>
              </w:rPr>
              <w:t>a</w:t>
            </w:r>
            <w:r w:rsidRPr="00897905">
              <w:rPr>
                <w:b/>
                <w:bCs/>
                <w:color w:val="000000"/>
                <w:lang w:val="en-CA" w:eastAsia="en-CA"/>
              </w:rPr>
              <w:t>)</w:t>
            </w: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EE37C4" w:rsidP="00ED25A9">
            <w:pPr>
              <w:spacing w:line="360" w:lineRule="auto"/>
              <w:jc w:val="center"/>
              <w:rPr>
                <w:b/>
                <w:bCs/>
                <w:color w:val="000000"/>
                <w:lang w:val="en-CA" w:eastAsia="en-CA"/>
              </w:rPr>
            </w:pPr>
            <w:r w:rsidRPr="00897905">
              <w:rPr>
                <w:b/>
                <w:bCs/>
                <w:color w:val="000000"/>
                <w:lang w:val="en-CA" w:eastAsia="en-CA"/>
              </w:rPr>
              <w:t>(</w:t>
            </w:r>
            <w:r w:rsidR="00945F98" w:rsidRPr="00897905">
              <w:rPr>
                <w:b/>
                <w:bCs/>
                <w:color w:val="000000"/>
                <w:lang w:val="en-CA" w:eastAsia="en-CA"/>
              </w:rPr>
              <w:t>b</w:t>
            </w:r>
            <w:r w:rsidRPr="00897905">
              <w:rPr>
                <w:b/>
                <w:bCs/>
                <w:color w:val="000000"/>
                <w:lang w:val="en-CA" w:eastAsia="en-CA"/>
              </w:rPr>
              <w:t>)</w:t>
            </w:r>
          </w:p>
        </w:tc>
        <w:tc>
          <w:tcPr>
            <w:tcW w:w="1268"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945F98" w:rsidRPr="00897905" w:rsidRDefault="00EE37C4" w:rsidP="00ED25A9">
            <w:pPr>
              <w:spacing w:line="360" w:lineRule="auto"/>
              <w:ind w:left="-15"/>
              <w:jc w:val="center"/>
              <w:rPr>
                <w:b/>
                <w:bCs/>
                <w:color w:val="000000"/>
                <w:lang w:val="en-CA" w:eastAsia="en-CA"/>
              </w:rPr>
            </w:pPr>
            <w:r w:rsidRPr="00897905">
              <w:rPr>
                <w:b/>
                <w:bCs/>
                <w:color w:val="000000"/>
                <w:lang w:val="en-CA" w:eastAsia="en-CA"/>
              </w:rPr>
              <w:t>(</w:t>
            </w:r>
            <w:r w:rsidR="00945F98" w:rsidRPr="00897905">
              <w:rPr>
                <w:b/>
                <w:bCs/>
                <w:color w:val="000000"/>
                <w:lang w:val="en-CA" w:eastAsia="en-CA"/>
              </w:rPr>
              <w:t>c</w:t>
            </w:r>
            <w:r w:rsidRPr="00897905">
              <w:rPr>
                <w:b/>
                <w:bCs/>
                <w:color w:val="000000"/>
                <w:lang w:val="en-CA" w:eastAsia="en-CA"/>
              </w:rPr>
              <w:t>)</w:t>
            </w:r>
            <w:r w:rsidR="00945F98" w:rsidRPr="00897905">
              <w:rPr>
                <w:b/>
                <w:bCs/>
                <w:color w:val="000000"/>
                <w:lang w:val="en-CA" w:eastAsia="en-CA"/>
              </w:rPr>
              <w:t>=</w:t>
            </w:r>
            <w:r w:rsidRPr="00897905">
              <w:rPr>
                <w:b/>
                <w:bCs/>
                <w:color w:val="000000"/>
                <w:lang w:val="en-CA" w:eastAsia="en-CA"/>
              </w:rPr>
              <w:t>(</w:t>
            </w:r>
            <w:r w:rsidR="00945F98" w:rsidRPr="00897905">
              <w:rPr>
                <w:b/>
                <w:bCs/>
                <w:color w:val="000000"/>
                <w:lang w:val="en-CA" w:eastAsia="en-CA"/>
              </w:rPr>
              <w:t>a</w:t>
            </w:r>
            <w:r w:rsidRPr="00897905">
              <w:rPr>
                <w:b/>
                <w:bCs/>
                <w:color w:val="000000"/>
                <w:lang w:val="en-CA" w:eastAsia="en-CA"/>
              </w:rPr>
              <w:t>)</w:t>
            </w:r>
            <w:r w:rsidR="00945F98" w:rsidRPr="00897905">
              <w:rPr>
                <w:b/>
                <w:bCs/>
                <w:color w:val="000000"/>
                <w:lang w:val="en-CA" w:eastAsia="en-CA"/>
              </w:rPr>
              <w:t xml:space="preserve"> x </w:t>
            </w:r>
            <w:r w:rsidRPr="00897905">
              <w:rPr>
                <w:b/>
                <w:bCs/>
                <w:color w:val="000000"/>
                <w:lang w:val="en-CA" w:eastAsia="en-CA"/>
              </w:rPr>
              <w:t>(</w:t>
            </w:r>
            <w:r w:rsidR="00945F98" w:rsidRPr="00897905">
              <w:rPr>
                <w:b/>
                <w:bCs/>
                <w:color w:val="000000"/>
                <w:lang w:val="en-CA" w:eastAsia="en-CA"/>
              </w:rPr>
              <w:t>b</w:t>
            </w:r>
            <w:r w:rsidRPr="00897905">
              <w:rPr>
                <w:b/>
                <w:bCs/>
                <w:color w:val="000000"/>
                <w:lang w:val="en-CA" w:eastAsia="en-CA"/>
              </w:rPr>
              <w:t>)</w:t>
            </w: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EE37C4" w:rsidP="00ED25A9">
            <w:pPr>
              <w:spacing w:line="360" w:lineRule="auto"/>
              <w:jc w:val="center"/>
              <w:rPr>
                <w:b/>
                <w:bCs/>
                <w:color w:val="000000"/>
                <w:lang w:val="en-CA" w:eastAsia="en-CA"/>
              </w:rPr>
            </w:pPr>
            <w:r w:rsidRPr="00897905">
              <w:rPr>
                <w:b/>
                <w:bCs/>
                <w:color w:val="000000"/>
                <w:lang w:val="en-CA" w:eastAsia="en-CA"/>
              </w:rPr>
              <w:t>(</w:t>
            </w:r>
            <w:r w:rsidR="00945F98" w:rsidRPr="00897905">
              <w:rPr>
                <w:b/>
                <w:bCs/>
                <w:color w:val="000000"/>
                <w:lang w:val="en-CA" w:eastAsia="en-CA"/>
              </w:rPr>
              <w:t>d</w:t>
            </w:r>
            <w:r w:rsidRPr="00897905">
              <w:rPr>
                <w:b/>
                <w:bCs/>
                <w:color w:val="000000"/>
                <w:lang w:val="en-CA" w:eastAsia="en-CA"/>
              </w:rPr>
              <w:t>)</w:t>
            </w:r>
          </w:p>
        </w:tc>
        <w:tc>
          <w:tcPr>
            <w:tcW w:w="1268" w:type="dxa"/>
            <w:tcBorders>
              <w:top w:val="single" w:sz="4" w:space="0" w:color="auto"/>
              <w:left w:val="nil"/>
              <w:bottom w:val="single" w:sz="4" w:space="0" w:color="auto"/>
              <w:right w:val="single" w:sz="4" w:space="0" w:color="auto"/>
            </w:tcBorders>
            <w:shd w:val="clear" w:color="auto" w:fill="auto"/>
            <w:noWrap/>
          </w:tcPr>
          <w:p w:rsidR="00945F98" w:rsidRPr="00897905" w:rsidRDefault="00EE37C4" w:rsidP="00ED25A9">
            <w:pPr>
              <w:spacing w:line="360" w:lineRule="auto"/>
              <w:jc w:val="center"/>
              <w:rPr>
                <w:b/>
                <w:bCs/>
                <w:color w:val="000000"/>
                <w:lang w:val="en-CA" w:eastAsia="en-CA"/>
              </w:rPr>
            </w:pPr>
            <w:r w:rsidRPr="00897905">
              <w:rPr>
                <w:b/>
                <w:bCs/>
                <w:color w:val="000000"/>
                <w:lang w:val="en-CA" w:eastAsia="en-CA"/>
              </w:rPr>
              <w:t>(e)</w:t>
            </w:r>
          </w:p>
        </w:tc>
        <w:tc>
          <w:tcPr>
            <w:tcW w:w="1269" w:type="dxa"/>
            <w:gridSpan w:val="2"/>
            <w:tcBorders>
              <w:top w:val="single" w:sz="4" w:space="0" w:color="auto"/>
              <w:left w:val="nil"/>
              <w:bottom w:val="single" w:sz="4" w:space="0" w:color="auto"/>
              <w:right w:val="single" w:sz="4" w:space="0" w:color="auto"/>
            </w:tcBorders>
            <w:shd w:val="clear" w:color="auto" w:fill="auto"/>
            <w:noWrap/>
            <w:tcMar>
              <w:left w:w="0" w:type="dxa"/>
              <w:right w:w="0" w:type="dxa"/>
            </w:tcMar>
          </w:tcPr>
          <w:p w:rsidR="00945F98" w:rsidRPr="00897905" w:rsidRDefault="00EE37C4" w:rsidP="00ED25A9">
            <w:pPr>
              <w:spacing w:line="360" w:lineRule="auto"/>
              <w:jc w:val="center"/>
              <w:rPr>
                <w:b/>
                <w:bCs/>
                <w:color w:val="000000"/>
                <w:lang w:val="en-CA" w:eastAsia="en-CA"/>
              </w:rPr>
            </w:pPr>
            <w:r w:rsidRPr="00897905">
              <w:rPr>
                <w:b/>
                <w:bCs/>
                <w:color w:val="000000"/>
                <w:lang w:val="en-CA" w:eastAsia="en-CA"/>
              </w:rPr>
              <w:t>(</w:t>
            </w:r>
            <w:r w:rsidR="00945F98" w:rsidRPr="00897905">
              <w:rPr>
                <w:b/>
                <w:bCs/>
                <w:color w:val="000000"/>
                <w:lang w:val="en-CA" w:eastAsia="en-CA"/>
              </w:rPr>
              <w:t>f</w:t>
            </w:r>
            <w:r w:rsidRPr="00897905">
              <w:rPr>
                <w:b/>
                <w:bCs/>
                <w:color w:val="000000"/>
                <w:lang w:val="en-CA" w:eastAsia="en-CA"/>
              </w:rPr>
              <w:t>)</w:t>
            </w:r>
            <w:r w:rsidR="00945F98" w:rsidRPr="00897905">
              <w:rPr>
                <w:b/>
                <w:bCs/>
                <w:color w:val="000000"/>
                <w:lang w:val="en-CA" w:eastAsia="en-CA"/>
              </w:rPr>
              <w:t>=</w:t>
            </w:r>
            <w:r w:rsidRPr="00897905">
              <w:rPr>
                <w:b/>
                <w:bCs/>
                <w:color w:val="000000"/>
                <w:lang w:val="en-CA" w:eastAsia="en-CA"/>
              </w:rPr>
              <w:t xml:space="preserve">(d) </w:t>
            </w:r>
            <w:r w:rsidR="00945F98" w:rsidRPr="00897905">
              <w:rPr>
                <w:b/>
                <w:bCs/>
                <w:color w:val="000000"/>
                <w:lang w:val="en-CA" w:eastAsia="en-CA"/>
              </w:rPr>
              <w:t xml:space="preserve">x </w:t>
            </w:r>
            <w:r w:rsidRPr="00897905">
              <w:rPr>
                <w:b/>
                <w:bCs/>
                <w:color w:val="000000"/>
                <w:lang w:val="en-CA" w:eastAsia="en-CA"/>
              </w:rPr>
              <w:t>(e)</w:t>
            </w:r>
          </w:p>
        </w:tc>
      </w:tr>
      <w:tr w:rsidR="00945F98" w:rsidRPr="00897905" w:rsidTr="00897905">
        <w:tc>
          <w:tcPr>
            <w:tcW w:w="1643" w:type="dxa"/>
            <w:tcBorders>
              <w:top w:val="nil"/>
              <w:left w:val="single" w:sz="4" w:space="0" w:color="auto"/>
              <w:bottom w:val="single" w:sz="4" w:space="0" w:color="auto"/>
              <w:right w:val="single" w:sz="4" w:space="0" w:color="auto"/>
            </w:tcBorders>
            <w:shd w:val="clear" w:color="auto" w:fill="auto"/>
            <w:noWrap/>
            <w:hideMark/>
          </w:tcPr>
          <w:p w:rsidR="00945F98" w:rsidRPr="00897905" w:rsidRDefault="00945F98" w:rsidP="00ED25A9">
            <w:pPr>
              <w:spacing w:line="360" w:lineRule="auto"/>
              <w:jc w:val="left"/>
              <w:rPr>
                <w:color w:val="000000"/>
                <w:lang w:val="en-CA" w:eastAsia="en-CA"/>
              </w:rPr>
            </w:pPr>
            <w:r w:rsidRPr="00897905">
              <w:rPr>
                <w:color w:val="000000"/>
                <w:lang w:val="en-CA" w:eastAsia="en-CA"/>
              </w:rPr>
              <w:t>Polyol</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2.80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40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1.12</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2.80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36</w:t>
            </w:r>
          </w:p>
        </w:tc>
        <w:tc>
          <w:tcPr>
            <w:tcW w:w="1269" w:type="dxa"/>
            <w:gridSpan w:val="2"/>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1.01</w:t>
            </w:r>
          </w:p>
        </w:tc>
      </w:tr>
      <w:tr w:rsidR="00945F98" w:rsidRPr="00897905" w:rsidTr="00897905">
        <w:tc>
          <w:tcPr>
            <w:tcW w:w="1643" w:type="dxa"/>
            <w:tcBorders>
              <w:top w:val="nil"/>
              <w:left w:val="single" w:sz="4" w:space="0" w:color="auto"/>
              <w:bottom w:val="single" w:sz="4" w:space="0" w:color="auto"/>
              <w:right w:val="single" w:sz="4" w:space="0" w:color="auto"/>
            </w:tcBorders>
            <w:shd w:val="clear" w:color="auto" w:fill="auto"/>
            <w:noWrap/>
            <w:hideMark/>
          </w:tcPr>
          <w:p w:rsidR="00945F98" w:rsidRPr="00897905" w:rsidRDefault="00945F98" w:rsidP="00ED25A9">
            <w:pPr>
              <w:spacing w:line="360" w:lineRule="auto"/>
              <w:jc w:val="left"/>
              <w:rPr>
                <w:color w:val="000000"/>
                <w:lang w:val="en-CA" w:eastAsia="en-CA"/>
              </w:rPr>
            </w:pPr>
            <w:r w:rsidRPr="00897905">
              <w:rPr>
                <w:color w:val="000000"/>
                <w:lang w:val="en-CA" w:eastAsia="en-CA"/>
              </w:rPr>
              <w:t>Isocyanate</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3.00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50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1.50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3.00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50</w:t>
            </w:r>
          </w:p>
        </w:tc>
        <w:tc>
          <w:tcPr>
            <w:tcW w:w="1269" w:type="dxa"/>
            <w:gridSpan w:val="2"/>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1.50</w:t>
            </w:r>
          </w:p>
        </w:tc>
      </w:tr>
      <w:tr w:rsidR="00945F98" w:rsidRPr="00897905" w:rsidTr="00897905">
        <w:tc>
          <w:tcPr>
            <w:tcW w:w="1643" w:type="dxa"/>
            <w:tcBorders>
              <w:top w:val="nil"/>
              <w:left w:val="single" w:sz="4" w:space="0" w:color="auto"/>
              <w:bottom w:val="single" w:sz="4" w:space="0" w:color="auto"/>
              <w:right w:val="single" w:sz="4" w:space="0" w:color="auto"/>
            </w:tcBorders>
            <w:shd w:val="clear" w:color="auto" w:fill="auto"/>
            <w:noWrap/>
            <w:hideMark/>
          </w:tcPr>
          <w:p w:rsidR="00945F98" w:rsidRPr="00897905" w:rsidRDefault="00945F98" w:rsidP="00ED25A9">
            <w:pPr>
              <w:spacing w:line="360" w:lineRule="auto"/>
              <w:jc w:val="left"/>
              <w:rPr>
                <w:color w:val="000000"/>
                <w:lang w:val="en-CA" w:eastAsia="en-CA"/>
              </w:rPr>
            </w:pPr>
            <w:r w:rsidRPr="00897905">
              <w:rPr>
                <w:color w:val="000000"/>
                <w:lang w:val="en-CA" w:eastAsia="en-CA"/>
              </w:rPr>
              <w:t>Blowing agent</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7.10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0.71</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15.00</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14</w:t>
            </w:r>
          </w:p>
        </w:tc>
        <w:tc>
          <w:tcPr>
            <w:tcW w:w="1269" w:type="dxa"/>
            <w:gridSpan w:val="2"/>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color w:val="000000"/>
                <w:lang w:val="en-CA" w:eastAsia="en-CA"/>
              </w:rPr>
            </w:pPr>
            <w:r w:rsidRPr="00897905">
              <w:rPr>
                <w:color w:val="000000"/>
                <w:lang w:val="en-CA" w:eastAsia="en-CA"/>
              </w:rPr>
              <w:t>2.10</w:t>
            </w:r>
          </w:p>
        </w:tc>
      </w:tr>
      <w:tr w:rsidR="00945F98" w:rsidRPr="00897905" w:rsidTr="00897905">
        <w:tc>
          <w:tcPr>
            <w:tcW w:w="1643" w:type="dxa"/>
            <w:tcBorders>
              <w:top w:val="nil"/>
              <w:left w:val="single" w:sz="4" w:space="0" w:color="auto"/>
              <w:bottom w:val="single" w:sz="4" w:space="0" w:color="auto"/>
              <w:right w:val="single" w:sz="4" w:space="0" w:color="auto"/>
            </w:tcBorders>
            <w:shd w:val="clear" w:color="auto" w:fill="auto"/>
            <w:noWrap/>
            <w:hideMark/>
          </w:tcPr>
          <w:p w:rsidR="00945F98" w:rsidRPr="00897905" w:rsidRDefault="00945F98" w:rsidP="00ED25A9">
            <w:pPr>
              <w:spacing w:line="360" w:lineRule="auto"/>
              <w:jc w:val="left"/>
              <w:rPr>
                <w:color w:val="000000"/>
                <w:lang w:val="en-CA" w:eastAsia="en-CA"/>
              </w:rPr>
            </w:pPr>
            <w:r w:rsidRPr="00897905">
              <w:rPr>
                <w:color w:val="000000"/>
                <w:lang w:val="en-CA" w:eastAsia="en-CA"/>
              </w:rPr>
              <w:t>Total</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b/>
                <w:bCs/>
                <w:color w:val="000000"/>
                <w:lang w:val="en-CA" w:eastAsia="en-CA"/>
              </w:rPr>
            </w:pP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b/>
                <w:bCs/>
                <w:color w:val="000000"/>
                <w:lang w:val="en-CA" w:eastAsia="en-CA"/>
              </w:rPr>
            </w:pP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b/>
                <w:bCs/>
                <w:color w:val="000000"/>
                <w:lang w:val="en-CA" w:eastAsia="en-CA"/>
              </w:rPr>
            </w:pPr>
            <w:r w:rsidRPr="00897905">
              <w:rPr>
                <w:b/>
                <w:bCs/>
                <w:color w:val="000000"/>
                <w:lang w:val="en-CA" w:eastAsia="en-CA"/>
              </w:rPr>
              <w:t>3.33</w:t>
            </w: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b/>
                <w:bCs/>
                <w:color w:val="000000"/>
                <w:lang w:val="en-CA" w:eastAsia="en-CA"/>
              </w:rPr>
            </w:pPr>
          </w:p>
        </w:tc>
        <w:tc>
          <w:tcPr>
            <w:tcW w:w="1268" w:type="dxa"/>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b/>
                <w:bCs/>
                <w:color w:val="000000"/>
                <w:lang w:val="en-CA" w:eastAsia="en-CA"/>
              </w:rPr>
            </w:pPr>
          </w:p>
        </w:tc>
        <w:tc>
          <w:tcPr>
            <w:tcW w:w="1269" w:type="dxa"/>
            <w:gridSpan w:val="2"/>
            <w:tcBorders>
              <w:top w:val="nil"/>
              <w:left w:val="nil"/>
              <w:bottom w:val="single" w:sz="4" w:space="0" w:color="auto"/>
              <w:right w:val="single" w:sz="4" w:space="0" w:color="auto"/>
            </w:tcBorders>
            <w:shd w:val="clear" w:color="auto" w:fill="auto"/>
            <w:noWrap/>
            <w:hideMark/>
          </w:tcPr>
          <w:p w:rsidR="00945F98" w:rsidRPr="00897905" w:rsidRDefault="00945F98" w:rsidP="00ED25A9">
            <w:pPr>
              <w:spacing w:line="360" w:lineRule="auto"/>
              <w:jc w:val="right"/>
              <w:rPr>
                <w:b/>
                <w:bCs/>
                <w:color w:val="000000"/>
                <w:lang w:val="en-CA" w:eastAsia="en-CA"/>
              </w:rPr>
            </w:pPr>
            <w:r w:rsidRPr="00897905">
              <w:rPr>
                <w:b/>
                <w:bCs/>
                <w:color w:val="000000"/>
                <w:lang w:val="en-CA" w:eastAsia="en-CA"/>
              </w:rPr>
              <w:t>4.61</w:t>
            </w:r>
          </w:p>
        </w:tc>
      </w:tr>
      <w:tr w:rsidR="00945F98" w:rsidRPr="00897905" w:rsidTr="00897905">
        <w:tc>
          <w:tcPr>
            <w:tcW w:w="7992" w:type="dxa"/>
            <w:gridSpan w:val="7"/>
            <w:tcBorders>
              <w:top w:val="nil"/>
              <w:left w:val="single" w:sz="4" w:space="0" w:color="auto"/>
              <w:bottom w:val="single" w:sz="4" w:space="0" w:color="auto"/>
              <w:right w:val="single" w:sz="4" w:space="0" w:color="auto"/>
            </w:tcBorders>
            <w:shd w:val="clear" w:color="auto" w:fill="auto"/>
            <w:noWrap/>
          </w:tcPr>
          <w:p w:rsidR="00945F98" w:rsidRPr="00897905" w:rsidRDefault="00945F98" w:rsidP="00ED25A9">
            <w:pPr>
              <w:spacing w:line="360" w:lineRule="auto"/>
              <w:jc w:val="left"/>
              <w:rPr>
                <w:b/>
                <w:bCs/>
                <w:color w:val="000000"/>
                <w:lang w:val="en-CA" w:eastAsia="en-CA"/>
              </w:rPr>
            </w:pPr>
            <w:r w:rsidRPr="00897905">
              <w:rPr>
                <w:color w:val="000000"/>
                <w:lang w:val="en-CA" w:eastAsia="en-CA"/>
              </w:rPr>
              <w:t>Incremental cost of systems using HFOs (</w:t>
            </w:r>
            <w:r w:rsidR="00897905" w:rsidRPr="00897905">
              <w:rPr>
                <w:color w:val="000000"/>
                <w:lang w:val="en-CA" w:eastAsia="en-CA"/>
              </w:rPr>
              <w:t>US $</w:t>
            </w:r>
            <w:r w:rsidRPr="00897905">
              <w:rPr>
                <w:color w:val="000000"/>
                <w:lang w:val="en-CA" w:eastAsia="en-CA"/>
              </w:rPr>
              <w:t>/kg of system)</w:t>
            </w:r>
          </w:p>
        </w:tc>
        <w:tc>
          <w:tcPr>
            <w:tcW w:w="1260" w:type="dxa"/>
            <w:tcBorders>
              <w:top w:val="nil"/>
              <w:left w:val="nil"/>
              <w:bottom w:val="single" w:sz="4" w:space="0" w:color="auto"/>
              <w:right w:val="single" w:sz="4" w:space="0" w:color="auto"/>
            </w:tcBorders>
            <w:shd w:val="clear" w:color="auto" w:fill="auto"/>
            <w:noWrap/>
          </w:tcPr>
          <w:p w:rsidR="00945F98" w:rsidRPr="00897905" w:rsidRDefault="00945F98" w:rsidP="00ED25A9">
            <w:pPr>
              <w:spacing w:line="360" w:lineRule="auto"/>
              <w:jc w:val="right"/>
              <w:rPr>
                <w:b/>
                <w:bCs/>
                <w:color w:val="000000"/>
                <w:lang w:val="en-CA" w:eastAsia="en-CA"/>
              </w:rPr>
            </w:pPr>
            <w:r w:rsidRPr="00897905">
              <w:rPr>
                <w:color w:val="000000"/>
                <w:lang w:val="en-CA" w:eastAsia="en-CA"/>
              </w:rPr>
              <w:t>1.28</w:t>
            </w:r>
          </w:p>
        </w:tc>
      </w:tr>
      <w:tr w:rsidR="00945F98" w:rsidRPr="00897905" w:rsidTr="00897905">
        <w:tc>
          <w:tcPr>
            <w:tcW w:w="7992" w:type="dxa"/>
            <w:gridSpan w:val="7"/>
            <w:tcBorders>
              <w:top w:val="nil"/>
              <w:left w:val="single" w:sz="4" w:space="0" w:color="auto"/>
              <w:bottom w:val="single" w:sz="4" w:space="0" w:color="auto"/>
              <w:right w:val="single" w:sz="4" w:space="0" w:color="auto"/>
            </w:tcBorders>
            <w:shd w:val="clear" w:color="auto" w:fill="auto"/>
            <w:noWrap/>
          </w:tcPr>
          <w:p w:rsidR="00945F98" w:rsidRPr="00897905" w:rsidRDefault="00945F98" w:rsidP="00ED25A9">
            <w:pPr>
              <w:spacing w:line="360" w:lineRule="auto"/>
              <w:jc w:val="left"/>
              <w:rPr>
                <w:color w:val="000000"/>
                <w:lang w:val="en-CA" w:eastAsia="en-CA"/>
              </w:rPr>
            </w:pPr>
            <w:r w:rsidRPr="00897905">
              <w:rPr>
                <w:color w:val="000000"/>
                <w:lang w:val="en-CA" w:eastAsia="en-CA"/>
              </w:rPr>
              <w:t>Incremental cost of systems using HFOs (</w:t>
            </w:r>
            <w:r w:rsidR="00897905" w:rsidRPr="00897905">
              <w:rPr>
                <w:color w:val="000000"/>
                <w:lang w:val="en-CA" w:eastAsia="en-CA"/>
              </w:rPr>
              <w:t>US $</w:t>
            </w:r>
            <w:r w:rsidRPr="00897905">
              <w:rPr>
                <w:color w:val="000000"/>
                <w:lang w:val="en-CA" w:eastAsia="en-CA"/>
              </w:rPr>
              <w:t>/kg of HFC-134a)</w:t>
            </w:r>
          </w:p>
        </w:tc>
        <w:tc>
          <w:tcPr>
            <w:tcW w:w="1260" w:type="dxa"/>
            <w:tcBorders>
              <w:top w:val="nil"/>
              <w:left w:val="nil"/>
              <w:bottom w:val="single" w:sz="4" w:space="0" w:color="auto"/>
              <w:right w:val="single" w:sz="4" w:space="0" w:color="auto"/>
            </w:tcBorders>
            <w:shd w:val="clear" w:color="auto" w:fill="auto"/>
            <w:noWrap/>
          </w:tcPr>
          <w:p w:rsidR="00945F98" w:rsidRPr="00897905" w:rsidRDefault="00945F98" w:rsidP="00ED25A9">
            <w:pPr>
              <w:spacing w:line="360" w:lineRule="auto"/>
              <w:jc w:val="right"/>
              <w:rPr>
                <w:color w:val="000000"/>
                <w:lang w:val="en-CA" w:eastAsia="en-CA"/>
              </w:rPr>
            </w:pPr>
            <w:r w:rsidRPr="00897905">
              <w:rPr>
                <w:color w:val="000000"/>
                <w:lang w:val="en-CA" w:eastAsia="en-CA"/>
              </w:rPr>
              <w:t>12.80</w:t>
            </w:r>
          </w:p>
        </w:tc>
      </w:tr>
      <w:tr w:rsidR="00945F98" w:rsidRPr="00897905" w:rsidTr="00897905">
        <w:tc>
          <w:tcPr>
            <w:tcW w:w="7992" w:type="dxa"/>
            <w:gridSpan w:val="7"/>
            <w:tcBorders>
              <w:top w:val="nil"/>
              <w:left w:val="single" w:sz="4" w:space="0" w:color="auto"/>
              <w:bottom w:val="single" w:sz="4" w:space="0" w:color="auto"/>
              <w:right w:val="single" w:sz="4" w:space="0" w:color="auto"/>
            </w:tcBorders>
            <w:shd w:val="clear" w:color="auto" w:fill="auto"/>
            <w:noWrap/>
          </w:tcPr>
          <w:p w:rsidR="00945F98" w:rsidRPr="00897905" w:rsidRDefault="00945F98" w:rsidP="00ED25A9">
            <w:pPr>
              <w:spacing w:line="360" w:lineRule="auto"/>
              <w:jc w:val="left"/>
              <w:rPr>
                <w:color w:val="000000"/>
                <w:lang w:val="en-CA" w:eastAsia="en-CA"/>
              </w:rPr>
            </w:pPr>
            <w:r w:rsidRPr="00897905">
              <w:rPr>
                <w:color w:val="000000"/>
                <w:lang w:val="en-CA" w:eastAsia="en-CA"/>
              </w:rPr>
              <w:t xml:space="preserve">Consumption of HFC-134a (2017) </w:t>
            </w:r>
            <w:r w:rsidR="00EE37C4" w:rsidRPr="00897905">
              <w:rPr>
                <w:color w:val="000000"/>
                <w:lang w:val="en-CA" w:eastAsia="en-CA"/>
              </w:rPr>
              <w:t>(</w:t>
            </w:r>
            <w:r w:rsidRPr="00897905">
              <w:rPr>
                <w:color w:val="000000"/>
                <w:lang w:val="en-CA" w:eastAsia="en-CA"/>
              </w:rPr>
              <w:t>mt</w:t>
            </w:r>
            <w:r w:rsidR="00EE37C4" w:rsidRPr="00897905">
              <w:rPr>
                <w:color w:val="000000"/>
                <w:lang w:val="en-CA" w:eastAsia="en-CA"/>
              </w:rPr>
              <w:t>)</w:t>
            </w:r>
          </w:p>
        </w:tc>
        <w:tc>
          <w:tcPr>
            <w:tcW w:w="1260" w:type="dxa"/>
            <w:tcBorders>
              <w:top w:val="nil"/>
              <w:left w:val="nil"/>
              <w:bottom w:val="single" w:sz="4" w:space="0" w:color="auto"/>
              <w:right w:val="single" w:sz="4" w:space="0" w:color="auto"/>
            </w:tcBorders>
            <w:shd w:val="clear" w:color="auto" w:fill="auto"/>
            <w:noWrap/>
          </w:tcPr>
          <w:p w:rsidR="00945F98" w:rsidRPr="00897905" w:rsidRDefault="00945F98" w:rsidP="00ED25A9">
            <w:pPr>
              <w:spacing w:line="360" w:lineRule="auto"/>
              <w:jc w:val="right"/>
              <w:rPr>
                <w:color w:val="000000"/>
                <w:lang w:val="en-CA" w:eastAsia="en-CA"/>
              </w:rPr>
            </w:pPr>
            <w:r w:rsidRPr="00897905">
              <w:rPr>
                <w:color w:val="000000"/>
                <w:lang w:val="en-CA" w:eastAsia="en-CA"/>
              </w:rPr>
              <w:t>55.50</w:t>
            </w:r>
          </w:p>
        </w:tc>
      </w:tr>
      <w:tr w:rsidR="00945F98" w:rsidRPr="00897905" w:rsidTr="00897905">
        <w:tc>
          <w:tcPr>
            <w:tcW w:w="7992" w:type="dxa"/>
            <w:gridSpan w:val="7"/>
            <w:tcBorders>
              <w:top w:val="nil"/>
              <w:left w:val="single" w:sz="4" w:space="0" w:color="auto"/>
              <w:bottom w:val="single" w:sz="4" w:space="0" w:color="auto"/>
              <w:right w:val="single" w:sz="4" w:space="0" w:color="auto"/>
            </w:tcBorders>
            <w:shd w:val="clear" w:color="auto" w:fill="auto"/>
            <w:noWrap/>
          </w:tcPr>
          <w:p w:rsidR="00945F98" w:rsidRPr="00897905" w:rsidRDefault="00EE37C4" w:rsidP="00ED25A9">
            <w:pPr>
              <w:spacing w:line="360" w:lineRule="auto"/>
              <w:jc w:val="left"/>
              <w:rPr>
                <w:b/>
                <w:color w:val="000000"/>
                <w:lang w:val="en-CA" w:eastAsia="en-CA"/>
              </w:rPr>
            </w:pPr>
            <w:r w:rsidRPr="00897905">
              <w:rPr>
                <w:b/>
                <w:color w:val="000000"/>
                <w:lang w:val="en-CA" w:eastAsia="en-CA"/>
              </w:rPr>
              <w:t>IOC (</w:t>
            </w:r>
            <w:r w:rsidR="00897905" w:rsidRPr="00897905">
              <w:rPr>
                <w:b/>
                <w:color w:val="000000"/>
                <w:lang w:val="en-CA" w:eastAsia="en-CA"/>
              </w:rPr>
              <w:t>US $</w:t>
            </w:r>
            <w:r w:rsidRPr="00897905">
              <w:rPr>
                <w:b/>
                <w:color w:val="000000"/>
                <w:lang w:val="en-CA" w:eastAsia="en-CA"/>
              </w:rPr>
              <w:t>)</w:t>
            </w:r>
          </w:p>
        </w:tc>
        <w:tc>
          <w:tcPr>
            <w:tcW w:w="1260" w:type="dxa"/>
            <w:tcBorders>
              <w:top w:val="nil"/>
              <w:left w:val="nil"/>
              <w:bottom w:val="single" w:sz="4" w:space="0" w:color="auto"/>
              <w:right w:val="single" w:sz="4" w:space="0" w:color="auto"/>
            </w:tcBorders>
            <w:shd w:val="clear" w:color="auto" w:fill="auto"/>
            <w:noWrap/>
          </w:tcPr>
          <w:p w:rsidR="00945F98" w:rsidRPr="00897905" w:rsidRDefault="00945F98" w:rsidP="00ED25A9">
            <w:pPr>
              <w:spacing w:line="360" w:lineRule="auto"/>
              <w:jc w:val="right"/>
              <w:rPr>
                <w:b/>
                <w:color w:val="000000"/>
                <w:lang w:val="en-CA" w:eastAsia="en-CA"/>
              </w:rPr>
            </w:pPr>
            <w:r w:rsidRPr="00897905">
              <w:rPr>
                <w:b/>
                <w:color w:val="000000"/>
                <w:lang w:val="en-CA" w:eastAsia="en-CA"/>
              </w:rPr>
              <w:t>710,400</w:t>
            </w:r>
          </w:p>
        </w:tc>
      </w:tr>
    </w:tbl>
    <w:p w:rsidR="00897905" w:rsidRDefault="00897905" w:rsidP="00ED25A9">
      <w:pPr>
        <w:pStyle w:val="Heading1"/>
        <w:numPr>
          <w:ilvl w:val="0"/>
          <w:numId w:val="0"/>
        </w:numPr>
        <w:spacing w:after="0" w:line="360" w:lineRule="auto"/>
      </w:pPr>
    </w:p>
    <w:p w:rsidR="00945F98" w:rsidRDefault="007F1555" w:rsidP="00DD57D3">
      <w:pPr>
        <w:pStyle w:val="Heading1"/>
      </w:pPr>
      <w:r w:rsidRPr="007F1555">
        <w:t xml:space="preserve">The total cost of the project </w:t>
      </w:r>
      <w:r w:rsidR="00EE37C4">
        <w:t>amounts to</w:t>
      </w:r>
      <w:r w:rsidRPr="007F1555">
        <w:t xml:space="preserve"> </w:t>
      </w:r>
      <w:r w:rsidR="00897905">
        <w:t>US $</w:t>
      </w:r>
      <w:r>
        <w:t>1,007,400</w:t>
      </w:r>
      <w:r w:rsidR="00EE37C4">
        <w:t>,</w:t>
      </w:r>
      <w:r>
        <w:t xml:space="preserve"> plus </w:t>
      </w:r>
      <w:r w:rsidR="00EE37C4">
        <w:t xml:space="preserve">agency </w:t>
      </w:r>
      <w:r>
        <w:t>support costs</w:t>
      </w:r>
      <w:r w:rsidRPr="007F1555">
        <w:t xml:space="preserve">, </w:t>
      </w:r>
      <w:r>
        <w:t xml:space="preserve">with a </w:t>
      </w:r>
      <w:r w:rsidR="000508A0">
        <w:t xml:space="preserve">                      </w:t>
      </w:r>
      <w:r>
        <w:t>cost</w:t>
      </w:r>
      <w:r w:rsidR="00A91317">
        <w:t>-</w:t>
      </w:r>
      <w:r>
        <w:t>effective</w:t>
      </w:r>
      <w:r w:rsidR="00A91317">
        <w:t>ne</w:t>
      </w:r>
      <w:r>
        <w:t xml:space="preserve">ss of </w:t>
      </w:r>
      <w:r w:rsidR="00897905">
        <w:t>US $</w:t>
      </w:r>
      <w:r>
        <w:t>18.15/kg.</w:t>
      </w:r>
      <w:r w:rsidR="00897905">
        <w:t xml:space="preserve"> </w:t>
      </w:r>
      <w:r w:rsidR="00945F98" w:rsidRPr="00945F98">
        <w:t>The project would be implemented over a period of 24 months.</w:t>
      </w:r>
    </w:p>
    <w:p w:rsidR="00945F98" w:rsidRPr="00945F98" w:rsidRDefault="00945F98" w:rsidP="00DD57D3">
      <w:pPr>
        <w:jc w:val="center"/>
        <w:rPr>
          <w:b/>
          <w:lang w:val="en-CA"/>
        </w:rPr>
      </w:pPr>
      <w:r w:rsidRPr="00945F98">
        <w:rPr>
          <w:b/>
          <w:lang w:val="en-CA"/>
        </w:rPr>
        <w:t>SECRETARIAT’S COMMENTS AND RECOMMENDATION</w:t>
      </w:r>
    </w:p>
    <w:p w:rsidR="00945F98" w:rsidRPr="00945F98" w:rsidRDefault="00945F98" w:rsidP="00DD57D3">
      <w:pPr>
        <w:rPr>
          <w:lang w:val="en-CA"/>
        </w:rPr>
      </w:pPr>
    </w:p>
    <w:p w:rsidR="00945F98" w:rsidRPr="00945F98" w:rsidRDefault="00945F98" w:rsidP="00DD57D3">
      <w:pPr>
        <w:rPr>
          <w:b/>
          <w:lang w:val="en-CA"/>
        </w:rPr>
      </w:pPr>
      <w:r w:rsidRPr="00945F98">
        <w:rPr>
          <w:b/>
          <w:lang w:val="en-CA"/>
        </w:rPr>
        <w:t>COMMENTS</w:t>
      </w:r>
    </w:p>
    <w:p w:rsidR="00945F98" w:rsidRPr="00945F98" w:rsidRDefault="00945F98" w:rsidP="00DD57D3">
      <w:pPr>
        <w:rPr>
          <w:lang w:val="en-CA"/>
        </w:rPr>
      </w:pPr>
    </w:p>
    <w:p w:rsidR="00945F98" w:rsidRPr="00945F98" w:rsidRDefault="00945F98" w:rsidP="00DD57D3">
      <w:pPr>
        <w:rPr>
          <w:lang w:val="en-CA"/>
        </w:rPr>
      </w:pPr>
      <w:r w:rsidRPr="00945F98">
        <w:rPr>
          <w:i/>
          <w:lang w:val="en-CA"/>
        </w:rPr>
        <w:t>Eligibility</w:t>
      </w:r>
    </w:p>
    <w:p w:rsidR="00945F98" w:rsidRPr="00945F98" w:rsidRDefault="00945F98" w:rsidP="00DD57D3">
      <w:pPr>
        <w:rPr>
          <w:i/>
          <w:lang w:val="en-CA"/>
        </w:rPr>
      </w:pPr>
    </w:p>
    <w:p w:rsidR="007F1555" w:rsidRPr="007F1555" w:rsidRDefault="007F1555" w:rsidP="00DD57D3">
      <w:pPr>
        <w:pStyle w:val="Heading1"/>
        <w:rPr>
          <w:lang w:val="en-CA"/>
        </w:rPr>
      </w:pPr>
      <w:r w:rsidRPr="007F1555">
        <w:rPr>
          <w:lang w:val="en-CA"/>
        </w:rPr>
        <w:t>The Secretariat reviewed the project proposal based on the current policies and decisions of the Multilateral Fund</w:t>
      </w:r>
      <w:r w:rsidR="00EE49F9">
        <w:rPr>
          <w:lang w:val="en-CA"/>
        </w:rPr>
        <w:t>;</w:t>
      </w:r>
      <w:r w:rsidRPr="007F1555">
        <w:rPr>
          <w:lang w:val="en-CA"/>
        </w:rPr>
        <w:t xml:space="preserve"> review of similar </w:t>
      </w:r>
      <w:r w:rsidR="00EE49F9">
        <w:rPr>
          <w:lang w:val="en-CA"/>
        </w:rPr>
        <w:t xml:space="preserve">PU foam projects for conversion to HFO technology; and in the light of </w:t>
      </w:r>
      <w:r w:rsidR="004B720B">
        <w:rPr>
          <w:lang w:val="en-CA"/>
        </w:rPr>
        <w:t>decision 78/3(g) which is primarily</w:t>
      </w:r>
      <w:r w:rsidR="0073709D">
        <w:rPr>
          <w:lang w:val="en-CA"/>
        </w:rPr>
        <w:t xml:space="preserve"> </w:t>
      </w:r>
      <w:r w:rsidR="004B720B" w:rsidRPr="004B720B">
        <w:rPr>
          <w:lang w:val="en-CA"/>
        </w:rPr>
        <w:t>to gain experience in the ICCs and IOCs that might be associated with phasing down HFCs in Article 5 countries</w:t>
      </w:r>
      <w:r w:rsidR="00EE37C4">
        <w:rPr>
          <w:lang w:val="en-CA"/>
        </w:rPr>
        <w:t>.</w:t>
      </w:r>
    </w:p>
    <w:p w:rsidR="00945F98" w:rsidRPr="00945F98" w:rsidRDefault="00945F98" w:rsidP="00DD57D3">
      <w:pPr>
        <w:rPr>
          <w:i/>
          <w:lang w:val="en-CA"/>
        </w:rPr>
      </w:pPr>
      <w:r w:rsidRPr="00945F98">
        <w:rPr>
          <w:i/>
          <w:lang w:val="en-CA"/>
        </w:rPr>
        <w:lastRenderedPageBreak/>
        <w:t>Replicability</w:t>
      </w:r>
    </w:p>
    <w:p w:rsidR="00945F98" w:rsidRPr="00945F98" w:rsidRDefault="00945F98" w:rsidP="00DD57D3">
      <w:pPr>
        <w:rPr>
          <w:i/>
          <w:lang w:val="en-CA"/>
        </w:rPr>
      </w:pPr>
    </w:p>
    <w:p w:rsidR="00587EE0" w:rsidRDefault="00547360" w:rsidP="00DD57D3">
      <w:pPr>
        <w:pStyle w:val="Heading1"/>
        <w:rPr>
          <w:lang w:val="en-CA"/>
        </w:rPr>
      </w:pPr>
      <w:r>
        <w:rPr>
          <w:lang w:val="en-CA"/>
        </w:rPr>
        <w:t>Upon request for</w:t>
      </w:r>
      <w:r w:rsidR="00945F98" w:rsidRPr="00945F98">
        <w:rPr>
          <w:lang w:val="en-CA"/>
        </w:rPr>
        <w:t xml:space="preserve"> additional information on </w:t>
      </w:r>
      <w:r w:rsidR="007F1555">
        <w:rPr>
          <w:lang w:val="en-CA"/>
        </w:rPr>
        <w:t xml:space="preserve">the </w:t>
      </w:r>
      <w:r w:rsidR="004C5D1A">
        <w:rPr>
          <w:lang w:val="en-CA"/>
        </w:rPr>
        <w:t>replicability</w:t>
      </w:r>
      <w:r w:rsidR="00945F98" w:rsidRPr="00945F98">
        <w:rPr>
          <w:lang w:val="en-CA"/>
        </w:rPr>
        <w:t xml:space="preserve"> of this project</w:t>
      </w:r>
      <w:r w:rsidR="007F1555">
        <w:rPr>
          <w:lang w:val="en-CA"/>
        </w:rPr>
        <w:t xml:space="preserve">, </w:t>
      </w:r>
      <w:r>
        <w:rPr>
          <w:lang w:val="en-CA"/>
        </w:rPr>
        <w:t>UNDP explained that there could be other Article 5 countries not covered in the survey</w:t>
      </w:r>
      <w:r w:rsidR="00587EE0">
        <w:rPr>
          <w:lang w:val="en-CA"/>
        </w:rPr>
        <w:t>s on ODS alternatives, that are</w:t>
      </w:r>
      <w:r>
        <w:rPr>
          <w:lang w:val="en-CA"/>
        </w:rPr>
        <w:t xml:space="preserve"> consuming HFC</w:t>
      </w:r>
      <w:r w:rsidR="00587EE0">
        <w:rPr>
          <w:lang w:val="en-CA"/>
        </w:rPr>
        <w:noBreakHyphen/>
      </w:r>
      <w:r>
        <w:rPr>
          <w:lang w:val="en-CA"/>
        </w:rPr>
        <w:t xml:space="preserve">134a </w:t>
      </w:r>
      <w:r w:rsidR="00587EE0">
        <w:rPr>
          <w:lang w:val="en-CA"/>
        </w:rPr>
        <w:t xml:space="preserve">or other HFCs (e.g., HFC-245fa) </w:t>
      </w:r>
      <w:r>
        <w:rPr>
          <w:lang w:val="en-CA"/>
        </w:rPr>
        <w:t xml:space="preserve">in PU foam </w:t>
      </w:r>
      <w:r w:rsidR="00587EE0">
        <w:rPr>
          <w:lang w:val="en-CA"/>
        </w:rPr>
        <w:t xml:space="preserve">applications; the </w:t>
      </w:r>
      <w:r>
        <w:rPr>
          <w:lang w:val="en-CA"/>
        </w:rPr>
        <w:t xml:space="preserve">results </w:t>
      </w:r>
      <w:r w:rsidR="00587EE0">
        <w:rPr>
          <w:lang w:val="en-CA"/>
        </w:rPr>
        <w:t xml:space="preserve">of the project could </w:t>
      </w:r>
      <w:r>
        <w:rPr>
          <w:lang w:val="en-CA"/>
        </w:rPr>
        <w:t xml:space="preserve">benefit conversion of </w:t>
      </w:r>
      <w:r w:rsidR="00587EE0">
        <w:rPr>
          <w:lang w:val="en-CA"/>
        </w:rPr>
        <w:t>those foam applications</w:t>
      </w:r>
      <w:r w:rsidR="00FA3E6B">
        <w:rPr>
          <w:lang w:val="en-CA"/>
        </w:rPr>
        <w:t>.</w:t>
      </w:r>
      <w:r w:rsidR="00897905">
        <w:rPr>
          <w:lang w:val="en-CA"/>
        </w:rPr>
        <w:t xml:space="preserve"> </w:t>
      </w:r>
    </w:p>
    <w:p w:rsidR="00547360" w:rsidRDefault="00587EE0" w:rsidP="00DD57D3">
      <w:pPr>
        <w:pStyle w:val="Heading1"/>
        <w:rPr>
          <w:lang w:val="en-CA"/>
        </w:rPr>
      </w:pPr>
      <w:r>
        <w:rPr>
          <w:lang w:val="en-CA"/>
        </w:rPr>
        <w:t>T</w:t>
      </w:r>
      <w:r w:rsidR="00FA3E6B">
        <w:rPr>
          <w:lang w:val="en-CA"/>
        </w:rPr>
        <w:t xml:space="preserve">he Secretariat considers that </w:t>
      </w:r>
      <w:r>
        <w:rPr>
          <w:lang w:val="en-CA"/>
        </w:rPr>
        <w:t xml:space="preserve">the replicability of </w:t>
      </w:r>
      <w:r w:rsidR="00FA3E6B">
        <w:rPr>
          <w:lang w:val="en-CA"/>
        </w:rPr>
        <w:t xml:space="preserve">this project </w:t>
      </w:r>
      <w:r>
        <w:rPr>
          <w:lang w:val="en-CA"/>
        </w:rPr>
        <w:t xml:space="preserve">is </w:t>
      </w:r>
      <w:r w:rsidR="00FA3E6B">
        <w:rPr>
          <w:lang w:val="en-CA"/>
        </w:rPr>
        <w:t xml:space="preserve">limited </w:t>
      </w:r>
      <w:r>
        <w:rPr>
          <w:lang w:val="en-CA"/>
        </w:rPr>
        <w:t>for the following reasons:</w:t>
      </w:r>
      <w:r w:rsidR="006C3753">
        <w:rPr>
          <w:lang w:val="en-CA"/>
        </w:rPr>
        <w:t> </w:t>
      </w:r>
      <w:r>
        <w:rPr>
          <w:lang w:val="en-CA"/>
        </w:rPr>
        <w:t xml:space="preserve">it </w:t>
      </w:r>
      <w:r w:rsidR="00FA3E6B">
        <w:rPr>
          <w:lang w:val="en-CA"/>
        </w:rPr>
        <w:t xml:space="preserve">appears </w:t>
      </w:r>
      <w:r>
        <w:rPr>
          <w:lang w:val="en-CA"/>
        </w:rPr>
        <w:t xml:space="preserve">that Army Factory is </w:t>
      </w:r>
      <w:r w:rsidR="00FA3E6B">
        <w:rPr>
          <w:lang w:val="en-CA"/>
        </w:rPr>
        <w:t>the only enterprise using HFC-134a for PU foam in Egypt</w:t>
      </w:r>
      <w:r>
        <w:rPr>
          <w:lang w:val="en-CA"/>
        </w:rPr>
        <w:t xml:space="preserve">; the </w:t>
      </w:r>
      <w:r w:rsidR="00FA3E6B">
        <w:rPr>
          <w:lang w:val="en-CA"/>
        </w:rPr>
        <w:t xml:space="preserve"> </w:t>
      </w:r>
      <w:r w:rsidR="00B15EE6" w:rsidRPr="00945F98">
        <w:rPr>
          <w:lang w:val="en-CA"/>
        </w:rPr>
        <w:t xml:space="preserve">TEAP </w:t>
      </w:r>
      <w:r w:rsidR="00B15EE6">
        <w:rPr>
          <w:lang w:val="en-CA"/>
        </w:rPr>
        <w:t xml:space="preserve">Task Force </w:t>
      </w:r>
      <w:r w:rsidR="00B15EE6" w:rsidRPr="00945F98">
        <w:rPr>
          <w:lang w:val="en-CA"/>
        </w:rPr>
        <w:t xml:space="preserve">report on </w:t>
      </w:r>
      <w:r w:rsidR="00B15EE6">
        <w:rPr>
          <w:lang w:val="en-CA"/>
        </w:rPr>
        <w:t xml:space="preserve">ODS alternatives shows that HFC-134a consumption in </w:t>
      </w:r>
      <w:r>
        <w:rPr>
          <w:lang w:val="en-CA"/>
        </w:rPr>
        <w:t xml:space="preserve">both </w:t>
      </w:r>
      <w:r w:rsidR="00B15EE6">
        <w:rPr>
          <w:lang w:val="en-CA"/>
        </w:rPr>
        <w:t>XPS and PU foam</w:t>
      </w:r>
      <w:r w:rsidR="00B15EE6" w:rsidRPr="00945F98">
        <w:rPr>
          <w:lang w:val="en-CA"/>
        </w:rPr>
        <w:t xml:space="preserve"> in Article</w:t>
      </w:r>
      <w:r w:rsidR="000508A0">
        <w:rPr>
          <w:lang w:val="en-CA"/>
        </w:rPr>
        <w:t> </w:t>
      </w:r>
      <w:r w:rsidR="00B15EE6" w:rsidRPr="00945F98">
        <w:rPr>
          <w:lang w:val="en-CA"/>
        </w:rPr>
        <w:t>5</w:t>
      </w:r>
      <w:r w:rsidR="000508A0">
        <w:rPr>
          <w:lang w:val="en-CA"/>
        </w:rPr>
        <w:t> </w:t>
      </w:r>
      <w:r w:rsidR="00B15EE6" w:rsidRPr="00945F98">
        <w:rPr>
          <w:lang w:val="en-CA"/>
        </w:rPr>
        <w:t>countries</w:t>
      </w:r>
      <w:r w:rsidR="00B15EE6">
        <w:rPr>
          <w:lang w:val="en-CA"/>
        </w:rPr>
        <w:t xml:space="preserve"> </w:t>
      </w:r>
      <w:r>
        <w:rPr>
          <w:lang w:val="en-CA"/>
        </w:rPr>
        <w:t xml:space="preserve">represented only </w:t>
      </w:r>
      <w:r w:rsidR="00B15EE6">
        <w:rPr>
          <w:lang w:val="en-CA"/>
        </w:rPr>
        <w:t>4.</w:t>
      </w:r>
      <w:r w:rsidR="008621F5">
        <w:rPr>
          <w:lang w:val="en-CA"/>
        </w:rPr>
        <w:t>2</w:t>
      </w:r>
      <w:r w:rsidR="00B15EE6">
        <w:rPr>
          <w:lang w:val="en-CA"/>
        </w:rPr>
        <w:t xml:space="preserve"> per cent of global HFC-134a consumption</w:t>
      </w:r>
      <w:r>
        <w:rPr>
          <w:lang w:val="en-CA"/>
        </w:rPr>
        <w:t>;</w:t>
      </w:r>
      <w:r w:rsidR="00B15EE6">
        <w:rPr>
          <w:lang w:val="en-CA"/>
        </w:rPr>
        <w:t xml:space="preserve"> </w:t>
      </w:r>
      <w:r w:rsidR="00FA3E6B">
        <w:rPr>
          <w:lang w:val="en-CA"/>
        </w:rPr>
        <w:t>the</w:t>
      </w:r>
      <w:r w:rsidR="00FA3E6B" w:rsidRPr="00945F98">
        <w:rPr>
          <w:lang w:val="en-CA"/>
        </w:rPr>
        <w:t xml:space="preserve"> </w:t>
      </w:r>
      <w:r w:rsidR="00FA3E6B">
        <w:rPr>
          <w:lang w:val="en-CA"/>
        </w:rPr>
        <w:t xml:space="preserve">report on </w:t>
      </w:r>
      <w:r>
        <w:rPr>
          <w:lang w:val="en-CA"/>
        </w:rPr>
        <w:t xml:space="preserve">the </w:t>
      </w:r>
      <w:r w:rsidR="00FA3E6B">
        <w:rPr>
          <w:lang w:val="en-CA"/>
        </w:rPr>
        <w:t>survey</w:t>
      </w:r>
      <w:r>
        <w:rPr>
          <w:lang w:val="en-CA"/>
        </w:rPr>
        <w:t xml:space="preserve">s on ODS alternatives covering 119 Article 5 countries indicated </w:t>
      </w:r>
      <w:r w:rsidR="00FA3E6B">
        <w:rPr>
          <w:lang w:val="en-CA"/>
        </w:rPr>
        <w:t>that HFC</w:t>
      </w:r>
      <w:r>
        <w:rPr>
          <w:lang w:val="en-CA"/>
        </w:rPr>
        <w:noBreakHyphen/>
      </w:r>
      <w:r w:rsidR="00FA3E6B">
        <w:rPr>
          <w:lang w:val="en-CA"/>
        </w:rPr>
        <w:t xml:space="preserve">134a in PU foam applications </w:t>
      </w:r>
      <w:r>
        <w:rPr>
          <w:lang w:val="en-CA"/>
        </w:rPr>
        <w:t xml:space="preserve">was </w:t>
      </w:r>
      <w:r w:rsidR="00FA3E6B">
        <w:rPr>
          <w:lang w:val="en-CA"/>
        </w:rPr>
        <w:t xml:space="preserve">only </w:t>
      </w:r>
      <w:r w:rsidR="005A1F11">
        <w:rPr>
          <w:lang w:val="en-CA"/>
        </w:rPr>
        <w:t>used in four</w:t>
      </w:r>
      <w:r w:rsidR="00FA3E6B">
        <w:rPr>
          <w:lang w:val="en-CA"/>
        </w:rPr>
        <w:t xml:space="preserve"> countries</w:t>
      </w:r>
      <w:r w:rsidR="00F06D04">
        <w:rPr>
          <w:lang w:val="en-CA"/>
        </w:rPr>
        <w:t>;</w:t>
      </w:r>
      <w:r w:rsidR="00B15EE6">
        <w:rPr>
          <w:lang w:val="en-CA"/>
        </w:rPr>
        <w:t xml:space="preserve"> and</w:t>
      </w:r>
      <w:r w:rsidR="00C260ED">
        <w:rPr>
          <w:lang w:val="en-CA"/>
        </w:rPr>
        <w:t xml:space="preserve"> only </w:t>
      </w:r>
      <w:r w:rsidR="00F06D04">
        <w:rPr>
          <w:lang w:val="en-CA"/>
        </w:rPr>
        <w:t>two</w:t>
      </w:r>
      <w:r w:rsidR="00C260ED">
        <w:rPr>
          <w:lang w:val="en-CA"/>
        </w:rPr>
        <w:t xml:space="preserve"> </w:t>
      </w:r>
      <w:r w:rsidR="00F06D04">
        <w:rPr>
          <w:lang w:val="en-CA"/>
        </w:rPr>
        <w:t xml:space="preserve">projects </w:t>
      </w:r>
      <w:r w:rsidR="0069378E">
        <w:rPr>
          <w:lang w:val="en-CA"/>
        </w:rPr>
        <w:t xml:space="preserve">(with a total consumption of </w:t>
      </w:r>
      <w:r w:rsidR="0069378E" w:rsidRPr="0069378E">
        <w:rPr>
          <w:lang w:val="en-CA"/>
        </w:rPr>
        <w:t xml:space="preserve">30.8 mt </w:t>
      </w:r>
      <w:r w:rsidR="00ED25A9">
        <w:rPr>
          <w:lang w:val="en-CA"/>
        </w:rPr>
        <w:t>o</w:t>
      </w:r>
      <w:r w:rsidR="0069378E">
        <w:rPr>
          <w:lang w:val="en-CA"/>
        </w:rPr>
        <w:t xml:space="preserve">f CFC-11) </w:t>
      </w:r>
      <w:r w:rsidR="00C260ED">
        <w:rPr>
          <w:lang w:val="en-CA"/>
        </w:rPr>
        <w:t xml:space="preserve">out of </w:t>
      </w:r>
      <w:r w:rsidR="00F06D04">
        <w:rPr>
          <w:lang w:val="en-CA"/>
        </w:rPr>
        <w:t xml:space="preserve">the </w:t>
      </w:r>
      <w:r w:rsidR="00C260ED">
        <w:rPr>
          <w:lang w:val="en-CA"/>
        </w:rPr>
        <w:t xml:space="preserve">989 projects approved </w:t>
      </w:r>
      <w:r w:rsidR="00B15EE6">
        <w:rPr>
          <w:lang w:val="en-CA"/>
        </w:rPr>
        <w:t>to phase-out 68,863 mt of</w:t>
      </w:r>
      <w:r w:rsidR="00C260ED">
        <w:rPr>
          <w:lang w:val="en-CA"/>
        </w:rPr>
        <w:t xml:space="preserve"> CFC-11 </w:t>
      </w:r>
      <w:r w:rsidR="00F06D04">
        <w:rPr>
          <w:lang w:val="en-CA"/>
        </w:rPr>
        <w:t xml:space="preserve">in foam sector were converted </w:t>
      </w:r>
      <w:r w:rsidR="00B15EE6">
        <w:rPr>
          <w:lang w:val="en-CA"/>
        </w:rPr>
        <w:t xml:space="preserve">to </w:t>
      </w:r>
      <w:r w:rsidR="000508A0">
        <w:rPr>
          <w:lang w:val="en-CA"/>
        </w:rPr>
        <w:t xml:space="preserve">                    </w:t>
      </w:r>
      <w:r w:rsidR="00B15EE6">
        <w:rPr>
          <w:lang w:val="en-CA"/>
        </w:rPr>
        <w:t>HFC-134a</w:t>
      </w:r>
      <w:r w:rsidR="00FA3E6B">
        <w:rPr>
          <w:lang w:val="en-CA"/>
        </w:rPr>
        <w:t>.</w:t>
      </w:r>
    </w:p>
    <w:p w:rsidR="00945F98" w:rsidRDefault="00945F98" w:rsidP="00DD57D3">
      <w:pPr>
        <w:rPr>
          <w:i/>
          <w:lang w:val="en-CA"/>
        </w:rPr>
      </w:pPr>
      <w:r w:rsidRPr="00945F98">
        <w:rPr>
          <w:i/>
          <w:lang w:val="en-CA"/>
        </w:rPr>
        <w:t>Maturity of technology</w:t>
      </w:r>
    </w:p>
    <w:p w:rsidR="00897905" w:rsidRPr="00945F98" w:rsidRDefault="00897905" w:rsidP="00DD57D3">
      <w:pPr>
        <w:rPr>
          <w:i/>
          <w:lang w:val="en-CA"/>
        </w:rPr>
      </w:pPr>
    </w:p>
    <w:p w:rsidR="00E078C0" w:rsidRDefault="00F026AA" w:rsidP="00DD57D3">
      <w:pPr>
        <w:pStyle w:val="Heading1"/>
        <w:rPr>
          <w:lang w:val="en-CA"/>
        </w:rPr>
      </w:pPr>
      <w:r w:rsidRPr="006A75ED">
        <w:rPr>
          <w:lang w:val="en-CA"/>
        </w:rPr>
        <w:t xml:space="preserve">Upon </w:t>
      </w:r>
      <w:r w:rsidR="00A96AFF">
        <w:rPr>
          <w:lang w:val="en-CA"/>
        </w:rPr>
        <w:t xml:space="preserve">a </w:t>
      </w:r>
      <w:r w:rsidRPr="006A75ED">
        <w:rPr>
          <w:lang w:val="en-CA"/>
        </w:rPr>
        <w:t xml:space="preserve">request </w:t>
      </w:r>
      <w:r w:rsidR="00A96AFF">
        <w:rPr>
          <w:lang w:val="en-CA"/>
        </w:rPr>
        <w:t>of</w:t>
      </w:r>
      <w:r w:rsidRPr="006A75ED">
        <w:rPr>
          <w:lang w:val="en-CA"/>
        </w:rPr>
        <w:t xml:space="preserve"> additional information on maturity </w:t>
      </w:r>
      <w:r w:rsidR="00B15EE6">
        <w:rPr>
          <w:lang w:val="en-CA"/>
        </w:rPr>
        <w:t>of technology using</w:t>
      </w:r>
      <w:r w:rsidRPr="006A75ED">
        <w:rPr>
          <w:lang w:val="en-CA"/>
        </w:rPr>
        <w:t xml:space="preserve"> HFO-1233zd(E) and HFO-1</w:t>
      </w:r>
      <w:r w:rsidR="00A96AFF">
        <w:rPr>
          <w:lang w:val="en-CA"/>
        </w:rPr>
        <w:t>336</w:t>
      </w:r>
      <w:r w:rsidRPr="006A75ED">
        <w:rPr>
          <w:lang w:val="en-CA"/>
        </w:rPr>
        <w:t xml:space="preserve">mzz, UNDP mentioned that </w:t>
      </w:r>
      <w:r w:rsidR="00F06D04">
        <w:rPr>
          <w:lang w:val="en-CA"/>
        </w:rPr>
        <w:t xml:space="preserve">new </w:t>
      </w:r>
      <w:r w:rsidR="00C260ED" w:rsidRPr="006A75ED">
        <w:rPr>
          <w:lang w:val="en-CA"/>
        </w:rPr>
        <w:t xml:space="preserve">formulations would be developed in the Army Factory and/or </w:t>
      </w:r>
      <w:r w:rsidR="00F06D04">
        <w:rPr>
          <w:lang w:val="en-CA"/>
        </w:rPr>
        <w:t xml:space="preserve">a local </w:t>
      </w:r>
      <w:r w:rsidR="00C260ED" w:rsidRPr="006A75ED">
        <w:rPr>
          <w:lang w:val="en-CA"/>
        </w:rPr>
        <w:t xml:space="preserve">systems house during the implementation </w:t>
      </w:r>
      <w:r w:rsidR="00F06D04">
        <w:rPr>
          <w:lang w:val="en-CA"/>
        </w:rPr>
        <w:t xml:space="preserve">of the project, and will include </w:t>
      </w:r>
      <w:r w:rsidR="00C260ED" w:rsidRPr="006A75ED">
        <w:rPr>
          <w:lang w:val="en-CA"/>
        </w:rPr>
        <w:t>formulations</w:t>
      </w:r>
      <w:r w:rsidR="007F5CDA">
        <w:rPr>
          <w:lang w:val="en-CA"/>
        </w:rPr>
        <w:t xml:space="preserve"> co-blown</w:t>
      </w:r>
      <w:r w:rsidR="00C260ED" w:rsidRPr="006A75ED">
        <w:rPr>
          <w:lang w:val="en-CA"/>
        </w:rPr>
        <w:t xml:space="preserve"> with other </w:t>
      </w:r>
      <w:r w:rsidR="00F06D04">
        <w:rPr>
          <w:lang w:val="en-CA"/>
        </w:rPr>
        <w:t xml:space="preserve">agents </w:t>
      </w:r>
      <w:r w:rsidR="007F5CDA">
        <w:rPr>
          <w:lang w:val="en-CA"/>
        </w:rPr>
        <w:t xml:space="preserve">for </w:t>
      </w:r>
      <w:r w:rsidR="00C260ED" w:rsidRPr="006A75ED">
        <w:rPr>
          <w:lang w:val="en-CA"/>
        </w:rPr>
        <w:t>cost-effective</w:t>
      </w:r>
      <w:r w:rsidR="007F5CDA">
        <w:rPr>
          <w:lang w:val="en-CA"/>
        </w:rPr>
        <w:t>ness</w:t>
      </w:r>
      <w:r w:rsidR="00ED25A9">
        <w:rPr>
          <w:lang w:val="en-CA"/>
        </w:rPr>
        <w:t xml:space="preserve"> and</w:t>
      </w:r>
      <w:r w:rsidR="007F5CDA">
        <w:rPr>
          <w:lang w:val="en-CA"/>
        </w:rPr>
        <w:t xml:space="preserve"> meeting</w:t>
      </w:r>
      <w:r w:rsidR="00C260ED" w:rsidRPr="006A75ED">
        <w:rPr>
          <w:lang w:val="en-CA"/>
        </w:rPr>
        <w:t xml:space="preserve"> the requirement of discontinuous panels produced in the Army Factory</w:t>
      </w:r>
      <w:r w:rsidR="00F06D04">
        <w:rPr>
          <w:lang w:val="en-CA"/>
        </w:rPr>
        <w:t>. D</w:t>
      </w:r>
      <w:r w:rsidR="00C260ED" w:rsidRPr="006A75ED">
        <w:rPr>
          <w:lang w:val="en-CA"/>
        </w:rPr>
        <w:t xml:space="preserve">etails of formulation and </w:t>
      </w:r>
      <w:r w:rsidR="00F06D04">
        <w:rPr>
          <w:lang w:val="en-CA"/>
        </w:rPr>
        <w:t>co-</w:t>
      </w:r>
      <w:r w:rsidR="00C260ED" w:rsidRPr="006A75ED">
        <w:rPr>
          <w:lang w:val="en-CA"/>
        </w:rPr>
        <w:t>blowing agent</w:t>
      </w:r>
      <w:r w:rsidR="00F06D04">
        <w:rPr>
          <w:lang w:val="en-CA"/>
        </w:rPr>
        <w:t>s</w:t>
      </w:r>
      <w:r w:rsidR="00C260ED" w:rsidRPr="006A75ED">
        <w:rPr>
          <w:lang w:val="en-CA"/>
        </w:rPr>
        <w:t xml:space="preserve"> were not provided</w:t>
      </w:r>
      <w:r w:rsidR="003038E1" w:rsidRPr="006A75ED">
        <w:rPr>
          <w:lang w:val="en-CA"/>
        </w:rPr>
        <w:t>.</w:t>
      </w:r>
      <w:r w:rsidR="00897905">
        <w:rPr>
          <w:lang w:val="en-CA"/>
        </w:rPr>
        <w:t xml:space="preserve"> </w:t>
      </w:r>
      <w:r w:rsidR="00477B00" w:rsidRPr="006A75ED">
        <w:rPr>
          <w:lang w:val="en-CA"/>
        </w:rPr>
        <w:t xml:space="preserve">UNDP clarified that the Government </w:t>
      </w:r>
      <w:r w:rsidR="00F06D04">
        <w:rPr>
          <w:lang w:val="en-CA"/>
        </w:rPr>
        <w:t xml:space="preserve">of Egypt </w:t>
      </w:r>
      <w:r w:rsidR="00477B00" w:rsidRPr="006A75ED">
        <w:rPr>
          <w:lang w:val="en-CA"/>
        </w:rPr>
        <w:t>and the Army Factory are committed to adopting HFO</w:t>
      </w:r>
      <w:r w:rsidR="00E078C0">
        <w:rPr>
          <w:lang w:val="en-CA"/>
        </w:rPr>
        <w:t>-</w:t>
      </w:r>
      <w:r w:rsidR="00477B00" w:rsidRPr="006A75ED">
        <w:rPr>
          <w:lang w:val="en-CA"/>
        </w:rPr>
        <w:t>based formulation in this enterprise.</w:t>
      </w:r>
      <w:r w:rsidR="00897905">
        <w:rPr>
          <w:lang w:val="en-CA"/>
        </w:rPr>
        <w:t xml:space="preserve"> </w:t>
      </w:r>
    </w:p>
    <w:p w:rsidR="006E6571" w:rsidRDefault="00E078C0" w:rsidP="00DD57D3">
      <w:pPr>
        <w:pStyle w:val="Heading1"/>
        <w:rPr>
          <w:lang w:val="en-CA"/>
        </w:rPr>
      </w:pPr>
      <w:r>
        <w:rPr>
          <w:lang w:val="en-CA"/>
        </w:rPr>
        <w:t>T</w:t>
      </w:r>
      <w:r w:rsidR="005E1590">
        <w:rPr>
          <w:lang w:val="en-CA"/>
        </w:rPr>
        <w:t xml:space="preserve">he Secretariat considers that </w:t>
      </w:r>
      <w:r>
        <w:rPr>
          <w:lang w:val="en-CA"/>
        </w:rPr>
        <w:t xml:space="preserve">additional </w:t>
      </w:r>
      <w:r w:rsidR="005E1590">
        <w:rPr>
          <w:lang w:val="en-CA"/>
        </w:rPr>
        <w:t>efforts are needed for formulation development using HFOs.</w:t>
      </w:r>
      <w:r w:rsidR="00477B00" w:rsidRPr="006A75ED">
        <w:rPr>
          <w:lang w:val="en-CA"/>
        </w:rPr>
        <w:t xml:space="preserve"> </w:t>
      </w:r>
      <w:r w:rsidR="006A75ED" w:rsidRPr="006A75ED">
        <w:rPr>
          <w:lang w:val="en-CA"/>
        </w:rPr>
        <w:t>The Secretariat</w:t>
      </w:r>
      <w:r w:rsidR="00A96AFF">
        <w:rPr>
          <w:lang w:val="en-CA"/>
        </w:rPr>
        <w:t xml:space="preserve"> </w:t>
      </w:r>
      <w:r w:rsidR="000B384F">
        <w:rPr>
          <w:lang w:val="en-CA"/>
        </w:rPr>
        <w:t>also notes that</w:t>
      </w:r>
      <w:r w:rsidR="00A96AFF">
        <w:rPr>
          <w:lang w:val="en-CA"/>
        </w:rPr>
        <w:t xml:space="preserve"> </w:t>
      </w:r>
      <w:r>
        <w:rPr>
          <w:lang w:val="en-CA"/>
        </w:rPr>
        <w:t>experience on the use of HFO as a blowing agent under the Multilateral Fund is being gained through</w:t>
      </w:r>
      <w:r w:rsidR="006E6571">
        <w:rPr>
          <w:lang w:val="en-CA"/>
        </w:rPr>
        <w:t>:</w:t>
      </w:r>
    </w:p>
    <w:p w:rsidR="006E6571" w:rsidRDefault="006E6571" w:rsidP="00DD57D3">
      <w:pPr>
        <w:pStyle w:val="Heading2"/>
        <w:rPr>
          <w:lang w:val="en-CA"/>
        </w:rPr>
      </w:pPr>
      <w:r>
        <w:rPr>
          <w:lang w:val="en-CA"/>
        </w:rPr>
        <w:t>The d</w:t>
      </w:r>
      <w:r w:rsidRPr="006E6571">
        <w:rPr>
          <w:lang w:val="en-CA"/>
        </w:rPr>
        <w:t xml:space="preserve">emonstration project to validate the use of </w:t>
      </w:r>
      <w:r>
        <w:rPr>
          <w:lang w:val="en-CA"/>
        </w:rPr>
        <w:t xml:space="preserve">HFO </w:t>
      </w:r>
      <w:r w:rsidRPr="006E6571">
        <w:rPr>
          <w:lang w:val="en-CA"/>
        </w:rPr>
        <w:t>for discontinuous panels in Article</w:t>
      </w:r>
      <w:r w:rsidR="006C3753">
        <w:rPr>
          <w:lang w:val="en-CA"/>
        </w:rPr>
        <w:t> </w:t>
      </w:r>
      <w:r w:rsidRPr="006E6571">
        <w:rPr>
          <w:lang w:val="en-CA"/>
        </w:rPr>
        <w:t>5</w:t>
      </w:r>
      <w:r w:rsidR="006C3753">
        <w:rPr>
          <w:lang w:val="en-CA"/>
        </w:rPr>
        <w:t> </w:t>
      </w:r>
      <w:r w:rsidRPr="006E6571">
        <w:rPr>
          <w:lang w:val="en-CA"/>
        </w:rPr>
        <w:t>parties through the development of cost-effective formulations in Colombia</w:t>
      </w:r>
      <w:r w:rsidRPr="00D8161B">
        <w:t>,</w:t>
      </w:r>
      <w:r>
        <w:rPr>
          <w:rStyle w:val="FootnoteReference"/>
        </w:rPr>
        <w:footnoteReference w:id="7"/>
      </w:r>
      <w:r w:rsidR="006C3753">
        <w:t> </w:t>
      </w:r>
      <w:r>
        <w:rPr>
          <w:lang w:val="en-CA"/>
        </w:rPr>
        <w:t>approved at the 76</w:t>
      </w:r>
      <w:r w:rsidRPr="006E6571">
        <w:rPr>
          <w:vertAlign w:val="superscript"/>
          <w:lang w:val="en-CA"/>
        </w:rPr>
        <w:t>th</w:t>
      </w:r>
      <w:r>
        <w:rPr>
          <w:lang w:val="en-CA"/>
        </w:rPr>
        <w:t xml:space="preserve"> meeting for </w:t>
      </w:r>
      <w:r w:rsidRPr="006E6571">
        <w:rPr>
          <w:lang w:val="en-CA"/>
        </w:rPr>
        <w:t>UNDP</w:t>
      </w:r>
      <w:r>
        <w:rPr>
          <w:lang w:val="en-CA"/>
        </w:rPr>
        <w:t>. The comprehensive report on this project has been submitted to the 81</w:t>
      </w:r>
      <w:r w:rsidRPr="006E6571">
        <w:rPr>
          <w:vertAlign w:val="superscript"/>
          <w:lang w:val="en-CA"/>
        </w:rPr>
        <w:t>st</w:t>
      </w:r>
      <w:r>
        <w:rPr>
          <w:lang w:val="en-CA"/>
        </w:rPr>
        <w:t xml:space="preserve"> meeting;</w:t>
      </w:r>
      <w:r>
        <w:rPr>
          <w:rStyle w:val="FootnoteReference"/>
          <w:lang w:val="en-CA"/>
        </w:rPr>
        <w:footnoteReference w:id="8"/>
      </w:r>
    </w:p>
    <w:p w:rsidR="00F026AA" w:rsidRPr="003A336B" w:rsidRDefault="006E6571" w:rsidP="00DD57D3">
      <w:pPr>
        <w:pStyle w:val="Heading2"/>
        <w:rPr>
          <w:lang w:val="en-CA"/>
        </w:rPr>
      </w:pPr>
      <w:r>
        <w:rPr>
          <w:lang w:val="en-CA"/>
        </w:rPr>
        <w:t>I</w:t>
      </w:r>
      <w:r w:rsidR="00E078C0">
        <w:rPr>
          <w:lang w:val="en-CA"/>
        </w:rPr>
        <w:t xml:space="preserve">mplementation </w:t>
      </w:r>
      <w:r>
        <w:rPr>
          <w:lang w:val="en-CA"/>
        </w:rPr>
        <w:t xml:space="preserve">of HPMPs </w:t>
      </w:r>
      <w:r w:rsidR="00E078C0">
        <w:rPr>
          <w:lang w:val="en-CA"/>
        </w:rPr>
        <w:t xml:space="preserve">in several Article 5 countries </w:t>
      </w:r>
      <w:r w:rsidR="00E078C0" w:rsidRPr="003A336B">
        <w:rPr>
          <w:lang w:val="en-CA"/>
        </w:rPr>
        <w:t xml:space="preserve">(e.g., </w:t>
      </w:r>
      <w:r w:rsidR="009C1884" w:rsidRPr="003A336B">
        <w:rPr>
          <w:lang w:val="en-CA"/>
        </w:rPr>
        <w:t>Jordan</w:t>
      </w:r>
      <w:r w:rsidR="009C1884" w:rsidRPr="003A336B">
        <w:rPr>
          <w:rStyle w:val="FootnoteReference"/>
          <w:lang w:val="en-CA"/>
        </w:rPr>
        <w:footnoteReference w:id="9"/>
      </w:r>
      <w:r w:rsidR="00ED25A9" w:rsidRPr="003A336B">
        <w:rPr>
          <w:lang w:val="en-CA"/>
        </w:rPr>
        <w:t>, Lebanon, Malaysia</w:t>
      </w:r>
      <w:r w:rsidR="00E078C0" w:rsidRPr="003A336B">
        <w:rPr>
          <w:lang w:val="en-CA"/>
        </w:rPr>
        <w:t xml:space="preserve">) </w:t>
      </w:r>
      <w:r w:rsidRPr="003A336B">
        <w:rPr>
          <w:lang w:val="en-CA"/>
        </w:rPr>
        <w:t xml:space="preserve">where foam enterprises had agreed to </w:t>
      </w:r>
      <w:r w:rsidR="00E078C0" w:rsidRPr="003A336B">
        <w:rPr>
          <w:lang w:val="en-CA"/>
        </w:rPr>
        <w:t>replace HCFC-141b with HFO-blowing agents</w:t>
      </w:r>
      <w:r w:rsidRPr="003A336B">
        <w:rPr>
          <w:lang w:val="en-CA"/>
        </w:rPr>
        <w:t>.</w:t>
      </w:r>
      <w:r w:rsidR="00E078C0" w:rsidRPr="003A336B">
        <w:rPr>
          <w:lang w:val="en-CA"/>
        </w:rPr>
        <w:t xml:space="preserve"> </w:t>
      </w:r>
    </w:p>
    <w:p w:rsidR="00C260ED" w:rsidRPr="00C260ED" w:rsidRDefault="00C260ED" w:rsidP="00DD57D3">
      <w:pPr>
        <w:spacing w:after="240"/>
        <w:outlineLvl w:val="0"/>
        <w:rPr>
          <w:i/>
          <w:lang w:val="en-CA"/>
        </w:rPr>
      </w:pPr>
      <w:r w:rsidRPr="00C260ED">
        <w:rPr>
          <w:i/>
          <w:lang w:val="en-CA"/>
        </w:rPr>
        <w:t>Availability of HFOs</w:t>
      </w:r>
    </w:p>
    <w:p w:rsidR="003038E1" w:rsidRPr="003038E1" w:rsidRDefault="006E6571" w:rsidP="00DD57D3">
      <w:pPr>
        <w:pStyle w:val="Heading1"/>
        <w:rPr>
          <w:i/>
          <w:lang w:val="en-CA"/>
        </w:rPr>
      </w:pPr>
      <w:r>
        <w:rPr>
          <w:lang w:val="en-CA"/>
        </w:rPr>
        <w:t xml:space="preserve">Upon a request for additional clarification </w:t>
      </w:r>
      <w:r w:rsidR="003038E1">
        <w:rPr>
          <w:lang w:val="en-CA"/>
        </w:rPr>
        <w:t xml:space="preserve">on </w:t>
      </w:r>
      <w:r>
        <w:rPr>
          <w:lang w:val="en-CA"/>
        </w:rPr>
        <w:t xml:space="preserve">the </w:t>
      </w:r>
      <w:r w:rsidR="003038E1">
        <w:rPr>
          <w:lang w:val="en-CA"/>
        </w:rPr>
        <w:t>availability of HFOs</w:t>
      </w:r>
      <w:r>
        <w:rPr>
          <w:lang w:val="en-CA"/>
        </w:rPr>
        <w:t xml:space="preserve"> in the local market,</w:t>
      </w:r>
      <w:r w:rsidR="00897905">
        <w:rPr>
          <w:lang w:val="en-CA"/>
        </w:rPr>
        <w:t xml:space="preserve"> </w:t>
      </w:r>
      <w:r w:rsidR="003038E1">
        <w:rPr>
          <w:lang w:val="en-CA"/>
        </w:rPr>
        <w:t>UNDP informed that two chemical manufacturers</w:t>
      </w:r>
      <w:r w:rsidR="0069378E">
        <w:rPr>
          <w:lang w:val="en-CA"/>
        </w:rPr>
        <w:t>,</w:t>
      </w:r>
      <w:r w:rsidR="003038E1">
        <w:rPr>
          <w:lang w:val="en-CA"/>
        </w:rPr>
        <w:t xml:space="preserve"> and one systems house </w:t>
      </w:r>
      <w:r>
        <w:rPr>
          <w:lang w:val="en-CA"/>
        </w:rPr>
        <w:t>operat</w:t>
      </w:r>
      <w:r w:rsidR="0069378E">
        <w:rPr>
          <w:lang w:val="en-CA"/>
        </w:rPr>
        <w:t xml:space="preserve">ing in Egypt </w:t>
      </w:r>
      <w:r w:rsidR="003038E1">
        <w:rPr>
          <w:lang w:val="en-CA"/>
        </w:rPr>
        <w:t>ha</w:t>
      </w:r>
      <w:r w:rsidR="0069378E">
        <w:rPr>
          <w:lang w:val="en-CA"/>
        </w:rPr>
        <w:t>ve</w:t>
      </w:r>
      <w:r w:rsidR="003038E1">
        <w:rPr>
          <w:lang w:val="en-CA"/>
        </w:rPr>
        <w:t xml:space="preserve"> confirmed that HFOs will be available in Egypt</w:t>
      </w:r>
      <w:r w:rsidR="0069378E">
        <w:rPr>
          <w:lang w:val="en-CA"/>
        </w:rPr>
        <w:t xml:space="preserve">. It is noted that foam </w:t>
      </w:r>
      <w:r w:rsidR="003038E1">
        <w:rPr>
          <w:lang w:val="en-CA"/>
        </w:rPr>
        <w:t xml:space="preserve">enterprises are currently facing difficulties in securing </w:t>
      </w:r>
      <w:r w:rsidR="0069378E">
        <w:rPr>
          <w:lang w:val="en-CA"/>
        </w:rPr>
        <w:t xml:space="preserve">sufficient </w:t>
      </w:r>
      <w:r w:rsidR="003038E1">
        <w:rPr>
          <w:lang w:val="en-CA"/>
        </w:rPr>
        <w:t>supply of HFOs for their conversion from HCFC-141b</w:t>
      </w:r>
      <w:r w:rsidR="0069378E">
        <w:rPr>
          <w:lang w:val="en-CA"/>
        </w:rPr>
        <w:t>; however,</w:t>
      </w:r>
      <w:r w:rsidR="003038E1">
        <w:rPr>
          <w:lang w:val="en-CA"/>
        </w:rPr>
        <w:t xml:space="preserve"> the situation </w:t>
      </w:r>
      <w:r w:rsidR="0069378E">
        <w:rPr>
          <w:lang w:val="en-CA"/>
        </w:rPr>
        <w:t xml:space="preserve">is expected to </w:t>
      </w:r>
      <w:r w:rsidR="003038E1">
        <w:rPr>
          <w:lang w:val="en-CA"/>
        </w:rPr>
        <w:t>change in the future.</w:t>
      </w:r>
      <w:r w:rsidR="00897905">
        <w:rPr>
          <w:lang w:val="en-CA"/>
        </w:rPr>
        <w:t xml:space="preserve"> </w:t>
      </w:r>
    </w:p>
    <w:p w:rsidR="00945F98" w:rsidRPr="004232B0" w:rsidRDefault="00945F98" w:rsidP="00DD57D3">
      <w:pPr>
        <w:keepNext/>
        <w:keepLines/>
        <w:spacing w:after="240"/>
        <w:outlineLvl w:val="0"/>
        <w:rPr>
          <w:i/>
          <w:lang w:val="en-CA"/>
        </w:rPr>
      </w:pPr>
      <w:r w:rsidRPr="004232B0">
        <w:rPr>
          <w:i/>
          <w:lang w:val="en-CA"/>
        </w:rPr>
        <w:lastRenderedPageBreak/>
        <w:t>Regulatory framework and sustainability</w:t>
      </w:r>
    </w:p>
    <w:p w:rsidR="0069378E" w:rsidRDefault="00945F98" w:rsidP="00DD57D3">
      <w:pPr>
        <w:pStyle w:val="Heading1"/>
        <w:keepNext/>
        <w:keepLines/>
        <w:rPr>
          <w:lang w:val="en-CA"/>
        </w:rPr>
      </w:pPr>
      <w:r w:rsidRPr="00311F6E">
        <w:rPr>
          <w:lang w:val="en-CA"/>
        </w:rPr>
        <w:t xml:space="preserve">UNDP advised that the Government is committed to </w:t>
      </w:r>
      <w:r w:rsidR="0069378E">
        <w:rPr>
          <w:lang w:val="en-CA"/>
        </w:rPr>
        <w:t xml:space="preserve">implement the </w:t>
      </w:r>
      <w:r w:rsidR="00477B00">
        <w:rPr>
          <w:lang w:val="en-CA"/>
        </w:rPr>
        <w:t>project at Army Factory</w:t>
      </w:r>
      <w:r w:rsidR="0069378E">
        <w:rPr>
          <w:lang w:val="en-CA"/>
        </w:rPr>
        <w:t>;</w:t>
      </w:r>
      <w:r w:rsidR="000508A0">
        <w:rPr>
          <w:lang w:val="en-CA"/>
        </w:rPr>
        <w:t> </w:t>
      </w:r>
      <w:r w:rsidR="00477B00">
        <w:rPr>
          <w:lang w:val="en-CA"/>
        </w:rPr>
        <w:t xml:space="preserve">however, </w:t>
      </w:r>
      <w:r w:rsidR="0069378E">
        <w:rPr>
          <w:lang w:val="en-CA"/>
        </w:rPr>
        <w:t xml:space="preserve">at this time </w:t>
      </w:r>
      <w:r w:rsidR="006B4939">
        <w:rPr>
          <w:lang w:val="en-CA"/>
        </w:rPr>
        <w:t xml:space="preserve">the Government </w:t>
      </w:r>
      <w:r w:rsidR="00477B00">
        <w:rPr>
          <w:lang w:val="en-CA"/>
        </w:rPr>
        <w:t>is not considering issuing</w:t>
      </w:r>
      <w:r w:rsidRPr="00311F6E">
        <w:rPr>
          <w:lang w:val="en-CA"/>
        </w:rPr>
        <w:t xml:space="preserve"> regulations relating to </w:t>
      </w:r>
      <w:r w:rsidR="004232B0">
        <w:rPr>
          <w:lang w:val="en-CA"/>
        </w:rPr>
        <w:t xml:space="preserve">limiting the </w:t>
      </w:r>
      <w:r w:rsidRPr="00311F6E">
        <w:rPr>
          <w:lang w:val="en-CA"/>
        </w:rPr>
        <w:t>use of HFC-134a in PU foam</w:t>
      </w:r>
      <w:r w:rsidR="0069378E">
        <w:rPr>
          <w:lang w:val="en-CA"/>
        </w:rPr>
        <w:t xml:space="preserve"> applications</w:t>
      </w:r>
      <w:r w:rsidR="005762F4">
        <w:rPr>
          <w:lang w:val="en-CA"/>
        </w:rPr>
        <w:t>.</w:t>
      </w:r>
      <w:r w:rsidR="00897905">
        <w:rPr>
          <w:lang w:val="en-CA"/>
        </w:rPr>
        <w:t xml:space="preserve"> </w:t>
      </w:r>
    </w:p>
    <w:p w:rsidR="00945F98" w:rsidRPr="00311F6E" w:rsidRDefault="006A75ED" w:rsidP="00DD57D3">
      <w:pPr>
        <w:pStyle w:val="Heading1"/>
        <w:rPr>
          <w:lang w:val="en-CA"/>
        </w:rPr>
      </w:pPr>
      <w:r>
        <w:rPr>
          <w:lang w:val="en-CA"/>
        </w:rPr>
        <w:t xml:space="preserve">On </w:t>
      </w:r>
      <w:r w:rsidR="0069378E">
        <w:rPr>
          <w:lang w:val="en-CA"/>
        </w:rPr>
        <w:t xml:space="preserve">a </w:t>
      </w:r>
      <w:r>
        <w:rPr>
          <w:lang w:val="en-CA"/>
        </w:rPr>
        <w:t>clarification on how the enterprise would sustain high cost of the HFO</w:t>
      </w:r>
      <w:r w:rsidR="00D638B4">
        <w:rPr>
          <w:lang w:val="en-CA"/>
        </w:rPr>
        <w:t>-</w:t>
      </w:r>
      <w:r>
        <w:rPr>
          <w:lang w:val="en-CA"/>
        </w:rPr>
        <w:t>based formulation</w:t>
      </w:r>
      <w:r w:rsidR="0069378E">
        <w:rPr>
          <w:lang w:val="en-CA"/>
        </w:rPr>
        <w:t xml:space="preserve"> (i.e., US $15.00/kg for HFOs compared to US $7.10/kg for HCFC-</w:t>
      </w:r>
      <w:r w:rsidR="00ED25A9">
        <w:rPr>
          <w:lang w:val="en-CA"/>
        </w:rPr>
        <w:t>134a</w:t>
      </w:r>
      <w:r w:rsidR="0069378E">
        <w:rPr>
          <w:lang w:val="en-CA"/>
        </w:rPr>
        <w:t>)</w:t>
      </w:r>
      <w:r>
        <w:rPr>
          <w:lang w:val="en-CA"/>
        </w:rPr>
        <w:t xml:space="preserve">, UNDP </w:t>
      </w:r>
      <w:r w:rsidR="0069378E">
        <w:rPr>
          <w:lang w:val="en-CA"/>
        </w:rPr>
        <w:t xml:space="preserve">explained </w:t>
      </w:r>
      <w:r>
        <w:rPr>
          <w:lang w:val="en-CA"/>
        </w:rPr>
        <w:t>that during project</w:t>
      </w:r>
      <w:r w:rsidR="0069378E">
        <w:rPr>
          <w:lang w:val="en-CA"/>
        </w:rPr>
        <w:t xml:space="preserve"> implementation</w:t>
      </w:r>
      <w:r>
        <w:rPr>
          <w:lang w:val="en-CA"/>
        </w:rPr>
        <w:t>, HFO</w:t>
      </w:r>
      <w:r w:rsidR="00D638B4">
        <w:rPr>
          <w:lang w:val="en-CA"/>
        </w:rPr>
        <w:t>-</w:t>
      </w:r>
      <w:r>
        <w:rPr>
          <w:lang w:val="en-CA"/>
        </w:rPr>
        <w:t xml:space="preserve">based formulations </w:t>
      </w:r>
      <w:r w:rsidR="0069378E">
        <w:rPr>
          <w:lang w:val="en-CA"/>
        </w:rPr>
        <w:t xml:space="preserve">would be developed with the aim to lower cost </w:t>
      </w:r>
      <w:r>
        <w:rPr>
          <w:lang w:val="en-CA"/>
        </w:rPr>
        <w:t>and</w:t>
      </w:r>
      <w:r w:rsidR="0069378E">
        <w:rPr>
          <w:lang w:val="en-CA"/>
        </w:rPr>
        <w:t>,</w:t>
      </w:r>
      <w:r w:rsidR="006C3753">
        <w:rPr>
          <w:lang w:val="en-CA"/>
        </w:rPr>
        <w:t> </w:t>
      </w:r>
      <w:r>
        <w:rPr>
          <w:lang w:val="en-CA"/>
        </w:rPr>
        <w:t>through this, sustainability of HFO adoption would be ensured.</w:t>
      </w:r>
    </w:p>
    <w:p w:rsidR="00945F98" w:rsidRPr="005762F4" w:rsidRDefault="00945F98" w:rsidP="00DD57D3">
      <w:pPr>
        <w:spacing w:after="240"/>
        <w:outlineLvl w:val="0"/>
        <w:rPr>
          <w:i/>
          <w:lang w:val="en-CA"/>
        </w:rPr>
      </w:pPr>
      <w:r w:rsidRPr="005762F4">
        <w:rPr>
          <w:i/>
          <w:lang w:val="en-CA"/>
        </w:rPr>
        <w:t>Selection of enterprise</w:t>
      </w:r>
    </w:p>
    <w:p w:rsidR="005762F4" w:rsidRPr="005762F4" w:rsidRDefault="005762F4" w:rsidP="00DD57D3">
      <w:pPr>
        <w:pStyle w:val="Heading1"/>
        <w:rPr>
          <w:lang w:val="en-CA"/>
        </w:rPr>
      </w:pPr>
      <w:r w:rsidRPr="005762F4">
        <w:rPr>
          <w:lang w:val="en-CA"/>
        </w:rPr>
        <w:t xml:space="preserve">The Secretariat notes that </w:t>
      </w:r>
      <w:r>
        <w:rPr>
          <w:lang w:val="en-CA"/>
        </w:rPr>
        <w:t>the Army Factory</w:t>
      </w:r>
      <w:r w:rsidRPr="005762F4">
        <w:rPr>
          <w:lang w:val="en-CA"/>
        </w:rPr>
        <w:t xml:space="preserve"> received funding from the Multilateral </w:t>
      </w:r>
      <w:r w:rsidRPr="00BC00CC">
        <w:rPr>
          <w:lang w:val="en-CA"/>
        </w:rPr>
        <w:t>Fund in 1997</w:t>
      </w:r>
      <w:r w:rsidRPr="005762F4">
        <w:rPr>
          <w:lang w:val="en-CA"/>
        </w:rPr>
        <w:t xml:space="preserve"> to convert from CFC-11 as a blowing agent </w:t>
      </w:r>
      <w:r>
        <w:rPr>
          <w:lang w:val="en-CA"/>
        </w:rPr>
        <w:t xml:space="preserve">to HFC-134a. </w:t>
      </w:r>
      <w:r w:rsidRPr="005762F4">
        <w:rPr>
          <w:lang w:val="en-CA"/>
        </w:rPr>
        <w:t>As such, the Secretariat considers that this conversion falls under paragraph 18(b) of decision XXVIII/2.</w:t>
      </w:r>
    </w:p>
    <w:p w:rsidR="00945F98" w:rsidRPr="00C94414" w:rsidRDefault="00945F98" w:rsidP="00DD57D3">
      <w:pPr>
        <w:rPr>
          <w:u w:val="single"/>
          <w:lang w:val="en-CA"/>
        </w:rPr>
      </w:pPr>
      <w:r w:rsidRPr="00C94414">
        <w:rPr>
          <w:u w:val="single"/>
          <w:lang w:val="en-CA"/>
        </w:rPr>
        <w:t>Incremental cost calculations</w:t>
      </w:r>
    </w:p>
    <w:p w:rsidR="00945F98" w:rsidRPr="00945F98" w:rsidRDefault="00945F98" w:rsidP="00DD57D3">
      <w:pPr>
        <w:rPr>
          <w:lang w:val="en-CA"/>
        </w:rPr>
      </w:pPr>
    </w:p>
    <w:p w:rsidR="00332180" w:rsidRDefault="006A75ED" w:rsidP="00DD57D3">
      <w:pPr>
        <w:pStyle w:val="Heading1"/>
        <w:rPr>
          <w:lang w:val="en-CA"/>
        </w:rPr>
      </w:pPr>
      <w:r>
        <w:rPr>
          <w:lang w:val="en-CA"/>
        </w:rPr>
        <w:t>Upon</w:t>
      </w:r>
      <w:r w:rsidR="00D638B4">
        <w:rPr>
          <w:lang w:val="en-CA"/>
        </w:rPr>
        <w:t xml:space="preserve"> a</w:t>
      </w:r>
      <w:r>
        <w:rPr>
          <w:lang w:val="en-CA"/>
        </w:rPr>
        <w:t xml:space="preserve"> request for clarification on the requirements of a new HP foam machine that replaces the 15 year</w:t>
      </w:r>
      <w:r w:rsidR="00332180">
        <w:rPr>
          <w:lang w:val="en-CA"/>
        </w:rPr>
        <w:t>-</w:t>
      </w:r>
      <w:r>
        <w:rPr>
          <w:lang w:val="en-CA"/>
        </w:rPr>
        <w:t>old HP foam machine, UNDP mentioned that the old foam machine cannot be used with HFOs as equipment spares and components are not easily available and the provisions for co-blowing with other agent</w:t>
      </w:r>
      <w:r w:rsidR="00332180">
        <w:rPr>
          <w:lang w:val="en-CA"/>
        </w:rPr>
        <w:t>s</w:t>
      </w:r>
      <w:r>
        <w:rPr>
          <w:lang w:val="en-CA"/>
        </w:rPr>
        <w:t xml:space="preserve"> is not available.</w:t>
      </w:r>
      <w:r w:rsidR="00897905">
        <w:rPr>
          <w:lang w:val="en-CA"/>
        </w:rPr>
        <w:t xml:space="preserve"> </w:t>
      </w:r>
    </w:p>
    <w:p w:rsidR="006A75ED" w:rsidRDefault="006A75ED" w:rsidP="00DD57D3">
      <w:pPr>
        <w:pStyle w:val="Heading1"/>
        <w:rPr>
          <w:lang w:val="en-CA"/>
        </w:rPr>
      </w:pPr>
      <w:r>
        <w:rPr>
          <w:lang w:val="en-CA"/>
        </w:rPr>
        <w:t>The Secretariat thoroughly considered the eligibility of the request for replacement of the current 15 year</w:t>
      </w:r>
      <w:r w:rsidR="00332180">
        <w:rPr>
          <w:lang w:val="en-CA"/>
        </w:rPr>
        <w:t>-</w:t>
      </w:r>
      <w:r>
        <w:rPr>
          <w:lang w:val="en-CA"/>
        </w:rPr>
        <w:t xml:space="preserve">old HP foam </w:t>
      </w:r>
      <w:r w:rsidR="005E1590">
        <w:rPr>
          <w:lang w:val="en-CA"/>
        </w:rPr>
        <w:t>machine</w:t>
      </w:r>
      <w:r>
        <w:rPr>
          <w:lang w:val="en-CA"/>
        </w:rPr>
        <w:t xml:space="preserve"> </w:t>
      </w:r>
      <w:r w:rsidR="006A570C">
        <w:rPr>
          <w:lang w:val="en-CA"/>
        </w:rPr>
        <w:t>base</w:t>
      </w:r>
      <w:r w:rsidR="005E1590">
        <w:rPr>
          <w:lang w:val="en-CA"/>
        </w:rPr>
        <w:t>d</w:t>
      </w:r>
      <w:r w:rsidR="006A570C">
        <w:rPr>
          <w:lang w:val="en-CA"/>
        </w:rPr>
        <w:t xml:space="preserve"> on</w:t>
      </w:r>
      <w:r>
        <w:rPr>
          <w:lang w:val="en-CA"/>
        </w:rPr>
        <w:t xml:space="preserve"> the following:</w:t>
      </w:r>
    </w:p>
    <w:p w:rsidR="005E1590" w:rsidRDefault="005E1590" w:rsidP="00DD57D3">
      <w:pPr>
        <w:pStyle w:val="Heading2"/>
        <w:rPr>
          <w:lang w:val="en-CA"/>
        </w:rPr>
      </w:pPr>
      <w:r w:rsidRPr="006A570C">
        <w:rPr>
          <w:lang w:val="en-CA"/>
        </w:rPr>
        <w:t xml:space="preserve">The </w:t>
      </w:r>
      <w:r w:rsidR="00332180">
        <w:rPr>
          <w:lang w:val="en-CA"/>
        </w:rPr>
        <w:t>A</w:t>
      </w:r>
      <w:r w:rsidRPr="006A570C">
        <w:rPr>
          <w:lang w:val="en-CA"/>
        </w:rPr>
        <w:t xml:space="preserve">rmy </w:t>
      </w:r>
      <w:r w:rsidR="00332180">
        <w:rPr>
          <w:lang w:val="en-CA"/>
        </w:rPr>
        <w:t>F</w:t>
      </w:r>
      <w:r w:rsidRPr="006A570C">
        <w:rPr>
          <w:lang w:val="en-CA"/>
        </w:rPr>
        <w:t xml:space="preserve">actory currently uses HFC-134a as a blowing agent in the </w:t>
      </w:r>
      <w:r w:rsidR="000D44DC">
        <w:rPr>
          <w:lang w:val="en-CA"/>
        </w:rPr>
        <w:t xml:space="preserve">existing foam </w:t>
      </w:r>
      <w:r w:rsidRPr="006A570C">
        <w:rPr>
          <w:lang w:val="en-CA"/>
        </w:rPr>
        <w:t>machine as they need a non-flammable blowing agent</w:t>
      </w:r>
      <w:r w:rsidR="002729D9">
        <w:rPr>
          <w:lang w:val="en-CA"/>
        </w:rPr>
        <w:t xml:space="preserve">; accordingly the enterprise selected </w:t>
      </w:r>
      <w:r w:rsidRPr="006A570C">
        <w:rPr>
          <w:lang w:val="en-CA"/>
        </w:rPr>
        <w:t xml:space="preserve">HFO-1233zd(E) or HFO-1336mzz </w:t>
      </w:r>
      <w:r w:rsidR="002729D9">
        <w:rPr>
          <w:lang w:val="en-CA"/>
        </w:rPr>
        <w:t xml:space="preserve">as </w:t>
      </w:r>
      <w:r w:rsidRPr="006A570C">
        <w:rPr>
          <w:lang w:val="en-CA"/>
        </w:rPr>
        <w:t>blowing agent</w:t>
      </w:r>
      <w:r w:rsidR="002729D9">
        <w:rPr>
          <w:lang w:val="en-CA"/>
        </w:rPr>
        <w:t>;</w:t>
      </w:r>
    </w:p>
    <w:p w:rsidR="002729D9" w:rsidRDefault="002729D9" w:rsidP="00DD57D3">
      <w:pPr>
        <w:pStyle w:val="Heading2"/>
        <w:rPr>
          <w:lang w:val="en-CA"/>
        </w:rPr>
      </w:pPr>
      <w:r>
        <w:rPr>
          <w:lang w:val="en-CA"/>
        </w:rPr>
        <w:t>The t</w:t>
      </w:r>
      <w:r w:rsidR="005E1590">
        <w:rPr>
          <w:lang w:val="en-CA"/>
        </w:rPr>
        <w:t xml:space="preserve">echnical report on </w:t>
      </w:r>
      <w:r>
        <w:rPr>
          <w:lang w:val="en-CA"/>
        </w:rPr>
        <w:t xml:space="preserve">calculation of the </w:t>
      </w:r>
      <w:r w:rsidR="005E1590">
        <w:rPr>
          <w:lang w:val="en-CA"/>
        </w:rPr>
        <w:t xml:space="preserve">ICCs and IOCs for foam sector alternatives submitted to the </w:t>
      </w:r>
      <w:r w:rsidR="000508A0">
        <w:rPr>
          <w:lang w:val="en-CA"/>
        </w:rPr>
        <w:t>76</w:t>
      </w:r>
      <w:r w:rsidR="005E1590" w:rsidRPr="00F757C4">
        <w:rPr>
          <w:vertAlign w:val="superscript"/>
          <w:lang w:val="en-CA"/>
        </w:rPr>
        <w:t>th</w:t>
      </w:r>
      <w:r w:rsidR="005E1590">
        <w:rPr>
          <w:lang w:val="en-CA"/>
        </w:rPr>
        <w:t xml:space="preserve"> meeting</w:t>
      </w:r>
      <w:r>
        <w:rPr>
          <w:lang w:val="en-CA"/>
        </w:rPr>
        <w:t>,</w:t>
      </w:r>
      <w:r w:rsidR="005E1590">
        <w:rPr>
          <w:rStyle w:val="FootnoteReference"/>
          <w:lang w:val="en-CA"/>
        </w:rPr>
        <w:footnoteReference w:id="10"/>
      </w:r>
      <w:r w:rsidR="005E1590">
        <w:rPr>
          <w:lang w:val="en-CA"/>
        </w:rPr>
        <w:t xml:space="preserve"> </w:t>
      </w:r>
      <w:r>
        <w:rPr>
          <w:lang w:val="en-CA"/>
        </w:rPr>
        <w:t xml:space="preserve">stated </w:t>
      </w:r>
      <w:r w:rsidR="005E1590">
        <w:rPr>
          <w:lang w:val="en-CA"/>
        </w:rPr>
        <w:t>that for the conversion from HCFCs to HFC</w:t>
      </w:r>
      <w:r w:rsidR="00DF05A7">
        <w:rPr>
          <w:lang w:val="en-CA"/>
        </w:rPr>
        <w:t>s</w:t>
      </w:r>
      <w:r w:rsidR="005E1590">
        <w:rPr>
          <w:lang w:val="en-CA"/>
        </w:rPr>
        <w:t>,</w:t>
      </w:r>
      <w:r w:rsidR="002A5FF1">
        <w:rPr>
          <w:lang w:val="en-CA"/>
        </w:rPr>
        <w:t> </w:t>
      </w:r>
      <w:r w:rsidR="005E1590">
        <w:rPr>
          <w:lang w:val="en-CA"/>
        </w:rPr>
        <w:t>HFOs,</w:t>
      </w:r>
      <w:r w:rsidR="006C3753">
        <w:rPr>
          <w:lang w:val="en-CA"/>
        </w:rPr>
        <w:t> </w:t>
      </w:r>
      <w:r w:rsidR="005E1590">
        <w:rPr>
          <w:lang w:val="en-CA"/>
        </w:rPr>
        <w:t>water-based systems or methyl formate technolog</w:t>
      </w:r>
      <w:r>
        <w:rPr>
          <w:lang w:val="en-CA"/>
        </w:rPr>
        <w:t>ies</w:t>
      </w:r>
      <w:r w:rsidR="005E1590">
        <w:rPr>
          <w:lang w:val="en-CA"/>
        </w:rPr>
        <w:t xml:space="preserve">, no additional capital costs for replacing </w:t>
      </w:r>
      <w:r>
        <w:rPr>
          <w:lang w:val="en-CA"/>
        </w:rPr>
        <w:t xml:space="preserve">HP </w:t>
      </w:r>
      <w:r w:rsidR="005E1590">
        <w:rPr>
          <w:lang w:val="en-CA"/>
        </w:rPr>
        <w:t xml:space="preserve">dispensers will be required </w:t>
      </w:r>
      <w:r>
        <w:rPr>
          <w:lang w:val="en-CA"/>
        </w:rPr>
        <w:t xml:space="preserve">for </w:t>
      </w:r>
      <w:r w:rsidR="005E1590">
        <w:rPr>
          <w:lang w:val="en-CA"/>
        </w:rPr>
        <w:t xml:space="preserve">rigid </w:t>
      </w:r>
      <w:r>
        <w:rPr>
          <w:lang w:val="en-CA"/>
        </w:rPr>
        <w:t xml:space="preserve">PU </w:t>
      </w:r>
      <w:r w:rsidR="005E1590">
        <w:rPr>
          <w:lang w:val="en-CA"/>
        </w:rPr>
        <w:t xml:space="preserve">and integral skin foam </w:t>
      </w:r>
      <w:r>
        <w:rPr>
          <w:lang w:val="en-CA"/>
        </w:rPr>
        <w:t>applications;</w:t>
      </w:r>
    </w:p>
    <w:p w:rsidR="005E1590" w:rsidRPr="001F29D4" w:rsidRDefault="002729D9" w:rsidP="00DD57D3">
      <w:pPr>
        <w:pStyle w:val="Heading2"/>
        <w:rPr>
          <w:lang w:val="en-CA"/>
        </w:rPr>
      </w:pPr>
      <w:r>
        <w:rPr>
          <w:lang w:val="en-CA"/>
        </w:rPr>
        <w:t xml:space="preserve">The </w:t>
      </w:r>
      <w:r w:rsidR="005E1590">
        <w:rPr>
          <w:lang w:val="en-CA"/>
        </w:rPr>
        <w:t xml:space="preserve">report </w:t>
      </w:r>
      <w:r>
        <w:rPr>
          <w:lang w:val="en-CA"/>
        </w:rPr>
        <w:t xml:space="preserve">of the </w:t>
      </w:r>
      <w:r w:rsidR="005E1590" w:rsidRPr="001F29D4">
        <w:rPr>
          <w:lang w:val="en-CA"/>
        </w:rPr>
        <w:t xml:space="preserve">demonstration project to validate the use </w:t>
      </w:r>
      <w:r>
        <w:rPr>
          <w:lang w:val="en-CA"/>
        </w:rPr>
        <w:t xml:space="preserve">of </w:t>
      </w:r>
      <w:r w:rsidR="005E1590" w:rsidRPr="001F29D4">
        <w:rPr>
          <w:lang w:val="en-CA"/>
        </w:rPr>
        <w:t>HFO for discontinuous panels</w:t>
      </w:r>
      <w:r w:rsidR="005E1590">
        <w:rPr>
          <w:lang w:val="en-CA"/>
        </w:rPr>
        <w:t xml:space="preserve"> </w:t>
      </w:r>
      <w:r>
        <w:rPr>
          <w:lang w:val="en-CA"/>
        </w:rPr>
        <w:t xml:space="preserve">(previously mentioned), did not </w:t>
      </w:r>
      <w:r w:rsidR="005E1590">
        <w:rPr>
          <w:lang w:val="en-CA"/>
        </w:rPr>
        <w:t xml:space="preserve">indicate a need for </w:t>
      </w:r>
      <w:r w:rsidR="005E1590" w:rsidRPr="00DF05A7">
        <w:rPr>
          <w:lang w:val="en-CA"/>
        </w:rPr>
        <w:t xml:space="preserve">replacing </w:t>
      </w:r>
      <w:r w:rsidR="009C1884" w:rsidRPr="00DF05A7">
        <w:rPr>
          <w:lang w:val="en-CA"/>
        </w:rPr>
        <w:t xml:space="preserve">or retrofitting </w:t>
      </w:r>
      <w:r w:rsidR="005E1590" w:rsidRPr="00DF05A7">
        <w:rPr>
          <w:lang w:val="en-CA"/>
        </w:rPr>
        <w:t>HP</w:t>
      </w:r>
      <w:r w:rsidR="005E1590">
        <w:rPr>
          <w:lang w:val="en-CA"/>
        </w:rPr>
        <w:t xml:space="preserve"> foam machine for using HFO formulations</w:t>
      </w:r>
      <w:r w:rsidR="009C1884">
        <w:rPr>
          <w:lang w:val="en-CA"/>
        </w:rPr>
        <w:t>;</w:t>
      </w:r>
    </w:p>
    <w:p w:rsidR="006A570C" w:rsidRDefault="006A570C" w:rsidP="00DD57D3">
      <w:pPr>
        <w:pStyle w:val="Heading2"/>
        <w:rPr>
          <w:lang w:val="en-CA"/>
        </w:rPr>
      </w:pPr>
      <w:r w:rsidRPr="006A570C">
        <w:rPr>
          <w:lang w:val="en-CA"/>
        </w:rPr>
        <w:t xml:space="preserve">Projects approved for PU foam conversion in discontinuous panels to HFOs approved </w:t>
      </w:r>
      <w:r w:rsidR="009C1884">
        <w:rPr>
          <w:lang w:val="en-CA"/>
        </w:rPr>
        <w:t xml:space="preserve">under HPMPs in several Article 5 countries </w:t>
      </w:r>
      <w:r w:rsidRPr="006A570C">
        <w:rPr>
          <w:lang w:val="en-CA"/>
        </w:rPr>
        <w:t xml:space="preserve">did not </w:t>
      </w:r>
      <w:r w:rsidR="009C1884">
        <w:rPr>
          <w:lang w:val="en-CA"/>
        </w:rPr>
        <w:t xml:space="preserve">request funding for </w:t>
      </w:r>
      <w:r w:rsidRPr="006A570C">
        <w:rPr>
          <w:lang w:val="en-CA"/>
        </w:rPr>
        <w:t xml:space="preserve">replacement of HP foam equipment as the HP equipment </w:t>
      </w:r>
      <w:r w:rsidR="009C1884">
        <w:rPr>
          <w:lang w:val="en-CA"/>
        </w:rPr>
        <w:t xml:space="preserve">in the baseline </w:t>
      </w:r>
      <w:r w:rsidRPr="006A570C">
        <w:rPr>
          <w:lang w:val="en-CA"/>
        </w:rPr>
        <w:t>can be used with the alternative blowing agent</w:t>
      </w:r>
      <w:r w:rsidR="009C1884">
        <w:rPr>
          <w:lang w:val="en-CA"/>
        </w:rPr>
        <w:t>; and</w:t>
      </w:r>
    </w:p>
    <w:p w:rsidR="006A570C" w:rsidRDefault="006A570C" w:rsidP="00DD57D3">
      <w:pPr>
        <w:pStyle w:val="Heading2"/>
        <w:rPr>
          <w:lang w:val="en-CA"/>
        </w:rPr>
      </w:pPr>
      <w:r>
        <w:rPr>
          <w:lang w:val="en-CA"/>
        </w:rPr>
        <w:t xml:space="preserve">Projects </w:t>
      </w:r>
      <w:r w:rsidR="009C1884">
        <w:rPr>
          <w:lang w:val="en-CA"/>
        </w:rPr>
        <w:t>approved for replacing HCFC-141b to flammable</w:t>
      </w:r>
      <w:r>
        <w:rPr>
          <w:lang w:val="en-CA"/>
        </w:rPr>
        <w:t>-based blowing agents</w:t>
      </w:r>
      <w:r w:rsidR="009C1884">
        <w:rPr>
          <w:lang w:val="en-CA"/>
        </w:rPr>
        <w:t xml:space="preserve"> considered first the </w:t>
      </w:r>
      <w:r>
        <w:rPr>
          <w:lang w:val="en-CA"/>
        </w:rPr>
        <w:t xml:space="preserve">option </w:t>
      </w:r>
      <w:r w:rsidR="009C1884">
        <w:rPr>
          <w:lang w:val="en-CA"/>
        </w:rPr>
        <w:t xml:space="preserve">to retrofit the </w:t>
      </w:r>
      <w:r>
        <w:rPr>
          <w:lang w:val="en-CA"/>
        </w:rPr>
        <w:t xml:space="preserve">HP equipment </w:t>
      </w:r>
      <w:r w:rsidR="009C1884">
        <w:rPr>
          <w:lang w:val="en-CA"/>
        </w:rPr>
        <w:t xml:space="preserve">on the baseline; </w:t>
      </w:r>
      <w:r>
        <w:rPr>
          <w:lang w:val="en-CA"/>
        </w:rPr>
        <w:t xml:space="preserve">in case a </w:t>
      </w:r>
      <w:r w:rsidR="006C3753">
        <w:rPr>
          <w:lang w:val="en-CA"/>
        </w:rPr>
        <w:t xml:space="preserve">                 </w:t>
      </w:r>
      <w:r>
        <w:rPr>
          <w:lang w:val="en-CA"/>
        </w:rPr>
        <w:t>low-</w:t>
      </w:r>
      <w:r w:rsidR="006C3753">
        <w:rPr>
          <w:lang w:val="en-CA"/>
        </w:rPr>
        <w:t>p</w:t>
      </w:r>
      <w:r>
        <w:rPr>
          <w:lang w:val="en-CA"/>
        </w:rPr>
        <w:t xml:space="preserve">ressure (LP) </w:t>
      </w:r>
      <w:r w:rsidR="009C1884">
        <w:rPr>
          <w:lang w:val="en-CA"/>
        </w:rPr>
        <w:t xml:space="preserve">foam machine was in the baseline, appropriate equipment, including its replacement with a HP machine, </w:t>
      </w:r>
      <w:r>
        <w:rPr>
          <w:lang w:val="en-CA"/>
        </w:rPr>
        <w:t xml:space="preserve">was considered </w:t>
      </w:r>
      <w:r w:rsidR="005E1590">
        <w:rPr>
          <w:lang w:val="en-CA"/>
        </w:rPr>
        <w:t>to take care of flammability of the blowing agent</w:t>
      </w:r>
      <w:r>
        <w:rPr>
          <w:lang w:val="en-CA"/>
        </w:rPr>
        <w:t>.</w:t>
      </w:r>
    </w:p>
    <w:p w:rsidR="006A570C" w:rsidRPr="006A570C" w:rsidRDefault="006A570C" w:rsidP="00DD57D3">
      <w:pPr>
        <w:pStyle w:val="Heading1"/>
        <w:rPr>
          <w:lang w:val="en-CA"/>
        </w:rPr>
      </w:pPr>
      <w:r>
        <w:rPr>
          <w:lang w:val="en-CA"/>
        </w:rPr>
        <w:lastRenderedPageBreak/>
        <w:t xml:space="preserve">In light of the above </w:t>
      </w:r>
      <w:r w:rsidR="009C1884">
        <w:rPr>
          <w:lang w:val="en-CA"/>
        </w:rPr>
        <w:t>facts</w:t>
      </w:r>
      <w:r>
        <w:rPr>
          <w:lang w:val="en-CA"/>
        </w:rPr>
        <w:t xml:space="preserve">, the Secretariat considers that the </w:t>
      </w:r>
      <w:r w:rsidR="009C1884">
        <w:rPr>
          <w:lang w:val="en-CA"/>
        </w:rPr>
        <w:t xml:space="preserve">request for the </w:t>
      </w:r>
      <w:r>
        <w:rPr>
          <w:lang w:val="en-CA"/>
        </w:rPr>
        <w:t xml:space="preserve">replacement of existing HP </w:t>
      </w:r>
      <w:r w:rsidR="009C1884">
        <w:rPr>
          <w:lang w:val="en-CA"/>
        </w:rPr>
        <w:t xml:space="preserve">foam dispenser </w:t>
      </w:r>
      <w:r w:rsidR="009C1884" w:rsidRPr="009C1884">
        <w:rPr>
          <w:lang w:val="en-CA"/>
        </w:rPr>
        <w:t xml:space="preserve">and a spare mixing head </w:t>
      </w:r>
      <w:r>
        <w:rPr>
          <w:lang w:val="en-CA"/>
        </w:rPr>
        <w:t>are not eligible incremental cost</w:t>
      </w:r>
      <w:r w:rsidR="006B38D3">
        <w:rPr>
          <w:lang w:val="en-CA"/>
        </w:rPr>
        <w:t>s</w:t>
      </w:r>
      <w:r>
        <w:rPr>
          <w:lang w:val="en-CA"/>
        </w:rPr>
        <w:t>.</w:t>
      </w:r>
    </w:p>
    <w:p w:rsidR="00945F98" w:rsidRPr="009164A4" w:rsidRDefault="00F757C4" w:rsidP="00DD57D3">
      <w:pPr>
        <w:pStyle w:val="Heading1"/>
        <w:rPr>
          <w:lang w:val="en-CA"/>
        </w:rPr>
      </w:pPr>
      <w:r>
        <w:rPr>
          <w:lang w:val="en-CA"/>
        </w:rPr>
        <w:t xml:space="preserve">The Secretariat also reviewed the </w:t>
      </w:r>
      <w:r w:rsidR="005E1590">
        <w:rPr>
          <w:lang w:val="en-CA"/>
        </w:rPr>
        <w:t xml:space="preserve">other </w:t>
      </w:r>
      <w:r w:rsidR="00F52DAE">
        <w:rPr>
          <w:lang w:val="en-CA"/>
        </w:rPr>
        <w:t xml:space="preserve">ICCs </w:t>
      </w:r>
      <w:r>
        <w:rPr>
          <w:lang w:val="en-CA"/>
        </w:rPr>
        <w:t xml:space="preserve">and considered the requirement for technical assistance to develop new formulations and trials and testing at </w:t>
      </w:r>
      <w:r w:rsidR="00897905">
        <w:rPr>
          <w:lang w:val="en-CA"/>
        </w:rPr>
        <w:t>US $</w:t>
      </w:r>
      <w:r>
        <w:rPr>
          <w:lang w:val="en-CA"/>
        </w:rPr>
        <w:t xml:space="preserve">15,000 each </w:t>
      </w:r>
      <w:r w:rsidR="009C1884">
        <w:rPr>
          <w:lang w:val="en-CA"/>
        </w:rPr>
        <w:t xml:space="preserve">are </w:t>
      </w:r>
      <w:r>
        <w:rPr>
          <w:lang w:val="en-CA"/>
        </w:rPr>
        <w:t>eligible incremental costs</w:t>
      </w:r>
      <w:r w:rsidR="009C1884">
        <w:rPr>
          <w:lang w:val="en-CA"/>
        </w:rPr>
        <w:t xml:space="preserve">. However, costs related to </w:t>
      </w:r>
      <w:r>
        <w:rPr>
          <w:lang w:val="en-CA"/>
        </w:rPr>
        <w:t>safety audit would not be incremental as this would need to be carried out as a part of the regular business operations</w:t>
      </w:r>
      <w:r w:rsidR="009C1884">
        <w:rPr>
          <w:lang w:val="en-CA"/>
        </w:rPr>
        <w:t xml:space="preserve">, and the request for </w:t>
      </w:r>
      <w:r>
        <w:rPr>
          <w:lang w:val="en-CA"/>
        </w:rPr>
        <w:t>international seminar is not a requirement</w:t>
      </w:r>
      <w:r w:rsidR="00DF05A7">
        <w:rPr>
          <w:lang w:val="en-CA"/>
        </w:rPr>
        <w:t xml:space="preserve"> for implementing this project</w:t>
      </w:r>
      <w:r w:rsidR="00695CB8" w:rsidRPr="009164A4">
        <w:rPr>
          <w:lang w:val="en-CA"/>
        </w:rPr>
        <w:t xml:space="preserve">. </w:t>
      </w:r>
      <w:r>
        <w:rPr>
          <w:lang w:val="en-CA"/>
        </w:rPr>
        <w:t>In light of the above</w:t>
      </w:r>
      <w:r w:rsidR="00695CB8" w:rsidRPr="009164A4">
        <w:rPr>
          <w:lang w:val="en-CA"/>
        </w:rPr>
        <w:t xml:space="preserve">, the Secretariat recommended that </w:t>
      </w:r>
      <w:r w:rsidR="009C1884">
        <w:rPr>
          <w:lang w:val="en-CA"/>
        </w:rPr>
        <w:t xml:space="preserve">the </w:t>
      </w:r>
      <w:r w:rsidR="00897905">
        <w:rPr>
          <w:lang w:val="en-CA"/>
        </w:rPr>
        <w:t>US $</w:t>
      </w:r>
      <w:r w:rsidR="00695CB8" w:rsidRPr="009164A4">
        <w:rPr>
          <w:lang w:val="en-CA"/>
        </w:rPr>
        <w:t xml:space="preserve">30,000 </w:t>
      </w:r>
      <w:r w:rsidR="009C1884">
        <w:rPr>
          <w:lang w:val="en-CA"/>
        </w:rPr>
        <w:t xml:space="preserve">associated with these activities, </w:t>
      </w:r>
      <w:r w:rsidR="00695CB8" w:rsidRPr="009164A4">
        <w:rPr>
          <w:lang w:val="en-CA"/>
        </w:rPr>
        <w:t xml:space="preserve">be </w:t>
      </w:r>
      <w:r w:rsidR="00F52DAE">
        <w:rPr>
          <w:lang w:val="en-CA"/>
        </w:rPr>
        <w:t xml:space="preserve">used </w:t>
      </w:r>
      <w:r w:rsidR="00695CB8" w:rsidRPr="009164A4">
        <w:rPr>
          <w:lang w:val="en-CA"/>
        </w:rPr>
        <w:t xml:space="preserve">for </w:t>
      </w:r>
      <w:r w:rsidR="00F52DAE">
        <w:rPr>
          <w:lang w:val="en-CA"/>
        </w:rPr>
        <w:t xml:space="preserve">additional </w:t>
      </w:r>
      <w:r w:rsidR="00695CB8" w:rsidRPr="009164A4">
        <w:rPr>
          <w:lang w:val="en-CA"/>
        </w:rPr>
        <w:t>technical assistance for development</w:t>
      </w:r>
      <w:r w:rsidR="0073709D">
        <w:rPr>
          <w:lang w:val="en-CA"/>
        </w:rPr>
        <w:t xml:space="preserve"> </w:t>
      </w:r>
      <w:r w:rsidR="00F52DAE">
        <w:rPr>
          <w:lang w:val="en-CA"/>
        </w:rPr>
        <w:t xml:space="preserve">of cost-effective foam formulations, through </w:t>
      </w:r>
      <w:r>
        <w:rPr>
          <w:lang w:val="en-CA"/>
        </w:rPr>
        <w:t xml:space="preserve">trials and </w:t>
      </w:r>
      <w:r w:rsidR="0073709D">
        <w:rPr>
          <w:lang w:val="en-CA"/>
        </w:rPr>
        <w:t>testing</w:t>
      </w:r>
      <w:r w:rsidR="00695CB8" w:rsidRPr="009164A4">
        <w:rPr>
          <w:lang w:val="en-CA"/>
        </w:rPr>
        <w:t xml:space="preserve">. </w:t>
      </w:r>
    </w:p>
    <w:p w:rsidR="003228C7" w:rsidRDefault="003228C7" w:rsidP="00DD57D3">
      <w:pPr>
        <w:pStyle w:val="Heading1"/>
        <w:rPr>
          <w:lang w:val="en-CA"/>
        </w:rPr>
      </w:pPr>
      <w:r>
        <w:rPr>
          <w:lang w:val="en-CA"/>
        </w:rPr>
        <w:t xml:space="preserve">In reviewing </w:t>
      </w:r>
      <w:r w:rsidR="00F757C4">
        <w:rPr>
          <w:lang w:val="en-CA"/>
        </w:rPr>
        <w:t xml:space="preserve">the </w:t>
      </w:r>
      <w:r w:rsidR="00F52DAE">
        <w:rPr>
          <w:lang w:val="en-CA"/>
        </w:rPr>
        <w:t>IOCs</w:t>
      </w:r>
      <w:r>
        <w:rPr>
          <w:lang w:val="en-CA"/>
        </w:rPr>
        <w:t xml:space="preserve">, the Secretariat </w:t>
      </w:r>
      <w:r w:rsidR="00F757C4">
        <w:rPr>
          <w:lang w:val="en-CA"/>
        </w:rPr>
        <w:t xml:space="preserve">noted that the </w:t>
      </w:r>
      <w:r>
        <w:rPr>
          <w:lang w:val="en-CA"/>
        </w:rPr>
        <w:t xml:space="preserve">HFO </w:t>
      </w:r>
      <w:r w:rsidR="00F757C4">
        <w:rPr>
          <w:lang w:val="en-CA"/>
        </w:rPr>
        <w:t xml:space="preserve">formulation </w:t>
      </w:r>
      <w:r>
        <w:rPr>
          <w:lang w:val="en-CA"/>
        </w:rPr>
        <w:t xml:space="preserve">proposed </w:t>
      </w:r>
      <w:r w:rsidR="00F757C4">
        <w:rPr>
          <w:lang w:val="en-CA"/>
        </w:rPr>
        <w:t>includes 14 per cent of HFOs</w:t>
      </w:r>
      <w:r w:rsidR="001F29D4">
        <w:rPr>
          <w:lang w:val="en-CA"/>
        </w:rPr>
        <w:t xml:space="preserve"> in place of 10 per cent of HFC-134a</w:t>
      </w:r>
      <w:r w:rsidR="005E1590">
        <w:rPr>
          <w:lang w:val="en-CA"/>
        </w:rPr>
        <w:t xml:space="preserve"> in the system</w:t>
      </w:r>
      <w:r>
        <w:rPr>
          <w:lang w:val="en-CA"/>
        </w:rPr>
        <w:t xml:space="preserve">, resulting in a much </w:t>
      </w:r>
      <w:r w:rsidR="001F29D4">
        <w:rPr>
          <w:lang w:val="en-CA"/>
        </w:rPr>
        <w:t>high</w:t>
      </w:r>
      <w:r>
        <w:rPr>
          <w:lang w:val="en-CA"/>
        </w:rPr>
        <w:t>er</w:t>
      </w:r>
      <w:r w:rsidR="001F29D4">
        <w:rPr>
          <w:lang w:val="en-CA"/>
        </w:rPr>
        <w:t xml:space="preserve"> cost of </w:t>
      </w:r>
      <w:r w:rsidR="005E1590">
        <w:rPr>
          <w:lang w:val="en-CA"/>
        </w:rPr>
        <w:t>HFO</w:t>
      </w:r>
      <w:r>
        <w:rPr>
          <w:lang w:val="en-CA"/>
        </w:rPr>
        <w:noBreakHyphen/>
      </w:r>
      <w:r w:rsidR="005E1590">
        <w:rPr>
          <w:lang w:val="en-CA"/>
        </w:rPr>
        <w:t>based system</w:t>
      </w:r>
      <w:r w:rsidR="001F29D4">
        <w:rPr>
          <w:lang w:val="en-CA"/>
        </w:rPr>
        <w:t>.</w:t>
      </w:r>
      <w:r w:rsidR="00897905">
        <w:rPr>
          <w:lang w:val="en-CA"/>
        </w:rPr>
        <w:t xml:space="preserve"> </w:t>
      </w:r>
      <w:r>
        <w:rPr>
          <w:lang w:val="en-CA"/>
        </w:rPr>
        <w:t>D</w:t>
      </w:r>
      <w:r w:rsidR="001F29D4">
        <w:rPr>
          <w:lang w:val="en-CA"/>
        </w:rPr>
        <w:t xml:space="preserve">uring project consultations, UNDP </w:t>
      </w:r>
      <w:r w:rsidR="0032477E">
        <w:rPr>
          <w:lang w:val="en-CA"/>
        </w:rPr>
        <w:t>mentioned</w:t>
      </w:r>
      <w:r w:rsidR="001F29D4">
        <w:rPr>
          <w:lang w:val="en-CA"/>
        </w:rPr>
        <w:t xml:space="preserve"> that the specific formulations and the HFO to be used have not </w:t>
      </w:r>
      <w:r>
        <w:rPr>
          <w:lang w:val="en-CA"/>
        </w:rPr>
        <w:t xml:space="preserve">yet </w:t>
      </w:r>
      <w:r w:rsidR="001F29D4">
        <w:rPr>
          <w:lang w:val="en-CA"/>
        </w:rPr>
        <w:t>been finalised, though they propose to use HFO-1233zd(E) or HFO-1336mzz</w:t>
      </w:r>
      <w:r w:rsidR="005E1590">
        <w:rPr>
          <w:lang w:val="en-CA"/>
        </w:rPr>
        <w:t xml:space="preserve"> as blowing agents</w:t>
      </w:r>
      <w:r w:rsidR="001F29D4">
        <w:rPr>
          <w:lang w:val="en-CA"/>
        </w:rPr>
        <w:t>.</w:t>
      </w:r>
      <w:r w:rsidR="00897905">
        <w:rPr>
          <w:lang w:val="en-CA"/>
        </w:rPr>
        <w:t xml:space="preserve"> </w:t>
      </w:r>
    </w:p>
    <w:p w:rsidR="003228C7" w:rsidRDefault="005B470F" w:rsidP="00DD57D3">
      <w:pPr>
        <w:pStyle w:val="Heading1"/>
        <w:rPr>
          <w:lang w:val="en-CA"/>
        </w:rPr>
      </w:pPr>
      <w:r w:rsidRPr="003228C7">
        <w:rPr>
          <w:lang w:val="en-CA"/>
        </w:rPr>
        <w:t xml:space="preserve">Based </w:t>
      </w:r>
      <w:r w:rsidR="003228C7" w:rsidRPr="003228C7">
        <w:rPr>
          <w:lang w:val="en-CA"/>
        </w:rPr>
        <w:t xml:space="preserve">on the </w:t>
      </w:r>
      <w:r w:rsidRPr="003228C7">
        <w:rPr>
          <w:lang w:val="en-CA"/>
        </w:rPr>
        <w:t xml:space="preserve">experiences </w:t>
      </w:r>
      <w:r w:rsidR="003228C7" w:rsidRPr="003228C7">
        <w:rPr>
          <w:lang w:val="en-CA"/>
        </w:rPr>
        <w:t xml:space="preserve">from </w:t>
      </w:r>
      <w:r w:rsidRPr="003228C7">
        <w:rPr>
          <w:lang w:val="en-CA"/>
        </w:rPr>
        <w:t xml:space="preserve">other </w:t>
      </w:r>
      <w:r w:rsidR="003228C7" w:rsidRPr="003228C7">
        <w:rPr>
          <w:lang w:val="en-CA"/>
        </w:rPr>
        <w:t xml:space="preserve">PU foam </w:t>
      </w:r>
      <w:r w:rsidRPr="003228C7">
        <w:rPr>
          <w:lang w:val="en-CA"/>
        </w:rPr>
        <w:t xml:space="preserve">projects approved for </w:t>
      </w:r>
      <w:r w:rsidR="003228C7" w:rsidRPr="003228C7">
        <w:rPr>
          <w:lang w:val="en-CA"/>
        </w:rPr>
        <w:t xml:space="preserve">the </w:t>
      </w:r>
      <w:r w:rsidRPr="003228C7">
        <w:rPr>
          <w:lang w:val="en-CA"/>
        </w:rPr>
        <w:t>conversion to HFOs in discontinuous panels</w:t>
      </w:r>
      <w:r w:rsidR="003228C7" w:rsidRPr="003228C7">
        <w:rPr>
          <w:lang w:val="en-CA"/>
        </w:rPr>
        <w:t>,</w:t>
      </w:r>
      <w:r w:rsidRPr="003228C7">
        <w:rPr>
          <w:lang w:val="en-CA"/>
        </w:rPr>
        <w:t xml:space="preserve"> and </w:t>
      </w:r>
      <w:r w:rsidR="003228C7" w:rsidRPr="003228C7">
        <w:rPr>
          <w:lang w:val="en-CA"/>
        </w:rPr>
        <w:t xml:space="preserve">on </w:t>
      </w:r>
      <w:r w:rsidRPr="003228C7">
        <w:rPr>
          <w:lang w:val="en-CA"/>
        </w:rPr>
        <w:t>available technical reports on HFO formulations</w:t>
      </w:r>
      <w:r w:rsidR="003228C7" w:rsidRPr="003228C7">
        <w:rPr>
          <w:lang w:val="en-CA"/>
        </w:rPr>
        <w:t xml:space="preserve"> (including the comprehensive demonstration projects on use of HFOs in discontinuous panels approved by the Executive Committee)</w:t>
      </w:r>
      <w:r w:rsidRPr="003228C7">
        <w:rPr>
          <w:lang w:val="en-CA"/>
        </w:rPr>
        <w:t>, the Secretariat calculat</w:t>
      </w:r>
      <w:r w:rsidR="003228C7" w:rsidRPr="003228C7">
        <w:rPr>
          <w:lang w:val="en-CA"/>
        </w:rPr>
        <w:t>ed</w:t>
      </w:r>
      <w:r w:rsidRPr="003228C7">
        <w:rPr>
          <w:lang w:val="en-CA"/>
        </w:rPr>
        <w:t xml:space="preserve"> IOCs </w:t>
      </w:r>
      <w:r w:rsidR="003228C7" w:rsidRPr="003228C7">
        <w:rPr>
          <w:lang w:val="en-CA"/>
        </w:rPr>
        <w:t xml:space="preserve">based on a reduced HFO formulation </w:t>
      </w:r>
      <w:r w:rsidRPr="003228C7">
        <w:rPr>
          <w:lang w:val="en-CA"/>
        </w:rPr>
        <w:t xml:space="preserve">noting that the technical assistance support included in the project cost would </w:t>
      </w:r>
      <w:r w:rsidR="003228C7" w:rsidRPr="003228C7">
        <w:rPr>
          <w:lang w:val="en-CA"/>
        </w:rPr>
        <w:t xml:space="preserve">be used to </w:t>
      </w:r>
      <w:r w:rsidRPr="003228C7">
        <w:rPr>
          <w:lang w:val="en-CA"/>
        </w:rPr>
        <w:t>develop</w:t>
      </w:r>
      <w:r w:rsidR="003228C7" w:rsidRPr="003228C7">
        <w:rPr>
          <w:lang w:val="en-CA"/>
        </w:rPr>
        <w:t xml:space="preserve"> and optimize </w:t>
      </w:r>
      <w:r w:rsidRPr="003228C7">
        <w:rPr>
          <w:lang w:val="en-CA"/>
        </w:rPr>
        <w:t>cost</w:t>
      </w:r>
      <w:r w:rsidR="003228C7" w:rsidRPr="003228C7">
        <w:rPr>
          <w:lang w:val="en-CA"/>
        </w:rPr>
        <w:t xml:space="preserve">-effective </w:t>
      </w:r>
      <w:r w:rsidRPr="003228C7">
        <w:rPr>
          <w:lang w:val="en-CA"/>
        </w:rPr>
        <w:t>HFO-based formulations</w:t>
      </w:r>
      <w:r w:rsidR="00897905" w:rsidRPr="003228C7">
        <w:rPr>
          <w:lang w:val="en-CA"/>
        </w:rPr>
        <w:t xml:space="preserve"> </w:t>
      </w:r>
      <w:r w:rsidRPr="003228C7">
        <w:rPr>
          <w:lang w:val="en-CA"/>
        </w:rPr>
        <w:t>that would meet product performance requirements.</w:t>
      </w:r>
      <w:r w:rsidR="00897905" w:rsidRPr="003228C7">
        <w:rPr>
          <w:lang w:val="en-CA"/>
        </w:rPr>
        <w:t xml:space="preserve"> </w:t>
      </w:r>
    </w:p>
    <w:p w:rsidR="00695CB8" w:rsidRPr="00DF05A7" w:rsidRDefault="003228C7" w:rsidP="00DD57D3">
      <w:pPr>
        <w:pStyle w:val="Heading1"/>
        <w:rPr>
          <w:lang w:val="en-CA"/>
        </w:rPr>
      </w:pPr>
      <w:r>
        <w:rPr>
          <w:lang w:val="en-CA"/>
        </w:rPr>
        <w:t>Based on the analysis of ICC and IOC, the Secretariat estimated that the eligible incremental cost for the conversion at Army Factory amounts to US $</w:t>
      </w:r>
      <w:r w:rsidRPr="003228C7">
        <w:rPr>
          <w:lang w:val="en-CA"/>
        </w:rPr>
        <w:t>224,694</w:t>
      </w:r>
      <w:r>
        <w:rPr>
          <w:lang w:val="en-CA"/>
        </w:rPr>
        <w:t xml:space="preserve"> at a cost-effectiveness of </w:t>
      </w:r>
      <w:r w:rsidR="009F7D93">
        <w:rPr>
          <w:lang w:val="en-CA"/>
        </w:rPr>
        <w:t xml:space="preserve">US $4.05/kg or </w:t>
      </w:r>
      <w:r w:rsidR="009F7D93" w:rsidRPr="00DF05A7">
        <w:rPr>
          <w:lang w:val="en-CA"/>
        </w:rPr>
        <w:t>US $</w:t>
      </w:r>
      <w:r w:rsidR="00DF05A7" w:rsidRPr="00DF05A7">
        <w:rPr>
          <w:lang w:val="en-CA"/>
        </w:rPr>
        <w:t>2.83</w:t>
      </w:r>
      <w:r w:rsidR="000508A0">
        <w:rPr>
          <w:lang w:val="en-CA"/>
        </w:rPr>
        <w:t xml:space="preserve"> mt </w:t>
      </w:r>
      <w:r w:rsidR="000508A0" w:rsidRPr="00965AB5">
        <w:rPr>
          <w:lang w:val="en-CA"/>
        </w:rPr>
        <w:t>CO</w:t>
      </w:r>
      <w:r w:rsidR="000508A0" w:rsidRPr="0032477E">
        <w:rPr>
          <w:vertAlign w:val="subscript"/>
          <w:lang w:val="en-CA"/>
        </w:rPr>
        <w:t>2</w:t>
      </w:r>
      <w:r w:rsidR="009F7D93" w:rsidRPr="00DF05A7">
        <w:rPr>
          <w:lang w:val="en-CA"/>
        </w:rPr>
        <w:t xml:space="preserve">-eq. </w:t>
      </w:r>
      <w:r w:rsidR="0032477E" w:rsidRPr="00DF05A7">
        <w:rPr>
          <w:lang w:val="en-CA"/>
        </w:rPr>
        <w:t xml:space="preserve">Table 4 provides a summary of the incremental costs as </w:t>
      </w:r>
      <w:r w:rsidR="009F7D93" w:rsidRPr="00DF05A7">
        <w:rPr>
          <w:lang w:val="en-CA"/>
        </w:rPr>
        <w:t xml:space="preserve">originally submitted, as revised by UNDP during the discussions, and as proposed </w:t>
      </w:r>
      <w:r w:rsidR="0032477E" w:rsidRPr="00DF05A7">
        <w:rPr>
          <w:lang w:val="en-CA"/>
        </w:rPr>
        <w:t>by the Secretariat</w:t>
      </w:r>
      <w:r w:rsidR="00965AB5" w:rsidRPr="00DF05A7">
        <w:rPr>
          <w:lang w:val="en-CA"/>
        </w:rPr>
        <w:t>.</w:t>
      </w:r>
      <w:r w:rsidR="00897905" w:rsidRPr="00DF05A7">
        <w:rPr>
          <w:lang w:val="en-CA"/>
        </w:rPr>
        <w:t xml:space="preserve"> </w:t>
      </w:r>
    </w:p>
    <w:p w:rsidR="0032477E" w:rsidRPr="0032477E" w:rsidRDefault="0032477E" w:rsidP="00897905">
      <w:pPr>
        <w:pStyle w:val="Heading1"/>
        <w:numPr>
          <w:ilvl w:val="0"/>
          <w:numId w:val="0"/>
        </w:numPr>
        <w:spacing w:after="0"/>
        <w:rPr>
          <w:b/>
        </w:rPr>
      </w:pPr>
      <w:r w:rsidRPr="0032477E">
        <w:rPr>
          <w:b/>
        </w:rPr>
        <w:t>Table 4: Incremental costs for c</w:t>
      </w:r>
      <w:r>
        <w:rPr>
          <w:b/>
        </w:rPr>
        <w:t xml:space="preserve">onversion to HFOs </w:t>
      </w:r>
      <w:r w:rsidR="009F7D93">
        <w:rPr>
          <w:b/>
        </w:rPr>
        <w:t>at Army Factory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920"/>
        <w:gridCol w:w="1920"/>
        <w:gridCol w:w="1920"/>
      </w:tblGrid>
      <w:tr w:rsidR="009F7D93" w:rsidRPr="009F7D93" w:rsidTr="00D56F53">
        <w:tc>
          <w:tcPr>
            <w:tcW w:w="3600" w:type="dxa"/>
            <w:shd w:val="clear" w:color="auto" w:fill="auto"/>
            <w:noWrap/>
            <w:vAlign w:val="center"/>
          </w:tcPr>
          <w:p w:rsidR="009F7D93" w:rsidRPr="00DF05A7" w:rsidRDefault="009F7D93" w:rsidP="00897905">
            <w:pPr>
              <w:jc w:val="left"/>
              <w:rPr>
                <w:b/>
                <w:sz w:val="21"/>
                <w:szCs w:val="21"/>
              </w:rPr>
            </w:pPr>
          </w:p>
        </w:tc>
        <w:tc>
          <w:tcPr>
            <w:tcW w:w="5760" w:type="dxa"/>
            <w:gridSpan w:val="3"/>
            <w:shd w:val="clear" w:color="auto" w:fill="auto"/>
            <w:noWrap/>
            <w:vAlign w:val="center"/>
          </w:tcPr>
          <w:p w:rsidR="009F7D93" w:rsidRPr="00DF05A7" w:rsidRDefault="009F7D93" w:rsidP="00897905">
            <w:pPr>
              <w:jc w:val="center"/>
              <w:rPr>
                <w:b/>
                <w:sz w:val="21"/>
                <w:szCs w:val="21"/>
              </w:rPr>
            </w:pPr>
            <w:r w:rsidRPr="00DF05A7">
              <w:rPr>
                <w:b/>
                <w:sz w:val="21"/>
                <w:szCs w:val="21"/>
              </w:rPr>
              <w:t>Cost (US $)</w:t>
            </w:r>
          </w:p>
        </w:tc>
      </w:tr>
      <w:tr w:rsidR="009F7D93" w:rsidRPr="009F7D93" w:rsidTr="009F7D93">
        <w:tc>
          <w:tcPr>
            <w:tcW w:w="3600" w:type="dxa"/>
            <w:shd w:val="clear" w:color="auto" w:fill="auto"/>
            <w:noWrap/>
            <w:vAlign w:val="center"/>
            <w:hideMark/>
          </w:tcPr>
          <w:p w:rsidR="009F7D93" w:rsidRPr="00DF05A7" w:rsidRDefault="009F7D93" w:rsidP="00897905">
            <w:pPr>
              <w:jc w:val="left"/>
              <w:rPr>
                <w:b/>
                <w:sz w:val="21"/>
                <w:szCs w:val="21"/>
              </w:rPr>
            </w:pPr>
            <w:r w:rsidRPr="00DF05A7">
              <w:rPr>
                <w:b/>
                <w:sz w:val="21"/>
                <w:szCs w:val="21"/>
              </w:rPr>
              <w:t>Description</w:t>
            </w:r>
          </w:p>
        </w:tc>
        <w:tc>
          <w:tcPr>
            <w:tcW w:w="1920" w:type="dxa"/>
            <w:shd w:val="clear" w:color="auto" w:fill="auto"/>
            <w:noWrap/>
            <w:tcMar>
              <w:left w:w="0" w:type="dxa"/>
              <w:right w:w="0" w:type="dxa"/>
            </w:tcMar>
            <w:vAlign w:val="center"/>
            <w:hideMark/>
          </w:tcPr>
          <w:p w:rsidR="009F7D93" w:rsidRPr="00DF05A7" w:rsidRDefault="009F7D93" w:rsidP="00897905">
            <w:pPr>
              <w:jc w:val="center"/>
              <w:rPr>
                <w:b/>
                <w:sz w:val="21"/>
                <w:szCs w:val="21"/>
              </w:rPr>
            </w:pPr>
            <w:r w:rsidRPr="00DF05A7">
              <w:rPr>
                <w:b/>
                <w:sz w:val="21"/>
                <w:szCs w:val="21"/>
              </w:rPr>
              <w:t>As submitted</w:t>
            </w:r>
          </w:p>
        </w:tc>
        <w:tc>
          <w:tcPr>
            <w:tcW w:w="1920" w:type="dxa"/>
            <w:tcMar>
              <w:left w:w="0" w:type="dxa"/>
              <w:right w:w="0" w:type="dxa"/>
            </w:tcMar>
          </w:tcPr>
          <w:p w:rsidR="009F7D93" w:rsidRPr="00DF05A7" w:rsidRDefault="009F7D93" w:rsidP="004A5AAF">
            <w:pPr>
              <w:jc w:val="center"/>
              <w:rPr>
                <w:b/>
                <w:sz w:val="21"/>
                <w:szCs w:val="21"/>
              </w:rPr>
            </w:pPr>
            <w:r w:rsidRPr="00DF05A7">
              <w:rPr>
                <w:b/>
                <w:sz w:val="21"/>
                <w:szCs w:val="21"/>
              </w:rPr>
              <w:t>Revised</w:t>
            </w:r>
          </w:p>
        </w:tc>
        <w:tc>
          <w:tcPr>
            <w:tcW w:w="1920" w:type="dxa"/>
            <w:tcMar>
              <w:left w:w="0" w:type="dxa"/>
              <w:right w:w="0" w:type="dxa"/>
            </w:tcMar>
          </w:tcPr>
          <w:p w:rsidR="009F7D93" w:rsidRPr="00DF05A7" w:rsidRDefault="009F7D93" w:rsidP="004A5AAF">
            <w:pPr>
              <w:jc w:val="center"/>
              <w:rPr>
                <w:b/>
                <w:sz w:val="21"/>
                <w:szCs w:val="21"/>
              </w:rPr>
            </w:pPr>
            <w:r w:rsidRPr="00DF05A7">
              <w:rPr>
                <w:b/>
                <w:sz w:val="21"/>
                <w:szCs w:val="21"/>
              </w:rPr>
              <w:t>Secretariat proposal</w:t>
            </w:r>
          </w:p>
        </w:tc>
      </w:tr>
      <w:tr w:rsidR="009F7D93" w:rsidRPr="009F7D93" w:rsidTr="009F7D93">
        <w:tc>
          <w:tcPr>
            <w:tcW w:w="3600" w:type="dxa"/>
            <w:shd w:val="clear" w:color="auto" w:fill="auto"/>
            <w:noWrap/>
            <w:vAlign w:val="center"/>
          </w:tcPr>
          <w:p w:rsidR="009F7D93" w:rsidRPr="00DF05A7" w:rsidRDefault="009F7D93" w:rsidP="00897905">
            <w:pPr>
              <w:rPr>
                <w:color w:val="000000"/>
                <w:sz w:val="21"/>
                <w:szCs w:val="21"/>
              </w:rPr>
            </w:pPr>
            <w:r w:rsidRPr="00DF05A7">
              <w:rPr>
                <w:color w:val="000000"/>
                <w:sz w:val="21"/>
                <w:szCs w:val="21"/>
              </w:rPr>
              <w:t>Incremental capital cost</w:t>
            </w:r>
          </w:p>
        </w:tc>
        <w:tc>
          <w:tcPr>
            <w:tcW w:w="1920" w:type="dxa"/>
            <w:shd w:val="clear" w:color="auto" w:fill="auto"/>
            <w:noWrap/>
            <w:tcMar>
              <w:left w:w="115" w:type="dxa"/>
              <w:right w:w="432" w:type="dxa"/>
            </w:tcMar>
            <w:vAlign w:val="center"/>
          </w:tcPr>
          <w:p w:rsidR="009F7D93" w:rsidRPr="00DF05A7" w:rsidRDefault="009F7D93" w:rsidP="00897905">
            <w:pPr>
              <w:jc w:val="right"/>
              <w:rPr>
                <w:color w:val="000000"/>
                <w:sz w:val="21"/>
                <w:szCs w:val="21"/>
              </w:rPr>
            </w:pPr>
            <w:r w:rsidRPr="00DF05A7">
              <w:rPr>
                <w:sz w:val="21"/>
                <w:szCs w:val="21"/>
              </w:rPr>
              <w:t>297,000</w:t>
            </w:r>
          </w:p>
        </w:tc>
        <w:tc>
          <w:tcPr>
            <w:tcW w:w="1920" w:type="dxa"/>
          </w:tcPr>
          <w:p w:rsidR="009F7D93" w:rsidRPr="00DF05A7" w:rsidRDefault="00DF05A7" w:rsidP="00897905">
            <w:pPr>
              <w:jc w:val="right"/>
              <w:rPr>
                <w:sz w:val="21"/>
                <w:szCs w:val="21"/>
              </w:rPr>
            </w:pPr>
            <w:r w:rsidRPr="00DF05A7">
              <w:rPr>
                <w:sz w:val="21"/>
                <w:szCs w:val="21"/>
              </w:rPr>
              <w:t>225,500</w:t>
            </w:r>
          </w:p>
        </w:tc>
        <w:tc>
          <w:tcPr>
            <w:tcW w:w="1920" w:type="dxa"/>
            <w:tcMar>
              <w:left w:w="115" w:type="dxa"/>
              <w:right w:w="432" w:type="dxa"/>
            </w:tcMar>
          </w:tcPr>
          <w:p w:rsidR="009F7D93" w:rsidRPr="00DF05A7" w:rsidRDefault="009F7D93" w:rsidP="00897905">
            <w:pPr>
              <w:jc w:val="right"/>
              <w:rPr>
                <w:sz w:val="21"/>
                <w:szCs w:val="21"/>
              </w:rPr>
            </w:pPr>
            <w:r w:rsidRPr="00DF05A7">
              <w:rPr>
                <w:sz w:val="21"/>
                <w:szCs w:val="21"/>
              </w:rPr>
              <w:t>30,000</w:t>
            </w:r>
          </w:p>
        </w:tc>
      </w:tr>
      <w:tr w:rsidR="009F7D93" w:rsidRPr="009F7D93" w:rsidTr="009F7D93">
        <w:tc>
          <w:tcPr>
            <w:tcW w:w="3600" w:type="dxa"/>
            <w:shd w:val="clear" w:color="auto" w:fill="auto"/>
            <w:noWrap/>
            <w:vAlign w:val="center"/>
          </w:tcPr>
          <w:p w:rsidR="009F7D93" w:rsidRPr="00DF05A7" w:rsidRDefault="009F7D93" w:rsidP="00897905">
            <w:pPr>
              <w:rPr>
                <w:color w:val="000000"/>
                <w:sz w:val="21"/>
                <w:szCs w:val="21"/>
              </w:rPr>
            </w:pPr>
            <w:r w:rsidRPr="00DF05A7">
              <w:rPr>
                <w:color w:val="000000"/>
                <w:sz w:val="21"/>
                <w:szCs w:val="21"/>
              </w:rPr>
              <w:t>Incremental operating cost</w:t>
            </w:r>
          </w:p>
        </w:tc>
        <w:tc>
          <w:tcPr>
            <w:tcW w:w="1920" w:type="dxa"/>
            <w:shd w:val="clear" w:color="auto" w:fill="auto"/>
            <w:noWrap/>
            <w:tcMar>
              <w:left w:w="115" w:type="dxa"/>
              <w:right w:w="432" w:type="dxa"/>
            </w:tcMar>
            <w:vAlign w:val="center"/>
          </w:tcPr>
          <w:p w:rsidR="009F7D93" w:rsidRPr="00DF05A7" w:rsidRDefault="009F7D93" w:rsidP="00897905">
            <w:pPr>
              <w:jc w:val="right"/>
              <w:rPr>
                <w:color w:val="000000"/>
                <w:sz w:val="21"/>
                <w:szCs w:val="21"/>
              </w:rPr>
            </w:pPr>
            <w:r w:rsidRPr="00DF05A7">
              <w:rPr>
                <w:color w:val="000000"/>
                <w:sz w:val="21"/>
                <w:szCs w:val="21"/>
              </w:rPr>
              <w:t>710,400</w:t>
            </w:r>
          </w:p>
        </w:tc>
        <w:tc>
          <w:tcPr>
            <w:tcW w:w="1920" w:type="dxa"/>
          </w:tcPr>
          <w:p w:rsidR="009F7D93" w:rsidRPr="00DF05A7" w:rsidRDefault="00DF05A7" w:rsidP="00897905">
            <w:pPr>
              <w:jc w:val="right"/>
              <w:rPr>
                <w:sz w:val="21"/>
                <w:szCs w:val="21"/>
              </w:rPr>
            </w:pPr>
            <w:r w:rsidRPr="00DF05A7">
              <w:rPr>
                <w:sz w:val="21"/>
                <w:szCs w:val="21"/>
              </w:rPr>
              <w:t>471,750-710,400</w:t>
            </w:r>
          </w:p>
        </w:tc>
        <w:tc>
          <w:tcPr>
            <w:tcW w:w="1920" w:type="dxa"/>
            <w:tcMar>
              <w:left w:w="115" w:type="dxa"/>
              <w:right w:w="432" w:type="dxa"/>
            </w:tcMar>
          </w:tcPr>
          <w:p w:rsidR="009F7D93" w:rsidRPr="00DF05A7" w:rsidRDefault="009F7D93" w:rsidP="00897905">
            <w:pPr>
              <w:jc w:val="right"/>
              <w:rPr>
                <w:sz w:val="21"/>
                <w:szCs w:val="21"/>
              </w:rPr>
            </w:pPr>
            <w:r w:rsidRPr="00DF05A7">
              <w:rPr>
                <w:sz w:val="21"/>
                <w:szCs w:val="21"/>
              </w:rPr>
              <w:t>194,694</w:t>
            </w:r>
          </w:p>
        </w:tc>
      </w:tr>
      <w:tr w:rsidR="009F7D93" w:rsidRPr="009F7D93" w:rsidTr="009F7D93">
        <w:tc>
          <w:tcPr>
            <w:tcW w:w="3600" w:type="dxa"/>
            <w:shd w:val="clear" w:color="auto" w:fill="auto"/>
            <w:noWrap/>
            <w:vAlign w:val="center"/>
          </w:tcPr>
          <w:p w:rsidR="009F7D93" w:rsidRPr="00DF05A7" w:rsidRDefault="009F7D93" w:rsidP="00897905">
            <w:pPr>
              <w:rPr>
                <w:b/>
                <w:color w:val="000000"/>
                <w:sz w:val="21"/>
                <w:szCs w:val="21"/>
              </w:rPr>
            </w:pPr>
            <w:r w:rsidRPr="00DF05A7">
              <w:rPr>
                <w:b/>
                <w:color w:val="000000"/>
                <w:sz w:val="21"/>
                <w:szCs w:val="21"/>
              </w:rPr>
              <w:t>Total</w:t>
            </w:r>
          </w:p>
        </w:tc>
        <w:tc>
          <w:tcPr>
            <w:tcW w:w="1920" w:type="dxa"/>
            <w:shd w:val="clear" w:color="auto" w:fill="auto"/>
            <w:noWrap/>
            <w:tcMar>
              <w:left w:w="115" w:type="dxa"/>
              <w:right w:w="432" w:type="dxa"/>
            </w:tcMar>
            <w:vAlign w:val="center"/>
          </w:tcPr>
          <w:p w:rsidR="009F7D93" w:rsidRPr="00DF05A7" w:rsidRDefault="009F7D93" w:rsidP="00897905">
            <w:pPr>
              <w:jc w:val="right"/>
              <w:rPr>
                <w:b/>
                <w:color w:val="000000"/>
                <w:sz w:val="21"/>
                <w:szCs w:val="21"/>
              </w:rPr>
            </w:pPr>
            <w:r w:rsidRPr="00DF05A7">
              <w:rPr>
                <w:b/>
                <w:color w:val="000000"/>
                <w:sz w:val="21"/>
                <w:szCs w:val="21"/>
              </w:rPr>
              <w:t>1,007,400</w:t>
            </w:r>
          </w:p>
        </w:tc>
        <w:tc>
          <w:tcPr>
            <w:tcW w:w="1920" w:type="dxa"/>
          </w:tcPr>
          <w:p w:rsidR="009F7D93" w:rsidRPr="00DF05A7" w:rsidRDefault="00DF05A7" w:rsidP="00897905">
            <w:pPr>
              <w:jc w:val="right"/>
              <w:rPr>
                <w:b/>
                <w:sz w:val="21"/>
                <w:szCs w:val="21"/>
              </w:rPr>
            </w:pPr>
            <w:r w:rsidRPr="00DF05A7">
              <w:rPr>
                <w:b/>
                <w:sz w:val="21"/>
                <w:szCs w:val="21"/>
              </w:rPr>
              <w:t>697,250-935,900</w:t>
            </w:r>
          </w:p>
        </w:tc>
        <w:tc>
          <w:tcPr>
            <w:tcW w:w="1920" w:type="dxa"/>
            <w:tcMar>
              <w:left w:w="115" w:type="dxa"/>
              <w:right w:w="432" w:type="dxa"/>
            </w:tcMar>
          </w:tcPr>
          <w:p w:rsidR="009F7D93" w:rsidRPr="00DF05A7" w:rsidRDefault="009F7D93" w:rsidP="00897905">
            <w:pPr>
              <w:jc w:val="right"/>
              <w:rPr>
                <w:b/>
                <w:sz w:val="21"/>
                <w:szCs w:val="21"/>
              </w:rPr>
            </w:pPr>
            <w:r w:rsidRPr="00DF05A7">
              <w:rPr>
                <w:b/>
                <w:sz w:val="21"/>
                <w:szCs w:val="21"/>
              </w:rPr>
              <w:t>224,694</w:t>
            </w:r>
          </w:p>
        </w:tc>
      </w:tr>
      <w:tr w:rsidR="009F7D93" w:rsidRPr="009F7D93" w:rsidTr="009F7D93">
        <w:tc>
          <w:tcPr>
            <w:tcW w:w="3600" w:type="dxa"/>
            <w:shd w:val="clear" w:color="auto" w:fill="auto"/>
            <w:noWrap/>
            <w:vAlign w:val="center"/>
          </w:tcPr>
          <w:p w:rsidR="009F7D93" w:rsidRPr="00DF05A7" w:rsidRDefault="009F7D93" w:rsidP="00897905">
            <w:pPr>
              <w:rPr>
                <w:b/>
                <w:color w:val="000000"/>
                <w:sz w:val="21"/>
                <w:szCs w:val="21"/>
              </w:rPr>
            </w:pPr>
            <w:r w:rsidRPr="00DF05A7">
              <w:rPr>
                <w:b/>
                <w:color w:val="000000"/>
                <w:sz w:val="21"/>
                <w:szCs w:val="21"/>
              </w:rPr>
              <w:t>HFC-134a phased out (mt)</w:t>
            </w:r>
          </w:p>
        </w:tc>
        <w:tc>
          <w:tcPr>
            <w:tcW w:w="1920" w:type="dxa"/>
            <w:shd w:val="clear" w:color="auto" w:fill="auto"/>
            <w:noWrap/>
            <w:tcMar>
              <w:left w:w="115" w:type="dxa"/>
              <w:right w:w="432" w:type="dxa"/>
            </w:tcMar>
            <w:vAlign w:val="center"/>
          </w:tcPr>
          <w:p w:rsidR="009F7D93" w:rsidRPr="00DF05A7" w:rsidRDefault="009F7D93" w:rsidP="000508A0">
            <w:pPr>
              <w:jc w:val="right"/>
              <w:rPr>
                <w:b/>
                <w:color w:val="000000"/>
                <w:sz w:val="21"/>
                <w:szCs w:val="21"/>
              </w:rPr>
            </w:pPr>
            <w:r w:rsidRPr="00DF05A7">
              <w:rPr>
                <w:b/>
                <w:color w:val="000000"/>
                <w:sz w:val="21"/>
                <w:szCs w:val="21"/>
              </w:rPr>
              <w:t>55.5</w:t>
            </w:r>
            <w:r w:rsidR="000508A0">
              <w:rPr>
                <w:b/>
                <w:color w:val="000000"/>
                <w:sz w:val="21"/>
                <w:szCs w:val="21"/>
              </w:rPr>
              <w:t>0</w:t>
            </w:r>
          </w:p>
        </w:tc>
        <w:tc>
          <w:tcPr>
            <w:tcW w:w="1920" w:type="dxa"/>
          </w:tcPr>
          <w:p w:rsidR="009F7D93" w:rsidRPr="00DF05A7" w:rsidRDefault="00DF05A7" w:rsidP="000508A0">
            <w:pPr>
              <w:jc w:val="right"/>
              <w:rPr>
                <w:b/>
                <w:sz w:val="21"/>
                <w:szCs w:val="21"/>
              </w:rPr>
            </w:pPr>
            <w:r w:rsidRPr="00DF05A7">
              <w:rPr>
                <w:b/>
                <w:sz w:val="21"/>
                <w:szCs w:val="21"/>
              </w:rPr>
              <w:t>55.5</w:t>
            </w:r>
            <w:r w:rsidR="000508A0">
              <w:rPr>
                <w:b/>
                <w:sz w:val="21"/>
                <w:szCs w:val="21"/>
              </w:rPr>
              <w:t>0</w:t>
            </w:r>
          </w:p>
        </w:tc>
        <w:tc>
          <w:tcPr>
            <w:tcW w:w="1920" w:type="dxa"/>
            <w:tcMar>
              <w:left w:w="115" w:type="dxa"/>
              <w:right w:w="432" w:type="dxa"/>
            </w:tcMar>
          </w:tcPr>
          <w:p w:rsidR="009F7D93" w:rsidRPr="00DF05A7" w:rsidRDefault="009F7D93" w:rsidP="000508A0">
            <w:pPr>
              <w:jc w:val="right"/>
              <w:rPr>
                <w:b/>
                <w:sz w:val="21"/>
                <w:szCs w:val="21"/>
              </w:rPr>
            </w:pPr>
            <w:r w:rsidRPr="00DF05A7">
              <w:rPr>
                <w:b/>
                <w:sz w:val="21"/>
                <w:szCs w:val="21"/>
              </w:rPr>
              <w:t>55.5</w:t>
            </w:r>
            <w:r w:rsidR="000508A0">
              <w:rPr>
                <w:b/>
                <w:sz w:val="21"/>
                <w:szCs w:val="21"/>
              </w:rPr>
              <w:t>0</w:t>
            </w:r>
          </w:p>
        </w:tc>
      </w:tr>
      <w:tr w:rsidR="009F7D93" w:rsidRPr="009F7D93" w:rsidTr="009F7D93">
        <w:tc>
          <w:tcPr>
            <w:tcW w:w="3600" w:type="dxa"/>
            <w:shd w:val="clear" w:color="auto" w:fill="auto"/>
            <w:noWrap/>
            <w:vAlign w:val="center"/>
          </w:tcPr>
          <w:p w:rsidR="009F7D93" w:rsidRPr="00DF05A7" w:rsidRDefault="009F7D93" w:rsidP="00D56F53">
            <w:pPr>
              <w:rPr>
                <w:b/>
                <w:color w:val="000000"/>
                <w:sz w:val="21"/>
                <w:szCs w:val="21"/>
              </w:rPr>
            </w:pPr>
            <w:r w:rsidRPr="00DF05A7">
              <w:rPr>
                <w:b/>
                <w:color w:val="000000"/>
                <w:sz w:val="21"/>
                <w:szCs w:val="21"/>
              </w:rPr>
              <w:t>Cost effectiveness (US $/kg)</w:t>
            </w:r>
          </w:p>
        </w:tc>
        <w:tc>
          <w:tcPr>
            <w:tcW w:w="1920" w:type="dxa"/>
            <w:shd w:val="clear" w:color="auto" w:fill="auto"/>
            <w:noWrap/>
            <w:tcMar>
              <w:left w:w="115" w:type="dxa"/>
              <w:right w:w="432" w:type="dxa"/>
            </w:tcMar>
            <w:vAlign w:val="center"/>
          </w:tcPr>
          <w:p w:rsidR="009F7D93" w:rsidRPr="00DF05A7" w:rsidRDefault="009F7D93" w:rsidP="00D56F53">
            <w:pPr>
              <w:jc w:val="right"/>
              <w:rPr>
                <w:b/>
                <w:color w:val="000000"/>
                <w:sz w:val="21"/>
                <w:szCs w:val="21"/>
              </w:rPr>
            </w:pPr>
            <w:r w:rsidRPr="00DF05A7">
              <w:rPr>
                <w:b/>
                <w:color w:val="000000"/>
                <w:sz w:val="21"/>
                <w:szCs w:val="21"/>
              </w:rPr>
              <w:t>18.15</w:t>
            </w:r>
          </w:p>
        </w:tc>
        <w:tc>
          <w:tcPr>
            <w:tcW w:w="1920" w:type="dxa"/>
          </w:tcPr>
          <w:p w:rsidR="009F7D93" w:rsidRPr="00DF05A7" w:rsidRDefault="00DF05A7" w:rsidP="00D56F53">
            <w:pPr>
              <w:jc w:val="right"/>
              <w:rPr>
                <w:b/>
                <w:sz w:val="21"/>
                <w:szCs w:val="21"/>
              </w:rPr>
            </w:pPr>
            <w:r w:rsidRPr="00DF05A7">
              <w:rPr>
                <w:b/>
                <w:sz w:val="21"/>
                <w:szCs w:val="21"/>
              </w:rPr>
              <w:t>12.56 – 16.86</w:t>
            </w:r>
          </w:p>
        </w:tc>
        <w:tc>
          <w:tcPr>
            <w:tcW w:w="1920" w:type="dxa"/>
            <w:tcMar>
              <w:left w:w="115" w:type="dxa"/>
              <w:right w:w="432" w:type="dxa"/>
            </w:tcMar>
          </w:tcPr>
          <w:p w:rsidR="009F7D93" w:rsidRPr="00DF05A7" w:rsidRDefault="009F7D93" w:rsidP="00D56F53">
            <w:pPr>
              <w:jc w:val="right"/>
              <w:rPr>
                <w:b/>
                <w:sz w:val="21"/>
                <w:szCs w:val="21"/>
              </w:rPr>
            </w:pPr>
            <w:r w:rsidRPr="00DF05A7">
              <w:rPr>
                <w:b/>
                <w:sz w:val="21"/>
                <w:szCs w:val="21"/>
              </w:rPr>
              <w:t>4.05</w:t>
            </w:r>
          </w:p>
        </w:tc>
      </w:tr>
      <w:tr w:rsidR="009F7D93" w:rsidRPr="009F7D93" w:rsidTr="009F7D93">
        <w:tc>
          <w:tcPr>
            <w:tcW w:w="3600" w:type="dxa"/>
            <w:shd w:val="clear" w:color="auto" w:fill="auto"/>
            <w:noWrap/>
            <w:vAlign w:val="center"/>
          </w:tcPr>
          <w:p w:rsidR="009F7D93" w:rsidRPr="00DF05A7" w:rsidRDefault="009F7D93" w:rsidP="000508A0">
            <w:pPr>
              <w:rPr>
                <w:b/>
                <w:color w:val="000000"/>
                <w:sz w:val="21"/>
                <w:szCs w:val="21"/>
              </w:rPr>
            </w:pPr>
            <w:r w:rsidRPr="00DF05A7">
              <w:rPr>
                <w:b/>
                <w:color w:val="000000"/>
                <w:sz w:val="21"/>
                <w:szCs w:val="21"/>
              </w:rPr>
              <w:t>Cost effectiveness (US $/</w:t>
            </w:r>
            <w:r w:rsidR="000508A0">
              <w:rPr>
                <w:b/>
                <w:color w:val="000000"/>
                <w:sz w:val="21"/>
                <w:szCs w:val="21"/>
              </w:rPr>
              <w:t xml:space="preserve"> mt </w:t>
            </w:r>
            <w:r w:rsidR="00660F87" w:rsidRPr="00660F87">
              <w:rPr>
                <w:b/>
                <w:lang w:val="en-CA"/>
              </w:rPr>
              <w:t>CO</w:t>
            </w:r>
            <w:r w:rsidR="00660F87" w:rsidRPr="00660F87">
              <w:rPr>
                <w:b/>
                <w:vertAlign w:val="subscript"/>
                <w:lang w:val="en-CA"/>
              </w:rPr>
              <w:t>2</w:t>
            </w:r>
            <w:r w:rsidR="00660F87" w:rsidRPr="00660F87">
              <w:rPr>
                <w:b/>
                <w:lang w:val="en-CA"/>
              </w:rPr>
              <w:t>-eq</w:t>
            </w:r>
            <w:r w:rsidR="00613426">
              <w:rPr>
                <w:b/>
                <w:lang w:val="en-CA"/>
              </w:rPr>
              <w:t>.</w:t>
            </w:r>
            <w:r w:rsidRPr="00DF05A7">
              <w:rPr>
                <w:b/>
                <w:color w:val="000000"/>
                <w:sz w:val="21"/>
                <w:szCs w:val="21"/>
              </w:rPr>
              <w:t>)</w:t>
            </w:r>
          </w:p>
        </w:tc>
        <w:tc>
          <w:tcPr>
            <w:tcW w:w="1920" w:type="dxa"/>
            <w:shd w:val="clear" w:color="auto" w:fill="auto"/>
            <w:noWrap/>
            <w:tcMar>
              <w:left w:w="115" w:type="dxa"/>
              <w:right w:w="432" w:type="dxa"/>
            </w:tcMar>
            <w:vAlign w:val="center"/>
          </w:tcPr>
          <w:p w:rsidR="009F7D93" w:rsidRPr="00DF05A7" w:rsidRDefault="00DF05A7" w:rsidP="00897905">
            <w:pPr>
              <w:jc w:val="right"/>
              <w:rPr>
                <w:b/>
                <w:color w:val="000000"/>
                <w:sz w:val="21"/>
                <w:szCs w:val="21"/>
              </w:rPr>
            </w:pPr>
            <w:r w:rsidRPr="00DF05A7">
              <w:rPr>
                <w:b/>
                <w:color w:val="000000"/>
                <w:sz w:val="21"/>
                <w:szCs w:val="21"/>
              </w:rPr>
              <w:t>12.69</w:t>
            </w:r>
          </w:p>
        </w:tc>
        <w:tc>
          <w:tcPr>
            <w:tcW w:w="1920" w:type="dxa"/>
          </w:tcPr>
          <w:p w:rsidR="009F7D93" w:rsidRPr="00DF05A7" w:rsidRDefault="00DF05A7" w:rsidP="00897905">
            <w:pPr>
              <w:jc w:val="right"/>
              <w:rPr>
                <w:b/>
                <w:sz w:val="21"/>
                <w:szCs w:val="21"/>
              </w:rPr>
            </w:pPr>
            <w:r w:rsidRPr="00DF05A7">
              <w:rPr>
                <w:b/>
                <w:sz w:val="21"/>
                <w:szCs w:val="21"/>
              </w:rPr>
              <w:t>8.79 – 11.79</w:t>
            </w:r>
          </w:p>
        </w:tc>
        <w:tc>
          <w:tcPr>
            <w:tcW w:w="1920" w:type="dxa"/>
            <w:tcMar>
              <w:left w:w="115" w:type="dxa"/>
              <w:right w:w="432" w:type="dxa"/>
            </w:tcMar>
          </w:tcPr>
          <w:p w:rsidR="009F7D93" w:rsidRPr="00DF05A7" w:rsidRDefault="00DF05A7" w:rsidP="00897905">
            <w:pPr>
              <w:jc w:val="right"/>
              <w:rPr>
                <w:b/>
                <w:sz w:val="21"/>
                <w:szCs w:val="21"/>
              </w:rPr>
            </w:pPr>
            <w:r w:rsidRPr="00DF05A7">
              <w:rPr>
                <w:b/>
                <w:sz w:val="21"/>
                <w:szCs w:val="21"/>
              </w:rPr>
              <w:t>2.83</w:t>
            </w:r>
          </w:p>
        </w:tc>
      </w:tr>
    </w:tbl>
    <w:p w:rsidR="00F320AF" w:rsidRDefault="00F320AF" w:rsidP="004A5AAF">
      <w:pPr>
        <w:outlineLvl w:val="0"/>
        <w:rPr>
          <w:i/>
          <w:lang w:val="en-CA"/>
        </w:rPr>
      </w:pPr>
    </w:p>
    <w:p w:rsidR="002F6846" w:rsidRDefault="00F320AF" w:rsidP="00DD57D3">
      <w:pPr>
        <w:pStyle w:val="Heading1"/>
        <w:rPr>
          <w:lang w:val="en-CA"/>
        </w:rPr>
      </w:pPr>
      <w:r w:rsidRPr="00F320AF">
        <w:rPr>
          <w:lang w:val="en-CA"/>
        </w:rPr>
        <w:t>UNDP and the Secretariat could not agree on the overall cost of the project.</w:t>
      </w:r>
    </w:p>
    <w:p w:rsidR="00B26EEA" w:rsidRDefault="00B26EEA" w:rsidP="00B26EEA">
      <w:pPr>
        <w:pStyle w:val="Heading1"/>
        <w:rPr>
          <w:lang w:val="en-CA"/>
        </w:rPr>
      </w:pPr>
      <w:r w:rsidRPr="00A82B86">
        <w:rPr>
          <w:lang w:val="en-CA"/>
        </w:rPr>
        <w:t xml:space="preserve">The Secretariat notes that the purpose of implementing projects under decision 78/3(g) is to gain experience in the ICCs and IOCs that might be associated with phasing down HFCs. </w:t>
      </w:r>
      <w:r>
        <w:rPr>
          <w:lang w:val="en-CA"/>
        </w:rPr>
        <w:t>The</w:t>
      </w:r>
      <w:r w:rsidRPr="00A82B86">
        <w:rPr>
          <w:lang w:val="en-CA"/>
        </w:rPr>
        <w:t xml:space="preserve"> </w:t>
      </w:r>
      <w:r>
        <w:rPr>
          <w:lang w:val="en-CA"/>
        </w:rPr>
        <w:t>Secretariat, however,</w:t>
      </w:r>
      <w:r w:rsidRPr="00A82B86">
        <w:rPr>
          <w:lang w:val="en-CA"/>
        </w:rPr>
        <w:t xml:space="preserve"> considers that the </w:t>
      </w:r>
      <w:r>
        <w:rPr>
          <w:lang w:val="en-CA"/>
        </w:rPr>
        <w:t>cost</w:t>
      </w:r>
      <w:r w:rsidRPr="00A82B86">
        <w:rPr>
          <w:lang w:val="en-CA"/>
        </w:rPr>
        <w:t xml:space="preserve"> estimates might change as more information becomes available</w:t>
      </w:r>
      <w:r>
        <w:rPr>
          <w:lang w:val="en-CA"/>
        </w:rPr>
        <w:t xml:space="preserve"> on the technology</w:t>
      </w:r>
      <w:r w:rsidRPr="00A82B86">
        <w:rPr>
          <w:lang w:val="en-CA"/>
        </w:rPr>
        <w:t xml:space="preserve"> and according to the specific characteristics of the enterprises. </w:t>
      </w:r>
    </w:p>
    <w:p w:rsidR="00B26EEA" w:rsidRPr="00B26EEA" w:rsidRDefault="00B26EEA" w:rsidP="00B26EEA">
      <w:pPr>
        <w:rPr>
          <w:lang w:val="en-CA"/>
        </w:rPr>
      </w:pPr>
    </w:p>
    <w:p w:rsidR="00965AB5" w:rsidRPr="00C94414" w:rsidRDefault="00965AB5" w:rsidP="00DD57D3">
      <w:pPr>
        <w:spacing w:after="240"/>
        <w:outlineLvl w:val="0"/>
        <w:rPr>
          <w:i/>
          <w:lang w:val="en-CA"/>
        </w:rPr>
      </w:pPr>
      <w:r w:rsidRPr="00C94414">
        <w:rPr>
          <w:i/>
          <w:lang w:val="en-CA"/>
        </w:rPr>
        <w:t>Climate benefits</w:t>
      </w:r>
      <w:r w:rsidR="00E33B1A">
        <w:rPr>
          <w:i/>
          <w:lang w:val="en-CA"/>
        </w:rPr>
        <w:tab/>
      </w:r>
    </w:p>
    <w:p w:rsidR="00965AB5" w:rsidRDefault="00965AB5" w:rsidP="00613426">
      <w:pPr>
        <w:pStyle w:val="Heading1"/>
        <w:rPr>
          <w:lang w:val="en-CA"/>
        </w:rPr>
      </w:pPr>
      <w:r w:rsidRPr="00965AB5">
        <w:rPr>
          <w:lang w:val="en-CA"/>
        </w:rPr>
        <w:t xml:space="preserve">The project is expected to result in emissions reduction of </w:t>
      </w:r>
      <w:r w:rsidR="0032477E">
        <w:rPr>
          <w:lang w:val="en-CA"/>
        </w:rPr>
        <w:t>79,365</w:t>
      </w:r>
      <w:r w:rsidR="00A01791" w:rsidRPr="00965AB5">
        <w:rPr>
          <w:lang w:val="en-CA"/>
        </w:rPr>
        <w:t xml:space="preserve"> </w:t>
      </w:r>
      <w:r w:rsidR="000508A0">
        <w:rPr>
          <w:lang w:val="en-CA"/>
        </w:rPr>
        <w:t>mt</w:t>
      </w:r>
      <w:r w:rsidRPr="00965AB5">
        <w:rPr>
          <w:lang w:val="en-CA"/>
        </w:rPr>
        <w:t xml:space="preserve"> </w:t>
      </w:r>
      <w:r w:rsidR="00613426">
        <w:rPr>
          <w:lang w:val="en-CA"/>
        </w:rPr>
        <w:t>CO2-eq</w:t>
      </w:r>
      <w:r w:rsidRPr="00965AB5">
        <w:rPr>
          <w:lang w:val="en-CA"/>
        </w:rPr>
        <w:t xml:space="preserve"> with the reduction of 5</w:t>
      </w:r>
      <w:r w:rsidR="00A01791">
        <w:rPr>
          <w:lang w:val="en-CA"/>
        </w:rPr>
        <w:t>5.</w:t>
      </w:r>
      <w:r w:rsidRPr="00965AB5">
        <w:rPr>
          <w:lang w:val="en-CA"/>
        </w:rPr>
        <w:t>5 mt of HFC-134a, and the expected introduction of HFOs. No estimates of indirect emission savings associated with energy efficiency were provided.</w:t>
      </w:r>
    </w:p>
    <w:p w:rsidR="00A91317" w:rsidRDefault="00A91317" w:rsidP="00DD57D3">
      <w:pPr>
        <w:keepNext/>
        <w:keepLines/>
        <w:rPr>
          <w:b/>
          <w:lang w:val="en-CA"/>
        </w:rPr>
      </w:pPr>
      <w:bookmarkStart w:id="0" w:name="_GoBack"/>
      <w:bookmarkEnd w:id="0"/>
      <w:r w:rsidRPr="00965AB5">
        <w:rPr>
          <w:b/>
          <w:lang w:val="en-CA"/>
        </w:rPr>
        <w:lastRenderedPageBreak/>
        <w:t>Business plan 2018 -2020</w:t>
      </w:r>
    </w:p>
    <w:p w:rsidR="00DD57D3" w:rsidRPr="00D56F53" w:rsidRDefault="00D56F53" w:rsidP="002A5FF1">
      <w:pPr>
        <w:pStyle w:val="Heading1"/>
        <w:keepNext/>
        <w:keepLines/>
        <w:spacing w:before="240"/>
        <w:rPr>
          <w:strike/>
          <w:lang w:val="en-CA"/>
        </w:rPr>
      </w:pPr>
      <w:r w:rsidRPr="00D56F53">
        <w:rPr>
          <w:lang w:val="en-CA"/>
        </w:rPr>
        <w:t xml:space="preserve">This project is included in the 2018–2020 business plan of the </w:t>
      </w:r>
      <w:r w:rsidR="00B26EEA">
        <w:rPr>
          <w:lang w:val="en-CA"/>
        </w:rPr>
        <w:t xml:space="preserve">Multilateral Fund at a value of </w:t>
      </w:r>
      <w:r w:rsidRPr="00D56F53">
        <w:rPr>
          <w:lang w:val="en-CA"/>
        </w:rPr>
        <w:t>US</w:t>
      </w:r>
      <w:r w:rsidR="00B26EEA">
        <w:rPr>
          <w:lang w:val="en-CA"/>
        </w:rPr>
        <w:t> </w:t>
      </w:r>
      <w:r w:rsidRPr="00D56F53">
        <w:rPr>
          <w:lang w:val="en-CA"/>
        </w:rPr>
        <w:t>$405,966, including agency support costs</w:t>
      </w:r>
      <w:r>
        <w:rPr>
          <w:lang w:val="en-CA"/>
        </w:rPr>
        <w:t>.</w:t>
      </w:r>
    </w:p>
    <w:p w:rsidR="00965AB5" w:rsidRPr="00C94414" w:rsidRDefault="00965AB5" w:rsidP="00DD57D3">
      <w:pPr>
        <w:spacing w:after="240"/>
        <w:outlineLvl w:val="0"/>
        <w:rPr>
          <w:b/>
          <w:lang w:val="en-CA"/>
        </w:rPr>
      </w:pPr>
      <w:r w:rsidRPr="00C94414">
        <w:rPr>
          <w:b/>
          <w:lang w:val="en-CA"/>
        </w:rPr>
        <w:t>Conclusion</w:t>
      </w:r>
    </w:p>
    <w:p w:rsidR="000B3E38" w:rsidRDefault="009F7D93" w:rsidP="00DD57D3">
      <w:pPr>
        <w:pStyle w:val="Heading1"/>
        <w:rPr>
          <w:lang w:val="en-CA"/>
        </w:rPr>
      </w:pPr>
      <w:r>
        <w:rPr>
          <w:lang w:val="en-CA"/>
        </w:rPr>
        <w:t>T</w:t>
      </w:r>
      <w:r w:rsidR="00965AB5">
        <w:rPr>
          <w:lang w:val="en-CA"/>
        </w:rPr>
        <w:t xml:space="preserve">he </w:t>
      </w:r>
      <w:r w:rsidR="005B470F">
        <w:rPr>
          <w:lang w:val="en-CA"/>
        </w:rPr>
        <w:t xml:space="preserve">Secretariat considers the </w:t>
      </w:r>
      <w:r w:rsidR="00965AB5">
        <w:rPr>
          <w:lang w:val="en-CA"/>
        </w:rPr>
        <w:t>replicability of the project</w:t>
      </w:r>
      <w:r w:rsidR="001A2EFD">
        <w:rPr>
          <w:lang w:val="en-CA"/>
        </w:rPr>
        <w:t xml:space="preserve"> </w:t>
      </w:r>
      <w:r>
        <w:rPr>
          <w:lang w:val="en-CA"/>
        </w:rPr>
        <w:t xml:space="preserve">proposal </w:t>
      </w:r>
      <w:r w:rsidR="00965AB5">
        <w:rPr>
          <w:lang w:val="en-CA"/>
        </w:rPr>
        <w:t>is uncertai</w:t>
      </w:r>
      <w:r w:rsidR="001A2EFD">
        <w:rPr>
          <w:lang w:val="en-CA"/>
        </w:rPr>
        <w:t>n</w:t>
      </w:r>
      <w:r>
        <w:rPr>
          <w:lang w:val="en-CA"/>
        </w:rPr>
        <w:t>, given the very limited use of HFC-134a as a PU foam blowing agent globally and in Article 5 countries; and the small number of potential PU foam enterprises in Article 5 countries using HFC-134a as a blowing agent</w:t>
      </w:r>
      <w:r w:rsidR="001A2EFD">
        <w:rPr>
          <w:lang w:val="en-CA"/>
        </w:rPr>
        <w:t>.</w:t>
      </w:r>
      <w:r w:rsidR="00965AB5">
        <w:rPr>
          <w:lang w:val="en-CA"/>
        </w:rPr>
        <w:t xml:space="preserve"> </w:t>
      </w:r>
      <w:r w:rsidR="001A2EFD">
        <w:rPr>
          <w:lang w:val="en-CA"/>
        </w:rPr>
        <w:t>I</w:t>
      </w:r>
      <w:r w:rsidR="00965AB5">
        <w:rPr>
          <w:lang w:val="en-CA"/>
        </w:rPr>
        <w:t>t is expected that the</w:t>
      </w:r>
      <w:r w:rsidR="00965AB5" w:rsidRPr="00965AB5">
        <w:rPr>
          <w:lang w:val="en-CA"/>
        </w:rPr>
        <w:t xml:space="preserve"> project would enable the phase-out of HFC-134a </w:t>
      </w:r>
      <w:r w:rsidR="00965AB5">
        <w:rPr>
          <w:lang w:val="en-CA"/>
        </w:rPr>
        <w:t xml:space="preserve">PU foam </w:t>
      </w:r>
      <w:r w:rsidRPr="009F7D93">
        <w:rPr>
          <w:lang w:val="en-CA"/>
        </w:rPr>
        <w:t xml:space="preserve">manufacturing </w:t>
      </w:r>
      <w:r w:rsidR="00965AB5">
        <w:rPr>
          <w:lang w:val="en-CA"/>
        </w:rPr>
        <w:t>in only one enterprise in Egypt.</w:t>
      </w:r>
      <w:r w:rsidR="009F6C7E">
        <w:rPr>
          <w:lang w:val="en-CA"/>
        </w:rPr>
        <w:t xml:space="preserve"> </w:t>
      </w:r>
      <w:r w:rsidR="009F6C7E" w:rsidRPr="00F86B24">
        <w:rPr>
          <w:lang w:val="en-CA"/>
        </w:rPr>
        <w:t xml:space="preserve">UNDP and the Secretariat could agree on the overall cost of the project, which is maintained by UNDP </w:t>
      </w:r>
      <w:r w:rsidR="00955DE4" w:rsidRPr="00F86B24">
        <w:rPr>
          <w:lang w:val="en-CA"/>
        </w:rPr>
        <w:t xml:space="preserve">in the range of </w:t>
      </w:r>
      <w:r w:rsidR="00897905">
        <w:rPr>
          <w:lang w:val="en-CA"/>
        </w:rPr>
        <w:t>US $</w:t>
      </w:r>
      <w:r w:rsidR="00955DE4" w:rsidRPr="00F86B24">
        <w:rPr>
          <w:lang w:val="en-CA"/>
        </w:rPr>
        <w:t xml:space="preserve">697,250 to </w:t>
      </w:r>
      <w:r w:rsidR="00897905">
        <w:rPr>
          <w:lang w:val="en-CA"/>
        </w:rPr>
        <w:t>US $</w:t>
      </w:r>
      <w:r w:rsidR="00955DE4" w:rsidRPr="00F86B24">
        <w:rPr>
          <w:lang w:val="en-CA"/>
        </w:rPr>
        <w:t xml:space="preserve">935,900 </w:t>
      </w:r>
      <w:r w:rsidR="00C94414" w:rsidRPr="00F86B24">
        <w:rPr>
          <w:lang w:val="en-CA"/>
        </w:rPr>
        <w:t>after adjustment</w:t>
      </w:r>
      <w:r w:rsidR="000B3E38">
        <w:rPr>
          <w:lang w:val="en-CA"/>
        </w:rPr>
        <w:t>s</w:t>
      </w:r>
      <w:r w:rsidR="009F6C7E" w:rsidRPr="00F86B24">
        <w:rPr>
          <w:lang w:val="en-CA"/>
        </w:rPr>
        <w:t xml:space="preserve">, while the Secretariat’s </w:t>
      </w:r>
      <w:r w:rsidR="000B3E38">
        <w:rPr>
          <w:lang w:val="en-CA"/>
        </w:rPr>
        <w:t xml:space="preserve">estimated cost is </w:t>
      </w:r>
      <w:r w:rsidR="00897905">
        <w:rPr>
          <w:lang w:val="en-CA"/>
        </w:rPr>
        <w:t>US $</w:t>
      </w:r>
      <w:r w:rsidR="00C94414" w:rsidRPr="00F86B24">
        <w:rPr>
          <w:lang w:val="en-CA"/>
        </w:rPr>
        <w:t>224,694</w:t>
      </w:r>
      <w:r w:rsidR="009F6C7E" w:rsidRPr="00F86B24">
        <w:rPr>
          <w:lang w:val="en-CA"/>
        </w:rPr>
        <w:t>.</w:t>
      </w:r>
      <w:r w:rsidR="00897905">
        <w:rPr>
          <w:lang w:val="en-CA"/>
        </w:rPr>
        <w:t xml:space="preserve"> </w:t>
      </w:r>
    </w:p>
    <w:p w:rsidR="00965AB5" w:rsidRPr="00965AB5" w:rsidRDefault="005B470F" w:rsidP="00DD57D3">
      <w:pPr>
        <w:pStyle w:val="Heading1"/>
        <w:rPr>
          <w:lang w:val="en-CA"/>
        </w:rPr>
      </w:pPr>
      <w:r w:rsidRPr="005B470F">
        <w:rPr>
          <w:lang w:val="en-CA"/>
        </w:rPr>
        <w:t>Notwithstanding th</w:t>
      </w:r>
      <w:r w:rsidR="000B3E38">
        <w:rPr>
          <w:lang w:val="en-CA"/>
        </w:rPr>
        <w:t>at agreement on the level of funding could not be reached, the Secretariat considered necessary to submit the project proposal</w:t>
      </w:r>
      <w:r w:rsidRPr="005B470F">
        <w:rPr>
          <w:lang w:val="en-CA"/>
        </w:rPr>
        <w:t>, given the urgent requirement of the Executive Committee to gain experience in the ICCs and IOCs that might be associated with phasing down HFCs in Article 5 countries</w:t>
      </w:r>
      <w:r>
        <w:rPr>
          <w:lang w:val="en-CA"/>
        </w:rPr>
        <w:t xml:space="preserve"> in light of</w:t>
      </w:r>
      <w:r w:rsidR="000B3E38">
        <w:rPr>
          <w:lang w:val="en-CA"/>
        </w:rPr>
        <w:t xml:space="preserve"> decision XXVIII/2</w:t>
      </w:r>
      <w:r w:rsidRPr="005B470F">
        <w:rPr>
          <w:lang w:val="en-CA"/>
        </w:rPr>
        <w:t>.</w:t>
      </w:r>
    </w:p>
    <w:p w:rsidR="00945F98" w:rsidRPr="00945F98" w:rsidRDefault="00945F98" w:rsidP="00DD57D3">
      <w:pPr>
        <w:keepNext/>
        <w:rPr>
          <w:b/>
          <w:lang w:val="en-CA"/>
        </w:rPr>
      </w:pPr>
      <w:r w:rsidRPr="00945F98">
        <w:rPr>
          <w:b/>
          <w:lang w:val="en-CA"/>
        </w:rPr>
        <w:t>RECOMMENDATION</w:t>
      </w:r>
    </w:p>
    <w:p w:rsidR="00945F98" w:rsidRPr="00945F98" w:rsidRDefault="00945F98" w:rsidP="00DD57D3">
      <w:pPr>
        <w:keepNext/>
        <w:rPr>
          <w:b/>
          <w:lang w:val="en-CA"/>
        </w:rPr>
      </w:pPr>
    </w:p>
    <w:p w:rsidR="004A5AAF" w:rsidRPr="004A5AAF" w:rsidRDefault="00EB68F1" w:rsidP="00DD57D3">
      <w:pPr>
        <w:pStyle w:val="Heading1"/>
        <w:rPr>
          <w:lang w:val="en-CA"/>
        </w:rPr>
      </w:pPr>
      <w:r w:rsidRPr="005B470F">
        <w:rPr>
          <w:lang w:val="en-CA"/>
        </w:rPr>
        <w:t xml:space="preserve">The </w:t>
      </w:r>
      <w:r w:rsidRPr="004A5AAF">
        <w:rPr>
          <w:lang w:val="en-CA"/>
        </w:rPr>
        <w:t xml:space="preserve">Executive Committee may wish to </w:t>
      </w:r>
      <w:r w:rsidR="004A5AAF" w:rsidRPr="004A5AAF">
        <w:rPr>
          <w:lang w:val="en-CA"/>
        </w:rPr>
        <w:t xml:space="preserve">consider: </w:t>
      </w:r>
    </w:p>
    <w:p w:rsidR="004A5AAF" w:rsidRDefault="004A5AAF" w:rsidP="00DD57D3">
      <w:pPr>
        <w:pStyle w:val="Heading2"/>
        <w:rPr>
          <w:lang w:val="en-CA"/>
        </w:rPr>
      </w:pPr>
      <w:r w:rsidRPr="004A5AAF">
        <w:rPr>
          <w:lang w:val="en-CA"/>
        </w:rPr>
        <w:t xml:space="preserve">The project proposal for the conversion of from HFC-134a to HFO in the manufacture of discontinuous panels in Army Factory, Egypt, in the context of its discussion on HFC stand-alone project submitted to the 81st meeting in line with decision 78/3(g), as described in the document on the Overview of issues identified during project review </w:t>
      </w:r>
      <w:r w:rsidRPr="00224C61">
        <w:rPr>
          <w:lang w:val="en-CA"/>
        </w:rPr>
        <w:t>(UNEP/OzL.Pro/ExCom/81/14);</w:t>
      </w:r>
      <w:r w:rsidR="00276107">
        <w:rPr>
          <w:lang w:val="en-CA"/>
        </w:rPr>
        <w:t xml:space="preserve"> and</w:t>
      </w:r>
    </w:p>
    <w:p w:rsidR="00B26EEA" w:rsidRDefault="00276107" w:rsidP="00DD57D3">
      <w:pPr>
        <w:pStyle w:val="Heading2"/>
        <w:rPr>
          <w:lang w:val="en-CA"/>
        </w:rPr>
      </w:pPr>
      <w:r>
        <w:rPr>
          <w:lang w:val="en-CA"/>
        </w:rPr>
        <w:t>Whether or not to approve the project proposal in light of the information presented in the document.</w:t>
      </w:r>
    </w:p>
    <w:p w:rsidR="00B26EEA" w:rsidRDefault="00B26EEA" w:rsidP="00B26EE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B26EEA" w:rsidTr="00D561F4">
        <w:tc>
          <w:tcPr>
            <w:tcW w:w="1871" w:type="dxa"/>
          </w:tcPr>
          <w:p w:rsidR="00B26EEA" w:rsidRDefault="00B26EEA" w:rsidP="00D561F4"/>
        </w:tc>
        <w:tc>
          <w:tcPr>
            <w:tcW w:w="1872" w:type="dxa"/>
          </w:tcPr>
          <w:p w:rsidR="00B26EEA" w:rsidRDefault="00B26EEA" w:rsidP="00D561F4"/>
        </w:tc>
        <w:tc>
          <w:tcPr>
            <w:tcW w:w="1872" w:type="dxa"/>
            <w:tcBorders>
              <w:bottom w:val="single" w:sz="4" w:space="0" w:color="auto"/>
            </w:tcBorders>
          </w:tcPr>
          <w:p w:rsidR="00B26EEA" w:rsidRDefault="00B26EEA" w:rsidP="00D561F4"/>
        </w:tc>
        <w:tc>
          <w:tcPr>
            <w:tcW w:w="1872" w:type="dxa"/>
          </w:tcPr>
          <w:p w:rsidR="00B26EEA" w:rsidRDefault="00B26EEA" w:rsidP="00D561F4"/>
        </w:tc>
        <w:tc>
          <w:tcPr>
            <w:tcW w:w="1873" w:type="dxa"/>
          </w:tcPr>
          <w:p w:rsidR="00B26EEA" w:rsidRDefault="00B26EEA" w:rsidP="00D561F4"/>
        </w:tc>
      </w:tr>
    </w:tbl>
    <w:p w:rsidR="00276107" w:rsidRPr="00B26EEA" w:rsidRDefault="00276107" w:rsidP="00B26EEA">
      <w:pPr>
        <w:rPr>
          <w:lang w:val="en-CA"/>
        </w:rPr>
      </w:pPr>
    </w:p>
    <w:sectPr w:rsidR="00276107" w:rsidRPr="00B26EEA" w:rsidSect="00896234">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E0" w:rsidRDefault="00587EE0" w:rsidP="004A504B">
      <w:r>
        <w:separator/>
      </w:r>
    </w:p>
  </w:endnote>
  <w:endnote w:type="continuationSeparator" w:id="0">
    <w:p w:rsidR="00587EE0" w:rsidRDefault="00587EE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E0" w:rsidRPr="0033525D" w:rsidRDefault="00587EE0">
    <w:pPr>
      <w:jc w:val="center"/>
    </w:pPr>
    <w:r>
      <w:fldChar w:fldCharType="begin"/>
    </w:r>
    <w:r>
      <w:instrText xml:space="preserve"> PAGE </w:instrText>
    </w:r>
    <w:r>
      <w:fldChar w:fldCharType="separate"/>
    </w:r>
    <w:r w:rsidR="00B26EEA">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E0" w:rsidRPr="0033525D" w:rsidRDefault="00587EE0">
    <w:pPr>
      <w:jc w:val="center"/>
    </w:pPr>
    <w:r>
      <w:fldChar w:fldCharType="begin"/>
    </w:r>
    <w:r>
      <w:instrText xml:space="preserve"> PAGE </w:instrText>
    </w:r>
    <w:r>
      <w:fldChar w:fldCharType="separate"/>
    </w:r>
    <w:r w:rsidR="00B26EEA">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E0" w:rsidRDefault="00587EE0"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587EE0" w:rsidRDefault="00587EE0"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E0" w:rsidRDefault="00587EE0" w:rsidP="004A504B">
      <w:r>
        <w:separator/>
      </w:r>
    </w:p>
  </w:footnote>
  <w:footnote w:type="continuationSeparator" w:id="0">
    <w:p w:rsidR="00587EE0" w:rsidRDefault="00587EE0" w:rsidP="004A504B">
      <w:r>
        <w:continuationSeparator/>
      </w:r>
    </w:p>
  </w:footnote>
  <w:footnote w:id="1">
    <w:p w:rsidR="00587EE0" w:rsidRPr="000253FE" w:rsidRDefault="00587EE0" w:rsidP="00945F98">
      <w:pPr>
        <w:pStyle w:val="FootnoteText"/>
        <w:rPr>
          <w:lang w:val="en-CA"/>
        </w:rPr>
      </w:pPr>
      <w:r>
        <w:rPr>
          <w:rStyle w:val="FootnoteReference"/>
        </w:rPr>
        <w:footnoteRef/>
      </w:r>
      <w:r>
        <w:t xml:space="preserve"> </w:t>
      </w:r>
      <w:r>
        <w:rPr>
          <w:lang w:val="en-CA"/>
        </w:rPr>
        <w:t xml:space="preserve">Letter dated 29 April 2018, from the Ozone Unit, Egyptian Environmental Affairs Agency, to UNDP. </w:t>
      </w:r>
    </w:p>
  </w:footnote>
  <w:footnote w:id="2">
    <w:p w:rsidR="00587EE0" w:rsidRPr="00724233" w:rsidRDefault="00587EE0">
      <w:pPr>
        <w:pStyle w:val="FootnoteText"/>
        <w:rPr>
          <w:lang w:val="en-CA"/>
        </w:rPr>
      </w:pPr>
      <w:r>
        <w:rPr>
          <w:rStyle w:val="FootnoteReference"/>
        </w:rPr>
        <w:footnoteRef/>
      </w:r>
      <w:r>
        <w:t xml:space="preserve"> </w:t>
      </w:r>
      <w:r>
        <w:rPr>
          <w:lang w:val="en-CA"/>
        </w:rPr>
        <w:t>TEAP XXVII/4 Task Force Report, September 2016.</w:t>
      </w:r>
    </w:p>
  </w:footnote>
  <w:footnote w:id="3">
    <w:p w:rsidR="00587EE0" w:rsidRPr="00FA496B" w:rsidRDefault="00587EE0">
      <w:pPr>
        <w:pStyle w:val="FootnoteText"/>
      </w:pPr>
      <w:r>
        <w:rPr>
          <w:rStyle w:val="FootnoteReference"/>
        </w:rPr>
        <w:footnoteRef/>
      </w:r>
      <w:r>
        <w:t xml:space="preserve"> UNEP/OzL.Pro/ExCom/80/54</w:t>
      </w:r>
    </w:p>
  </w:footnote>
  <w:footnote w:id="4">
    <w:p w:rsidR="00587EE0" w:rsidRPr="00BA14BB" w:rsidRDefault="00587EE0">
      <w:pPr>
        <w:pStyle w:val="FootnoteText"/>
      </w:pPr>
      <w:r>
        <w:rPr>
          <w:rStyle w:val="FootnoteReference"/>
        </w:rPr>
        <w:footnoteRef/>
      </w:r>
      <w:r>
        <w:t xml:space="preserve"> </w:t>
      </w:r>
      <w:r w:rsidRPr="00BA14BB">
        <w:t>UNEP/OzL.Pro/ExCom/79/32</w:t>
      </w:r>
    </w:p>
  </w:footnote>
  <w:footnote w:id="5">
    <w:p w:rsidR="00587EE0" w:rsidRPr="00BA14BB" w:rsidRDefault="00587EE0">
      <w:pPr>
        <w:pStyle w:val="FootnoteText"/>
      </w:pPr>
      <w:r>
        <w:rPr>
          <w:rStyle w:val="FootnoteReference"/>
        </w:rPr>
        <w:footnoteRef/>
      </w:r>
      <w:r>
        <w:t xml:space="preserve"> </w:t>
      </w:r>
      <w:r w:rsidRPr="00BA14BB">
        <w:t>EGY/FOA/22/INV/64</w:t>
      </w:r>
    </w:p>
  </w:footnote>
  <w:footnote w:id="6">
    <w:p w:rsidR="00587EE0" w:rsidRPr="009164A4" w:rsidRDefault="00587EE0">
      <w:pPr>
        <w:pStyle w:val="FootnoteText"/>
        <w:rPr>
          <w:lang w:val="en-US"/>
        </w:rPr>
      </w:pPr>
      <w:r>
        <w:rPr>
          <w:rStyle w:val="FootnoteReference"/>
        </w:rPr>
        <w:footnoteRef/>
      </w:r>
      <w:r>
        <w:t xml:space="preserve"> </w:t>
      </w:r>
      <w:r>
        <w:rPr>
          <w:lang w:val="en-US"/>
        </w:rPr>
        <w:t xml:space="preserve">Letters from Honeywell, Chemours and Technocom, submitted to UNDP. </w:t>
      </w:r>
    </w:p>
  </w:footnote>
  <w:footnote w:id="7">
    <w:p w:rsidR="006E6571" w:rsidRPr="000E47BD" w:rsidRDefault="006E6571" w:rsidP="006E6571">
      <w:pPr>
        <w:pStyle w:val="FootnoteText"/>
        <w:rPr>
          <w:lang w:val="en-US"/>
        </w:rPr>
      </w:pPr>
      <w:r>
        <w:rPr>
          <w:rStyle w:val="FootnoteReference"/>
        </w:rPr>
        <w:footnoteRef/>
      </w:r>
      <w:r>
        <w:t xml:space="preserve"> </w:t>
      </w:r>
      <w:r w:rsidRPr="000E47BD">
        <w:t>UNEP/OzL.Pro/ExCom/7</w:t>
      </w:r>
      <w:r>
        <w:t>6</w:t>
      </w:r>
      <w:r w:rsidRPr="000E47BD">
        <w:t>/2</w:t>
      </w:r>
      <w:r>
        <w:t>6</w:t>
      </w:r>
    </w:p>
  </w:footnote>
  <w:footnote w:id="8">
    <w:p w:rsidR="006E6571" w:rsidRPr="006E6571" w:rsidRDefault="006E6571">
      <w:pPr>
        <w:pStyle w:val="FootnoteText"/>
      </w:pPr>
      <w:r>
        <w:rPr>
          <w:rStyle w:val="FootnoteReference"/>
        </w:rPr>
        <w:footnoteRef/>
      </w:r>
      <w:r>
        <w:t xml:space="preserve"> </w:t>
      </w:r>
      <w:r w:rsidRPr="000E47BD">
        <w:t>UNEP/OzL.Pro/ExCom/</w:t>
      </w:r>
      <w:r>
        <w:t>81</w:t>
      </w:r>
      <w:r w:rsidRPr="000E47BD">
        <w:t>/</w:t>
      </w:r>
      <w:r w:rsidR="00CF617E">
        <w:t>10</w:t>
      </w:r>
    </w:p>
  </w:footnote>
  <w:footnote w:id="9">
    <w:p w:rsidR="009C1884" w:rsidRPr="005F0791" w:rsidRDefault="009C1884" w:rsidP="009C1884">
      <w:pPr>
        <w:pStyle w:val="FootnoteText"/>
        <w:rPr>
          <w:lang w:val="en-CA"/>
        </w:rPr>
      </w:pPr>
      <w:r>
        <w:rPr>
          <w:rStyle w:val="FootnoteReference"/>
        </w:rPr>
        <w:footnoteRef/>
      </w:r>
      <w:r>
        <w:t xml:space="preserve"> Table 5 in page 8, UNEP/OzL.Pro/ExCom/77/51</w:t>
      </w:r>
    </w:p>
  </w:footnote>
  <w:footnote w:id="10">
    <w:p w:rsidR="00587EE0" w:rsidRPr="00F757C4" w:rsidRDefault="00587EE0" w:rsidP="005E1590">
      <w:pPr>
        <w:pStyle w:val="FootnoteText"/>
        <w:rPr>
          <w:lang w:val="en-CA"/>
        </w:rPr>
      </w:pPr>
      <w:r>
        <w:rPr>
          <w:rStyle w:val="FootnoteReference"/>
        </w:rPr>
        <w:footnoteRef/>
      </w:r>
      <w:r>
        <w:t xml:space="preserve"> Paragraph 66 of Annex I, </w:t>
      </w:r>
      <w:r w:rsidRPr="00F757C4">
        <w:t>UNEP/OzL.Pro/ExCom/76/58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E0" w:rsidRPr="0033525D" w:rsidRDefault="006846E2">
    <w:fldSimple w:instr=" DOCPROPERTY &quot;Document number&quot;  \* MERGEFORMAT ">
      <w:r w:rsidR="00B26EEA">
        <w:t>UNEP/OzL.Pro/ExCom/81/33</w:t>
      </w:r>
    </w:fldSimple>
  </w:p>
  <w:p w:rsidR="00587EE0" w:rsidRPr="0033525D" w:rsidRDefault="00587EE0"/>
  <w:p w:rsidR="00587EE0" w:rsidRPr="0033525D" w:rsidRDefault="00587E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E0" w:rsidRPr="0033525D" w:rsidRDefault="006846E2">
    <w:pPr>
      <w:jc w:val="right"/>
    </w:pPr>
    <w:fldSimple w:instr=" DOCPROPERTY &quot;Document number&quot;  \* MERGEFORMAT ">
      <w:r w:rsidR="00B26EEA">
        <w:t>UNEP/OzL.Pro/ExCom/81/33</w:t>
      </w:r>
    </w:fldSimple>
  </w:p>
  <w:p w:rsidR="00587EE0" w:rsidRPr="0033525D" w:rsidRDefault="00587EE0"/>
  <w:p w:rsidR="00587EE0" w:rsidRPr="0033525D" w:rsidRDefault="00587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7AEA63C"/>
    <w:lvl w:ilvl="0">
      <w:start w:val="1"/>
      <w:numFmt w:val="decimal"/>
      <w:pStyle w:val="Heading1"/>
      <w:lvlText w:val="%1."/>
      <w:lvlJc w:val="left"/>
      <w:pPr>
        <w:tabs>
          <w:tab w:val="num" w:pos="0"/>
        </w:tabs>
        <w:ind w:left="0" w:firstLine="0"/>
      </w:pPr>
      <w:rPr>
        <w:i w:val="0"/>
        <w:strike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6F17FC5"/>
    <w:multiLevelType w:val="hybridMultilevel"/>
    <w:tmpl w:val="A19C57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6822029"/>
    <w:multiLevelType w:val="hybridMultilevel"/>
    <w:tmpl w:val="15BA0412"/>
    <w:lvl w:ilvl="0" w:tplc="E4B0EF4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3D728A4"/>
    <w:multiLevelType w:val="hybridMultilevel"/>
    <w:tmpl w:val="CED09D3C"/>
    <w:lvl w:ilvl="0" w:tplc="428C5EC6">
      <w:start w:val="1"/>
      <w:numFmt w:val="lowerLetter"/>
      <w:lvlText w:val="(%1)"/>
      <w:lvlJc w:val="left"/>
      <w:pPr>
        <w:ind w:left="720" w:hanging="360"/>
      </w:pPr>
      <w:rPr>
        <w:rFonts w:ascii="Times New Roman" w:hAnsi="Times New Roman" w:hint="default"/>
        <w:b w:val="0"/>
        <w:bCs/>
        <w:i w:val="0"/>
        <w:strike w:val="0"/>
        <w:dstrike w:val="0"/>
        <w:color w:val="auto"/>
        <w:sz w:val="22"/>
        <w:szCs w:val="20"/>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6B4594"/>
    <w:multiLevelType w:val="hybridMultilevel"/>
    <w:tmpl w:val="255ED578"/>
    <w:lvl w:ilvl="0" w:tplc="A5202DC8">
      <w:start w:val="1"/>
      <w:numFmt w:val="lowerLetter"/>
      <w:lvlText w:val="%1)"/>
      <w:lvlJc w:val="left"/>
      <w:pPr>
        <w:ind w:left="720" w:hanging="360"/>
      </w:pPr>
      <w:rPr>
        <w:rFonts w:ascii="Times New Roman" w:hAnsi="Times New Roman" w:hint="default"/>
        <w:b w:val="0"/>
        <w:bCs/>
        <w:i w:val="0"/>
        <w:strike w:val="0"/>
        <w:dstrike w:val="0"/>
        <w:color w:val="auto"/>
        <w:sz w:val="22"/>
        <w:szCs w:val="20"/>
        <w:u w:val="none" w:color="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6"/>
  </w:num>
  <w:num w:numId="19">
    <w:abstractNumId w:val="19"/>
  </w:num>
  <w:num w:numId="20">
    <w:abstractNumId w:val="13"/>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8"/>
  </w:num>
  <w:num w:numId="37">
    <w:abstractNumId w:val="17"/>
  </w:num>
  <w:num w:numId="38">
    <w:abstractNumId w:val="10"/>
  </w:num>
  <w:num w:numId="39">
    <w:abstractNumId w:val="10"/>
  </w:num>
  <w:num w:numId="40">
    <w:abstractNumId w:val="10"/>
  </w:num>
  <w:num w:numId="41">
    <w:abstractNumId w:val="10"/>
  </w:num>
  <w:num w:numId="42">
    <w:abstractNumId w:val="11"/>
  </w:num>
  <w:num w:numId="43">
    <w:abstractNumId w:val="14"/>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QUAMBKuTSwAAAA="/>
  </w:docVars>
  <w:rsids>
    <w:rsidRoot w:val="007A28F9"/>
    <w:rsid w:val="00000FED"/>
    <w:rsid w:val="0000434E"/>
    <w:rsid w:val="000168B6"/>
    <w:rsid w:val="000211A9"/>
    <w:rsid w:val="000218E3"/>
    <w:rsid w:val="00031260"/>
    <w:rsid w:val="0003681A"/>
    <w:rsid w:val="000508A0"/>
    <w:rsid w:val="00061EC2"/>
    <w:rsid w:val="00074195"/>
    <w:rsid w:val="00080ED0"/>
    <w:rsid w:val="0008327F"/>
    <w:rsid w:val="00085B8F"/>
    <w:rsid w:val="00090481"/>
    <w:rsid w:val="0009559C"/>
    <w:rsid w:val="000A6C26"/>
    <w:rsid w:val="000B384F"/>
    <w:rsid w:val="000B3E38"/>
    <w:rsid w:val="000C0421"/>
    <w:rsid w:val="000D44DC"/>
    <w:rsid w:val="000E07BC"/>
    <w:rsid w:val="000F1CD4"/>
    <w:rsid w:val="000F4103"/>
    <w:rsid w:val="000F70A7"/>
    <w:rsid w:val="00122F25"/>
    <w:rsid w:val="00135980"/>
    <w:rsid w:val="00146C03"/>
    <w:rsid w:val="00157679"/>
    <w:rsid w:val="0016105B"/>
    <w:rsid w:val="00164719"/>
    <w:rsid w:val="0016490C"/>
    <w:rsid w:val="00164FC4"/>
    <w:rsid w:val="00166FC4"/>
    <w:rsid w:val="001677AC"/>
    <w:rsid w:val="00170AB7"/>
    <w:rsid w:val="001804EA"/>
    <w:rsid w:val="00190A61"/>
    <w:rsid w:val="001A16EC"/>
    <w:rsid w:val="001A2841"/>
    <w:rsid w:val="001A2EFD"/>
    <w:rsid w:val="001A3342"/>
    <w:rsid w:val="001A3E3D"/>
    <w:rsid w:val="001A7049"/>
    <w:rsid w:val="001B1E40"/>
    <w:rsid w:val="001C42AB"/>
    <w:rsid w:val="001C764E"/>
    <w:rsid w:val="001E1052"/>
    <w:rsid w:val="001E1B45"/>
    <w:rsid w:val="001E21B1"/>
    <w:rsid w:val="001E2F93"/>
    <w:rsid w:val="001E61E5"/>
    <w:rsid w:val="001F2159"/>
    <w:rsid w:val="001F29D4"/>
    <w:rsid w:val="00214863"/>
    <w:rsid w:val="002156B4"/>
    <w:rsid w:val="00224C61"/>
    <w:rsid w:val="00253222"/>
    <w:rsid w:val="002557B7"/>
    <w:rsid w:val="0026221F"/>
    <w:rsid w:val="00262847"/>
    <w:rsid w:val="00263061"/>
    <w:rsid w:val="002725DB"/>
    <w:rsid w:val="002729D9"/>
    <w:rsid w:val="00276107"/>
    <w:rsid w:val="00281BB2"/>
    <w:rsid w:val="002A5FF1"/>
    <w:rsid w:val="002B72E9"/>
    <w:rsid w:val="002C3B55"/>
    <w:rsid w:val="002C648C"/>
    <w:rsid w:val="002C7998"/>
    <w:rsid w:val="002C7B68"/>
    <w:rsid w:val="002D35F5"/>
    <w:rsid w:val="002D6CED"/>
    <w:rsid w:val="002E7734"/>
    <w:rsid w:val="002F1E53"/>
    <w:rsid w:val="002F2CAA"/>
    <w:rsid w:val="002F5458"/>
    <w:rsid w:val="002F5A00"/>
    <w:rsid w:val="002F6846"/>
    <w:rsid w:val="0030052C"/>
    <w:rsid w:val="003038E1"/>
    <w:rsid w:val="00311F6E"/>
    <w:rsid w:val="0031211B"/>
    <w:rsid w:val="00320C0B"/>
    <w:rsid w:val="003228C7"/>
    <w:rsid w:val="0032477E"/>
    <w:rsid w:val="003306E1"/>
    <w:rsid w:val="003320E4"/>
    <w:rsid w:val="00332180"/>
    <w:rsid w:val="0033525D"/>
    <w:rsid w:val="003414F3"/>
    <w:rsid w:val="0035484A"/>
    <w:rsid w:val="0035613E"/>
    <w:rsid w:val="00363EE9"/>
    <w:rsid w:val="00376128"/>
    <w:rsid w:val="0037742E"/>
    <w:rsid w:val="0038245A"/>
    <w:rsid w:val="00385331"/>
    <w:rsid w:val="00385CFC"/>
    <w:rsid w:val="0039337A"/>
    <w:rsid w:val="003A3189"/>
    <w:rsid w:val="003A336B"/>
    <w:rsid w:val="003B33BD"/>
    <w:rsid w:val="003B569D"/>
    <w:rsid w:val="003C3C0E"/>
    <w:rsid w:val="003D4FAC"/>
    <w:rsid w:val="003E3879"/>
    <w:rsid w:val="003E7906"/>
    <w:rsid w:val="003F3C50"/>
    <w:rsid w:val="003F47F1"/>
    <w:rsid w:val="00401F34"/>
    <w:rsid w:val="0040318A"/>
    <w:rsid w:val="00406A6A"/>
    <w:rsid w:val="00406B22"/>
    <w:rsid w:val="00412E88"/>
    <w:rsid w:val="004208A5"/>
    <w:rsid w:val="004232B0"/>
    <w:rsid w:val="004328A7"/>
    <w:rsid w:val="00434C74"/>
    <w:rsid w:val="00441061"/>
    <w:rsid w:val="00456EB4"/>
    <w:rsid w:val="004718F3"/>
    <w:rsid w:val="004726AC"/>
    <w:rsid w:val="00475040"/>
    <w:rsid w:val="00477B00"/>
    <w:rsid w:val="00493D40"/>
    <w:rsid w:val="004967B6"/>
    <w:rsid w:val="004A1F92"/>
    <w:rsid w:val="004A504B"/>
    <w:rsid w:val="004A5AAF"/>
    <w:rsid w:val="004A6911"/>
    <w:rsid w:val="004B54E0"/>
    <w:rsid w:val="004B720B"/>
    <w:rsid w:val="004B7384"/>
    <w:rsid w:val="004C4269"/>
    <w:rsid w:val="004C433A"/>
    <w:rsid w:val="004C5D1A"/>
    <w:rsid w:val="004D4DC5"/>
    <w:rsid w:val="004D6236"/>
    <w:rsid w:val="004E1731"/>
    <w:rsid w:val="004E4855"/>
    <w:rsid w:val="004E4DBB"/>
    <w:rsid w:val="004E4E41"/>
    <w:rsid w:val="004E7F9C"/>
    <w:rsid w:val="004F3493"/>
    <w:rsid w:val="004F5143"/>
    <w:rsid w:val="005123CF"/>
    <w:rsid w:val="00512B09"/>
    <w:rsid w:val="0052386A"/>
    <w:rsid w:val="00530A59"/>
    <w:rsid w:val="00534821"/>
    <w:rsid w:val="005360A8"/>
    <w:rsid w:val="00547360"/>
    <w:rsid w:val="00555D75"/>
    <w:rsid w:val="005572A8"/>
    <w:rsid w:val="005606B7"/>
    <w:rsid w:val="00560DF0"/>
    <w:rsid w:val="005616B1"/>
    <w:rsid w:val="00563C73"/>
    <w:rsid w:val="0056759C"/>
    <w:rsid w:val="005762F4"/>
    <w:rsid w:val="00587EE0"/>
    <w:rsid w:val="00594618"/>
    <w:rsid w:val="0059513E"/>
    <w:rsid w:val="005A0FDB"/>
    <w:rsid w:val="005A1F11"/>
    <w:rsid w:val="005B470F"/>
    <w:rsid w:val="005B48FF"/>
    <w:rsid w:val="005C08E5"/>
    <w:rsid w:val="005C7F08"/>
    <w:rsid w:val="005D61B8"/>
    <w:rsid w:val="005E1590"/>
    <w:rsid w:val="005E4C9F"/>
    <w:rsid w:val="005F0791"/>
    <w:rsid w:val="006007A1"/>
    <w:rsid w:val="00604C15"/>
    <w:rsid w:val="006066A8"/>
    <w:rsid w:val="00613426"/>
    <w:rsid w:val="00614C78"/>
    <w:rsid w:val="006158D5"/>
    <w:rsid w:val="00617EA2"/>
    <w:rsid w:val="00625D83"/>
    <w:rsid w:val="00633E93"/>
    <w:rsid w:val="00634904"/>
    <w:rsid w:val="00660F87"/>
    <w:rsid w:val="006623E7"/>
    <w:rsid w:val="00662B80"/>
    <w:rsid w:val="00665894"/>
    <w:rsid w:val="00665941"/>
    <w:rsid w:val="00670F6C"/>
    <w:rsid w:val="00684194"/>
    <w:rsid w:val="006846E2"/>
    <w:rsid w:val="006852C7"/>
    <w:rsid w:val="00687C65"/>
    <w:rsid w:val="00693456"/>
    <w:rsid w:val="0069378E"/>
    <w:rsid w:val="00694419"/>
    <w:rsid w:val="00695CB8"/>
    <w:rsid w:val="00696589"/>
    <w:rsid w:val="006A1102"/>
    <w:rsid w:val="006A570C"/>
    <w:rsid w:val="006A75ED"/>
    <w:rsid w:val="006B38D3"/>
    <w:rsid w:val="006B4939"/>
    <w:rsid w:val="006C1727"/>
    <w:rsid w:val="006C32FD"/>
    <w:rsid w:val="006C3753"/>
    <w:rsid w:val="006C39CE"/>
    <w:rsid w:val="006D0FCC"/>
    <w:rsid w:val="006D1FEA"/>
    <w:rsid w:val="006D330D"/>
    <w:rsid w:val="006E1FC3"/>
    <w:rsid w:val="006E2FD2"/>
    <w:rsid w:val="006E6571"/>
    <w:rsid w:val="007030F1"/>
    <w:rsid w:val="00704DC6"/>
    <w:rsid w:val="0070616B"/>
    <w:rsid w:val="00706FDA"/>
    <w:rsid w:val="00711F9A"/>
    <w:rsid w:val="007129DD"/>
    <w:rsid w:val="00713810"/>
    <w:rsid w:val="00722A46"/>
    <w:rsid w:val="00724233"/>
    <w:rsid w:val="00727B3D"/>
    <w:rsid w:val="007303A5"/>
    <w:rsid w:val="00730B3E"/>
    <w:rsid w:val="0073420B"/>
    <w:rsid w:val="0073709D"/>
    <w:rsid w:val="00744811"/>
    <w:rsid w:val="0074760E"/>
    <w:rsid w:val="00754ABA"/>
    <w:rsid w:val="00766E65"/>
    <w:rsid w:val="007726B8"/>
    <w:rsid w:val="00781706"/>
    <w:rsid w:val="007950B0"/>
    <w:rsid w:val="007A0C50"/>
    <w:rsid w:val="007A1546"/>
    <w:rsid w:val="007A228C"/>
    <w:rsid w:val="007A28F9"/>
    <w:rsid w:val="007A368E"/>
    <w:rsid w:val="007A5868"/>
    <w:rsid w:val="007B04CE"/>
    <w:rsid w:val="007B6871"/>
    <w:rsid w:val="007B7A2F"/>
    <w:rsid w:val="007C3D33"/>
    <w:rsid w:val="007C5291"/>
    <w:rsid w:val="007D294A"/>
    <w:rsid w:val="007D47D2"/>
    <w:rsid w:val="007D6EC0"/>
    <w:rsid w:val="007D7E1D"/>
    <w:rsid w:val="007F1555"/>
    <w:rsid w:val="007F5CDA"/>
    <w:rsid w:val="00831979"/>
    <w:rsid w:val="00851352"/>
    <w:rsid w:val="008621F5"/>
    <w:rsid w:val="00863230"/>
    <w:rsid w:val="008717D8"/>
    <w:rsid w:val="0087215C"/>
    <w:rsid w:val="00875532"/>
    <w:rsid w:val="008875FE"/>
    <w:rsid w:val="00887F8E"/>
    <w:rsid w:val="00890B47"/>
    <w:rsid w:val="00894D96"/>
    <w:rsid w:val="00896234"/>
    <w:rsid w:val="00897905"/>
    <w:rsid w:val="00897E43"/>
    <w:rsid w:val="008A1DC7"/>
    <w:rsid w:val="008B2B74"/>
    <w:rsid w:val="008C2C39"/>
    <w:rsid w:val="008C5738"/>
    <w:rsid w:val="008C7EAD"/>
    <w:rsid w:val="008D0CFE"/>
    <w:rsid w:val="008D6152"/>
    <w:rsid w:val="008F0F81"/>
    <w:rsid w:val="008F27BF"/>
    <w:rsid w:val="009002DD"/>
    <w:rsid w:val="009056CC"/>
    <w:rsid w:val="00911705"/>
    <w:rsid w:val="009142EC"/>
    <w:rsid w:val="009154C3"/>
    <w:rsid w:val="009164A4"/>
    <w:rsid w:val="00923540"/>
    <w:rsid w:val="00926767"/>
    <w:rsid w:val="009361D5"/>
    <w:rsid w:val="009428A4"/>
    <w:rsid w:val="00945F98"/>
    <w:rsid w:val="00955DE4"/>
    <w:rsid w:val="009659F4"/>
    <w:rsid w:val="00965AB5"/>
    <w:rsid w:val="00970D60"/>
    <w:rsid w:val="00971B35"/>
    <w:rsid w:val="00973184"/>
    <w:rsid w:val="009779E2"/>
    <w:rsid w:val="00985EC4"/>
    <w:rsid w:val="009960E5"/>
    <w:rsid w:val="009A7ADC"/>
    <w:rsid w:val="009C1884"/>
    <w:rsid w:val="009C19B7"/>
    <w:rsid w:val="009C1BA2"/>
    <w:rsid w:val="009D1316"/>
    <w:rsid w:val="009D7C51"/>
    <w:rsid w:val="009E196C"/>
    <w:rsid w:val="009F36BF"/>
    <w:rsid w:val="009F4E8D"/>
    <w:rsid w:val="009F6C7E"/>
    <w:rsid w:val="009F7D93"/>
    <w:rsid w:val="00A01791"/>
    <w:rsid w:val="00A05E02"/>
    <w:rsid w:val="00A111B6"/>
    <w:rsid w:val="00A21C4A"/>
    <w:rsid w:val="00A26D27"/>
    <w:rsid w:val="00A32B80"/>
    <w:rsid w:val="00A334A4"/>
    <w:rsid w:val="00A34B49"/>
    <w:rsid w:val="00A376EE"/>
    <w:rsid w:val="00A377CB"/>
    <w:rsid w:val="00A42A99"/>
    <w:rsid w:val="00A465D9"/>
    <w:rsid w:val="00A5151A"/>
    <w:rsid w:val="00A54130"/>
    <w:rsid w:val="00A55CFD"/>
    <w:rsid w:val="00A57E0A"/>
    <w:rsid w:val="00A823F6"/>
    <w:rsid w:val="00A82B86"/>
    <w:rsid w:val="00A91317"/>
    <w:rsid w:val="00A96AFF"/>
    <w:rsid w:val="00A97DED"/>
    <w:rsid w:val="00AA0A89"/>
    <w:rsid w:val="00AA6429"/>
    <w:rsid w:val="00AC01AA"/>
    <w:rsid w:val="00AC4F72"/>
    <w:rsid w:val="00AD4D4A"/>
    <w:rsid w:val="00AF741A"/>
    <w:rsid w:val="00B01ADB"/>
    <w:rsid w:val="00B04161"/>
    <w:rsid w:val="00B056F9"/>
    <w:rsid w:val="00B11E3D"/>
    <w:rsid w:val="00B1300A"/>
    <w:rsid w:val="00B15EE6"/>
    <w:rsid w:val="00B17E82"/>
    <w:rsid w:val="00B24A0B"/>
    <w:rsid w:val="00B26EEA"/>
    <w:rsid w:val="00B30092"/>
    <w:rsid w:val="00B337B5"/>
    <w:rsid w:val="00B34BAE"/>
    <w:rsid w:val="00B4575A"/>
    <w:rsid w:val="00B575BA"/>
    <w:rsid w:val="00B609A9"/>
    <w:rsid w:val="00B74405"/>
    <w:rsid w:val="00B76429"/>
    <w:rsid w:val="00B84517"/>
    <w:rsid w:val="00B956D4"/>
    <w:rsid w:val="00B97446"/>
    <w:rsid w:val="00BA0DAE"/>
    <w:rsid w:val="00BA14BB"/>
    <w:rsid w:val="00BA7432"/>
    <w:rsid w:val="00BB3F43"/>
    <w:rsid w:val="00BC00CC"/>
    <w:rsid w:val="00BC1AA0"/>
    <w:rsid w:val="00BC2495"/>
    <w:rsid w:val="00BC7EB9"/>
    <w:rsid w:val="00BD2643"/>
    <w:rsid w:val="00BD56B1"/>
    <w:rsid w:val="00BD6558"/>
    <w:rsid w:val="00BF3022"/>
    <w:rsid w:val="00BF3214"/>
    <w:rsid w:val="00BF5573"/>
    <w:rsid w:val="00C061C3"/>
    <w:rsid w:val="00C15867"/>
    <w:rsid w:val="00C2296D"/>
    <w:rsid w:val="00C23155"/>
    <w:rsid w:val="00C260ED"/>
    <w:rsid w:val="00C3642B"/>
    <w:rsid w:val="00C40C41"/>
    <w:rsid w:val="00C45885"/>
    <w:rsid w:val="00C50F22"/>
    <w:rsid w:val="00C57971"/>
    <w:rsid w:val="00C64ECA"/>
    <w:rsid w:val="00C76BA4"/>
    <w:rsid w:val="00C8010B"/>
    <w:rsid w:val="00C83A48"/>
    <w:rsid w:val="00C85865"/>
    <w:rsid w:val="00C85E85"/>
    <w:rsid w:val="00C94414"/>
    <w:rsid w:val="00CA2EAE"/>
    <w:rsid w:val="00CA4AC1"/>
    <w:rsid w:val="00CB0316"/>
    <w:rsid w:val="00CB0B11"/>
    <w:rsid w:val="00CB2A0C"/>
    <w:rsid w:val="00CB5354"/>
    <w:rsid w:val="00CB71ED"/>
    <w:rsid w:val="00CC6A14"/>
    <w:rsid w:val="00CC70A3"/>
    <w:rsid w:val="00CD4442"/>
    <w:rsid w:val="00CD53C3"/>
    <w:rsid w:val="00CD574E"/>
    <w:rsid w:val="00CE4C22"/>
    <w:rsid w:val="00CF0CC0"/>
    <w:rsid w:val="00CF41EC"/>
    <w:rsid w:val="00CF5D04"/>
    <w:rsid w:val="00CF617E"/>
    <w:rsid w:val="00D04DE4"/>
    <w:rsid w:val="00D063F1"/>
    <w:rsid w:val="00D14F22"/>
    <w:rsid w:val="00D4741C"/>
    <w:rsid w:val="00D56F53"/>
    <w:rsid w:val="00D57918"/>
    <w:rsid w:val="00D638B4"/>
    <w:rsid w:val="00D73DC6"/>
    <w:rsid w:val="00D74C1A"/>
    <w:rsid w:val="00D754C1"/>
    <w:rsid w:val="00D75F0F"/>
    <w:rsid w:val="00D77393"/>
    <w:rsid w:val="00D77A35"/>
    <w:rsid w:val="00D817D5"/>
    <w:rsid w:val="00D81B3E"/>
    <w:rsid w:val="00D908E0"/>
    <w:rsid w:val="00D90C70"/>
    <w:rsid w:val="00D90E49"/>
    <w:rsid w:val="00D95E82"/>
    <w:rsid w:val="00D96ADE"/>
    <w:rsid w:val="00DB172C"/>
    <w:rsid w:val="00DC576F"/>
    <w:rsid w:val="00DC6A10"/>
    <w:rsid w:val="00DD0B9F"/>
    <w:rsid w:val="00DD57D3"/>
    <w:rsid w:val="00DD65CA"/>
    <w:rsid w:val="00DE657E"/>
    <w:rsid w:val="00DF05A7"/>
    <w:rsid w:val="00DF4704"/>
    <w:rsid w:val="00E024AA"/>
    <w:rsid w:val="00E078C0"/>
    <w:rsid w:val="00E14C88"/>
    <w:rsid w:val="00E250F1"/>
    <w:rsid w:val="00E32713"/>
    <w:rsid w:val="00E33B1A"/>
    <w:rsid w:val="00E3489C"/>
    <w:rsid w:val="00E3550D"/>
    <w:rsid w:val="00E41C9E"/>
    <w:rsid w:val="00E42B08"/>
    <w:rsid w:val="00E4675A"/>
    <w:rsid w:val="00E614E0"/>
    <w:rsid w:val="00E73F7F"/>
    <w:rsid w:val="00E85409"/>
    <w:rsid w:val="00E87211"/>
    <w:rsid w:val="00EA429F"/>
    <w:rsid w:val="00EA4F9E"/>
    <w:rsid w:val="00EA63CA"/>
    <w:rsid w:val="00EA6D3B"/>
    <w:rsid w:val="00EB00AD"/>
    <w:rsid w:val="00EB136C"/>
    <w:rsid w:val="00EB480E"/>
    <w:rsid w:val="00EB5EC6"/>
    <w:rsid w:val="00EB68F1"/>
    <w:rsid w:val="00EB6DAB"/>
    <w:rsid w:val="00EB7FC9"/>
    <w:rsid w:val="00EC136D"/>
    <w:rsid w:val="00EC1441"/>
    <w:rsid w:val="00ED25A9"/>
    <w:rsid w:val="00ED27E8"/>
    <w:rsid w:val="00ED7137"/>
    <w:rsid w:val="00EE37C4"/>
    <w:rsid w:val="00EE49F9"/>
    <w:rsid w:val="00F026AA"/>
    <w:rsid w:val="00F06D04"/>
    <w:rsid w:val="00F1226B"/>
    <w:rsid w:val="00F12E4F"/>
    <w:rsid w:val="00F21088"/>
    <w:rsid w:val="00F26544"/>
    <w:rsid w:val="00F320AF"/>
    <w:rsid w:val="00F327E7"/>
    <w:rsid w:val="00F35746"/>
    <w:rsid w:val="00F41B2F"/>
    <w:rsid w:val="00F447C7"/>
    <w:rsid w:val="00F52DAE"/>
    <w:rsid w:val="00F554A9"/>
    <w:rsid w:val="00F70784"/>
    <w:rsid w:val="00F716FD"/>
    <w:rsid w:val="00F717A5"/>
    <w:rsid w:val="00F757C4"/>
    <w:rsid w:val="00F80355"/>
    <w:rsid w:val="00F86B24"/>
    <w:rsid w:val="00FA384F"/>
    <w:rsid w:val="00FA3E6B"/>
    <w:rsid w:val="00FA496B"/>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6836D"/>
  <w15:docId w15:val="{CE1ADD3A-4E78-4514-B4F3-74E9CE91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A28F9"/>
    <w:rPr>
      <w:sz w:val="22"/>
      <w:szCs w:val="22"/>
      <w:lang w:val="en-GB"/>
    </w:rPr>
  </w:style>
  <w:style w:type="paragraph" w:styleId="FootnoteText">
    <w:name w:val="footnote text"/>
    <w:aliases w:val="Char1,Char1 Char Char, Char1, Char1 Char Char,Fußnotentextf"/>
    <w:basedOn w:val="Normal"/>
    <w:link w:val="FootnoteTextChar"/>
    <w:uiPriority w:val="99"/>
    <w:unhideWhenUsed/>
    <w:qFormat/>
    <w:rsid w:val="007A28F9"/>
    <w:rPr>
      <w:sz w:val="20"/>
      <w:szCs w:val="20"/>
    </w:rPr>
  </w:style>
  <w:style w:type="character" w:customStyle="1" w:styleId="FootnoteTextChar">
    <w:name w:val="Footnote Text Char"/>
    <w:aliases w:val="Char1 Char,Char1 Char Char Char, Char1 Char, Char1 Char Char Char,Fußnotentextf Char"/>
    <w:basedOn w:val="DefaultParagraphFont"/>
    <w:link w:val="FootnoteText"/>
    <w:uiPriority w:val="99"/>
    <w:rsid w:val="007A28F9"/>
    <w:rPr>
      <w:lang w:val="en-GB"/>
    </w:rPr>
  </w:style>
  <w:style w:type="character" w:styleId="FootnoteReference">
    <w:name w:val="footnote reference"/>
    <w:aliases w:val="Footnote text"/>
    <w:basedOn w:val="DefaultParagraphFont"/>
    <w:uiPriority w:val="99"/>
    <w:unhideWhenUsed/>
    <w:rsid w:val="007A28F9"/>
    <w:rPr>
      <w:vertAlign w:val="superscript"/>
    </w:rPr>
  </w:style>
  <w:style w:type="paragraph" w:styleId="ListParagraph">
    <w:name w:val="List Paragraph"/>
    <w:basedOn w:val="Normal"/>
    <w:uiPriority w:val="34"/>
    <w:qFormat/>
    <w:rsid w:val="006A570C"/>
    <w:pPr>
      <w:ind w:left="720"/>
      <w:contextualSpacing/>
    </w:pPr>
  </w:style>
  <w:style w:type="table" w:customStyle="1" w:styleId="TableGrid10">
    <w:name w:val="Table Grid1"/>
    <w:basedOn w:val="TableNormal"/>
    <w:next w:val="TableGrid"/>
    <w:rsid w:val="005238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81st\Templates\Eec81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UNEP/OzL.Pro/ExCom/81/33</Document_x0020_Number>
    <DocumentType xmlns="64e33b30-101d-41de-b951-961aab25ea29">Pre-session</DocumentType>
    <Format xmlns="c41b18c7-297f-4c27-85f0-8b52ca6c4730">Word</Format>
    <Language xmlns="c41b18c7-297f-4c27-85f0-8b52ca6c4730">English</Langu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3B1B27BA23146A32B327DDC69C6DE" ma:contentTypeVersion="6" ma:contentTypeDescription="Create a new document." ma:contentTypeScope="" ma:versionID="e12c066ed450db8bfb21665078aca8d9">
  <xsd:schema xmlns:xsd="http://www.w3.org/2001/XMLSchema" xmlns:p="http://schemas.microsoft.com/office/2006/metadata/properties" xmlns:ns2="6b03d5a6-c642-4a08-93b6-965b66bfac2e" xmlns:ns3="64e33b30-101d-41de-b951-961aab25ea29" xmlns:ns4="c41b18c7-297f-4c27-85f0-8b52ca6c4730" targetNamespace="http://schemas.microsoft.com/office/2006/metadata/properties" ma:root="true" ma:fieldsID="681ba12bcfa428e99468d2fc16f1a4ed" ns2:_="" ns3:_="" ns4:_="">
    <xsd:import namespace="6b03d5a6-c642-4a08-93b6-965b66bfac2e"/>
    <xsd:import namespace="64e33b30-101d-41de-b951-961aab25ea29"/>
    <xsd:import namespace="c41b18c7-297f-4c27-85f0-8b52ca6c4730"/>
    <xsd:element name="properties">
      <xsd:complexType>
        <xsd:sequence>
          <xsd:element name="documentManagement">
            <xsd:complexType>
              <xsd:all>
                <xsd:element ref="ns2:Document_x0020_Number" minOccurs="0"/>
                <xsd:element ref="ns3:DocumentType" minOccurs="0"/>
                <xsd:element ref="ns4:Format" minOccurs="0"/>
                <xsd:element ref="ns4:Languag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1/"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Business plan"/>
          <xsd:enumeration value="Information Document"/>
        </xsd:restriction>
      </xsd:simpleType>
    </xsd:element>
  </xsd:schema>
  <xsd:schema xmlns:xsd="http://www.w3.org/2001/XMLSchema" xmlns:dms="http://schemas.microsoft.com/office/2006/documentManagement/types" targetNamespace="c41b18c7-297f-4c27-85f0-8b52ca6c4730" elementFormDefault="qualified">
    <xsd:import namespace="http://schemas.microsoft.com/office/2006/documentManagement/types"/>
    <xsd:element name="Format" ma:index="10" nillable="true" ma:displayName="Format" ma:default="Word" ma:format="Dropdown" ma:internalName="Format">
      <xsd:simpleType>
        <xsd:restriction base="dms:Choice">
          <xsd:enumeration value="PDF"/>
          <xsd:enumeration value="Word"/>
          <xsd:enumeration value="Excel"/>
        </xsd:restriction>
      </xsd:simpleType>
    </xsd:element>
    <xsd:element name="Language" ma:index="11" nillable="true" ma:displayName="Language" ma:default="English" ma:format="Dropdown" ma:internalName="Language">
      <xsd:simpleType>
        <xsd:restriction base="dms:Choice">
          <xsd:enumeration value="Engli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E3266C-183D-4456-99FC-0AD5DD03C126}"/>
</file>

<file path=customXml/itemProps2.xml><?xml version="1.0" encoding="utf-8"?>
<ds:datastoreItem xmlns:ds="http://schemas.openxmlformats.org/officeDocument/2006/customXml" ds:itemID="{9CC49D51-EEF8-43ED-98F6-C9DB8DEB92EE}"/>
</file>

<file path=customXml/itemProps3.xml><?xml version="1.0" encoding="utf-8"?>
<ds:datastoreItem xmlns:ds="http://schemas.openxmlformats.org/officeDocument/2006/customXml" ds:itemID="{DFD005F9-DAF2-4467-976E-552654D0CBEA}"/>
</file>

<file path=customXml/itemProps4.xml><?xml version="1.0" encoding="utf-8"?>
<ds:datastoreItem xmlns:ds="http://schemas.openxmlformats.org/officeDocument/2006/customXml" ds:itemID="{E48CEC9C-1F70-4667-9F4D-628EC56B16C5}"/>
</file>

<file path=docProps/app.xml><?xml version="1.0" encoding="utf-8"?>
<Properties xmlns="http://schemas.openxmlformats.org/officeDocument/2006/extended-properties" xmlns:vt="http://schemas.openxmlformats.org/officeDocument/2006/docPropsVTypes">
  <Template>Eec81G</Template>
  <TotalTime>8</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UNMFS</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Egypt</dc:title>
  <dc:subject/>
  <dc:creator>Muriel Aguiar</dc:creator>
  <cp:keywords/>
  <dc:description/>
  <cp:lastModifiedBy>Out Going e-mail</cp:lastModifiedBy>
  <cp:revision>1</cp:revision>
  <cp:lastPrinted>2018-05-28T22:22:00Z</cp:lastPrinted>
  <dcterms:created xsi:type="dcterms:W3CDTF">2018-05-28T22:13:00Z</dcterms:created>
  <dcterms:modified xsi:type="dcterms:W3CDTF">2018-05-28T22:25:00Z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UNEP/OzL.Pro/ExCom/81/33</vt:lpwstr>
  </property>
  <property fmtid="{D5CDD505-2E9C-101B-9397-08002B2CF9AE}" pid="3" name="Revision date">
    <vt:lpwstr>5/28/2018</vt:lpwstr>
  </property>
  <property fmtid="{D5CDD505-2E9C-101B-9397-08002B2CF9AE}" pid="4" name="ContentTypeId">
    <vt:lpwstr>0x0101004B13B1B27BA23146A32B327DDC69C6DE</vt:lpwstr>
  </property>
</Properties>
</file>