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693432" w:rsidTr="00693432">
        <w:trPr>
          <w:trHeight w:val="720"/>
        </w:trPr>
        <w:tc>
          <w:tcPr>
            <w:tcW w:w="5490" w:type="dxa"/>
            <w:gridSpan w:val="2"/>
            <w:tcBorders>
              <w:bottom w:val="single" w:sz="18" w:space="0" w:color="auto"/>
            </w:tcBorders>
          </w:tcPr>
          <w:p w:rsidR="00693432" w:rsidRPr="0000434E" w:rsidRDefault="00693432" w:rsidP="00693432">
            <w:pPr>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rsidR="00693432" w:rsidRPr="00493D40" w:rsidRDefault="00693432" w:rsidP="00693432">
            <w:pPr>
              <w:jc w:val="right"/>
              <w:rPr>
                <w:sz w:val="52"/>
                <w:szCs w:val="52"/>
              </w:rPr>
            </w:pPr>
            <w:r>
              <w:rPr>
                <w:rFonts w:ascii="Univers Bold" w:hAnsi="Univers Bold"/>
                <w:b/>
                <w:sz w:val="72"/>
              </w:rPr>
              <w:t>EP</w:t>
            </w:r>
          </w:p>
        </w:tc>
      </w:tr>
      <w:tr w:rsidR="00693432" w:rsidTr="00693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693432" w:rsidRDefault="00693432" w:rsidP="00693432">
            <w:r>
              <w:rPr>
                <w:noProof/>
                <w:lang w:val="en-CA" w:eastAsia="en-CA"/>
              </w:rPr>
              <w:drawing>
                <wp:anchor distT="0" distB="0" distL="114300" distR="114300" simplePos="0" relativeHeight="251666432" behindDoc="0" locked="0" layoutInCell="1" allowOverlap="1" wp14:anchorId="6BD04FC3" wp14:editId="3190D929">
                  <wp:simplePos x="0" y="0"/>
                  <wp:positionH relativeFrom="column">
                    <wp:posOffset>19050</wp:posOffset>
                  </wp:positionH>
                  <wp:positionV relativeFrom="paragraph">
                    <wp:posOffset>823881</wp:posOffset>
                  </wp:positionV>
                  <wp:extent cx="880110" cy="776034"/>
                  <wp:effectExtent l="0" t="0" r="0" b="508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80110" cy="776034"/>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67456" behindDoc="1" locked="0" layoutInCell="0" allowOverlap="1" wp14:anchorId="1CE7D456" wp14:editId="04C9A3F0">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693432" w:rsidRDefault="00693432" w:rsidP="00693432">
            <w:pPr>
              <w:suppressAutoHyphens/>
              <w:rPr>
                <w:rFonts w:ascii="Univers" w:hAnsi="Univers"/>
                <w:b/>
                <w:sz w:val="32"/>
              </w:rPr>
            </w:pPr>
            <w:r>
              <w:rPr>
                <w:rFonts w:ascii="Univers" w:hAnsi="Univers"/>
                <w:b/>
                <w:sz w:val="32"/>
              </w:rPr>
              <w:t>United Nations</w:t>
            </w:r>
          </w:p>
          <w:p w:rsidR="00693432" w:rsidRDefault="00693432" w:rsidP="00693432">
            <w:pPr>
              <w:suppressAutoHyphens/>
              <w:rPr>
                <w:rFonts w:ascii="Univers" w:hAnsi="Univers"/>
              </w:rPr>
            </w:pPr>
            <w:r>
              <w:rPr>
                <w:rFonts w:ascii="Univers" w:hAnsi="Univers"/>
                <w:b/>
                <w:sz w:val="32"/>
              </w:rPr>
              <w:t>Environment</w:t>
            </w:r>
          </w:p>
          <w:p w:rsidR="00693432" w:rsidRDefault="00693432" w:rsidP="00693432">
            <w:pPr>
              <w:suppressAutoHyphens/>
              <w:rPr>
                <w:rFonts w:ascii="Univers Bold" w:hAnsi="Univers Bold"/>
                <w:b/>
                <w:sz w:val="32"/>
              </w:rPr>
            </w:pPr>
            <w:r>
              <w:rPr>
                <w:rFonts w:ascii="Univers" w:hAnsi="Univers"/>
                <w:b/>
                <w:sz w:val="32"/>
              </w:rPr>
              <w:t>Programme</w:t>
            </w:r>
          </w:p>
          <w:p w:rsidR="00693432" w:rsidRDefault="00693432" w:rsidP="00693432">
            <w:pPr>
              <w:ind w:left="158"/>
            </w:pPr>
          </w:p>
        </w:tc>
        <w:tc>
          <w:tcPr>
            <w:tcW w:w="4590" w:type="dxa"/>
            <w:tcBorders>
              <w:top w:val="nil"/>
              <w:left w:val="nil"/>
              <w:bottom w:val="single" w:sz="36" w:space="0" w:color="auto"/>
              <w:right w:val="nil"/>
            </w:tcBorders>
          </w:tcPr>
          <w:p w:rsidR="00693432" w:rsidRPr="0033525D" w:rsidRDefault="00693432" w:rsidP="00693432">
            <w:r w:rsidRPr="0033525D">
              <w:t>Distr.</w:t>
            </w:r>
          </w:p>
          <w:p w:rsidR="00693432" w:rsidRPr="0033525D" w:rsidRDefault="00693432" w:rsidP="00693432">
            <w:r w:rsidRPr="0033525D">
              <w:t>GENERAL</w:t>
            </w:r>
          </w:p>
          <w:p w:rsidR="00693432" w:rsidRPr="0033525D" w:rsidRDefault="00693432" w:rsidP="00693432"/>
          <w:p w:rsidR="00693432" w:rsidRPr="003F73BA" w:rsidRDefault="00693432" w:rsidP="00693432"/>
          <w:p w:rsidR="003A18A6" w:rsidRPr="003F73BA" w:rsidRDefault="003A18A6" w:rsidP="003A18A6">
            <w:r>
              <w:fldChar w:fldCharType="begin"/>
            </w:r>
            <w:r>
              <w:instrText xml:space="preserve"> DOCPROPERTY "Document number"  \* MERGEFORMAT </w:instrText>
            </w:r>
            <w:r>
              <w:fldChar w:fldCharType="separate"/>
            </w:r>
            <w:r>
              <w:t>UNEP/OzL.Pro/ExCom/81/39</w:t>
            </w:r>
            <w:r>
              <w:fldChar w:fldCharType="end"/>
            </w:r>
          </w:p>
          <w:p w:rsidR="003A18A6" w:rsidRPr="003F73BA" w:rsidRDefault="003A18A6" w:rsidP="003A18A6">
            <w:r>
              <w:fldChar w:fldCharType="begin"/>
            </w:r>
            <w:r>
              <w:instrText xml:space="preserve"> DOCPROPERTY "Revision date" \@ "d MMMM YYYY"  \* MERGEFORMAT </w:instrText>
            </w:r>
            <w:r>
              <w:fldChar w:fldCharType="separate"/>
            </w:r>
            <w:r>
              <w:t>1 June 2018</w:t>
            </w:r>
            <w:r>
              <w:fldChar w:fldCharType="end"/>
            </w:r>
          </w:p>
          <w:p w:rsidR="003A18A6" w:rsidRPr="00000FED" w:rsidRDefault="003A18A6" w:rsidP="003A18A6">
            <w:pPr>
              <w:rPr>
                <w:caps/>
              </w:rPr>
            </w:pPr>
          </w:p>
          <w:p w:rsidR="00693432" w:rsidRDefault="003A18A6" w:rsidP="003A18A6">
            <w:r w:rsidRPr="0033525D">
              <w:t>ORIGINAL: ENGLISH</w:t>
            </w:r>
          </w:p>
        </w:tc>
      </w:tr>
    </w:tbl>
    <w:p w:rsidR="00693432" w:rsidRPr="00612F2F" w:rsidRDefault="00693432" w:rsidP="00693432">
      <w:pPr>
        <w:jc w:val="left"/>
      </w:pPr>
      <w:r w:rsidRPr="0033525D">
        <w:t>EXECUTIVE COMMITTEE OF</w:t>
      </w:r>
      <w:r w:rsidRPr="0033525D">
        <w:br/>
      </w:r>
      <w:r>
        <w:t xml:space="preserve"> </w:t>
      </w:r>
      <w:r w:rsidRPr="0033525D">
        <w:t>THE MULTILATERAL FUND FOR THE</w:t>
      </w:r>
      <w:r w:rsidRPr="0033525D">
        <w:br/>
      </w:r>
      <w:r>
        <w:t xml:space="preserve"> </w:t>
      </w:r>
      <w:r w:rsidRPr="0033525D">
        <w:t>IMPLEMENTATION OF THE MONTREAL PROTOCOL</w:t>
      </w:r>
      <w:r w:rsidRPr="0033525D">
        <w:br/>
      </w:r>
      <w:r>
        <w:rPr>
          <w:lang w:val="en-CA"/>
        </w:rPr>
        <w:t xml:space="preserve">Eighty-first </w:t>
      </w:r>
      <w:r>
        <w:t>Meeting</w:t>
      </w:r>
    </w:p>
    <w:p w:rsidR="00693432" w:rsidRPr="006C39CE" w:rsidRDefault="00693432" w:rsidP="00693432">
      <w:pPr>
        <w:jc w:val="left"/>
        <w:rPr>
          <w:lang w:val="en-CA"/>
        </w:rPr>
      </w:pPr>
      <w:r>
        <w:rPr>
          <w:lang w:val="en-CA"/>
        </w:rPr>
        <w:t>Montreal</w:t>
      </w:r>
      <w:r w:rsidRPr="00042E3E">
        <w:rPr>
          <w:lang w:val="en-CA"/>
        </w:rPr>
        <w:t xml:space="preserve">, </w:t>
      </w:r>
      <w:r>
        <w:t>18-22 June 2018</w:t>
      </w:r>
    </w:p>
    <w:p w:rsidR="00693432" w:rsidRPr="00765DE4" w:rsidRDefault="00693432" w:rsidP="00693432">
      <w:pPr>
        <w:jc w:val="left"/>
        <w:rPr>
          <w:lang w:val="en-US"/>
        </w:rPr>
      </w:pPr>
    </w:p>
    <w:p w:rsidR="00693432" w:rsidRDefault="00693432" w:rsidP="00693432">
      <w:pPr>
        <w:pStyle w:val="Title1"/>
      </w:pPr>
    </w:p>
    <w:p w:rsidR="00693432" w:rsidRDefault="00693432" w:rsidP="00693432">
      <w:pPr>
        <w:pStyle w:val="Title1"/>
      </w:pPr>
    </w:p>
    <w:p w:rsidR="00693432" w:rsidRPr="0024637D" w:rsidRDefault="00693432" w:rsidP="00693432">
      <w:pPr>
        <w:pStyle w:val="Heading1"/>
        <w:numPr>
          <w:ilvl w:val="0"/>
          <w:numId w:val="0"/>
        </w:numPr>
        <w:jc w:val="center"/>
        <w:rPr>
          <w:b/>
        </w:rPr>
      </w:pPr>
      <w:r w:rsidRPr="0024637D">
        <w:rPr>
          <w:b/>
        </w:rPr>
        <w:t>PROJECT PROPOSAL:</w:t>
      </w:r>
      <w:r>
        <w:rPr>
          <w:b/>
        </w:rPr>
        <w:t xml:space="preserve"> </w:t>
      </w:r>
      <w:r w:rsidR="00DA38C1">
        <w:rPr>
          <w:b/>
        </w:rPr>
        <w:t>IRAN (</w:t>
      </w:r>
      <w:r w:rsidR="003A18A6">
        <w:rPr>
          <w:b/>
        </w:rPr>
        <w:t>ISLAMIC REPUBLIC OF</w:t>
      </w:r>
      <w:r w:rsidR="00DA38C1">
        <w:rPr>
          <w:b/>
        </w:rPr>
        <w:t>)</w:t>
      </w:r>
    </w:p>
    <w:p w:rsidR="00693432" w:rsidRPr="00572436" w:rsidRDefault="00693432" w:rsidP="00693432">
      <w:pPr>
        <w:ind w:firstLine="720"/>
        <w:rPr>
          <w:lang w:val="en-CA"/>
        </w:rPr>
      </w:pPr>
      <w:r w:rsidRPr="00572436">
        <w:rPr>
          <w:lang w:val="en-CA"/>
        </w:rPr>
        <w:t xml:space="preserve">This document consists of the comments and recommendation of the Secretariat on the following project proposal: </w:t>
      </w:r>
    </w:p>
    <w:p w:rsidR="00693432" w:rsidRPr="00572436" w:rsidRDefault="00693432" w:rsidP="00693432">
      <w:pPr>
        <w:rPr>
          <w:lang w:val="en-CA"/>
        </w:rPr>
      </w:pPr>
    </w:p>
    <w:p w:rsidR="00872BB1" w:rsidRPr="00572436" w:rsidRDefault="00872BB1" w:rsidP="00872BB1">
      <w:pPr>
        <w:rPr>
          <w:u w:val="single"/>
          <w:lang w:val="en-CA"/>
        </w:rPr>
      </w:pPr>
      <w:r>
        <w:rPr>
          <w:u w:val="single"/>
          <w:lang w:val="en-CA"/>
        </w:rPr>
        <w:t>Refrigeration</w:t>
      </w:r>
    </w:p>
    <w:p w:rsidR="00872BB1" w:rsidRPr="00572436" w:rsidRDefault="00872BB1" w:rsidP="00872BB1">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9"/>
        <w:gridCol w:w="2391"/>
      </w:tblGrid>
      <w:tr w:rsidR="00872BB1" w:rsidRPr="002E25BA" w:rsidTr="00872BB1">
        <w:tc>
          <w:tcPr>
            <w:tcW w:w="6969" w:type="dxa"/>
          </w:tcPr>
          <w:p w:rsidR="00872BB1" w:rsidRPr="00572436" w:rsidRDefault="00872BB1" w:rsidP="0035635B">
            <w:pPr>
              <w:ind w:left="720" w:hanging="720"/>
              <w:rPr>
                <w:lang w:val="en-CA"/>
              </w:rPr>
            </w:pPr>
            <w:r w:rsidRPr="00572436">
              <w:rPr>
                <w:lang w:val="en-CA"/>
              </w:rPr>
              <w:t>•</w:t>
            </w:r>
            <w:r w:rsidRPr="00572436">
              <w:rPr>
                <w:lang w:val="en-CA"/>
              </w:rPr>
              <w:tab/>
            </w:r>
            <w:r w:rsidR="00DA38C1" w:rsidRPr="00DA38C1">
              <w:rPr>
                <w:lang w:val="en-CA"/>
              </w:rPr>
              <w:t>Conversion of the manufacturing of mobile air-conditioning units from HFC</w:t>
            </w:r>
            <w:r w:rsidR="00DA38C1" w:rsidRPr="00DA38C1">
              <w:rPr>
                <w:lang w:val="en-CA"/>
              </w:rPr>
              <w:noBreakHyphen/>
              <w:t>134a to HFO-1234yf at Kerman Motor Company Limited</w:t>
            </w:r>
          </w:p>
        </w:tc>
        <w:tc>
          <w:tcPr>
            <w:tcW w:w="2391" w:type="dxa"/>
          </w:tcPr>
          <w:p w:rsidR="00872BB1" w:rsidRPr="002E25BA" w:rsidRDefault="000C2FA8" w:rsidP="00872BB1">
            <w:pPr>
              <w:spacing w:line="360" w:lineRule="auto"/>
              <w:jc w:val="right"/>
              <w:rPr>
                <w:lang w:val="en-CA"/>
              </w:rPr>
            </w:pPr>
            <w:r>
              <w:rPr>
                <w:lang w:val="en-CA"/>
              </w:rPr>
              <w:t>UNIDO</w:t>
            </w:r>
          </w:p>
        </w:tc>
      </w:tr>
    </w:tbl>
    <w:p w:rsidR="00872BB1" w:rsidRPr="00572436" w:rsidRDefault="00872BB1" w:rsidP="00872BB1">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5"/>
        <w:gridCol w:w="2395"/>
      </w:tblGrid>
      <w:tr w:rsidR="00872BB1" w:rsidRPr="002E25BA" w:rsidTr="00872BB1">
        <w:tc>
          <w:tcPr>
            <w:tcW w:w="7128" w:type="dxa"/>
          </w:tcPr>
          <w:p w:rsidR="00872BB1" w:rsidRPr="00572436" w:rsidRDefault="00872BB1" w:rsidP="0035635B">
            <w:pPr>
              <w:ind w:left="720" w:hanging="720"/>
              <w:rPr>
                <w:lang w:val="en-CA"/>
              </w:rPr>
            </w:pPr>
          </w:p>
        </w:tc>
        <w:tc>
          <w:tcPr>
            <w:tcW w:w="2448" w:type="dxa"/>
          </w:tcPr>
          <w:p w:rsidR="00872BB1" w:rsidRPr="002E25BA" w:rsidRDefault="00872BB1" w:rsidP="00872BB1">
            <w:pPr>
              <w:spacing w:line="360" w:lineRule="auto"/>
              <w:jc w:val="right"/>
              <w:rPr>
                <w:lang w:val="en-CA"/>
              </w:rPr>
            </w:pPr>
          </w:p>
        </w:tc>
      </w:tr>
    </w:tbl>
    <w:p w:rsidR="00BB728F" w:rsidRPr="00BB728F" w:rsidRDefault="00693432" w:rsidP="00BB728F">
      <w:pPr>
        <w:pStyle w:val="StyleHeader4Para4Left0Firstline0"/>
        <w:numPr>
          <w:ilvl w:val="0"/>
          <w:numId w:val="0"/>
        </w:numPr>
        <w:tabs>
          <w:tab w:val="clear" w:pos="2880"/>
          <w:tab w:val="clear" w:pos="5760"/>
        </w:tabs>
      </w:pPr>
      <w:r>
        <w:br w:type="page"/>
      </w:r>
    </w:p>
    <w:p w:rsidR="00624407" w:rsidRPr="00E91A59" w:rsidRDefault="00624407" w:rsidP="00624407">
      <w:pPr>
        <w:jc w:val="center"/>
        <w:rPr>
          <w:b/>
          <w:szCs w:val="24"/>
        </w:rPr>
      </w:pPr>
      <w:r w:rsidRPr="00E91A59">
        <w:rPr>
          <w:b/>
          <w:szCs w:val="24"/>
        </w:rPr>
        <w:lastRenderedPageBreak/>
        <w:t>PROJECT EVALUATION SHEET – NON-MULTI-YEAR PROJECT</w:t>
      </w:r>
    </w:p>
    <w:p w:rsidR="00DA38C1" w:rsidRPr="00DA38C1" w:rsidRDefault="00DA38C1" w:rsidP="00DA38C1">
      <w:pPr>
        <w:keepLines/>
        <w:jc w:val="center"/>
        <w:rPr>
          <w:b/>
        </w:rPr>
      </w:pPr>
      <w:r w:rsidRPr="00DA38C1">
        <w:rPr>
          <w:b/>
        </w:rPr>
        <w:t>EVALUATION SHEET – NON-MULTI-YEAR PROJECT</w:t>
      </w:r>
    </w:p>
    <w:p w:rsidR="00DA38C1" w:rsidRPr="00DA38C1" w:rsidRDefault="00DA38C1" w:rsidP="00DA38C1">
      <w:pPr>
        <w:jc w:val="center"/>
        <w:rPr>
          <w:b/>
          <w:szCs w:val="24"/>
        </w:rPr>
      </w:pPr>
    </w:p>
    <w:p w:rsidR="00DA38C1" w:rsidRPr="00DA38C1" w:rsidRDefault="00DA38C1" w:rsidP="00DA38C1">
      <w:pPr>
        <w:jc w:val="center"/>
        <w:rPr>
          <w:b/>
          <w:szCs w:val="24"/>
        </w:rPr>
      </w:pPr>
      <w:r w:rsidRPr="00DA38C1">
        <w:rPr>
          <w:b/>
          <w:szCs w:val="24"/>
        </w:rPr>
        <w:t>Iran (Islamic Republic of)</w:t>
      </w:r>
    </w:p>
    <w:p w:rsidR="00DA38C1" w:rsidRPr="00DA38C1" w:rsidRDefault="00DA38C1" w:rsidP="00DA38C1">
      <w:pPr>
        <w:rPr>
          <w:sz w:val="20"/>
        </w:rPr>
      </w:pPr>
    </w:p>
    <w:p w:rsidR="00DA38C1" w:rsidRPr="00DA38C1" w:rsidRDefault="00DA38C1" w:rsidP="00DA38C1">
      <w:pPr>
        <w:tabs>
          <w:tab w:val="left" w:pos="5580"/>
        </w:tabs>
        <w:ind w:right="-540"/>
        <w:rPr>
          <w:b/>
          <w:sz w:val="20"/>
        </w:rPr>
      </w:pPr>
      <w:r w:rsidRPr="00DA38C1">
        <w:rPr>
          <w:b/>
          <w:caps/>
          <w:sz w:val="20"/>
        </w:rPr>
        <w:t>Project title(S)</w:t>
      </w:r>
      <w:r w:rsidRPr="00DA38C1">
        <w:rPr>
          <w:b/>
          <w:sz w:val="20"/>
        </w:rPr>
        <w:tab/>
      </w:r>
      <w:r w:rsidRPr="00DA38C1">
        <w:rPr>
          <w:b/>
          <w:caps/>
          <w:sz w:val="20"/>
        </w:rPr>
        <w:t>Bilateral/implementing agency</w:t>
      </w:r>
    </w:p>
    <w:tbl>
      <w:tblPr>
        <w:tblStyle w:val="TableGrid"/>
        <w:tblpPr w:leftFromText="180" w:rightFromText="180" w:vertAnchor="text" w:horzAnchor="margin" w:tblpXSpec="center" w:tblpY="62"/>
        <w:tblW w:w="9497" w:type="dxa"/>
        <w:tblBorders>
          <w:insideH w:val="none" w:sz="0" w:space="0" w:color="auto"/>
          <w:insideV w:val="none" w:sz="0" w:space="0" w:color="auto"/>
        </w:tblBorders>
        <w:tblLook w:val="01E0" w:firstRow="1" w:lastRow="1" w:firstColumn="1" w:lastColumn="1" w:noHBand="0" w:noVBand="0"/>
      </w:tblPr>
      <w:tblGrid>
        <w:gridCol w:w="614"/>
        <w:gridCol w:w="6575"/>
        <w:gridCol w:w="2308"/>
      </w:tblGrid>
      <w:tr w:rsidR="00DA38C1" w:rsidRPr="00DA38C1" w:rsidTr="003A18A6">
        <w:trPr>
          <w:trHeight w:val="251"/>
        </w:trPr>
        <w:tc>
          <w:tcPr>
            <w:tcW w:w="614" w:type="dxa"/>
            <w:tcBorders>
              <w:top w:val="single" w:sz="4" w:space="0" w:color="auto"/>
              <w:left w:val="single" w:sz="4" w:space="0" w:color="auto"/>
              <w:bottom w:val="single" w:sz="4" w:space="0" w:color="auto"/>
              <w:right w:val="nil"/>
            </w:tcBorders>
          </w:tcPr>
          <w:p w:rsidR="00DA38C1" w:rsidRPr="00DA38C1" w:rsidRDefault="00DA38C1" w:rsidP="00DA38C1">
            <w:pPr>
              <w:tabs>
                <w:tab w:val="left" w:pos="383"/>
              </w:tabs>
              <w:rPr>
                <w:sz w:val="20"/>
                <w:szCs w:val="20"/>
              </w:rPr>
            </w:pPr>
          </w:p>
        </w:tc>
        <w:tc>
          <w:tcPr>
            <w:tcW w:w="6575" w:type="dxa"/>
            <w:tcBorders>
              <w:top w:val="single" w:sz="4" w:space="0" w:color="auto"/>
              <w:left w:val="nil"/>
              <w:bottom w:val="single" w:sz="4" w:space="0" w:color="auto"/>
              <w:right w:val="single" w:sz="4" w:space="0" w:color="auto"/>
            </w:tcBorders>
          </w:tcPr>
          <w:p w:rsidR="00DA38C1" w:rsidRPr="00DA38C1" w:rsidRDefault="00DA38C1" w:rsidP="00DA38C1">
            <w:pPr>
              <w:tabs>
                <w:tab w:val="left" w:pos="810"/>
              </w:tabs>
              <w:rPr>
                <w:sz w:val="20"/>
                <w:szCs w:val="20"/>
              </w:rPr>
            </w:pPr>
            <w:r w:rsidRPr="00DA38C1">
              <w:rPr>
                <w:sz w:val="20"/>
                <w:szCs w:val="20"/>
                <w:lang w:val="en-CA"/>
              </w:rPr>
              <w:t>Conversion of the manufacturing of mobile air-conditioning units from HFC</w:t>
            </w:r>
            <w:r w:rsidRPr="00DA38C1">
              <w:rPr>
                <w:sz w:val="20"/>
                <w:szCs w:val="20"/>
                <w:lang w:val="en-CA"/>
              </w:rPr>
              <w:noBreakHyphen/>
              <w:t>134a to HFO-1234yf at Kerman Motor Company Limited</w:t>
            </w:r>
          </w:p>
        </w:tc>
        <w:tc>
          <w:tcPr>
            <w:tcW w:w="2308" w:type="dxa"/>
            <w:tcBorders>
              <w:top w:val="single" w:sz="4" w:space="0" w:color="auto"/>
              <w:left w:val="single" w:sz="4" w:space="0" w:color="auto"/>
              <w:bottom w:val="single" w:sz="4" w:space="0" w:color="auto"/>
            </w:tcBorders>
          </w:tcPr>
          <w:p w:rsidR="00DA38C1" w:rsidRPr="00DA38C1" w:rsidRDefault="00DA38C1" w:rsidP="00DA38C1">
            <w:pPr>
              <w:jc w:val="right"/>
              <w:rPr>
                <w:sz w:val="20"/>
                <w:szCs w:val="20"/>
              </w:rPr>
            </w:pPr>
            <w:r w:rsidRPr="00DA38C1">
              <w:rPr>
                <w:sz w:val="20"/>
                <w:szCs w:val="20"/>
              </w:rPr>
              <w:t>UNIDO</w:t>
            </w:r>
          </w:p>
        </w:tc>
      </w:tr>
    </w:tbl>
    <w:p w:rsidR="00DA38C1" w:rsidRPr="00DA38C1" w:rsidRDefault="00DA38C1" w:rsidP="00DA38C1">
      <w:pPr>
        <w:rPr>
          <w:sz w:val="20"/>
        </w:rPr>
      </w:pPr>
    </w:p>
    <w:tbl>
      <w:tblPr>
        <w:tblStyle w:val="TableGrid"/>
        <w:tblW w:w="0" w:type="auto"/>
        <w:jc w:val="center"/>
        <w:tblLook w:val="01E0" w:firstRow="1" w:lastRow="1" w:firstColumn="1" w:lastColumn="1" w:noHBand="0" w:noVBand="0"/>
      </w:tblPr>
      <w:tblGrid>
        <w:gridCol w:w="4886"/>
        <w:gridCol w:w="4464"/>
      </w:tblGrid>
      <w:tr w:rsidR="00DA38C1" w:rsidRPr="00DA38C1" w:rsidTr="00C401C4">
        <w:trPr>
          <w:jc w:val="center"/>
        </w:trPr>
        <w:tc>
          <w:tcPr>
            <w:tcW w:w="4936" w:type="dxa"/>
          </w:tcPr>
          <w:p w:rsidR="00DA38C1" w:rsidRPr="00DA38C1" w:rsidRDefault="00DA38C1" w:rsidP="00DA38C1">
            <w:pPr>
              <w:rPr>
                <w:b/>
                <w:sz w:val="20"/>
              </w:rPr>
            </w:pPr>
            <w:r w:rsidRPr="00DA38C1">
              <w:rPr>
                <w:b/>
                <w:caps/>
                <w:sz w:val="20"/>
              </w:rPr>
              <w:t>National co-ordinating agency</w:t>
            </w:r>
          </w:p>
        </w:tc>
        <w:tc>
          <w:tcPr>
            <w:tcW w:w="4509" w:type="dxa"/>
          </w:tcPr>
          <w:p w:rsidR="00DA38C1" w:rsidRPr="00DA38C1" w:rsidRDefault="00DA38C1" w:rsidP="00DA38C1">
            <w:pPr>
              <w:jc w:val="left"/>
              <w:rPr>
                <w:sz w:val="20"/>
                <w:szCs w:val="20"/>
              </w:rPr>
            </w:pPr>
            <w:r w:rsidRPr="00DA38C1">
              <w:rPr>
                <w:rFonts w:eastAsiaTheme="minorEastAsia"/>
                <w:sz w:val="20"/>
                <w:szCs w:val="20"/>
              </w:rPr>
              <w:t>National Ozone Unit, Environmental Research Centre, Department of Environment, Islamic Republic of Iran</w:t>
            </w:r>
          </w:p>
        </w:tc>
      </w:tr>
    </w:tbl>
    <w:p w:rsidR="00DA38C1" w:rsidRPr="00DA38C1" w:rsidRDefault="00DA38C1" w:rsidP="00DA38C1">
      <w:pPr>
        <w:rPr>
          <w:caps/>
          <w:sz w:val="20"/>
        </w:rPr>
      </w:pPr>
    </w:p>
    <w:p w:rsidR="00DA38C1" w:rsidRPr="00DA38C1" w:rsidRDefault="00DA38C1" w:rsidP="00DA38C1">
      <w:pPr>
        <w:rPr>
          <w:b/>
          <w:caps/>
          <w:sz w:val="20"/>
        </w:rPr>
      </w:pPr>
      <w:r w:rsidRPr="00DA38C1">
        <w:rPr>
          <w:b/>
          <w:caps/>
          <w:sz w:val="20"/>
        </w:rPr>
        <w:t xml:space="preserve">LateSt reported consumption data for OZONE-DEPLETING SUBSTANCES (ODS) addressed in project </w:t>
      </w:r>
    </w:p>
    <w:p w:rsidR="00DA38C1" w:rsidRPr="00DA38C1" w:rsidRDefault="00DA38C1" w:rsidP="00DA38C1">
      <w:pPr>
        <w:spacing w:before="60"/>
        <w:rPr>
          <w:b/>
          <w:caps/>
          <w:sz w:val="20"/>
        </w:rPr>
      </w:pPr>
      <w:r w:rsidRPr="00DA38C1">
        <w:rPr>
          <w:b/>
          <w:caps/>
          <w:sz w:val="20"/>
        </w:rPr>
        <w:t>A: Article 7 data (Metric tonnes (mt), 2018)</w:t>
      </w:r>
    </w:p>
    <w:tbl>
      <w:tblPr>
        <w:tblStyle w:val="TableGrid"/>
        <w:tblpPr w:leftFromText="180" w:rightFromText="180" w:vertAnchor="text" w:horzAnchor="margin" w:tblpXSpec="center" w:tblpY="90"/>
        <w:tblW w:w="9478" w:type="dxa"/>
        <w:tblLook w:val="01E0" w:firstRow="1" w:lastRow="1" w:firstColumn="1" w:lastColumn="1" w:noHBand="0" w:noVBand="0"/>
      </w:tblPr>
      <w:tblGrid>
        <w:gridCol w:w="8218"/>
        <w:gridCol w:w="1260"/>
      </w:tblGrid>
      <w:tr w:rsidR="00DA38C1" w:rsidRPr="00DA38C1" w:rsidTr="00C401C4">
        <w:tc>
          <w:tcPr>
            <w:tcW w:w="8218" w:type="dxa"/>
          </w:tcPr>
          <w:p w:rsidR="00DA38C1" w:rsidRPr="00DA38C1" w:rsidRDefault="00DA38C1" w:rsidP="00DA38C1">
            <w:pPr>
              <w:jc w:val="left"/>
              <w:rPr>
                <w:sz w:val="20"/>
              </w:rPr>
            </w:pPr>
            <w:r w:rsidRPr="00DA38C1">
              <w:rPr>
                <w:sz w:val="20"/>
              </w:rPr>
              <w:t>HFCs</w:t>
            </w:r>
          </w:p>
        </w:tc>
        <w:tc>
          <w:tcPr>
            <w:tcW w:w="1260" w:type="dxa"/>
          </w:tcPr>
          <w:p w:rsidR="00DA38C1" w:rsidRPr="00DA38C1" w:rsidRDefault="00DA38C1" w:rsidP="00DA38C1">
            <w:pPr>
              <w:jc w:val="right"/>
              <w:rPr>
                <w:sz w:val="20"/>
              </w:rPr>
            </w:pPr>
            <w:r w:rsidRPr="00DA38C1">
              <w:rPr>
                <w:sz w:val="20"/>
              </w:rPr>
              <w:t>*</w:t>
            </w:r>
          </w:p>
        </w:tc>
      </w:tr>
    </w:tbl>
    <w:p w:rsidR="00DA38C1" w:rsidRPr="00DA38C1" w:rsidRDefault="00DA38C1" w:rsidP="00DA38C1">
      <w:pPr>
        <w:spacing w:before="120" w:after="60"/>
        <w:rPr>
          <w:b/>
          <w:caps/>
          <w:sz w:val="20"/>
        </w:rPr>
      </w:pPr>
      <w:r w:rsidRPr="00DA38C1">
        <w:rPr>
          <w:b/>
          <w:sz w:val="20"/>
        </w:rPr>
        <w:t xml:space="preserve">B: COUNTRY PROGRAMME SECTORAL DATA </w:t>
      </w:r>
      <w:r w:rsidRPr="00DA38C1">
        <w:rPr>
          <w:b/>
          <w:caps/>
          <w:sz w:val="20"/>
        </w:rPr>
        <w:t>(MT, 2018)</w:t>
      </w:r>
    </w:p>
    <w:tbl>
      <w:tblPr>
        <w:tblStyle w:val="TableGrid"/>
        <w:tblW w:w="9406" w:type="dxa"/>
        <w:jc w:val="center"/>
        <w:tblLayout w:type="fixed"/>
        <w:tblLook w:val="01E0" w:firstRow="1" w:lastRow="1" w:firstColumn="1" w:lastColumn="1" w:noHBand="0" w:noVBand="0"/>
      </w:tblPr>
      <w:tblGrid>
        <w:gridCol w:w="8207"/>
        <w:gridCol w:w="1199"/>
      </w:tblGrid>
      <w:tr w:rsidR="00DA38C1" w:rsidRPr="00DA38C1" w:rsidTr="00C401C4">
        <w:trPr>
          <w:jc w:val="center"/>
        </w:trPr>
        <w:tc>
          <w:tcPr>
            <w:tcW w:w="8207" w:type="dxa"/>
            <w:tcBorders>
              <w:right w:val="single" w:sz="4" w:space="0" w:color="auto"/>
            </w:tcBorders>
          </w:tcPr>
          <w:p w:rsidR="00DA38C1" w:rsidRPr="00DA38C1" w:rsidRDefault="00DA38C1" w:rsidP="00DA38C1">
            <w:pPr>
              <w:rPr>
                <w:sz w:val="20"/>
              </w:rPr>
            </w:pPr>
            <w:r w:rsidRPr="00DA38C1">
              <w:rPr>
                <w:sz w:val="20"/>
              </w:rPr>
              <w:t>HFCs</w:t>
            </w:r>
          </w:p>
        </w:tc>
        <w:tc>
          <w:tcPr>
            <w:tcW w:w="1199" w:type="dxa"/>
            <w:tcBorders>
              <w:left w:val="single" w:sz="4" w:space="0" w:color="auto"/>
              <w:right w:val="single" w:sz="4" w:space="0" w:color="auto"/>
            </w:tcBorders>
            <w:shd w:val="clear" w:color="auto" w:fill="auto"/>
          </w:tcPr>
          <w:p w:rsidR="00DA38C1" w:rsidRPr="00DA38C1" w:rsidRDefault="00DA38C1" w:rsidP="00DA38C1">
            <w:pPr>
              <w:jc w:val="right"/>
              <w:rPr>
                <w:sz w:val="20"/>
              </w:rPr>
            </w:pPr>
            <w:r w:rsidRPr="00DA38C1">
              <w:rPr>
                <w:sz w:val="20"/>
              </w:rPr>
              <w:t>*</w:t>
            </w:r>
          </w:p>
        </w:tc>
      </w:tr>
    </w:tbl>
    <w:p w:rsidR="00DA38C1" w:rsidRPr="00DA38C1" w:rsidRDefault="00DA38C1" w:rsidP="00DA38C1">
      <w:pPr>
        <w:rPr>
          <w:sz w:val="20"/>
        </w:rPr>
      </w:pPr>
    </w:p>
    <w:tbl>
      <w:tblPr>
        <w:tblStyle w:val="TableGrid"/>
        <w:tblW w:w="0" w:type="auto"/>
        <w:jc w:val="center"/>
        <w:tblLook w:val="01E0" w:firstRow="1" w:lastRow="1" w:firstColumn="1" w:lastColumn="1" w:noHBand="0" w:noVBand="0"/>
      </w:tblPr>
      <w:tblGrid>
        <w:gridCol w:w="7393"/>
        <w:gridCol w:w="1957"/>
      </w:tblGrid>
      <w:tr w:rsidR="00DA38C1" w:rsidRPr="00DA38C1" w:rsidTr="00C401C4">
        <w:trPr>
          <w:jc w:val="center"/>
        </w:trPr>
        <w:tc>
          <w:tcPr>
            <w:tcW w:w="7488" w:type="dxa"/>
          </w:tcPr>
          <w:p w:rsidR="00DA38C1" w:rsidRPr="00DA38C1" w:rsidRDefault="00DA38C1" w:rsidP="00DA38C1">
            <w:pPr>
              <w:rPr>
                <w:b/>
                <w:sz w:val="20"/>
              </w:rPr>
            </w:pPr>
            <w:r w:rsidRPr="00DA38C1">
              <w:rPr>
                <w:b/>
                <w:sz w:val="20"/>
              </w:rPr>
              <w:t>HFC consumption remaining eligible for funding (mt)</w:t>
            </w:r>
          </w:p>
        </w:tc>
        <w:tc>
          <w:tcPr>
            <w:tcW w:w="1980" w:type="dxa"/>
          </w:tcPr>
          <w:p w:rsidR="00DA38C1" w:rsidRPr="00DA38C1" w:rsidRDefault="00DA38C1" w:rsidP="00DA38C1">
            <w:pPr>
              <w:jc w:val="right"/>
              <w:rPr>
                <w:sz w:val="20"/>
              </w:rPr>
            </w:pPr>
            <w:r w:rsidRPr="00DA38C1">
              <w:rPr>
                <w:sz w:val="20"/>
              </w:rPr>
              <w:t>n/a</w:t>
            </w:r>
          </w:p>
        </w:tc>
      </w:tr>
    </w:tbl>
    <w:p w:rsidR="00DA38C1" w:rsidRPr="00DA38C1" w:rsidRDefault="00DA38C1" w:rsidP="00DA38C1">
      <w:pPr>
        <w:rPr>
          <w:sz w:val="20"/>
        </w:rPr>
      </w:pPr>
    </w:p>
    <w:tbl>
      <w:tblPr>
        <w:tblStyle w:val="TableGrid"/>
        <w:tblpPr w:leftFromText="180" w:rightFromText="180" w:vertAnchor="text" w:horzAnchor="margin" w:tblpXSpec="center" w:tblpY="62"/>
        <w:tblW w:w="0" w:type="auto"/>
        <w:tblBorders>
          <w:insideV w:val="none" w:sz="0" w:space="0" w:color="auto"/>
        </w:tblBorders>
        <w:tblLook w:val="01E0" w:firstRow="1" w:lastRow="1" w:firstColumn="1" w:lastColumn="1" w:noHBand="0" w:noVBand="0"/>
      </w:tblPr>
      <w:tblGrid>
        <w:gridCol w:w="4194"/>
        <w:gridCol w:w="450"/>
        <w:gridCol w:w="2575"/>
        <w:gridCol w:w="2131"/>
      </w:tblGrid>
      <w:tr w:rsidR="00DA38C1" w:rsidRPr="00DA38C1" w:rsidTr="00C401C4">
        <w:trPr>
          <w:trHeight w:val="248"/>
        </w:trPr>
        <w:tc>
          <w:tcPr>
            <w:tcW w:w="4248" w:type="dxa"/>
            <w:vMerge w:val="restart"/>
            <w:tcBorders>
              <w:right w:val="single" w:sz="4" w:space="0" w:color="auto"/>
            </w:tcBorders>
          </w:tcPr>
          <w:p w:rsidR="00DA38C1" w:rsidRPr="00DA38C1" w:rsidRDefault="00DA38C1" w:rsidP="00DA38C1">
            <w:pPr>
              <w:jc w:val="left"/>
              <w:rPr>
                <w:b/>
                <w:i/>
                <w:sz w:val="20"/>
              </w:rPr>
            </w:pPr>
            <w:r w:rsidRPr="00DA38C1">
              <w:rPr>
                <w:b/>
                <w:caps/>
                <w:sz w:val="20"/>
              </w:rPr>
              <w:t>Current year Business Plan ALLOCATIONS</w:t>
            </w:r>
          </w:p>
        </w:tc>
        <w:tc>
          <w:tcPr>
            <w:tcW w:w="450" w:type="dxa"/>
            <w:tcBorders>
              <w:left w:val="single" w:sz="4" w:space="0" w:color="auto"/>
              <w:right w:val="single" w:sz="4" w:space="0" w:color="auto"/>
            </w:tcBorders>
          </w:tcPr>
          <w:p w:rsidR="00DA38C1" w:rsidRPr="00DA38C1" w:rsidRDefault="00DA38C1" w:rsidP="00DA38C1">
            <w:pPr>
              <w:rPr>
                <w:b/>
                <w:i/>
                <w:sz w:val="20"/>
              </w:rPr>
            </w:pPr>
          </w:p>
        </w:tc>
        <w:tc>
          <w:tcPr>
            <w:tcW w:w="2610" w:type="dxa"/>
            <w:tcBorders>
              <w:left w:val="single" w:sz="4" w:space="0" w:color="auto"/>
              <w:right w:val="single" w:sz="4" w:space="0" w:color="auto"/>
            </w:tcBorders>
          </w:tcPr>
          <w:p w:rsidR="00DA38C1" w:rsidRPr="00DA38C1" w:rsidRDefault="00DA38C1" w:rsidP="00DA38C1">
            <w:pPr>
              <w:jc w:val="center"/>
              <w:rPr>
                <w:b/>
                <w:i/>
                <w:sz w:val="20"/>
              </w:rPr>
            </w:pPr>
            <w:r w:rsidRPr="00DA38C1">
              <w:rPr>
                <w:b/>
                <w:sz w:val="20"/>
              </w:rPr>
              <w:t>Funding (US $)</w:t>
            </w:r>
          </w:p>
        </w:tc>
        <w:tc>
          <w:tcPr>
            <w:tcW w:w="2160" w:type="dxa"/>
            <w:tcBorders>
              <w:left w:val="single" w:sz="4" w:space="0" w:color="auto"/>
            </w:tcBorders>
          </w:tcPr>
          <w:p w:rsidR="00DA38C1" w:rsidRPr="00DA38C1" w:rsidRDefault="00DA38C1" w:rsidP="00DA38C1">
            <w:pPr>
              <w:jc w:val="center"/>
              <w:rPr>
                <w:b/>
                <w:i/>
                <w:sz w:val="20"/>
              </w:rPr>
            </w:pPr>
            <w:r w:rsidRPr="00DA38C1">
              <w:rPr>
                <w:b/>
                <w:sz w:val="20"/>
              </w:rPr>
              <w:t>Phase-out (mt)</w:t>
            </w:r>
          </w:p>
        </w:tc>
      </w:tr>
      <w:tr w:rsidR="00DA38C1" w:rsidRPr="00DA38C1" w:rsidTr="00C401C4">
        <w:trPr>
          <w:trHeight w:val="172"/>
        </w:trPr>
        <w:tc>
          <w:tcPr>
            <w:tcW w:w="4248" w:type="dxa"/>
            <w:vMerge/>
            <w:tcBorders>
              <w:right w:val="single" w:sz="4" w:space="0" w:color="auto"/>
            </w:tcBorders>
          </w:tcPr>
          <w:p w:rsidR="00DA38C1" w:rsidRPr="00DA38C1" w:rsidRDefault="00DA38C1" w:rsidP="00DA38C1">
            <w:pPr>
              <w:rPr>
                <w:sz w:val="20"/>
              </w:rPr>
            </w:pPr>
          </w:p>
        </w:tc>
        <w:tc>
          <w:tcPr>
            <w:tcW w:w="450" w:type="dxa"/>
            <w:tcBorders>
              <w:left w:val="single" w:sz="4" w:space="0" w:color="auto"/>
              <w:right w:val="single" w:sz="4" w:space="0" w:color="auto"/>
            </w:tcBorders>
          </w:tcPr>
          <w:p w:rsidR="00DA38C1" w:rsidRPr="00DA38C1" w:rsidRDefault="00DA38C1" w:rsidP="00DA38C1">
            <w:pPr>
              <w:rPr>
                <w:sz w:val="20"/>
              </w:rPr>
            </w:pPr>
            <w:r w:rsidRPr="00DA38C1">
              <w:rPr>
                <w:sz w:val="20"/>
              </w:rPr>
              <w:t>(a)</w:t>
            </w:r>
          </w:p>
        </w:tc>
        <w:tc>
          <w:tcPr>
            <w:tcW w:w="2610" w:type="dxa"/>
            <w:tcBorders>
              <w:left w:val="single" w:sz="4" w:space="0" w:color="auto"/>
              <w:right w:val="single" w:sz="4" w:space="0" w:color="auto"/>
            </w:tcBorders>
          </w:tcPr>
          <w:p w:rsidR="00DA38C1" w:rsidRPr="00DA38C1" w:rsidRDefault="00DA38C1" w:rsidP="00DA38C1">
            <w:pPr>
              <w:jc w:val="right"/>
              <w:rPr>
                <w:sz w:val="20"/>
              </w:rPr>
            </w:pPr>
            <w:r w:rsidRPr="00DA38C1">
              <w:rPr>
                <w:sz w:val="20"/>
              </w:rPr>
              <w:t>0.00</w:t>
            </w:r>
          </w:p>
        </w:tc>
        <w:tc>
          <w:tcPr>
            <w:tcW w:w="2160" w:type="dxa"/>
            <w:tcBorders>
              <w:left w:val="single" w:sz="4" w:space="0" w:color="auto"/>
            </w:tcBorders>
          </w:tcPr>
          <w:p w:rsidR="00DA38C1" w:rsidRPr="00DA38C1" w:rsidRDefault="00DA38C1" w:rsidP="00DA38C1">
            <w:pPr>
              <w:jc w:val="right"/>
              <w:rPr>
                <w:sz w:val="20"/>
              </w:rPr>
            </w:pPr>
            <w:r w:rsidRPr="00DA38C1">
              <w:rPr>
                <w:sz w:val="20"/>
              </w:rPr>
              <w:t>0.00</w:t>
            </w:r>
          </w:p>
        </w:tc>
      </w:tr>
    </w:tbl>
    <w:p w:rsidR="00DA38C1" w:rsidRPr="00DA38C1" w:rsidRDefault="00DA38C1" w:rsidP="00DA38C1">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58"/>
        <w:gridCol w:w="5326"/>
        <w:gridCol w:w="1651"/>
        <w:gridCol w:w="1315"/>
      </w:tblGrid>
      <w:tr w:rsidR="00DA38C1" w:rsidRPr="00DA38C1" w:rsidTr="00C401C4">
        <w:trPr>
          <w:trHeight w:val="250"/>
          <w:jc w:val="center"/>
        </w:trPr>
        <w:tc>
          <w:tcPr>
            <w:tcW w:w="3414" w:type="pct"/>
            <w:gridSpan w:val="2"/>
            <w:tcBorders>
              <w:top w:val="single" w:sz="4" w:space="0" w:color="auto"/>
              <w:left w:val="single" w:sz="4" w:space="0" w:color="auto"/>
              <w:bottom w:val="single" w:sz="4" w:space="0" w:color="auto"/>
              <w:right w:val="single" w:sz="4" w:space="0" w:color="auto"/>
            </w:tcBorders>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b/>
                <w:sz w:val="20"/>
                <w:lang w:val="en-CA"/>
              </w:rPr>
            </w:pPr>
            <w:r w:rsidRPr="00DA38C1">
              <w:rPr>
                <w:rFonts w:eastAsia="Calibri"/>
                <w:b/>
                <w:sz w:val="20"/>
                <w:lang w:val="en-CA"/>
              </w:rPr>
              <w:t>Particular</w:t>
            </w:r>
          </w:p>
        </w:tc>
        <w:tc>
          <w:tcPr>
            <w:tcW w:w="882" w:type="pct"/>
            <w:tcBorders>
              <w:top w:val="single" w:sz="4" w:space="0" w:color="auto"/>
              <w:left w:val="single" w:sz="4" w:space="0" w:color="auto"/>
              <w:bottom w:val="single" w:sz="4" w:space="0" w:color="auto"/>
              <w:right w:val="single" w:sz="4" w:space="0" w:color="auto"/>
            </w:tcBorders>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center"/>
              <w:rPr>
                <w:rFonts w:eastAsia="Calibri"/>
                <w:b/>
                <w:sz w:val="20"/>
                <w:lang w:val="en-CA"/>
              </w:rPr>
            </w:pPr>
            <w:r w:rsidRPr="00DA38C1">
              <w:rPr>
                <w:rFonts w:eastAsia="Calibri"/>
                <w:b/>
                <w:sz w:val="20"/>
                <w:lang w:val="en-CA"/>
              </w:rPr>
              <w:t>Units</w:t>
            </w:r>
          </w:p>
        </w:tc>
        <w:tc>
          <w:tcPr>
            <w:tcW w:w="703" w:type="pct"/>
            <w:tcBorders>
              <w:top w:val="single" w:sz="4" w:space="0" w:color="auto"/>
              <w:left w:val="single" w:sz="4" w:space="0" w:color="auto"/>
              <w:bottom w:val="single" w:sz="4" w:space="0" w:color="auto"/>
              <w:right w:val="single" w:sz="4" w:space="0" w:color="auto"/>
            </w:tcBorders>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center"/>
              <w:rPr>
                <w:rFonts w:eastAsia="Calibri"/>
                <w:b/>
                <w:sz w:val="20"/>
                <w:lang w:val="en-CA"/>
              </w:rPr>
            </w:pPr>
            <w:r w:rsidRPr="00DA38C1">
              <w:rPr>
                <w:rFonts w:eastAsia="Calibri"/>
                <w:b/>
                <w:sz w:val="20"/>
                <w:lang w:val="en-CA"/>
              </w:rPr>
              <w:t>HFC-134a</w:t>
            </w:r>
          </w:p>
        </w:tc>
      </w:tr>
      <w:tr w:rsidR="00DA38C1" w:rsidRPr="00DA38C1" w:rsidTr="00C401C4">
        <w:trPr>
          <w:trHeight w:val="239"/>
          <w:jc w:val="center"/>
        </w:trPr>
        <w:tc>
          <w:tcPr>
            <w:tcW w:w="3414" w:type="pct"/>
            <w:gridSpan w:val="2"/>
            <w:vMerge w:val="restart"/>
            <w:tcBorders>
              <w:top w:val="single" w:sz="4" w:space="0" w:color="auto"/>
              <w:left w:val="single" w:sz="4" w:space="0" w:color="auto"/>
              <w:right w:val="single" w:sz="4" w:space="0" w:color="auto"/>
            </w:tcBorders>
            <w:vAlign w:val="center"/>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4920"/>
                <w:tab w:val="left" w:pos="5042"/>
              </w:tabs>
              <w:spacing w:line="225" w:lineRule="auto"/>
              <w:jc w:val="left"/>
              <w:rPr>
                <w:rFonts w:eastAsia="Calibri"/>
                <w:sz w:val="20"/>
                <w:lang w:val="en-CA"/>
              </w:rPr>
            </w:pPr>
            <w:r w:rsidRPr="00DA38C1">
              <w:rPr>
                <w:sz w:val="20"/>
              </w:rPr>
              <w:t>HFC used at enterprise</w:t>
            </w:r>
            <w:r w:rsidRPr="00DA38C1">
              <w:rPr>
                <w:rFonts w:eastAsia="Calibri"/>
                <w:sz w:val="20"/>
                <w:lang w:val="en-CA"/>
              </w:rPr>
              <w:t xml:space="preserve"> </w:t>
            </w:r>
          </w:p>
        </w:tc>
        <w:tc>
          <w:tcPr>
            <w:tcW w:w="882" w:type="pct"/>
            <w:tcBorders>
              <w:top w:val="single" w:sz="4" w:space="0" w:color="auto"/>
              <w:left w:val="single" w:sz="4" w:space="0" w:color="auto"/>
              <w:bottom w:val="single" w:sz="4" w:space="0" w:color="auto"/>
              <w:right w:val="single" w:sz="4" w:space="0" w:color="auto"/>
            </w:tcBorders>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r w:rsidRPr="00DA38C1">
              <w:rPr>
                <w:rFonts w:eastAsia="Calibri"/>
                <w:sz w:val="20"/>
                <w:lang w:val="en-CA"/>
              </w:rPr>
              <w:t>mt</w:t>
            </w:r>
          </w:p>
        </w:tc>
        <w:tc>
          <w:tcPr>
            <w:tcW w:w="703" w:type="pct"/>
            <w:tcBorders>
              <w:top w:val="single" w:sz="4" w:space="0" w:color="auto"/>
              <w:left w:val="single" w:sz="4" w:space="0" w:color="auto"/>
              <w:bottom w:val="single" w:sz="4" w:space="0" w:color="auto"/>
              <w:right w:val="single" w:sz="4" w:space="0" w:color="auto"/>
            </w:tcBorders>
          </w:tcPr>
          <w:p w:rsidR="00DA38C1" w:rsidRPr="003A18A6"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sidRPr="003A18A6">
              <w:rPr>
                <w:rFonts w:eastAsia="Calibri"/>
                <w:sz w:val="20"/>
                <w:lang w:val="en-CA"/>
              </w:rPr>
              <w:t>22.16</w:t>
            </w:r>
          </w:p>
        </w:tc>
      </w:tr>
      <w:tr w:rsidR="00DA38C1" w:rsidRPr="00DA38C1" w:rsidTr="00C401C4">
        <w:trPr>
          <w:trHeight w:val="239"/>
          <w:jc w:val="center"/>
        </w:trPr>
        <w:tc>
          <w:tcPr>
            <w:tcW w:w="3414" w:type="pct"/>
            <w:gridSpan w:val="2"/>
            <w:vMerge/>
            <w:tcBorders>
              <w:left w:val="single" w:sz="4" w:space="0" w:color="auto"/>
              <w:bottom w:val="single" w:sz="4" w:space="0" w:color="auto"/>
              <w:right w:val="single" w:sz="4" w:space="0" w:color="auto"/>
            </w:tcBorders>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p>
        </w:tc>
        <w:tc>
          <w:tcPr>
            <w:tcW w:w="882" w:type="pct"/>
            <w:tcBorders>
              <w:top w:val="single" w:sz="4" w:space="0" w:color="auto"/>
              <w:left w:val="single" w:sz="4" w:space="0" w:color="auto"/>
              <w:bottom w:val="single" w:sz="4" w:space="0" w:color="auto"/>
              <w:right w:val="single" w:sz="4" w:space="0" w:color="auto"/>
            </w:tcBorders>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r w:rsidRPr="00DA38C1">
              <w:rPr>
                <w:rFonts w:eastAsia="Calibri"/>
                <w:sz w:val="20"/>
                <w:lang w:val="en-CA"/>
              </w:rPr>
              <w:t>mt CO</w:t>
            </w:r>
            <w:r w:rsidRPr="00DA38C1">
              <w:rPr>
                <w:rFonts w:eastAsia="Calibri"/>
                <w:sz w:val="20"/>
                <w:vertAlign w:val="subscript"/>
                <w:lang w:val="en-CA"/>
              </w:rPr>
              <w:t xml:space="preserve">2 </w:t>
            </w:r>
            <w:r w:rsidRPr="00DA38C1">
              <w:rPr>
                <w:rFonts w:eastAsia="Calibri"/>
                <w:sz w:val="20"/>
                <w:lang w:val="en-CA"/>
              </w:rPr>
              <w:t xml:space="preserve">-eq </w:t>
            </w:r>
          </w:p>
        </w:tc>
        <w:tc>
          <w:tcPr>
            <w:tcW w:w="703" w:type="pct"/>
            <w:tcBorders>
              <w:top w:val="single" w:sz="4" w:space="0" w:color="auto"/>
              <w:left w:val="single" w:sz="4" w:space="0" w:color="auto"/>
              <w:bottom w:val="single" w:sz="4" w:space="0" w:color="auto"/>
              <w:right w:val="single" w:sz="4" w:space="0" w:color="auto"/>
            </w:tcBorders>
          </w:tcPr>
          <w:p w:rsidR="00DA38C1" w:rsidRPr="003A18A6"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sidRPr="003A18A6">
              <w:rPr>
                <w:rFonts w:eastAsia="Calibri"/>
                <w:sz w:val="20"/>
                <w:lang w:val="en-CA"/>
              </w:rPr>
              <w:t>31,689</w:t>
            </w:r>
          </w:p>
        </w:tc>
      </w:tr>
      <w:tr w:rsidR="00DA38C1" w:rsidRPr="00DA38C1" w:rsidTr="00C401C4">
        <w:trPr>
          <w:trHeight w:val="250"/>
          <w:jc w:val="center"/>
        </w:trPr>
        <w:tc>
          <w:tcPr>
            <w:tcW w:w="3414" w:type="pct"/>
            <w:gridSpan w:val="2"/>
            <w:vMerge w:val="restart"/>
            <w:tcBorders>
              <w:top w:val="single" w:sz="4" w:space="0" w:color="auto"/>
              <w:left w:val="single" w:sz="4" w:space="0" w:color="auto"/>
              <w:right w:val="single" w:sz="4" w:space="0" w:color="auto"/>
            </w:tcBorders>
            <w:vAlign w:val="center"/>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r w:rsidRPr="00DA38C1">
              <w:rPr>
                <w:rFonts w:eastAsia="Calibri"/>
                <w:sz w:val="20"/>
                <w:lang w:val="en-CA"/>
              </w:rPr>
              <w:t>HFC to be phased out through this project:</w:t>
            </w:r>
          </w:p>
        </w:tc>
        <w:tc>
          <w:tcPr>
            <w:tcW w:w="882" w:type="pct"/>
            <w:tcBorders>
              <w:top w:val="single" w:sz="4" w:space="0" w:color="auto"/>
              <w:left w:val="single" w:sz="4" w:space="0" w:color="auto"/>
              <w:bottom w:val="single" w:sz="4" w:space="0" w:color="auto"/>
              <w:right w:val="single" w:sz="4" w:space="0" w:color="auto"/>
            </w:tcBorders>
          </w:tcPr>
          <w:p w:rsidR="00DA38C1" w:rsidRPr="00DA38C1" w:rsidRDefault="003A18A6"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r>
              <w:rPr>
                <w:rFonts w:eastAsia="Calibri"/>
                <w:sz w:val="20"/>
                <w:lang w:val="en-CA"/>
              </w:rPr>
              <w:t>m</w:t>
            </w:r>
            <w:r w:rsidR="00DA38C1" w:rsidRPr="00DA38C1">
              <w:rPr>
                <w:rFonts w:eastAsia="Calibri"/>
                <w:sz w:val="20"/>
                <w:lang w:val="en-CA"/>
              </w:rPr>
              <w:t>t</w:t>
            </w:r>
          </w:p>
        </w:tc>
        <w:tc>
          <w:tcPr>
            <w:tcW w:w="703" w:type="pct"/>
            <w:tcBorders>
              <w:top w:val="single" w:sz="4" w:space="0" w:color="auto"/>
              <w:left w:val="single" w:sz="4" w:space="0" w:color="auto"/>
              <w:bottom w:val="single" w:sz="4" w:space="0" w:color="auto"/>
              <w:right w:val="single" w:sz="4" w:space="0" w:color="auto"/>
            </w:tcBorders>
          </w:tcPr>
          <w:p w:rsidR="00DA38C1" w:rsidRPr="003A18A6" w:rsidRDefault="003A18A6"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sidRPr="003A18A6">
              <w:rPr>
                <w:rFonts w:eastAsia="Calibri"/>
                <w:sz w:val="20"/>
                <w:lang w:val="en-CA"/>
              </w:rPr>
              <w:t>32.58</w:t>
            </w:r>
          </w:p>
        </w:tc>
      </w:tr>
      <w:tr w:rsidR="00DA38C1" w:rsidRPr="00DA38C1" w:rsidTr="00C401C4">
        <w:trPr>
          <w:trHeight w:val="250"/>
          <w:jc w:val="center"/>
        </w:trPr>
        <w:tc>
          <w:tcPr>
            <w:tcW w:w="3414" w:type="pct"/>
            <w:gridSpan w:val="2"/>
            <w:vMerge/>
            <w:tcBorders>
              <w:left w:val="single" w:sz="4" w:space="0" w:color="auto"/>
              <w:bottom w:val="single" w:sz="4" w:space="0" w:color="auto"/>
              <w:right w:val="single" w:sz="4" w:space="0" w:color="auto"/>
            </w:tcBorders>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p>
        </w:tc>
        <w:tc>
          <w:tcPr>
            <w:tcW w:w="882" w:type="pct"/>
            <w:tcBorders>
              <w:top w:val="single" w:sz="4" w:space="0" w:color="auto"/>
              <w:left w:val="single" w:sz="4" w:space="0" w:color="auto"/>
              <w:bottom w:val="single" w:sz="4" w:space="0" w:color="auto"/>
              <w:right w:val="single" w:sz="4" w:space="0" w:color="auto"/>
            </w:tcBorders>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r w:rsidRPr="00DA38C1">
              <w:rPr>
                <w:rFonts w:eastAsia="Calibri"/>
                <w:sz w:val="20"/>
                <w:lang w:val="en-CA"/>
              </w:rPr>
              <w:t>mt CO</w:t>
            </w:r>
            <w:r w:rsidRPr="00DA38C1">
              <w:rPr>
                <w:rFonts w:eastAsia="Calibri"/>
                <w:sz w:val="20"/>
                <w:vertAlign w:val="subscript"/>
                <w:lang w:val="en-CA"/>
              </w:rPr>
              <w:t>2</w:t>
            </w:r>
            <w:r w:rsidRPr="00DA38C1">
              <w:rPr>
                <w:rFonts w:eastAsia="Calibri"/>
                <w:sz w:val="20"/>
                <w:lang w:val="en-CA"/>
              </w:rPr>
              <w:t xml:space="preserve">-eq </w:t>
            </w:r>
          </w:p>
        </w:tc>
        <w:tc>
          <w:tcPr>
            <w:tcW w:w="703" w:type="pct"/>
            <w:tcBorders>
              <w:top w:val="single" w:sz="4" w:space="0" w:color="auto"/>
              <w:left w:val="single" w:sz="4" w:space="0" w:color="auto"/>
              <w:bottom w:val="single" w:sz="4" w:space="0" w:color="auto"/>
              <w:right w:val="single" w:sz="4" w:space="0" w:color="auto"/>
            </w:tcBorders>
          </w:tcPr>
          <w:p w:rsidR="00DA38C1" w:rsidRPr="003A18A6" w:rsidRDefault="003A18A6"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sidRPr="003A18A6">
              <w:rPr>
                <w:rFonts w:eastAsia="Calibri"/>
                <w:sz w:val="20"/>
                <w:lang w:val="en-CA"/>
              </w:rPr>
              <w:t>46,585</w:t>
            </w:r>
          </w:p>
        </w:tc>
      </w:tr>
      <w:tr w:rsidR="00DA38C1" w:rsidRPr="00DA38C1" w:rsidTr="00C401C4">
        <w:trPr>
          <w:trHeight w:val="250"/>
          <w:jc w:val="center"/>
        </w:trPr>
        <w:tc>
          <w:tcPr>
            <w:tcW w:w="3414" w:type="pct"/>
            <w:gridSpan w:val="2"/>
            <w:vMerge w:val="restart"/>
            <w:tcBorders>
              <w:top w:val="single" w:sz="4" w:space="0" w:color="auto"/>
              <w:left w:val="single" w:sz="4" w:space="0" w:color="auto"/>
              <w:right w:val="single" w:sz="4" w:space="0" w:color="auto"/>
            </w:tcBorders>
            <w:vAlign w:val="center"/>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r w:rsidRPr="00DA38C1">
              <w:rPr>
                <w:rFonts w:eastAsia="Calibri"/>
                <w:sz w:val="20"/>
                <w:lang w:val="en-CA"/>
              </w:rPr>
              <w:t>HFC/alternatives to be phased in:</w:t>
            </w:r>
          </w:p>
        </w:tc>
        <w:tc>
          <w:tcPr>
            <w:tcW w:w="882" w:type="pct"/>
            <w:tcBorders>
              <w:top w:val="single" w:sz="4" w:space="0" w:color="auto"/>
              <w:left w:val="single" w:sz="4" w:space="0" w:color="auto"/>
              <w:bottom w:val="single" w:sz="4" w:space="0" w:color="auto"/>
              <w:right w:val="single" w:sz="4" w:space="0" w:color="auto"/>
            </w:tcBorders>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center"/>
              <w:rPr>
                <w:rFonts w:eastAsia="Calibri"/>
                <w:b/>
                <w:sz w:val="20"/>
                <w:lang w:val="en-CA"/>
              </w:rPr>
            </w:pPr>
            <w:r w:rsidRPr="00DA38C1">
              <w:rPr>
                <w:rFonts w:eastAsia="Calibri"/>
                <w:b/>
                <w:sz w:val="20"/>
                <w:lang w:val="en-CA"/>
              </w:rPr>
              <w:t>Units</w:t>
            </w:r>
          </w:p>
        </w:tc>
        <w:tc>
          <w:tcPr>
            <w:tcW w:w="703" w:type="pct"/>
            <w:tcBorders>
              <w:top w:val="single" w:sz="4" w:space="0" w:color="auto"/>
              <w:left w:val="single" w:sz="4" w:space="0" w:color="auto"/>
              <w:bottom w:val="single" w:sz="4" w:space="0" w:color="auto"/>
              <w:right w:val="single" w:sz="4" w:space="0" w:color="auto"/>
            </w:tcBorders>
          </w:tcPr>
          <w:p w:rsidR="00DA38C1" w:rsidRPr="003A18A6"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center"/>
              <w:rPr>
                <w:rFonts w:eastAsia="Calibri"/>
                <w:b/>
                <w:sz w:val="20"/>
                <w:lang w:val="en-CA"/>
              </w:rPr>
            </w:pPr>
            <w:r w:rsidRPr="003A18A6">
              <w:rPr>
                <w:rFonts w:eastAsia="Calibri"/>
                <w:b/>
                <w:sz w:val="20"/>
                <w:lang w:val="en-CA"/>
              </w:rPr>
              <w:t>HFO-1234yf</w:t>
            </w:r>
          </w:p>
        </w:tc>
      </w:tr>
      <w:tr w:rsidR="00DA38C1" w:rsidRPr="00DA38C1" w:rsidTr="00C401C4">
        <w:trPr>
          <w:trHeight w:val="250"/>
          <w:jc w:val="center"/>
        </w:trPr>
        <w:tc>
          <w:tcPr>
            <w:tcW w:w="3414" w:type="pct"/>
            <w:gridSpan w:val="2"/>
            <w:vMerge/>
            <w:tcBorders>
              <w:top w:val="single" w:sz="4" w:space="0" w:color="auto"/>
              <w:left w:val="single" w:sz="4" w:space="0" w:color="auto"/>
              <w:right w:val="single" w:sz="4" w:space="0" w:color="auto"/>
            </w:tcBorders>
            <w:vAlign w:val="center"/>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p>
        </w:tc>
        <w:tc>
          <w:tcPr>
            <w:tcW w:w="882" w:type="pct"/>
            <w:tcBorders>
              <w:top w:val="single" w:sz="4" w:space="0" w:color="auto"/>
              <w:left w:val="single" w:sz="4" w:space="0" w:color="auto"/>
              <w:bottom w:val="single" w:sz="4" w:space="0" w:color="auto"/>
              <w:right w:val="single" w:sz="4" w:space="0" w:color="auto"/>
            </w:tcBorders>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r w:rsidRPr="00DA38C1">
              <w:rPr>
                <w:rFonts w:eastAsia="Calibri"/>
                <w:sz w:val="20"/>
                <w:lang w:val="en-CA"/>
              </w:rPr>
              <w:t>mt</w:t>
            </w:r>
          </w:p>
        </w:tc>
        <w:tc>
          <w:tcPr>
            <w:tcW w:w="703" w:type="pct"/>
            <w:tcBorders>
              <w:top w:val="single" w:sz="4" w:space="0" w:color="auto"/>
              <w:left w:val="single" w:sz="4" w:space="0" w:color="auto"/>
              <w:bottom w:val="single" w:sz="4" w:space="0" w:color="auto"/>
              <w:right w:val="single" w:sz="4" w:space="0" w:color="auto"/>
            </w:tcBorders>
          </w:tcPr>
          <w:p w:rsidR="00DA38C1" w:rsidRPr="003A18A6"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sidRPr="003A18A6">
              <w:rPr>
                <w:rFonts w:eastAsia="Calibri"/>
                <w:sz w:val="20"/>
                <w:lang w:val="en-CA"/>
              </w:rPr>
              <w:t>22.16</w:t>
            </w:r>
          </w:p>
        </w:tc>
      </w:tr>
      <w:tr w:rsidR="00DA38C1" w:rsidRPr="00DA38C1" w:rsidTr="00C401C4">
        <w:trPr>
          <w:trHeight w:val="250"/>
          <w:jc w:val="center"/>
        </w:trPr>
        <w:tc>
          <w:tcPr>
            <w:tcW w:w="3414" w:type="pct"/>
            <w:gridSpan w:val="2"/>
            <w:vMerge/>
            <w:tcBorders>
              <w:left w:val="single" w:sz="4" w:space="0" w:color="auto"/>
              <w:bottom w:val="single" w:sz="4" w:space="0" w:color="auto"/>
              <w:right w:val="single" w:sz="4" w:space="0" w:color="auto"/>
            </w:tcBorders>
            <w:vAlign w:val="center"/>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p>
        </w:tc>
        <w:tc>
          <w:tcPr>
            <w:tcW w:w="882" w:type="pct"/>
            <w:tcBorders>
              <w:top w:val="single" w:sz="4" w:space="0" w:color="auto"/>
              <w:left w:val="single" w:sz="4" w:space="0" w:color="auto"/>
              <w:bottom w:val="single" w:sz="4" w:space="0" w:color="auto"/>
              <w:right w:val="single" w:sz="4" w:space="0" w:color="auto"/>
            </w:tcBorders>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r w:rsidRPr="00DA38C1">
              <w:rPr>
                <w:rFonts w:eastAsia="Calibri"/>
                <w:sz w:val="20"/>
                <w:lang w:val="en-CA"/>
              </w:rPr>
              <w:t>mt CO</w:t>
            </w:r>
            <w:r w:rsidRPr="00DA38C1">
              <w:rPr>
                <w:rFonts w:eastAsia="Calibri"/>
                <w:sz w:val="20"/>
                <w:vertAlign w:val="subscript"/>
                <w:lang w:val="en-CA"/>
              </w:rPr>
              <w:t>2</w:t>
            </w:r>
            <w:r w:rsidRPr="00DA38C1">
              <w:rPr>
                <w:rFonts w:eastAsia="Calibri"/>
                <w:sz w:val="20"/>
                <w:lang w:val="en-CA"/>
              </w:rPr>
              <w:t xml:space="preserve">-eq </w:t>
            </w:r>
          </w:p>
        </w:tc>
        <w:tc>
          <w:tcPr>
            <w:tcW w:w="703" w:type="pct"/>
            <w:tcBorders>
              <w:top w:val="single" w:sz="4" w:space="0" w:color="auto"/>
              <w:left w:val="single" w:sz="4" w:space="0" w:color="auto"/>
              <w:bottom w:val="single" w:sz="4" w:space="0" w:color="auto"/>
              <w:right w:val="single" w:sz="4" w:space="0" w:color="auto"/>
            </w:tcBorders>
          </w:tcPr>
          <w:p w:rsidR="00DA38C1" w:rsidRPr="003A18A6"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sidRPr="003A18A6">
              <w:rPr>
                <w:rFonts w:eastAsia="Calibri"/>
                <w:sz w:val="20"/>
                <w:lang w:val="en-CA"/>
              </w:rPr>
              <w:t>66.48</w:t>
            </w:r>
          </w:p>
        </w:tc>
      </w:tr>
      <w:tr w:rsidR="00DA38C1" w:rsidRPr="00DA38C1" w:rsidTr="00C401C4">
        <w:trPr>
          <w:trHeight w:val="262"/>
          <w:jc w:val="center"/>
        </w:trPr>
        <w:tc>
          <w:tcPr>
            <w:tcW w:w="4297" w:type="pct"/>
            <w:gridSpan w:val="3"/>
            <w:tcBorders>
              <w:top w:val="single" w:sz="4" w:space="0" w:color="auto"/>
              <w:left w:val="single" w:sz="4" w:space="0" w:color="auto"/>
              <w:bottom w:val="single" w:sz="4" w:space="0" w:color="auto"/>
              <w:right w:val="single" w:sz="4" w:space="0" w:color="auto"/>
            </w:tcBorders>
          </w:tcPr>
          <w:p w:rsidR="00DA38C1" w:rsidRPr="00DA38C1" w:rsidRDefault="00DA38C1" w:rsidP="00DA38C1">
            <w:pPr>
              <w:spacing w:line="259" w:lineRule="auto"/>
              <w:jc w:val="left"/>
              <w:rPr>
                <w:rFonts w:eastAsia="Calibri"/>
                <w:sz w:val="20"/>
                <w:lang w:val="en-CA"/>
              </w:rPr>
            </w:pPr>
            <w:r w:rsidRPr="00DA38C1">
              <w:rPr>
                <w:rFonts w:eastAsia="Calibri"/>
                <w:sz w:val="20"/>
                <w:lang w:val="en-CA"/>
              </w:rPr>
              <w:t>Project duration (months):</w:t>
            </w:r>
          </w:p>
        </w:tc>
        <w:tc>
          <w:tcPr>
            <w:tcW w:w="703" w:type="pct"/>
            <w:tcBorders>
              <w:top w:val="single" w:sz="4" w:space="0" w:color="auto"/>
              <w:left w:val="single" w:sz="4" w:space="0" w:color="auto"/>
              <w:bottom w:val="single" w:sz="4" w:space="0" w:color="auto"/>
              <w:right w:val="single" w:sz="4" w:space="0" w:color="auto"/>
            </w:tcBorders>
          </w:tcPr>
          <w:p w:rsidR="00DA38C1" w:rsidRPr="003A18A6" w:rsidRDefault="00DA38C1" w:rsidP="00DA38C1">
            <w:pPr>
              <w:spacing w:line="259" w:lineRule="auto"/>
              <w:jc w:val="right"/>
              <w:rPr>
                <w:rFonts w:eastAsia="Calibri"/>
                <w:sz w:val="20"/>
                <w:lang w:val="en-CA"/>
              </w:rPr>
            </w:pPr>
            <w:r w:rsidRPr="003A18A6">
              <w:rPr>
                <w:rFonts w:eastAsia="Calibri"/>
                <w:sz w:val="20"/>
                <w:lang w:val="en-CA"/>
              </w:rPr>
              <w:t>24</w:t>
            </w:r>
          </w:p>
        </w:tc>
      </w:tr>
      <w:tr w:rsidR="00DA38C1" w:rsidRPr="00DA38C1" w:rsidTr="00C401C4">
        <w:trPr>
          <w:trHeight w:val="239"/>
          <w:jc w:val="center"/>
        </w:trPr>
        <w:tc>
          <w:tcPr>
            <w:tcW w:w="4297" w:type="pct"/>
            <w:gridSpan w:val="3"/>
            <w:tcBorders>
              <w:top w:val="single" w:sz="4" w:space="0" w:color="auto"/>
              <w:left w:val="single" w:sz="4" w:space="0" w:color="auto"/>
              <w:bottom w:val="single" w:sz="4" w:space="0" w:color="auto"/>
              <w:right w:val="single" w:sz="4" w:space="0" w:color="auto"/>
            </w:tcBorders>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highlight w:val="cyan"/>
                <w:lang w:val="en-CA"/>
              </w:rPr>
            </w:pPr>
            <w:r w:rsidRPr="00DA38C1">
              <w:rPr>
                <w:rFonts w:eastAsia="Calibri"/>
                <w:sz w:val="20"/>
                <w:lang w:val="en-CA"/>
              </w:rPr>
              <w:t>Initial amount requested (US $):</w:t>
            </w:r>
          </w:p>
        </w:tc>
        <w:tc>
          <w:tcPr>
            <w:tcW w:w="703" w:type="pct"/>
            <w:tcBorders>
              <w:top w:val="single" w:sz="4" w:space="0" w:color="auto"/>
              <w:left w:val="single" w:sz="4" w:space="0" w:color="auto"/>
              <w:bottom w:val="single" w:sz="4" w:space="0" w:color="auto"/>
              <w:right w:val="single" w:sz="4" w:space="0" w:color="auto"/>
            </w:tcBorders>
          </w:tcPr>
          <w:p w:rsidR="00DA38C1" w:rsidRPr="003A18A6"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sidRPr="003A18A6">
              <w:rPr>
                <w:rFonts w:eastAsia="Calibri"/>
                <w:sz w:val="20"/>
                <w:lang w:val="en-CA"/>
              </w:rPr>
              <w:t>795,055</w:t>
            </w:r>
          </w:p>
        </w:tc>
      </w:tr>
      <w:tr w:rsidR="00DA38C1" w:rsidRPr="00DA38C1" w:rsidTr="00C401C4">
        <w:trPr>
          <w:trHeight w:val="250"/>
          <w:jc w:val="center"/>
        </w:trPr>
        <w:tc>
          <w:tcPr>
            <w:tcW w:w="4297" w:type="pct"/>
            <w:gridSpan w:val="3"/>
            <w:tcBorders>
              <w:top w:val="single" w:sz="4" w:space="0" w:color="auto"/>
              <w:left w:val="single" w:sz="4" w:space="0" w:color="auto"/>
              <w:bottom w:val="single" w:sz="4" w:space="0" w:color="auto"/>
              <w:right w:val="single" w:sz="4" w:space="0" w:color="auto"/>
            </w:tcBorders>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highlight w:val="green"/>
                <w:lang w:val="en-CA"/>
              </w:rPr>
            </w:pPr>
            <w:r w:rsidRPr="00DA38C1">
              <w:rPr>
                <w:rFonts w:eastAsia="Calibri"/>
                <w:sz w:val="20"/>
                <w:lang w:val="en-CA"/>
              </w:rPr>
              <w:t>Final project costs (US $):</w:t>
            </w:r>
          </w:p>
        </w:tc>
        <w:tc>
          <w:tcPr>
            <w:tcW w:w="703" w:type="pct"/>
            <w:tcBorders>
              <w:top w:val="single" w:sz="4" w:space="0" w:color="auto"/>
              <w:left w:val="single" w:sz="4" w:space="0" w:color="auto"/>
              <w:bottom w:val="single" w:sz="4" w:space="0" w:color="auto"/>
              <w:right w:val="single" w:sz="4" w:space="0" w:color="auto"/>
            </w:tcBorders>
          </w:tcPr>
          <w:p w:rsidR="00DA38C1" w:rsidRPr="003A18A6"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p>
        </w:tc>
      </w:tr>
      <w:tr w:rsidR="00DA38C1" w:rsidRPr="00DA38C1" w:rsidTr="00C401C4">
        <w:trPr>
          <w:trHeight w:val="239"/>
          <w:jc w:val="center"/>
        </w:trPr>
        <w:tc>
          <w:tcPr>
            <w:tcW w:w="566" w:type="pct"/>
            <w:tcBorders>
              <w:top w:val="single" w:sz="4" w:space="0" w:color="auto"/>
              <w:left w:val="single" w:sz="4" w:space="0" w:color="auto"/>
              <w:bottom w:val="single" w:sz="4" w:space="0" w:color="auto"/>
              <w:right w:val="nil"/>
            </w:tcBorders>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p>
        </w:tc>
        <w:tc>
          <w:tcPr>
            <w:tcW w:w="3731" w:type="pct"/>
            <w:gridSpan w:val="2"/>
            <w:tcBorders>
              <w:top w:val="single" w:sz="4" w:space="0" w:color="auto"/>
              <w:left w:val="nil"/>
              <w:bottom w:val="single" w:sz="4" w:space="0" w:color="auto"/>
              <w:right w:val="single" w:sz="4" w:space="0" w:color="auto"/>
            </w:tcBorders>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r w:rsidRPr="00DA38C1">
              <w:rPr>
                <w:rFonts w:eastAsia="Calibri"/>
                <w:sz w:val="20"/>
                <w:lang w:val="en-CA"/>
              </w:rPr>
              <w:t>Incremental capital costs:</w:t>
            </w:r>
          </w:p>
        </w:tc>
        <w:tc>
          <w:tcPr>
            <w:tcW w:w="703" w:type="pct"/>
            <w:tcBorders>
              <w:top w:val="single" w:sz="4" w:space="0" w:color="auto"/>
              <w:left w:val="single" w:sz="4" w:space="0" w:color="auto"/>
              <w:bottom w:val="single" w:sz="4" w:space="0" w:color="auto"/>
              <w:right w:val="single" w:sz="4" w:space="0" w:color="auto"/>
            </w:tcBorders>
          </w:tcPr>
          <w:p w:rsidR="00DA38C1" w:rsidRPr="003A18A6" w:rsidRDefault="00DA38C1" w:rsidP="00DA38C1">
            <w:pPr>
              <w:jc w:val="right"/>
              <w:rPr>
                <w:rFonts w:eastAsia="Calibri"/>
                <w:sz w:val="20"/>
                <w:szCs w:val="20"/>
              </w:rPr>
            </w:pPr>
            <w:r w:rsidRPr="003A18A6">
              <w:rPr>
                <w:rFonts w:eastAsia="Calibri"/>
                <w:sz w:val="20"/>
                <w:szCs w:val="20"/>
              </w:rPr>
              <w:t>173,000</w:t>
            </w:r>
          </w:p>
        </w:tc>
      </w:tr>
      <w:tr w:rsidR="00DA38C1" w:rsidRPr="00DA38C1" w:rsidTr="00C401C4">
        <w:trPr>
          <w:trHeight w:val="250"/>
          <w:jc w:val="center"/>
        </w:trPr>
        <w:tc>
          <w:tcPr>
            <w:tcW w:w="566" w:type="pct"/>
            <w:tcBorders>
              <w:top w:val="single" w:sz="4" w:space="0" w:color="auto"/>
              <w:left w:val="single" w:sz="4" w:space="0" w:color="auto"/>
              <w:bottom w:val="single" w:sz="4" w:space="0" w:color="auto"/>
              <w:right w:val="nil"/>
            </w:tcBorders>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p>
        </w:tc>
        <w:tc>
          <w:tcPr>
            <w:tcW w:w="3731" w:type="pct"/>
            <w:gridSpan w:val="2"/>
            <w:tcBorders>
              <w:top w:val="single" w:sz="4" w:space="0" w:color="auto"/>
              <w:left w:val="nil"/>
              <w:bottom w:val="single" w:sz="4" w:space="0" w:color="auto"/>
              <w:right w:val="single" w:sz="4" w:space="0" w:color="auto"/>
            </w:tcBorders>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r w:rsidRPr="00DA38C1">
              <w:rPr>
                <w:rFonts w:eastAsia="Calibri"/>
                <w:sz w:val="20"/>
                <w:lang w:val="en-CA"/>
              </w:rPr>
              <w:t>Contingency:</w:t>
            </w:r>
          </w:p>
        </w:tc>
        <w:tc>
          <w:tcPr>
            <w:tcW w:w="703" w:type="pct"/>
            <w:tcBorders>
              <w:top w:val="single" w:sz="4" w:space="0" w:color="auto"/>
              <w:left w:val="single" w:sz="4" w:space="0" w:color="auto"/>
              <w:bottom w:val="single" w:sz="4" w:space="0" w:color="auto"/>
              <w:right w:val="single" w:sz="4" w:space="0" w:color="auto"/>
            </w:tcBorders>
          </w:tcPr>
          <w:p w:rsidR="00DA38C1" w:rsidRPr="003A18A6"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sidRPr="003A18A6">
              <w:rPr>
                <w:rFonts w:eastAsia="Calibri"/>
                <w:sz w:val="20"/>
                <w:lang w:val="en-CA"/>
              </w:rPr>
              <w:t>0</w:t>
            </w:r>
          </w:p>
        </w:tc>
      </w:tr>
      <w:tr w:rsidR="00DA38C1" w:rsidRPr="00DA38C1" w:rsidTr="00C401C4">
        <w:trPr>
          <w:trHeight w:val="239"/>
          <w:jc w:val="center"/>
        </w:trPr>
        <w:tc>
          <w:tcPr>
            <w:tcW w:w="566" w:type="pct"/>
            <w:tcBorders>
              <w:top w:val="single" w:sz="4" w:space="0" w:color="auto"/>
              <w:left w:val="single" w:sz="4" w:space="0" w:color="auto"/>
              <w:bottom w:val="single" w:sz="4" w:space="0" w:color="auto"/>
              <w:right w:val="nil"/>
            </w:tcBorders>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p>
        </w:tc>
        <w:tc>
          <w:tcPr>
            <w:tcW w:w="3731" w:type="pct"/>
            <w:gridSpan w:val="2"/>
            <w:tcBorders>
              <w:top w:val="single" w:sz="4" w:space="0" w:color="auto"/>
              <w:left w:val="nil"/>
              <w:bottom w:val="single" w:sz="4" w:space="0" w:color="auto"/>
              <w:right w:val="single" w:sz="4" w:space="0" w:color="auto"/>
            </w:tcBorders>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r w:rsidRPr="00DA38C1">
              <w:rPr>
                <w:rFonts w:eastAsia="Calibri"/>
                <w:sz w:val="20"/>
                <w:lang w:val="en-CA"/>
              </w:rPr>
              <w:t>Incremental operating costs:</w:t>
            </w:r>
          </w:p>
        </w:tc>
        <w:tc>
          <w:tcPr>
            <w:tcW w:w="703" w:type="pct"/>
            <w:tcBorders>
              <w:top w:val="single" w:sz="4" w:space="0" w:color="auto"/>
              <w:left w:val="single" w:sz="4" w:space="0" w:color="auto"/>
              <w:bottom w:val="single" w:sz="4" w:space="0" w:color="auto"/>
              <w:right w:val="single" w:sz="4" w:space="0" w:color="auto"/>
            </w:tcBorders>
          </w:tcPr>
          <w:p w:rsidR="00DA38C1" w:rsidRPr="003A18A6"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sidRPr="003A18A6">
              <w:rPr>
                <w:rFonts w:eastAsia="Calibri"/>
                <w:sz w:val="20"/>
                <w:lang w:val="en-CA"/>
              </w:rPr>
              <w:t>516,000</w:t>
            </w:r>
          </w:p>
        </w:tc>
      </w:tr>
      <w:tr w:rsidR="00DA38C1" w:rsidRPr="00DA38C1" w:rsidTr="00C401C4">
        <w:trPr>
          <w:trHeight w:val="250"/>
          <w:jc w:val="center"/>
        </w:trPr>
        <w:tc>
          <w:tcPr>
            <w:tcW w:w="566" w:type="pct"/>
            <w:tcBorders>
              <w:top w:val="single" w:sz="4" w:space="0" w:color="auto"/>
              <w:left w:val="single" w:sz="4" w:space="0" w:color="auto"/>
              <w:bottom w:val="single" w:sz="4" w:space="0" w:color="auto"/>
              <w:right w:val="nil"/>
            </w:tcBorders>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p>
        </w:tc>
        <w:tc>
          <w:tcPr>
            <w:tcW w:w="3731" w:type="pct"/>
            <w:gridSpan w:val="2"/>
            <w:tcBorders>
              <w:top w:val="single" w:sz="4" w:space="0" w:color="auto"/>
              <w:left w:val="nil"/>
              <w:bottom w:val="single" w:sz="4" w:space="0" w:color="auto"/>
              <w:right w:val="single" w:sz="4" w:space="0" w:color="auto"/>
            </w:tcBorders>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r w:rsidRPr="00DA38C1">
              <w:rPr>
                <w:rFonts w:eastAsia="Calibri"/>
                <w:sz w:val="20"/>
                <w:lang w:val="en-CA"/>
              </w:rPr>
              <w:t xml:space="preserve">Total project costs: </w:t>
            </w:r>
          </w:p>
        </w:tc>
        <w:tc>
          <w:tcPr>
            <w:tcW w:w="703" w:type="pct"/>
            <w:tcBorders>
              <w:top w:val="single" w:sz="4" w:space="0" w:color="auto"/>
              <w:left w:val="single" w:sz="4" w:space="0" w:color="auto"/>
              <w:bottom w:val="single" w:sz="4" w:space="0" w:color="auto"/>
              <w:right w:val="single" w:sz="4" w:space="0" w:color="auto"/>
            </w:tcBorders>
            <w:vAlign w:val="bottom"/>
          </w:tcPr>
          <w:p w:rsidR="00DA38C1" w:rsidRPr="003A18A6"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sidRPr="003A18A6">
              <w:rPr>
                <w:rFonts w:eastAsia="Calibri"/>
                <w:sz w:val="20"/>
                <w:lang w:val="en-CA"/>
              </w:rPr>
              <w:t>689,000</w:t>
            </w:r>
          </w:p>
        </w:tc>
      </w:tr>
      <w:tr w:rsidR="00DA38C1" w:rsidRPr="00DA38C1" w:rsidTr="00C401C4">
        <w:trPr>
          <w:trHeight w:val="170"/>
          <w:jc w:val="center"/>
        </w:trPr>
        <w:tc>
          <w:tcPr>
            <w:tcW w:w="4297" w:type="pct"/>
            <w:gridSpan w:val="3"/>
            <w:tcBorders>
              <w:top w:val="single" w:sz="4" w:space="0" w:color="auto"/>
              <w:left w:val="single" w:sz="4" w:space="0" w:color="auto"/>
              <w:bottom w:val="single" w:sz="4" w:space="0" w:color="auto"/>
              <w:right w:val="single" w:sz="4" w:space="0" w:color="auto"/>
            </w:tcBorders>
          </w:tcPr>
          <w:p w:rsidR="00DA38C1" w:rsidRPr="00DA38C1" w:rsidRDefault="00DA38C1" w:rsidP="00DA38C1">
            <w:pPr>
              <w:widowControl w:val="0"/>
              <w:tabs>
                <w:tab w:val="center" w:pos="4320"/>
                <w:tab w:val="right" w:pos="8640"/>
                <w:tab w:val="left" w:pos="9000"/>
              </w:tabs>
              <w:spacing w:line="259" w:lineRule="auto"/>
              <w:jc w:val="left"/>
              <w:rPr>
                <w:rFonts w:eastAsia="Calibri"/>
                <w:snapToGrid w:val="0"/>
                <w:sz w:val="20"/>
                <w:szCs w:val="20"/>
              </w:rPr>
            </w:pPr>
            <w:r w:rsidRPr="00DA38C1">
              <w:rPr>
                <w:rFonts w:eastAsia="Calibri"/>
                <w:sz w:val="20"/>
                <w:lang w:val="en-CA"/>
              </w:rPr>
              <w:t>Local ownership (%):</w:t>
            </w:r>
          </w:p>
        </w:tc>
        <w:tc>
          <w:tcPr>
            <w:tcW w:w="703" w:type="pct"/>
            <w:tcBorders>
              <w:top w:val="single" w:sz="4" w:space="0" w:color="auto"/>
              <w:left w:val="single" w:sz="4" w:space="0" w:color="auto"/>
              <w:bottom w:val="single" w:sz="4" w:space="0" w:color="auto"/>
              <w:right w:val="single" w:sz="4" w:space="0" w:color="auto"/>
            </w:tcBorders>
            <w:shd w:val="clear" w:color="auto" w:fill="auto"/>
          </w:tcPr>
          <w:p w:rsidR="00DA38C1" w:rsidRPr="003A18A6" w:rsidRDefault="00DA38C1" w:rsidP="00DA38C1">
            <w:pPr>
              <w:widowControl w:val="0"/>
              <w:tabs>
                <w:tab w:val="center" w:pos="4320"/>
                <w:tab w:val="right" w:pos="8640"/>
                <w:tab w:val="left" w:pos="9000"/>
              </w:tabs>
              <w:spacing w:line="259" w:lineRule="auto"/>
              <w:jc w:val="right"/>
              <w:rPr>
                <w:rFonts w:eastAsia="Calibri"/>
                <w:snapToGrid w:val="0"/>
                <w:sz w:val="20"/>
                <w:szCs w:val="20"/>
              </w:rPr>
            </w:pPr>
            <w:r w:rsidRPr="003A18A6">
              <w:rPr>
                <w:rFonts w:eastAsia="Calibri"/>
                <w:snapToGrid w:val="0"/>
                <w:sz w:val="20"/>
                <w:szCs w:val="20"/>
              </w:rPr>
              <w:t>100</w:t>
            </w:r>
          </w:p>
        </w:tc>
      </w:tr>
      <w:tr w:rsidR="00DA38C1" w:rsidRPr="00DA38C1" w:rsidTr="00C401C4">
        <w:trPr>
          <w:trHeight w:val="239"/>
          <w:jc w:val="center"/>
        </w:trPr>
        <w:tc>
          <w:tcPr>
            <w:tcW w:w="4297" w:type="pct"/>
            <w:gridSpan w:val="3"/>
            <w:tcBorders>
              <w:top w:val="single" w:sz="4" w:space="0" w:color="auto"/>
              <w:left w:val="single" w:sz="4" w:space="0" w:color="auto"/>
              <w:bottom w:val="single" w:sz="4" w:space="0" w:color="auto"/>
              <w:right w:val="single" w:sz="4" w:space="0" w:color="auto"/>
            </w:tcBorders>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r w:rsidRPr="00DA38C1">
              <w:rPr>
                <w:rFonts w:eastAsia="Calibri"/>
                <w:sz w:val="20"/>
                <w:lang w:val="en-CA"/>
              </w:rPr>
              <w:t>Export component (%):</w:t>
            </w:r>
          </w:p>
        </w:tc>
        <w:tc>
          <w:tcPr>
            <w:tcW w:w="703" w:type="pct"/>
            <w:tcBorders>
              <w:top w:val="single" w:sz="4" w:space="0" w:color="auto"/>
              <w:left w:val="single" w:sz="4" w:space="0" w:color="auto"/>
              <w:bottom w:val="single" w:sz="4" w:space="0" w:color="auto"/>
              <w:right w:val="single" w:sz="4" w:space="0" w:color="auto"/>
            </w:tcBorders>
          </w:tcPr>
          <w:p w:rsidR="00DA38C1" w:rsidRPr="003A18A6"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sidRPr="003A18A6">
              <w:rPr>
                <w:rFonts w:eastAsia="Calibri"/>
                <w:sz w:val="20"/>
                <w:lang w:val="en-CA"/>
              </w:rPr>
              <w:t>0</w:t>
            </w:r>
          </w:p>
        </w:tc>
      </w:tr>
      <w:tr w:rsidR="00DA38C1" w:rsidRPr="00DA38C1" w:rsidTr="00C401C4">
        <w:trPr>
          <w:trHeight w:val="250"/>
          <w:jc w:val="center"/>
        </w:trPr>
        <w:tc>
          <w:tcPr>
            <w:tcW w:w="4297" w:type="pct"/>
            <w:gridSpan w:val="3"/>
            <w:tcBorders>
              <w:top w:val="single" w:sz="4" w:space="0" w:color="auto"/>
              <w:left w:val="single" w:sz="4" w:space="0" w:color="auto"/>
              <w:bottom w:val="single" w:sz="4" w:space="0" w:color="auto"/>
              <w:right w:val="single" w:sz="4" w:space="0" w:color="auto"/>
            </w:tcBorders>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r w:rsidRPr="00DA38C1">
              <w:rPr>
                <w:rFonts w:eastAsia="Calibri"/>
                <w:sz w:val="20"/>
                <w:lang w:val="en-CA"/>
              </w:rPr>
              <w:t>Requested grant (US $):</w:t>
            </w:r>
          </w:p>
        </w:tc>
        <w:tc>
          <w:tcPr>
            <w:tcW w:w="703" w:type="pct"/>
            <w:tcBorders>
              <w:top w:val="single" w:sz="4" w:space="0" w:color="auto"/>
              <w:left w:val="single" w:sz="4" w:space="0" w:color="auto"/>
              <w:bottom w:val="single" w:sz="4" w:space="0" w:color="auto"/>
              <w:right w:val="single" w:sz="4" w:space="0" w:color="auto"/>
            </w:tcBorders>
          </w:tcPr>
          <w:p w:rsidR="00DA38C1" w:rsidRPr="003A18A6"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sidRPr="003A18A6">
              <w:rPr>
                <w:rFonts w:eastAsia="Calibri"/>
                <w:sz w:val="20"/>
                <w:lang w:val="en-CA"/>
              </w:rPr>
              <w:t>689,000</w:t>
            </w:r>
          </w:p>
        </w:tc>
      </w:tr>
      <w:tr w:rsidR="00DA38C1" w:rsidRPr="00DA38C1" w:rsidTr="00C401C4">
        <w:trPr>
          <w:trHeight w:val="250"/>
          <w:jc w:val="center"/>
        </w:trPr>
        <w:tc>
          <w:tcPr>
            <w:tcW w:w="3414" w:type="pct"/>
            <w:gridSpan w:val="2"/>
            <w:vMerge w:val="restart"/>
            <w:tcBorders>
              <w:top w:val="single" w:sz="4" w:space="0" w:color="auto"/>
              <w:left w:val="single" w:sz="4" w:space="0" w:color="auto"/>
              <w:right w:val="single" w:sz="4" w:space="0" w:color="auto"/>
            </w:tcBorders>
            <w:vAlign w:val="center"/>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r w:rsidRPr="00DA38C1">
              <w:rPr>
                <w:rFonts w:eastAsia="Calibri"/>
                <w:sz w:val="20"/>
                <w:lang w:val="en-CA"/>
              </w:rPr>
              <w:t>Cost-effectiveness</w:t>
            </w:r>
          </w:p>
        </w:tc>
        <w:tc>
          <w:tcPr>
            <w:tcW w:w="882" w:type="pct"/>
            <w:tcBorders>
              <w:top w:val="single" w:sz="4" w:space="0" w:color="auto"/>
              <w:left w:val="single" w:sz="4" w:space="0" w:color="auto"/>
              <w:bottom w:val="single" w:sz="4" w:space="0" w:color="auto"/>
              <w:right w:val="single" w:sz="4" w:space="0" w:color="auto"/>
            </w:tcBorders>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r w:rsidRPr="00DA38C1">
              <w:rPr>
                <w:rFonts w:eastAsia="Calibri"/>
                <w:sz w:val="20"/>
                <w:lang w:val="en-CA"/>
              </w:rPr>
              <w:t>US $/kg</w:t>
            </w:r>
          </w:p>
        </w:tc>
        <w:tc>
          <w:tcPr>
            <w:tcW w:w="703" w:type="pct"/>
            <w:tcBorders>
              <w:top w:val="single" w:sz="4" w:space="0" w:color="auto"/>
              <w:left w:val="single" w:sz="4" w:space="0" w:color="auto"/>
              <w:bottom w:val="single" w:sz="4" w:space="0" w:color="auto"/>
              <w:right w:val="single" w:sz="4" w:space="0" w:color="auto"/>
            </w:tcBorders>
          </w:tcPr>
          <w:p w:rsidR="00DA38C1" w:rsidRPr="003A18A6"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sidRPr="003A18A6">
              <w:rPr>
                <w:rFonts w:eastAsia="Calibri"/>
                <w:sz w:val="20"/>
                <w:lang w:val="en-CA"/>
              </w:rPr>
              <w:t>21.15</w:t>
            </w:r>
          </w:p>
        </w:tc>
      </w:tr>
      <w:tr w:rsidR="00DA38C1" w:rsidRPr="00DA38C1" w:rsidTr="00C401C4">
        <w:trPr>
          <w:trHeight w:val="310"/>
          <w:jc w:val="center"/>
        </w:trPr>
        <w:tc>
          <w:tcPr>
            <w:tcW w:w="3414" w:type="pct"/>
            <w:gridSpan w:val="2"/>
            <w:vMerge/>
            <w:tcBorders>
              <w:left w:val="single" w:sz="4" w:space="0" w:color="auto"/>
              <w:bottom w:val="single" w:sz="4" w:space="0" w:color="auto"/>
              <w:right w:val="single" w:sz="4" w:space="0" w:color="auto"/>
            </w:tcBorders>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p>
        </w:tc>
        <w:tc>
          <w:tcPr>
            <w:tcW w:w="882" w:type="pct"/>
            <w:tcBorders>
              <w:top w:val="single" w:sz="4" w:space="0" w:color="auto"/>
              <w:left w:val="single" w:sz="4" w:space="0" w:color="auto"/>
              <w:bottom w:val="single" w:sz="4" w:space="0" w:color="auto"/>
              <w:right w:val="single" w:sz="4" w:space="0" w:color="auto"/>
            </w:tcBorders>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rFonts w:eastAsia="Calibri"/>
                <w:sz w:val="20"/>
                <w:lang w:val="en-CA"/>
              </w:rPr>
            </w:pPr>
            <w:r w:rsidRPr="00DA38C1">
              <w:rPr>
                <w:rFonts w:eastAsia="Calibri"/>
                <w:sz w:val="20"/>
                <w:lang w:val="en-CA"/>
              </w:rPr>
              <w:t>US $/mt CO</w:t>
            </w:r>
            <w:r w:rsidRPr="00DA38C1">
              <w:rPr>
                <w:rFonts w:eastAsia="Calibri"/>
                <w:sz w:val="20"/>
                <w:vertAlign w:val="subscript"/>
                <w:lang w:val="en-CA"/>
              </w:rPr>
              <w:t>2</w:t>
            </w:r>
            <w:r w:rsidRPr="00DA38C1">
              <w:rPr>
                <w:rFonts w:eastAsia="Calibri"/>
                <w:sz w:val="20"/>
                <w:lang w:val="en-CA"/>
              </w:rPr>
              <w:t>-eq</w:t>
            </w:r>
          </w:p>
        </w:tc>
        <w:tc>
          <w:tcPr>
            <w:tcW w:w="703" w:type="pct"/>
            <w:tcBorders>
              <w:top w:val="single" w:sz="4" w:space="0" w:color="auto"/>
              <w:left w:val="single" w:sz="4" w:space="0" w:color="auto"/>
              <w:bottom w:val="single" w:sz="4" w:space="0" w:color="auto"/>
              <w:right w:val="single" w:sz="4" w:space="0" w:color="auto"/>
            </w:tcBorders>
          </w:tcPr>
          <w:p w:rsidR="00DA38C1" w:rsidRPr="003A18A6"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sidRPr="003A18A6">
              <w:rPr>
                <w:rFonts w:eastAsia="Calibri"/>
                <w:sz w:val="20"/>
                <w:lang w:val="en-CA"/>
              </w:rPr>
              <w:t>14.79</w:t>
            </w:r>
          </w:p>
        </w:tc>
      </w:tr>
      <w:tr w:rsidR="00DA38C1" w:rsidRPr="00DA38C1" w:rsidTr="00C401C4">
        <w:trPr>
          <w:trHeight w:val="239"/>
          <w:jc w:val="center"/>
        </w:trPr>
        <w:tc>
          <w:tcPr>
            <w:tcW w:w="4297" w:type="pct"/>
            <w:gridSpan w:val="3"/>
            <w:tcBorders>
              <w:top w:val="single" w:sz="4" w:space="0" w:color="auto"/>
              <w:left w:val="single" w:sz="4" w:space="0" w:color="auto"/>
              <w:bottom w:val="single" w:sz="4" w:space="0" w:color="auto"/>
              <w:right w:val="single" w:sz="4" w:space="0" w:color="auto"/>
            </w:tcBorders>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r w:rsidRPr="00DA38C1">
              <w:rPr>
                <w:rFonts w:eastAsia="Calibri"/>
                <w:sz w:val="20"/>
                <w:lang w:val="en-CA"/>
              </w:rPr>
              <w:t>Implementing agency support costs (US $):</w:t>
            </w:r>
          </w:p>
        </w:tc>
        <w:tc>
          <w:tcPr>
            <w:tcW w:w="703" w:type="pct"/>
            <w:tcBorders>
              <w:top w:val="single" w:sz="4" w:space="0" w:color="auto"/>
              <w:left w:val="single" w:sz="4" w:space="0" w:color="auto"/>
              <w:bottom w:val="single" w:sz="4" w:space="0" w:color="auto"/>
              <w:right w:val="single" w:sz="4" w:space="0" w:color="auto"/>
            </w:tcBorders>
          </w:tcPr>
          <w:p w:rsidR="00DA38C1" w:rsidRPr="003A18A6"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sidRPr="003A18A6">
              <w:rPr>
                <w:rFonts w:eastAsia="Calibri"/>
                <w:sz w:val="20"/>
                <w:lang w:val="en-CA"/>
              </w:rPr>
              <w:t>48,230</w:t>
            </w:r>
          </w:p>
        </w:tc>
      </w:tr>
      <w:tr w:rsidR="00DA38C1" w:rsidRPr="00DA38C1" w:rsidTr="00C401C4">
        <w:trPr>
          <w:trHeight w:val="250"/>
          <w:jc w:val="center"/>
        </w:trPr>
        <w:tc>
          <w:tcPr>
            <w:tcW w:w="4297" w:type="pct"/>
            <w:gridSpan w:val="3"/>
            <w:tcBorders>
              <w:top w:val="single" w:sz="4" w:space="0" w:color="auto"/>
              <w:left w:val="single" w:sz="4" w:space="0" w:color="auto"/>
              <w:bottom w:val="single" w:sz="4" w:space="0" w:color="auto"/>
              <w:right w:val="single" w:sz="4" w:space="0" w:color="auto"/>
            </w:tcBorders>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r w:rsidRPr="00DA38C1">
              <w:rPr>
                <w:rFonts w:eastAsia="Calibri"/>
                <w:sz w:val="20"/>
                <w:lang w:val="en-CA"/>
              </w:rPr>
              <w:t>Total cost of project to Multilateral Fund (US $):</w:t>
            </w:r>
          </w:p>
        </w:tc>
        <w:tc>
          <w:tcPr>
            <w:tcW w:w="703" w:type="pct"/>
            <w:tcBorders>
              <w:top w:val="single" w:sz="4" w:space="0" w:color="auto"/>
              <w:left w:val="single" w:sz="4" w:space="0" w:color="auto"/>
              <w:bottom w:val="single" w:sz="4" w:space="0" w:color="auto"/>
              <w:right w:val="single" w:sz="4" w:space="0" w:color="auto"/>
            </w:tcBorders>
          </w:tcPr>
          <w:p w:rsidR="00DA38C1" w:rsidRPr="003A18A6"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sidRPr="003A18A6">
              <w:rPr>
                <w:rFonts w:eastAsia="Calibri"/>
                <w:sz w:val="20"/>
                <w:lang w:val="en-CA"/>
              </w:rPr>
              <w:t>737,230</w:t>
            </w:r>
          </w:p>
        </w:tc>
      </w:tr>
      <w:tr w:rsidR="00DA38C1" w:rsidRPr="00DA38C1" w:rsidTr="00C401C4">
        <w:trPr>
          <w:trHeight w:val="239"/>
          <w:jc w:val="center"/>
        </w:trPr>
        <w:tc>
          <w:tcPr>
            <w:tcW w:w="4297" w:type="pct"/>
            <w:gridSpan w:val="3"/>
            <w:tcBorders>
              <w:top w:val="single" w:sz="4" w:space="0" w:color="auto"/>
              <w:left w:val="single" w:sz="4" w:space="0" w:color="auto"/>
              <w:bottom w:val="single" w:sz="4" w:space="0" w:color="auto"/>
              <w:right w:val="single" w:sz="4" w:space="0" w:color="auto"/>
            </w:tcBorders>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r w:rsidRPr="00DA38C1">
              <w:rPr>
                <w:rFonts w:eastAsia="Calibri"/>
                <w:sz w:val="20"/>
                <w:lang w:val="en-CA"/>
              </w:rPr>
              <w:t>Counterpart funding (Y/N):</w:t>
            </w:r>
          </w:p>
        </w:tc>
        <w:tc>
          <w:tcPr>
            <w:tcW w:w="703" w:type="pct"/>
            <w:tcBorders>
              <w:top w:val="single" w:sz="4" w:space="0" w:color="auto"/>
              <w:left w:val="single" w:sz="4" w:space="0" w:color="auto"/>
              <w:bottom w:val="single" w:sz="4" w:space="0" w:color="auto"/>
              <w:right w:val="single" w:sz="4" w:space="0" w:color="auto"/>
            </w:tcBorders>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sidRPr="00DA38C1">
              <w:rPr>
                <w:rFonts w:eastAsia="Calibri"/>
                <w:sz w:val="20"/>
                <w:lang w:val="en-CA"/>
              </w:rPr>
              <w:t>Y</w:t>
            </w:r>
          </w:p>
        </w:tc>
      </w:tr>
      <w:tr w:rsidR="00DA38C1" w:rsidRPr="00DA38C1" w:rsidTr="00C401C4">
        <w:trPr>
          <w:trHeight w:val="250"/>
          <w:jc w:val="center"/>
        </w:trPr>
        <w:tc>
          <w:tcPr>
            <w:tcW w:w="4297" w:type="pct"/>
            <w:gridSpan w:val="3"/>
            <w:tcBorders>
              <w:top w:val="single" w:sz="4" w:space="0" w:color="auto"/>
              <w:left w:val="single" w:sz="4" w:space="0" w:color="auto"/>
              <w:bottom w:val="single" w:sz="4" w:space="0" w:color="auto"/>
              <w:right w:val="single" w:sz="4" w:space="0" w:color="auto"/>
            </w:tcBorders>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rFonts w:eastAsia="Calibri"/>
                <w:sz w:val="20"/>
                <w:lang w:val="en-CA"/>
              </w:rPr>
            </w:pPr>
            <w:r w:rsidRPr="00DA38C1">
              <w:rPr>
                <w:rFonts w:eastAsia="Calibri"/>
                <w:sz w:val="20"/>
                <w:lang w:val="en-CA"/>
              </w:rPr>
              <w:t>Project monitoring milestones included (Y/N):</w:t>
            </w:r>
          </w:p>
        </w:tc>
        <w:tc>
          <w:tcPr>
            <w:tcW w:w="703" w:type="pct"/>
            <w:tcBorders>
              <w:top w:val="single" w:sz="4" w:space="0" w:color="auto"/>
              <w:left w:val="single" w:sz="4" w:space="0" w:color="auto"/>
              <w:bottom w:val="single" w:sz="4" w:space="0" w:color="auto"/>
              <w:right w:val="single" w:sz="4" w:space="0" w:color="auto"/>
            </w:tcBorders>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rFonts w:eastAsia="Calibri"/>
                <w:sz w:val="20"/>
                <w:lang w:val="en-CA"/>
              </w:rPr>
            </w:pPr>
            <w:r w:rsidRPr="00DA38C1">
              <w:rPr>
                <w:rFonts w:eastAsia="Calibri"/>
                <w:sz w:val="20"/>
                <w:lang w:val="en-CA"/>
              </w:rPr>
              <w:t>Y</w:t>
            </w:r>
          </w:p>
        </w:tc>
      </w:tr>
    </w:tbl>
    <w:p w:rsidR="00DA38C1" w:rsidRPr="00DA38C1" w:rsidRDefault="00DA38C1" w:rsidP="00DA38C1">
      <w:pPr>
        <w:rPr>
          <w:sz w:val="20"/>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3"/>
        <w:gridCol w:w="3112"/>
      </w:tblGrid>
      <w:tr w:rsidR="00DA38C1" w:rsidRPr="00DA38C1" w:rsidTr="00C401C4">
        <w:trPr>
          <w:trHeight w:val="296"/>
          <w:jc w:val="center"/>
        </w:trPr>
        <w:tc>
          <w:tcPr>
            <w:tcW w:w="6353" w:type="dxa"/>
            <w:tcBorders>
              <w:top w:val="single" w:sz="4" w:space="0" w:color="auto"/>
              <w:left w:val="single" w:sz="4" w:space="0" w:color="auto"/>
              <w:bottom w:val="single" w:sz="4" w:space="0" w:color="auto"/>
              <w:right w:val="single" w:sz="4" w:space="0" w:color="auto"/>
            </w:tcBorders>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b/>
                <w:sz w:val="20"/>
              </w:rPr>
            </w:pPr>
            <w:r w:rsidRPr="00DA38C1">
              <w:rPr>
                <w:b/>
                <w:sz w:val="20"/>
              </w:rPr>
              <w:t>SECRETARIAT’S RECOMMENDATION</w:t>
            </w:r>
          </w:p>
        </w:tc>
        <w:tc>
          <w:tcPr>
            <w:tcW w:w="3112" w:type="dxa"/>
            <w:tcBorders>
              <w:top w:val="single" w:sz="4" w:space="0" w:color="auto"/>
              <w:left w:val="single" w:sz="4" w:space="0" w:color="auto"/>
              <w:bottom w:val="single" w:sz="4" w:space="0" w:color="auto"/>
              <w:right w:val="single" w:sz="4" w:space="0" w:color="auto"/>
            </w:tcBorders>
          </w:tcPr>
          <w:p w:rsidR="00DA38C1" w:rsidRPr="00DA38C1" w:rsidRDefault="00DA38C1" w:rsidP="00DA38C1">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sidRPr="00DA38C1">
              <w:rPr>
                <w:sz w:val="20"/>
              </w:rPr>
              <w:t>For individual consideration</w:t>
            </w:r>
          </w:p>
        </w:tc>
      </w:tr>
    </w:tbl>
    <w:p w:rsidR="00DA38C1" w:rsidRPr="00DA38C1" w:rsidRDefault="00DA38C1" w:rsidP="00DA38C1">
      <w:pPr>
        <w:spacing w:after="240"/>
        <w:outlineLvl w:val="0"/>
      </w:pPr>
      <w:r w:rsidRPr="00DA38C1">
        <w:rPr>
          <w:sz w:val="18"/>
          <w:szCs w:val="18"/>
          <w:lang w:val="en-CA"/>
        </w:rPr>
        <w:t>*Total consumption of 2,577 mt of HFC-134a estimated in the project proposal, including 562 mt in mobile air-conditioning.</w:t>
      </w:r>
    </w:p>
    <w:p w:rsidR="00DA38C1" w:rsidRPr="00DA38C1" w:rsidRDefault="00DA38C1" w:rsidP="00DA38C1">
      <w:pPr>
        <w:spacing w:after="240"/>
        <w:jc w:val="center"/>
        <w:outlineLvl w:val="0"/>
        <w:rPr>
          <w:b/>
        </w:rPr>
      </w:pPr>
      <w:r w:rsidRPr="00DA38C1">
        <w:rPr>
          <w:b/>
        </w:rPr>
        <w:t>PROJECT DESCRIPTION</w:t>
      </w:r>
    </w:p>
    <w:p w:rsidR="00DA38C1" w:rsidRPr="00DA38C1" w:rsidRDefault="00DA38C1" w:rsidP="00DA38C1">
      <w:pPr>
        <w:numPr>
          <w:ilvl w:val="0"/>
          <w:numId w:val="1"/>
        </w:numPr>
        <w:tabs>
          <w:tab w:val="clear" w:pos="1134"/>
          <w:tab w:val="num" w:pos="0"/>
        </w:tabs>
        <w:spacing w:after="240"/>
        <w:ind w:left="0"/>
        <w:outlineLvl w:val="0"/>
      </w:pPr>
      <w:r w:rsidRPr="00DA38C1">
        <w:t xml:space="preserve">On behalf of the Islamic Republic of Iran, UNIDO has submitted a project proposal to convert the manufacturing of mobile air-conditioning (MAC) units from HFC-134a to </w:t>
      </w:r>
      <w:r w:rsidRPr="00DA38C1">
        <w:rPr>
          <w:rFonts w:eastAsiaTheme="minorEastAsia"/>
        </w:rPr>
        <w:t>hydrofluoro-olefin (</w:t>
      </w:r>
      <w:r w:rsidRPr="00DA38C1">
        <w:t>HFO</w:t>
      </w:r>
      <w:r w:rsidRPr="00DA38C1">
        <w:noBreakHyphen/>
        <w:t xml:space="preserve">1234yf) at Kerman Motor Company Limited (Kerman Motor), at a total cost of US $795,055, plus agency support costs of US $55,653, as originally submitted. </w:t>
      </w:r>
      <w:r w:rsidR="003A18A6">
        <w:t>UNIDO submitted this project proposal without receiving preparation funding from the Multilateral Fund.</w:t>
      </w:r>
    </w:p>
    <w:p w:rsidR="00DA38C1" w:rsidRPr="00DA38C1" w:rsidRDefault="00DA38C1" w:rsidP="00DA38C1">
      <w:pPr>
        <w:spacing w:after="240"/>
        <w:outlineLvl w:val="0"/>
        <w:rPr>
          <w:u w:val="single"/>
        </w:rPr>
      </w:pPr>
      <w:r w:rsidRPr="00DA38C1">
        <w:rPr>
          <w:u w:val="single"/>
        </w:rPr>
        <w:t>HFC consumption and sector background</w:t>
      </w:r>
    </w:p>
    <w:p w:rsidR="00DA38C1" w:rsidRPr="00DA38C1" w:rsidRDefault="00DA38C1" w:rsidP="00DA38C1">
      <w:pPr>
        <w:numPr>
          <w:ilvl w:val="0"/>
          <w:numId w:val="1"/>
        </w:numPr>
        <w:tabs>
          <w:tab w:val="clear" w:pos="1134"/>
          <w:tab w:val="num" w:pos="0"/>
        </w:tabs>
        <w:spacing w:after="240"/>
        <w:ind w:left="0"/>
        <w:outlineLvl w:val="0"/>
      </w:pPr>
      <w:r w:rsidRPr="00DA38C1">
        <w:t xml:space="preserve">Globally, HFC-134a continues to be used as a refrigerant in mobile air-conditioning (MAC) systems. According to the Technology and Economic Assessment Panel (TEAP), HFO-1234yf is currently being used in MAC units in new vehicles, primarily in non-Article 5 countries. </w:t>
      </w:r>
    </w:p>
    <w:p w:rsidR="00DA38C1" w:rsidRPr="00DA38C1" w:rsidRDefault="00DA38C1" w:rsidP="00DA38C1">
      <w:pPr>
        <w:numPr>
          <w:ilvl w:val="0"/>
          <w:numId w:val="1"/>
        </w:numPr>
        <w:tabs>
          <w:tab w:val="clear" w:pos="1134"/>
          <w:tab w:val="num" w:pos="0"/>
        </w:tabs>
        <w:spacing w:after="240"/>
        <w:ind w:left="0"/>
        <w:outlineLvl w:val="0"/>
      </w:pPr>
      <w:r w:rsidRPr="00DA38C1">
        <w:t>The automotive industry of the Islamic Republic of Iran is the second most active industry in the country, and consists of Government</w:t>
      </w:r>
      <w:r w:rsidRPr="00DA38C1">
        <w:rPr>
          <w:vertAlign w:val="superscript"/>
        </w:rPr>
        <w:footnoteReference w:id="2"/>
      </w:r>
      <w:r w:rsidRPr="00DA38C1">
        <w:t xml:space="preserve"> and private automotive manufacturers producing their own brands, as well as foreign brands, mainly for the local market. There are also two local MAC system producers, but the majority of systems are imported for vehicles being produced as complete knock-down.</w:t>
      </w:r>
    </w:p>
    <w:p w:rsidR="00DA38C1" w:rsidRPr="00DA38C1" w:rsidRDefault="00DA38C1" w:rsidP="00DA38C1">
      <w:pPr>
        <w:numPr>
          <w:ilvl w:val="0"/>
          <w:numId w:val="1"/>
        </w:numPr>
        <w:tabs>
          <w:tab w:val="clear" w:pos="1134"/>
          <w:tab w:val="num" w:pos="0"/>
        </w:tabs>
        <w:spacing w:after="240"/>
        <w:ind w:left="0"/>
        <w:outlineLvl w:val="0"/>
      </w:pPr>
      <w:r w:rsidRPr="00DA38C1">
        <w:t>Based on the data reported under the surveys on ODS alternatives submitted to the 80</w:t>
      </w:r>
      <w:r w:rsidRPr="00DA38C1">
        <w:rPr>
          <w:vertAlign w:val="superscript"/>
        </w:rPr>
        <w:t>th</w:t>
      </w:r>
      <w:r w:rsidRPr="00DA38C1">
        <w:t xml:space="preserve"> meeting, a total of 2,557.0 metric tonnes (mt) of HFC-134a were imported into the country in 2015. UNIDO indicated that 562.0 mt were consumed in the MAC sector (approximately 22 per cent of the total). The consumption of HFC-134a at Kerman Motor amounted to 22.16 </w:t>
      </w:r>
      <w:r w:rsidRPr="003A18A6">
        <w:t>mt (2015-2017</w:t>
      </w:r>
      <w:r w:rsidR="003A18A6" w:rsidRPr="003A18A6">
        <w:t xml:space="preserve"> </w:t>
      </w:r>
      <w:r w:rsidR="003A18A6" w:rsidRPr="003A18A6">
        <w:t>average</w:t>
      </w:r>
      <w:r w:rsidRPr="003A18A6">
        <w:t>)</w:t>
      </w:r>
      <w:r w:rsidRPr="003A18A6">
        <w:t>.</w:t>
      </w:r>
    </w:p>
    <w:p w:rsidR="00DA38C1" w:rsidRPr="00DA38C1" w:rsidRDefault="00DA38C1" w:rsidP="00DA38C1">
      <w:pPr>
        <w:keepNext/>
        <w:rPr>
          <w:u w:val="single"/>
        </w:rPr>
      </w:pPr>
      <w:r w:rsidRPr="00DA38C1">
        <w:rPr>
          <w:u w:val="single"/>
        </w:rPr>
        <w:t xml:space="preserve">Enterprise background </w:t>
      </w:r>
    </w:p>
    <w:p w:rsidR="00DA38C1" w:rsidRPr="00DA38C1" w:rsidRDefault="00DA38C1" w:rsidP="00DA38C1"/>
    <w:p w:rsidR="00DA38C1" w:rsidRPr="00DA38C1" w:rsidRDefault="00DA38C1" w:rsidP="00DA38C1">
      <w:pPr>
        <w:numPr>
          <w:ilvl w:val="0"/>
          <w:numId w:val="1"/>
        </w:numPr>
        <w:tabs>
          <w:tab w:val="clear" w:pos="1134"/>
          <w:tab w:val="num" w:pos="0"/>
        </w:tabs>
        <w:spacing w:after="240"/>
        <w:ind w:left="0"/>
        <w:outlineLvl w:val="0"/>
        <w:rPr>
          <w:lang w:val="en-CA"/>
        </w:rPr>
      </w:pPr>
      <w:r w:rsidRPr="00DA38C1">
        <w:rPr>
          <w:lang w:val="en-CA"/>
        </w:rPr>
        <w:t xml:space="preserve">Kerman Motor </w:t>
      </w:r>
      <w:r w:rsidRPr="00DA38C1">
        <w:t xml:space="preserve">is 100 per cent Iranian-owned and manufactures vehicles </w:t>
      </w:r>
      <w:r w:rsidRPr="00DA38C1">
        <w:rPr>
          <w:lang w:val="en-CA"/>
        </w:rPr>
        <w:t>from JAC and Lifan (two Chinese enterprises) and Hyundai (a Korean enterprise)</w:t>
      </w:r>
      <w:r w:rsidRPr="00DA38C1">
        <w:t xml:space="preserve">, and represents </w:t>
      </w:r>
      <w:r w:rsidRPr="00DA38C1">
        <w:rPr>
          <w:lang w:val="en-CA"/>
        </w:rPr>
        <w:t xml:space="preserve">3.4 per cent of the national market share. Vehicle annual production over the last three years has ranged between 20,300 and 21,800 units. The enterprise’s servicing workshops (consisting of 109 workshops for Kerman’s JAC and Lifan models and 38 workshops for Hyundai models) consume at least one mt annually for recharging. </w:t>
      </w:r>
    </w:p>
    <w:p w:rsidR="00DA38C1" w:rsidRPr="00DA38C1" w:rsidRDefault="00DA38C1" w:rsidP="00DA38C1">
      <w:pPr>
        <w:rPr>
          <w:u w:val="single"/>
          <w:lang w:val="en-CA"/>
        </w:rPr>
      </w:pPr>
      <w:r w:rsidRPr="00DA38C1">
        <w:rPr>
          <w:u w:val="single"/>
          <w:lang w:val="en-CA"/>
        </w:rPr>
        <w:t>Manufacturing process</w:t>
      </w:r>
    </w:p>
    <w:p w:rsidR="00DA38C1" w:rsidRPr="00DA38C1" w:rsidRDefault="00DA38C1" w:rsidP="00DA38C1">
      <w:pPr>
        <w:rPr>
          <w:u w:val="single"/>
          <w:lang w:val="en-CA"/>
        </w:rPr>
      </w:pPr>
    </w:p>
    <w:p w:rsidR="00DA38C1" w:rsidRPr="00DA38C1" w:rsidRDefault="00DA38C1" w:rsidP="00DA38C1">
      <w:pPr>
        <w:numPr>
          <w:ilvl w:val="0"/>
          <w:numId w:val="1"/>
        </w:numPr>
        <w:tabs>
          <w:tab w:val="clear" w:pos="1134"/>
          <w:tab w:val="num" w:pos="0"/>
        </w:tabs>
        <w:spacing w:after="240"/>
        <w:ind w:left="0"/>
        <w:outlineLvl w:val="0"/>
        <w:rPr>
          <w:lang w:val="en-CA"/>
        </w:rPr>
      </w:pPr>
      <w:r w:rsidRPr="00DA38C1">
        <w:rPr>
          <w:lang w:val="en-CA"/>
        </w:rPr>
        <w:t>Kerman Motor has one production line, comprising three main production halls: a body shop, paint shop and trim shop where the refrigerant charging unit is located. It produces nine vehicle models using a fixed HFC-134a filling machine; an additional trim shop dedicated to two Hyundai models uses a small capacity HFO-1234yf filling machine, which is more suitable for servicing than manufacturing.</w:t>
      </w:r>
    </w:p>
    <w:p w:rsidR="00DA38C1" w:rsidRPr="00DA38C1" w:rsidRDefault="00DA38C1" w:rsidP="00DA38C1">
      <w:pPr>
        <w:keepNext/>
        <w:spacing w:after="240"/>
        <w:outlineLvl w:val="0"/>
        <w:rPr>
          <w:u w:val="single"/>
        </w:rPr>
      </w:pPr>
      <w:r w:rsidRPr="00DA38C1">
        <w:rPr>
          <w:u w:val="single"/>
        </w:rPr>
        <w:t>Project description and costs</w:t>
      </w:r>
    </w:p>
    <w:p w:rsidR="00DA38C1" w:rsidRPr="00DA38C1" w:rsidRDefault="00DA38C1" w:rsidP="00DA38C1">
      <w:pPr>
        <w:numPr>
          <w:ilvl w:val="0"/>
          <w:numId w:val="1"/>
        </w:numPr>
        <w:tabs>
          <w:tab w:val="clear" w:pos="1134"/>
          <w:tab w:val="num" w:pos="0"/>
        </w:tabs>
        <w:spacing w:after="240"/>
        <w:ind w:left="0"/>
        <w:outlineLvl w:val="0"/>
      </w:pPr>
      <w:r w:rsidRPr="00DA38C1">
        <w:rPr>
          <w:lang w:val="en-CA"/>
        </w:rPr>
        <w:t xml:space="preserve">HFO-1234yf is currently the only alternative technology commercially available for converting HFC-134a-based MAC. Given that the alternative refrigerant is mildly flammable, Kerman Motor </w:t>
      </w:r>
      <w:r w:rsidRPr="00DA38C1">
        <w:t>is proposing the following modifications to the manufacturing line:</w:t>
      </w:r>
    </w:p>
    <w:p w:rsidR="00DA38C1" w:rsidRPr="00DA38C1" w:rsidRDefault="00DA38C1" w:rsidP="00DA38C1">
      <w:pPr>
        <w:widowControl w:val="0"/>
        <w:numPr>
          <w:ilvl w:val="1"/>
          <w:numId w:val="1"/>
        </w:numPr>
        <w:spacing w:after="240"/>
        <w:outlineLvl w:val="1"/>
      </w:pPr>
      <w:r w:rsidRPr="00DA38C1">
        <w:t>Installation of safety systems suited to the handling of flammable refrigerants, including a ventilation blower and piping, detectors, cylinder storage chambers with hoods, and fire extinguishers;</w:t>
      </w:r>
    </w:p>
    <w:p w:rsidR="00DA38C1" w:rsidRPr="00DA38C1" w:rsidRDefault="00DA38C1" w:rsidP="00DA38C1">
      <w:pPr>
        <w:widowControl w:val="0"/>
        <w:numPr>
          <w:ilvl w:val="1"/>
          <w:numId w:val="1"/>
        </w:numPr>
        <w:spacing w:after="240"/>
        <w:outlineLvl w:val="1"/>
      </w:pPr>
      <w:r w:rsidRPr="00DA38C1">
        <w:t>Replacement of the existing charging unit with one that can handle HFO-1234yf, and procurement, installation and commissioning of the equipment at the beneficiary company, as determined in the agreement and subcontract;</w:t>
      </w:r>
    </w:p>
    <w:p w:rsidR="00DA38C1" w:rsidRPr="00DA38C1" w:rsidRDefault="00DA38C1" w:rsidP="00DA38C1">
      <w:pPr>
        <w:widowControl w:val="0"/>
        <w:numPr>
          <w:ilvl w:val="1"/>
          <w:numId w:val="1"/>
        </w:numPr>
        <w:spacing w:after="240"/>
        <w:outlineLvl w:val="1"/>
      </w:pPr>
      <w:r w:rsidRPr="00DA38C1">
        <w:t xml:space="preserve">Training of the production-line workers involved in charging the refrigerants by designated trainers familiar with the acquired equipment; </w:t>
      </w:r>
    </w:p>
    <w:p w:rsidR="00DA38C1" w:rsidRPr="00DA38C1" w:rsidRDefault="00DA38C1" w:rsidP="00DA38C1">
      <w:pPr>
        <w:widowControl w:val="0"/>
        <w:numPr>
          <w:ilvl w:val="1"/>
          <w:numId w:val="1"/>
        </w:numPr>
        <w:spacing w:after="240"/>
        <w:outlineLvl w:val="1"/>
      </w:pPr>
      <w:r w:rsidRPr="00DA38C1">
        <w:t>Training provided at associated servicing workshops; and</w:t>
      </w:r>
    </w:p>
    <w:p w:rsidR="00DA38C1" w:rsidRPr="00DA38C1" w:rsidRDefault="00DA38C1" w:rsidP="00DA38C1">
      <w:pPr>
        <w:widowControl w:val="0"/>
        <w:numPr>
          <w:ilvl w:val="1"/>
          <w:numId w:val="1"/>
        </w:numPr>
        <w:spacing w:after="240"/>
        <w:outlineLvl w:val="1"/>
      </w:pPr>
      <w:r w:rsidRPr="00DA38C1">
        <w:t>Sourcing of HFO-1234yf from relevant and affordable suppliers.</w:t>
      </w:r>
    </w:p>
    <w:p w:rsidR="00DA38C1" w:rsidRPr="00DA38C1" w:rsidRDefault="00DA38C1" w:rsidP="00DA38C1">
      <w:pPr>
        <w:numPr>
          <w:ilvl w:val="0"/>
          <w:numId w:val="1"/>
        </w:numPr>
        <w:tabs>
          <w:tab w:val="clear" w:pos="1134"/>
          <w:tab w:val="num" w:pos="0"/>
        </w:tabs>
        <w:spacing w:after="240"/>
        <w:ind w:left="0"/>
        <w:outlineLvl w:val="0"/>
      </w:pPr>
      <w:r w:rsidRPr="00DA38C1">
        <w:t>The incremental capital costs (ICCs), as originally submitted, were US $279,055, as shown in Table 1. Funds for the safety system, estimated to be US $100,000, were not included in the request.</w:t>
      </w:r>
    </w:p>
    <w:p w:rsidR="00DA38C1" w:rsidRPr="00DA38C1" w:rsidRDefault="00DA38C1" w:rsidP="00DA38C1">
      <w:pPr>
        <w:keepNext/>
        <w:autoSpaceDE w:val="0"/>
        <w:autoSpaceDN w:val="0"/>
        <w:adjustRightInd w:val="0"/>
        <w:rPr>
          <w:b/>
        </w:rPr>
      </w:pPr>
      <w:r w:rsidRPr="00DA38C1">
        <w:rPr>
          <w:b/>
        </w:rPr>
        <w:t xml:space="preserve">Table 1. ICCs of the conversion in MAC manufacturing in Kerman Motor </w:t>
      </w:r>
    </w:p>
    <w:tbl>
      <w:tblPr>
        <w:tblW w:w="9360" w:type="dxa"/>
        <w:tblInd w:w="108" w:type="dxa"/>
        <w:tblLayout w:type="fixed"/>
        <w:tblLook w:val="04A0" w:firstRow="1" w:lastRow="0" w:firstColumn="1" w:lastColumn="0" w:noHBand="0" w:noVBand="1"/>
      </w:tblPr>
      <w:tblGrid>
        <w:gridCol w:w="5166"/>
        <w:gridCol w:w="1398"/>
        <w:gridCol w:w="1398"/>
        <w:gridCol w:w="1398"/>
      </w:tblGrid>
      <w:tr w:rsidR="00DA38C1" w:rsidRPr="00DA38C1" w:rsidTr="00C401C4">
        <w:tc>
          <w:tcPr>
            <w:tcW w:w="5166" w:type="dxa"/>
            <w:vMerge w:val="restart"/>
            <w:tcBorders>
              <w:top w:val="single" w:sz="4" w:space="0" w:color="auto"/>
              <w:left w:val="single" w:sz="4" w:space="0" w:color="auto"/>
              <w:right w:val="single" w:sz="4" w:space="0" w:color="auto"/>
            </w:tcBorders>
            <w:shd w:val="clear" w:color="auto" w:fill="auto"/>
            <w:vAlign w:val="center"/>
          </w:tcPr>
          <w:p w:rsidR="00DA38C1" w:rsidRPr="00DA38C1" w:rsidRDefault="00DA38C1" w:rsidP="00DA38C1">
            <w:pPr>
              <w:jc w:val="left"/>
              <w:rPr>
                <w:b/>
                <w:bCs/>
                <w:color w:val="000000"/>
                <w:sz w:val="20"/>
                <w:szCs w:val="20"/>
                <w:lang w:val="en-US"/>
              </w:rPr>
            </w:pPr>
            <w:r w:rsidRPr="00DA38C1">
              <w:rPr>
                <w:b/>
                <w:bCs/>
                <w:color w:val="000000"/>
                <w:sz w:val="20"/>
                <w:szCs w:val="20"/>
                <w:lang w:val="en-US"/>
              </w:rPr>
              <w:t>Item</w:t>
            </w:r>
          </w:p>
        </w:tc>
        <w:tc>
          <w:tcPr>
            <w:tcW w:w="1398" w:type="dxa"/>
            <w:vMerge w:val="restart"/>
            <w:tcBorders>
              <w:top w:val="single" w:sz="4" w:space="0" w:color="auto"/>
              <w:left w:val="nil"/>
              <w:right w:val="single" w:sz="4" w:space="0" w:color="auto"/>
            </w:tcBorders>
            <w:shd w:val="clear" w:color="auto" w:fill="auto"/>
            <w:vAlign w:val="center"/>
          </w:tcPr>
          <w:p w:rsidR="00DA38C1" w:rsidRPr="00DA38C1" w:rsidRDefault="00DA38C1" w:rsidP="00DA38C1">
            <w:pPr>
              <w:jc w:val="center"/>
              <w:rPr>
                <w:b/>
                <w:bCs/>
                <w:color w:val="000000"/>
                <w:sz w:val="20"/>
                <w:szCs w:val="20"/>
                <w:lang w:val="en-US"/>
              </w:rPr>
            </w:pPr>
            <w:r w:rsidRPr="00DA38C1">
              <w:rPr>
                <w:b/>
                <w:bCs/>
                <w:color w:val="000000"/>
                <w:sz w:val="20"/>
                <w:szCs w:val="20"/>
                <w:lang w:val="en-US"/>
              </w:rPr>
              <w:t>Units</w:t>
            </w:r>
          </w:p>
        </w:tc>
        <w:tc>
          <w:tcPr>
            <w:tcW w:w="2796" w:type="dxa"/>
            <w:gridSpan w:val="2"/>
            <w:tcBorders>
              <w:top w:val="single" w:sz="4" w:space="0" w:color="auto"/>
              <w:left w:val="nil"/>
              <w:bottom w:val="single" w:sz="4" w:space="0" w:color="auto"/>
              <w:right w:val="single" w:sz="4" w:space="0" w:color="auto"/>
            </w:tcBorders>
            <w:shd w:val="clear" w:color="auto" w:fill="auto"/>
            <w:vAlign w:val="center"/>
          </w:tcPr>
          <w:p w:rsidR="00DA38C1" w:rsidRPr="00DA38C1" w:rsidRDefault="00DA38C1" w:rsidP="00DA38C1">
            <w:pPr>
              <w:jc w:val="center"/>
              <w:rPr>
                <w:b/>
                <w:bCs/>
                <w:color w:val="000000"/>
                <w:sz w:val="20"/>
                <w:szCs w:val="20"/>
                <w:lang w:val="en-US"/>
              </w:rPr>
            </w:pPr>
            <w:r w:rsidRPr="00DA38C1">
              <w:rPr>
                <w:b/>
                <w:bCs/>
                <w:color w:val="000000"/>
                <w:sz w:val="20"/>
                <w:szCs w:val="20"/>
                <w:lang w:val="en-US"/>
              </w:rPr>
              <w:t>Cost (US $)</w:t>
            </w:r>
          </w:p>
        </w:tc>
      </w:tr>
      <w:tr w:rsidR="00DA38C1" w:rsidRPr="00DA38C1" w:rsidTr="00C401C4">
        <w:tc>
          <w:tcPr>
            <w:tcW w:w="5166" w:type="dxa"/>
            <w:vMerge/>
            <w:tcBorders>
              <w:left w:val="single" w:sz="4" w:space="0" w:color="auto"/>
              <w:bottom w:val="single" w:sz="4" w:space="0" w:color="auto"/>
              <w:right w:val="single" w:sz="4" w:space="0" w:color="auto"/>
            </w:tcBorders>
            <w:shd w:val="clear" w:color="auto" w:fill="auto"/>
            <w:vAlign w:val="center"/>
            <w:hideMark/>
          </w:tcPr>
          <w:p w:rsidR="00DA38C1" w:rsidRPr="00DA38C1" w:rsidRDefault="00DA38C1" w:rsidP="00DA38C1">
            <w:pPr>
              <w:jc w:val="center"/>
              <w:rPr>
                <w:b/>
                <w:bCs/>
                <w:color w:val="000000"/>
                <w:sz w:val="20"/>
                <w:szCs w:val="20"/>
                <w:lang w:val="en-US"/>
              </w:rPr>
            </w:pPr>
          </w:p>
        </w:tc>
        <w:tc>
          <w:tcPr>
            <w:tcW w:w="1398" w:type="dxa"/>
            <w:vMerge/>
            <w:tcBorders>
              <w:left w:val="nil"/>
              <w:bottom w:val="single" w:sz="4" w:space="0" w:color="auto"/>
              <w:right w:val="single" w:sz="4" w:space="0" w:color="auto"/>
            </w:tcBorders>
            <w:shd w:val="clear" w:color="auto" w:fill="auto"/>
            <w:vAlign w:val="center"/>
            <w:hideMark/>
          </w:tcPr>
          <w:p w:rsidR="00DA38C1" w:rsidRPr="00DA38C1" w:rsidRDefault="00DA38C1" w:rsidP="00DA38C1">
            <w:pPr>
              <w:jc w:val="center"/>
              <w:rPr>
                <w:b/>
                <w:bCs/>
                <w:color w:val="000000"/>
                <w:sz w:val="20"/>
                <w:szCs w:val="20"/>
                <w:lang w:val="en-US"/>
              </w:rPr>
            </w:pP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DA38C1" w:rsidRPr="00DA38C1" w:rsidRDefault="00DA38C1" w:rsidP="00DA38C1">
            <w:pPr>
              <w:jc w:val="center"/>
              <w:rPr>
                <w:b/>
                <w:bCs/>
                <w:color w:val="000000"/>
                <w:sz w:val="20"/>
                <w:szCs w:val="20"/>
                <w:lang w:val="en-US"/>
              </w:rPr>
            </w:pPr>
            <w:r w:rsidRPr="00DA38C1">
              <w:rPr>
                <w:b/>
                <w:bCs/>
                <w:color w:val="000000"/>
                <w:sz w:val="20"/>
                <w:szCs w:val="20"/>
                <w:lang w:val="en-US"/>
              </w:rPr>
              <w:t xml:space="preserve">Unit </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DA38C1" w:rsidRPr="00DA38C1" w:rsidRDefault="00DA38C1" w:rsidP="00DA38C1">
            <w:pPr>
              <w:jc w:val="center"/>
              <w:rPr>
                <w:b/>
                <w:bCs/>
                <w:color w:val="000000"/>
                <w:sz w:val="20"/>
                <w:szCs w:val="20"/>
                <w:lang w:val="en-US"/>
              </w:rPr>
            </w:pPr>
            <w:r w:rsidRPr="00DA38C1">
              <w:rPr>
                <w:b/>
                <w:bCs/>
                <w:color w:val="000000"/>
                <w:sz w:val="20"/>
                <w:szCs w:val="20"/>
                <w:lang w:val="en-US"/>
              </w:rPr>
              <w:t xml:space="preserve">Total </w:t>
            </w:r>
          </w:p>
        </w:tc>
      </w:tr>
      <w:tr w:rsidR="00DA38C1" w:rsidRPr="00DA38C1" w:rsidTr="00C401C4">
        <w:tc>
          <w:tcPr>
            <w:tcW w:w="5166" w:type="dxa"/>
            <w:tcBorders>
              <w:top w:val="nil"/>
              <w:left w:val="single" w:sz="4" w:space="0" w:color="auto"/>
              <w:bottom w:val="single" w:sz="4" w:space="0" w:color="auto"/>
              <w:right w:val="single" w:sz="4" w:space="0" w:color="auto"/>
            </w:tcBorders>
            <w:shd w:val="clear" w:color="auto" w:fill="auto"/>
            <w:noWrap/>
            <w:vAlign w:val="center"/>
            <w:hideMark/>
          </w:tcPr>
          <w:p w:rsidR="00DA38C1" w:rsidRPr="00DA38C1" w:rsidRDefault="00DA38C1" w:rsidP="00DA38C1">
            <w:pPr>
              <w:jc w:val="left"/>
              <w:rPr>
                <w:color w:val="000000"/>
                <w:sz w:val="20"/>
                <w:szCs w:val="20"/>
                <w:lang w:val="fr-FR"/>
              </w:rPr>
            </w:pPr>
            <w:r w:rsidRPr="00DA38C1">
              <w:rPr>
                <w:color w:val="000000"/>
                <w:sz w:val="20"/>
                <w:szCs w:val="20"/>
                <w:lang w:val="fr-FR"/>
              </w:rPr>
              <w:t>Fixed production charging stations (zone-free concept)</w:t>
            </w:r>
          </w:p>
        </w:tc>
        <w:tc>
          <w:tcPr>
            <w:tcW w:w="1398" w:type="dxa"/>
            <w:tcBorders>
              <w:top w:val="nil"/>
              <w:left w:val="nil"/>
              <w:bottom w:val="single" w:sz="4" w:space="0" w:color="auto"/>
              <w:right w:val="single" w:sz="4" w:space="0" w:color="auto"/>
            </w:tcBorders>
            <w:shd w:val="clear" w:color="auto" w:fill="auto"/>
            <w:noWrap/>
            <w:tcMar>
              <w:left w:w="115" w:type="dxa"/>
              <w:right w:w="576" w:type="dxa"/>
            </w:tcMar>
            <w:vAlign w:val="center"/>
            <w:hideMark/>
          </w:tcPr>
          <w:p w:rsidR="00DA38C1" w:rsidRPr="00DA38C1" w:rsidRDefault="00DA38C1" w:rsidP="00DA38C1">
            <w:pPr>
              <w:jc w:val="right"/>
              <w:rPr>
                <w:color w:val="000000"/>
                <w:sz w:val="20"/>
                <w:szCs w:val="20"/>
                <w:lang w:val="en-US"/>
              </w:rPr>
            </w:pPr>
            <w:r w:rsidRPr="00DA38C1">
              <w:rPr>
                <w:color w:val="000000"/>
                <w:sz w:val="20"/>
                <w:szCs w:val="20"/>
                <w:lang w:val="en-US"/>
              </w:rPr>
              <w:t>1</w:t>
            </w:r>
          </w:p>
        </w:tc>
        <w:tc>
          <w:tcPr>
            <w:tcW w:w="1398" w:type="dxa"/>
            <w:tcBorders>
              <w:top w:val="nil"/>
              <w:left w:val="nil"/>
              <w:bottom w:val="single" w:sz="4" w:space="0" w:color="auto"/>
              <w:right w:val="single" w:sz="4" w:space="0" w:color="auto"/>
            </w:tcBorders>
            <w:shd w:val="clear" w:color="auto" w:fill="auto"/>
            <w:noWrap/>
            <w:tcMar>
              <w:left w:w="115" w:type="dxa"/>
              <w:right w:w="360" w:type="dxa"/>
            </w:tcMar>
            <w:vAlign w:val="center"/>
            <w:hideMark/>
          </w:tcPr>
          <w:p w:rsidR="00DA38C1" w:rsidRPr="00DA38C1" w:rsidRDefault="00DA38C1" w:rsidP="00DA38C1">
            <w:pPr>
              <w:jc w:val="right"/>
              <w:rPr>
                <w:color w:val="000000"/>
                <w:sz w:val="20"/>
                <w:szCs w:val="20"/>
                <w:lang w:val="en-US"/>
              </w:rPr>
            </w:pPr>
            <w:r w:rsidRPr="00DA38C1">
              <w:rPr>
                <w:color w:val="000000"/>
                <w:sz w:val="20"/>
                <w:szCs w:val="20"/>
                <w:lang w:val="en-US"/>
              </w:rPr>
              <w:t>216,055</w:t>
            </w:r>
          </w:p>
        </w:tc>
        <w:tc>
          <w:tcPr>
            <w:tcW w:w="1398" w:type="dxa"/>
            <w:tcBorders>
              <w:top w:val="nil"/>
              <w:left w:val="nil"/>
              <w:bottom w:val="single" w:sz="4" w:space="0" w:color="auto"/>
              <w:right w:val="single" w:sz="4" w:space="0" w:color="auto"/>
            </w:tcBorders>
            <w:shd w:val="clear" w:color="auto" w:fill="auto"/>
            <w:tcMar>
              <w:left w:w="115" w:type="dxa"/>
              <w:right w:w="360" w:type="dxa"/>
            </w:tcMar>
            <w:vAlign w:val="center"/>
            <w:hideMark/>
          </w:tcPr>
          <w:p w:rsidR="00DA38C1" w:rsidRPr="00DA38C1" w:rsidRDefault="00DA38C1" w:rsidP="00DA38C1">
            <w:pPr>
              <w:jc w:val="right"/>
              <w:rPr>
                <w:color w:val="000000"/>
                <w:sz w:val="20"/>
                <w:szCs w:val="20"/>
                <w:lang w:val="en-US"/>
              </w:rPr>
            </w:pPr>
            <w:r w:rsidRPr="00DA38C1">
              <w:rPr>
                <w:color w:val="000000"/>
                <w:sz w:val="20"/>
                <w:szCs w:val="20"/>
                <w:lang w:val="en-US"/>
              </w:rPr>
              <w:t>216,055</w:t>
            </w:r>
          </w:p>
        </w:tc>
      </w:tr>
      <w:tr w:rsidR="00DA38C1" w:rsidRPr="00DA38C1" w:rsidTr="00C401C4">
        <w:tc>
          <w:tcPr>
            <w:tcW w:w="5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8C1" w:rsidRPr="00DA38C1" w:rsidRDefault="00DA38C1" w:rsidP="00DA38C1">
            <w:pPr>
              <w:jc w:val="left"/>
              <w:rPr>
                <w:color w:val="000000"/>
                <w:sz w:val="20"/>
                <w:szCs w:val="20"/>
                <w:lang w:val="en-US"/>
              </w:rPr>
            </w:pPr>
            <w:r w:rsidRPr="00DA38C1">
              <w:rPr>
                <w:sz w:val="20"/>
                <w:szCs w:val="20"/>
                <w:lang w:val="en-CA"/>
              </w:rPr>
              <w:t>Anti-explosive (ATEX equivalent) air blowers</w:t>
            </w:r>
          </w:p>
        </w:tc>
        <w:tc>
          <w:tcPr>
            <w:tcW w:w="1398" w:type="dxa"/>
            <w:tcBorders>
              <w:top w:val="nil"/>
              <w:left w:val="single" w:sz="4" w:space="0" w:color="auto"/>
              <w:bottom w:val="single" w:sz="4" w:space="0" w:color="auto"/>
              <w:right w:val="single" w:sz="4" w:space="0" w:color="auto"/>
            </w:tcBorders>
            <w:shd w:val="clear" w:color="auto" w:fill="auto"/>
            <w:noWrap/>
            <w:tcMar>
              <w:left w:w="115" w:type="dxa"/>
              <w:right w:w="576" w:type="dxa"/>
            </w:tcMar>
            <w:vAlign w:val="center"/>
            <w:hideMark/>
          </w:tcPr>
          <w:p w:rsidR="00DA38C1" w:rsidRPr="00DA38C1" w:rsidRDefault="00DA38C1" w:rsidP="00DA38C1">
            <w:pPr>
              <w:jc w:val="right"/>
              <w:rPr>
                <w:color w:val="000000"/>
                <w:sz w:val="20"/>
                <w:szCs w:val="20"/>
                <w:lang w:val="en-US"/>
              </w:rPr>
            </w:pPr>
            <w:r w:rsidRPr="00DA38C1">
              <w:rPr>
                <w:color w:val="000000"/>
                <w:sz w:val="20"/>
                <w:szCs w:val="20"/>
                <w:lang w:val="en-US"/>
              </w:rPr>
              <w:t>4</w:t>
            </w:r>
          </w:p>
        </w:tc>
        <w:tc>
          <w:tcPr>
            <w:tcW w:w="1398" w:type="dxa"/>
            <w:tcBorders>
              <w:top w:val="nil"/>
              <w:left w:val="single" w:sz="4" w:space="0" w:color="auto"/>
              <w:bottom w:val="single" w:sz="4" w:space="0" w:color="auto"/>
              <w:right w:val="single" w:sz="4" w:space="0" w:color="auto"/>
            </w:tcBorders>
            <w:shd w:val="clear" w:color="auto" w:fill="auto"/>
            <w:noWrap/>
            <w:tcMar>
              <w:left w:w="115" w:type="dxa"/>
              <w:right w:w="360" w:type="dxa"/>
            </w:tcMar>
            <w:vAlign w:val="center"/>
            <w:hideMark/>
          </w:tcPr>
          <w:p w:rsidR="00DA38C1" w:rsidRPr="00DA38C1" w:rsidRDefault="00DA38C1" w:rsidP="00DA38C1">
            <w:pPr>
              <w:jc w:val="right"/>
              <w:rPr>
                <w:color w:val="000000"/>
                <w:sz w:val="20"/>
                <w:szCs w:val="20"/>
                <w:lang w:val="en-US"/>
              </w:rPr>
            </w:pPr>
            <w:r w:rsidRPr="00DA38C1">
              <w:rPr>
                <w:color w:val="000000"/>
                <w:sz w:val="20"/>
                <w:szCs w:val="20"/>
                <w:lang w:val="en-US"/>
              </w:rPr>
              <w:t>500</w:t>
            </w:r>
          </w:p>
        </w:tc>
        <w:tc>
          <w:tcPr>
            <w:tcW w:w="1398" w:type="dxa"/>
            <w:tcBorders>
              <w:top w:val="nil"/>
              <w:left w:val="single" w:sz="4" w:space="0" w:color="auto"/>
              <w:bottom w:val="single" w:sz="4" w:space="0" w:color="auto"/>
              <w:right w:val="single" w:sz="4" w:space="0" w:color="auto"/>
            </w:tcBorders>
            <w:shd w:val="clear" w:color="auto" w:fill="auto"/>
            <w:tcMar>
              <w:left w:w="115" w:type="dxa"/>
              <w:right w:w="360" w:type="dxa"/>
            </w:tcMar>
            <w:vAlign w:val="center"/>
            <w:hideMark/>
          </w:tcPr>
          <w:p w:rsidR="00DA38C1" w:rsidRPr="00DA38C1" w:rsidRDefault="00DA38C1" w:rsidP="00DA38C1">
            <w:pPr>
              <w:jc w:val="right"/>
              <w:rPr>
                <w:color w:val="000000"/>
                <w:sz w:val="20"/>
                <w:szCs w:val="20"/>
                <w:lang w:val="en-US"/>
              </w:rPr>
            </w:pPr>
            <w:r w:rsidRPr="00DA38C1">
              <w:rPr>
                <w:color w:val="000000"/>
                <w:sz w:val="20"/>
                <w:szCs w:val="20"/>
                <w:lang w:val="en-US"/>
              </w:rPr>
              <w:t>2,000</w:t>
            </w:r>
          </w:p>
        </w:tc>
      </w:tr>
      <w:tr w:rsidR="00DA38C1" w:rsidRPr="00DA38C1" w:rsidTr="00C401C4">
        <w:tc>
          <w:tcPr>
            <w:tcW w:w="5166" w:type="dxa"/>
            <w:tcBorders>
              <w:top w:val="single" w:sz="4" w:space="0" w:color="auto"/>
              <w:left w:val="single" w:sz="4" w:space="0" w:color="auto"/>
              <w:bottom w:val="single" w:sz="4" w:space="0" w:color="auto"/>
              <w:right w:val="single" w:sz="4" w:space="0" w:color="auto"/>
            </w:tcBorders>
            <w:shd w:val="clear" w:color="auto" w:fill="auto"/>
            <w:noWrap/>
            <w:hideMark/>
          </w:tcPr>
          <w:p w:rsidR="00DA38C1" w:rsidRPr="00DA38C1" w:rsidRDefault="00DA38C1" w:rsidP="00DA38C1">
            <w:pPr>
              <w:contextualSpacing/>
              <w:rPr>
                <w:sz w:val="20"/>
                <w:szCs w:val="20"/>
                <w:lang w:val="en-CA"/>
              </w:rPr>
            </w:pPr>
            <w:r w:rsidRPr="00DA38C1">
              <w:rPr>
                <w:sz w:val="20"/>
                <w:szCs w:val="20"/>
                <w:lang w:val="en-CA"/>
              </w:rPr>
              <w:t>Fire extinguishers</w:t>
            </w:r>
          </w:p>
        </w:tc>
        <w:tc>
          <w:tcPr>
            <w:tcW w:w="1398" w:type="dxa"/>
            <w:tcBorders>
              <w:top w:val="nil"/>
              <w:left w:val="nil"/>
              <w:bottom w:val="single" w:sz="4" w:space="0" w:color="auto"/>
              <w:right w:val="single" w:sz="4" w:space="0" w:color="auto"/>
            </w:tcBorders>
            <w:shd w:val="clear" w:color="auto" w:fill="auto"/>
            <w:noWrap/>
            <w:tcMar>
              <w:left w:w="115" w:type="dxa"/>
              <w:right w:w="576" w:type="dxa"/>
            </w:tcMar>
            <w:vAlign w:val="center"/>
            <w:hideMark/>
          </w:tcPr>
          <w:p w:rsidR="00DA38C1" w:rsidRPr="00DA38C1" w:rsidRDefault="00DA38C1" w:rsidP="00DA38C1">
            <w:pPr>
              <w:jc w:val="right"/>
              <w:rPr>
                <w:color w:val="000000"/>
                <w:sz w:val="20"/>
                <w:szCs w:val="20"/>
                <w:lang w:val="en-US"/>
              </w:rPr>
            </w:pPr>
            <w:r w:rsidRPr="00DA38C1">
              <w:rPr>
                <w:color w:val="000000"/>
                <w:sz w:val="20"/>
                <w:szCs w:val="20"/>
                <w:lang w:val="en-US"/>
              </w:rPr>
              <w:t>10</w:t>
            </w:r>
          </w:p>
        </w:tc>
        <w:tc>
          <w:tcPr>
            <w:tcW w:w="1398" w:type="dxa"/>
            <w:tcBorders>
              <w:top w:val="nil"/>
              <w:left w:val="nil"/>
              <w:bottom w:val="single" w:sz="4" w:space="0" w:color="auto"/>
              <w:right w:val="single" w:sz="4" w:space="0" w:color="auto"/>
            </w:tcBorders>
            <w:shd w:val="clear" w:color="auto" w:fill="auto"/>
            <w:noWrap/>
            <w:tcMar>
              <w:left w:w="115" w:type="dxa"/>
              <w:right w:w="360" w:type="dxa"/>
            </w:tcMar>
            <w:vAlign w:val="center"/>
            <w:hideMark/>
          </w:tcPr>
          <w:p w:rsidR="00DA38C1" w:rsidRPr="00DA38C1" w:rsidRDefault="00DA38C1" w:rsidP="00DA38C1">
            <w:pPr>
              <w:jc w:val="right"/>
              <w:rPr>
                <w:color w:val="000000"/>
                <w:sz w:val="20"/>
                <w:szCs w:val="20"/>
                <w:lang w:val="en-US"/>
              </w:rPr>
            </w:pPr>
            <w:r w:rsidRPr="00DA38C1">
              <w:rPr>
                <w:color w:val="000000"/>
                <w:sz w:val="20"/>
                <w:szCs w:val="20"/>
                <w:lang w:val="en-US"/>
              </w:rPr>
              <w:t>100</w:t>
            </w:r>
          </w:p>
        </w:tc>
        <w:tc>
          <w:tcPr>
            <w:tcW w:w="1398" w:type="dxa"/>
            <w:tcBorders>
              <w:top w:val="nil"/>
              <w:left w:val="nil"/>
              <w:bottom w:val="single" w:sz="4" w:space="0" w:color="auto"/>
              <w:right w:val="single" w:sz="4" w:space="0" w:color="auto"/>
            </w:tcBorders>
            <w:shd w:val="clear" w:color="auto" w:fill="auto"/>
            <w:tcMar>
              <w:left w:w="115" w:type="dxa"/>
              <w:right w:w="360" w:type="dxa"/>
            </w:tcMar>
            <w:vAlign w:val="center"/>
            <w:hideMark/>
          </w:tcPr>
          <w:p w:rsidR="00DA38C1" w:rsidRPr="00DA38C1" w:rsidRDefault="00DA38C1" w:rsidP="00DA38C1">
            <w:pPr>
              <w:jc w:val="right"/>
              <w:rPr>
                <w:color w:val="000000"/>
                <w:sz w:val="20"/>
                <w:szCs w:val="20"/>
                <w:lang w:val="en-US"/>
              </w:rPr>
            </w:pPr>
            <w:r w:rsidRPr="00DA38C1">
              <w:rPr>
                <w:color w:val="000000"/>
                <w:sz w:val="20"/>
                <w:szCs w:val="20"/>
                <w:lang w:val="en-US"/>
              </w:rPr>
              <w:t>1,000</w:t>
            </w:r>
          </w:p>
        </w:tc>
      </w:tr>
      <w:tr w:rsidR="00DA38C1" w:rsidRPr="00DA38C1" w:rsidTr="00C401C4">
        <w:tc>
          <w:tcPr>
            <w:tcW w:w="5166" w:type="dxa"/>
            <w:tcBorders>
              <w:top w:val="nil"/>
              <w:left w:val="single" w:sz="4" w:space="0" w:color="auto"/>
              <w:bottom w:val="single" w:sz="4" w:space="0" w:color="auto"/>
              <w:right w:val="single" w:sz="4" w:space="0" w:color="auto"/>
            </w:tcBorders>
            <w:shd w:val="clear" w:color="auto" w:fill="auto"/>
            <w:noWrap/>
            <w:vAlign w:val="center"/>
            <w:hideMark/>
          </w:tcPr>
          <w:p w:rsidR="00DA38C1" w:rsidRPr="00DA38C1" w:rsidRDefault="00DA38C1" w:rsidP="00DA38C1">
            <w:pPr>
              <w:jc w:val="left"/>
              <w:rPr>
                <w:color w:val="000000"/>
                <w:sz w:val="20"/>
                <w:szCs w:val="20"/>
                <w:lang w:val="en-US"/>
              </w:rPr>
            </w:pPr>
            <w:r w:rsidRPr="00DA38C1">
              <w:rPr>
                <w:color w:val="000000"/>
                <w:sz w:val="20"/>
                <w:szCs w:val="20"/>
                <w:lang w:val="en-US"/>
              </w:rPr>
              <w:t>Training of production-line workers by a specialized trainer</w:t>
            </w:r>
          </w:p>
        </w:tc>
        <w:tc>
          <w:tcPr>
            <w:tcW w:w="1398" w:type="dxa"/>
            <w:tcBorders>
              <w:top w:val="nil"/>
              <w:left w:val="nil"/>
              <w:bottom w:val="single" w:sz="4" w:space="0" w:color="auto"/>
              <w:right w:val="single" w:sz="4" w:space="0" w:color="auto"/>
            </w:tcBorders>
            <w:shd w:val="clear" w:color="auto" w:fill="auto"/>
            <w:noWrap/>
            <w:tcMar>
              <w:left w:w="115" w:type="dxa"/>
              <w:right w:w="576" w:type="dxa"/>
            </w:tcMar>
            <w:vAlign w:val="center"/>
            <w:hideMark/>
          </w:tcPr>
          <w:p w:rsidR="00DA38C1" w:rsidRPr="00DA38C1" w:rsidRDefault="00DA38C1" w:rsidP="00DA38C1">
            <w:pPr>
              <w:jc w:val="right"/>
              <w:rPr>
                <w:color w:val="000000"/>
                <w:sz w:val="20"/>
                <w:szCs w:val="20"/>
                <w:lang w:val="en-US"/>
              </w:rPr>
            </w:pPr>
            <w:r w:rsidRPr="00DA38C1">
              <w:rPr>
                <w:color w:val="000000"/>
                <w:sz w:val="20"/>
                <w:szCs w:val="20"/>
                <w:lang w:val="en-US"/>
              </w:rPr>
              <w:t>1</w:t>
            </w:r>
          </w:p>
        </w:tc>
        <w:tc>
          <w:tcPr>
            <w:tcW w:w="1398" w:type="dxa"/>
            <w:tcBorders>
              <w:top w:val="nil"/>
              <w:left w:val="nil"/>
              <w:bottom w:val="single" w:sz="4" w:space="0" w:color="auto"/>
              <w:right w:val="single" w:sz="4" w:space="0" w:color="auto"/>
            </w:tcBorders>
            <w:shd w:val="clear" w:color="auto" w:fill="auto"/>
            <w:noWrap/>
            <w:tcMar>
              <w:left w:w="115" w:type="dxa"/>
              <w:right w:w="360" w:type="dxa"/>
            </w:tcMar>
            <w:vAlign w:val="center"/>
            <w:hideMark/>
          </w:tcPr>
          <w:p w:rsidR="00DA38C1" w:rsidRPr="00DA38C1" w:rsidRDefault="00DA38C1" w:rsidP="00DA38C1">
            <w:pPr>
              <w:jc w:val="right"/>
              <w:rPr>
                <w:color w:val="000000"/>
                <w:sz w:val="20"/>
                <w:szCs w:val="20"/>
                <w:lang w:val="en-US"/>
              </w:rPr>
            </w:pPr>
            <w:r w:rsidRPr="00DA38C1">
              <w:rPr>
                <w:color w:val="000000"/>
                <w:sz w:val="20"/>
                <w:szCs w:val="20"/>
                <w:lang w:val="en-US"/>
              </w:rPr>
              <w:t>10,000</w:t>
            </w:r>
          </w:p>
        </w:tc>
        <w:tc>
          <w:tcPr>
            <w:tcW w:w="1398" w:type="dxa"/>
            <w:tcBorders>
              <w:top w:val="nil"/>
              <w:left w:val="nil"/>
              <w:bottom w:val="single" w:sz="4" w:space="0" w:color="auto"/>
              <w:right w:val="single" w:sz="4" w:space="0" w:color="auto"/>
            </w:tcBorders>
            <w:shd w:val="clear" w:color="auto" w:fill="auto"/>
            <w:tcMar>
              <w:left w:w="115" w:type="dxa"/>
              <w:right w:w="360" w:type="dxa"/>
            </w:tcMar>
            <w:vAlign w:val="center"/>
            <w:hideMark/>
          </w:tcPr>
          <w:p w:rsidR="00DA38C1" w:rsidRPr="00DA38C1" w:rsidRDefault="00DA38C1" w:rsidP="00DA38C1">
            <w:pPr>
              <w:jc w:val="right"/>
              <w:rPr>
                <w:color w:val="000000"/>
                <w:sz w:val="20"/>
                <w:szCs w:val="20"/>
                <w:lang w:val="en-US"/>
              </w:rPr>
            </w:pPr>
            <w:r w:rsidRPr="00DA38C1">
              <w:rPr>
                <w:color w:val="000000"/>
                <w:sz w:val="20"/>
                <w:szCs w:val="20"/>
                <w:lang w:val="en-US"/>
              </w:rPr>
              <w:t>10,000</w:t>
            </w:r>
          </w:p>
        </w:tc>
      </w:tr>
      <w:tr w:rsidR="00DA38C1" w:rsidRPr="00DA38C1" w:rsidTr="00C401C4">
        <w:tc>
          <w:tcPr>
            <w:tcW w:w="5166" w:type="dxa"/>
            <w:tcBorders>
              <w:top w:val="nil"/>
              <w:left w:val="single" w:sz="4" w:space="0" w:color="auto"/>
              <w:bottom w:val="single" w:sz="4" w:space="0" w:color="auto"/>
              <w:right w:val="single" w:sz="4" w:space="0" w:color="auto"/>
            </w:tcBorders>
            <w:shd w:val="clear" w:color="auto" w:fill="auto"/>
            <w:noWrap/>
            <w:vAlign w:val="center"/>
            <w:hideMark/>
          </w:tcPr>
          <w:p w:rsidR="00DA38C1" w:rsidRPr="00DA38C1" w:rsidRDefault="00DA38C1" w:rsidP="00DA38C1">
            <w:pPr>
              <w:jc w:val="left"/>
              <w:rPr>
                <w:color w:val="000000"/>
                <w:sz w:val="20"/>
                <w:szCs w:val="20"/>
                <w:lang w:val="en-US"/>
              </w:rPr>
            </w:pPr>
            <w:r w:rsidRPr="00DA38C1">
              <w:rPr>
                <w:color w:val="000000"/>
                <w:sz w:val="20"/>
                <w:szCs w:val="20"/>
                <w:lang w:val="en-US"/>
              </w:rPr>
              <w:t>Training at 10 servicing workshops</w:t>
            </w:r>
          </w:p>
        </w:tc>
        <w:tc>
          <w:tcPr>
            <w:tcW w:w="1398" w:type="dxa"/>
            <w:tcBorders>
              <w:top w:val="nil"/>
              <w:left w:val="nil"/>
              <w:bottom w:val="single" w:sz="4" w:space="0" w:color="auto"/>
              <w:right w:val="single" w:sz="4" w:space="0" w:color="auto"/>
            </w:tcBorders>
            <w:shd w:val="clear" w:color="auto" w:fill="auto"/>
            <w:noWrap/>
            <w:tcMar>
              <w:left w:w="115" w:type="dxa"/>
              <w:right w:w="576" w:type="dxa"/>
            </w:tcMar>
            <w:vAlign w:val="center"/>
            <w:hideMark/>
          </w:tcPr>
          <w:p w:rsidR="00DA38C1" w:rsidRPr="00DA38C1" w:rsidRDefault="00DA38C1" w:rsidP="00DA38C1">
            <w:pPr>
              <w:jc w:val="right"/>
              <w:rPr>
                <w:color w:val="000000"/>
                <w:sz w:val="20"/>
                <w:szCs w:val="20"/>
                <w:lang w:val="en-US"/>
              </w:rPr>
            </w:pPr>
            <w:r w:rsidRPr="00DA38C1">
              <w:rPr>
                <w:color w:val="000000"/>
                <w:sz w:val="20"/>
                <w:szCs w:val="20"/>
                <w:lang w:val="en-US"/>
              </w:rPr>
              <w:t>10</w:t>
            </w:r>
          </w:p>
        </w:tc>
        <w:tc>
          <w:tcPr>
            <w:tcW w:w="1398" w:type="dxa"/>
            <w:tcBorders>
              <w:top w:val="nil"/>
              <w:left w:val="nil"/>
              <w:bottom w:val="single" w:sz="4" w:space="0" w:color="auto"/>
              <w:right w:val="single" w:sz="4" w:space="0" w:color="auto"/>
            </w:tcBorders>
            <w:shd w:val="clear" w:color="auto" w:fill="auto"/>
            <w:noWrap/>
            <w:tcMar>
              <w:left w:w="115" w:type="dxa"/>
              <w:right w:w="360" w:type="dxa"/>
            </w:tcMar>
            <w:vAlign w:val="center"/>
            <w:hideMark/>
          </w:tcPr>
          <w:p w:rsidR="00DA38C1" w:rsidRPr="00DA38C1" w:rsidRDefault="00DA38C1" w:rsidP="00DA38C1">
            <w:pPr>
              <w:jc w:val="right"/>
              <w:rPr>
                <w:color w:val="000000"/>
                <w:sz w:val="20"/>
                <w:szCs w:val="20"/>
                <w:lang w:val="en-US"/>
              </w:rPr>
            </w:pPr>
            <w:r w:rsidRPr="00DA38C1">
              <w:rPr>
                <w:color w:val="000000"/>
                <w:sz w:val="20"/>
                <w:szCs w:val="20"/>
                <w:lang w:val="en-US"/>
              </w:rPr>
              <w:t>5,000</w:t>
            </w:r>
          </w:p>
        </w:tc>
        <w:tc>
          <w:tcPr>
            <w:tcW w:w="1398" w:type="dxa"/>
            <w:tcBorders>
              <w:top w:val="nil"/>
              <w:left w:val="nil"/>
              <w:bottom w:val="single" w:sz="4" w:space="0" w:color="auto"/>
              <w:right w:val="single" w:sz="4" w:space="0" w:color="auto"/>
            </w:tcBorders>
            <w:shd w:val="clear" w:color="auto" w:fill="auto"/>
            <w:tcMar>
              <w:left w:w="115" w:type="dxa"/>
              <w:right w:w="360" w:type="dxa"/>
            </w:tcMar>
            <w:vAlign w:val="center"/>
            <w:hideMark/>
          </w:tcPr>
          <w:p w:rsidR="00DA38C1" w:rsidRPr="00DA38C1" w:rsidRDefault="00DA38C1" w:rsidP="00DA38C1">
            <w:pPr>
              <w:jc w:val="right"/>
              <w:rPr>
                <w:color w:val="000000"/>
                <w:sz w:val="20"/>
                <w:szCs w:val="20"/>
                <w:lang w:val="en-US"/>
              </w:rPr>
            </w:pPr>
            <w:r w:rsidRPr="00DA38C1">
              <w:rPr>
                <w:color w:val="000000"/>
                <w:sz w:val="20"/>
                <w:szCs w:val="20"/>
                <w:lang w:val="en-US"/>
              </w:rPr>
              <w:t>50,000</w:t>
            </w:r>
          </w:p>
        </w:tc>
      </w:tr>
      <w:tr w:rsidR="00DA38C1" w:rsidRPr="00DA38C1" w:rsidTr="00C401C4">
        <w:tc>
          <w:tcPr>
            <w:tcW w:w="5166" w:type="dxa"/>
            <w:tcBorders>
              <w:top w:val="nil"/>
              <w:left w:val="single" w:sz="4" w:space="0" w:color="auto"/>
              <w:bottom w:val="single" w:sz="4" w:space="0" w:color="auto"/>
              <w:right w:val="single" w:sz="4" w:space="0" w:color="auto"/>
            </w:tcBorders>
            <w:shd w:val="clear" w:color="auto" w:fill="auto"/>
            <w:noWrap/>
            <w:vAlign w:val="center"/>
            <w:hideMark/>
          </w:tcPr>
          <w:p w:rsidR="00DA38C1" w:rsidRPr="00DA38C1" w:rsidRDefault="00DA38C1" w:rsidP="00DA38C1">
            <w:pPr>
              <w:jc w:val="left"/>
              <w:rPr>
                <w:b/>
                <w:bCs/>
                <w:color w:val="000000"/>
                <w:sz w:val="20"/>
                <w:szCs w:val="20"/>
                <w:lang w:val="en-US"/>
              </w:rPr>
            </w:pPr>
            <w:r w:rsidRPr="00DA38C1">
              <w:rPr>
                <w:b/>
                <w:bCs/>
                <w:color w:val="000000"/>
                <w:sz w:val="20"/>
                <w:szCs w:val="20"/>
                <w:lang w:val="en-US"/>
              </w:rPr>
              <w:t>Total ICCs</w:t>
            </w:r>
          </w:p>
        </w:tc>
        <w:tc>
          <w:tcPr>
            <w:tcW w:w="1398" w:type="dxa"/>
            <w:tcBorders>
              <w:top w:val="nil"/>
              <w:left w:val="nil"/>
              <w:bottom w:val="single" w:sz="4" w:space="0" w:color="auto"/>
              <w:right w:val="single" w:sz="4" w:space="0" w:color="auto"/>
            </w:tcBorders>
            <w:shd w:val="clear" w:color="auto" w:fill="auto"/>
            <w:noWrap/>
            <w:vAlign w:val="center"/>
            <w:hideMark/>
          </w:tcPr>
          <w:p w:rsidR="00DA38C1" w:rsidRPr="00DA38C1" w:rsidRDefault="00DA38C1" w:rsidP="00DA38C1">
            <w:pPr>
              <w:jc w:val="left"/>
              <w:rPr>
                <w:b/>
                <w:bCs/>
                <w:color w:val="000000"/>
                <w:sz w:val="20"/>
                <w:szCs w:val="20"/>
                <w:lang w:val="en-US"/>
              </w:rPr>
            </w:pPr>
            <w:r w:rsidRPr="00DA38C1">
              <w:rPr>
                <w:b/>
                <w:bCs/>
                <w:color w:val="000000"/>
                <w:sz w:val="20"/>
                <w:szCs w:val="20"/>
                <w:lang w:val="en-US"/>
              </w:rPr>
              <w:t> </w:t>
            </w:r>
          </w:p>
        </w:tc>
        <w:tc>
          <w:tcPr>
            <w:tcW w:w="1398" w:type="dxa"/>
            <w:tcBorders>
              <w:top w:val="nil"/>
              <w:left w:val="nil"/>
              <w:bottom w:val="single" w:sz="4" w:space="0" w:color="auto"/>
              <w:right w:val="single" w:sz="4" w:space="0" w:color="auto"/>
            </w:tcBorders>
            <w:shd w:val="clear" w:color="auto" w:fill="auto"/>
            <w:noWrap/>
            <w:tcMar>
              <w:left w:w="115" w:type="dxa"/>
              <w:right w:w="360" w:type="dxa"/>
            </w:tcMar>
            <w:vAlign w:val="center"/>
            <w:hideMark/>
          </w:tcPr>
          <w:p w:rsidR="00DA38C1" w:rsidRPr="00DA38C1" w:rsidRDefault="00DA38C1" w:rsidP="00DA38C1">
            <w:pPr>
              <w:jc w:val="right"/>
              <w:rPr>
                <w:b/>
                <w:bCs/>
                <w:color w:val="000000"/>
                <w:sz w:val="20"/>
                <w:szCs w:val="20"/>
                <w:lang w:val="en-US"/>
              </w:rPr>
            </w:pPr>
            <w:r w:rsidRPr="00DA38C1">
              <w:rPr>
                <w:b/>
                <w:bCs/>
                <w:color w:val="000000"/>
                <w:sz w:val="20"/>
                <w:szCs w:val="20"/>
                <w:lang w:val="en-US"/>
              </w:rPr>
              <w:t> </w:t>
            </w:r>
          </w:p>
        </w:tc>
        <w:tc>
          <w:tcPr>
            <w:tcW w:w="1398" w:type="dxa"/>
            <w:tcBorders>
              <w:top w:val="nil"/>
              <w:left w:val="nil"/>
              <w:bottom w:val="single" w:sz="4" w:space="0" w:color="auto"/>
              <w:right w:val="single" w:sz="4" w:space="0" w:color="auto"/>
            </w:tcBorders>
            <w:shd w:val="clear" w:color="auto" w:fill="auto"/>
            <w:noWrap/>
            <w:tcMar>
              <w:left w:w="115" w:type="dxa"/>
              <w:right w:w="360" w:type="dxa"/>
            </w:tcMar>
            <w:vAlign w:val="center"/>
            <w:hideMark/>
          </w:tcPr>
          <w:p w:rsidR="00DA38C1" w:rsidRPr="00DA38C1" w:rsidRDefault="00DA38C1" w:rsidP="00DA38C1">
            <w:pPr>
              <w:jc w:val="right"/>
              <w:rPr>
                <w:b/>
                <w:bCs/>
                <w:color w:val="000000"/>
                <w:sz w:val="20"/>
                <w:szCs w:val="20"/>
                <w:lang w:val="en-US"/>
              </w:rPr>
            </w:pPr>
            <w:r w:rsidRPr="00DA38C1">
              <w:rPr>
                <w:b/>
                <w:bCs/>
                <w:color w:val="000000"/>
                <w:sz w:val="20"/>
                <w:szCs w:val="20"/>
                <w:lang w:val="en-US"/>
              </w:rPr>
              <w:t>279,055</w:t>
            </w:r>
          </w:p>
        </w:tc>
      </w:tr>
    </w:tbl>
    <w:p w:rsidR="00DA38C1" w:rsidRPr="00DA38C1" w:rsidRDefault="00DA38C1" w:rsidP="00DA38C1">
      <w:pPr>
        <w:rPr>
          <w:highlight w:val="yellow"/>
        </w:rPr>
      </w:pPr>
    </w:p>
    <w:p w:rsidR="00DA38C1" w:rsidRPr="00DA38C1" w:rsidRDefault="00DA38C1" w:rsidP="00DA38C1">
      <w:pPr>
        <w:numPr>
          <w:ilvl w:val="0"/>
          <w:numId w:val="1"/>
        </w:numPr>
        <w:tabs>
          <w:tab w:val="clear" w:pos="1134"/>
          <w:tab w:val="num" w:pos="0"/>
        </w:tabs>
        <w:spacing w:after="240"/>
        <w:ind w:left="0"/>
        <w:outlineLvl w:val="0"/>
      </w:pPr>
      <w:r w:rsidRPr="00DA38C1">
        <w:t>The incremental operating costs (IOCs) were calculated as the difference in the price of HFC</w:t>
      </w:r>
      <w:r w:rsidRPr="00DA38C1">
        <w:noBreakHyphen/>
        <w:t>134a and HFO-1234yf. Currently, the cost of HFO-1234yf is about 20 times higher than that of HFC-134a; it is expected that with the increase of demand for the refrigerant, the supply will increase in the local market at a lower cost. Given the high volatility of the local currency, IOCs were calculated on the expected 2018 consumption of 24.2 mt of HFC-134a, considering three scenarios for the exchange rate of Iranian rials (IRR) to US dollars, as shown in Table 2.</w:t>
      </w:r>
    </w:p>
    <w:p w:rsidR="00DA38C1" w:rsidRPr="00DA38C1" w:rsidRDefault="00DA38C1" w:rsidP="00DA38C1">
      <w:pPr>
        <w:rPr>
          <w:b/>
        </w:rPr>
      </w:pPr>
      <w:r w:rsidRPr="00DA38C1">
        <w:rPr>
          <w:b/>
        </w:rPr>
        <w:t>Table 2:</w:t>
      </w:r>
      <w:r w:rsidRPr="00DA38C1">
        <w:t xml:space="preserve"> </w:t>
      </w:r>
      <w:r w:rsidRPr="00DA38C1">
        <w:rPr>
          <w:b/>
        </w:rPr>
        <w:t>Estimated IOCs for the conversion in MA</w:t>
      </w:r>
      <w:r w:rsidR="00E45BA5">
        <w:rPr>
          <w:b/>
        </w:rPr>
        <w:t>C manufacturing in Kerman Motor</w:t>
      </w:r>
      <w:bookmarkStart w:id="0" w:name="_GoBack"/>
      <w:bookmarkEnd w:id="0"/>
    </w:p>
    <w:tbl>
      <w:tblPr>
        <w:tblStyle w:val="TableGrid"/>
        <w:tblW w:w="0" w:type="auto"/>
        <w:tblInd w:w="108" w:type="dxa"/>
        <w:tblLook w:val="04A0" w:firstRow="1" w:lastRow="0" w:firstColumn="1" w:lastColumn="0" w:noHBand="0" w:noVBand="1"/>
      </w:tblPr>
      <w:tblGrid>
        <w:gridCol w:w="1544"/>
        <w:gridCol w:w="1544"/>
        <w:gridCol w:w="1532"/>
        <w:gridCol w:w="1535"/>
        <w:gridCol w:w="1545"/>
        <w:gridCol w:w="1542"/>
      </w:tblGrid>
      <w:tr w:rsidR="00DA38C1" w:rsidRPr="00DA38C1" w:rsidTr="00C401C4">
        <w:tc>
          <w:tcPr>
            <w:tcW w:w="1560" w:type="dxa"/>
            <w:vMerge w:val="restart"/>
            <w:vAlign w:val="center"/>
          </w:tcPr>
          <w:p w:rsidR="00DA38C1" w:rsidRPr="00DA38C1" w:rsidRDefault="00DA38C1" w:rsidP="00DA38C1">
            <w:pPr>
              <w:jc w:val="left"/>
              <w:rPr>
                <w:b/>
                <w:sz w:val="20"/>
                <w:szCs w:val="20"/>
              </w:rPr>
            </w:pPr>
            <w:r w:rsidRPr="00DA38C1">
              <w:rPr>
                <w:b/>
                <w:sz w:val="20"/>
                <w:szCs w:val="20"/>
              </w:rPr>
              <w:t>Scenarios</w:t>
            </w:r>
          </w:p>
        </w:tc>
        <w:tc>
          <w:tcPr>
            <w:tcW w:w="1560" w:type="dxa"/>
            <w:vMerge w:val="restart"/>
            <w:vAlign w:val="center"/>
          </w:tcPr>
          <w:p w:rsidR="00DA38C1" w:rsidRPr="00DA38C1" w:rsidRDefault="00DA38C1" w:rsidP="00DA38C1">
            <w:pPr>
              <w:jc w:val="center"/>
              <w:rPr>
                <w:b/>
                <w:sz w:val="20"/>
                <w:szCs w:val="20"/>
              </w:rPr>
            </w:pPr>
            <w:r w:rsidRPr="00DA38C1">
              <w:rPr>
                <w:b/>
                <w:sz w:val="20"/>
                <w:szCs w:val="20"/>
              </w:rPr>
              <w:t>Exchange rate (IRR to US $)</w:t>
            </w:r>
          </w:p>
        </w:tc>
        <w:tc>
          <w:tcPr>
            <w:tcW w:w="3120" w:type="dxa"/>
            <w:gridSpan w:val="2"/>
            <w:vAlign w:val="center"/>
          </w:tcPr>
          <w:p w:rsidR="00DA38C1" w:rsidRPr="00DA38C1" w:rsidRDefault="00DA38C1" w:rsidP="00DA38C1">
            <w:pPr>
              <w:jc w:val="center"/>
              <w:rPr>
                <w:b/>
                <w:sz w:val="20"/>
                <w:szCs w:val="20"/>
              </w:rPr>
            </w:pPr>
            <w:r w:rsidRPr="00DA38C1">
              <w:rPr>
                <w:b/>
                <w:sz w:val="20"/>
                <w:szCs w:val="20"/>
              </w:rPr>
              <w:t>Unit price (US $/kg)</w:t>
            </w:r>
          </w:p>
        </w:tc>
        <w:tc>
          <w:tcPr>
            <w:tcW w:w="1560" w:type="dxa"/>
            <w:vMerge w:val="restart"/>
            <w:vAlign w:val="center"/>
          </w:tcPr>
          <w:p w:rsidR="00DA38C1" w:rsidRPr="00DA38C1" w:rsidRDefault="00DA38C1" w:rsidP="00DA38C1">
            <w:pPr>
              <w:jc w:val="center"/>
              <w:rPr>
                <w:b/>
                <w:sz w:val="20"/>
                <w:szCs w:val="20"/>
              </w:rPr>
            </w:pPr>
            <w:r w:rsidRPr="00DA38C1">
              <w:rPr>
                <w:b/>
                <w:sz w:val="20"/>
                <w:szCs w:val="20"/>
              </w:rPr>
              <w:t>Difference (US $/kg)</w:t>
            </w:r>
          </w:p>
        </w:tc>
        <w:tc>
          <w:tcPr>
            <w:tcW w:w="1560" w:type="dxa"/>
            <w:vMerge w:val="restart"/>
            <w:vAlign w:val="center"/>
          </w:tcPr>
          <w:p w:rsidR="00DA38C1" w:rsidRPr="00DA38C1" w:rsidRDefault="00DA38C1" w:rsidP="00DA38C1">
            <w:pPr>
              <w:jc w:val="center"/>
              <w:rPr>
                <w:b/>
                <w:sz w:val="20"/>
                <w:szCs w:val="20"/>
              </w:rPr>
            </w:pPr>
            <w:r w:rsidRPr="00DA38C1">
              <w:rPr>
                <w:b/>
                <w:sz w:val="20"/>
                <w:szCs w:val="20"/>
              </w:rPr>
              <w:t>Annual IOCs (US $)</w:t>
            </w:r>
          </w:p>
        </w:tc>
      </w:tr>
      <w:tr w:rsidR="00DA38C1" w:rsidRPr="00DA38C1" w:rsidTr="00C401C4">
        <w:tc>
          <w:tcPr>
            <w:tcW w:w="1560" w:type="dxa"/>
            <w:vMerge/>
          </w:tcPr>
          <w:p w:rsidR="00DA38C1" w:rsidRPr="00DA38C1" w:rsidRDefault="00DA38C1" w:rsidP="00DA38C1">
            <w:pPr>
              <w:jc w:val="center"/>
              <w:rPr>
                <w:b/>
                <w:sz w:val="20"/>
                <w:szCs w:val="20"/>
              </w:rPr>
            </w:pPr>
          </w:p>
        </w:tc>
        <w:tc>
          <w:tcPr>
            <w:tcW w:w="1560" w:type="dxa"/>
            <w:vMerge/>
            <w:vAlign w:val="center"/>
          </w:tcPr>
          <w:p w:rsidR="00DA38C1" w:rsidRPr="00DA38C1" w:rsidRDefault="00DA38C1" w:rsidP="00DA38C1">
            <w:pPr>
              <w:jc w:val="center"/>
              <w:rPr>
                <w:b/>
                <w:sz w:val="20"/>
                <w:szCs w:val="20"/>
              </w:rPr>
            </w:pPr>
          </w:p>
        </w:tc>
        <w:tc>
          <w:tcPr>
            <w:tcW w:w="1560" w:type="dxa"/>
            <w:vAlign w:val="center"/>
          </w:tcPr>
          <w:p w:rsidR="00DA38C1" w:rsidRPr="00DA38C1" w:rsidRDefault="00DA38C1" w:rsidP="00DA38C1">
            <w:pPr>
              <w:jc w:val="center"/>
              <w:rPr>
                <w:b/>
                <w:sz w:val="20"/>
                <w:szCs w:val="20"/>
              </w:rPr>
            </w:pPr>
            <w:r w:rsidRPr="00DA38C1">
              <w:rPr>
                <w:b/>
                <w:sz w:val="20"/>
                <w:szCs w:val="20"/>
              </w:rPr>
              <w:t xml:space="preserve">HFC-134a </w:t>
            </w:r>
          </w:p>
        </w:tc>
        <w:tc>
          <w:tcPr>
            <w:tcW w:w="1560" w:type="dxa"/>
            <w:vAlign w:val="center"/>
          </w:tcPr>
          <w:p w:rsidR="00DA38C1" w:rsidRPr="00DA38C1" w:rsidRDefault="00DA38C1" w:rsidP="00DA38C1">
            <w:pPr>
              <w:jc w:val="center"/>
              <w:rPr>
                <w:b/>
                <w:sz w:val="20"/>
                <w:szCs w:val="20"/>
              </w:rPr>
            </w:pPr>
            <w:r w:rsidRPr="00DA38C1">
              <w:rPr>
                <w:b/>
                <w:sz w:val="20"/>
                <w:szCs w:val="20"/>
              </w:rPr>
              <w:t xml:space="preserve">HFO-1234yf </w:t>
            </w:r>
          </w:p>
        </w:tc>
        <w:tc>
          <w:tcPr>
            <w:tcW w:w="1560" w:type="dxa"/>
            <w:vMerge/>
            <w:vAlign w:val="center"/>
          </w:tcPr>
          <w:p w:rsidR="00DA38C1" w:rsidRPr="00DA38C1" w:rsidRDefault="00DA38C1" w:rsidP="00DA38C1">
            <w:pPr>
              <w:jc w:val="center"/>
              <w:rPr>
                <w:b/>
                <w:sz w:val="20"/>
                <w:szCs w:val="20"/>
              </w:rPr>
            </w:pPr>
          </w:p>
        </w:tc>
        <w:tc>
          <w:tcPr>
            <w:tcW w:w="1560" w:type="dxa"/>
            <w:vMerge/>
            <w:vAlign w:val="center"/>
          </w:tcPr>
          <w:p w:rsidR="00DA38C1" w:rsidRPr="00DA38C1" w:rsidRDefault="00DA38C1" w:rsidP="00DA38C1">
            <w:pPr>
              <w:jc w:val="center"/>
              <w:rPr>
                <w:b/>
                <w:sz w:val="20"/>
                <w:szCs w:val="20"/>
              </w:rPr>
            </w:pPr>
          </w:p>
        </w:tc>
      </w:tr>
      <w:tr w:rsidR="00DA38C1" w:rsidRPr="00DA38C1" w:rsidTr="00C401C4">
        <w:tc>
          <w:tcPr>
            <w:tcW w:w="1560" w:type="dxa"/>
          </w:tcPr>
          <w:p w:rsidR="00DA38C1" w:rsidRPr="00DA38C1" w:rsidRDefault="00DA38C1" w:rsidP="00DA38C1">
            <w:pPr>
              <w:rPr>
                <w:sz w:val="20"/>
                <w:szCs w:val="20"/>
              </w:rPr>
            </w:pPr>
            <w:r w:rsidRPr="00DA38C1">
              <w:rPr>
                <w:sz w:val="20"/>
                <w:szCs w:val="20"/>
              </w:rPr>
              <w:t xml:space="preserve">Low-cost </w:t>
            </w:r>
          </w:p>
        </w:tc>
        <w:tc>
          <w:tcPr>
            <w:tcW w:w="1560" w:type="dxa"/>
            <w:vAlign w:val="center"/>
          </w:tcPr>
          <w:p w:rsidR="00DA38C1" w:rsidRPr="00DA38C1" w:rsidRDefault="00DA38C1" w:rsidP="00DA38C1">
            <w:pPr>
              <w:jc w:val="center"/>
              <w:rPr>
                <w:sz w:val="20"/>
                <w:szCs w:val="20"/>
              </w:rPr>
            </w:pPr>
            <w:r w:rsidRPr="00DA38C1">
              <w:rPr>
                <w:sz w:val="20"/>
                <w:szCs w:val="20"/>
              </w:rPr>
              <w:t>57,000</w:t>
            </w:r>
          </w:p>
        </w:tc>
        <w:tc>
          <w:tcPr>
            <w:tcW w:w="1560" w:type="dxa"/>
            <w:vAlign w:val="center"/>
          </w:tcPr>
          <w:p w:rsidR="00DA38C1" w:rsidRPr="00DA38C1" w:rsidRDefault="00DA38C1" w:rsidP="00DA38C1">
            <w:pPr>
              <w:jc w:val="right"/>
              <w:rPr>
                <w:sz w:val="20"/>
                <w:szCs w:val="20"/>
              </w:rPr>
            </w:pPr>
            <w:r w:rsidRPr="00DA38C1">
              <w:rPr>
                <w:sz w:val="20"/>
                <w:szCs w:val="20"/>
              </w:rPr>
              <w:t>5.57</w:t>
            </w:r>
          </w:p>
        </w:tc>
        <w:tc>
          <w:tcPr>
            <w:tcW w:w="1560" w:type="dxa"/>
            <w:vAlign w:val="center"/>
          </w:tcPr>
          <w:p w:rsidR="00DA38C1" w:rsidRPr="00DA38C1" w:rsidRDefault="00DA38C1" w:rsidP="00DA38C1">
            <w:pPr>
              <w:jc w:val="right"/>
              <w:rPr>
                <w:sz w:val="20"/>
                <w:szCs w:val="20"/>
              </w:rPr>
            </w:pPr>
            <w:r w:rsidRPr="00DA38C1">
              <w:rPr>
                <w:sz w:val="20"/>
                <w:szCs w:val="20"/>
              </w:rPr>
              <w:t>101.96</w:t>
            </w:r>
          </w:p>
        </w:tc>
        <w:tc>
          <w:tcPr>
            <w:tcW w:w="1560" w:type="dxa"/>
            <w:vAlign w:val="center"/>
          </w:tcPr>
          <w:p w:rsidR="00DA38C1" w:rsidRPr="00DA38C1" w:rsidRDefault="00DA38C1" w:rsidP="00DA38C1">
            <w:pPr>
              <w:jc w:val="right"/>
              <w:rPr>
                <w:sz w:val="20"/>
                <w:szCs w:val="20"/>
              </w:rPr>
            </w:pPr>
            <w:r w:rsidRPr="00DA38C1">
              <w:rPr>
                <w:sz w:val="20"/>
                <w:szCs w:val="20"/>
              </w:rPr>
              <w:t>96.38</w:t>
            </w:r>
          </w:p>
        </w:tc>
        <w:tc>
          <w:tcPr>
            <w:tcW w:w="1560" w:type="dxa"/>
            <w:vAlign w:val="center"/>
          </w:tcPr>
          <w:p w:rsidR="00DA38C1" w:rsidRPr="00DA38C1" w:rsidRDefault="00DA38C1" w:rsidP="00DA38C1">
            <w:pPr>
              <w:jc w:val="center"/>
              <w:rPr>
                <w:sz w:val="20"/>
                <w:szCs w:val="20"/>
              </w:rPr>
            </w:pPr>
            <w:r w:rsidRPr="00DA38C1">
              <w:rPr>
                <w:sz w:val="20"/>
                <w:szCs w:val="20"/>
              </w:rPr>
              <w:t>2,332,574</w:t>
            </w:r>
          </w:p>
        </w:tc>
      </w:tr>
      <w:tr w:rsidR="00DA38C1" w:rsidRPr="00DA38C1" w:rsidTr="00C401C4">
        <w:tc>
          <w:tcPr>
            <w:tcW w:w="1560" w:type="dxa"/>
          </w:tcPr>
          <w:p w:rsidR="00DA38C1" w:rsidRPr="00DA38C1" w:rsidRDefault="00DA38C1" w:rsidP="00DA38C1">
            <w:pPr>
              <w:rPr>
                <w:sz w:val="20"/>
                <w:szCs w:val="20"/>
              </w:rPr>
            </w:pPr>
            <w:r w:rsidRPr="00DA38C1">
              <w:rPr>
                <w:sz w:val="20"/>
                <w:szCs w:val="20"/>
              </w:rPr>
              <w:t>High-cost</w:t>
            </w:r>
          </w:p>
        </w:tc>
        <w:tc>
          <w:tcPr>
            <w:tcW w:w="1560" w:type="dxa"/>
            <w:vAlign w:val="center"/>
          </w:tcPr>
          <w:p w:rsidR="00DA38C1" w:rsidRPr="00DA38C1" w:rsidRDefault="00DA38C1" w:rsidP="00DA38C1">
            <w:pPr>
              <w:jc w:val="center"/>
              <w:rPr>
                <w:sz w:val="20"/>
                <w:szCs w:val="20"/>
              </w:rPr>
            </w:pPr>
            <w:r w:rsidRPr="00DA38C1">
              <w:rPr>
                <w:sz w:val="20"/>
                <w:szCs w:val="20"/>
              </w:rPr>
              <w:t>42,000</w:t>
            </w:r>
          </w:p>
        </w:tc>
        <w:tc>
          <w:tcPr>
            <w:tcW w:w="1560" w:type="dxa"/>
            <w:vAlign w:val="center"/>
          </w:tcPr>
          <w:p w:rsidR="00DA38C1" w:rsidRPr="00DA38C1" w:rsidRDefault="00DA38C1" w:rsidP="00DA38C1">
            <w:pPr>
              <w:jc w:val="right"/>
              <w:rPr>
                <w:sz w:val="20"/>
                <w:szCs w:val="20"/>
              </w:rPr>
            </w:pPr>
            <w:r w:rsidRPr="00DA38C1">
              <w:rPr>
                <w:sz w:val="20"/>
                <w:szCs w:val="20"/>
              </w:rPr>
              <w:t>7.57</w:t>
            </w:r>
          </w:p>
        </w:tc>
        <w:tc>
          <w:tcPr>
            <w:tcW w:w="1560" w:type="dxa"/>
            <w:vAlign w:val="center"/>
          </w:tcPr>
          <w:p w:rsidR="00DA38C1" w:rsidRPr="00DA38C1" w:rsidRDefault="00DA38C1" w:rsidP="00DA38C1">
            <w:pPr>
              <w:jc w:val="right"/>
              <w:rPr>
                <w:sz w:val="20"/>
                <w:szCs w:val="20"/>
              </w:rPr>
            </w:pPr>
            <w:r w:rsidRPr="00DA38C1">
              <w:rPr>
                <w:sz w:val="20"/>
                <w:szCs w:val="20"/>
              </w:rPr>
              <w:t>138.38</w:t>
            </w:r>
          </w:p>
        </w:tc>
        <w:tc>
          <w:tcPr>
            <w:tcW w:w="1560" w:type="dxa"/>
            <w:vAlign w:val="center"/>
          </w:tcPr>
          <w:p w:rsidR="00DA38C1" w:rsidRPr="00DA38C1" w:rsidRDefault="00DA38C1" w:rsidP="00DA38C1">
            <w:pPr>
              <w:jc w:val="right"/>
              <w:rPr>
                <w:sz w:val="20"/>
                <w:szCs w:val="20"/>
              </w:rPr>
            </w:pPr>
            <w:r w:rsidRPr="00DA38C1">
              <w:rPr>
                <w:sz w:val="20"/>
                <w:szCs w:val="20"/>
              </w:rPr>
              <w:t>130.81</w:t>
            </w:r>
          </w:p>
        </w:tc>
        <w:tc>
          <w:tcPr>
            <w:tcW w:w="1560" w:type="dxa"/>
            <w:vAlign w:val="center"/>
          </w:tcPr>
          <w:p w:rsidR="00DA38C1" w:rsidRPr="00DA38C1" w:rsidRDefault="00DA38C1" w:rsidP="00DA38C1">
            <w:pPr>
              <w:jc w:val="center"/>
              <w:rPr>
                <w:sz w:val="20"/>
                <w:szCs w:val="20"/>
              </w:rPr>
            </w:pPr>
            <w:r w:rsidRPr="00DA38C1">
              <w:rPr>
                <w:sz w:val="20"/>
                <w:szCs w:val="20"/>
              </w:rPr>
              <w:t>3,165,636</w:t>
            </w:r>
          </w:p>
        </w:tc>
      </w:tr>
      <w:tr w:rsidR="00DA38C1" w:rsidRPr="00DA38C1" w:rsidTr="00C401C4">
        <w:tc>
          <w:tcPr>
            <w:tcW w:w="1560" w:type="dxa"/>
          </w:tcPr>
          <w:p w:rsidR="00DA38C1" w:rsidRPr="00767677" w:rsidRDefault="00DA38C1" w:rsidP="00DA38C1">
            <w:pPr>
              <w:rPr>
                <w:sz w:val="20"/>
                <w:szCs w:val="20"/>
              </w:rPr>
            </w:pPr>
            <w:r w:rsidRPr="00767677">
              <w:rPr>
                <w:sz w:val="20"/>
                <w:szCs w:val="20"/>
              </w:rPr>
              <w:t xml:space="preserve">Average </w:t>
            </w:r>
          </w:p>
        </w:tc>
        <w:tc>
          <w:tcPr>
            <w:tcW w:w="1560" w:type="dxa"/>
            <w:vAlign w:val="center"/>
          </w:tcPr>
          <w:p w:rsidR="00DA38C1" w:rsidRPr="00767677" w:rsidRDefault="00DA38C1" w:rsidP="00DA38C1">
            <w:pPr>
              <w:jc w:val="center"/>
              <w:rPr>
                <w:sz w:val="20"/>
                <w:szCs w:val="20"/>
              </w:rPr>
            </w:pPr>
            <w:r w:rsidRPr="00767677">
              <w:rPr>
                <w:sz w:val="20"/>
                <w:szCs w:val="20"/>
              </w:rPr>
              <w:t>49,500</w:t>
            </w:r>
          </w:p>
        </w:tc>
        <w:tc>
          <w:tcPr>
            <w:tcW w:w="1560" w:type="dxa"/>
            <w:vAlign w:val="center"/>
          </w:tcPr>
          <w:p w:rsidR="00DA38C1" w:rsidRPr="00767677" w:rsidRDefault="00DA38C1" w:rsidP="00DA38C1">
            <w:pPr>
              <w:jc w:val="right"/>
              <w:rPr>
                <w:sz w:val="20"/>
                <w:szCs w:val="20"/>
              </w:rPr>
            </w:pPr>
            <w:r w:rsidRPr="00767677">
              <w:rPr>
                <w:sz w:val="20"/>
                <w:szCs w:val="20"/>
              </w:rPr>
              <w:t>6.57</w:t>
            </w:r>
          </w:p>
        </w:tc>
        <w:tc>
          <w:tcPr>
            <w:tcW w:w="1560" w:type="dxa"/>
            <w:vAlign w:val="center"/>
          </w:tcPr>
          <w:p w:rsidR="00DA38C1" w:rsidRPr="00767677" w:rsidRDefault="00DA38C1" w:rsidP="00DA38C1">
            <w:pPr>
              <w:jc w:val="right"/>
              <w:rPr>
                <w:sz w:val="20"/>
                <w:szCs w:val="20"/>
              </w:rPr>
            </w:pPr>
            <w:r w:rsidRPr="00767677">
              <w:rPr>
                <w:sz w:val="20"/>
                <w:szCs w:val="20"/>
              </w:rPr>
              <w:t>120.17</w:t>
            </w:r>
          </w:p>
        </w:tc>
        <w:tc>
          <w:tcPr>
            <w:tcW w:w="1560" w:type="dxa"/>
            <w:vAlign w:val="center"/>
          </w:tcPr>
          <w:p w:rsidR="00DA38C1" w:rsidRPr="00767677" w:rsidRDefault="00DA38C1" w:rsidP="00DA38C1">
            <w:pPr>
              <w:jc w:val="right"/>
              <w:rPr>
                <w:sz w:val="20"/>
                <w:szCs w:val="20"/>
              </w:rPr>
            </w:pPr>
            <w:r w:rsidRPr="00767677">
              <w:rPr>
                <w:sz w:val="20"/>
                <w:szCs w:val="20"/>
              </w:rPr>
              <w:t>113.60</w:t>
            </w:r>
          </w:p>
        </w:tc>
        <w:tc>
          <w:tcPr>
            <w:tcW w:w="1560" w:type="dxa"/>
            <w:vAlign w:val="center"/>
          </w:tcPr>
          <w:p w:rsidR="00DA38C1" w:rsidRPr="00DA38C1" w:rsidRDefault="00DA38C1" w:rsidP="00DA38C1">
            <w:pPr>
              <w:jc w:val="center"/>
              <w:rPr>
                <w:b/>
                <w:sz w:val="20"/>
                <w:szCs w:val="20"/>
              </w:rPr>
            </w:pPr>
            <w:r w:rsidRPr="00767677">
              <w:rPr>
                <w:b/>
                <w:sz w:val="20"/>
                <w:szCs w:val="20"/>
              </w:rPr>
              <w:t>2,749,105</w:t>
            </w:r>
          </w:p>
        </w:tc>
      </w:tr>
    </w:tbl>
    <w:p w:rsidR="00DA38C1" w:rsidRPr="00DA38C1" w:rsidRDefault="00DA38C1" w:rsidP="00DA38C1">
      <w:pPr>
        <w:rPr>
          <w:b/>
          <w:sz w:val="18"/>
          <w:szCs w:val="18"/>
        </w:rPr>
      </w:pPr>
    </w:p>
    <w:p w:rsidR="00DA38C1" w:rsidRPr="00767677" w:rsidRDefault="00DA38C1" w:rsidP="00DA38C1">
      <w:pPr>
        <w:numPr>
          <w:ilvl w:val="0"/>
          <w:numId w:val="1"/>
        </w:numPr>
        <w:tabs>
          <w:tab w:val="clear" w:pos="1134"/>
          <w:tab w:val="num" w:pos="0"/>
        </w:tabs>
        <w:spacing w:after="240"/>
        <w:ind w:left="0"/>
        <w:outlineLvl w:val="0"/>
      </w:pPr>
      <w:r w:rsidRPr="00767677">
        <w:t>Kerman Motor requested IOCs for US $516,000. This corresponds to approximately 18.5 per cent of the average scenario calculated by UNIDO.</w:t>
      </w:r>
    </w:p>
    <w:p w:rsidR="00DA38C1" w:rsidRPr="00DA38C1" w:rsidRDefault="00DA38C1" w:rsidP="00DA38C1">
      <w:pPr>
        <w:numPr>
          <w:ilvl w:val="0"/>
          <w:numId w:val="1"/>
        </w:numPr>
        <w:tabs>
          <w:tab w:val="clear" w:pos="1134"/>
          <w:tab w:val="num" w:pos="0"/>
        </w:tabs>
        <w:spacing w:after="240"/>
        <w:ind w:left="0"/>
        <w:outlineLvl w:val="0"/>
      </w:pPr>
      <w:r w:rsidRPr="00767677">
        <w:t xml:space="preserve">The summary of the total project funding, as submitted, is given in Table 3. The project will be implemented in two </w:t>
      </w:r>
      <w:r w:rsidRPr="00DA38C1">
        <w:t>years.</w:t>
      </w:r>
    </w:p>
    <w:p w:rsidR="00DA38C1" w:rsidRPr="00DA38C1" w:rsidRDefault="00DA38C1" w:rsidP="00DA38C1">
      <w:pPr>
        <w:rPr>
          <w:b/>
        </w:rPr>
      </w:pPr>
      <w:r w:rsidRPr="00DA38C1">
        <w:rPr>
          <w:b/>
        </w:rPr>
        <w:t xml:space="preserve">Table 3. Total project funding request for conversion in MAC manufacturing in Kerman Motor </w:t>
      </w:r>
    </w:p>
    <w:tbl>
      <w:tblPr>
        <w:tblStyle w:val="TableGrid"/>
        <w:tblW w:w="0" w:type="auto"/>
        <w:tblInd w:w="108" w:type="dxa"/>
        <w:tblLook w:val="04A0" w:firstRow="1" w:lastRow="0" w:firstColumn="1" w:lastColumn="0" w:noHBand="0" w:noVBand="1"/>
      </w:tblPr>
      <w:tblGrid>
        <w:gridCol w:w="6880"/>
        <w:gridCol w:w="2362"/>
      </w:tblGrid>
      <w:tr w:rsidR="00DA38C1" w:rsidRPr="00DA38C1" w:rsidTr="00C401C4">
        <w:trPr>
          <w:trHeight w:val="276"/>
        </w:trPr>
        <w:tc>
          <w:tcPr>
            <w:tcW w:w="6975" w:type="dxa"/>
          </w:tcPr>
          <w:p w:rsidR="00DA38C1" w:rsidRPr="00DA38C1" w:rsidRDefault="00DA38C1" w:rsidP="00DA38C1">
            <w:pPr>
              <w:keepNext/>
              <w:jc w:val="center"/>
              <w:rPr>
                <w:b/>
                <w:sz w:val="20"/>
                <w:szCs w:val="20"/>
              </w:rPr>
            </w:pPr>
            <w:r w:rsidRPr="00DA38C1">
              <w:rPr>
                <w:b/>
                <w:sz w:val="20"/>
                <w:szCs w:val="20"/>
              </w:rPr>
              <w:t>Item</w:t>
            </w:r>
          </w:p>
        </w:tc>
        <w:tc>
          <w:tcPr>
            <w:tcW w:w="2385" w:type="dxa"/>
          </w:tcPr>
          <w:p w:rsidR="00DA38C1" w:rsidRPr="00DA38C1" w:rsidRDefault="00DA38C1" w:rsidP="00DA38C1">
            <w:pPr>
              <w:keepNext/>
              <w:jc w:val="center"/>
              <w:rPr>
                <w:b/>
                <w:sz w:val="20"/>
                <w:szCs w:val="20"/>
              </w:rPr>
            </w:pPr>
            <w:r w:rsidRPr="00DA38C1">
              <w:rPr>
                <w:b/>
                <w:sz w:val="20"/>
                <w:szCs w:val="20"/>
              </w:rPr>
              <w:t>Costs in US $</w:t>
            </w:r>
          </w:p>
        </w:tc>
      </w:tr>
      <w:tr w:rsidR="00DA38C1" w:rsidRPr="00DA38C1" w:rsidTr="00C401C4">
        <w:tc>
          <w:tcPr>
            <w:tcW w:w="6975" w:type="dxa"/>
          </w:tcPr>
          <w:p w:rsidR="00DA38C1" w:rsidRPr="00DA38C1" w:rsidRDefault="00DA38C1" w:rsidP="00DA38C1">
            <w:pPr>
              <w:keepNext/>
              <w:rPr>
                <w:sz w:val="20"/>
                <w:szCs w:val="20"/>
              </w:rPr>
            </w:pPr>
            <w:r w:rsidRPr="00DA38C1">
              <w:rPr>
                <w:sz w:val="20"/>
                <w:szCs w:val="20"/>
              </w:rPr>
              <w:t>ICCs</w:t>
            </w:r>
          </w:p>
        </w:tc>
        <w:tc>
          <w:tcPr>
            <w:tcW w:w="2385" w:type="dxa"/>
            <w:tcBorders>
              <w:top w:val="single" w:sz="4" w:space="0" w:color="auto"/>
              <w:left w:val="nil"/>
              <w:bottom w:val="single" w:sz="4" w:space="0" w:color="auto"/>
              <w:right w:val="single" w:sz="4" w:space="0" w:color="auto"/>
            </w:tcBorders>
            <w:shd w:val="clear" w:color="auto" w:fill="auto"/>
            <w:vAlign w:val="bottom"/>
          </w:tcPr>
          <w:p w:rsidR="00DA38C1" w:rsidRPr="00DA38C1" w:rsidRDefault="00DA38C1" w:rsidP="00DA38C1">
            <w:pPr>
              <w:keepNext/>
              <w:jc w:val="right"/>
              <w:rPr>
                <w:sz w:val="20"/>
                <w:szCs w:val="20"/>
              </w:rPr>
            </w:pPr>
            <w:r w:rsidRPr="00DA38C1">
              <w:rPr>
                <w:sz w:val="20"/>
                <w:szCs w:val="20"/>
              </w:rPr>
              <w:t>279,055</w:t>
            </w:r>
          </w:p>
        </w:tc>
      </w:tr>
      <w:tr w:rsidR="00DA38C1" w:rsidRPr="00DA38C1" w:rsidTr="00C401C4">
        <w:tc>
          <w:tcPr>
            <w:tcW w:w="6975" w:type="dxa"/>
          </w:tcPr>
          <w:p w:rsidR="00DA38C1" w:rsidRPr="00DA38C1" w:rsidRDefault="00DA38C1" w:rsidP="00DA38C1">
            <w:pPr>
              <w:keepNext/>
              <w:rPr>
                <w:sz w:val="20"/>
                <w:szCs w:val="20"/>
              </w:rPr>
            </w:pPr>
            <w:r w:rsidRPr="00DA38C1">
              <w:rPr>
                <w:sz w:val="20"/>
                <w:szCs w:val="20"/>
              </w:rPr>
              <w:t>IOCs</w:t>
            </w:r>
          </w:p>
        </w:tc>
        <w:tc>
          <w:tcPr>
            <w:tcW w:w="2385" w:type="dxa"/>
            <w:tcBorders>
              <w:top w:val="single" w:sz="4" w:space="0" w:color="auto"/>
              <w:left w:val="nil"/>
              <w:bottom w:val="single" w:sz="4" w:space="0" w:color="auto"/>
              <w:right w:val="single" w:sz="4" w:space="0" w:color="auto"/>
            </w:tcBorders>
            <w:shd w:val="clear" w:color="auto" w:fill="auto"/>
            <w:vAlign w:val="bottom"/>
          </w:tcPr>
          <w:p w:rsidR="00DA38C1" w:rsidRPr="00767677" w:rsidRDefault="00DA38C1" w:rsidP="00DA38C1">
            <w:pPr>
              <w:keepNext/>
              <w:jc w:val="right"/>
              <w:rPr>
                <w:sz w:val="20"/>
                <w:szCs w:val="20"/>
              </w:rPr>
            </w:pPr>
            <w:r w:rsidRPr="00767677">
              <w:rPr>
                <w:sz w:val="20"/>
                <w:szCs w:val="20"/>
              </w:rPr>
              <w:t>2,749,105</w:t>
            </w:r>
          </w:p>
        </w:tc>
      </w:tr>
      <w:tr w:rsidR="00DA38C1" w:rsidRPr="00DA38C1" w:rsidTr="00C401C4">
        <w:tc>
          <w:tcPr>
            <w:tcW w:w="6975" w:type="dxa"/>
          </w:tcPr>
          <w:p w:rsidR="00DA38C1" w:rsidRPr="00DA38C1" w:rsidRDefault="00DA38C1" w:rsidP="00DA38C1">
            <w:pPr>
              <w:keepNext/>
              <w:rPr>
                <w:b/>
                <w:sz w:val="20"/>
                <w:szCs w:val="20"/>
              </w:rPr>
            </w:pPr>
            <w:r w:rsidRPr="00DA38C1">
              <w:rPr>
                <w:b/>
                <w:sz w:val="20"/>
                <w:szCs w:val="20"/>
              </w:rPr>
              <w:t>Total</w:t>
            </w:r>
          </w:p>
        </w:tc>
        <w:tc>
          <w:tcPr>
            <w:tcW w:w="2385" w:type="dxa"/>
            <w:tcBorders>
              <w:top w:val="single" w:sz="4" w:space="0" w:color="auto"/>
              <w:left w:val="nil"/>
              <w:bottom w:val="single" w:sz="4" w:space="0" w:color="auto"/>
              <w:right w:val="single" w:sz="4" w:space="0" w:color="auto"/>
            </w:tcBorders>
            <w:shd w:val="clear" w:color="auto" w:fill="auto"/>
            <w:vAlign w:val="bottom"/>
          </w:tcPr>
          <w:p w:rsidR="00DA38C1" w:rsidRPr="00767677" w:rsidRDefault="00DA38C1" w:rsidP="00DA38C1">
            <w:pPr>
              <w:keepNext/>
              <w:jc w:val="right"/>
              <w:rPr>
                <w:b/>
                <w:sz w:val="20"/>
                <w:szCs w:val="20"/>
              </w:rPr>
            </w:pPr>
            <w:r w:rsidRPr="00767677">
              <w:rPr>
                <w:b/>
                <w:sz w:val="20"/>
                <w:szCs w:val="20"/>
              </w:rPr>
              <w:t>3,028,160</w:t>
            </w:r>
          </w:p>
        </w:tc>
      </w:tr>
      <w:tr w:rsidR="00DA38C1" w:rsidRPr="00DA38C1" w:rsidTr="00C401C4">
        <w:tc>
          <w:tcPr>
            <w:tcW w:w="6975" w:type="dxa"/>
          </w:tcPr>
          <w:p w:rsidR="00DA38C1" w:rsidRPr="00DA38C1" w:rsidRDefault="00DA38C1" w:rsidP="00DA38C1">
            <w:pPr>
              <w:rPr>
                <w:b/>
                <w:sz w:val="20"/>
                <w:szCs w:val="20"/>
              </w:rPr>
            </w:pPr>
            <w:r w:rsidRPr="00DA38C1">
              <w:rPr>
                <w:b/>
                <w:sz w:val="20"/>
                <w:szCs w:val="20"/>
              </w:rPr>
              <w:t>Requested funding</w:t>
            </w:r>
          </w:p>
        </w:tc>
        <w:tc>
          <w:tcPr>
            <w:tcW w:w="2385" w:type="dxa"/>
            <w:tcBorders>
              <w:top w:val="single" w:sz="4" w:space="0" w:color="auto"/>
              <w:left w:val="nil"/>
              <w:bottom w:val="single" w:sz="4" w:space="0" w:color="auto"/>
              <w:right w:val="single" w:sz="4" w:space="0" w:color="auto"/>
            </w:tcBorders>
            <w:shd w:val="clear" w:color="auto" w:fill="auto"/>
            <w:vAlign w:val="bottom"/>
          </w:tcPr>
          <w:p w:rsidR="00DA38C1" w:rsidRPr="00DA38C1" w:rsidRDefault="00DA38C1" w:rsidP="00DA38C1">
            <w:pPr>
              <w:jc w:val="right"/>
              <w:rPr>
                <w:b/>
                <w:sz w:val="20"/>
                <w:szCs w:val="20"/>
              </w:rPr>
            </w:pPr>
            <w:r w:rsidRPr="00DA38C1">
              <w:rPr>
                <w:b/>
                <w:sz w:val="20"/>
                <w:szCs w:val="20"/>
              </w:rPr>
              <w:t>795,055</w:t>
            </w:r>
          </w:p>
        </w:tc>
      </w:tr>
      <w:tr w:rsidR="00DA38C1" w:rsidRPr="00DA38C1" w:rsidTr="00C401C4">
        <w:tc>
          <w:tcPr>
            <w:tcW w:w="6975" w:type="dxa"/>
          </w:tcPr>
          <w:p w:rsidR="00DA38C1" w:rsidRPr="00DA38C1" w:rsidRDefault="00DA38C1" w:rsidP="00DA38C1">
            <w:pPr>
              <w:rPr>
                <w:sz w:val="20"/>
                <w:szCs w:val="20"/>
              </w:rPr>
            </w:pPr>
            <w:r w:rsidRPr="00DA38C1">
              <w:rPr>
                <w:sz w:val="20"/>
                <w:szCs w:val="20"/>
              </w:rPr>
              <w:t>HFC-134a consumed in mt (average 2015–2017)</w:t>
            </w:r>
          </w:p>
        </w:tc>
        <w:tc>
          <w:tcPr>
            <w:tcW w:w="2385" w:type="dxa"/>
            <w:tcBorders>
              <w:top w:val="single" w:sz="4" w:space="0" w:color="auto"/>
              <w:left w:val="nil"/>
              <w:bottom w:val="single" w:sz="4" w:space="0" w:color="auto"/>
              <w:right w:val="single" w:sz="4" w:space="0" w:color="auto"/>
            </w:tcBorders>
            <w:shd w:val="clear" w:color="auto" w:fill="auto"/>
            <w:vAlign w:val="bottom"/>
          </w:tcPr>
          <w:p w:rsidR="00DA38C1" w:rsidRPr="00DA38C1" w:rsidRDefault="00DA38C1" w:rsidP="00DA38C1">
            <w:pPr>
              <w:jc w:val="right"/>
              <w:rPr>
                <w:sz w:val="20"/>
                <w:szCs w:val="20"/>
              </w:rPr>
            </w:pPr>
            <w:r w:rsidRPr="00DA38C1">
              <w:rPr>
                <w:sz w:val="20"/>
                <w:szCs w:val="20"/>
              </w:rPr>
              <w:t>22.16</w:t>
            </w:r>
          </w:p>
        </w:tc>
      </w:tr>
      <w:tr w:rsidR="00DA38C1" w:rsidRPr="00DA38C1" w:rsidTr="00C401C4">
        <w:tc>
          <w:tcPr>
            <w:tcW w:w="6975" w:type="dxa"/>
          </w:tcPr>
          <w:p w:rsidR="00DA38C1" w:rsidRPr="00DA38C1" w:rsidRDefault="00DA38C1" w:rsidP="00DA38C1">
            <w:pPr>
              <w:rPr>
                <w:sz w:val="20"/>
                <w:szCs w:val="20"/>
              </w:rPr>
            </w:pPr>
            <w:r w:rsidRPr="00DA38C1">
              <w:rPr>
                <w:sz w:val="20"/>
                <w:szCs w:val="20"/>
              </w:rPr>
              <w:t>HFC-134a consumed in mt CO</w:t>
            </w:r>
            <w:r w:rsidRPr="00DA38C1">
              <w:rPr>
                <w:sz w:val="20"/>
                <w:szCs w:val="20"/>
                <w:vertAlign w:val="subscript"/>
              </w:rPr>
              <w:t>2</w:t>
            </w:r>
            <w:r w:rsidRPr="00DA38C1">
              <w:rPr>
                <w:sz w:val="20"/>
                <w:szCs w:val="20"/>
              </w:rPr>
              <w:t>-eq (average 2015–2017)</w:t>
            </w:r>
          </w:p>
        </w:tc>
        <w:tc>
          <w:tcPr>
            <w:tcW w:w="2385" w:type="dxa"/>
            <w:tcBorders>
              <w:top w:val="single" w:sz="4" w:space="0" w:color="auto"/>
              <w:left w:val="nil"/>
              <w:bottom w:val="single" w:sz="4" w:space="0" w:color="auto"/>
              <w:right w:val="single" w:sz="4" w:space="0" w:color="auto"/>
            </w:tcBorders>
            <w:shd w:val="clear" w:color="auto" w:fill="auto"/>
            <w:vAlign w:val="bottom"/>
          </w:tcPr>
          <w:p w:rsidR="00DA38C1" w:rsidRPr="00DA38C1" w:rsidRDefault="00DA38C1" w:rsidP="00DA38C1">
            <w:pPr>
              <w:jc w:val="right"/>
              <w:rPr>
                <w:sz w:val="20"/>
                <w:szCs w:val="20"/>
              </w:rPr>
            </w:pPr>
            <w:r w:rsidRPr="00DA38C1">
              <w:rPr>
                <w:sz w:val="20"/>
                <w:szCs w:val="20"/>
              </w:rPr>
              <w:t>31,689</w:t>
            </w:r>
          </w:p>
        </w:tc>
      </w:tr>
      <w:tr w:rsidR="00DA38C1" w:rsidRPr="00DA38C1" w:rsidTr="00C401C4">
        <w:tc>
          <w:tcPr>
            <w:tcW w:w="6975" w:type="dxa"/>
          </w:tcPr>
          <w:p w:rsidR="00DA38C1" w:rsidRPr="00DA38C1" w:rsidRDefault="00DA38C1" w:rsidP="00DA38C1">
            <w:pPr>
              <w:rPr>
                <w:sz w:val="20"/>
                <w:szCs w:val="20"/>
              </w:rPr>
            </w:pPr>
            <w:r w:rsidRPr="00DA38C1">
              <w:rPr>
                <w:sz w:val="20"/>
                <w:szCs w:val="20"/>
              </w:rPr>
              <w:t>Cost-effectiveness (US $/kg)</w:t>
            </w:r>
          </w:p>
        </w:tc>
        <w:tc>
          <w:tcPr>
            <w:tcW w:w="2385" w:type="dxa"/>
            <w:tcBorders>
              <w:top w:val="single" w:sz="4" w:space="0" w:color="auto"/>
              <w:left w:val="nil"/>
              <w:bottom w:val="single" w:sz="4" w:space="0" w:color="auto"/>
              <w:right w:val="single" w:sz="4" w:space="0" w:color="auto"/>
            </w:tcBorders>
            <w:shd w:val="clear" w:color="auto" w:fill="auto"/>
            <w:vAlign w:val="bottom"/>
          </w:tcPr>
          <w:p w:rsidR="00DA38C1" w:rsidRPr="00DA38C1" w:rsidRDefault="00DA38C1" w:rsidP="00DA38C1">
            <w:pPr>
              <w:jc w:val="right"/>
              <w:rPr>
                <w:sz w:val="20"/>
                <w:szCs w:val="20"/>
              </w:rPr>
            </w:pPr>
            <w:r w:rsidRPr="00DA38C1">
              <w:rPr>
                <w:sz w:val="20"/>
                <w:szCs w:val="20"/>
              </w:rPr>
              <w:t>35.88</w:t>
            </w:r>
          </w:p>
        </w:tc>
      </w:tr>
      <w:tr w:rsidR="00DA38C1" w:rsidRPr="00DA38C1" w:rsidTr="00C401C4">
        <w:tc>
          <w:tcPr>
            <w:tcW w:w="6975" w:type="dxa"/>
          </w:tcPr>
          <w:p w:rsidR="00DA38C1" w:rsidRPr="00DA38C1" w:rsidRDefault="00DA38C1" w:rsidP="00DA38C1">
            <w:pPr>
              <w:rPr>
                <w:sz w:val="20"/>
                <w:szCs w:val="20"/>
              </w:rPr>
            </w:pPr>
            <w:r w:rsidRPr="00DA38C1">
              <w:rPr>
                <w:sz w:val="20"/>
                <w:szCs w:val="20"/>
              </w:rPr>
              <w:t>Cost-effectiveness (US $/mt CO</w:t>
            </w:r>
            <w:r w:rsidRPr="00DA38C1">
              <w:rPr>
                <w:sz w:val="20"/>
                <w:szCs w:val="20"/>
                <w:vertAlign w:val="subscript"/>
              </w:rPr>
              <w:t>2</w:t>
            </w:r>
            <w:r w:rsidRPr="00DA38C1">
              <w:rPr>
                <w:sz w:val="20"/>
                <w:szCs w:val="20"/>
              </w:rPr>
              <w:t>-eq)</w:t>
            </w:r>
          </w:p>
        </w:tc>
        <w:tc>
          <w:tcPr>
            <w:tcW w:w="2385" w:type="dxa"/>
            <w:tcBorders>
              <w:top w:val="single" w:sz="4" w:space="0" w:color="auto"/>
              <w:left w:val="nil"/>
              <w:bottom w:val="single" w:sz="4" w:space="0" w:color="auto"/>
              <w:right w:val="single" w:sz="4" w:space="0" w:color="auto"/>
            </w:tcBorders>
            <w:shd w:val="clear" w:color="auto" w:fill="auto"/>
            <w:vAlign w:val="bottom"/>
          </w:tcPr>
          <w:p w:rsidR="00DA38C1" w:rsidRPr="00DA38C1" w:rsidRDefault="00DA38C1" w:rsidP="00DA38C1">
            <w:pPr>
              <w:jc w:val="right"/>
              <w:rPr>
                <w:sz w:val="20"/>
                <w:szCs w:val="20"/>
              </w:rPr>
            </w:pPr>
            <w:r w:rsidRPr="00DA38C1">
              <w:rPr>
                <w:sz w:val="20"/>
                <w:szCs w:val="20"/>
              </w:rPr>
              <w:t>25.09</w:t>
            </w:r>
          </w:p>
        </w:tc>
      </w:tr>
    </w:tbl>
    <w:p w:rsidR="00DA38C1" w:rsidRPr="00DA38C1" w:rsidRDefault="00DA38C1" w:rsidP="00DA38C1">
      <w:pPr>
        <w:keepNext/>
        <w:jc w:val="center"/>
        <w:rPr>
          <w:b/>
        </w:rPr>
      </w:pPr>
    </w:p>
    <w:p w:rsidR="00DA38C1" w:rsidRPr="00DA38C1" w:rsidRDefault="00DA38C1" w:rsidP="00DA38C1">
      <w:pPr>
        <w:keepNext/>
        <w:jc w:val="center"/>
        <w:rPr>
          <w:b/>
        </w:rPr>
      </w:pPr>
    </w:p>
    <w:p w:rsidR="00DA38C1" w:rsidRPr="00DA38C1" w:rsidRDefault="00DA38C1" w:rsidP="00DA38C1">
      <w:pPr>
        <w:keepNext/>
        <w:jc w:val="center"/>
        <w:rPr>
          <w:b/>
        </w:rPr>
      </w:pPr>
    </w:p>
    <w:p w:rsidR="00DA38C1" w:rsidRPr="00DA38C1" w:rsidRDefault="00DA38C1" w:rsidP="00DA38C1">
      <w:pPr>
        <w:keepNext/>
        <w:jc w:val="center"/>
        <w:rPr>
          <w:b/>
        </w:rPr>
      </w:pPr>
      <w:r w:rsidRPr="00DA38C1">
        <w:rPr>
          <w:b/>
        </w:rPr>
        <w:t>SECRETARIAT’S COMMENTS AND RECOMMENDATION</w:t>
      </w:r>
    </w:p>
    <w:p w:rsidR="00DA38C1" w:rsidRPr="00DA38C1" w:rsidRDefault="00DA38C1" w:rsidP="00DA38C1">
      <w:pPr>
        <w:keepNext/>
      </w:pPr>
    </w:p>
    <w:p w:rsidR="00DA38C1" w:rsidRPr="00DA38C1" w:rsidRDefault="00DA38C1" w:rsidP="00DA38C1">
      <w:pPr>
        <w:keepNext/>
        <w:rPr>
          <w:b/>
        </w:rPr>
      </w:pPr>
      <w:r w:rsidRPr="00DA38C1">
        <w:rPr>
          <w:b/>
        </w:rPr>
        <w:t>COMMENTS</w:t>
      </w:r>
    </w:p>
    <w:p w:rsidR="00DA38C1" w:rsidRPr="00DA38C1" w:rsidRDefault="00DA38C1" w:rsidP="00DA38C1"/>
    <w:p w:rsidR="00DA38C1" w:rsidRPr="00DA38C1" w:rsidRDefault="00DA38C1" w:rsidP="00DA38C1">
      <w:pPr>
        <w:rPr>
          <w:u w:val="single"/>
          <w:lang w:val="en-CA"/>
        </w:rPr>
      </w:pPr>
      <w:r w:rsidRPr="00DA38C1">
        <w:rPr>
          <w:u w:val="single"/>
          <w:lang w:val="en-CA"/>
        </w:rPr>
        <w:t>Eligibility</w:t>
      </w:r>
    </w:p>
    <w:p w:rsidR="00DA38C1" w:rsidRPr="00DA38C1" w:rsidRDefault="00DA38C1" w:rsidP="00DA38C1">
      <w:pPr>
        <w:rPr>
          <w:lang w:val="en-CA"/>
        </w:rPr>
      </w:pPr>
    </w:p>
    <w:p w:rsidR="00DA38C1" w:rsidRPr="00DA38C1" w:rsidRDefault="00DA38C1" w:rsidP="00DA38C1">
      <w:pPr>
        <w:numPr>
          <w:ilvl w:val="0"/>
          <w:numId w:val="1"/>
        </w:numPr>
        <w:tabs>
          <w:tab w:val="clear" w:pos="1134"/>
          <w:tab w:val="num" w:pos="0"/>
        </w:tabs>
        <w:spacing w:after="240"/>
        <w:ind w:left="0"/>
        <w:outlineLvl w:val="0"/>
        <w:rPr>
          <w:lang w:val="en-CA"/>
        </w:rPr>
      </w:pPr>
      <w:r w:rsidRPr="00DA38C1">
        <w:rPr>
          <w:lang w:val="en-CA"/>
        </w:rPr>
        <w:t>The project proposal for the conversion at Kerman Motor has been s</w:t>
      </w:r>
      <w:r w:rsidR="00767677">
        <w:rPr>
          <w:lang w:val="en-CA"/>
        </w:rPr>
        <w:t>ubmitted in line with decisions </w:t>
      </w:r>
      <w:r w:rsidRPr="00DA38C1">
        <w:rPr>
          <w:lang w:val="en-CA"/>
        </w:rPr>
        <w:t xml:space="preserve">78/3(g) and 79/45. The proposal includes an official letter from the Government of the Islamic Republic of Iran acknowledging that, if this project is approved by the Executive Committee, no further funding will be available until the instrument of ratification of the Kigali Amendment has been received by the depositary at the United Nations Headquarters in New York, and any reduction in HFC consumption will be deducted from any starting point that may be agreed in the future. </w:t>
      </w:r>
    </w:p>
    <w:p w:rsidR="00DA38C1" w:rsidRPr="00DA38C1" w:rsidRDefault="00DA38C1" w:rsidP="00DA38C1">
      <w:pPr>
        <w:spacing w:after="240"/>
        <w:outlineLvl w:val="0"/>
        <w:rPr>
          <w:u w:val="single"/>
          <w:lang w:val="en-CA"/>
        </w:rPr>
      </w:pPr>
      <w:r w:rsidRPr="00DA38C1">
        <w:rPr>
          <w:u w:val="single"/>
          <w:lang w:val="en-CA"/>
        </w:rPr>
        <w:t xml:space="preserve">Maturity of the technology, replicability and sustainability </w:t>
      </w:r>
    </w:p>
    <w:p w:rsidR="00DA38C1" w:rsidRPr="00DA38C1" w:rsidRDefault="00DA38C1" w:rsidP="00DA38C1">
      <w:pPr>
        <w:numPr>
          <w:ilvl w:val="0"/>
          <w:numId w:val="1"/>
        </w:numPr>
        <w:tabs>
          <w:tab w:val="clear" w:pos="1134"/>
          <w:tab w:val="num" w:pos="0"/>
        </w:tabs>
        <w:spacing w:after="240"/>
        <w:ind w:left="0"/>
        <w:outlineLvl w:val="0"/>
      </w:pPr>
      <w:r w:rsidRPr="00DA38C1">
        <w:t xml:space="preserve">Responding to the Secretariat’s concern about the sustainability of the project given the high price of HFO-1234yf, UNIDO explained that it is the alternative to HFC-134a that is the least expensive for vehicle manufacturers to switch to in assembly lines and car system design. In addition, it has the lowest life-cycle climate-performance rating, owing to its higher energy efficiency, which results in lower fuel consumption. </w:t>
      </w:r>
    </w:p>
    <w:p w:rsidR="00DA38C1" w:rsidRPr="00DA38C1" w:rsidRDefault="00DA38C1" w:rsidP="00DA38C1">
      <w:pPr>
        <w:numPr>
          <w:ilvl w:val="0"/>
          <w:numId w:val="1"/>
        </w:numPr>
        <w:tabs>
          <w:tab w:val="clear" w:pos="1134"/>
          <w:tab w:val="num" w:pos="0"/>
        </w:tabs>
        <w:spacing w:after="240"/>
        <w:ind w:left="0"/>
        <w:outlineLvl w:val="0"/>
      </w:pPr>
      <w:r w:rsidRPr="00DA38C1">
        <w:t>UNIDO also emphasized that Kerman Motor will continue its production of Hyundai vehicles following that enterprise’s technical specifications for the use of HFO</w:t>
      </w:r>
      <w:r w:rsidRPr="00DA38C1">
        <w:noBreakHyphen/>
        <w:t>1234yf as the refrigerant in the MAC systems. The enterprise already uses 6.5 mt of HFO</w:t>
      </w:r>
      <w:r w:rsidRPr="00DA38C1">
        <w:noBreakHyphen/>
        <w:t>1234yf/year in the manufacturing of three Hyundai models. In addition, several European car brands charged with HFO-1234yf are imported to the country and serviced in their own workshops. Kerman Motor expects to negotiate with its Chinese partners to convert their vehicles (the JAC and Lifan models) to HFO so that the enterprise can deal with only one refrigerant.</w:t>
      </w:r>
    </w:p>
    <w:p w:rsidR="00DA38C1" w:rsidRPr="00DA38C1" w:rsidRDefault="00DA38C1" w:rsidP="00DA38C1">
      <w:pPr>
        <w:numPr>
          <w:ilvl w:val="0"/>
          <w:numId w:val="1"/>
        </w:numPr>
        <w:tabs>
          <w:tab w:val="clear" w:pos="1134"/>
          <w:tab w:val="num" w:pos="0"/>
        </w:tabs>
        <w:spacing w:after="240"/>
        <w:ind w:left="0"/>
        <w:outlineLvl w:val="0"/>
      </w:pPr>
      <w:r w:rsidRPr="00DA38C1">
        <w:t>Notwithstanding the above, the Secretariat still had concerns about the short and mid-term sustainability of the proposal, particularly during the servicing of the vehicles fitted with an HFO-1234yf MAC unit, given the price differential between HFC-134a (US $6/kg) and HFO</w:t>
      </w:r>
      <w:r w:rsidRPr="00DA38C1">
        <w:noBreakHyphen/>
        <w:t>1234yf (US $120/kg). Furthermore, Kerman Motor represents only 3.4 per cent of the market, and service workshops around the country will neither be adequately equipped, nor likely to procure a refrigerant that is needed for only a very small number of vehicles. On that basis, the Secretariat enquired whether, with the approval of this project, the Government would be in position to promulgate a regulation to prohibit the change of the refrigerant in a system designed to use HFO-1234yf to any other, including HFC</w:t>
      </w:r>
      <w:r w:rsidRPr="00DA38C1">
        <w:noBreakHyphen/>
        <w:t>134a.</w:t>
      </w:r>
    </w:p>
    <w:p w:rsidR="00DA38C1" w:rsidRPr="00DA38C1" w:rsidRDefault="00DA38C1" w:rsidP="00DA38C1">
      <w:pPr>
        <w:numPr>
          <w:ilvl w:val="0"/>
          <w:numId w:val="1"/>
        </w:numPr>
        <w:tabs>
          <w:tab w:val="clear" w:pos="1134"/>
          <w:tab w:val="num" w:pos="0"/>
        </w:tabs>
        <w:spacing w:after="240"/>
        <w:ind w:left="0"/>
        <w:outlineLvl w:val="0"/>
      </w:pPr>
      <w:r w:rsidRPr="00DA38C1">
        <w:t>UNIDO explained that 38 out of the more than 100 service workshops of Kerman Motor are already equipped with HFO charging stations. Dealers and servicing workshops under the direct influence of Kerman Motor would be instructed to use HFO-1234yf for the best performance of the vehicles. At the time of issuance of this document, UNIDO was still consulting with the Government with regard to the regulatory measure proposed.</w:t>
      </w:r>
    </w:p>
    <w:p w:rsidR="00DA38C1" w:rsidRPr="00DA38C1" w:rsidRDefault="00DA38C1" w:rsidP="00DA38C1">
      <w:pPr>
        <w:rPr>
          <w:u w:val="single"/>
        </w:rPr>
      </w:pPr>
      <w:r w:rsidRPr="00DA38C1">
        <w:rPr>
          <w:u w:val="single"/>
        </w:rPr>
        <w:t>Project implementation and duration</w:t>
      </w:r>
    </w:p>
    <w:p w:rsidR="00DA38C1" w:rsidRPr="00DA38C1" w:rsidRDefault="00DA38C1" w:rsidP="00DA38C1"/>
    <w:p w:rsidR="00DA38C1" w:rsidRPr="00767677" w:rsidRDefault="00DA38C1" w:rsidP="00DA38C1">
      <w:pPr>
        <w:numPr>
          <w:ilvl w:val="0"/>
          <w:numId w:val="1"/>
        </w:numPr>
        <w:tabs>
          <w:tab w:val="clear" w:pos="1134"/>
          <w:tab w:val="num" w:pos="0"/>
        </w:tabs>
        <w:spacing w:after="240"/>
        <w:ind w:left="0"/>
        <w:outlineLvl w:val="0"/>
      </w:pPr>
      <w:r w:rsidRPr="00767677">
        <w:t>Given the need to complete the project in a period of no more than two years, the Secretariat asked about measures planned to mitigate the risk of delays caused by external factors, such as the country’s fluctuating exchange rate and the custom clearance process for the refrigerant and equipment. UNIDO highlighted its extensive experience in implementing projects, making funds transfers and procuring equipment in the Islamic Republic of Iran and a wide variety of countries with different customs clearance processes and currency situations. In addition, on the basis of trials already made, Kerman Motor is committed to effecting the conversion within two years. However, any potential trade restriction on Iranian enterprises could cause some delays.</w:t>
      </w:r>
    </w:p>
    <w:p w:rsidR="00DA38C1" w:rsidRPr="00DA38C1" w:rsidRDefault="00DA38C1" w:rsidP="00DA38C1">
      <w:pPr>
        <w:rPr>
          <w:u w:val="single"/>
        </w:rPr>
      </w:pPr>
      <w:r w:rsidRPr="00767677">
        <w:rPr>
          <w:u w:val="single"/>
        </w:rPr>
        <w:t>Incremental costs</w:t>
      </w:r>
      <w:r w:rsidRPr="00DA38C1">
        <w:rPr>
          <w:u w:val="single"/>
        </w:rPr>
        <w:t xml:space="preserve"> </w:t>
      </w:r>
    </w:p>
    <w:p w:rsidR="00DA38C1" w:rsidRPr="00DA38C1" w:rsidRDefault="00DA38C1" w:rsidP="00DA38C1"/>
    <w:p w:rsidR="00DA38C1" w:rsidRPr="00DA38C1" w:rsidRDefault="00DA38C1" w:rsidP="00DA38C1">
      <w:pPr>
        <w:numPr>
          <w:ilvl w:val="0"/>
          <w:numId w:val="1"/>
        </w:numPr>
        <w:tabs>
          <w:tab w:val="clear" w:pos="1134"/>
          <w:tab w:val="num" w:pos="0"/>
        </w:tabs>
        <w:spacing w:after="240"/>
        <w:ind w:left="0"/>
        <w:outlineLvl w:val="0"/>
      </w:pPr>
      <w:r w:rsidRPr="00DA38C1">
        <w:t xml:space="preserve">The Secretariat reviewed the project proposal in light of previous conversions from CFC-12 to HFC-134a and consulted a refrigeration and air-conditioning expert. </w:t>
      </w:r>
    </w:p>
    <w:p w:rsidR="00DA38C1" w:rsidRPr="00DA38C1" w:rsidRDefault="00DA38C1" w:rsidP="00DA38C1">
      <w:pPr>
        <w:numPr>
          <w:ilvl w:val="0"/>
          <w:numId w:val="1"/>
        </w:numPr>
        <w:tabs>
          <w:tab w:val="clear" w:pos="1134"/>
          <w:tab w:val="num" w:pos="0"/>
        </w:tabs>
        <w:spacing w:after="240"/>
        <w:ind w:left="0"/>
        <w:outlineLvl w:val="0"/>
      </w:pPr>
      <w:r w:rsidRPr="00DA38C1">
        <w:t>Over 77 per cent of the total ICC is related to a new refrigerant charging machine. Noting that there is already one HFO charging unit in the baseline for the Hyundai models, and considering that the total number of vehicles manufactured in the plant per year is around 21,000, with a charge per vehicle below one kg, the Secretariat asked why a smaller capacity charging machine, such as those being proposed in projects for charging R-290 in air-conditioning systems with a similar refrigerant charge at a cost of US $50,000, would not be suitable for Kerman Motors.</w:t>
      </w:r>
    </w:p>
    <w:p w:rsidR="00DA38C1" w:rsidRPr="001D0E41" w:rsidRDefault="00DA38C1" w:rsidP="00DA38C1">
      <w:pPr>
        <w:numPr>
          <w:ilvl w:val="0"/>
          <w:numId w:val="1"/>
        </w:numPr>
        <w:tabs>
          <w:tab w:val="clear" w:pos="1134"/>
          <w:tab w:val="num" w:pos="0"/>
        </w:tabs>
        <w:spacing w:after="240"/>
        <w:ind w:left="0"/>
        <w:outlineLvl w:val="0"/>
      </w:pPr>
      <w:r w:rsidRPr="00DA38C1">
        <w:t xml:space="preserve">UNIDO explained that the HFO-1234yf charging unit currently used for Hyundai production (less than 6,000 units per year), is not suitable for the entire plant owing to its lack of accuracy, the inability to conduct standard leakage tests with nitrogen and vacuums, and low reliability. In addition, these units work with small cylinders and are not suitable for the long hours of continuous operation of an automotive </w:t>
      </w:r>
      <w:r w:rsidRPr="001D0E41">
        <w:t xml:space="preserve">production line. </w:t>
      </w:r>
    </w:p>
    <w:p w:rsidR="00DA38C1" w:rsidRPr="001D0E41" w:rsidRDefault="00DA38C1" w:rsidP="00DA38C1">
      <w:pPr>
        <w:numPr>
          <w:ilvl w:val="0"/>
          <w:numId w:val="1"/>
        </w:numPr>
        <w:tabs>
          <w:tab w:val="clear" w:pos="1134"/>
          <w:tab w:val="num" w:pos="0"/>
        </w:tabs>
        <w:spacing w:after="240"/>
        <w:ind w:left="0"/>
        <w:outlineLvl w:val="0"/>
      </w:pPr>
      <w:r w:rsidRPr="001D0E41">
        <w:t xml:space="preserve">Concerning the possibility of using standard charging units (e.g. those used for domestic refrigerators), UNIDO explained that these can be programmed only by the supplier (they are microprocessor-controlled), while automotive factories always require equipment using programmable logic controllers (PLCs), which enable re-programming according to factory’s needs. </w:t>
      </w:r>
    </w:p>
    <w:p w:rsidR="00DA38C1" w:rsidRPr="001D0E41" w:rsidRDefault="00DA38C1" w:rsidP="00DA38C1">
      <w:pPr>
        <w:numPr>
          <w:ilvl w:val="0"/>
          <w:numId w:val="1"/>
        </w:numPr>
        <w:tabs>
          <w:tab w:val="clear" w:pos="1134"/>
          <w:tab w:val="num" w:pos="0"/>
        </w:tabs>
        <w:spacing w:after="240"/>
        <w:ind w:left="0"/>
        <w:outlineLvl w:val="0"/>
      </w:pPr>
      <w:r w:rsidRPr="001D0E41">
        <w:t xml:space="preserve">The additional requirements for a charging unit in the automotive sector relate to control (PLC, valves, safe controller as per </w:t>
      </w:r>
      <w:r w:rsidR="00767677" w:rsidRPr="001D0E41">
        <w:t>EN13849-1 and EN 50402 with two-</w:t>
      </w:r>
      <w:r w:rsidRPr="001D0E41">
        <w:t>stage ventilation control, safety stop for conveyor); proces</w:t>
      </w:r>
      <w:r w:rsidR="00767677" w:rsidRPr="001D0E41">
        <w:t>s (built-in pressure test with nitrogen</w:t>
      </w:r>
      <w:r w:rsidRPr="001D0E41">
        <w:t xml:space="preserve"> (or air) up to 14 ba</w:t>
      </w:r>
      <w:r w:rsidR="00E45BA5">
        <w:t>r, charge amount up to 1300 g with 100 g</w:t>
      </w:r>
      <w:r w:rsidRPr="001D0E41">
        <w:t>/sec speed, total cycle time down to 2 min); adapter (high and low pressure pneuadapter as per SAE J636 for connection); and operator/integration (hoses to the conveyor mounte</w:t>
      </w:r>
      <w:r w:rsidR="00767677" w:rsidRPr="001D0E41">
        <w:t>d on boom, hoses up to 10 m</w:t>
      </w:r>
      <w:r w:rsidRPr="001D0E41">
        <w:t xml:space="preserve"> without influence on performance, special adapter parking integrated on boom, control, mechanics and cylinders integrated into one unit with small footprint).</w:t>
      </w:r>
    </w:p>
    <w:p w:rsidR="00DA38C1" w:rsidRPr="001D0E41" w:rsidRDefault="00DA38C1" w:rsidP="00DA38C1">
      <w:pPr>
        <w:numPr>
          <w:ilvl w:val="0"/>
          <w:numId w:val="1"/>
        </w:numPr>
        <w:tabs>
          <w:tab w:val="clear" w:pos="1134"/>
          <w:tab w:val="num" w:pos="0"/>
        </w:tabs>
        <w:spacing w:after="240"/>
        <w:ind w:left="0"/>
        <w:outlineLvl w:val="0"/>
      </w:pPr>
      <w:r w:rsidRPr="001D0E41">
        <w:t>Based on the elements provided and the adaptations required, the Secretariat acknowledged that an increase in the cost would be required. As it was still uncertain whether the additional cost would amount to the US $216,055 requested, the Secretariat an</w:t>
      </w:r>
      <w:r w:rsidR="001D0E41" w:rsidRPr="001D0E41">
        <w:t>d</w:t>
      </w:r>
      <w:r w:rsidRPr="001D0E41">
        <w:t xml:space="preserve"> UNIDO agreed at a total level of US $110,000 for the charging unit, on the understanding that, as per existing policies, if the cost of the charging unit </w:t>
      </w:r>
      <w:r w:rsidR="001D0E41" w:rsidRPr="001D0E41">
        <w:t>became</w:t>
      </w:r>
      <w:r w:rsidRPr="001D0E41">
        <w:t xml:space="preserve"> higher than the level agreed, UNIDO would be able to allocate up to 20 per cent of the IOC to ICC, and report accordingly to the Secretariat.</w:t>
      </w:r>
    </w:p>
    <w:p w:rsidR="00DA38C1" w:rsidRPr="001D0E41" w:rsidRDefault="00DA38C1" w:rsidP="00DA38C1">
      <w:pPr>
        <w:numPr>
          <w:ilvl w:val="0"/>
          <w:numId w:val="1"/>
        </w:numPr>
        <w:tabs>
          <w:tab w:val="clear" w:pos="1134"/>
          <w:tab w:val="num" w:pos="0"/>
        </w:tabs>
        <w:spacing w:after="240"/>
        <w:ind w:left="0"/>
        <w:outlineLvl w:val="0"/>
      </w:pPr>
      <w:r w:rsidRPr="001D0E41">
        <w:t xml:space="preserve">The Secretariat noted that the IOCs were calculated based on </w:t>
      </w:r>
      <w:r w:rsidR="001D0E41" w:rsidRPr="001D0E41">
        <w:t>a consumption of 24.2 mt of HFC</w:t>
      </w:r>
      <w:r w:rsidR="001D0E41" w:rsidRPr="001D0E41">
        <w:noBreakHyphen/>
      </w:r>
      <w:r w:rsidRPr="001D0E41">
        <w:t>134a expected in 2018. However, as per Multilateral Fund policies, incremental costs are calculated on the basis of either last year’s use or average consumption over the last three years (i.e., 22.16 mt for Kerman Motor). On this basis, the estimated IOCs for the project in the average scenario would be US $2,517,376. Nevertheless, this adjusted IOC is still significantly above the level of funds requested for IOCs (US $516,000).</w:t>
      </w:r>
    </w:p>
    <w:p w:rsidR="00DA38C1" w:rsidRPr="00DA38C1" w:rsidRDefault="00DA38C1" w:rsidP="00DA38C1">
      <w:pPr>
        <w:numPr>
          <w:ilvl w:val="0"/>
          <w:numId w:val="1"/>
        </w:numPr>
        <w:tabs>
          <w:tab w:val="clear" w:pos="1134"/>
          <w:tab w:val="num" w:pos="0"/>
        </w:tabs>
        <w:spacing w:after="240"/>
        <w:ind w:left="0"/>
        <w:outlineLvl w:val="0"/>
      </w:pPr>
      <w:r w:rsidRPr="00DA38C1">
        <w:t>The Secretariat also noted that generally no IOCs had been approved to other projects in the MAC sector previously funded by the Multilateral Fund, although some of them were related to the changes i</w:t>
      </w:r>
      <w:r w:rsidR="001D0E41">
        <w:t xml:space="preserve">n the production of condensers, </w:t>
      </w:r>
      <w:r w:rsidRPr="00DA38C1">
        <w:t xml:space="preserve">evaporators and compressors. Given the purpose of decision 78/3(g), to collect information on ICCs and IOCs </w:t>
      </w:r>
      <w:r w:rsidRPr="00DA38C1">
        <w:rPr>
          <w:lang w:val="en-CA"/>
        </w:rPr>
        <w:t>that might be associated with phasing down HFCs</w:t>
      </w:r>
      <w:r w:rsidRPr="00DA38C1">
        <w:t>, it was agreed that funding for the IOCs could be requested at a level of US $516,000, on the understanding that the enterprise assumes the additional cost that may be incurred due to difference in price.</w:t>
      </w:r>
    </w:p>
    <w:p w:rsidR="00DA38C1" w:rsidRPr="001D0E41" w:rsidRDefault="00DA38C1" w:rsidP="00DA38C1">
      <w:pPr>
        <w:numPr>
          <w:ilvl w:val="0"/>
          <w:numId w:val="1"/>
        </w:numPr>
        <w:tabs>
          <w:tab w:val="clear" w:pos="1134"/>
          <w:tab w:val="num" w:pos="0"/>
        </w:tabs>
        <w:spacing w:after="240"/>
        <w:ind w:left="0"/>
        <w:outlineLvl w:val="0"/>
      </w:pPr>
      <w:r w:rsidRPr="00DA38C1">
        <w:t>Considering the large price difference between HFC-134a and HFO</w:t>
      </w:r>
      <w:r w:rsidRPr="00DA38C1">
        <w:noBreakHyphen/>
        <w:t>1234yf, the sustainability of the conversion remains the main concern</w:t>
      </w:r>
      <w:r w:rsidRPr="001D0E41">
        <w:t>, particularly with regard to servicing vehicles fitted with HFO</w:t>
      </w:r>
      <w:r w:rsidR="001D0E41" w:rsidRPr="001D0E41">
        <w:noBreakHyphen/>
      </w:r>
      <w:r w:rsidRPr="001D0E41">
        <w:t>MAC units. In order to increase the ability of the service workshops to provide servicing for HFO</w:t>
      </w:r>
      <w:r w:rsidR="001D0E41" w:rsidRPr="001D0E41">
        <w:noBreakHyphen/>
      </w:r>
      <w:r w:rsidRPr="001D0E41">
        <w:t>based MAC equipment, the Secretariat would agree to recommend the US $50,000 requested for the training of servicing workshops, on the understanding</w:t>
      </w:r>
      <w:r w:rsidRPr="00DA38C1">
        <w:t xml:space="preserve"> that they will be discounted at US $4.80/kg, as done for other projects where a servicing component has been added to the cost of conversion. The tonnage associated with the servicing funding of 10.42 mt of HFC-134a will also be deducted from any future </w:t>
      </w:r>
      <w:r w:rsidRPr="001D0E41">
        <w:t xml:space="preserve">starting point. </w:t>
      </w:r>
    </w:p>
    <w:p w:rsidR="00DA38C1" w:rsidRPr="00DA38C1" w:rsidRDefault="00DA38C1" w:rsidP="00DA38C1">
      <w:pPr>
        <w:numPr>
          <w:ilvl w:val="0"/>
          <w:numId w:val="1"/>
        </w:numPr>
        <w:tabs>
          <w:tab w:val="clear" w:pos="1134"/>
          <w:tab w:val="num" w:pos="0"/>
        </w:tabs>
        <w:ind w:left="0"/>
        <w:outlineLvl w:val="0"/>
        <w:rPr>
          <w:b/>
        </w:rPr>
      </w:pPr>
      <w:r w:rsidRPr="001D0E41">
        <w:t>The revised a</w:t>
      </w:r>
      <w:r w:rsidRPr="00DA38C1">
        <w:t>nd agreed costs for the conversion at Kerman Motors are presented in Table 4.</w:t>
      </w:r>
    </w:p>
    <w:p w:rsidR="00DA38C1" w:rsidRPr="00DA38C1" w:rsidRDefault="00DA38C1" w:rsidP="00DA38C1">
      <w:pPr>
        <w:outlineLvl w:val="0"/>
        <w:rPr>
          <w:b/>
        </w:rPr>
      </w:pPr>
    </w:p>
    <w:p w:rsidR="00DA38C1" w:rsidRPr="00DA38C1" w:rsidRDefault="00DA38C1" w:rsidP="00DA38C1">
      <w:pPr>
        <w:keepNext/>
        <w:keepLines/>
        <w:outlineLvl w:val="0"/>
        <w:rPr>
          <w:b/>
        </w:rPr>
      </w:pPr>
      <w:r w:rsidRPr="00DA38C1">
        <w:rPr>
          <w:b/>
        </w:rPr>
        <w:t>Table 4. Total agreed funding for conversion in MAC manufacturing in Kerman Motor</w:t>
      </w:r>
    </w:p>
    <w:tbl>
      <w:tblPr>
        <w:tblW w:w="4944" w:type="pct"/>
        <w:tblInd w:w="108" w:type="dxa"/>
        <w:tblLook w:val="04A0" w:firstRow="1" w:lastRow="0" w:firstColumn="1" w:lastColumn="0" w:noHBand="0" w:noVBand="1"/>
      </w:tblPr>
      <w:tblGrid>
        <w:gridCol w:w="6854"/>
        <w:gridCol w:w="2391"/>
      </w:tblGrid>
      <w:tr w:rsidR="00DA38C1" w:rsidRPr="00DA38C1" w:rsidTr="00C401C4">
        <w:tc>
          <w:tcPr>
            <w:tcW w:w="37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38C1" w:rsidRPr="00DA38C1" w:rsidRDefault="00DA38C1" w:rsidP="00DA38C1">
            <w:pPr>
              <w:keepNext/>
              <w:keepLines/>
              <w:outlineLvl w:val="0"/>
              <w:rPr>
                <w:b/>
                <w:sz w:val="21"/>
                <w:szCs w:val="21"/>
                <w:lang w:val="en-US"/>
              </w:rPr>
            </w:pPr>
            <w:r w:rsidRPr="00DA38C1">
              <w:rPr>
                <w:b/>
                <w:sz w:val="21"/>
                <w:szCs w:val="21"/>
                <w:lang w:val="en-US"/>
              </w:rPr>
              <w:t>Item</w:t>
            </w:r>
          </w:p>
        </w:tc>
        <w:tc>
          <w:tcPr>
            <w:tcW w:w="1293" w:type="pct"/>
            <w:tcBorders>
              <w:top w:val="single" w:sz="4" w:space="0" w:color="auto"/>
              <w:left w:val="nil"/>
              <w:bottom w:val="single" w:sz="4" w:space="0" w:color="auto"/>
              <w:right w:val="single" w:sz="4" w:space="0" w:color="auto"/>
            </w:tcBorders>
            <w:shd w:val="clear" w:color="auto" w:fill="auto"/>
            <w:vAlign w:val="center"/>
            <w:hideMark/>
          </w:tcPr>
          <w:p w:rsidR="00DA38C1" w:rsidRPr="00DA38C1" w:rsidRDefault="00DA38C1" w:rsidP="00DA38C1">
            <w:pPr>
              <w:keepNext/>
              <w:keepLines/>
              <w:jc w:val="center"/>
              <w:rPr>
                <w:b/>
                <w:bCs/>
                <w:color w:val="000000"/>
                <w:sz w:val="21"/>
                <w:szCs w:val="21"/>
                <w:lang w:val="en-US"/>
              </w:rPr>
            </w:pPr>
            <w:r w:rsidRPr="00DA38C1">
              <w:rPr>
                <w:b/>
                <w:bCs/>
                <w:color w:val="000000"/>
                <w:sz w:val="21"/>
                <w:szCs w:val="21"/>
                <w:lang w:val="en-US"/>
              </w:rPr>
              <w:t>Total cost (US $)</w:t>
            </w:r>
          </w:p>
        </w:tc>
      </w:tr>
      <w:tr w:rsidR="00DA38C1" w:rsidRPr="00DA38C1" w:rsidTr="00C401C4">
        <w:tc>
          <w:tcPr>
            <w:tcW w:w="3707" w:type="pct"/>
            <w:tcBorders>
              <w:top w:val="nil"/>
              <w:left w:val="single" w:sz="4" w:space="0" w:color="auto"/>
              <w:bottom w:val="single" w:sz="4" w:space="0" w:color="auto"/>
              <w:right w:val="single" w:sz="4" w:space="0" w:color="auto"/>
            </w:tcBorders>
            <w:shd w:val="clear" w:color="auto" w:fill="auto"/>
            <w:noWrap/>
            <w:vAlign w:val="center"/>
            <w:hideMark/>
          </w:tcPr>
          <w:p w:rsidR="00DA38C1" w:rsidRPr="00DA38C1" w:rsidRDefault="00DA38C1" w:rsidP="00DA38C1">
            <w:pPr>
              <w:keepNext/>
              <w:keepLines/>
              <w:jc w:val="left"/>
              <w:rPr>
                <w:color w:val="000000"/>
                <w:sz w:val="21"/>
                <w:szCs w:val="21"/>
                <w:lang w:val="en-US"/>
              </w:rPr>
            </w:pPr>
            <w:r w:rsidRPr="00DA38C1">
              <w:rPr>
                <w:color w:val="000000"/>
                <w:sz w:val="21"/>
                <w:szCs w:val="21"/>
                <w:lang w:val="en-US"/>
              </w:rPr>
              <w:t>Fixed production charging station (zone-free concept)</w:t>
            </w:r>
          </w:p>
        </w:tc>
        <w:tc>
          <w:tcPr>
            <w:tcW w:w="1293" w:type="pct"/>
            <w:tcBorders>
              <w:top w:val="nil"/>
              <w:left w:val="nil"/>
              <w:bottom w:val="single" w:sz="4" w:space="0" w:color="auto"/>
              <w:right w:val="single" w:sz="4" w:space="0" w:color="auto"/>
            </w:tcBorders>
            <w:shd w:val="clear" w:color="auto" w:fill="auto"/>
            <w:tcMar>
              <w:left w:w="115" w:type="dxa"/>
              <w:right w:w="576" w:type="dxa"/>
            </w:tcMar>
            <w:vAlign w:val="center"/>
            <w:hideMark/>
          </w:tcPr>
          <w:p w:rsidR="00DA38C1" w:rsidRPr="001D0E41" w:rsidRDefault="00DA38C1" w:rsidP="00DA38C1">
            <w:pPr>
              <w:keepNext/>
              <w:keepLines/>
              <w:jc w:val="right"/>
              <w:rPr>
                <w:color w:val="000000"/>
                <w:sz w:val="21"/>
                <w:szCs w:val="21"/>
                <w:lang w:val="en-US"/>
              </w:rPr>
            </w:pPr>
            <w:r w:rsidRPr="001D0E41">
              <w:rPr>
                <w:color w:val="000000"/>
                <w:sz w:val="21"/>
                <w:szCs w:val="21"/>
                <w:lang w:val="en-US"/>
              </w:rPr>
              <w:t>110,000</w:t>
            </w:r>
          </w:p>
        </w:tc>
      </w:tr>
      <w:tr w:rsidR="00DA38C1" w:rsidRPr="00DA38C1" w:rsidTr="00C401C4">
        <w:tc>
          <w:tcPr>
            <w:tcW w:w="37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38C1" w:rsidRPr="00DA38C1" w:rsidRDefault="00DA38C1" w:rsidP="00DA38C1">
            <w:pPr>
              <w:keepNext/>
              <w:keepLines/>
              <w:jc w:val="left"/>
              <w:rPr>
                <w:color w:val="000000"/>
                <w:sz w:val="21"/>
                <w:szCs w:val="21"/>
                <w:lang w:val="en-US"/>
              </w:rPr>
            </w:pPr>
            <w:r w:rsidRPr="00DA38C1">
              <w:rPr>
                <w:sz w:val="21"/>
                <w:szCs w:val="21"/>
                <w:lang w:val="en-CA"/>
              </w:rPr>
              <w:t>Anti-explosive (ATEX equivalent) air blowers</w:t>
            </w:r>
          </w:p>
        </w:tc>
        <w:tc>
          <w:tcPr>
            <w:tcW w:w="1293" w:type="pct"/>
            <w:tcBorders>
              <w:top w:val="nil"/>
              <w:left w:val="single" w:sz="4" w:space="0" w:color="auto"/>
              <w:bottom w:val="single" w:sz="4" w:space="0" w:color="auto"/>
              <w:right w:val="single" w:sz="4" w:space="0" w:color="auto"/>
            </w:tcBorders>
            <w:shd w:val="clear" w:color="auto" w:fill="auto"/>
            <w:tcMar>
              <w:left w:w="115" w:type="dxa"/>
              <w:right w:w="576" w:type="dxa"/>
            </w:tcMar>
            <w:vAlign w:val="center"/>
            <w:hideMark/>
          </w:tcPr>
          <w:p w:rsidR="00DA38C1" w:rsidRPr="001D0E41" w:rsidRDefault="00DA38C1" w:rsidP="00DA38C1">
            <w:pPr>
              <w:keepNext/>
              <w:keepLines/>
              <w:jc w:val="right"/>
              <w:rPr>
                <w:color w:val="000000"/>
                <w:sz w:val="21"/>
                <w:szCs w:val="21"/>
                <w:lang w:val="en-US"/>
              </w:rPr>
            </w:pPr>
            <w:r w:rsidRPr="001D0E41">
              <w:rPr>
                <w:color w:val="000000"/>
                <w:sz w:val="21"/>
                <w:szCs w:val="21"/>
                <w:lang w:val="en-US"/>
              </w:rPr>
              <w:t>2,000</w:t>
            </w:r>
          </w:p>
        </w:tc>
      </w:tr>
      <w:tr w:rsidR="00DA38C1" w:rsidRPr="00DA38C1" w:rsidTr="00C401C4">
        <w:tc>
          <w:tcPr>
            <w:tcW w:w="3707" w:type="pct"/>
            <w:tcBorders>
              <w:top w:val="single" w:sz="4" w:space="0" w:color="auto"/>
              <w:left w:val="single" w:sz="4" w:space="0" w:color="auto"/>
              <w:bottom w:val="single" w:sz="4" w:space="0" w:color="auto"/>
              <w:right w:val="single" w:sz="4" w:space="0" w:color="auto"/>
            </w:tcBorders>
            <w:shd w:val="clear" w:color="auto" w:fill="auto"/>
            <w:noWrap/>
            <w:hideMark/>
          </w:tcPr>
          <w:p w:rsidR="00DA38C1" w:rsidRPr="00DA38C1" w:rsidRDefault="00DA38C1" w:rsidP="00DA38C1">
            <w:pPr>
              <w:keepNext/>
              <w:keepLines/>
              <w:contextualSpacing/>
              <w:rPr>
                <w:sz w:val="21"/>
                <w:szCs w:val="21"/>
                <w:lang w:val="en-CA"/>
              </w:rPr>
            </w:pPr>
            <w:r w:rsidRPr="00DA38C1">
              <w:rPr>
                <w:sz w:val="21"/>
                <w:szCs w:val="21"/>
                <w:lang w:val="en-CA"/>
              </w:rPr>
              <w:t>Fire extinguishers</w:t>
            </w:r>
          </w:p>
        </w:tc>
        <w:tc>
          <w:tcPr>
            <w:tcW w:w="1293" w:type="pct"/>
            <w:tcBorders>
              <w:top w:val="nil"/>
              <w:left w:val="nil"/>
              <w:bottom w:val="single" w:sz="4" w:space="0" w:color="auto"/>
              <w:right w:val="single" w:sz="4" w:space="0" w:color="auto"/>
            </w:tcBorders>
            <w:shd w:val="clear" w:color="auto" w:fill="auto"/>
            <w:tcMar>
              <w:left w:w="115" w:type="dxa"/>
              <w:right w:w="576" w:type="dxa"/>
            </w:tcMar>
            <w:vAlign w:val="center"/>
            <w:hideMark/>
          </w:tcPr>
          <w:p w:rsidR="00DA38C1" w:rsidRPr="001D0E41" w:rsidRDefault="00DA38C1" w:rsidP="00DA38C1">
            <w:pPr>
              <w:keepNext/>
              <w:keepLines/>
              <w:jc w:val="right"/>
              <w:rPr>
                <w:color w:val="000000"/>
                <w:sz w:val="21"/>
                <w:szCs w:val="21"/>
                <w:lang w:val="en-US"/>
              </w:rPr>
            </w:pPr>
            <w:r w:rsidRPr="001D0E41">
              <w:rPr>
                <w:color w:val="000000"/>
                <w:sz w:val="21"/>
                <w:szCs w:val="21"/>
                <w:lang w:val="en-US"/>
              </w:rPr>
              <w:t>1,000</w:t>
            </w:r>
          </w:p>
        </w:tc>
      </w:tr>
      <w:tr w:rsidR="00DA38C1" w:rsidRPr="00DA38C1" w:rsidTr="00C401C4">
        <w:tc>
          <w:tcPr>
            <w:tcW w:w="3707" w:type="pct"/>
            <w:tcBorders>
              <w:top w:val="nil"/>
              <w:left w:val="single" w:sz="4" w:space="0" w:color="auto"/>
              <w:bottom w:val="single" w:sz="4" w:space="0" w:color="auto"/>
              <w:right w:val="single" w:sz="4" w:space="0" w:color="auto"/>
            </w:tcBorders>
            <w:shd w:val="clear" w:color="auto" w:fill="auto"/>
            <w:noWrap/>
            <w:vAlign w:val="center"/>
            <w:hideMark/>
          </w:tcPr>
          <w:p w:rsidR="00DA38C1" w:rsidRPr="00DA38C1" w:rsidRDefault="00DA38C1" w:rsidP="00DA38C1">
            <w:pPr>
              <w:keepNext/>
              <w:keepLines/>
              <w:jc w:val="left"/>
              <w:rPr>
                <w:color w:val="000000"/>
                <w:sz w:val="21"/>
                <w:szCs w:val="21"/>
                <w:lang w:val="en-US"/>
              </w:rPr>
            </w:pPr>
            <w:r w:rsidRPr="00DA38C1">
              <w:rPr>
                <w:color w:val="000000"/>
                <w:sz w:val="21"/>
                <w:szCs w:val="21"/>
                <w:lang w:val="en-US"/>
              </w:rPr>
              <w:t>Training of production-line workers by a specialized trainer</w:t>
            </w:r>
          </w:p>
        </w:tc>
        <w:tc>
          <w:tcPr>
            <w:tcW w:w="1293" w:type="pct"/>
            <w:tcBorders>
              <w:top w:val="nil"/>
              <w:left w:val="nil"/>
              <w:bottom w:val="single" w:sz="4" w:space="0" w:color="auto"/>
              <w:right w:val="single" w:sz="4" w:space="0" w:color="auto"/>
            </w:tcBorders>
            <w:shd w:val="clear" w:color="auto" w:fill="auto"/>
            <w:tcMar>
              <w:left w:w="115" w:type="dxa"/>
              <w:right w:w="576" w:type="dxa"/>
            </w:tcMar>
            <w:vAlign w:val="center"/>
            <w:hideMark/>
          </w:tcPr>
          <w:p w:rsidR="00DA38C1" w:rsidRPr="001D0E41" w:rsidRDefault="00DA38C1" w:rsidP="00DA38C1">
            <w:pPr>
              <w:keepNext/>
              <w:keepLines/>
              <w:jc w:val="right"/>
              <w:rPr>
                <w:color w:val="000000"/>
                <w:sz w:val="21"/>
                <w:szCs w:val="21"/>
                <w:lang w:val="en-US"/>
              </w:rPr>
            </w:pPr>
            <w:r w:rsidRPr="001D0E41">
              <w:rPr>
                <w:color w:val="000000"/>
                <w:sz w:val="21"/>
                <w:szCs w:val="21"/>
                <w:lang w:val="en-US"/>
              </w:rPr>
              <w:t>10,000</w:t>
            </w:r>
          </w:p>
        </w:tc>
      </w:tr>
      <w:tr w:rsidR="00DA38C1" w:rsidRPr="00DA38C1" w:rsidTr="00C401C4">
        <w:tc>
          <w:tcPr>
            <w:tcW w:w="3707" w:type="pct"/>
            <w:tcBorders>
              <w:top w:val="nil"/>
              <w:left w:val="single" w:sz="4" w:space="0" w:color="auto"/>
              <w:bottom w:val="single" w:sz="4" w:space="0" w:color="auto"/>
              <w:right w:val="single" w:sz="4" w:space="0" w:color="auto"/>
            </w:tcBorders>
            <w:shd w:val="clear" w:color="auto" w:fill="auto"/>
            <w:noWrap/>
            <w:vAlign w:val="center"/>
          </w:tcPr>
          <w:p w:rsidR="00DA38C1" w:rsidRPr="00DA38C1" w:rsidRDefault="00DA38C1" w:rsidP="00DA38C1">
            <w:pPr>
              <w:jc w:val="left"/>
              <w:rPr>
                <w:b/>
                <w:sz w:val="21"/>
                <w:szCs w:val="21"/>
              </w:rPr>
            </w:pPr>
            <w:r w:rsidRPr="00DA38C1">
              <w:rPr>
                <w:color w:val="000000"/>
                <w:sz w:val="21"/>
                <w:szCs w:val="21"/>
                <w:lang w:val="en-US"/>
              </w:rPr>
              <w:t>Training at 10 servicing workshops</w:t>
            </w:r>
          </w:p>
        </w:tc>
        <w:tc>
          <w:tcPr>
            <w:tcW w:w="1293" w:type="pct"/>
            <w:tcBorders>
              <w:top w:val="nil"/>
              <w:left w:val="nil"/>
              <w:bottom w:val="single" w:sz="4" w:space="0" w:color="auto"/>
              <w:right w:val="single" w:sz="4" w:space="0" w:color="auto"/>
            </w:tcBorders>
            <w:shd w:val="clear" w:color="auto" w:fill="auto"/>
            <w:noWrap/>
            <w:tcMar>
              <w:left w:w="115" w:type="dxa"/>
              <w:right w:w="576" w:type="dxa"/>
            </w:tcMar>
            <w:vAlign w:val="center"/>
          </w:tcPr>
          <w:p w:rsidR="00DA38C1" w:rsidRPr="001D0E41" w:rsidRDefault="00DA38C1" w:rsidP="00DA38C1">
            <w:pPr>
              <w:jc w:val="right"/>
              <w:rPr>
                <w:b/>
                <w:bCs/>
                <w:color w:val="000000"/>
                <w:sz w:val="21"/>
                <w:szCs w:val="21"/>
                <w:lang w:val="en-US"/>
              </w:rPr>
            </w:pPr>
            <w:r w:rsidRPr="001D0E41">
              <w:rPr>
                <w:bCs/>
                <w:color w:val="000000"/>
                <w:sz w:val="21"/>
                <w:szCs w:val="21"/>
                <w:lang w:val="en-US"/>
              </w:rPr>
              <w:t>50,000</w:t>
            </w:r>
          </w:p>
        </w:tc>
      </w:tr>
      <w:tr w:rsidR="00DA38C1" w:rsidRPr="00DA38C1" w:rsidTr="00C401C4">
        <w:tc>
          <w:tcPr>
            <w:tcW w:w="3707" w:type="pct"/>
            <w:tcBorders>
              <w:top w:val="nil"/>
              <w:left w:val="single" w:sz="4" w:space="0" w:color="auto"/>
              <w:bottom w:val="single" w:sz="4" w:space="0" w:color="auto"/>
              <w:right w:val="single" w:sz="4" w:space="0" w:color="auto"/>
            </w:tcBorders>
            <w:shd w:val="clear" w:color="auto" w:fill="auto"/>
            <w:noWrap/>
            <w:vAlign w:val="center"/>
            <w:hideMark/>
          </w:tcPr>
          <w:p w:rsidR="00DA38C1" w:rsidRPr="00DA38C1" w:rsidRDefault="00DA38C1" w:rsidP="00DA38C1">
            <w:pPr>
              <w:jc w:val="left"/>
              <w:rPr>
                <w:b/>
                <w:bCs/>
                <w:color w:val="000000"/>
                <w:sz w:val="21"/>
                <w:szCs w:val="21"/>
                <w:lang w:val="en-US"/>
              </w:rPr>
            </w:pPr>
            <w:r w:rsidRPr="00DA38C1">
              <w:rPr>
                <w:b/>
                <w:bCs/>
                <w:color w:val="000000"/>
                <w:sz w:val="21"/>
                <w:szCs w:val="21"/>
                <w:lang w:val="en-US"/>
              </w:rPr>
              <w:t>Total ICCs</w:t>
            </w:r>
          </w:p>
        </w:tc>
        <w:tc>
          <w:tcPr>
            <w:tcW w:w="1293" w:type="pct"/>
            <w:tcBorders>
              <w:top w:val="nil"/>
              <w:left w:val="nil"/>
              <w:bottom w:val="single" w:sz="4" w:space="0" w:color="auto"/>
              <w:right w:val="single" w:sz="4" w:space="0" w:color="auto"/>
            </w:tcBorders>
            <w:shd w:val="clear" w:color="auto" w:fill="auto"/>
            <w:noWrap/>
            <w:tcMar>
              <w:left w:w="115" w:type="dxa"/>
              <w:right w:w="576" w:type="dxa"/>
            </w:tcMar>
            <w:vAlign w:val="center"/>
            <w:hideMark/>
          </w:tcPr>
          <w:p w:rsidR="00DA38C1" w:rsidRPr="001D0E41" w:rsidRDefault="00DA38C1" w:rsidP="00DA38C1">
            <w:pPr>
              <w:jc w:val="right"/>
              <w:rPr>
                <w:b/>
                <w:bCs/>
                <w:color w:val="000000"/>
                <w:sz w:val="21"/>
                <w:szCs w:val="21"/>
                <w:lang w:val="en-US"/>
              </w:rPr>
            </w:pPr>
            <w:r w:rsidRPr="001D0E41">
              <w:rPr>
                <w:bCs/>
                <w:color w:val="000000"/>
                <w:sz w:val="21"/>
                <w:szCs w:val="21"/>
                <w:lang w:val="en-US"/>
              </w:rPr>
              <w:t>173,000</w:t>
            </w:r>
          </w:p>
        </w:tc>
      </w:tr>
      <w:tr w:rsidR="00DA38C1" w:rsidRPr="00DA38C1" w:rsidTr="00C401C4">
        <w:tc>
          <w:tcPr>
            <w:tcW w:w="3707" w:type="pct"/>
            <w:tcBorders>
              <w:top w:val="nil"/>
              <w:left w:val="single" w:sz="4" w:space="0" w:color="auto"/>
              <w:bottom w:val="single" w:sz="4" w:space="0" w:color="auto"/>
              <w:right w:val="single" w:sz="4" w:space="0" w:color="auto"/>
            </w:tcBorders>
            <w:shd w:val="clear" w:color="auto" w:fill="auto"/>
            <w:noWrap/>
            <w:vAlign w:val="center"/>
          </w:tcPr>
          <w:p w:rsidR="00DA38C1" w:rsidRPr="00DA38C1" w:rsidRDefault="00DA38C1" w:rsidP="00DA38C1">
            <w:pPr>
              <w:jc w:val="left"/>
              <w:rPr>
                <w:bCs/>
                <w:color w:val="000000"/>
                <w:sz w:val="21"/>
                <w:szCs w:val="21"/>
                <w:highlight w:val="yellow"/>
                <w:lang w:val="en-US"/>
              </w:rPr>
            </w:pPr>
            <w:r w:rsidRPr="00DA38C1">
              <w:rPr>
                <w:sz w:val="21"/>
                <w:szCs w:val="21"/>
              </w:rPr>
              <w:t>IOCs</w:t>
            </w:r>
          </w:p>
        </w:tc>
        <w:tc>
          <w:tcPr>
            <w:tcW w:w="1293" w:type="pct"/>
            <w:tcBorders>
              <w:top w:val="nil"/>
              <w:left w:val="nil"/>
              <w:bottom w:val="single" w:sz="4" w:space="0" w:color="auto"/>
              <w:right w:val="single" w:sz="4" w:space="0" w:color="auto"/>
            </w:tcBorders>
            <w:shd w:val="clear" w:color="auto" w:fill="auto"/>
            <w:noWrap/>
            <w:tcMar>
              <w:left w:w="115" w:type="dxa"/>
              <w:right w:w="576" w:type="dxa"/>
            </w:tcMar>
            <w:vAlign w:val="center"/>
          </w:tcPr>
          <w:p w:rsidR="00DA38C1" w:rsidRPr="001D0E41" w:rsidRDefault="00DA38C1" w:rsidP="00DA38C1">
            <w:pPr>
              <w:jc w:val="right"/>
              <w:rPr>
                <w:bCs/>
                <w:color w:val="000000"/>
                <w:sz w:val="21"/>
                <w:szCs w:val="21"/>
                <w:lang w:val="en-US"/>
              </w:rPr>
            </w:pPr>
            <w:r w:rsidRPr="001D0E41">
              <w:rPr>
                <w:bCs/>
                <w:color w:val="000000"/>
                <w:sz w:val="21"/>
                <w:szCs w:val="21"/>
                <w:lang w:val="en-US"/>
              </w:rPr>
              <w:t>516,000</w:t>
            </w:r>
          </w:p>
        </w:tc>
      </w:tr>
      <w:tr w:rsidR="00DA38C1" w:rsidRPr="00DA38C1" w:rsidTr="00C401C4">
        <w:tc>
          <w:tcPr>
            <w:tcW w:w="3707" w:type="pct"/>
            <w:tcBorders>
              <w:top w:val="nil"/>
              <w:left w:val="single" w:sz="4" w:space="0" w:color="auto"/>
              <w:bottom w:val="single" w:sz="4" w:space="0" w:color="auto"/>
              <w:right w:val="single" w:sz="4" w:space="0" w:color="auto"/>
            </w:tcBorders>
            <w:shd w:val="clear" w:color="auto" w:fill="auto"/>
            <w:noWrap/>
            <w:vAlign w:val="center"/>
          </w:tcPr>
          <w:p w:rsidR="00DA38C1" w:rsidRPr="00DA38C1" w:rsidRDefault="00DA38C1" w:rsidP="00DA38C1">
            <w:pPr>
              <w:jc w:val="left"/>
              <w:rPr>
                <w:b/>
                <w:sz w:val="21"/>
                <w:szCs w:val="21"/>
              </w:rPr>
            </w:pPr>
            <w:r w:rsidRPr="00DA38C1">
              <w:rPr>
                <w:b/>
                <w:sz w:val="21"/>
                <w:szCs w:val="21"/>
              </w:rPr>
              <w:t xml:space="preserve">Total cost conversion </w:t>
            </w:r>
          </w:p>
        </w:tc>
        <w:tc>
          <w:tcPr>
            <w:tcW w:w="1293" w:type="pct"/>
            <w:tcBorders>
              <w:top w:val="nil"/>
              <w:left w:val="nil"/>
              <w:bottom w:val="single" w:sz="4" w:space="0" w:color="auto"/>
              <w:right w:val="single" w:sz="4" w:space="0" w:color="auto"/>
            </w:tcBorders>
            <w:shd w:val="clear" w:color="auto" w:fill="auto"/>
            <w:noWrap/>
            <w:tcMar>
              <w:left w:w="115" w:type="dxa"/>
              <w:right w:w="576" w:type="dxa"/>
            </w:tcMar>
            <w:vAlign w:val="center"/>
          </w:tcPr>
          <w:p w:rsidR="00DA38C1" w:rsidRPr="001D0E41" w:rsidRDefault="001D0E41" w:rsidP="00DA38C1">
            <w:pPr>
              <w:jc w:val="right"/>
              <w:rPr>
                <w:b/>
                <w:bCs/>
                <w:color w:val="000000"/>
                <w:sz w:val="21"/>
                <w:szCs w:val="21"/>
                <w:lang w:val="en-US"/>
              </w:rPr>
            </w:pPr>
            <w:r w:rsidRPr="001D0E41">
              <w:rPr>
                <w:b/>
                <w:bCs/>
                <w:color w:val="000000"/>
                <w:sz w:val="21"/>
                <w:szCs w:val="21"/>
                <w:lang w:val="en-US"/>
              </w:rPr>
              <w:t>689</w:t>
            </w:r>
            <w:r w:rsidR="00DA38C1" w:rsidRPr="001D0E41">
              <w:rPr>
                <w:b/>
                <w:bCs/>
                <w:color w:val="000000"/>
                <w:sz w:val="21"/>
                <w:szCs w:val="21"/>
                <w:lang w:val="en-US"/>
              </w:rPr>
              <w:t>,000</w:t>
            </w:r>
          </w:p>
        </w:tc>
      </w:tr>
      <w:tr w:rsidR="00DA38C1" w:rsidRPr="00DA38C1" w:rsidTr="00C401C4">
        <w:tc>
          <w:tcPr>
            <w:tcW w:w="3707" w:type="pct"/>
            <w:tcBorders>
              <w:top w:val="nil"/>
              <w:left w:val="single" w:sz="4" w:space="0" w:color="auto"/>
              <w:bottom w:val="single" w:sz="4" w:space="0" w:color="auto"/>
              <w:right w:val="single" w:sz="4" w:space="0" w:color="auto"/>
            </w:tcBorders>
            <w:shd w:val="clear" w:color="auto" w:fill="auto"/>
            <w:noWrap/>
            <w:vAlign w:val="center"/>
          </w:tcPr>
          <w:p w:rsidR="00DA38C1" w:rsidRPr="00DA38C1" w:rsidRDefault="00DA38C1" w:rsidP="00DA38C1">
            <w:pPr>
              <w:jc w:val="left"/>
              <w:rPr>
                <w:sz w:val="21"/>
                <w:szCs w:val="21"/>
              </w:rPr>
            </w:pPr>
            <w:r w:rsidRPr="00DA38C1">
              <w:rPr>
                <w:sz w:val="21"/>
                <w:szCs w:val="21"/>
              </w:rPr>
              <w:t>HFC-134a consumed in mt (average 2015–2017)</w:t>
            </w:r>
          </w:p>
        </w:tc>
        <w:tc>
          <w:tcPr>
            <w:tcW w:w="1293" w:type="pct"/>
            <w:tcBorders>
              <w:top w:val="nil"/>
              <w:left w:val="nil"/>
              <w:bottom w:val="single" w:sz="4" w:space="0" w:color="auto"/>
              <w:right w:val="single" w:sz="4" w:space="0" w:color="auto"/>
            </w:tcBorders>
            <w:shd w:val="clear" w:color="auto" w:fill="auto"/>
            <w:noWrap/>
            <w:tcMar>
              <w:left w:w="115" w:type="dxa"/>
              <w:right w:w="576" w:type="dxa"/>
            </w:tcMar>
            <w:vAlign w:val="center"/>
          </w:tcPr>
          <w:p w:rsidR="00DA38C1" w:rsidRPr="001D0E41" w:rsidRDefault="00DA38C1" w:rsidP="00DA38C1">
            <w:pPr>
              <w:jc w:val="right"/>
              <w:rPr>
                <w:bCs/>
                <w:color w:val="000000"/>
                <w:sz w:val="21"/>
                <w:szCs w:val="21"/>
                <w:lang w:val="en-US"/>
              </w:rPr>
            </w:pPr>
            <w:r w:rsidRPr="001D0E41">
              <w:rPr>
                <w:bCs/>
                <w:color w:val="000000"/>
                <w:sz w:val="21"/>
                <w:szCs w:val="21"/>
                <w:lang w:val="en-US"/>
              </w:rPr>
              <w:t>22.16</w:t>
            </w:r>
          </w:p>
        </w:tc>
      </w:tr>
      <w:tr w:rsidR="00DA38C1" w:rsidRPr="00DA38C1" w:rsidTr="00C401C4">
        <w:tc>
          <w:tcPr>
            <w:tcW w:w="3707" w:type="pct"/>
            <w:tcBorders>
              <w:top w:val="nil"/>
              <w:left w:val="single" w:sz="4" w:space="0" w:color="auto"/>
              <w:bottom w:val="single" w:sz="4" w:space="0" w:color="auto"/>
              <w:right w:val="single" w:sz="4" w:space="0" w:color="auto"/>
            </w:tcBorders>
            <w:shd w:val="clear" w:color="auto" w:fill="auto"/>
            <w:noWrap/>
            <w:vAlign w:val="center"/>
          </w:tcPr>
          <w:p w:rsidR="00DA38C1" w:rsidRPr="00DA38C1" w:rsidRDefault="00DA38C1" w:rsidP="00DA38C1">
            <w:pPr>
              <w:jc w:val="left"/>
              <w:rPr>
                <w:sz w:val="21"/>
                <w:szCs w:val="21"/>
              </w:rPr>
            </w:pPr>
            <w:r w:rsidRPr="00DA38C1">
              <w:rPr>
                <w:sz w:val="21"/>
                <w:szCs w:val="21"/>
              </w:rPr>
              <w:t>HFC-134a consumed in mt CO</w:t>
            </w:r>
            <w:r w:rsidRPr="00DA38C1">
              <w:rPr>
                <w:sz w:val="21"/>
                <w:szCs w:val="21"/>
                <w:vertAlign w:val="subscript"/>
              </w:rPr>
              <w:t>2</w:t>
            </w:r>
            <w:r w:rsidRPr="00DA38C1">
              <w:rPr>
                <w:sz w:val="21"/>
                <w:szCs w:val="21"/>
              </w:rPr>
              <w:t>-eq (average 2015–2017)</w:t>
            </w:r>
          </w:p>
        </w:tc>
        <w:tc>
          <w:tcPr>
            <w:tcW w:w="1293" w:type="pct"/>
            <w:tcBorders>
              <w:top w:val="nil"/>
              <w:left w:val="nil"/>
              <w:bottom w:val="single" w:sz="4" w:space="0" w:color="auto"/>
              <w:right w:val="single" w:sz="4" w:space="0" w:color="auto"/>
            </w:tcBorders>
            <w:shd w:val="clear" w:color="auto" w:fill="auto"/>
            <w:noWrap/>
            <w:tcMar>
              <w:left w:w="115" w:type="dxa"/>
              <w:right w:w="576" w:type="dxa"/>
            </w:tcMar>
            <w:vAlign w:val="center"/>
          </w:tcPr>
          <w:p w:rsidR="00DA38C1" w:rsidRPr="001D0E41" w:rsidRDefault="00DA38C1" w:rsidP="00DA38C1">
            <w:pPr>
              <w:jc w:val="right"/>
              <w:rPr>
                <w:bCs/>
                <w:color w:val="000000"/>
                <w:sz w:val="21"/>
                <w:szCs w:val="21"/>
                <w:lang w:val="en-US"/>
              </w:rPr>
            </w:pPr>
            <w:r w:rsidRPr="001D0E41">
              <w:rPr>
                <w:bCs/>
                <w:color w:val="000000"/>
                <w:sz w:val="21"/>
                <w:szCs w:val="21"/>
                <w:lang w:val="en-US"/>
              </w:rPr>
              <w:t>31,689</w:t>
            </w:r>
          </w:p>
        </w:tc>
      </w:tr>
      <w:tr w:rsidR="00DA38C1" w:rsidRPr="00DA38C1" w:rsidTr="00C401C4">
        <w:tc>
          <w:tcPr>
            <w:tcW w:w="3707" w:type="pct"/>
            <w:tcBorders>
              <w:top w:val="nil"/>
              <w:left w:val="single" w:sz="4" w:space="0" w:color="auto"/>
              <w:bottom w:val="single" w:sz="4" w:space="0" w:color="auto"/>
              <w:right w:val="single" w:sz="4" w:space="0" w:color="auto"/>
            </w:tcBorders>
            <w:shd w:val="clear" w:color="auto" w:fill="auto"/>
            <w:noWrap/>
            <w:vAlign w:val="center"/>
          </w:tcPr>
          <w:p w:rsidR="00DA38C1" w:rsidRPr="00DA38C1" w:rsidRDefault="00DA38C1" w:rsidP="00DA38C1">
            <w:pPr>
              <w:jc w:val="left"/>
              <w:rPr>
                <w:sz w:val="21"/>
                <w:szCs w:val="21"/>
              </w:rPr>
            </w:pPr>
            <w:r w:rsidRPr="00DA38C1">
              <w:rPr>
                <w:sz w:val="21"/>
                <w:szCs w:val="21"/>
              </w:rPr>
              <w:t>Cost-effectiveness conversion (US $/kg)</w:t>
            </w:r>
          </w:p>
        </w:tc>
        <w:tc>
          <w:tcPr>
            <w:tcW w:w="1293" w:type="pct"/>
            <w:tcBorders>
              <w:top w:val="nil"/>
              <w:left w:val="nil"/>
              <w:bottom w:val="single" w:sz="4" w:space="0" w:color="auto"/>
              <w:right w:val="single" w:sz="4" w:space="0" w:color="auto"/>
            </w:tcBorders>
            <w:shd w:val="clear" w:color="auto" w:fill="auto"/>
            <w:noWrap/>
            <w:tcMar>
              <w:left w:w="115" w:type="dxa"/>
              <w:right w:w="576" w:type="dxa"/>
            </w:tcMar>
            <w:vAlign w:val="center"/>
          </w:tcPr>
          <w:p w:rsidR="00DA38C1" w:rsidRPr="001D0E41" w:rsidRDefault="00DA38C1" w:rsidP="00DA38C1">
            <w:pPr>
              <w:jc w:val="right"/>
              <w:rPr>
                <w:bCs/>
                <w:color w:val="000000"/>
                <w:sz w:val="21"/>
                <w:szCs w:val="21"/>
                <w:lang w:val="en-US"/>
              </w:rPr>
            </w:pPr>
            <w:r w:rsidRPr="001D0E41">
              <w:rPr>
                <w:bCs/>
                <w:color w:val="000000"/>
                <w:sz w:val="21"/>
                <w:szCs w:val="21"/>
                <w:lang w:val="en-US"/>
              </w:rPr>
              <w:t>31.09</w:t>
            </w:r>
          </w:p>
        </w:tc>
      </w:tr>
      <w:tr w:rsidR="00DA38C1" w:rsidRPr="00DA38C1" w:rsidTr="00C401C4">
        <w:tc>
          <w:tcPr>
            <w:tcW w:w="3707" w:type="pct"/>
            <w:tcBorders>
              <w:top w:val="nil"/>
              <w:left w:val="single" w:sz="4" w:space="0" w:color="auto"/>
              <w:bottom w:val="single" w:sz="4" w:space="0" w:color="auto"/>
              <w:right w:val="single" w:sz="4" w:space="0" w:color="auto"/>
            </w:tcBorders>
            <w:shd w:val="clear" w:color="auto" w:fill="auto"/>
            <w:noWrap/>
            <w:vAlign w:val="center"/>
          </w:tcPr>
          <w:p w:rsidR="00DA38C1" w:rsidRPr="00DA38C1" w:rsidRDefault="00DA38C1" w:rsidP="00DA38C1">
            <w:pPr>
              <w:jc w:val="left"/>
              <w:rPr>
                <w:sz w:val="21"/>
                <w:szCs w:val="21"/>
              </w:rPr>
            </w:pPr>
            <w:r w:rsidRPr="00DA38C1">
              <w:rPr>
                <w:sz w:val="21"/>
                <w:szCs w:val="21"/>
              </w:rPr>
              <w:t>Cost-effectiveness conversion (US $/mt CO</w:t>
            </w:r>
            <w:r w:rsidRPr="00DA38C1">
              <w:rPr>
                <w:sz w:val="21"/>
                <w:szCs w:val="21"/>
                <w:vertAlign w:val="subscript"/>
              </w:rPr>
              <w:t>2</w:t>
            </w:r>
            <w:r w:rsidRPr="00DA38C1">
              <w:rPr>
                <w:sz w:val="21"/>
                <w:szCs w:val="21"/>
              </w:rPr>
              <w:t>-eq)</w:t>
            </w:r>
          </w:p>
        </w:tc>
        <w:tc>
          <w:tcPr>
            <w:tcW w:w="1293" w:type="pct"/>
            <w:tcBorders>
              <w:top w:val="nil"/>
              <w:left w:val="nil"/>
              <w:bottom w:val="single" w:sz="4" w:space="0" w:color="auto"/>
              <w:right w:val="single" w:sz="4" w:space="0" w:color="auto"/>
            </w:tcBorders>
            <w:shd w:val="clear" w:color="auto" w:fill="auto"/>
            <w:noWrap/>
            <w:tcMar>
              <w:left w:w="115" w:type="dxa"/>
              <w:right w:w="576" w:type="dxa"/>
            </w:tcMar>
            <w:vAlign w:val="center"/>
          </w:tcPr>
          <w:p w:rsidR="00DA38C1" w:rsidRPr="001D0E41" w:rsidRDefault="00DA38C1" w:rsidP="00DA38C1">
            <w:pPr>
              <w:jc w:val="right"/>
              <w:rPr>
                <w:bCs/>
                <w:color w:val="000000"/>
                <w:sz w:val="21"/>
                <w:szCs w:val="21"/>
                <w:lang w:val="en-US"/>
              </w:rPr>
            </w:pPr>
            <w:r w:rsidRPr="001D0E41">
              <w:rPr>
                <w:bCs/>
                <w:color w:val="000000"/>
                <w:sz w:val="21"/>
                <w:szCs w:val="21"/>
                <w:lang w:val="en-US"/>
              </w:rPr>
              <w:t>21.74</w:t>
            </w:r>
          </w:p>
        </w:tc>
      </w:tr>
      <w:tr w:rsidR="00DA38C1" w:rsidRPr="00DA38C1" w:rsidTr="00C401C4">
        <w:tc>
          <w:tcPr>
            <w:tcW w:w="3707" w:type="pct"/>
            <w:tcBorders>
              <w:top w:val="nil"/>
              <w:left w:val="single" w:sz="4" w:space="0" w:color="auto"/>
              <w:bottom w:val="single" w:sz="4" w:space="0" w:color="auto"/>
              <w:right w:val="single" w:sz="4" w:space="0" w:color="auto"/>
            </w:tcBorders>
            <w:shd w:val="clear" w:color="auto" w:fill="auto"/>
            <w:noWrap/>
            <w:vAlign w:val="center"/>
          </w:tcPr>
          <w:p w:rsidR="00DA38C1" w:rsidRPr="00DA38C1" w:rsidRDefault="00DA38C1" w:rsidP="00DA38C1">
            <w:pPr>
              <w:jc w:val="left"/>
              <w:rPr>
                <w:sz w:val="21"/>
                <w:szCs w:val="21"/>
              </w:rPr>
            </w:pPr>
            <w:r w:rsidRPr="00DA38C1">
              <w:rPr>
                <w:sz w:val="21"/>
                <w:szCs w:val="21"/>
              </w:rPr>
              <w:t>HFC-134a including servicing component in mt (average 2015–2017)</w:t>
            </w:r>
          </w:p>
        </w:tc>
        <w:tc>
          <w:tcPr>
            <w:tcW w:w="1293" w:type="pct"/>
            <w:tcBorders>
              <w:top w:val="nil"/>
              <w:left w:val="nil"/>
              <w:bottom w:val="single" w:sz="4" w:space="0" w:color="auto"/>
              <w:right w:val="single" w:sz="4" w:space="0" w:color="auto"/>
            </w:tcBorders>
            <w:shd w:val="clear" w:color="auto" w:fill="auto"/>
            <w:noWrap/>
            <w:tcMar>
              <w:left w:w="115" w:type="dxa"/>
              <w:right w:w="576" w:type="dxa"/>
            </w:tcMar>
            <w:vAlign w:val="center"/>
          </w:tcPr>
          <w:p w:rsidR="00DA38C1" w:rsidRPr="001D0E41" w:rsidRDefault="00DA38C1" w:rsidP="00DA38C1">
            <w:pPr>
              <w:jc w:val="right"/>
              <w:rPr>
                <w:bCs/>
                <w:color w:val="000000"/>
                <w:sz w:val="21"/>
                <w:szCs w:val="21"/>
                <w:lang w:val="en-US"/>
              </w:rPr>
            </w:pPr>
            <w:r w:rsidRPr="001D0E41">
              <w:rPr>
                <w:bCs/>
                <w:color w:val="000000"/>
                <w:sz w:val="21"/>
                <w:szCs w:val="21"/>
                <w:lang w:val="en-US"/>
              </w:rPr>
              <w:t>32.58</w:t>
            </w:r>
          </w:p>
        </w:tc>
      </w:tr>
      <w:tr w:rsidR="00DA38C1" w:rsidRPr="00DA38C1" w:rsidTr="00C401C4">
        <w:tc>
          <w:tcPr>
            <w:tcW w:w="3707" w:type="pct"/>
            <w:tcBorders>
              <w:top w:val="nil"/>
              <w:left w:val="single" w:sz="4" w:space="0" w:color="auto"/>
              <w:bottom w:val="single" w:sz="4" w:space="0" w:color="auto"/>
              <w:right w:val="single" w:sz="4" w:space="0" w:color="auto"/>
            </w:tcBorders>
            <w:shd w:val="clear" w:color="auto" w:fill="auto"/>
            <w:noWrap/>
            <w:vAlign w:val="center"/>
          </w:tcPr>
          <w:p w:rsidR="00DA38C1" w:rsidRPr="00DA38C1" w:rsidRDefault="00DA38C1" w:rsidP="00DA38C1">
            <w:pPr>
              <w:jc w:val="left"/>
              <w:rPr>
                <w:sz w:val="21"/>
                <w:szCs w:val="21"/>
              </w:rPr>
            </w:pPr>
            <w:r w:rsidRPr="00DA38C1">
              <w:rPr>
                <w:sz w:val="21"/>
                <w:szCs w:val="21"/>
              </w:rPr>
              <w:t>HFC-134a including servicing component in mt CO</w:t>
            </w:r>
            <w:r w:rsidRPr="00DA38C1">
              <w:rPr>
                <w:sz w:val="21"/>
                <w:szCs w:val="21"/>
                <w:vertAlign w:val="subscript"/>
              </w:rPr>
              <w:t>2</w:t>
            </w:r>
            <w:r w:rsidRPr="00DA38C1">
              <w:rPr>
                <w:sz w:val="21"/>
                <w:szCs w:val="21"/>
              </w:rPr>
              <w:t>-eq (average 2015–2017)</w:t>
            </w:r>
          </w:p>
        </w:tc>
        <w:tc>
          <w:tcPr>
            <w:tcW w:w="1293" w:type="pct"/>
            <w:tcBorders>
              <w:top w:val="nil"/>
              <w:left w:val="nil"/>
              <w:bottom w:val="single" w:sz="4" w:space="0" w:color="auto"/>
              <w:right w:val="single" w:sz="4" w:space="0" w:color="auto"/>
            </w:tcBorders>
            <w:shd w:val="clear" w:color="auto" w:fill="auto"/>
            <w:noWrap/>
            <w:tcMar>
              <w:left w:w="115" w:type="dxa"/>
              <w:right w:w="576" w:type="dxa"/>
            </w:tcMar>
            <w:vAlign w:val="center"/>
          </w:tcPr>
          <w:p w:rsidR="00DA38C1" w:rsidRPr="001D0E41" w:rsidRDefault="00DA38C1" w:rsidP="00DA38C1">
            <w:pPr>
              <w:jc w:val="right"/>
              <w:rPr>
                <w:bCs/>
                <w:color w:val="000000"/>
                <w:sz w:val="21"/>
                <w:szCs w:val="21"/>
                <w:lang w:val="en-US"/>
              </w:rPr>
            </w:pPr>
            <w:r w:rsidRPr="001D0E41">
              <w:rPr>
                <w:bCs/>
                <w:color w:val="000000"/>
                <w:sz w:val="21"/>
                <w:szCs w:val="21"/>
                <w:lang w:val="en-US"/>
              </w:rPr>
              <w:t>46,585</w:t>
            </w:r>
          </w:p>
        </w:tc>
      </w:tr>
      <w:tr w:rsidR="00DA38C1" w:rsidRPr="00DA38C1" w:rsidTr="00C401C4">
        <w:tc>
          <w:tcPr>
            <w:tcW w:w="3707" w:type="pct"/>
            <w:tcBorders>
              <w:top w:val="nil"/>
              <w:left w:val="single" w:sz="4" w:space="0" w:color="auto"/>
              <w:bottom w:val="single" w:sz="4" w:space="0" w:color="auto"/>
              <w:right w:val="single" w:sz="4" w:space="0" w:color="auto"/>
            </w:tcBorders>
            <w:shd w:val="clear" w:color="auto" w:fill="auto"/>
            <w:noWrap/>
            <w:vAlign w:val="center"/>
          </w:tcPr>
          <w:p w:rsidR="00DA38C1" w:rsidRPr="00DA38C1" w:rsidRDefault="00DA38C1" w:rsidP="00DA38C1">
            <w:pPr>
              <w:jc w:val="left"/>
              <w:rPr>
                <w:sz w:val="21"/>
                <w:szCs w:val="21"/>
              </w:rPr>
            </w:pPr>
            <w:r w:rsidRPr="00DA38C1">
              <w:rPr>
                <w:sz w:val="21"/>
                <w:szCs w:val="21"/>
              </w:rPr>
              <w:t>Cost-effectiveness including servicing component (US $/kg)</w:t>
            </w:r>
          </w:p>
        </w:tc>
        <w:tc>
          <w:tcPr>
            <w:tcW w:w="1293" w:type="pct"/>
            <w:tcBorders>
              <w:top w:val="nil"/>
              <w:left w:val="nil"/>
              <w:bottom w:val="single" w:sz="4" w:space="0" w:color="auto"/>
              <w:right w:val="single" w:sz="4" w:space="0" w:color="auto"/>
            </w:tcBorders>
            <w:shd w:val="clear" w:color="auto" w:fill="auto"/>
            <w:noWrap/>
            <w:tcMar>
              <w:left w:w="115" w:type="dxa"/>
              <w:right w:w="576" w:type="dxa"/>
            </w:tcMar>
            <w:vAlign w:val="center"/>
          </w:tcPr>
          <w:p w:rsidR="00DA38C1" w:rsidRPr="001D0E41" w:rsidRDefault="00DA38C1" w:rsidP="00DA38C1">
            <w:pPr>
              <w:jc w:val="right"/>
              <w:rPr>
                <w:bCs/>
                <w:color w:val="000000"/>
                <w:sz w:val="21"/>
                <w:szCs w:val="21"/>
                <w:lang w:val="en-US"/>
              </w:rPr>
            </w:pPr>
            <w:r w:rsidRPr="001D0E41">
              <w:rPr>
                <w:bCs/>
                <w:color w:val="000000"/>
                <w:sz w:val="21"/>
                <w:szCs w:val="21"/>
                <w:lang w:val="en-US"/>
              </w:rPr>
              <w:t>21.15</w:t>
            </w:r>
          </w:p>
        </w:tc>
      </w:tr>
      <w:tr w:rsidR="00DA38C1" w:rsidRPr="00DA38C1" w:rsidTr="00C401C4">
        <w:tc>
          <w:tcPr>
            <w:tcW w:w="3707" w:type="pct"/>
            <w:tcBorders>
              <w:top w:val="nil"/>
              <w:left w:val="single" w:sz="4" w:space="0" w:color="auto"/>
              <w:bottom w:val="single" w:sz="4" w:space="0" w:color="auto"/>
              <w:right w:val="single" w:sz="4" w:space="0" w:color="auto"/>
            </w:tcBorders>
            <w:shd w:val="clear" w:color="auto" w:fill="auto"/>
            <w:noWrap/>
            <w:vAlign w:val="center"/>
          </w:tcPr>
          <w:p w:rsidR="00DA38C1" w:rsidRPr="00DA38C1" w:rsidRDefault="00DA38C1" w:rsidP="00DA38C1">
            <w:pPr>
              <w:jc w:val="left"/>
              <w:rPr>
                <w:sz w:val="21"/>
                <w:szCs w:val="21"/>
              </w:rPr>
            </w:pPr>
            <w:r w:rsidRPr="00DA38C1">
              <w:rPr>
                <w:sz w:val="21"/>
                <w:szCs w:val="21"/>
              </w:rPr>
              <w:t>Cost-effectiveness including servicing component (US $/mt CO</w:t>
            </w:r>
            <w:r w:rsidRPr="00DA38C1">
              <w:rPr>
                <w:sz w:val="21"/>
                <w:szCs w:val="21"/>
                <w:vertAlign w:val="subscript"/>
              </w:rPr>
              <w:t>2</w:t>
            </w:r>
            <w:r w:rsidRPr="00DA38C1">
              <w:rPr>
                <w:sz w:val="21"/>
                <w:szCs w:val="21"/>
              </w:rPr>
              <w:t>-eq)</w:t>
            </w:r>
          </w:p>
        </w:tc>
        <w:tc>
          <w:tcPr>
            <w:tcW w:w="1293" w:type="pct"/>
            <w:tcBorders>
              <w:top w:val="nil"/>
              <w:left w:val="nil"/>
              <w:bottom w:val="single" w:sz="4" w:space="0" w:color="auto"/>
              <w:right w:val="single" w:sz="4" w:space="0" w:color="auto"/>
            </w:tcBorders>
            <w:shd w:val="clear" w:color="auto" w:fill="auto"/>
            <w:noWrap/>
            <w:tcMar>
              <w:left w:w="115" w:type="dxa"/>
              <w:right w:w="576" w:type="dxa"/>
            </w:tcMar>
            <w:vAlign w:val="center"/>
          </w:tcPr>
          <w:p w:rsidR="00DA38C1" w:rsidRPr="001D0E41" w:rsidRDefault="00DA38C1" w:rsidP="00DA38C1">
            <w:pPr>
              <w:jc w:val="right"/>
              <w:rPr>
                <w:bCs/>
                <w:color w:val="000000"/>
                <w:sz w:val="21"/>
                <w:szCs w:val="21"/>
                <w:lang w:val="en-US"/>
              </w:rPr>
            </w:pPr>
            <w:r w:rsidRPr="001D0E41">
              <w:rPr>
                <w:bCs/>
                <w:color w:val="000000"/>
                <w:sz w:val="21"/>
                <w:szCs w:val="21"/>
                <w:lang w:val="en-US"/>
              </w:rPr>
              <w:t>14.79</w:t>
            </w:r>
          </w:p>
        </w:tc>
      </w:tr>
    </w:tbl>
    <w:p w:rsidR="00DA38C1" w:rsidRPr="00DA38C1" w:rsidRDefault="00DA38C1" w:rsidP="00DA38C1">
      <w:pPr>
        <w:outlineLvl w:val="0"/>
      </w:pPr>
    </w:p>
    <w:p w:rsidR="00DA38C1" w:rsidRPr="00DA38C1" w:rsidRDefault="00DA38C1" w:rsidP="00DA38C1">
      <w:pPr>
        <w:numPr>
          <w:ilvl w:val="0"/>
          <w:numId w:val="1"/>
        </w:numPr>
        <w:tabs>
          <w:tab w:val="clear" w:pos="1134"/>
          <w:tab w:val="num" w:pos="0"/>
        </w:tabs>
        <w:spacing w:after="240"/>
        <w:ind w:left="0"/>
        <w:outlineLvl w:val="0"/>
        <w:rPr>
          <w:lang w:val="en-CA"/>
        </w:rPr>
      </w:pPr>
      <w:r w:rsidRPr="00DA38C1">
        <w:rPr>
          <w:lang w:val="en-CA"/>
        </w:rPr>
        <w:t xml:space="preserve"> On the basis of the information available at the time of review, the Secretariat considers that the agreed costs are its best estimates of the overall incremental costs of conversion; these estimates, however, might change as more information becomes available and according to the specific characteristics of the enterprises. The Secretariat, therefore, considers that approval of the project at the levels proposed above would not constitute a precedent.</w:t>
      </w:r>
    </w:p>
    <w:p w:rsidR="00DA38C1" w:rsidRPr="00DA38C1" w:rsidRDefault="00DA38C1" w:rsidP="00DA38C1">
      <w:pPr>
        <w:rPr>
          <w:u w:val="single"/>
          <w:lang w:val="en-CA"/>
        </w:rPr>
      </w:pPr>
      <w:r w:rsidRPr="00DA38C1">
        <w:rPr>
          <w:u w:val="single"/>
          <w:lang w:val="en-CA"/>
        </w:rPr>
        <w:t>2018</w:t>
      </w:r>
      <w:r w:rsidRPr="00DA38C1">
        <w:rPr>
          <w:sz w:val="18"/>
          <w:szCs w:val="18"/>
          <w:u w:val="single"/>
          <w:lang w:val="en-CA"/>
        </w:rPr>
        <w:t>–</w:t>
      </w:r>
      <w:r w:rsidRPr="00DA38C1">
        <w:rPr>
          <w:u w:val="single"/>
          <w:lang w:val="en-CA"/>
        </w:rPr>
        <w:t>2020 business plan</w:t>
      </w:r>
    </w:p>
    <w:p w:rsidR="00DA38C1" w:rsidRPr="00DA38C1" w:rsidRDefault="00DA38C1" w:rsidP="00DA38C1">
      <w:pPr>
        <w:rPr>
          <w:lang w:val="en-CA"/>
        </w:rPr>
      </w:pPr>
    </w:p>
    <w:p w:rsidR="00DA38C1" w:rsidRPr="00DA38C1" w:rsidRDefault="00DA38C1" w:rsidP="00DA38C1">
      <w:pPr>
        <w:numPr>
          <w:ilvl w:val="0"/>
          <w:numId w:val="1"/>
        </w:numPr>
        <w:tabs>
          <w:tab w:val="clear" w:pos="1134"/>
          <w:tab w:val="num" w:pos="0"/>
        </w:tabs>
        <w:spacing w:after="240"/>
        <w:ind w:left="0"/>
        <w:outlineLvl w:val="0"/>
      </w:pPr>
      <w:r w:rsidRPr="00DA38C1">
        <w:rPr>
          <w:lang w:val="en-CA"/>
        </w:rPr>
        <w:t>The Secretariat notes that this project is not included in the 2018</w:t>
      </w:r>
      <w:r w:rsidRPr="00DA38C1">
        <w:rPr>
          <w:sz w:val="18"/>
          <w:szCs w:val="18"/>
          <w:lang w:val="en-CA"/>
        </w:rPr>
        <w:t>–</w:t>
      </w:r>
      <w:r w:rsidRPr="00DA38C1">
        <w:rPr>
          <w:lang w:val="en-CA"/>
        </w:rPr>
        <w:t>2020 business plan of the Multilateral Fund.</w:t>
      </w:r>
    </w:p>
    <w:p w:rsidR="00DA38C1" w:rsidRPr="00DA38C1" w:rsidRDefault="00DA38C1" w:rsidP="00DA38C1">
      <w:pPr>
        <w:rPr>
          <w:b/>
        </w:rPr>
      </w:pPr>
      <w:r w:rsidRPr="00DA38C1">
        <w:rPr>
          <w:b/>
        </w:rPr>
        <w:t>RECOMMENDATION</w:t>
      </w:r>
    </w:p>
    <w:p w:rsidR="00DA38C1" w:rsidRPr="00DA38C1" w:rsidRDefault="00DA38C1" w:rsidP="00DA38C1"/>
    <w:p w:rsidR="00DA38C1" w:rsidRPr="00DA38C1" w:rsidRDefault="00DA38C1" w:rsidP="00DA38C1">
      <w:pPr>
        <w:numPr>
          <w:ilvl w:val="0"/>
          <w:numId w:val="1"/>
        </w:numPr>
        <w:tabs>
          <w:tab w:val="clear" w:pos="1134"/>
          <w:tab w:val="num" w:pos="0"/>
        </w:tabs>
        <w:spacing w:after="240"/>
        <w:ind w:left="0"/>
        <w:outlineLvl w:val="0"/>
      </w:pPr>
      <w:r w:rsidRPr="00DA38C1">
        <w:t xml:space="preserve">The Executive Committee may wish to consider </w:t>
      </w:r>
    </w:p>
    <w:p w:rsidR="00DA38C1" w:rsidRPr="00DA38C1" w:rsidRDefault="00DA38C1" w:rsidP="00DA38C1">
      <w:pPr>
        <w:widowControl w:val="0"/>
        <w:numPr>
          <w:ilvl w:val="1"/>
          <w:numId w:val="1"/>
        </w:numPr>
        <w:spacing w:after="240"/>
        <w:outlineLvl w:val="1"/>
      </w:pPr>
      <w:r w:rsidRPr="00DA38C1">
        <w:t xml:space="preserve">The project proposal </w:t>
      </w:r>
      <w:r w:rsidRPr="00DA38C1">
        <w:rPr>
          <w:lang w:val="en-CA"/>
        </w:rPr>
        <w:t>to convert the manufacturing of mobile air-conditioning (MAC) units from HFC-134a to hydrofluoro-olefin (HFO 1234yf) at Kerman Motor Company Limited</w:t>
      </w:r>
      <w:r w:rsidRPr="00DA38C1">
        <w:t>, in the context of its discussion on HFC stand-alone projects submitted to the 81</w:t>
      </w:r>
      <w:r w:rsidRPr="00DA38C1">
        <w:rPr>
          <w:vertAlign w:val="superscript"/>
        </w:rPr>
        <w:t>st</w:t>
      </w:r>
      <w:r w:rsidRPr="00DA38C1">
        <w:t xml:space="preserve"> meeting, in line with decision 78/3(g), as described in the document on the Overview of issues identified during project review (UNEP/OzL.Pro/ExCom/81/14);</w:t>
      </w:r>
    </w:p>
    <w:p w:rsidR="00DA38C1" w:rsidRPr="00DA38C1" w:rsidRDefault="00DA38C1" w:rsidP="00DA38C1">
      <w:pPr>
        <w:widowControl w:val="0"/>
        <w:numPr>
          <w:ilvl w:val="1"/>
          <w:numId w:val="1"/>
        </w:numPr>
        <w:spacing w:after="240"/>
        <w:outlineLvl w:val="1"/>
      </w:pPr>
      <w:r w:rsidRPr="00DA38C1">
        <w:t>Whether or not to approve the project proposal indicated in sub-paragraph (a) above, in the amount of US $6</w:t>
      </w:r>
      <w:r w:rsidR="001D0E41">
        <w:t>89</w:t>
      </w:r>
      <w:r w:rsidRPr="00DA38C1">
        <w:t>,000, plus agency support costs of US $48,230 for UNIDO, on the understanding, if the project were to be approved:</w:t>
      </w:r>
    </w:p>
    <w:p w:rsidR="00DA38C1" w:rsidRPr="00DA38C1" w:rsidRDefault="00DA38C1" w:rsidP="00DA38C1">
      <w:pPr>
        <w:widowControl w:val="0"/>
        <w:numPr>
          <w:ilvl w:val="2"/>
          <w:numId w:val="1"/>
        </w:numPr>
        <w:spacing w:after="240"/>
        <w:outlineLvl w:val="2"/>
      </w:pPr>
      <w:r w:rsidRPr="00DA38C1">
        <w:t xml:space="preserve">That no further funding would be available until the instrument of ratification by the Government of the Islamic Republic of Iran had been received by the depositary at the Headquarters of the United Nations in New York; </w:t>
      </w:r>
    </w:p>
    <w:p w:rsidR="00DA38C1" w:rsidRPr="00DA38C1" w:rsidRDefault="00DA38C1" w:rsidP="00DA38C1">
      <w:pPr>
        <w:widowControl w:val="0"/>
        <w:numPr>
          <w:ilvl w:val="2"/>
          <w:numId w:val="1"/>
        </w:numPr>
        <w:spacing w:after="240"/>
        <w:outlineLvl w:val="2"/>
      </w:pPr>
      <w:r w:rsidRPr="00DA38C1">
        <w:t>That 32.58 metric tonnes (46,585 CO</w:t>
      </w:r>
      <w:r w:rsidRPr="00DA38C1">
        <w:rPr>
          <w:vertAlign w:val="subscript"/>
        </w:rPr>
        <w:t>2</w:t>
      </w:r>
      <w:r w:rsidRPr="00DA38C1">
        <w:t xml:space="preserve"> equivalent metric tonnes) of HFC-134 would be deducted from the starting point for sustained aggregate reduction in HFC once it had been established;</w:t>
      </w:r>
    </w:p>
    <w:p w:rsidR="00DA38C1" w:rsidRPr="00DA38C1" w:rsidRDefault="00DA38C1" w:rsidP="00DA38C1">
      <w:pPr>
        <w:widowControl w:val="0"/>
        <w:numPr>
          <w:ilvl w:val="2"/>
          <w:numId w:val="1"/>
        </w:numPr>
        <w:spacing w:after="240"/>
        <w:outlineLvl w:val="2"/>
      </w:pPr>
      <w:r w:rsidRPr="00DA38C1">
        <w:t>That the project would be completed within 24 months of the transfer of funds to UNIDO, and a comprehensive completion report with detailed information on the eligible incremental capital costs, incremental operating costs, any possible savings incurred during the conversion and relevant factors that facilitated implementation would be submitted within six months of project completion;</w:t>
      </w:r>
    </w:p>
    <w:p w:rsidR="00DA38C1" w:rsidRPr="001D0E41" w:rsidRDefault="00DA38C1" w:rsidP="00DA38C1">
      <w:pPr>
        <w:widowControl w:val="0"/>
        <w:numPr>
          <w:ilvl w:val="2"/>
          <w:numId w:val="1"/>
        </w:numPr>
        <w:spacing w:after="240"/>
        <w:outlineLvl w:val="2"/>
      </w:pPr>
      <w:r w:rsidRPr="001D0E41">
        <w:t xml:space="preserve">That, in the event that the cost of the charging unit surpasses the amount agreed of US $110,000, UNIDO would report the level of funds reallocated from the incremental operational costs to cover the cost of the unit, and include in the final report the </w:t>
      </w:r>
      <w:r w:rsidR="001D0E41" w:rsidRPr="001D0E41">
        <w:t xml:space="preserve">cost of all the elements </w:t>
      </w:r>
      <w:r w:rsidRPr="001D0E41">
        <w:t>comprised</w:t>
      </w:r>
      <w:r w:rsidR="001D0E41" w:rsidRPr="001D0E41">
        <w:t xml:space="preserve"> in the charging unit</w:t>
      </w:r>
      <w:r w:rsidRPr="001D0E41">
        <w:t>; and</w:t>
      </w:r>
    </w:p>
    <w:p w:rsidR="00DA38C1" w:rsidRPr="00DA38C1" w:rsidRDefault="00DA38C1" w:rsidP="00DA38C1">
      <w:pPr>
        <w:widowControl w:val="0"/>
        <w:numPr>
          <w:ilvl w:val="2"/>
          <w:numId w:val="1"/>
        </w:numPr>
        <w:spacing w:after="240"/>
        <w:outlineLvl w:val="2"/>
      </w:pPr>
      <w:r w:rsidRPr="00DA38C1">
        <w:t>That any remaining funds would be returned to the Multilateral Fund no later than one year after the date of project completion.</w:t>
      </w:r>
    </w:p>
    <w:p w:rsidR="00242391" w:rsidRPr="00702174" w:rsidRDefault="00242391" w:rsidP="00242391">
      <w:pPr>
        <w:rPr>
          <w:i/>
          <w:lang w:val="en-CA"/>
        </w:rPr>
      </w:pPr>
    </w:p>
    <w:tbl>
      <w:tblPr>
        <w:tblStyle w:val="TableGrid"/>
        <w:tblpPr w:leftFromText="180" w:rightFromText="180" w:vertAnchor="text" w:horzAnchor="margin" w:tblpY="1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532D05" w:rsidTr="00A01810">
        <w:tc>
          <w:tcPr>
            <w:tcW w:w="1871" w:type="dxa"/>
          </w:tcPr>
          <w:p w:rsidR="00532D05" w:rsidRDefault="00532D05" w:rsidP="00A01810">
            <w:r>
              <w:br w:type="page"/>
            </w:r>
          </w:p>
        </w:tc>
        <w:tc>
          <w:tcPr>
            <w:tcW w:w="1872" w:type="dxa"/>
          </w:tcPr>
          <w:p w:rsidR="00532D05" w:rsidRDefault="00532D05" w:rsidP="00A01810"/>
        </w:tc>
        <w:tc>
          <w:tcPr>
            <w:tcW w:w="1872" w:type="dxa"/>
            <w:tcBorders>
              <w:bottom w:val="single" w:sz="4" w:space="0" w:color="auto"/>
            </w:tcBorders>
          </w:tcPr>
          <w:p w:rsidR="00532D05" w:rsidRDefault="00532D05" w:rsidP="00A01810"/>
        </w:tc>
        <w:tc>
          <w:tcPr>
            <w:tcW w:w="1872" w:type="dxa"/>
          </w:tcPr>
          <w:p w:rsidR="00532D05" w:rsidRDefault="00532D05" w:rsidP="00A01810"/>
        </w:tc>
        <w:tc>
          <w:tcPr>
            <w:tcW w:w="1873" w:type="dxa"/>
          </w:tcPr>
          <w:p w:rsidR="00532D05" w:rsidRDefault="00532D05" w:rsidP="00A01810"/>
        </w:tc>
      </w:tr>
    </w:tbl>
    <w:p w:rsidR="00532D05" w:rsidRPr="00450E43" w:rsidRDefault="00532D05" w:rsidP="00532D05"/>
    <w:p w:rsidR="00532D05" w:rsidRPr="00AD3012" w:rsidRDefault="00532D05" w:rsidP="00532D05">
      <w:pPr>
        <w:tabs>
          <w:tab w:val="center" w:pos="4680"/>
          <w:tab w:val="left" w:pos="7884"/>
        </w:tabs>
        <w:jc w:val="center"/>
        <w:outlineLvl w:val="0"/>
        <w:rPr>
          <w:sz w:val="18"/>
          <w:szCs w:val="18"/>
          <w:lang w:val="en-CA"/>
        </w:rPr>
      </w:pPr>
    </w:p>
    <w:p w:rsidR="00532D05" w:rsidRPr="006623C9" w:rsidRDefault="00532D05" w:rsidP="00532D05">
      <w:pPr>
        <w:rPr>
          <w:lang w:val="en-CA"/>
        </w:rPr>
      </w:pPr>
    </w:p>
    <w:p w:rsidR="00242391" w:rsidRDefault="00242391" w:rsidP="004E7F9C">
      <w:pPr>
        <w:rPr>
          <w:lang w:val="en-CA"/>
        </w:rPr>
      </w:pPr>
    </w:p>
    <w:sectPr w:rsidR="00242391" w:rsidSect="00E757D8">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571" w:rsidRDefault="00E95571" w:rsidP="004A504B">
      <w:r>
        <w:separator/>
      </w:r>
    </w:p>
  </w:endnote>
  <w:endnote w:type="continuationSeparator" w:id="0">
    <w:p w:rsidR="00E95571" w:rsidRDefault="00E95571" w:rsidP="004A504B">
      <w:r>
        <w:continuationSeparator/>
      </w:r>
    </w:p>
  </w:endnote>
  <w:endnote w:type="continuationNotice" w:id="1">
    <w:p w:rsidR="00E95571" w:rsidRDefault="00E95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4" w:rsidRPr="0033525D" w:rsidRDefault="00133E94">
    <w:pPr>
      <w:jc w:val="center"/>
    </w:pPr>
    <w:r>
      <w:fldChar w:fldCharType="begin"/>
    </w:r>
    <w:r>
      <w:instrText xml:space="preserve"> PAGE </w:instrText>
    </w:r>
    <w:r>
      <w:fldChar w:fldCharType="separate"/>
    </w:r>
    <w:r w:rsidR="0094394E">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4" w:rsidRPr="0033525D" w:rsidRDefault="00133E94">
    <w:pPr>
      <w:jc w:val="center"/>
    </w:pPr>
    <w:r>
      <w:fldChar w:fldCharType="begin"/>
    </w:r>
    <w:r>
      <w:instrText xml:space="preserve"> PAGE </w:instrText>
    </w:r>
    <w:r>
      <w:fldChar w:fldCharType="separate"/>
    </w:r>
    <w:r w:rsidR="0094394E">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4" w:rsidRDefault="00133E94"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133E94" w:rsidRDefault="00133E94"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571" w:rsidRDefault="00E95571" w:rsidP="004A504B">
      <w:r>
        <w:separator/>
      </w:r>
    </w:p>
  </w:footnote>
  <w:footnote w:type="continuationSeparator" w:id="0">
    <w:p w:rsidR="00E95571" w:rsidRDefault="00E95571" w:rsidP="004A504B">
      <w:r>
        <w:continuationSeparator/>
      </w:r>
    </w:p>
  </w:footnote>
  <w:footnote w:type="continuationNotice" w:id="1">
    <w:p w:rsidR="00E95571" w:rsidRDefault="00E95571"/>
  </w:footnote>
  <w:footnote w:id="2">
    <w:p w:rsidR="00DA38C1" w:rsidRPr="002D2099" w:rsidRDefault="00DA38C1" w:rsidP="00DA38C1">
      <w:pPr>
        <w:pStyle w:val="FootnoteText"/>
        <w:rPr>
          <w:lang w:val="en-CA"/>
        </w:rPr>
      </w:pPr>
      <w:r>
        <w:rPr>
          <w:rStyle w:val="FootnoteReference"/>
        </w:rPr>
        <w:footnoteRef/>
      </w:r>
      <w:r>
        <w:t xml:space="preserve"> </w:t>
      </w:r>
      <w:r w:rsidRPr="002D2099">
        <w:t xml:space="preserve">Around 80 per cent of the </w:t>
      </w:r>
      <w:r>
        <w:t>vehicle</w:t>
      </w:r>
      <w:r w:rsidRPr="002D2099">
        <w:t xml:space="preserve"> </w:t>
      </w:r>
      <w:r>
        <w:t xml:space="preserve">market </w:t>
      </w:r>
      <w:r w:rsidRPr="002D2099">
        <w:t xml:space="preserve">belongs to </w:t>
      </w:r>
      <w:r>
        <w:t>state-owned</w:t>
      </w:r>
      <w:r w:rsidRPr="002D2099">
        <w:t xml:space="preserve"> car producers </w:t>
      </w:r>
      <w:r>
        <w:t xml:space="preserve">Iran Khodro and </w:t>
      </w:r>
      <w:r w:rsidRPr="00131138">
        <w:t>Saipa</w:t>
      </w:r>
      <w:r w:rsidRPr="00EC4BAF">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4" w:rsidRPr="0033525D" w:rsidRDefault="00133E94">
    <w:r w:rsidRPr="001609DE">
      <w:t>U</w:t>
    </w:r>
    <w:r w:rsidR="003A18A6">
      <w:t>NEP/OzL.Pro/ExCom/81</w:t>
    </w:r>
    <w:r>
      <w:t>/3</w:t>
    </w:r>
    <w:r w:rsidR="00DE7428">
      <w:t>9</w:t>
    </w:r>
  </w:p>
  <w:p w:rsidR="00133E94" w:rsidRPr="0033525D" w:rsidRDefault="00133E9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4" w:rsidRPr="0033525D" w:rsidRDefault="00133E94" w:rsidP="001609DE">
    <w:pPr>
      <w:jc w:val="right"/>
    </w:pPr>
    <w:r w:rsidRPr="001609DE">
      <w:t>U</w:t>
    </w:r>
    <w:r w:rsidR="003A18A6">
      <w:t>NEP/OzL.Pro/ExCom/81</w:t>
    </w:r>
    <w:r>
      <w:t>/3</w:t>
    </w:r>
    <w:r w:rsidR="00DE7428">
      <w:t>9</w:t>
    </w:r>
  </w:p>
  <w:p w:rsidR="00133E94" w:rsidRPr="0033525D" w:rsidRDefault="00133E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4A63946"/>
    <w:lvl w:ilvl="0">
      <w:start w:val="1"/>
      <w:numFmt w:val="decimal"/>
      <w:pStyle w:val="Heading1"/>
      <w:lvlText w:val="%1."/>
      <w:lvlJc w:val="left"/>
      <w:pPr>
        <w:tabs>
          <w:tab w:val="num" w:pos="1134"/>
        </w:tabs>
        <w:ind w:left="1134" w:firstLine="0"/>
      </w:pPr>
      <w:rPr>
        <w:b w:val="0"/>
        <w:strike w:val="0"/>
        <w:lang w:val="en-CA"/>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944266F"/>
    <w:multiLevelType w:val="hybridMultilevel"/>
    <w:tmpl w:val="9D683EDE"/>
    <w:lvl w:ilvl="0" w:tplc="45624558">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84616F"/>
    <w:multiLevelType w:val="hybridMultilevel"/>
    <w:tmpl w:val="DBE209E4"/>
    <w:lvl w:ilvl="0" w:tplc="2050E1E6">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15A09BA"/>
    <w:multiLevelType w:val="hybridMultilevel"/>
    <w:tmpl w:val="B3A2D4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33836CA6"/>
    <w:multiLevelType w:val="hybridMultilevel"/>
    <w:tmpl w:val="B8ECC0A4"/>
    <w:lvl w:ilvl="0" w:tplc="C52246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94536E"/>
    <w:multiLevelType w:val="hybridMultilevel"/>
    <w:tmpl w:val="A164F196"/>
    <w:lvl w:ilvl="0" w:tplc="10090001">
      <w:start w:val="170"/>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1" w15:restartNumberingAfterBreak="0">
    <w:nsid w:val="7E3F05E7"/>
    <w:multiLevelType w:val="hybridMultilevel"/>
    <w:tmpl w:val="747E8F5E"/>
    <w:lvl w:ilvl="0" w:tplc="A27E446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3"/>
  </w:num>
  <w:num w:numId="3">
    <w:abstractNumId w:val="18"/>
  </w:num>
  <w:num w:numId="4">
    <w:abstractNumId w:val="19"/>
  </w:num>
  <w:num w:numId="5">
    <w:abstractNumId w:val="20"/>
  </w:num>
  <w:num w:numId="6">
    <w:abstractNumId w:val="15"/>
  </w:num>
  <w:num w:numId="7">
    <w:abstractNumId w:val="10"/>
  </w:num>
  <w:num w:numId="8">
    <w:abstractNumId w:val="10"/>
  </w:num>
  <w:num w:numId="9">
    <w:abstractNumId w:val="10"/>
  </w:num>
  <w:num w:numId="10">
    <w:abstractNumId w:val="10"/>
  </w:num>
  <w:num w:numId="11">
    <w:abstractNumId w:val="17"/>
  </w:num>
  <w:num w:numId="12">
    <w:abstractNumId w:val="10"/>
  </w:num>
  <w:num w:numId="13">
    <w:abstractNumId w:val="10"/>
  </w:num>
  <w:num w:numId="14">
    <w:abstractNumId w:val="10"/>
  </w:num>
  <w:num w:numId="15">
    <w:abstractNumId w:val="10"/>
  </w:num>
  <w:num w:numId="16">
    <w:abstractNumId w:val="1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21"/>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6"/>
  </w:num>
  <w:num w:numId="3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gUA94TvAiwAAAA="/>
  </w:docVars>
  <w:rsids>
    <w:rsidRoot w:val="00BF65E9"/>
    <w:rsid w:val="00000FC5"/>
    <w:rsid w:val="00000FED"/>
    <w:rsid w:val="0000434E"/>
    <w:rsid w:val="00012280"/>
    <w:rsid w:val="00012AEA"/>
    <w:rsid w:val="0001785E"/>
    <w:rsid w:val="000211A9"/>
    <w:rsid w:val="000253FE"/>
    <w:rsid w:val="00031260"/>
    <w:rsid w:val="000344E2"/>
    <w:rsid w:val="00035978"/>
    <w:rsid w:val="0003681A"/>
    <w:rsid w:val="00037B83"/>
    <w:rsid w:val="000407FC"/>
    <w:rsid w:val="000546CE"/>
    <w:rsid w:val="000567CE"/>
    <w:rsid w:val="0006039E"/>
    <w:rsid w:val="00061EC2"/>
    <w:rsid w:val="00080ED0"/>
    <w:rsid w:val="00083BC3"/>
    <w:rsid w:val="00085B8F"/>
    <w:rsid w:val="00090481"/>
    <w:rsid w:val="0009357C"/>
    <w:rsid w:val="000A1692"/>
    <w:rsid w:val="000A348B"/>
    <w:rsid w:val="000A65BF"/>
    <w:rsid w:val="000A6C26"/>
    <w:rsid w:val="000C2FA8"/>
    <w:rsid w:val="000D269E"/>
    <w:rsid w:val="000D4FFC"/>
    <w:rsid w:val="000D7AE5"/>
    <w:rsid w:val="000E07BC"/>
    <w:rsid w:val="000F1CD4"/>
    <w:rsid w:val="000F4103"/>
    <w:rsid w:val="000F70A7"/>
    <w:rsid w:val="00122F25"/>
    <w:rsid w:val="00125BBF"/>
    <w:rsid w:val="00133E94"/>
    <w:rsid w:val="00134193"/>
    <w:rsid w:val="00135980"/>
    <w:rsid w:val="00135A80"/>
    <w:rsid w:val="001414B4"/>
    <w:rsid w:val="001418AC"/>
    <w:rsid w:val="0014283F"/>
    <w:rsid w:val="001609DE"/>
    <w:rsid w:val="00162D0B"/>
    <w:rsid w:val="00164719"/>
    <w:rsid w:val="00166FC4"/>
    <w:rsid w:val="001677AC"/>
    <w:rsid w:val="0018046E"/>
    <w:rsid w:val="001804EA"/>
    <w:rsid w:val="00182878"/>
    <w:rsid w:val="001868F3"/>
    <w:rsid w:val="0019018C"/>
    <w:rsid w:val="00190A61"/>
    <w:rsid w:val="00191ACF"/>
    <w:rsid w:val="001964E3"/>
    <w:rsid w:val="001973D9"/>
    <w:rsid w:val="001A2C2E"/>
    <w:rsid w:val="001A3342"/>
    <w:rsid w:val="001A3E3D"/>
    <w:rsid w:val="001A46C6"/>
    <w:rsid w:val="001A7049"/>
    <w:rsid w:val="001A71AA"/>
    <w:rsid w:val="001A74A6"/>
    <w:rsid w:val="001B1E40"/>
    <w:rsid w:val="001C117D"/>
    <w:rsid w:val="001C24D7"/>
    <w:rsid w:val="001C764E"/>
    <w:rsid w:val="001D0E41"/>
    <w:rsid w:val="001D7873"/>
    <w:rsid w:val="001E1052"/>
    <w:rsid w:val="001E21B1"/>
    <w:rsid w:val="001E2F93"/>
    <w:rsid w:val="001E33FF"/>
    <w:rsid w:val="001E61E5"/>
    <w:rsid w:val="001F2159"/>
    <w:rsid w:val="001F6425"/>
    <w:rsid w:val="00200FA2"/>
    <w:rsid w:val="00203EFE"/>
    <w:rsid w:val="00214863"/>
    <w:rsid w:val="002156B4"/>
    <w:rsid w:val="00217A07"/>
    <w:rsid w:val="00224C23"/>
    <w:rsid w:val="0022703A"/>
    <w:rsid w:val="00227F62"/>
    <w:rsid w:val="00242391"/>
    <w:rsid w:val="002469D9"/>
    <w:rsid w:val="00253222"/>
    <w:rsid w:val="00254BA9"/>
    <w:rsid w:val="0025720C"/>
    <w:rsid w:val="00262847"/>
    <w:rsid w:val="00265257"/>
    <w:rsid w:val="002709A2"/>
    <w:rsid w:val="00277613"/>
    <w:rsid w:val="00281BB2"/>
    <w:rsid w:val="002840D5"/>
    <w:rsid w:val="0028606B"/>
    <w:rsid w:val="00287F45"/>
    <w:rsid w:val="002949E6"/>
    <w:rsid w:val="002A60EB"/>
    <w:rsid w:val="002B021C"/>
    <w:rsid w:val="002B72E9"/>
    <w:rsid w:val="002C4608"/>
    <w:rsid w:val="002C5B57"/>
    <w:rsid w:val="002C7998"/>
    <w:rsid w:val="002E0167"/>
    <w:rsid w:val="002F1E53"/>
    <w:rsid w:val="002F2CAA"/>
    <w:rsid w:val="0030052C"/>
    <w:rsid w:val="0031639D"/>
    <w:rsid w:val="003243E7"/>
    <w:rsid w:val="003306E1"/>
    <w:rsid w:val="003320E4"/>
    <w:rsid w:val="0033525D"/>
    <w:rsid w:val="00341256"/>
    <w:rsid w:val="003414F3"/>
    <w:rsid w:val="00352E61"/>
    <w:rsid w:val="0035613E"/>
    <w:rsid w:val="0035635B"/>
    <w:rsid w:val="00363EE9"/>
    <w:rsid w:val="0036530E"/>
    <w:rsid w:val="00372313"/>
    <w:rsid w:val="00376128"/>
    <w:rsid w:val="0037742E"/>
    <w:rsid w:val="0038245A"/>
    <w:rsid w:val="00385CFC"/>
    <w:rsid w:val="0039337A"/>
    <w:rsid w:val="0039527A"/>
    <w:rsid w:val="00396E9D"/>
    <w:rsid w:val="003973E3"/>
    <w:rsid w:val="003A18A6"/>
    <w:rsid w:val="003A3189"/>
    <w:rsid w:val="003B33BD"/>
    <w:rsid w:val="003B569D"/>
    <w:rsid w:val="003B6A1E"/>
    <w:rsid w:val="003C3C0E"/>
    <w:rsid w:val="003C4166"/>
    <w:rsid w:val="003C4BFA"/>
    <w:rsid w:val="003D4FAC"/>
    <w:rsid w:val="003E3447"/>
    <w:rsid w:val="003E481D"/>
    <w:rsid w:val="003E7906"/>
    <w:rsid w:val="003F3C50"/>
    <w:rsid w:val="003F6AC4"/>
    <w:rsid w:val="004008CF"/>
    <w:rsid w:val="004036FA"/>
    <w:rsid w:val="00406A6A"/>
    <w:rsid w:val="00406B22"/>
    <w:rsid w:val="004072E0"/>
    <w:rsid w:val="004104CD"/>
    <w:rsid w:val="0041328F"/>
    <w:rsid w:val="00413AC7"/>
    <w:rsid w:val="00414879"/>
    <w:rsid w:val="0041578B"/>
    <w:rsid w:val="00416AF1"/>
    <w:rsid w:val="004310A2"/>
    <w:rsid w:val="004328A7"/>
    <w:rsid w:val="0043434B"/>
    <w:rsid w:val="00434C74"/>
    <w:rsid w:val="00436711"/>
    <w:rsid w:val="00436EE4"/>
    <w:rsid w:val="00437E82"/>
    <w:rsid w:val="00456EB4"/>
    <w:rsid w:val="00470487"/>
    <w:rsid w:val="004718F3"/>
    <w:rsid w:val="00475040"/>
    <w:rsid w:val="00485554"/>
    <w:rsid w:val="00493D40"/>
    <w:rsid w:val="004941E4"/>
    <w:rsid w:val="004958C3"/>
    <w:rsid w:val="004967B6"/>
    <w:rsid w:val="004973FC"/>
    <w:rsid w:val="004A2D78"/>
    <w:rsid w:val="004A3F53"/>
    <w:rsid w:val="004A504B"/>
    <w:rsid w:val="004A6911"/>
    <w:rsid w:val="004B54E0"/>
    <w:rsid w:val="004B7384"/>
    <w:rsid w:val="004C4269"/>
    <w:rsid w:val="004C6D15"/>
    <w:rsid w:val="004D098B"/>
    <w:rsid w:val="004D1818"/>
    <w:rsid w:val="004D33BA"/>
    <w:rsid w:val="004D508B"/>
    <w:rsid w:val="004D6236"/>
    <w:rsid w:val="004D7ACA"/>
    <w:rsid w:val="004E4DBB"/>
    <w:rsid w:val="004E4E41"/>
    <w:rsid w:val="004E5C6C"/>
    <w:rsid w:val="004E7F9C"/>
    <w:rsid w:val="004F3493"/>
    <w:rsid w:val="004F4D5C"/>
    <w:rsid w:val="004F5143"/>
    <w:rsid w:val="004F60EB"/>
    <w:rsid w:val="00502F9C"/>
    <w:rsid w:val="00512483"/>
    <w:rsid w:val="00512B09"/>
    <w:rsid w:val="00521BCF"/>
    <w:rsid w:val="00523613"/>
    <w:rsid w:val="00532D05"/>
    <w:rsid w:val="00541F28"/>
    <w:rsid w:val="00554221"/>
    <w:rsid w:val="005542AA"/>
    <w:rsid w:val="00555D75"/>
    <w:rsid w:val="00557823"/>
    <w:rsid w:val="00560DF0"/>
    <w:rsid w:val="0056759C"/>
    <w:rsid w:val="005717D4"/>
    <w:rsid w:val="00572316"/>
    <w:rsid w:val="00573C0C"/>
    <w:rsid w:val="005743CD"/>
    <w:rsid w:val="005746CE"/>
    <w:rsid w:val="00575CBF"/>
    <w:rsid w:val="00577853"/>
    <w:rsid w:val="00585D88"/>
    <w:rsid w:val="00587F13"/>
    <w:rsid w:val="00592B4E"/>
    <w:rsid w:val="00592E14"/>
    <w:rsid w:val="00594A04"/>
    <w:rsid w:val="0059513E"/>
    <w:rsid w:val="005A56F4"/>
    <w:rsid w:val="005B23DF"/>
    <w:rsid w:val="005B48FF"/>
    <w:rsid w:val="005C3C34"/>
    <w:rsid w:val="005C54C6"/>
    <w:rsid w:val="005D3D33"/>
    <w:rsid w:val="005D7C55"/>
    <w:rsid w:val="005D7DAE"/>
    <w:rsid w:val="005E17E6"/>
    <w:rsid w:val="005E1A39"/>
    <w:rsid w:val="005E5253"/>
    <w:rsid w:val="005F6E78"/>
    <w:rsid w:val="00600416"/>
    <w:rsid w:val="00604C15"/>
    <w:rsid w:val="006158D5"/>
    <w:rsid w:val="0061737D"/>
    <w:rsid w:val="00624407"/>
    <w:rsid w:val="00624753"/>
    <w:rsid w:val="00625D83"/>
    <w:rsid w:val="00635C47"/>
    <w:rsid w:val="00640388"/>
    <w:rsid w:val="00653E7C"/>
    <w:rsid w:val="006623E7"/>
    <w:rsid w:val="00662B80"/>
    <w:rsid w:val="00670784"/>
    <w:rsid w:val="00670F6C"/>
    <w:rsid w:val="006852C7"/>
    <w:rsid w:val="00693432"/>
    <w:rsid w:val="006A4E4E"/>
    <w:rsid w:val="006C1727"/>
    <w:rsid w:val="006C32FD"/>
    <w:rsid w:val="006C39CE"/>
    <w:rsid w:val="006D0FCC"/>
    <w:rsid w:val="006E1FC3"/>
    <w:rsid w:val="006E2B5A"/>
    <w:rsid w:val="006E4B9A"/>
    <w:rsid w:val="006F2DEB"/>
    <w:rsid w:val="0070616B"/>
    <w:rsid w:val="00706FDA"/>
    <w:rsid w:val="00710320"/>
    <w:rsid w:val="00711F9A"/>
    <w:rsid w:val="00713810"/>
    <w:rsid w:val="00723BEA"/>
    <w:rsid w:val="007303A5"/>
    <w:rsid w:val="00730B3E"/>
    <w:rsid w:val="0073420B"/>
    <w:rsid w:val="0074760E"/>
    <w:rsid w:val="00754418"/>
    <w:rsid w:val="00754ABA"/>
    <w:rsid w:val="007565DB"/>
    <w:rsid w:val="00760487"/>
    <w:rsid w:val="00767677"/>
    <w:rsid w:val="00783640"/>
    <w:rsid w:val="00783AFE"/>
    <w:rsid w:val="0079257B"/>
    <w:rsid w:val="007A1546"/>
    <w:rsid w:val="007A228C"/>
    <w:rsid w:val="007A368E"/>
    <w:rsid w:val="007A5868"/>
    <w:rsid w:val="007B04CE"/>
    <w:rsid w:val="007B0660"/>
    <w:rsid w:val="007B6871"/>
    <w:rsid w:val="007B7A2F"/>
    <w:rsid w:val="007C38A5"/>
    <w:rsid w:val="007C3D33"/>
    <w:rsid w:val="007C4750"/>
    <w:rsid w:val="007D294A"/>
    <w:rsid w:val="007D47D2"/>
    <w:rsid w:val="007D486C"/>
    <w:rsid w:val="007D6EC0"/>
    <w:rsid w:val="007D7E1D"/>
    <w:rsid w:val="007E115B"/>
    <w:rsid w:val="007F04B7"/>
    <w:rsid w:val="007F568D"/>
    <w:rsid w:val="007F579F"/>
    <w:rsid w:val="00800F76"/>
    <w:rsid w:val="00804982"/>
    <w:rsid w:val="00821FF3"/>
    <w:rsid w:val="00831979"/>
    <w:rsid w:val="0084685E"/>
    <w:rsid w:val="008469C9"/>
    <w:rsid w:val="00851352"/>
    <w:rsid w:val="008616CB"/>
    <w:rsid w:val="00862870"/>
    <w:rsid w:val="00862DB2"/>
    <w:rsid w:val="00863230"/>
    <w:rsid w:val="00866A56"/>
    <w:rsid w:val="008717D8"/>
    <w:rsid w:val="0087215C"/>
    <w:rsid w:val="0087254B"/>
    <w:rsid w:val="00872BB1"/>
    <w:rsid w:val="00883B61"/>
    <w:rsid w:val="008875FE"/>
    <w:rsid w:val="00887F8E"/>
    <w:rsid w:val="0089165A"/>
    <w:rsid w:val="00891E0D"/>
    <w:rsid w:val="00895616"/>
    <w:rsid w:val="00895F7A"/>
    <w:rsid w:val="00896234"/>
    <w:rsid w:val="00897E43"/>
    <w:rsid w:val="008A60C5"/>
    <w:rsid w:val="008A7C96"/>
    <w:rsid w:val="008B0FBE"/>
    <w:rsid w:val="008B14FA"/>
    <w:rsid w:val="008B28B7"/>
    <w:rsid w:val="008B2BA5"/>
    <w:rsid w:val="008C5738"/>
    <w:rsid w:val="008C7EAD"/>
    <w:rsid w:val="008D0CFE"/>
    <w:rsid w:val="008D106F"/>
    <w:rsid w:val="008D5AA2"/>
    <w:rsid w:val="008D6152"/>
    <w:rsid w:val="008D7C93"/>
    <w:rsid w:val="008E2995"/>
    <w:rsid w:val="008E3BC4"/>
    <w:rsid w:val="008F0F81"/>
    <w:rsid w:val="008F27BF"/>
    <w:rsid w:val="008F50EC"/>
    <w:rsid w:val="008F5A99"/>
    <w:rsid w:val="009142EC"/>
    <w:rsid w:val="00914F6F"/>
    <w:rsid w:val="009154C3"/>
    <w:rsid w:val="00921547"/>
    <w:rsid w:val="00922632"/>
    <w:rsid w:val="00923540"/>
    <w:rsid w:val="009240C5"/>
    <w:rsid w:val="00926767"/>
    <w:rsid w:val="009361D5"/>
    <w:rsid w:val="009428A4"/>
    <w:rsid w:val="00942A53"/>
    <w:rsid w:val="0094394E"/>
    <w:rsid w:val="0094421D"/>
    <w:rsid w:val="00954D06"/>
    <w:rsid w:val="00956C33"/>
    <w:rsid w:val="009659F4"/>
    <w:rsid w:val="00970D60"/>
    <w:rsid w:val="00974794"/>
    <w:rsid w:val="00975FCC"/>
    <w:rsid w:val="00976B21"/>
    <w:rsid w:val="00977CB4"/>
    <w:rsid w:val="00983C7A"/>
    <w:rsid w:val="009847CE"/>
    <w:rsid w:val="00985BA2"/>
    <w:rsid w:val="00994D37"/>
    <w:rsid w:val="009956F8"/>
    <w:rsid w:val="009960E5"/>
    <w:rsid w:val="009A7ADC"/>
    <w:rsid w:val="009B409E"/>
    <w:rsid w:val="009B588E"/>
    <w:rsid w:val="009C0725"/>
    <w:rsid w:val="009C19B7"/>
    <w:rsid w:val="009C1DE1"/>
    <w:rsid w:val="009C37F0"/>
    <w:rsid w:val="009D4CAF"/>
    <w:rsid w:val="009D7C51"/>
    <w:rsid w:val="009E285A"/>
    <w:rsid w:val="009F36BF"/>
    <w:rsid w:val="00A0087A"/>
    <w:rsid w:val="00A111B6"/>
    <w:rsid w:val="00A21197"/>
    <w:rsid w:val="00A24B7E"/>
    <w:rsid w:val="00A26D27"/>
    <w:rsid w:val="00A376EE"/>
    <w:rsid w:val="00A42346"/>
    <w:rsid w:val="00A42A99"/>
    <w:rsid w:val="00A5151A"/>
    <w:rsid w:val="00A57B31"/>
    <w:rsid w:val="00A57E0A"/>
    <w:rsid w:val="00A76ED6"/>
    <w:rsid w:val="00A77B5D"/>
    <w:rsid w:val="00A823F6"/>
    <w:rsid w:val="00A84071"/>
    <w:rsid w:val="00A87919"/>
    <w:rsid w:val="00AA0A89"/>
    <w:rsid w:val="00AA38A6"/>
    <w:rsid w:val="00AA6429"/>
    <w:rsid w:val="00AB6F05"/>
    <w:rsid w:val="00AB796F"/>
    <w:rsid w:val="00AC01AA"/>
    <w:rsid w:val="00AC23F1"/>
    <w:rsid w:val="00AC4F72"/>
    <w:rsid w:val="00AC51D2"/>
    <w:rsid w:val="00AC732A"/>
    <w:rsid w:val="00AE04A9"/>
    <w:rsid w:val="00AE766F"/>
    <w:rsid w:val="00AF57FB"/>
    <w:rsid w:val="00AF741A"/>
    <w:rsid w:val="00B0158F"/>
    <w:rsid w:val="00B01ADB"/>
    <w:rsid w:val="00B04161"/>
    <w:rsid w:val="00B056F9"/>
    <w:rsid w:val="00B05E52"/>
    <w:rsid w:val="00B11E3D"/>
    <w:rsid w:val="00B17E82"/>
    <w:rsid w:val="00B24B97"/>
    <w:rsid w:val="00B2670A"/>
    <w:rsid w:val="00B33A4D"/>
    <w:rsid w:val="00B37491"/>
    <w:rsid w:val="00B42698"/>
    <w:rsid w:val="00B4575A"/>
    <w:rsid w:val="00B575BA"/>
    <w:rsid w:val="00B57D1B"/>
    <w:rsid w:val="00B60F0F"/>
    <w:rsid w:val="00B7157A"/>
    <w:rsid w:val="00B738C5"/>
    <w:rsid w:val="00B76429"/>
    <w:rsid w:val="00B83CFB"/>
    <w:rsid w:val="00B9298F"/>
    <w:rsid w:val="00B93EDB"/>
    <w:rsid w:val="00B956D4"/>
    <w:rsid w:val="00B9609D"/>
    <w:rsid w:val="00B97446"/>
    <w:rsid w:val="00BA7432"/>
    <w:rsid w:val="00BB69B8"/>
    <w:rsid w:val="00BB728F"/>
    <w:rsid w:val="00BC1AA0"/>
    <w:rsid w:val="00BC2073"/>
    <w:rsid w:val="00BC2495"/>
    <w:rsid w:val="00BC7EB9"/>
    <w:rsid w:val="00BD2643"/>
    <w:rsid w:val="00BD26C2"/>
    <w:rsid w:val="00BD4138"/>
    <w:rsid w:val="00BD56B1"/>
    <w:rsid w:val="00BD6229"/>
    <w:rsid w:val="00BD6558"/>
    <w:rsid w:val="00BE7C3F"/>
    <w:rsid w:val="00BF0DD4"/>
    <w:rsid w:val="00BF2B6A"/>
    <w:rsid w:val="00BF3022"/>
    <w:rsid w:val="00BF3214"/>
    <w:rsid w:val="00BF5573"/>
    <w:rsid w:val="00BF65E9"/>
    <w:rsid w:val="00C03250"/>
    <w:rsid w:val="00C11003"/>
    <w:rsid w:val="00C15867"/>
    <w:rsid w:val="00C2296D"/>
    <w:rsid w:val="00C23155"/>
    <w:rsid w:val="00C25BF8"/>
    <w:rsid w:val="00C27DA2"/>
    <w:rsid w:val="00C3371C"/>
    <w:rsid w:val="00C40C41"/>
    <w:rsid w:val="00C41DB0"/>
    <w:rsid w:val="00C446EC"/>
    <w:rsid w:val="00C45885"/>
    <w:rsid w:val="00C46D01"/>
    <w:rsid w:val="00C50F22"/>
    <w:rsid w:val="00C51785"/>
    <w:rsid w:val="00C57971"/>
    <w:rsid w:val="00C61E43"/>
    <w:rsid w:val="00C661F2"/>
    <w:rsid w:val="00C760F2"/>
    <w:rsid w:val="00C76BA4"/>
    <w:rsid w:val="00C8391F"/>
    <w:rsid w:val="00C83A48"/>
    <w:rsid w:val="00C84054"/>
    <w:rsid w:val="00C85865"/>
    <w:rsid w:val="00C85E32"/>
    <w:rsid w:val="00C85E85"/>
    <w:rsid w:val="00C96835"/>
    <w:rsid w:val="00CA2EAE"/>
    <w:rsid w:val="00CA4AC1"/>
    <w:rsid w:val="00CA52A1"/>
    <w:rsid w:val="00CB0316"/>
    <w:rsid w:val="00CB0B11"/>
    <w:rsid w:val="00CB5354"/>
    <w:rsid w:val="00CC6A14"/>
    <w:rsid w:val="00CC70A3"/>
    <w:rsid w:val="00CC7FA3"/>
    <w:rsid w:val="00CD00A4"/>
    <w:rsid w:val="00CD3C05"/>
    <w:rsid w:val="00CD4442"/>
    <w:rsid w:val="00CD4515"/>
    <w:rsid w:val="00CD53C3"/>
    <w:rsid w:val="00CD574E"/>
    <w:rsid w:val="00CE4C22"/>
    <w:rsid w:val="00CF41EC"/>
    <w:rsid w:val="00CF5D04"/>
    <w:rsid w:val="00D04DE4"/>
    <w:rsid w:val="00D063F1"/>
    <w:rsid w:val="00D06C22"/>
    <w:rsid w:val="00D06E90"/>
    <w:rsid w:val="00D14F22"/>
    <w:rsid w:val="00D304E4"/>
    <w:rsid w:val="00D4755B"/>
    <w:rsid w:val="00D51DDF"/>
    <w:rsid w:val="00D52639"/>
    <w:rsid w:val="00D54A54"/>
    <w:rsid w:val="00D5535A"/>
    <w:rsid w:val="00D55913"/>
    <w:rsid w:val="00D57918"/>
    <w:rsid w:val="00D60FCF"/>
    <w:rsid w:val="00D61618"/>
    <w:rsid w:val="00D61CE8"/>
    <w:rsid w:val="00D63926"/>
    <w:rsid w:val="00D64135"/>
    <w:rsid w:val="00D6531F"/>
    <w:rsid w:val="00D73DC6"/>
    <w:rsid w:val="00D74C1A"/>
    <w:rsid w:val="00D754C1"/>
    <w:rsid w:val="00D76743"/>
    <w:rsid w:val="00D76E8A"/>
    <w:rsid w:val="00D77393"/>
    <w:rsid w:val="00D77A35"/>
    <w:rsid w:val="00D81B3E"/>
    <w:rsid w:val="00D83FE5"/>
    <w:rsid w:val="00D90C70"/>
    <w:rsid w:val="00D90E49"/>
    <w:rsid w:val="00D93939"/>
    <w:rsid w:val="00D96799"/>
    <w:rsid w:val="00D96ADE"/>
    <w:rsid w:val="00DA05DA"/>
    <w:rsid w:val="00DA38C1"/>
    <w:rsid w:val="00DB5F41"/>
    <w:rsid w:val="00DB5FD1"/>
    <w:rsid w:val="00DC47E4"/>
    <w:rsid w:val="00DC543B"/>
    <w:rsid w:val="00DC6A10"/>
    <w:rsid w:val="00DD737C"/>
    <w:rsid w:val="00DE657E"/>
    <w:rsid w:val="00DE7428"/>
    <w:rsid w:val="00DF4704"/>
    <w:rsid w:val="00DF6E28"/>
    <w:rsid w:val="00E00D30"/>
    <w:rsid w:val="00E01598"/>
    <w:rsid w:val="00E024AA"/>
    <w:rsid w:val="00E07282"/>
    <w:rsid w:val="00E105FD"/>
    <w:rsid w:val="00E17758"/>
    <w:rsid w:val="00E20C57"/>
    <w:rsid w:val="00E2254B"/>
    <w:rsid w:val="00E250F1"/>
    <w:rsid w:val="00E3550D"/>
    <w:rsid w:val="00E45BA5"/>
    <w:rsid w:val="00E614E0"/>
    <w:rsid w:val="00E73F7F"/>
    <w:rsid w:val="00E741CE"/>
    <w:rsid w:val="00E757D8"/>
    <w:rsid w:val="00E76078"/>
    <w:rsid w:val="00E85409"/>
    <w:rsid w:val="00E85FF5"/>
    <w:rsid w:val="00E87AD6"/>
    <w:rsid w:val="00E95571"/>
    <w:rsid w:val="00EA0AE5"/>
    <w:rsid w:val="00EA429F"/>
    <w:rsid w:val="00EA4F9E"/>
    <w:rsid w:val="00EA55DE"/>
    <w:rsid w:val="00EA63CA"/>
    <w:rsid w:val="00EA6D3B"/>
    <w:rsid w:val="00EB00AD"/>
    <w:rsid w:val="00EB11F3"/>
    <w:rsid w:val="00EB136C"/>
    <w:rsid w:val="00EB480E"/>
    <w:rsid w:val="00EB5EC6"/>
    <w:rsid w:val="00EB7FC9"/>
    <w:rsid w:val="00ED27E8"/>
    <w:rsid w:val="00ED7137"/>
    <w:rsid w:val="00EE5626"/>
    <w:rsid w:val="00EF1A75"/>
    <w:rsid w:val="00EF70C5"/>
    <w:rsid w:val="00F02752"/>
    <w:rsid w:val="00F02B43"/>
    <w:rsid w:val="00F1100C"/>
    <w:rsid w:val="00F14B15"/>
    <w:rsid w:val="00F21088"/>
    <w:rsid w:val="00F231F5"/>
    <w:rsid w:val="00F32308"/>
    <w:rsid w:val="00F327E7"/>
    <w:rsid w:val="00F35746"/>
    <w:rsid w:val="00F41E4E"/>
    <w:rsid w:val="00F447C7"/>
    <w:rsid w:val="00F455E0"/>
    <w:rsid w:val="00F51F7D"/>
    <w:rsid w:val="00F554A9"/>
    <w:rsid w:val="00F572EA"/>
    <w:rsid w:val="00F67F39"/>
    <w:rsid w:val="00F716FD"/>
    <w:rsid w:val="00F80355"/>
    <w:rsid w:val="00F8541F"/>
    <w:rsid w:val="00F900C4"/>
    <w:rsid w:val="00F93D40"/>
    <w:rsid w:val="00F94E92"/>
    <w:rsid w:val="00FB0C81"/>
    <w:rsid w:val="00FB0EF6"/>
    <w:rsid w:val="00FB194F"/>
    <w:rsid w:val="00FC2200"/>
    <w:rsid w:val="00FC2540"/>
    <w:rsid w:val="00FC690E"/>
    <w:rsid w:val="00FC7C69"/>
    <w:rsid w:val="00FD703F"/>
    <w:rsid w:val="00FE3056"/>
    <w:rsid w:val="00FF0204"/>
    <w:rsid w:val="00FF3180"/>
    <w:rsid w:val="00FF3946"/>
    <w:rsid w:val="00FF3AED"/>
    <w:rsid w:val="00FF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DED551"/>
  <w15:docId w15:val="{731175FB-B27D-442B-8AE4-8F33C965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E9D"/>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tabs>
        <w:tab w:val="clear" w:pos="1134"/>
        <w:tab w:val="num" w:pos="142"/>
      </w:tabs>
      <w:spacing w:after="240"/>
      <w:ind w:left="142"/>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6"/>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2"/>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link w:val="0Heading0Char"/>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3"/>
      </w:numPr>
    </w:pPr>
  </w:style>
  <w:style w:type="numbering" w:styleId="ArticleSection">
    <w:name w:val="Outline List 3"/>
    <w:basedOn w:val="NoList"/>
    <w:semiHidden/>
    <w:rsid w:val="00493D40"/>
    <w:pPr>
      <w:numPr>
        <w:numId w:val="4"/>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qFormat/>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customStyle="1" w:styleId="Footer1">
    <w:name w:val="Footer1"/>
    <w:basedOn w:val="Normal"/>
    <w:rsid w:val="00BF65E9"/>
    <w:pPr>
      <w:widowControl w:val="0"/>
      <w:tabs>
        <w:tab w:val="center" w:pos="4320"/>
        <w:tab w:val="right" w:pos="8640"/>
        <w:tab w:val="left" w:pos="9000"/>
      </w:tabs>
      <w:jc w:val="left"/>
    </w:pPr>
    <w:rPr>
      <w:snapToGrid w:val="0"/>
      <w:sz w:val="20"/>
      <w:szCs w:val="20"/>
      <w:lang w:val="en-U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5E1A39"/>
    <w:rPr>
      <w:sz w:val="22"/>
      <w:szCs w:val="22"/>
      <w:lang w:val="en-GB"/>
    </w:rPr>
  </w:style>
  <w:style w:type="paragraph" w:styleId="FootnoteText">
    <w:name w:val="footnote text"/>
    <w:aliases w:val="Char1,Char1 Char Char, Char1, Char1 Char Char"/>
    <w:basedOn w:val="Normal"/>
    <w:link w:val="FootnoteTextChar"/>
    <w:uiPriority w:val="99"/>
    <w:unhideWhenUsed/>
    <w:qFormat/>
    <w:rsid w:val="005E1A39"/>
    <w:rPr>
      <w:sz w:val="20"/>
      <w:szCs w:val="20"/>
    </w:rPr>
  </w:style>
  <w:style w:type="character" w:customStyle="1" w:styleId="FootnoteTextChar">
    <w:name w:val="Footnote Text Char"/>
    <w:aliases w:val="Char1 Char,Char1 Char Char Char, Char1 Char, Char1 Char Char Char"/>
    <w:basedOn w:val="DefaultParagraphFont"/>
    <w:link w:val="FootnoteText"/>
    <w:uiPriority w:val="99"/>
    <w:rsid w:val="005E1A39"/>
    <w:rPr>
      <w:lang w:val="en-GB"/>
    </w:rPr>
  </w:style>
  <w:style w:type="character" w:styleId="FootnoteReference">
    <w:name w:val="footnote reference"/>
    <w:basedOn w:val="DefaultParagraphFont"/>
    <w:uiPriority w:val="99"/>
    <w:semiHidden/>
    <w:unhideWhenUsed/>
    <w:rsid w:val="005E1A39"/>
    <w:rPr>
      <w:vertAlign w:val="superscript"/>
    </w:rPr>
  </w:style>
  <w:style w:type="paragraph" w:styleId="ListParagraph">
    <w:name w:val="List Paragraph"/>
    <w:basedOn w:val="Normal"/>
    <w:link w:val="ListParagraphChar"/>
    <w:uiPriority w:val="34"/>
    <w:qFormat/>
    <w:rsid w:val="002949E6"/>
    <w:pPr>
      <w:ind w:left="720"/>
      <w:contextualSpacing/>
    </w:pPr>
  </w:style>
  <w:style w:type="paragraph" w:styleId="Revision">
    <w:name w:val="Revision"/>
    <w:hidden/>
    <w:uiPriority w:val="99"/>
    <w:semiHidden/>
    <w:rsid w:val="001C117D"/>
    <w:rPr>
      <w:sz w:val="22"/>
      <w:szCs w:val="22"/>
      <w:lang w:val="en-GB"/>
    </w:rPr>
  </w:style>
  <w:style w:type="character" w:customStyle="1" w:styleId="HeaderChar">
    <w:name w:val="Header Char"/>
    <w:basedOn w:val="DefaultParagraphFont"/>
    <w:link w:val="Header"/>
    <w:uiPriority w:val="99"/>
    <w:rsid w:val="00693432"/>
    <w:rPr>
      <w:sz w:val="22"/>
      <w:szCs w:val="22"/>
      <w:lang w:val="en-GB"/>
    </w:rPr>
  </w:style>
  <w:style w:type="character" w:styleId="Hyperlink">
    <w:name w:val="Hyperlink"/>
    <w:basedOn w:val="DefaultParagraphFont"/>
    <w:uiPriority w:val="99"/>
    <w:unhideWhenUsed/>
    <w:rsid w:val="00AC732A"/>
    <w:rPr>
      <w:color w:val="0000FF" w:themeColor="hyperlink"/>
      <w:u w:val="single"/>
    </w:rPr>
  </w:style>
  <w:style w:type="character" w:customStyle="1" w:styleId="0Heading0Char">
    <w:name w:val="0 Heading 0 Char"/>
    <w:link w:val="0Heading0"/>
    <w:uiPriority w:val="99"/>
    <w:rsid w:val="00624407"/>
    <w:rPr>
      <w:sz w:val="22"/>
      <w:szCs w:val="22"/>
      <w:lang w:val="en-GB"/>
    </w:rPr>
  </w:style>
  <w:style w:type="character" w:customStyle="1" w:styleId="FooterChar">
    <w:name w:val="Footer Char"/>
    <w:basedOn w:val="DefaultParagraphFont"/>
    <w:link w:val="Footer"/>
    <w:uiPriority w:val="99"/>
    <w:rsid w:val="00242391"/>
    <w:rPr>
      <w:sz w:val="22"/>
      <w:szCs w:val="22"/>
      <w:lang w:val="en-GB"/>
    </w:rPr>
  </w:style>
  <w:style w:type="table" w:customStyle="1" w:styleId="Cuadrculadetablaclara1">
    <w:name w:val="Cuadrícula de tabla clara1"/>
    <w:basedOn w:val="TableNormal"/>
    <w:uiPriority w:val="40"/>
    <w:rsid w:val="00242391"/>
    <w:rPr>
      <w:rFonts w:asciiTheme="minorHAnsi" w:eastAsiaTheme="minorHAnsi" w:hAnsiTheme="minorHAnsi" w:cstheme="minorBidi"/>
      <w:sz w:val="22"/>
      <w:szCs w:val="22"/>
      <w:lang w:val="es-EC"/>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link w:val="ListParagraph"/>
    <w:uiPriority w:val="34"/>
    <w:locked/>
    <w:rsid w:val="00DA38C1"/>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065">
      <w:bodyDiv w:val="1"/>
      <w:marLeft w:val="0"/>
      <w:marRight w:val="0"/>
      <w:marTop w:val="0"/>
      <w:marBottom w:val="0"/>
      <w:divBdr>
        <w:top w:val="none" w:sz="0" w:space="0" w:color="auto"/>
        <w:left w:val="none" w:sz="0" w:space="0" w:color="auto"/>
        <w:bottom w:val="none" w:sz="0" w:space="0" w:color="auto"/>
        <w:right w:val="none" w:sz="0" w:space="0" w:color="auto"/>
      </w:divBdr>
    </w:div>
    <w:div w:id="136646914">
      <w:bodyDiv w:val="1"/>
      <w:marLeft w:val="0"/>
      <w:marRight w:val="0"/>
      <w:marTop w:val="0"/>
      <w:marBottom w:val="0"/>
      <w:divBdr>
        <w:top w:val="none" w:sz="0" w:space="0" w:color="auto"/>
        <w:left w:val="none" w:sz="0" w:space="0" w:color="auto"/>
        <w:bottom w:val="none" w:sz="0" w:space="0" w:color="auto"/>
        <w:right w:val="none" w:sz="0" w:space="0" w:color="auto"/>
      </w:divBdr>
    </w:div>
    <w:div w:id="154103495">
      <w:bodyDiv w:val="1"/>
      <w:marLeft w:val="0"/>
      <w:marRight w:val="0"/>
      <w:marTop w:val="0"/>
      <w:marBottom w:val="0"/>
      <w:divBdr>
        <w:top w:val="none" w:sz="0" w:space="0" w:color="auto"/>
        <w:left w:val="none" w:sz="0" w:space="0" w:color="auto"/>
        <w:bottom w:val="none" w:sz="0" w:space="0" w:color="auto"/>
        <w:right w:val="none" w:sz="0" w:space="0" w:color="auto"/>
      </w:divBdr>
    </w:div>
    <w:div w:id="77667969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6b03d5a6-c642-4a08-93b6-965b66bfac2e">UNEP/OzL.Pro/ExCom/81/39</Document_x0020_Number>
    <DocumentType xmlns="64e33b30-101d-41de-b951-961aab25ea29">Pre-session</DocumentType>
    <Format xmlns="c41b18c7-297f-4c27-85f0-8b52ca6c4730">Word</Format>
    <Language xmlns="c41b18c7-297f-4c27-85f0-8b52ca6c4730">English</Languag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13B1B27BA23146A32B327DDC69C6DE" ma:contentTypeVersion="6" ma:contentTypeDescription="Create a new document." ma:contentTypeScope="" ma:versionID="e12c066ed450db8bfb21665078aca8d9">
  <xsd:schema xmlns:xsd="http://www.w3.org/2001/XMLSchema" xmlns:p="http://schemas.microsoft.com/office/2006/metadata/properties" xmlns:ns2="6b03d5a6-c642-4a08-93b6-965b66bfac2e" xmlns:ns3="64e33b30-101d-41de-b951-961aab25ea29" xmlns:ns4="c41b18c7-297f-4c27-85f0-8b52ca6c4730" targetNamespace="http://schemas.microsoft.com/office/2006/metadata/properties" ma:root="true" ma:fieldsID="681ba12bcfa428e99468d2fc16f1a4ed" ns2:_="" ns3:_="" ns4:_="">
    <xsd:import namespace="6b03d5a6-c642-4a08-93b6-965b66bfac2e"/>
    <xsd:import namespace="64e33b30-101d-41de-b951-961aab25ea29"/>
    <xsd:import namespace="c41b18c7-297f-4c27-85f0-8b52ca6c4730"/>
    <xsd:element name="properties">
      <xsd:complexType>
        <xsd:sequence>
          <xsd:element name="documentManagement">
            <xsd:complexType>
              <xsd:all>
                <xsd:element ref="ns2:Document_x0020_Number" minOccurs="0"/>
                <xsd:element ref="ns3:DocumentType" minOccurs="0"/>
                <xsd:element ref="ns4:Format" minOccurs="0"/>
                <xsd:element ref="ns4:Languag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1/"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Business plan"/>
          <xsd:enumeration value="Information Document"/>
        </xsd:restriction>
      </xsd:simpleType>
    </xsd:element>
  </xsd:schema>
  <xsd:schema xmlns:xsd="http://www.w3.org/2001/XMLSchema" xmlns:dms="http://schemas.microsoft.com/office/2006/documentManagement/types" targetNamespace="c41b18c7-297f-4c27-85f0-8b52ca6c4730"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element name="Language" ma:index="11" nillable="true" ma:displayName="Language" ma:default="English" ma:format="Dropdown" ma:internalName="Language">
      <xsd:simpleType>
        <xsd:restriction base="dms:Choice">
          <xsd:enumeration value="Englis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E11ED87-B177-49CB-924B-F6BC91CF5E65}"/>
</file>

<file path=customXml/itemProps2.xml><?xml version="1.0" encoding="utf-8"?>
<ds:datastoreItem xmlns:ds="http://schemas.openxmlformats.org/officeDocument/2006/customXml" ds:itemID="{CAF1C572-C72C-4043-AA01-F63482F097DA}"/>
</file>

<file path=customXml/itemProps3.xml><?xml version="1.0" encoding="utf-8"?>
<ds:datastoreItem xmlns:ds="http://schemas.openxmlformats.org/officeDocument/2006/customXml" ds:itemID="{8DA5E39B-8850-45A5-9B85-72F87592C93B}"/>
</file>

<file path=customXml/itemProps4.xml><?xml version="1.0" encoding="utf-8"?>
<ds:datastoreItem xmlns:ds="http://schemas.openxmlformats.org/officeDocument/2006/customXml" ds:itemID="{FE5012CD-CC18-4569-99A1-BD61F61AE3B8}"/>
</file>

<file path=docProps/app.xml><?xml version="1.0" encoding="utf-8"?>
<Properties xmlns="http://schemas.openxmlformats.org/officeDocument/2006/extended-properties" xmlns:vt="http://schemas.openxmlformats.org/officeDocument/2006/docPropsVTypes">
  <Template>normal</Template>
  <TotalTime>1</TotalTime>
  <Pages>8</Pages>
  <Words>3061</Words>
  <Characters>16995</Characters>
  <Application>Microsoft Office Word</Application>
  <DocSecurity>0</DocSecurity>
  <Lines>485</Lines>
  <Paragraphs>303</Paragraphs>
  <ScaleCrop>false</ScaleCrop>
  <HeadingPairs>
    <vt:vector size="2" baseType="variant">
      <vt:variant>
        <vt:lpstr>Title</vt:lpstr>
      </vt:variant>
      <vt:variant>
        <vt:i4>1</vt:i4>
      </vt:variant>
    </vt:vector>
  </HeadingPairs>
  <TitlesOfParts>
    <vt:vector size="1" baseType="lpstr">
      <vt:lpstr>Project proposal: Iran</vt:lpstr>
    </vt:vector>
  </TitlesOfParts>
  <Company/>
  <LinksUpToDate>false</LinksUpToDate>
  <CharactersWithSpaces>19753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Islamic Republic of Iran</dc:title>
  <dc:subject>81st</dc:subject>
  <dc:creator>Alejandro Ramirez Pabon</dc:creator>
  <cp:keywords/>
  <dc:description/>
  <cp:lastModifiedBy>Dominika Anna Suwik</cp:lastModifiedBy>
  <cp:revision>2</cp:revision>
  <cp:lastPrinted>2018-06-01T14:41:00Z</cp:lastPrinted>
  <dcterms:created xsi:type="dcterms:W3CDTF">2018-06-01T14:45:00Z</dcterms:created>
  <dcterms:modified xsi:type="dcterms:W3CDTF">2018-06-01T14:45:00Z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UNEP/OzL.Pro/ExCom/81/39</vt:lpwstr>
  </property>
  <property fmtid="{D5CDD505-2E9C-101B-9397-08002B2CF9AE}" pid="3" name="Revision date">
    <vt:lpwstr>01/06/2018</vt:lpwstr>
  </property>
  <property fmtid="{D5CDD505-2E9C-101B-9397-08002B2CF9AE}" pid="4" name="ContentTypeId">
    <vt:lpwstr>0x0101004B13B1B27BA23146A32B327DDC69C6DE</vt:lpwstr>
  </property>
</Properties>
</file>