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rsidTr="003938A2">
        <w:trPr>
          <w:trHeight w:val="720"/>
        </w:trPr>
        <w:tc>
          <w:tcPr>
            <w:tcW w:w="5490" w:type="dxa"/>
            <w:gridSpan w:val="2"/>
            <w:tcBorders>
              <w:bottom w:val="single" w:sz="18" w:space="0" w:color="auto"/>
            </w:tcBorders>
          </w:tcPr>
          <w:p w:rsidR="00C15867" w:rsidRPr="0000434E" w:rsidRDefault="00C15867" w:rsidP="003938A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00434E">
              <w:rPr>
                <w:rFonts w:ascii="Univers" w:hAnsi="Univers"/>
                <w:b/>
                <w:sz w:val="28"/>
                <w:szCs w:val="28"/>
              </w:rPr>
              <w:t>UNITED</w:t>
            </w:r>
            <w:r w:rsidRPr="0000434E">
              <w:rPr>
                <w:rFonts w:ascii="Univers" w:hAnsi="Univers"/>
                <w:b/>
                <w:sz w:val="28"/>
                <w:szCs w:val="28"/>
              </w:rPr>
              <w:br/>
              <w:t>NATIONS</w:t>
            </w:r>
          </w:p>
        </w:tc>
        <w:tc>
          <w:tcPr>
            <w:tcW w:w="4590" w:type="dxa"/>
            <w:tcBorders>
              <w:bottom w:val="single" w:sz="18" w:space="0" w:color="auto"/>
            </w:tcBorders>
          </w:tcPr>
          <w:p w:rsidR="00C15867" w:rsidRPr="00493D40" w:rsidRDefault="00C15867" w:rsidP="003938A2">
            <w:pPr>
              <w:jc w:val="right"/>
              <w:rPr>
                <w:sz w:val="52"/>
                <w:szCs w:val="52"/>
              </w:rPr>
            </w:pPr>
            <w:r>
              <w:rPr>
                <w:rFonts w:ascii="Univers Bold" w:hAnsi="Univers Bold"/>
                <w:b/>
                <w:sz w:val="72"/>
              </w:rPr>
              <w:t>EP</w:t>
            </w:r>
          </w:p>
        </w:tc>
      </w:tr>
      <w:tr w:rsidR="00C15867" w:rsidTr="00393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Default="00C15867" w:rsidP="003938A2">
            <w:pPr>
              <w:spacing w:before="120"/>
            </w:pPr>
            <w:r>
              <w:rPr>
                <w:noProof/>
                <w:lang w:val="en-CA" w:eastAsia="en-CA"/>
              </w:rPr>
              <w:drawing>
                <wp:anchor distT="0" distB="0" distL="114300" distR="114300" simplePos="0" relativeHeight="251660288" behindDoc="0" locked="0" layoutInCell="1" allowOverlap="1">
                  <wp:simplePos x="0" y="0"/>
                  <wp:positionH relativeFrom="column">
                    <wp:posOffset>19050</wp:posOffset>
                  </wp:positionH>
                  <wp:positionV relativeFrom="paragraph">
                    <wp:posOffset>823881</wp:posOffset>
                  </wp:positionV>
                  <wp:extent cx="880110" cy="776034"/>
                  <wp:effectExtent l="0" t="0" r="0" b="508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80110" cy="776034"/>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CA" w:eastAsia="en-CA"/>
              </w:rPr>
              <w:drawing>
                <wp:anchor distT="0" distB="0" distL="114300" distR="114300" simplePos="0" relativeHeight="251661312" behindDoc="1" locked="0" layoutInCell="0" allowOverlap="1">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rsidR="00C15867" w:rsidRDefault="00C15867" w:rsidP="003938A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Pr>
                <w:rFonts w:ascii="Univers" w:hAnsi="Univers"/>
                <w:b/>
                <w:sz w:val="32"/>
              </w:rPr>
              <w:t>United Nations</w:t>
            </w:r>
          </w:p>
          <w:p w:rsidR="00C15867" w:rsidRDefault="00C15867" w:rsidP="003938A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Pr>
                <w:rFonts w:ascii="Univers" w:hAnsi="Univers"/>
                <w:b/>
                <w:sz w:val="32"/>
              </w:rPr>
              <w:t>Environment</w:t>
            </w:r>
          </w:p>
          <w:p w:rsidR="00C15867" w:rsidRDefault="00C15867" w:rsidP="003938A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Pr>
                <w:rFonts w:ascii="Univers" w:hAnsi="Univers"/>
                <w:b/>
                <w:sz w:val="32"/>
              </w:rPr>
              <w:t>Programme</w:t>
            </w:r>
          </w:p>
          <w:p w:rsidR="00C15867" w:rsidRDefault="00C15867" w:rsidP="003938A2">
            <w:pPr>
              <w:spacing w:before="720"/>
              <w:ind w:left="158"/>
            </w:pPr>
          </w:p>
        </w:tc>
        <w:tc>
          <w:tcPr>
            <w:tcW w:w="4590" w:type="dxa"/>
            <w:tcBorders>
              <w:top w:val="nil"/>
              <w:left w:val="nil"/>
              <w:bottom w:val="single" w:sz="36" w:space="0" w:color="auto"/>
              <w:right w:val="nil"/>
            </w:tcBorders>
          </w:tcPr>
          <w:p w:rsidR="00C15867" w:rsidRPr="0033525D" w:rsidRDefault="00C15867" w:rsidP="003938A2">
            <w:r w:rsidRPr="0033525D">
              <w:t>Distr.</w:t>
            </w:r>
          </w:p>
          <w:p w:rsidR="00923540" w:rsidRPr="0033525D" w:rsidRDefault="00923540" w:rsidP="00923540">
            <w:r w:rsidRPr="0033525D">
              <w:t>GENERAL</w:t>
            </w:r>
          </w:p>
          <w:p w:rsidR="00C15867" w:rsidRPr="0033525D" w:rsidRDefault="00C15867" w:rsidP="003938A2"/>
          <w:p w:rsidR="00C15867" w:rsidRPr="003F73BA" w:rsidRDefault="00C15867" w:rsidP="003938A2"/>
          <w:p w:rsidR="00C15867" w:rsidRPr="003F73BA" w:rsidRDefault="006C431B" w:rsidP="003938A2">
            <w:r>
              <w:fldChar w:fldCharType="begin"/>
            </w:r>
            <w:r>
              <w:instrText xml:space="preserve"> DOCPROPERTY "Document number"  \* MERGEFORMAT </w:instrText>
            </w:r>
            <w:r>
              <w:fldChar w:fldCharType="separate"/>
            </w:r>
            <w:r w:rsidR="006B6981">
              <w:t>UNEP/</w:t>
            </w:r>
            <w:proofErr w:type="spellStart"/>
            <w:r w:rsidR="006B6981">
              <w:t>OzL.Pro</w:t>
            </w:r>
            <w:proofErr w:type="spellEnd"/>
            <w:r w:rsidR="006B6981">
              <w:t>/</w:t>
            </w:r>
            <w:proofErr w:type="spellStart"/>
            <w:r w:rsidR="006B6981">
              <w:t>ExCom</w:t>
            </w:r>
            <w:proofErr w:type="spellEnd"/>
            <w:r w:rsidR="006B6981">
              <w:t>/81/52</w:t>
            </w:r>
            <w:r>
              <w:fldChar w:fldCharType="end"/>
            </w:r>
          </w:p>
          <w:p w:rsidR="00C15867" w:rsidRPr="003F73BA" w:rsidRDefault="00BC2495" w:rsidP="003938A2">
            <w:r>
              <w:fldChar w:fldCharType="begin"/>
            </w:r>
            <w:r w:rsidR="00851352">
              <w:instrText xml:space="preserve"> DOCPROPERTY "Revision date" \@ "d MMMM YYYY"  \* MERGEFORMAT </w:instrText>
            </w:r>
            <w:r>
              <w:fldChar w:fldCharType="separate"/>
            </w:r>
            <w:r w:rsidR="00B940FC">
              <w:t>2 June 2018</w:t>
            </w:r>
            <w:r>
              <w:fldChar w:fldCharType="end"/>
            </w:r>
          </w:p>
          <w:p w:rsidR="00C15867" w:rsidRPr="00000FED" w:rsidRDefault="00C15867" w:rsidP="003938A2">
            <w:pPr>
              <w:rPr>
                <w:caps/>
              </w:rPr>
            </w:pPr>
          </w:p>
          <w:p w:rsidR="00C15867" w:rsidRDefault="00C15867" w:rsidP="003938A2">
            <w:r w:rsidRPr="0033525D">
              <w:t>ORIGINAL: ENGLISH</w:t>
            </w:r>
          </w:p>
        </w:tc>
      </w:tr>
    </w:tbl>
    <w:p w:rsidR="009E196C" w:rsidRPr="00612F2F" w:rsidRDefault="00C15867" w:rsidP="009E196C">
      <w:pPr>
        <w:jc w:val="left"/>
      </w:pPr>
      <w:r w:rsidRPr="0033525D">
        <w:t>EXECUTIVE COMMITTEE OF</w:t>
      </w:r>
      <w:r w:rsidRPr="0033525D">
        <w:br/>
        <w:t xml:space="preserve">  THE MULTILATERAL FUND FOR THE</w:t>
      </w:r>
      <w:r w:rsidRPr="0033525D">
        <w:br/>
        <w:t xml:space="preserve">  IMPLEMENTATION OF THE MONTREAL PROTOCOL</w:t>
      </w:r>
      <w:r w:rsidRPr="0033525D">
        <w:br/>
      </w:r>
      <w:r w:rsidR="009E196C">
        <w:rPr>
          <w:lang w:val="en-CA"/>
        </w:rPr>
        <w:t xml:space="preserve">Eighty-first </w:t>
      </w:r>
      <w:r w:rsidR="009E196C">
        <w:t>Meeting</w:t>
      </w:r>
    </w:p>
    <w:p w:rsidR="009E196C" w:rsidRPr="006C39CE" w:rsidRDefault="009E196C" w:rsidP="009E196C">
      <w:pPr>
        <w:jc w:val="left"/>
        <w:rPr>
          <w:lang w:val="en-CA"/>
        </w:rPr>
      </w:pPr>
      <w:r>
        <w:rPr>
          <w:lang w:val="en-CA"/>
        </w:rPr>
        <w:t>Montreal</w:t>
      </w:r>
      <w:r w:rsidRPr="00042E3E">
        <w:rPr>
          <w:lang w:val="en-CA"/>
        </w:rPr>
        <w:t xml:space="preserve">, </w:t>
      </w:r>
      <w:r>
        <w:t>18-22 June 2018</w:t>
      </w:r>
    </w:p>
    <w:p w:rsidR="00C15867" w:rsidRPr="00765DE4" w:rsidRDefault="00C15867" w:rsidP="009960E5">
      <w:pPr>
        <w:jc w:val="left"/>
        <w:rPr>
          <w:lang w:val="en-US"/>
        </w:rPr>
      </w:pPr>
    </w:p>
    <w:p w:rsidR="004E7F9C" w:rsidRDefault="004E7F9C" w:rsidP="004E7F9C">
      <w:pPr>
        <w:pStyle w:val="Title1"/>
      </w:pPr>
    </w:p>
    <w:p w:rsidR="004E7F9C" w:rsidRDefault="004E7F9C" w:rsidP="004E7F9C">
      <w:pPr>
        <w:pStyle w:val="Title1"/>
      </w:pPr>
    </w:p>
    <w:p w:rsidR="006B6981" w:rsidRPr="0024637D" w:rsidRDefault="006B6981" w:rsidP="006B6981">
      <w:pPr>
        <w:pStyle w:val="Heading1"/>
        <w:numPr>
          <w:ilvl w:val="0"/>
          <w:numId w:val="0"/>
        </w:numPr>
        <w:jc w:val="center"/>
        <w:rPr>
          <w:b/>
        </w:rPr>
      </w:pPr>
      <w:r w:rsidRPr="0024637D">
        <w:rPr>
          <w:b/>
        </w:rPr>
        <w:t>PROJECT PROPOSAL:</w:t>
      </w:r>
      <w:r>
        <w:rPr>
          <w:b/>
        </w:rPr>
        <w:t xml:space="preserve"> ZIMBABWE</w:t>
      </w:r>
    </w:p>
    <w:p w:rsidR="006B6981" w:rsidRPr="00572436" w:rsidRDefault="006B6981" w:rsidP="006B6981">
      <w:pPr>
        <w:ind w:firstLine="720"/>
        <w:rPr>
          <w:lang w:val="en-CA"/>
        </w:rPr>
      </w:pPr>
      <w:r w:rsidRPr="00572436">
        <w:rPr>
          <w:lang w:val="en-CA"/>
        </w:rPr>
        <w:t xml:space="preserve">This document consists of the comments and recommendation of the Secretariat on the following project proposal: </w:t>
      </w:r>
    </w:p>
    <w:p w:rsidR="006B6981" w:rsidRPr="00572436" w:rsidRDefault="006B6981" w:rsidP="006B6981">
      <w:pPr>
        <w:rPr>
          <w:lang w:val="en-CA"/>
        </w:rPr>
      </w:pPr>
    </w:p>
    <w:p w:rsidR="006B6981" w:rsidRPr="00572436" w:rsidRDefault="006B6981" w:rsidP="006B6981">
      <w:pPr>
        <w:rPr>
          <w:u w:val="single"/>
          <w:lang w:val="en-CA"/>
        </w:rPr>
      </w:pPr>
      <w:r>
        <w:rPr>
          <w:u w:val="single"/>
          <w:lang w:val="en-CA"/>
        </w:rPr>
        <w:t>Refrigeration</w:t>
      </w:r>
    </w:p>
    <w:p w:rsidR="006B6981" w:rsidRPr="00572436" w:rsidRDefault="006B6981" w:rsidP="006B6981">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9"/>
        <w:gridCol w:w="2391"/>
      </w:tblGrid>
      <w:tr w:rsidR="006B6981" w:rsidRPr="002E25BA" w:rsidTr="003938A2">
        <w:tc>
          <w:tcPr>
            <w:tcW w:w="6969" w:type="dxa"/>
          </w:tcPr>
          <w:p w:rsidR="006B6981" w:rsidRPr="00572436" w:rsidRDefault="006B6981" w:rsidP="003938A2">
            <w:pPr>
              <w:ind w:left="720" w:hanging="720"/>
              <w:rPr>
                <w:lang w:val="en-CA"/>
              </w:rPr>
            </w:pPr>
            <w:r w:rsidRPr="00572436">
              <w:rPr>
                <w:lang w:val="en-CA"/>
              </w:rPr>
              <w:t>•</w:t>
            </w:r>
            <w:r w:rsidRPr="00572436">
              <w:rPr>
                <w:lang w:val="en-CA"/>
              </w:rPr>
              <w:tab/>
            </w:r>
            <w:r w:rsidRPr="006B6981">
              <w:rPr>
                <w:lang w:val="en-CA"/>
              </w:rPr>
              <w:t xml:space="preserve">Conversion of domestic refrigerator and freezer manufacturing at Capri from the use of HFC-134a as the refrigerant to </w:t>
            </w:r>
            <w:proofErr w:type="spellStart"/>
            <w:r w:rsidRPr="006B6981">
              <w:rPr>
                <w:lang w:val="en-CA"/>
              </w:rPr>
              <w:t>iso</w:t>
            </w:r>
            <w:proofErr w:type="spellEnd"/>
            <w:r w:rsidRPr="006B6981">
              <w:rPr>
                <w:lang w:val="en-CA"/>
              </w:rPr>
              <w:t>-butane</w:t>
            </w:r>
            <w:r>
              <w:rPr>
                <w:lang w:val="en-CA"/>
              </w:rPr>
              <w:t xml:space="preserve"> (R</w:t>
            </w:r>
            <w:r>
              <w:rPr>
                <w:lang w:val="en-CA"/>
              </w:rPr>
              <w:noBreakHyphen/>
            </w:r>
            <w:r w:rsidRPr="006B6981">
              <w:rPr>
                <w:lang w:val="en-CA"/>
              </w:rPr>
              <w:t>600a)</w:t>
            </w:r>
          </w:p>
        </w:tc>
        <w:tc>
          <w:tcPr>
            <w:tcW w:w="2391" w:type="dxa"/>
          </w:tcPr>
          <w:p w:rsidR="006B6981" w:rsidRPr="002E25BA" w:rsidRDefault="006B6981" w:rsidP="006B6981">
            <w:pPr>
              <w:spacing w:line="360" w:lineRule="auto"/>
              <w:jc w:val="right"/>
              <w:rPr>
                <w:lang w:val="en-CA"/>
              </w:rPr>
            </w:pPr>
            <w:r>
              <w:rPr>
                <w:lang w:val="en-CA"/>
              </w:rPr>
              <w:t>UNDP</w:t>
            </w:r>
          </w:p>
        </w:tc>
      </w:tr>
    </w:tbl>
    <w:p w:rsidR="004E7F9C" w:rsidRDefault="004E7F9C" w:rsidP="004E7F9C">
      <w:pPr>
        <w:pStyle w:val="Heading1"/>
        <w:numPr>
          <w:ilvl w:val="0"/>
          <w:numId w:val="0"/>
        </w:numPr>
      </w:pPr>
    </w:p>
    <w:p w:rsidR="008C5738" w:rsidRDefault="008C5738" w:rsidP="004E7F9C">
      <w:pPr>
        <w:pStyle w:val="StyleHeader4Para4Left0Firstline0"/>
        <w:numPr>
          <w:ilvl w:val="0"/>
          <w:numId w:val="0"/>
        </w:numPr>
      </w:pPr>
    </w:p>
    <w:p w:rsidR="008C5738" w:rsidRDefault="004E7F9C" w:rsidP="004E7F9C">
      <w:pPr>
        <w:pStyle w:val="StyleHeader4Para4Left0Firstline0"/>
        <w:numPr>
          <w:ilvl w:val="0"/>
          <w:numId w:val="0"/>
        </w:numPr>
      </w:pPr>
      <w:r>
        <w:br w:type="page"/>
      </w:r>
    </w:p>
    <w:p w:rsidR="006B6981" w:rsidRPr="00E91A59" w:rsidRDefault="006B6981" w:rsidP="006B6981">
      <w:pPr>
        <w:keepLines/>
        <w:jc w:val="center"/>
        <w:rPr>
          <w:b/>
        </w:rPr>
      </w:pPr>
      <w:r w:rsidRPr="00E91A59">
        <w:rPr>
          <w:b/>
        </w:rPr>
        <w:lastRenderedPageBreak/>
        <w:t>PROJECT EVALUATION SHEET – NON-MULTI-YEAR PROJECT</w:t>
      </w:r>
    </w:p>
    <w:p w:rsidR="006B6981" w:rsidRPr="00E91A59" w:rsidRDefault="006B6981" w:rsidP="006B6981">
      <w:pPr>
        <w:jc w:val="center"/>
        <w:rPr>
          <w:b/>
          <w:szCs w:val="24"/>
        </w:rPr>
      </w:pPr>
    </w:p>
    <w:p w:rsidR="006B6981" w:rsidRPr="00E91A59" w:rsidRDefault="006B6981" w:rsidP="006B6981">
      <w:pPr>
        <w:jc w:val="center"/>
        <w:rPr>
          <w:b/>
          <w:szCs w:val="24"/>
        </w:rPr>
      </w:pPr>
      <w:r>
        <w:rPr>
          <w:b/>
          <w:szCs w:val="24"/>
        </w:rPr>
        <w:t>Zimbabwe</w:t>
      </w:r>
    </w:p>
    <w:p w:rsidR="006B6981" w:rsidRPr="003F0F38" w:rsidRDefault="006B6981" w:rsidP="006B6981">
      <w:pPr>
        <w:rPr>
          <w:sz w:val="20"/>
        </w:rPr>
      </w:pPr>
    </w:p>
    <w:p w:rsidR="006B6981" w:rsidRPr="00E91A59" w:rsidRDefault="006B6981" w:rsidP="006B6981">
      <w:pPr>
        <w:tabs>
          <w:tab w:val="left" w:pos="5580"/>
        </w:tabs>
        <w:ind w:right="-540"/>
        <w:rPr>
          <w:b/>
          <w:sz w:val="20"/>
        </w:rPr>
      </w:pPr>
      <w:r w:rsidRPr="00E91A59">
        <w:rPr>
          <w:b/>
          <w:caps/>
          <w:sz w:val="20"/>
        </w:rPr>
        <w:t>Project title(S)</w:t>
      </w:r>
      <w:r w:rsidRPr="00E91A59">
        <w:rPr>
          <w:b/>
          <w:sz w:val="20"/>
        </w:rPr>
        <w:tab/>
      </w:r>
      <w:r w:rsidRPr="00E91A59">
        <w:rPr>
          <w:b/>
          <w:caps/>
          <w:sz w:val="20"/>
        </w:rPr>
        <w:t>Bilateral/implementing agency</w:t>
      </w:r>
    </w:p>
    <w:tbl>
      <w:tblPr>
        <w:tblStyle w:val="TableGrid"/>
        <w:tblpPr w:leftFromText="180" w:rightFromText="180" w:vertAnchor="text" w:horzAnchor="margin" w:tblpXSpec="center" w:tblpY="62"/>
        <w:tblW w:w="9360" w:type="dxa"/>
        <w:tblBorders>
          <w:insideH w:val="none" w:sz="0" w:space="0" w:color="auto"/>
          <w:insideV w:val="none" w:sz="0" w:space="0" w:color="auto"/>
        </w:tblBorders>
        <w:tblCellMar>
          <w:top w:w="28" w:type="dxa"/>
          <w:bottom w:w="28" w:type="dxa"/>
        </w:tblCellMar>
        <w:tblLook w:val="01E0" w:firstRow="1" w:lastRow="1" w:firstColumn="1" w:lastColumn="1" w:noHBand="0" w:noVBand="0"/>
      </w:tblPr>
      <w:tblGrid>
        <w:gridCol w:w="477"/>
        <w:gridCol w:w="6575"/>
        <w:gridCol w:w="2308"/>
      </w:tblGrid>
      <w:tr w:rsidR="006B6981" w:rsidRPr="003F0F38" w:rsidTr="003938A2">
        <w:trPr>
          <w:trHeight w:val="412"/>
        </w:trPr>
        <w:tc>
          <w:tcPr>
            <w:tcW w:w="477" w:type="dxa"/>
          </w:tcPr>
          <w:p w:rsidR="006B6981" w:rsidRDefault="006B6981" w:rsidP="003938A2">
            <w:pPr>
              <w:tabs>
                <w:tab w:val="left" w:pos="383"/>
              </w:tabs>
              <w:rPr>
                <w:sz w:val="20"/>
                <w:szCs w:val="20"/>
              </w:rPr>
            </w:pPr>
            <w:r w:rsidRPr="003F0F38">
              <w:rPr>
                <w:sz w:val="20"/>
                <w:szCs w:val="20"/>
              </w:rPr>
              <w:t>(a)</w:t>
            </w:r>
          </w:p>
          <w:p w:rsidR="006B6981" w:rsidRPr="003F0F38" w:rsidRDefault="006B6981" w:rsidP="003938A2">
            <w:pPr>
              <w:tabs>
                <w:tab w:val="left" w:pos="383"/>
              </w:tabs>
              <w:rPr>
                <w:sz w:val="20"/>
                <w:szCs w:val="20"/>
              </w:rPr>
            </w:pPr>
          </w:p>
        </w:tc>
        <w:tc>
          <w:tcPr>
            <w:tcW w:w="6575" w:type="dxa"/>
            <w:tcBorders>
              <w:right w:val="single" w:sz="4" w:space="0" w:color="auto"/>
            </w:tcBorders>
          </w:tcPr>
          <w:p w:rsidR="006B6981" w:rsidRPr="00D673D0" w:rsidRDefault="006B6981" w:rsidP="003938A2">
            <w:pPr>
              <w:tabs>
                <w:tab w:val="left" w:pos="383"/>
              </w:tabs>
              <w:rPr>
                <w:sz w:val="20"/>
                <w:szCs w:val="20"/>
                <w:lang w:val="en-CA"/>
              </w:rPr>
            </w:pPr>
            <w:r>
              <w:rPr>
                <w:sz w:val="20"/>
                <w:szCs w:val="20"/>
                <w:lang w:val="en-CA"/>
              </w:rPr>
              <w:t>C</w:t>
            </w:r>
            <w:r w:rsidRPr="00697940">
              <w:rPr>
                <w:sz w:val="20"/>
                <w:szCs w:val="20"/>
                <w:lang w:val="en-CA"/>
              </w:rPr>
              <w:t xml:space="preserve">onversion of domestic refrigerator </w:t>
            </w:r>
            <w:r>
              <w:rPr>
                <w:sz w:val="20"/>
                <w:szCs w:val="20"/>
                <w:lang w:val="en-CA"/>
              </w:rPr>
              <w:t xml:space="preserve">and freezer </w:t>
            </w:r>
            <w:r w:rsidRPr="00697940">
              <w:rPr>
                <w:sz w:val="20"/>
                <w:szCs w:val="20"/>
                <w:lang w:val="en-CA"/>
              </w:rPr>
              <w:t xml:space="preserve">manufacturing at </w:t>
            </w:r>
            <w:r>
              <w:rPr>
                <w:sz w:val="20"/>
                <w:szCs w:val="20"/>
                <w:lang w:val="en-CA"/>
              </w:rPr>
              <w:t>Capri</w:t>
            </w:r>
            <w:r w:rsidRPr="00697940">
              <w:rPr>
                <w:sz w:val="20"/>
                <w:szCs w:val="20"/>
                <w:lang w:val="en-CA"/>
              </w:rPr>
              <w:t xml:space="preserve"> from the use of HFC-134a as the refrigerant to </w:t>
            </w:r>
            <w:proofErr w:type="spellStart"/>
            <w:r w:rsidRPr="00697940">
              <w:rPr>
                <w:sz w:val="20"/>
                <w:szCs w:val="20"/>
                <w:lang w:val="en-CA"/>
              </w:rPr>
              <w:t>iso</w:t>
            </w:r>
            <w:proofErr w:type="spellEnd"/>
            <w:r>
              <w:rPr>
                <w:sz w:val="20"/>
                <w:szCs w:val="20"/>
                <w:lang w:val="en-CA"/>
              </w:rPr>
              <w:t>-</w:t>
            </w:r>
            <w:r w:rsidRPr="00697940">
              <w:rPr>
                <w:sz w:val="20"/>
                <w:szCs w:val="20"/>
                <w:lang w:val="en-CA"/>
              </w:rPr>
              <w:t>butane (R-600a)</w:t>
            </w:r>
          </w:p>
        </w:tc>
        <w:tc>
          <w:tcPr>
            <w:tcW w:w="2308" w:type="dxa"/>
            <w:tcBorders>
              <w:top w:val="single" w:sz="4" w:space="0" w:color="auto"/>
              <w:left w:val="single" w:sz="4" w:space="0" w:color="auto"/>
            </w:tcBorders>
          </w:tcPr>
          <w:p w:rsidR="006B6981" w:rsidRPr="003F0F38" w:rsidRDefault="006B6981" w:rsidP="003938A2">
            <w:pPr>
              <w:jc w:val="right"/>
              <w:rPr>
                <w:sz w:val="20"/>
                <w:szCs w:val="20"/>
              </w:rPr>
            </w:pPr>
            <w:r>
              <w:rPr>
                <w:sz w:val="20"/>
                <w:szCs w:val="20"/>
              </w:rPr>
              <w:t>UNDP</w:t>
            </w:r>
          </w:p>
        </w:tc>
      </w:tr>
    </w:tbl>
    <w:p w:rsidR="006B6981" w:rsidRPr="003F0F38" w:rsidRDefault="006B6981" w:rsidP="006B6981">
      <w:pPr>
        <w:rPr>
          <w:sz w:val="20"/>
        </w:rPr>
      </w:pPr>
    </w:p>
    <w:tbl>
      <w:tblPr>
        <w:tblStyle w:val="TableGrid"/>
        <w:tblW w:w="5000" w:type="pct"/>
        <w:jc w:val="center"/>
        <w:tblLook w:val="01E0" w:firstRow="1" w:lastRow="1" w:firstColumn="1" w:lastColumn="1" w:noHBand="0" w:noVBand="0"/>
      </w:tblPr>
      <w:tblGrid>
        <w:gridCol w:w="4798"/>
        <w:gridCol w:w="4552"/>
      </w:tblGrid>
      <w:tr w:rsidR="006B6981" w:rsidRPr="00E91A59" w:rsidTr="003938A2">
        <w:trPr>
          <w:jc w:val="center"/>
        </w:trPr>
        <w:tc>
          <w:tcPr>
            <w:tcW w:w="2566" w:type="pct"/>
          </w:tcPr>
          <w:p w:rsidR="006B6981" w:rsidRPr="00E91A59" w:rsidRDefault="006B6981" w:rsidP="003938A2">
            <w:pPr>
              <w:rPr>
                <w:b/>
                <w:sz w:val="20"/>
              </w:rPr>
            </w:pPr>
            <w:r w:rsidRPr="00E91A59">
              <w:rPr>
                <w:b/>
                <w:caps/>
                <w:sz w:val="20"/>
              </w:rPr>
              <w:t>National coordinating agency</w:t>
            </w:r>
          </w:p>
        </w:tc>
        <w:tc>
          <w:tcPr>
            <w:tcW w:w="2434" w:type="pct"/>
          </w:tcPr>
          <w:p w:rsidR="006B6981" w:rsidRPr="004B7C9F" w:rsidRDefault="006B6981" w:rsidP="003938A2">
            <w:pPr>
              <w:jc w:val="left"/>
              <w:rPr>
                <w:sz w:val="20"/>
              </w:rPr>
            </w:pPr>
            <w:r w:rsidRPr="004B7C9F">
              <w:rPr>
                <w:sz w:val="20"/>
              </w:rPr>
              <w:t xml:space="preserve">Ministry of </w:t>
            </w:r>
            <w:r>
              <w:rPr>
                <w:sz w:val="20"/>
              </w:rPr>
              <w:t>environment, water and climate, Government of Zimbabwe</w:t>
            </w:r>
          </w:p>
        </w:tc>
      </w:tr>
    </w:tbl>
    <w:p w:rsidR="006B6981" w:rsidRPr="003F0F38" w:rsidRDefault="006B6981" w:rsidP="006B6981">
      <w:pPr>
        <w:rPr>
          <w:caps/>
          <w:sz w:val="20"/>
        </w:rPr>
      </w:pPr>
    </w:p>
    <w:p w:rsidR="006B6981" w:rsidRPr="00E91A59" w:rsidRDefault="006B6981" w:rsidP="006B6981">
      <w:pPr>
        <w:rPr>
          <w:b/>
          <w:caps/>
          <w:sz w:val="20"/>
        </w:rPr>
      </w:pPr>
      <w:r w:rsidRPr="00E91A59">
        <w:rPr>
          <w:b/>
          <w:caps/>
          <w:sz w:val="20"/>
        </w:rPr>
        <w:t xml:space="preserve">LateSt reported consumption data for ODS addressed in project </w:t>
      </w:r>
    </w:p>
    <w:p w:rsidR="006B6981" w:rsidRPr="00E91A59" w:rsidRDefault="006B6981" w:rsidP="006B6981">
      <w:pPr>
        <w:spacing w:before="60"/>
        <w:rPr>
          <w:b/>
          <w:caps/>
          <w:sz w:val="20"/>
        </w:rPr>
      </w:pPr>
      <w:r w:rsidRPr="00E91A59">
        <w:rPr>
          <w:b/>
          <w:caps/>
          <w:sz w:val="20"/>
        </w:rPr>
        <w:t>A: Article</w:t>
      </w:r>
      <w:r>
        <w:rPr>
          <w:b/>
          <w:caps/>
          <w:sz w:val="20"/>
        </w:rPr>
        <w:t xml:space="preserve"> </w:t>
      </w:r>
      <w:r w:rsidRPr="00E91A59">
        <w:rPr>
          <w:b/>
          <w:caps/>
          <w:sz w:val="20"/>
        </w:rPr>
        <w:t>7 data (</w:t>
      </w:r>
      <w:r>
        <w:rPr>
          <w:b/>
          <w:caps/>
          <w:sz w:val="20"/>
        </w:rPr>
        <w:t>Metric tonnes (mt), 2017)</w:t>
      </w:r>
    </w:p>
    <w:tbl>
      <w:tblPr>
        <w:tblStyle w:val="TableGrid"/>
        <w:tblpPr w:leftFromText="180" w:rightFromText="180" w:vertAnchor="text" w:horzAnchor="margin" w:tblpXSpec="center" w:tblpY="90"/>
        <w:tblW w:w="9341" w:type="dxa"/>
        <w:tblLook w:val="01E0" w:firstRow="1" w:lastRow="1" w:firstColumn="1" w:lastColumn="1" w:noHBand="0" w:noVBand="0"/>
      </w:tblPr>
      <w:tblGrid>
        <w:gridCol w:w="8081"/>
        <w:gridCol w:w="1260"/>
      </w:tblGrid>
      <w:tr w:rsidR="006B6981" w:rsidRPr="003F0F38" w:rsidTr="003938A2">
        <w:tc>
          <w:tcPr>
            <w:tcW w:w="8081" w:type="dxa"/>
          </w:tcPr>
          <w:p w:rsidR="006B6981" w:rsidRPr="003F0F38" w:rsidRDefault="006B6981" w:rsidP="003938A2">
            <w:pPr>
              <w:jc w:val="left"/>
              <w:rPr>
                <w:sz w:val="20"/>
                <w:highlight w:val="yellow"/>
              </w:rPr>
            </w:pPr>
            <w:r w:rsidRPr="003F0F38">
              <w:rPr>
                <w:sz w:val="20"/>
              </w:rPr>
              <w:t>HFCs</w:t>
            </w:r>
          </w:p>
        </w:tc>
        <w:tc>
          <w:tcPr>
            <w:tcW w:w="1260" w:type="dxa"/>
          </w:tcPr>
          <w:p w:rsidR="006B6981" w:rsidRPr="003F0F38" w:rsidRDefault="006B6981" w:rsidP="003938A2">
            <w:pPr>
              <w:jc w:val="right"/>
              <w:rPr>
                <w:sz w:val="20"/>
              </w:rPr>
            </w:pPr>
            <w:r>
              <w:rPr>
                <w:sz w:val="20"/>
              </w:rPr>
              <w:t>n/a</w:t>
            </w:r>
          </w:p>
        </w:tc>
      </w:tr>
    </w:tbl>
    <w:p w:rsidR="006B6981" w:rsidRPr="00E91A59" w:rsidRDefault="006B6981" w:rsidP="006B6981">
      <w:pPr>
        <w:spacing w:before="120" w:after="60"/>
        <w:rPr>
          <w:b/>
          <w:caps/>
          <w:sz w:val="20"/>
        </w:rPr>
      </w:pPr>
      <w:r w:rsidRPr="00E91A59">
        <w:rPr>
          <w:b/>
          <w:sz w:val="20"/>
        </w:rPr>
        <w:t xml:space="preserve">B: COUNTRY PROGRAMME SECTORAL DATA </w:t>
      </w:r>
      <w:r w:rsidRPr="00E91A59">
        <w:rPr>
          <w:b/>
          <w:caps/>
          <w:sz w:val="20"/>
        </w:rPr>
        <w:t>(</w:t>
      </w:r>
      <w:r>
        <w:rPr>
          <w:b/>
          <w:caps/>
          <w:sz w:val="20"/>
        </w:rPr>
        <w:t>MT, 2017)</w:t>
      </w:r>
    </w:p>
    <w:tbl>
      <w:tblPr>
        <w:tblStyle w:val="TableGrid"/>
        <w:tblW w:w="9354" w:type="dxa"/>
        <w:jc w:val="center"/>
        <w:tblLayout w:type="fixed"/>
        <w:tblLook w:val="01E0" w:firstRow="1" w:lastRow="1" w:firstColumn="1" w:lastColumn="1" w:noHBand="0" w:noVBand="0"/>
      </w:tblPr>
      <w:tblGrid>
        <w:gridCol w:w="8075"/>
        <w:gridCol w:w="1279"/>
      </w:tblGrid>
      <w:tr w:rsidR="006B6981" w:rsidRPr="003F0F38" w:rsidTr="003938A2">
        <w:trPr>
          <w:jc w:val="center"/>
        </w:trPr>
        <w:tc>
          <w:tcPr>
            <w:tcW w:w="8075" w:type="dxa"/>
            <w:tcBorders>
              <w:right w:val="single" w:sz="4" w:space="0" w:color="auto"/>
            </w:tcBorders>
          </w:tcPr>
          <w:p w:rsidR="006B6981" w:rsidRPr="003F0F38" w:rsidRDefault="006B6981" w:rsidP="003938A2">
            <w:pPr>
              <w:rPr>
                <w:sz w:val="20"/>
              </w:rPr>
            </w:pPr>
            <w:r w:rsidRPr="003F0F38">
              <w:rPr>
                <w:sz w:val="20"/>
              </w:rPr>
              <w:t>HFCs</w:t>
            </w:r>
          </w:p>
        </w:tc>
        <w:tc>
          <w:tcPr>
            <w:tcW w:w="1279" w:type="dxa"/>
            <w:tcBorders>
              <w:left w:val="single" w:sz="4" w:space="0" w:color="auto"/>
              <w:right w:val="single" w:sz="4" w:space="0" w:color="auto"/>
            </w:tcBorders>
            <w:shd w:val="clear" w:color="auto" w:fill="auto"/>
          </w:tcPr>
          <w:p w:rsidR="006B6981" w:rsidRPr="003F0F38" w:rsidRDefault="006B6981" w:rsidP="003938A2">
            <w:pPr>
              <w:jc w:val="right"/>
              <w:rPr>
                <w:sz w:val="20"/>
              </w:rPr>
            </w:pPr>
            <w:r>
              <w:rPr>
                <w:sz w:val="20"/>
              </w:rPr>
              <w:t>n/a</w:t>
            </w:r>
          </w:p>
        </w:tc>
      </w:tr>
    </w:tbl>
    <w:p w:rsidR="006B6981" w:rsidRPr="003F0F38" w:rsidRDefault="006B6981" w:rsidP="006B6981">
      <w:pPr>
        <w:rPr>
          <w:sz w:val="20"/>
        </w:rPr>
      </w:pPr>
    </w:p>
    <w:tbl>
      <w:tblPr>
        <w:tblStyle w:val="TableGrid"/>
        <w:tblW w:w="0" w:type="auto"/>
        <w:jc w:val="center"/>
        <w:tblLook w:val="01E0" w:firstRow="1" w:lastRow="1" w:firstColumn="1" w:lastColumn="1" w:noHBand="0" w:noVBand="0"/>
      </w:tblPr>
      <w:tblGrid>
        <w:gridCol w:w="8075"/>
        <w:gridCol w:w="1275"/>
      </w:tblGrid>
      <w:tr w:rsidR="006B6981" w:rsidRPr="003F0F38" w:rsidTr="003938A2">
        <w:trPr>
          <w:jc w:val="center"/>
        </w:trPr>
        <w:tc>
          <w:tcPr>
            <w:tcW w:w="8075" w:type="dxa"/>
          </w:tcPr>
          <w:p w:rsidR="006B6981" w:rsidRPr="007724F1" w:rsidRDefault="006B6981" w:rsidP="003938A2">
            <w:pPr>
              <w:rPr>
                <w:b/>
                <w:sz w:val="20"/>
              </w:rPr>
            </w:pPr>
            <w:r w:rsidRPr="007724F1">
              <w:rPr>
                <w:b/>
                <w:sz w:val="20"/>
              </w:rPr>
              <w:t>HFC consumption remaining eligible for funding (</w:t>
            </w:r>
            <w:proofErr w:type="spellStart"/>
            <w:r>
              <w:rPr>
                <w:b/>
                <w:sz w:val="20"/>
              </w:rPr>
              <w:t>mt</w:t>
            </w:r>
            <w:proofErr w:type="spellEnd"/>
            <w:r w:rsidRPr="007724F1">
              <w:rPr>
                <w:b/>
                <w:sz w:val="20"/>
              </w:rPr>
              <w:t>)</w:t>
            </w:r>
          </w:p>
        </w:tc>
        <w:tc>
          <w:tcPr>
            <w:tcW w:w="1275" w:type="dxa"/>
          </w:tcPr>
          <w:p w:rsidR="006B6981" w:rsidRPr="003F0F38" w:rsidRDefault="006B6981" w:rsidP="003938A2">
            <w:pPr>
              <w:jc w:val="right"/>
              <w:rPr>
                <w:sz w:val="20"/>
              </w:rPr>
            </w:pPr>
            <w:r w:rsidRPr="003F0F38">
              <w:rPr>
                <w:sz w:val="20"/>
              </w:rPr>
              <w:t>n/a</w:t>
            </w:r>
          </w:p>
        </w:tc>
      </w:tr>
    </w:tbl>
    <w:p w:rsidR="006B6981" w:rsidRPr="003F0F38" w:rsidRDefault="006B6981" w:rsidP="006B6981">
      <w:pPr>
        <w:rPr>
          <w:sz w:val="20"/>
        </w:rPr>
      </w:pPr>
    </w:p>
    <w:tbl>
      <w:tblPr>
        <w:tblStyle w:val="TableGrid"/>
        <w:tblpPr w:leftFromText="180" w:rightFromText="180" w:vertAnchor="text" w:horzAnchor="margin" w:tblpXSpec="center" w:tblpY="62"/>
        <w:tblW w:w="0" w:type="auto"/>
        <w:tblBorders>
          <w:insideV w:val="none" w:sz="0" w:space="0" w:color="auto"/>
        </w:tblBorders>
        <w:tblLook w:val="01E0" w:firstRow="1" w:lastRow="1" w:firstColumn="1" w:lastColumn="1" w:noHBand="0" w:noVBand="0"/>
      </w:tblPr>
      <w:tblGrid>
        <w:gridCol w:w="4194"/>
        <w:gridCol w:w="450"/>
        <w:gridCol w:w="2575"/>
        <w:gridCol w:w="2131"/>
      </w:tblGrid>
      <w:tr w:rsidR="006B6981" w:rsidRPr="003F0F38" w:rsidTr="003938A2">
        <w:trPr>
          <w:trHeight w:val="248"/>
        </w:trPr>
        <w:tc>
          <w:tcPr>
            <w:tcW w:w="4194" w:type="dxa"/>
            <w:vMerge w:val="restart"/>
            <w:tcBorders>
              <w:right w:val="single" w:sz="4" w:space="0" w:color="auto"/>
            </w:tcBorders>
          </w:tcPr>
          <w:p w:rsidR="006B6981" w:rsidRPr="00C044C6" w:rsidRDefault="006B6981" w:rsidP="003938A2">
            <w:pPr>
              <w:jc w:val="left"/>
              <w:rPr>
                <w:b/>
                <w:i/>
                <w:sz w:val="20"/>
              </w:rPr>
            </w:pPr>
            <w:r w:rsidRPr="00C044C6">
              <w:rPr>
                <w:b/>
                <w:caps/>
                <w:sz w:val="20"/>
              </w:rPr>
              <w:t>Current year Business Plan ALLOCATIONS</w:t>
            </w:r>
          </w:p>
        </w:tc>
        <w:tc>
          <w:tcPr>
            <w:tcW w:w="450" w:type="dxa"/>
            <w:tcBorders>
              <w:left w:val="single" w:sz="4" w:space="0" w:color="auto"/>
              <w:right w:val="single" w:sz="4" w:space="0" w:color="auto"/>
            </w:tcBorders>
          </w:tcPr>
          <w:p w:rsidR="006B6981" w:rsidRPr="00C044C6" w:rsidRDefault="006B6981" w:rsidP="003938A2">
            <w:pPr>
              <w:rPr>
                <w:b/>
                <w:i/>
                <w:sz w:val="20"/>
              </w:rPr>
            </w:pPr>
          </w:p>
        </w:tc>
        <w:tc>
          <w:tcPr>
            <w:tcW w:w="2575" w:type="dxa"/>
            <w:tcBorders>
              <w:left w:val="single" w:sz="4" w:space="0" w:color="auto"/>
              <w:right w:val="single" w:sz="4" w:space="0" w:color="auto"/>
            </w:tcBorders>
          </w:tcPr>
          <w:p w:rsidR="006B6981" w:rsidRPr="00C044C6" w:rsidRDefault="006B6981" w:rsidP="003938A2">
            <w:pPr>
              <w:jc w:val="center"/>
              <w:rPr>
                <w:b/>
                <w:i/>
                <w:sz w:val="20"/>
              </w:rPr>
            </w:pPr>
            <w:r w:rsidRPr="00C044C6">
              <w:rPr>
                <w:b/>
                <w:sz w:val="20"/>
              </w:rPr>
              <w:t xml:space="preserve">Funding </w:t>
            </w:r>
            <w:r>
              <w:rPr>
                <w:b/>
                <w:sz w:val="20"/>
              </w:rPr>
              <w:t>(US $)</w:t>
            </w:r>
          </w:p>
        </w:tc>
        <w:tc>
          <w:tcPr>
            <w:tcW w:w="2131" w:type="dxa"/>
            <w:tcBorders>
              <w:left w:val="single" w:sz="4" w:space="0" w:color="auto"/>
            </w:tcBorders>
          </w:tcPr>
          <w:p w:rsidR="006B6981" w:rsidRPr="00C044C6" w:rsidRDefault="006B6981" w:rsidP="003938A2">
            <w:pPr>
              <w:jc w:val="center"/>
              <w:rPr>
                <w:b/>
                <w:i/>
                <w:sz w:val="20"/>
              </w:rPr>
            </w:pPr>
            <w:r w:rsidRPr="00C044C6">
              <w:rPr>
                <w:b/>
                <w:sz w:val="20"/>
              </w:rPr>
              <w:t xml:space="preserve">Phase-out </w:t>
            </w:r>
            <w:r>
              <w:rPr>
                <w:b/>
                <w:sz w:val="20"/>
              </w:rPr>
              <w:t>(</w:t>
            </w:r>
            <w:proofErr w:type="spellStart"/>
            <w:r>
              <w:rPr>
                <w:b/>
                <w:sz w:val="20"/>
              </w:rPr>
              <w:t>mt</w:t>
            </w:r>
            <w:proofErr w:type="spellEnd"/>
            <w:r>
              <w:rPr>
                <w:b/>
                <w:sz w:val="20"/>
              </w:rPr>
              <w:t>)</w:t>
            </w:r>
          </w:p>
        </w:tc>
      </w:tr>
      <w:tr w:rsidR="006B6981" w:rsidRPr="003F0F38" w:rsidTr="003938A2">
        <w:trPr>
          <w:trHeight w:val="172"/>
        </w:trPr>
        <w:tc>
          <w:tcPr>
            <w:tcW w:w="4194" w:type="dxa"/>
            <w:vMerge/>
            <w:tcBorders>
              <w:right w:val="single" w:sz="4" w:space="0" w:color="auto"/>
            </w:tcBorders>
          </w:tcPr>
          <w:p w:rsidR="006B6981" w:rsidRPr="003F0F38" w:rsidRDefault="006B6981" w:rsidP="003938A2">
            <w:pPr>
              <w:rPr>
                <w:sz w:val="20"/>
              </w:rPr>
            </w:pPr>
          </w:p>
        </w:tc>
        <w:tc>
          <w:tcPr>
            <w:tcW w:w="450" w:type="dxa"/>
            <w:tcBorders>
              <w:left w:val="single" w:sz="4" w:space="0" w:color="auto"/>
              <w:right w:val="single" w:sz="4" w:space="0" w:color="auto"/>
            </w:tcBorders>
          </w:tcPr>
          <w:p w:rsidR="006B6981" w:rsidRPr="003F0F38" w:rsidRDefault="006B6981" w:rsidP="003938A2">
            <w:pPr>
              <w:rPr>
                <w:sz w:val="20"/>
              </w:rPr>
            </w:pPr>
            <w:r w:rsidRPr="003F0F38">
              <w:rPr>
                <w:sz w:val="20"/>
              </w:rPr>
              <w:t>(a)</w:t>
            </w:r>
          </w:p>
        </w:tc>
        <w:tc>
          <w:tcPr>
            <w:tcW w:w="2575" w:type="dxa"/>
            <w:tcBorders>
              <w:left w:val="single" w:sz="4" w:space="0" w:color="auto"/>
              <w:right w:val="single" w:sz="4" w:space="0" w:color="auto"/>
            </w:tcBorders>
          </w:tcPr>
          <w:p w:rsidR="006B6981" w:rsidRPr="003F0F38" w:rsidRDefault="006B6981" w:rsidP="003938A2">
            <w:pPr>
              <w:jc w:val="right"/>
              <w:rPr>
                <w:sz w:val="20"/>
              </w:rPr>
            </w:pPr>
            <w:r>
              <w:rPr>
                <w:sz w:val="20"/>
              </w:rPr>
              <w:t>503,000</w:t>
            </w:r>
          </w:p>
        </w:tc>
        <w:tc>
          <w:tcPr>
            <w:tcW w:w="2131" w:type="dxa"/>
            <w:tcBorders>
              <w:left w:val="single" w:sz="4" w:space="0" w:color="auto"/>
            </w:tcBorders>
          </w:tcPr>
          <w:p w:rsidR="006B6981" w:rsidRPr="003F0F38" w:rsidRDefault="006B6981" w:rsidP="003938A2">
            <w:pPr>
              <w:jc w:val="right"/>
              <w:rPr>
                <w:sz w:val="20"/>
              </w:rPr>
            </w:pPr>
            <w:r>
              <w:rPr>
                <w:sz w:val="20"/>
              </w:rPr>
              <w:t>0.00</w:t>
            </w:r>
          </w:p>
        </w:tc>
      </w:tr>
    </w:tbl>
    <w:p w:rsidR="006B6981" w:rsidRDefault="006B6981" w:rsidP="006B6981">
      <w:pPr>
        <w:rPr>
          <w:sz w:val="20"/>
        </w:rPr>
      </w:pPr>
    </w:p>
    <w:tbl>
      <w:tblPr>
        <w:tblW w:w="5000" w:type="pct"/>
        <w:tblLook w:val="04A0" w:firstRow="1" w:lastRow="0" w:firstColumn="1" w:lastColumn="0" w:noHBand="0" w:noVBand="1"/>
      </w:tblPr>
      <w:tblGrid>
        <w:gridCol w:w="4675"/>
        <w:gridCol w:w="2521"/>
        <w:gridCol w:w="2154"/>
      </w:tblGrid>
      <w:tr w:rsidR="006B6981" w:rsidRPr="007428EA" w:rsidTr="003938A2">
        <w:trPr>
          <w:trHeight w:val="50"/>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6981" w:rsidRPr="007428EA" w:rsidRDefault="006B6981" w:rsidP="003938A2">
            <w:pPr>
              <w:jc w:val="left"/>
              <w:rPr>
                <w:b/>
                <w:bCs/>
                <w:color w:val="000000"/>
                <w:sz w:val="20"/>
                <w:szCs w:val="20"/>
                <w:lang w:val="en-US" w:eastAsia="zh-CN"/>
              </w:rPr>
            </w:pPr>
            <w:r w:rsidRPr="007428EA">
              <w:rPr>
                <w:b/>
                <w:bCs/>
                <w:color w:val="000000"/>
                <w:sz w:val="20"/>
                <w:szCs w:val="20"/>
                <w:lang w:val="en-CA" w:eastAsia="zh-CN"/>
              </w:rPr>
              <w:t>Particular</w:t>
            </w:r>
          </w:p>
        </w:tc>
        <w:tc>
          <w:tcPr>
            <w:tcW w:w="1348" w:type="pct"/>
            <w:tcBorders>
              <w:top w:val="single" w:sz="4" w:space="0" w:color="auto"/>
              <w:left w:val="nil"/>
              <w:bottom w:val="single" w:sz="4" w:space="0" w:color="auto"/>
              <w:right w:val="single" w:sz="4" w:space="0" w:color="auto"/>
            </w:tcBorders>
            <w:shd w:val="clear" w:color="auto" w:fill="auto"/>
            <w:vAlign w:val="center"/>
            <w:hideMark/>
          </w:tcPr>
          <w:p w:rsidR="006B6981" w:rsidRPr="007428EA" w:rsidRDefault="006B6981" w:rsidP="003938A2">
            <w:pPr>
              <w:jc w:val="center"/>
              <w:rPr>
                <w:b/>
                <w:bCs/>
                <w:color w:val="000000"/>
                <w:sz w:val="20"/>
                <w:szCs w:val="20"/>
                <w:lang w:val="en-US" w:eastAsia="zh-CN"/>
              </w:rPr>
            </w:pPr>
            <w:r w:rsidRPr="007428EA">
              <w:rPr>
                <w:b/>
                <w:bCs/>
                <w:color w:val="000000"/>
                <w:sz w:val="20"/>
                <w:szCs w:val="20"/>
                <w:lang w:val="en-CA" w:eastAsia="zh-CN"/>
              </w:rPr>
              <w:t>Units</w:t>
            </w:r>
          </w:p>
        </w:tc>
        <w:tc>
          <w:tcPr>
            <w:tcW w:w="1152" w:type="pct"/>
            <w:tcBorders>
              <w:top w:val="single" w:sz="4" w:space="0" w:color="auto"/>
              <w:left w:val="nil"/>
              <w:bottom w:val="single" w:sz="4" w:space="0" w:color="auto"/>
              <w:right w:val="single" w:sz="4" w:space="0" w:color="auto"/>
            </w:tcBorders>
            <w:shd w:val="clear" w:color="auto" w:fill="auto"/>
            <w:vAlign w:val="center"/>
            <w:hideMark/>
          </w:tcPr>
          <w:p w:rsidR="006B6981" w:rsidRPr="007428EA" w:rsidRDefault="006B6981" w:rsidP="003938A2">
            <w:pPr>
              <w:jc w:val="center"/>
              <w:rPr>
                <w:b/>
                <w:bCs/>
                <w:color w:val="000000"/>
                <w:sz w:val="20"/>
                <w:szCs w:val="20"/>
                <w:lang w:val="en-US" w:eastAsia="zh-CN"/>
              </w:rPr>
            </w:pPr>
            <w:r w:rsidRPr="007428EA">
              <w:rPr>
                <w:b/>
                <w:bCs/>
                <w:color w:val="000000"/>
                <w:sz w:val="20"/>
                <w:szCs w:val="20"/>
                <w:lang w:val="en-CA" w:eastAsia="zh-CN"/>
              </w:rPr>
              <w:t>HFC-134a</w:t>
            </w:r>
          </w:p>
        </w:tc>
      </w:tr>
      <w:tr w:rsidR="006B6981" w:rsidRPr="007428EA" w:rsidTr="003938A2">
        <w:trPr>
          <w:trHeight w:val="50"/>
        </w:trPr>
        <w:tc>
          <w:tcPr>
            <w:tcW w:w="25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981" w:rsidRPr="007428EA" w:rsidRDefault="006B6981" w:rsidP="003938A2">
            <w:pPr>
              <w:jc w:val="left"/>
              <w:rPr>
                <w:color w:val="000000"/>
                <w:sz w:val="20"/>
                <w:szCs w:val="20"/>
                <w:lang w:val="en-US" w:eastAsia="zh-CN"/>
              </w:rPr>
            </w:pPr>
            <w:r w:rsidRPr="007428EA">
              <w:rPr>
                <w:color w:val="000000"/>
                <w:sz w:val="20"/>
                <w:lang w:eastAsia="zh-CN"/>
              </w:rPr>
              <w:t>HFC</w:t>
            </w:r>
            <w:r>
              <w:rPr>
                <w:color w:val="000000"/>
                <w:sz w:val="20"/>
                <w:lang w:eastAsia="zh-CN"/>
              </w:rPr>
              <w:t>s</w:t>
            </w:r>
            <w:r w:rsidRPr="007428EA">
              <w:rPr>
                <w:color w:val="000000"/>
                <w:sz w:val="20"/>
                <w:lang w:eastAsia="zh-CN"/>
              </w:rPr>
              <w:t xml:space="preserve"> used at enterprise:</w:t>
            </w:r>
          </w:p>
        </w:tc>
        <w:tc>
          <w:tcPr>
            <w:tcW w:w="1348" w:type="pct"/>
            <w:tcBorders>
              <w:top w:val="nil"/>
              <w:left w:val="nil"/>
              <w:bottom w:val="single" w:sz="4" w:space="0" w:color="auto"/>
              <w:right w:val="single" w:sz="4" w:space="0" w:color="auto"/>
            </w:tcBorders>
            <w:shd w:val="clear" w:color="auto" w:fill="auto"/>
            <w:vAlign w:val="center"/>
            <w:hideMark/>
          </w:tcPr>
          <w:p w:rsidR="006B6981" w:rsidRPr="007428EA" w:rsidRDefault="006B6981" w:rsidP="003938A2">
            <w:pPr>
              <w:jc w:val="left"/>
              <w:rPr>
                <w:color w:val="000000"/>
                <w:sz w:val="20"/>
                <w:szCs w:val="20"/>
                <w:lang w:val="en-US" w:eastAsia="zh-CN"/>
              </w:rPr>
            </w:pPr>
            <w:proofErr w:type="spellStart"/>
            <w:r w:rsidRPr="007428EA">
              <w:rPr>
                <w:color w:val="000000"/>
                <w:sz w:val="20"/>
                <w:szCs w:val="20"/>
                <w:lang w:val="en-CA" w:eastAsia="zh-CN"/>
              </w:rPr>
              <w:t>mt</w:t>
            </w:r>
            <w:proofErr w:type="spellEnd"/>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6981" w:rsidRPr="007428EA" w:rsidRDefault="006B6981" w:rsidP="003938A2">
            <w:pPr>
              <w:jc w:val="right"/>
              <w:rPr>
                <w:color w:val="000000"/>
                <w:sz w:val="20"/>
                <w:szCs w:val="20"/>
                <w:lang w:val="en-US" w:eastAsia="zh-CN"/>
              </w:rPr>
            </w:pPr>
            <w:r>
              <w:rPr>
                <w:color w:val="000000"/>
                <w:sz w:val="20"/>
                <w:szCs w:val="20"/>
                <w:lang w:val="en-CA"/>
              </w:rPr>
              <w:t>14.50</w:t>
            </w:r>
          </w:p>
        </w:tc>
      </w:tr>
      <w:tr w:rsidR="006B6981" w:rsidRPr="007428EA" w:rsidTr="003938A2">
        <w:trPr>
          <w:trHeight w:val="50"/>
        </w:trPr>
        <w:tc>
          <w:tcPr>
            <w:tcW w:w="2500" w:type="pct"/>
            <w:vMerge/>
            <w:tcBorders>
              <w:top w:val="single" w:sz="4" w:space="0" w:color="auto"/>
              <w:left w:val="single" w:sz="4" w:space="0" w:color="auto"/>
              <w:bottom w:val="single" w:sz="4" w:space="0" w:color="auto"/>
              <w:right w:val="single" w:sz="4" w:space="0" w:color="auto"/>
            </w:tcBorders>
            <w:vAlign w:val="center"/>
            <w:hideMark/>
          </w:tcPr>
          <w:p w:rsidR="006B6981" w:rsidRPr="007428EA" w:rsidRDefault="006B6981" w:rsidP="003938A2">
            <w:pPr>
              <w:jc w:val="left"/>
              <w:rPr>
                <w:color w:val="000000"/>
                <w:sz w:val="20"/>
                <w:szCs w:val="20"/>
                <w:lang w:val="en-US" w:eastAsia="zh-CN"/>
              </w:rPr>
            </w:pPr>
          </w:p>
        </w:tc>
        <w:tc>
          <w:tcPr>
            <w:tcW w:w="1348" w:type="pct"/>
            <w:tcBorders>
              <w:top w:val="nil"/>
              <w:left w:val="nil"/>
              <w:bottom w:val="single" w:sz="4" w:space="0" w:color="auto"/>
              <w:right w:val="single" w:sz="4" w:space="0" w:color="auto"/>
            </w:tcBorders>
            <w:shd w:val="clear" w:color="auto" w:fill="auto"/>
            <w:vAlign w:val="center"/>
            <w:hideMark/>
          </w:tcPr>
          <w:p w:rsidR="006B6981" w:rsidRPr="007428EA" w:rsidRDefault="006B6981" w:rsidP="003938A2">
            <w:pPr>
              <w:jc w:val="left"/>
              <w:rPr>
                <w:color w:val="000000"/>
                <w:sz w:val="20"/>
                <w:szCs w:val="20"/>
                <w:lang w:val="en-US" w:eastAsia="zh-CN"/>
              </w:rPr>
            </w:pPr>
            <w:r w:rsidRPr="007428EA">
              <w:rPr>
                <w:color w:val="000000"/>
                <w:sz w:val="20"/>
                <w:szCs w:val="20"/>
                <w:lang w:val="en-CA" w:eastAsia="zh-CN"/>
              </w:rPr>
              <w:t>CO</w:t>
            </w:r>
            <w:r w:rsidRPr="007428EA">
              <w:rPr>
                <w:color w:val="000000"/>
                <w:sz w:val="20"/>
                <w:szCs w:val="20"/>
                <w:vertAlign w:val="subscript"/>
                <w:lang w:val="en-CA" w:eastAsia="zh-CN"/>
              </w:rPr>
              <w:t>2</w:t>
            </w:r>
            <w:r>
              <w:rPr>
                <w:color w:val="000000"/>
                <w:sz w:val="20"/>
                <w:szCs w:val="20"/>
                <w:vertAlign w:val="subscript"/>
                <w:lang w:val="en-CA" w:eastAsia="zh-CN"/>
              </w:rPr>
              <w:t xml:space="preserve"> </w:t>
            </w:r>
            <w:proofErr w:type="spellStart"/>
            <w:r w:rsidRPr="007428EA">
              <w:rPr>
                <w:color w:val="000000"/>
                <w:sz w:val="20"/>
                <w:szCs w:val="20"/>
                <w:lang w:val="en-CA" w:eastAsia="zh-CN"/>
              </w:rPr>
              <w:t>eq</w:t>
            </w:r>
            <w:proofErr w:type="spellEnd"/>
          </w:p>
        </w:tc>
        <w:tc>
          <w:tcPr>
            <w:tcW w:w="1152" w:type="pct"/>
            <w:tcBorders>
              <w:top w:val="nil"/>
              <w:left w:val="single" w:sz="4" w:space="0" w:color="auto"/>
              <w:bottom w:val="single" w:sz="4" w:space="0" w:color="auto"/>
              <w:right w:val="single" w:sz="4" w:space="0" w:color="auto"/>
            </w:tcBorders>
            <w:shd w:val="clear" w:color="auto" w:fill="auto"/>
            <w:vAlign w:val="center"/>
            <w:hideMark/>
          </w:tcPr>
          <w:p w:rsidR="006B6981" w:rsidRPr="007428EA" w:rsidRDefault="006B6981" w:rsidP="003938A2">
            <w:pPr>
              <w:jc w:val="right"/>
              <w:rPr>
                <w:color w:val="000000"/>
                <w:sz w:val="20"/>
                <w:szCs w:val="20"/>
                <w:lang w:val="en-US" w:eastAsia="zh-CN"/>
              </w:rPr>
            </w:pPr>
            <w:r>
              <w:rPr>
                <w:color w:val="000000"/>
                <w:sz w:val="20"/>
                <w:szCs w:val="20"/>
                <w:lang w:val="en-CA"/>
              </w:rPr>
              <w:t>20,735</w:t>
            </w:r>
          </w:p>
        </w:tc>
      </w:tr>
      <w:tr w:rsidR="006B6981" w:rsidRPr="007428EA" w:rsidTr="003938A2">
        <w:trPr>
          <w:trHeight w:val="50"/>
        </w:trPr>
        <w:tc>
          <w:tcPr>
            <w:tcW w:w="25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981" w:rsidRPr="007428EA" w:rsidRDefault="006B6981" w:rsidP="003938A2">
            <w:pPr>
              <w:jc w:val="left"/>
              <w:rPr>
                <w:color w:val="000000"/>
                <w:sz w:val="20"/>
                <w:szCs w:val="20"/>
                <w:lang w:val="en-US" w:eastAsia="zh-CN"/>
              </w:rPr>
            </w:pPr>
            <w:r w:rsidRPr="007428EA">
              <w:rPr>
                <w:color w:val="000000"/>
                <w:sz w:val="20"/>
                <w:szCs w:val="20"/>
                <w:lang w:val="en-CA" w:eastAsia="zh-CN"/>
              </w:rPr>
              <w:t>HFC</w:t>
            </w:r>
            <w:r>
              <w:rPr>
                <w:color w:val="000000"/>
                <w:sz w:val="20"/>
                <w:szCs w:val="20"/>
                <w:lang w:val="en-CA" w:eastAsia="zh-CN"/>
              </w:rPr>
              <w:t>s</w:t>
            </w:r>
            <w:r w:rsidRPr="007428EA">
              <w:rPr>
                <w:color w:val="000000"/>
                <w:sz w:val="20"/>
                <w:szCs w:val="20"/>
                <w:lang w:val="en-CA" w:eastAsia="zh-CN"/>
              </w:rPr>
              <w:t xml:space="preserve"> to be phased out through this project:</w:t>
            </w:r>
          </w:p>
        </w:tc>
        <w:tc>
          <w:tcPr>
            <w:tcW w:w="1348" w:type="pct"/>
            <w:tcBorders>
              <w:top w:val="nil"/>
              <w:left w:val="nil"/>
              <w:bottom w:val="single" w:sz="4" w:space="0" w:color="auto"/>
              <w:right w:val="single" w:sz="4" w:space="0" w:color="auto"/>
            </w:tcBorders>
            <w:shd w:val="clear" w:color="auto" w:fill="auto"/>
            <w:vAlign w:val="center"/>
            <w:hideMark/>
          </w:tcPr>
          <w:p w:rsidR="006B6981" w:rsidRPr="007428EA" w:rsidRDefault="006B6981" w:rsidP="003938A2">
            <w:pPr>
              <w:jc w:val="left"/>
              <w:rPr>
                <w:color w:val="000000"/>
                <w:sz w:val="20"/>
                <w:szCs w:val="20"/>
                <w:lang w:val="en-US" w:eastAsia="zh-CN"/>
              </w:rPr>
            </w:pPr>
            <w:proofErr w:type="spellStart"/>
            <w:r w:rsidRPr="007428EA">
              <w:rPr>
                <w:color w:val="000000"/>
                <w:sz w:val="20"/>
                <w:szCs w:val="20"/>
                <w:lang w:val="en-CA" w:eastAsia="zh-CN"/>
              </w:rPr>
              <w:t>mt</w:t>
            </w:r>
            <w:proofErr w:type="spellEnd"/>
          </w:p>
        </w:tc>
        <w:tc>
          <w:tcPr>
            <w:tcW w:w="1152" w:type="pct"/>
            <w:tcBorders>
              <w:top w:val="nil"/>
              <w:left w:val="single" w:sz="4" w:space="0" w:color="auto"/>
              <w:bottom w:val="single" w:sz="4" w:space="0" w:color="auto"/>
              <w:right w:val="single" w:sz="4" w:space="0" w:color="auto"/>
            </w:tcBorders>
            <w:shd w:val="clear" w:color="auto" w:fill="auto"/>
            <w:vAlign w:val="center"/>
            <w:hideMark/>
          </w:tcPr>
          <w:p w:rsidR="006B6981" w:rsidRPr="007428EA" w:rsidRDefault="006B6981" w:rsidP="003938A2">
            <w:pPr>
              <w:jc w:val="right"/>
              <w:rPr>
                <w:color w:val="000000"/>
                <w:sz w:val="20"/>
                <w:szCs w:val="20"/>
                <w:lang w:val="en-US" w:eastAsia="zh-CN"/>
              </w:rPr>
            </w:pPr>
            <w:r>
              <w:rPr>
                <w:color w:val="000000"/>
                <w:sz w:val="20"/>
                <w:szCs w:val="20"/>
                <w:lang w:val="en-CA"/>
              </w:rPr>
              <w:t>14.50</w:t>
            </w:r>
          </w:p>
        </w:tc>
      </w:tr>
      <w:tr w:rsidR="006B6981" w:rsidRPr="007428EA" w:rsidTr="003938A2">
        <w:trPr>
          <w:trHeight w:val="50"/>
        </w:trPr>
        <w:tc>
          <w:tcPr>
            <w:tcW w:w="2500" w:type="pct"/>
            <w:vMerge/>
            <w:tcBorders>
              <w:top w:val="single" w:sz="4" w:space="0" w:color="auto"/>
              <w:left w:val="single" w:sz="4" w:space="0" w:color="auto"/>
              <w:bottom w:val="single" w:sz="4" w:space="0" w:color="auto"/>
              <w:right w:val="single" w:sz="4" w:space="0" w:color="auto"/>
            </w:tcBorders>
            <w:vAlign w:val="center"/>
            <w:hideMark/>
          </w:tcPr>
          <w:p w:rsidR="006B6981" w:rsidRPr="007428EA" w:rsidRDefault="006B6981" w:rsidP="003938A2">
            <w:pPr>
              <w:jc w:val="left"/>
              <w:rPr>
                <w:color w:val="000000"/>
                <w:sz w:val="20"/>
                <w:szCs w:val="20"/>
                <w:lang w:val="en-US" w:eastAsia="zh-CN"/>
              </w:rPr>
            </w:pPr>
          </w:p>
        </w:tc>
        <w:tc>
          <w:tcPr>
            <w:tcW w:w="1348" w:type="pct"/>
            <w:tcBorders>
              <w:top w:val="nil"/>
              <w:left w:val="nil"/>
              <w:bottom w:val="single" w:sz="4" w:space="0" w:color="auto"/>
              <w:right w:val="single" w:sz="4" w:space="0" w:color="auto"/>
            </w:tcBorders>
            <w:shd w:val="clear" w:color="auto" w:fill="auto"/>
            <w:vAlign w:val="center"/>
            <w:hideMark/>
          </w:tcPr>
          <w:p w:rsidR="006B6981" w:rsidRPr="007428EA" w:rsidRDefault="006B6981" w:rsidP="003938A2">
            <w:pPr>
              <w:jc w:val="left"/>
              <w:rPr>
                <w:color w:val="000000"/>
                <w:sz w:val="20"/>
                <w:szCs w:val="20"/>
                <w:lang w:val="en-US" w:eastAsia="zh-CN"/>
              </w:rPr>
            </w:pPr>
            <w:r w:rsidRPr="007428EA">
              <w:rPr>
                <w:color w:val="000000"/>
                <w:sz w:val="20"/>
                <w:szCs w:val="20"/>
                <w:lang w:val="en-CA" w:eastAsia="zh-CN"/>
              </w:rPr>
              <w:t>CO</w:t>
            </w:r>
            <w:r w:rsidRPr="007428EA">
              <w:rPr>
                <w:color w:val="000000"/>
                <w:sz w:val="20"/>
                <w:szCs w:val="20"/>
                <w:vertAlign w:val="subscript"/>
                <w:lang w:val="en-CA" w:eastAsia="zh-CN"/>
              </w:rPr>
              <w:t>2</w:t>
            </w:r>
            <w:r>
              <w:rPr>
                <w:color w:val="000000"/>
                <w:sz w:val="20"/>
                <w:szCs w:val="20"/>
                <w:lang w:val="en-CA" w:eastAsia="zh-CN"/>
              </w:rPr>
              <w:t xml:space="preserve"> </w:t>
            </w:r>
            <w:proofErr w:type="spellStart"/>
            <w:r w:rsidRPr="007428EA">
              <w:rPr>
                <w:color w:val="000000"/>
                <w:sz w:val="20"/>
                <w:szCs w:val="20"/>
                <w:lang w:val="en-CA" w:eastAsia="zh-CN"/>
              </w:rPr>
              <w:t>eq</w:t>
            </w:r>
            <w:proofErr w:type="spellEnd"/>
          </w:p>
        </w:tc>
        <w:tc>
          <w:tcPr>
            <w:tcW w:w="1152" w:type="pct"/>
            <w:tcBorders>
              <w:top w:val="nil"/>
              <w:left w:val="single" w:sz="4" w:space="0" w:color="auto"/>
              <w:bottom w:val="single" w:sz="4" w:space="0" w:color="auto"/>
              <w:right w:val="single" w:sz="4" w:space="0" w:color="auto"/>
            </w:tcBorders>
            <w:shd w:val="clear" w:color="auto" w:fill="auto"/>
            <w:vAlign w:val="center"/>
            <w:hideMark/>
          </w:tcPr>
          <w:p w:rsidR="006B6981" w:rsidRPr="007428EA" w:rsidRDefault="006B6981" w:rsidP="003938A2">
            <w:pPr>
              <w:jc w:val="right"/>
              <w:rPr>
                <w:color w:val="000000"/>
                <w:sz w:val="20"/>
                <w:szCs w:val="20"/>
                <w:lang w:val="en-US" w:eastAsia="zh-CN"/>
              </w:rPr>
            </w:pPr>
            <w:r>
              <w:rPr>
                <w:color w:val="000000"/>
                <w:sz w:val="20"/>
                <w:szCs w:val="20"/>
                <w:lang w:val="en-CA"/>
              </w:rPr>
              <w:t>20,735</w:t>
            </w:r>
          </w:p>
        </w:tc>
      </w:tr>
      <w:tr w:rsidR="006B6981" w:rsidRPr="007428EA" w:rsidTr="003938A2">
        <w:trPr>
          <w:trHeight w:val="50"/>
        </w:trPr>
        <w:tc>
          <w:tcPr>
            <w:tcW w:w="25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981" w:rsidRPr="007428EA" w:rsidRDefault="006B6981" w:rsidP="003938A2">
            <w:pPr>
              <w:jc w:val="left"/>
              <w:rPr>
                <w:color w:val="000000"/>
                <w:sz w:val="20"/>
                <w:szCs w:val="20"/>
                <w:lang w:val="en-US" w:eastAsia="zh-CN"/>
              </w:rPr>
            </w:pPr>
            <w:r w:rsidRPr="007428EA">
              <w:rPr>
                <w:color w:val="000000"/>
                <w:sz w:val="20"/>
                <w:szCs w:val="20"/>
                <w:lang w:val="en-CA" w:eastAsia="zh-CN"/>
              </w:rPr>
              <w:t>HFC</w:t>
            </w:r>
            <w:r>
              <w:rPr>
                <w:color w:val="000000"/>
                <w:sz w:val="20"/>
                <w:szCs w:val="20"/>
                <w:lang w:val="en-CA" w:eastAsia="zh-CN"/>
              </w:rPr>
              <w:t>s</w:t>
            </w:r>
            <w:r w:rsidRPr="007428EA">
              <w:rPr>
                <w:color w:val="000000"/>
                <w:sz w:val="20"/>
                <w:szCs w:val="20"/>
                <w:lang w:val="en-CA" w:eastAsia="zh-CN"/>
              </w:rPr>
              <w:t>/alternatives to be phased in:</w:t>
            </w:r>
          </w:p>
        </w:tc>
        <w:tc>
          <w:tcPr>
            <w:tcW w:w="1348" w:type="pct"/>
            <w:tcBorders>
              <w:top w:val="nil"/>
              <w:left w:val="nil"/>
              <w:bottom w:val="single" w:sz="4" w:space="0" w:color="auto"/>
              <w:right w:val="single" w:sz="4" w:space="0" w:color="auto"/>
            </w:tcBorders>
            <w:shd w:val="clear" w:color="auto" w:fill="auto"/>
            <w:vAlign w:val="center"/>
            <w:hideMark/>
          </w:tcPr>
          <w:p w:rsidR="006B6981" w:rsidRPr="007428EA" w:rsidRDefault="006B6981" w:rsidP="003938A2">
            <w:pPr>
              <w:jc w:val="center"/>
              <w:rPr>
                <w:b/>
                <w:bCs/>
                <w:color w:val="000000"/>
                <w:sz w:val="20"/>
                <w:szCs w:val="20"/>
                <w:lang w:val="en-US" w:eastAsia="zh-CN"/>
              </w:rPr>
            </w:pPr>
            <w:r w:rsidRPr="007428EA">
              <w:rPr>
                <w:b/>
                <w:bCs/>
                <w:color w:val="000000"/>
                <w:sz w:val="20"/>
                <w:szCs w:val="20"/>
                <w:lang w:val="en-CA" w:eastAsia="zh-CN"/>
              </w:rPr>
              <w:t>Units</w:t>
            </w:r>
          </w:p>
        </w:tc>
        <w:tc>
          <w:tcPr>
            <w:tcW w:w="1152" w:type="pct"/>
            <w:tcBorders>
              <w:top w:val="nil"/>
              <w:left w:val="nil"/>
              <w:bottom w:val="single" w:sz="4" w:space="0" w:color="auto"/>
              <w:right w:val="single" w:sz="4" w:space="0" w:color="auto"/>
            </w:tcBorders>
            <w:shd w:val="clear" w:color="auto" w:fill="auto"/>
            <w:vAlign w:val="center"/>
            <w:hideMark/>
          </w:tcPr>
          <w:p w:rsidR="006B6981" w:rsidRPr="007428EA" w:rsidRDefault="006B6981" w:rsidP="003938A2">
            <w:pPr>
              <w:jc w:val="center"/>
              <w:rPr>
                <w:b/>
                <w:bCs/>
                <w:color w:val="000000"/>
                <w:sz w:val="20"/>
                <w:szCs w:val="20"/>
                <w:lang w:val="en-US" w:eastAsia="zh-CN"/>
              </w:rPr>
            </w:pPr>
            <w:r w:rsidRPr="007428EA">
              <w:rPr>
                <w:b/>
                <w:bCs/>
                <w:color w:val="000000"/>
                <w:sz w:val="20"/>
                <w:szCs w:val="20"/>
                <w:lang w:val="en-CA" w:eastAsia="zh-CN"/>
              </w:rPr>
              <w:t>R-600a</w:t>
            </w:r>
          </w:p>
        </w:tc>
      </w:tr>
      <w:tr w:rsidR="006B6981" w:rsidRPr="007428EA" w:rsidTr="003938A2">
        <w:trPr>
          <w:trHeight w:val="50"/>
        </w:trPr>
        <w:tc>
          <w:tcPr>
            <w:tcW w:w="2500" w:type="pct"/>
            <w:vMerge/>
            <w:tcBorders>
              <w:top w:val="single" w:sz="4" w:space="0" w:color="auto"/>
              <w:left w:val="single" w:sz="4" w:space="0" w:color="auto"/>
              <w:bottom w:val="single" w:sz="4" w:space="0" w:color="auto"/>
              <w:right w:val="single" w:sz="4" w:space="0" w:color="auto"/>
            </w:tcBorders>
            <w:vAlign w:val="center"/>
            <w:hideMark/>
          </w:tcPr>
          <w:p w:rsidR="006B6981" w:rsidRPr="007428EA" w:rsidRDefault="006B6981" w:rsidP="003938A2">
            <w:pPr>
              <w:jc w:val="left"/>
              <w:rPr>
                <w:color w:val="000000"/>
                <w:sz w:val="20"/>
                <w:szCs w:val="20"/>
                <w:lang w:val="en-US" w:eastAsia="zh-CN"/>
              </w:rPr>
            </w:pPr>
          </w:p>
        </w:tc>
        <w:tc>
          <w:tcPr>
            <w:tcW w:w="1348" w:type="pct"/>
            <w:tcBorders>
              <w:top w:val="nil"/>
              <w:left w:val="nil"/>
              <w:bottom w:val="single" w:sz="4" w:space="0" w:color="auto"/>
              <w:right w:val="single" w:sz="4" w:space="0" w:color="auto"/>
            </w:tcBorders>
            <w:shd w:val="clear" w:color="auto" w:fill="auto"/>
            <w:vAlign w:val="center"/>
            <w:hideMark/>
          </w:tcPr>
          <w:p w:rsidR="006B6981" w:rsidRPr="007428EA" w:rsidRDefault="006B6981" w:rsidP="003938A2">
            <w:pPr>
              <w:jc w:val="left"/>
              <w:rPr>
                <w:color w:val="000000"/>
                <w:sz w:val="20"/>
                <w:szCs w:val="20"/>
                <w:lang w:val="en-US" w:eastAsia="zh-CN"/>
              </w:rPr>
            </w:pPr>
            <w:proofErr w:type="spellStart"/>
            <w:r w:rsidRPr="007428EA">
              <w:rPr>
                <w:color w:val="000000"/>
                <w:sz w:val="20"/>
                <w:szCs w:val="20"/>
                <w:lang w:val="en-CA" w:eastAsia="zh-CN"/>
              </w:rPr>
              <w:t>mt</w:t>
            </w:r>
            <w:proofErr w:type="spellEnd"/>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6981" w:rsidRPr="007428EA" w:rsidRDefault="006B6981" w:rsidP="003938A2">
            <w:pPr>
              <w:jc w:val="right"/>
              <w:rPr>
                <w:color w:val="000000"/>
                <w:sz w:val="20"/>
                <w:szCs w:val="20"/>
                <w:lang w:val="en-US" w:eastAsia="zh-CN"/>
              </w:rPr>
            </w:pPr>
            <w:r>
              <w:rPr>
                <w:color w:val="000000"/>
                <w:sz w:val="20"/>
                <w:szCs w:val="20"/>
                <w:lang w:val="en-CA"/>
              </w:rPr>
              <w:t>10.88</w:t>
            </w:r>
          </w:p>
        </w:tc>
      </w:tr>
      <w:tr w:rsidR="006B6981" w:rsidRPr="007428EA" w:rsidTr="003938A2">
        <w:trPr>
          <w:trHeight w:val="50"/>
        </w:trPr>
        <w:tc>
          <w:tcPr>
            <w:tcW w:w="2500" w:type="pct"/>
            <w:vMerge/>
            <w:tcBorders>
              <w:top w:val="single" w:sz="4" w:space="0" w:color="auto"/>
              <w:left w:val="single" w:sz="4" w:space="0" w:color="auto"/>
              <w:bottom w:val="single" w:sz="4" w:space="0" w:color="auto"/>
              <w:right w:val="single" w:sz="4" w:space="0" w:color="auto"/>
            </w:tcBorders>
            <w:vAlign w:val="center"/>
            <w:hideMark/>
          </w:tcPr>
          <w:p w:rsidR="006B6981" w:rsidRPr="007428EA" w:rsidRDefault="006B6981" w:rsidP="003938A2">
            <w:pPr>
              <w:jc w:val="left"/>
              <w:rPr>
                <w:color w:val="000000"/>
                <w:sz w:val="20"/>
                <w:szCs w:val="20"/>
                <w:lang w:val="en-US" w:eastAsia="zh-CN"/>
              </w:rPr>
            </w:pPr>
          </w:p>
        </w:tc>
        <w:tc>
          <w:tcPr>
            <w:tcW w:w="1348" w:type="pct"/>
            <w:tcBorders>
              <w:top w:val="nil"/>
              <w:left w:val="nil"/>
              <w:bottom w:val="single" w:sz="4" w:space="0" w:color="auto"/>
              <w:right w:val="single" w:sz="4" w:space="0" w:color="auto"/>
            </w:tcBorders>
            <w:shd w:val="clear" w:color="auto" w:fill="auto"/>
            <w:vAlign w:val="center"/>
            <w:hideMark/>
          </w:tcPr>
          <w:p w:rsidR="006B6981" w:rsidRPr="007428EA" w:rsidRDefault="006B6981" w:rsidP="003938A2">
            <w:pPr>
              <w:jc w:val="left"/>
              <w:rPr>
                <w:color w:val="000000"/>
                <w:sz w:val="20"/>
                <w:szCs w:val="20"/>
                <w:lang w:val="en-US" w:eastAsia="zh-CN"/>
              </w:rPr>
            </w:pPr>
            <w:r w:rsidRPr="007428EA">
              <w:rPr>
                <w:color w:val="000000"/>
                <w:sz w:val="20"/>
                <w:szCs w:val="20"/>
                <w:lang w:val="en-CA" w:eastAsia="zh-CN"/>
              </w:rPr>
              <w:t>CO</w:t>
            </w:r>
            <w:r w:rsidRPr="007428EA">
              <w:rPr>
                <w:color w:val="000000"/>
                <w:sz w:val="20"/>
                <w:szCs w:val="20"/>
                <w:vertAlign w:val="subscript"/>
                <w:lang w:val="en-CA" w:eastAsia="zh-CN"/>
              </w:rPr>
              <w:t>2</w:t>
            </w:r>
            <w:r>
              <w:rPr>
                <w:color w:val="000000"/>
                <w:sz w:val="20"/>
                <w:szCs w:val="20"/>
                <w:vertAlign w:val="subscript"/>
                <w:lang w:val="en-CA" w:eastAsia="zh-CN"/>
              </w:rPr>
              <w:t xml:space="preserve"> </w:t>
            </w:r>
            <w:proofErr w:type="spellStart"/>
            <w:r w:rsidRPr="007428EA">
              <w:rPr>
                <w:color w:val="000000"/>
                <w:sz w:val="20"/>
                <w:szCs w:val="20"/>
                <w:lang w:val="en-CA" w:eastAsia="zh-CN"/>
              </w:rPr>
              <w:t>eq</w:t>
            </w:r>
            <w:proofErr w:type="spellEnd"/>
          </w:p>
        </w:tc>
        <w:tc>
          <w:tcPr>
            <w:tcW w:w="1152" w:type="pct"/>
            <w:tcBorders>
              <w:top w:val="nil"/>
              <w:left w:val="single" w:sz="4" w:space="0" w:color="auto"/>
              <w:bottom w:val="single" w:sz="4" w:space="0" w:color="auto"/>
              <w:right w:val="single" w:sz="4" w:space="0" w:color="auto"/>
            </w:tcBorders>
            <w:shd w:val="clear" w:color="auto" w:fill="auto"/>
            <w:vAlign w:val="center"/>
            <w:hideMark/>
          </w:tcPr>
          <w:p w:rsidR="006B6981" w:rsidRPr="007428EA" w:rsidRDefault="006B6981" w:rsidP="003938A2">
            <w:pPr>
              <w:jc w:val="right"/>
              <w:rPr>
                <w:color w:val="000000"/>
                <w:sz w:val="20"/>
                <w:szCs w:val="20"/>
                <w:lang w:val="en-US" w:eastAsia="zh-CN"/>
              </w:rPr>
            </w:pPr>
            <w:r>
              <w:rPr>
                <w:color w:val="000000"/>
                <w:sz w:val="20"/>
                <w:szCs w:val="20"/>
                <w:lang w:val="en-CA"/>
              </w:rPr>
              <w:t>30.45</w:t>
            </w:r>
          </w:p>
        </w:tc>
      </w:tr>
      <w:tr w:rsidR="006B6981" w:rsidRPr="007428EA" w:rsidTr="003938A2">
        <w:trPr>
          <w:trHeight w:val="50"/>
        </w:trPr>
        <w:tc>
          <w:tcPr>
            <w:tcW w:w="3848" w:type="pct"/>
            <w:gridSpan w:val="2"/>
            <w:tcBorders>
              <w:top w:val="single" w:sz="4" w:space="0" w:color="auto"/>
              <w:left w:val="single" w:sz="4" w:space="0" w:color="auto"/>
              <w:bottom w:val="single" w:sz="4" w:space="0" w:color="auto"/>
              <w:right w:val="nil"/>
            </w:tcBorders>
            <w:shd w:val="clear" w:color="auto" w:fill="auto"/>
            <w:vAlign w:val="center"/>
            <w:hideMark/>
          </w:tcPr>
          <w:p w:rsidR="006B6981" w:rsidRPr="007428EA" w:rsidRDefault="006B6981" w:rsidP="003938A2">
            <w:pPr>
              <w:jc w:val="left"/>
              <w:rPr>
                <w:color w:val="000000"/>
                <w:sz w:val="20"/>
                <w:szCs w:val="20"/>
                <w:lang w:val="en-US" w:eastAsia="zh-CN"/>
              </w:rPr>
            </w:pPr>
            <w:r w:rsidRPr="007428EA">
              <w:rPr>
                <w:color w:val="000000"/>
                <w:sz w:val="20"/>
                <w:szCs w:val="20"/>
                <w:lang w:val="en-CA" w:eastAsia="zh-CN"/>
              </w:rPr>
              <w:t>Project duration (months):</w:t>
            </w:r>
          </w:p>
        </w:tc>
        <w:tc>
          <w:tcPr>
            <w:tcW w:w="1152" w:type="pct"/>
            <w:tcBorders>
              <w:top w:val="nil"/>
              <w:left w:val="nil"/>
              <w:bottom w:val="single" w:sz="4" w:space="0" w:color="auto"/>
              <w:right w:val="single" w:sz="4" w:space="0" w:color="auto"/>
            </w:tcBorders>
            <w:shd w:val="clear" w:color="auto" w:fill="auto"/>
            <w:vAlign w:val="center"/>
            <w:hideMark/>
          </w:tcPr>
          <w:p w:rsidR="006B6981" w:rsidRPr="007428EA" w:rsidRDefault="006B6981" w:rsidP="003938A2">
            <w:pPr>
              <w:jc w:val="right"/>
              <w:rPr>
                <w:color w:val="000000"/>
                <w:sz w:val="20"/>
                <w:szCs w:val="20"/>
                <w:lang w:val="en-US" w:eastAsia="zh-CN"/>
              </w:rPr>
            </w:pPr>
            <w:r>
              <w:rPr>
                <w:color w:val="000000"/>
                <w:sz w:val="20"/>
                <w:szCs w:val="20"/>
                <w:lang w:val="en-US" w:eastAsia="zh-CN"/>
              </w:rPr>
              <w:t>24 months</w:t>
            </w:r>
          </w:p>
        </w:tc>
      </w:tr>
      <w:tr w:rsidR="006B6981" w:rsidRPr="007428EA" w:rsidTr="003938A2">
        <w:trPr>
          <w:trHeight w:val="50"/>
        </w:trPr>
        <w:tc>
          <w:tcPr>
            <w:tcW w:w="3848"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B6981" w:rsidRPr="007428EA" w:rsidRDefault="006B6981" w:rsidP="003938A2">
            <w:pPr>
              <w:jc w:val="left"/>
              <w:rPr>
                <w:color w:val="000000"/>
                <w:sz w:val="20"/>
                <w:szCs w:val="20"/>
                <w:lang w:val="en-US" w:eastAsia="zh-CN"/>
              </w:rPr>
            </w:pPr>
            <w:r w:rsidRPr="007428EA">
              <w:rPr>
                <w:color w:val="000000"/>
                <w:sz w:val="20"/>
                <w:szCs w:val="20"/>
                <w:lang w:val="en-CA" w:eastAsia="zh-CN"/>
              </w:rPr>
              <w:t>Initial amount requested (</w:t>
            </w:r>
            <w:r>
              <w:rPr>
                <w:color w:val="000000"/>
                <w:sz w:val="20"/>
                <w:szCs w:val="20"/>
                <w:lang w:val="en-CA" w:eastAsia="zh-CN"/>
              </w:rPr>
              <w:t>US $</w:t>
            </w:r>
            <w:r w:rsidRPr="007428EA">
              <w:rPr>
                <w:color w:val="000000"/>
                <w:sz w:val="20"/>
                <w:szCs w:val="20"/>
                <w:lang w:val="en-CA" w:eastAsia="zh-CN"/>
              </w:rPr>
              <w:t>):</w:t>
            </w:r>
          </w:p>
        </w:tc>
        <w:tc>
          <w:tcPr>
            <w:tcW w:w="1152" w:type="pct"/>
            <w:tcBorders>
              <w:top w:val="single" w:sz="4" w:space="0" w:color="auto"/>
              <w:left w:val="single" w:sz="4" w:space="0" w:color="auto"/>
              <w:bottom w:val="single" w:sz="4" w:space="0" w:color="auto"/>
              <w:right w:val="single" w:sz="4" w:space="0" w:color="auto"/>
            </w:tcBorders>
            <w:shd w:val="clear" w:color="auto" w:fill="auto"/>
            <w:hideMark/>
          </w:tcPr>
          <w:p w:rsidR="006B6981" w:rsidRPr="007428EA" w:rsidRDefault="006B6981" w:rsidP="003938A2">
            <w:pPr>
              <w:jc w:val="right"/>
              <w:rPr>
                <w:color w:val="000000"/>
                <w:sz w:val="20"/>
                <w:szCs w:val="20"/>
                <w:lang w:val="en-US" w:eastAsia="zh-CN"/>
              </w:rPr>
            </w:pPr>
            <w:r>
              <w:rPr>
                <w:color w:val="000000"/>
                <w:sz w:val="20"/>
                <w:szCs w:val="20"/>
              </w:rPr>
              <w:t>1,338,689</w:t>
            </w:r>
          </w:p>
        </w:tc>
      </w:tr>
      <w:tr w:rsidR="006B6981" w:rsidRPr="007428EA" w:rsidTr="003938A2">
        <w:trPr>
          <w:trHeight w:val="50"/>
        </w:trPr>
        <w:tc>
          <w:tcPr>
            <w:tcW w:w="3848"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B6981" w:rsidRPr="007428EA" w:rsidRDefault="006B6981" w:rsidP="003938A2">
            <w:pPr>
              <w:jc w:val="left"/>
              <w:rPr>
                <w:color w:val="000000"/>
                <w:sz w:val="20"/>
                <w:szCs w:val="20"/>
                <w:lang w:val="en-US" w:eastAsia="zh-CN"/>
              </w:rPr>
            </w:pPr>
            <w:r w:rsidRPr="007428EA">
              <w:rPr>
                <w:color w:val="000000"/>
                <w:sz w:val="20"/>
                <w:szCs w:val="20"/>
                <w:lang w:val="en-CA" w:eastAsia="zh-CN"/>
              </w:rPr>
              <w:t>Final project costs (</w:t>
            </w:r>
            <w:r>
              <w:rPr>
                <w:color w:val="000000"/>
                <w:sz w:val="20"/>
                <w:szCs w:val="20"/>
                <w:lang w:val="en-CA" w:eastAsia="zh-CN"/>
              </w:rPr>
              <w:t>US $</w:t>
            </w:r>
            <w:r w:rsidRPr="007428EA">
              <w:rPr>
                <w:color w:val="000000"/>
                <w:sz w:val="20"/>
                <w:szCs w:val="20"/>
                <w:lang w:val="en-CA" w:eastAsia="zh-CN"/>
              </w:rPr>
              <w:t>):</w:t>
            </w:r>
          </w:p>
        </w:tc>
        <w:tc>
          <w:tcPr>
            <w:tcW w:w="1152" w:type="pct"/>
            <w:tcBorders>
              <w:top w:val="nil"/>
              <w:left w:val="single" w:sz="4" w:space="0" w:color="auto"/>
              <w:bottom w:val="single" w:sz="4" w:space="0" w:color="auto"/>
              <w:right w:val="single" w:sz="4" w:space="0" w:color="auto"/>
            </w:tcBorders>
            <w:shd w:val="clear" w:color="auto" w:fill="auto"/>
            <w:hideMark/>
          </w:tcPr>
          <w:p w:rsidR="006B6981" w:rsidRPr="007428EA" w:rsidRDefault="006B6981" w:rsidP="006749ED">
            <w:pPr>
              <w:jc w:val="right"/>
              <w:rPr>
                <w:color w:val="000000"/>
                <w:sz w:val="20"/>
                <w:szCs w:val="20"/>
                <w:lang w:val="en-US" w:eastAsia="zh-CN"/>
              </w:rPr>
            </w:pPr>
          </w:p>
        </w:tc>
      </w:tr>
      <w:tr w:rsidR="006B6981" w:rsidRPr="007428EA" w:rsidTr="003938A2">
        <w:trPr>
          <w:trHeight w:val="50"/>
        </w:trPr>
        <w:tc>
          <w:tcPr>
            <w:tcW w:w="3848"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B6981" w:rsidRPr="007428EA" w:rsidRDefault="006B6981" w:rsidP="003938A2">
            <w:pPr>
              <w:jc w:val="left"/>
              <w:rPr>
                <w:color w:val="000000"/>
                <w:sz w:val="20"/>
                <w:szCs w:val="20"/>
                <w:lang w:val="en-US" w:eastAsia="zh-CN"/>
              </w:rPr>
            </w:pPr>
            <w:r>
              <w:rPr>
                <w:color w:val="000000"/>
                <w:sz w:val="20"/>
                <w:szCs w:val="20"/>
                <w:lang w:val="en-CA" w:eastAsia="zh-CN"/>
              </w:rPr>
              <w:tab/>
            </w:r>
            <w:r w:rsidRPr="007428EA">
              <w:rPr>
                <w:color w:val="000000"/>
                <w:sz w:val="20"/>
                <w:szCs w:val="20"/>
                <w:lang w:val="en-CA" w:eastAsia="zh-CN"/>
              </w:rPr>
              <w:t>Incremental capital costs:</w:t>
            </w:r>
          </w:p>
        </w:tc>
        <w:tc>
          <w:tcPr>
            <w:tcW w:w="1152" w:type="pct"/>
            <w:tcBorders>
              <w:top w:val="nil"/>
              <w:left w:val="single" w:sz="4" w:space="0" w:color="auto"/>
              <w:bottom w:val="single" w:sz="4" w:space="0" w:color="auto"/>
              <w:right w:val="single" w:sz="4" w:space="0" w:color="auto"/>
            </w:tcBorders>
            <w:shd w:val="clear" w:color="auto" w:fill="auto"/>
            <w:hideMark/>
          </w:tcPr>
          <w:p w:rsidR="006B6981" w:rsidRPr="007428EA" w:rsidRDefault="00571910" w:rsidP="006749ED">
            <w:pPr>
              <w:jc w:val="right"/>
              <w:rPr>
                <w:color w:val="000000"/>
                <w:sz w:val="20"/>
                <w:szCs w:val="20"/>
                <w:lang w:val="en-US" w:eastAsia="zh-CN"/>
              </w:rPr>
            </w:pPr>
            <w:r>
              <w:rPr>
                <w:color w:val="000000"/>
                <w:sz w:val="20"/>
                <w:szCs w:val="20"/>
              </w:rPr>
              <w:t>514,660</w:t>
            </w:r>
          </w:p>
        </w:tc>
      </w:tr>
      <w:tr w:rsidR="006B6981" w:rsidRPr="007428EA" w:rsidTr="003938A2">
        <w:trPr>
          <w:trHeight w:val="50"/>
        </w:trPr>
        <w:tc>
          <w:tcPr>
            <w:tcW w:w="3848"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B6981" w:rsidRPr="007428EA" w:rsidRDefault="006B6981" w:rsidP="003938A2">
            <w:pPr>
              <w:jc w:val="left"/>
              <w:rPr>
                <w:color w:val="000000"/>
                <w:sz w:val="20"/>
                <w:szCs w:val="20"/>
                <w:lang w:val="en-US" w:eastAsia="zh-CN"/>
              </w:rPr>
            </w:pPr>
            <w:r>
              <w:rPr>
                <w:color w:val="000000"/>
                <w:sz w:val="20"/>
                <w:szCs w:val="20"/>
                <w:lang w:val="en-CA" w:eastAsia="zh-CN"/>
              </w:rPr>
              <w:tab/>
            </w:r>
            <w:r w:rsidRPr="007428EA">
              <w:rPr>
                <w:color w:val="000000"/>
                <w:sz w:val="20"/>
                <w:szCs w:val="20"/>
                <w:lang w:val="en-CA" w:eastAsia="zh-CN"/>
              </w:rPr>
              <w:t>Contingency (10 %</w:t>
            </w:r>
            <w:r w:rsidR="006749ED">
              <w:rPr>
                <w:color w:val="000000"/>
                <w:sz w:val="20"/>
                <w:szCs w:val="20"/>
                <w:lang w:val="en-CA" w:eastAsia="zh-CN"/>
              </w:rPr>
              <w:t xml:space="preserve"> on equipment and trial</w:t>
            </w:r>
            <w:r w:rsidRPr="007428EA">
              <w:rPr>
                <w:color w:val="000000"/>
                <w:sz w:val="20"/>
                <w:szCs w:val="20"/>
                <w:lang w:val="en-CA" w:eastAsia="zh-CN"/>
              </w:rPr>
              <w:t>):</w:t>
            </w:r>
          </w:p>
        </w:tc>
        <w:tc>
          <w:tcPr>
            <w:tcW w:w="1152" w:type="pct"/>
            <w:tcBorders>
              <w:top w:val="nil"/>
              <w:left w:val="single" w:sz="4" w:space="0" w:color="auto"/>
              <w:bottom w:val="single" w:sz="4" w:space="0" w:color="auto"/>
              <w:right w:val="single" w:sz="4" w:space="0" w:color="auto"/>
            </w:tcBorders>
            <w:shd w:val="clear" w:color="auto" w:fill="auto"/>
            <w:hideMark/>
          </w:tcPr>
          <w:p w:rsidR="006B6981" w:rsidRPr="007428EA" w:rsidRDefault="00B940FC" w:rsidP="00E1595F">
            <w:pPr>
              <w:jc w:val="right"/>
              <w:rPr>
                <w:color w:val="000000"/>
                <w:sz w:val="20"/>
                <w:szCs w:val="20"/>
                <w:lang w:val="en-US" w:eastAsia="zh-CN"/>
              </w:rPr>
            </w:pPr>
            <w:r>
              <w:rPr>
                <w:color w:val="000000"/>
                <w:sz w:val="20"/>
                <w:szCs w:val="20"/>
              </w:rPr>
              <w:t>48,8</w:t>
            </w:r>
            <w:r w:rsidR="00E1595F">
              <w:rPr>
                <w:color w:val="000000"/>
                <w:sz w:val="20"/>
                <w:szCs w:val="20"/>
              </w:rPr>
              <w:t>6</w:t>
            </w:r>
            <w:bookmarkStart w:id="0" w:name="_GoBack"/>
            <w:bookmarkEnd w:id="0"/>
            <w:r>
              <w:rPr>
                <w:color w:val="000000"/>
                <w:sz w:val="20"/>
                <w:szCs w:val="20"/>
              </w:rPr>
              <w:t>6</w:t>
            </w:r>
          </w:p>
        </w:tc>
      </w:tr>
      <w:tr w:rsidR="006B6981" w:rsidRPr="007428EA" w:rsidTr="003938A2">
        <w:trPr>
          <w:trHeight w:val="50"/>
        </w:trPr>
        <w:tc>
          <w:tcPr>
            <w:tcW w:w="3848"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B6981" w:rsidRPr="007428EA" w:rsidRDefault="006B6981" w:rsidP="003938A2">
            <w:pPr>
              <w:jc w:val="left"/>
              <w:rPr>
                <w:color w:val="000000"/>
                <w:sz w:val="20"/>
                <w:szCs w:val="20"/>
                <w:lang w:val="en-US" w:eastAsia="zh-CN"/>
              </w:rPr>
            </w:pPr>
            <w:r>
              <w:rPr>
                <w:color w:val="000000"/>
                <w:sz w:val="20"/>
                <w:szCs w:val="20"/>
                <w:lang w:val="en-CA" w:eastAsia="zh-CN"/>
              </w:rPr>
              <w:tab/>
            </w:r>
            <w:r w:rsidRPr="007428EA">
              <w:rPr>
                <w:color w:val="000000"/>
                <w:sz w:val="20"/>
                <w:szCs w:val="20"/>
                <w:lang w:val="en-CA" w:eastAsia="zh-CN"/>
              </w:rPr>
              <w:t>Incremental operating costs:</w:t>
            </w:r>
          </w:p>
        </w:tc>
        <w:tc>
          <w:tcPr>
            <w:tcW w:w="1152" w:type="pct"/>
            <w:tcBorders>
              <w:top w:val="nil"/>
              <w:left w:val="single" w:sz="4" w:space="0" w:color="auto"/>
              <w:bottom w:val="single" w:sz="4" w:space="0" w:color="auto"/>
              <w:right w:val="single" w:sz="4" w:space="0" w:color="auto"/>
            </w:tcBorders>
            <w:shd w:val="clear" w:color="auto" w:fill="auto"/>
            <w:hideMark/>
          </w:tcPr>
          <w:p w:rsidR="006B6981" w:rsidRPr="007428EA" w:rsidRDefault="006B6981" w:rsidP="003938A2">
            <w:pPr>
              <w:jc w:val="right"/>
              <w:rPr>
                <w:color w:val="000000"/>
                <w:sz w:val="20"/>
                <w:szCs w:val="20"/>
                <w:lang w:val="en-US" w:eastAsia="zh-CN"/>
              </w:rPr>
            </w:pPr>
            <w:r>
              <w:rPr>
                <w:color w:val="000000"/>
                <w:sz w:val="20"/>
                <w:szCs w:val="20"/>
              </w:rPr>
              <w:t>0</w:t>
            </w:r>
          </w:p>
        </w:tc>
      </w:tr>
      <w:tr w:rsidR="006B6981" w:rsidRPr="007428EA" w:rsidTr="003938A2">
        <w:trPr>
          <w:trHeight w:val="50"/>
        </w:trPr>
        <w:tc>
          <w:tcPr>
            <w:tcW w:w="3848"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B6981" w:rsidRPr="007428EA" w:rsidRDefault="006B6981" w:rsidP="003938A2">
            <w:pPr>
              <w:jc w:val="left"/>
              <w:rPr>
                <w:color w:val="000000"/>
                <w:sz w:val="20"/>
                <w:szCs w:val="20"/>
                <w:lang w:val="en-US" w:eastAsia="zh-CN"/>
              </w:rPr>
            </w:pPr>
            <w:r>
              <w:rPr>
                <w:color w:val="000000"/>
                <w:sz w:val="20"/>
                <w:szCs w:val="20"/>
                <w:lang w:val="en-CA" w:eastAsia="zh-CN"/>
              </w:rPr>
              <w:tab/>
            </w:r>
            <w:r w:rsidRPr="007428EA">
              <w:rPr>
                <w:color w:val="000000"/>
                <w:sz w:val="20"/>
                <w:szCs w:val="20"/>
                <w:lang w:val="en-CA" w:eastAsia="zh-CN"/>
              </w:rPr>
              <w:t>Total project cost</w:t>
            </w:r>
            <w:r>
              <w:rPr>
                <w:color w:val="000000"/>
                <w:sz w:val="20"/>
                <w:szCs w:val="20"/>
                <w:lang w:val="en-CA" w:eastAsia="zh-CN"/>
              </w:rPr>
              <w:t>s</w:t>
            </w:r>
            <w:r w:rsidRPr="007428EA">
              <w:rPr>
                <w:color w:val="000000"/>
                <w:sz w:val="20"/>
                <w:szCs w:val="20"/>
                <w:lang w:val="en-CA" w:eastAsia="zh-CN"/>
              </w:rPr>
              <w:t xml:space="preserve">: </w:t>
            </w:r>
          </w:p>
        </w:tc>
        <w:tc>
          <w:tcPr>
            <w:tcW w:w="1152" w:type="pct"/>
            <w:tcBorders>
              <w:top w:val="nil"/>
              <w:left w:val="single" w:sz="4" w:space="0" w:color="auto"/>
              <w:bottom w:val="single" w:sz="4" w:space="0" w:color="auto"/>
              <w:right w:val="single" w:sz="4" w:space="0" w:color="auto"/>
            </w:tcBorders>
            <w:shd w:val="clear" w:color="auto" w:fill="auto"/>
            <w:hideMark/>
          </w:tcPr>
          <w:p w:rsidR="006B6981" w:rsidRPr="007428EA" w:rsidRDefault="00571910" w:rsidP="006749ED">
            <w:pPr>
              <w:jc w:val="right"/>
              <w:rPr>
                <w:color w:val="000000"/>
                <w:sz w:val="20"/>
                <w:szCs w:val="20"/>
                <w:lang w:val="en-US" w:eastAsia="zh-CN"/>
              </w:rPr>
            </w:pPr>
            <w:r>
              <w:rPr>
                <w:color w:val="000000"/>
                <w:sz w:val="20"/>
                <w:szCs w:val="20"/>
              </w:rPr>
              <w:t>563,526</w:t>
            </w:r>
          </w:p>
        </w:tc>
      </w:tr>
      <w:tr w:rsidR="006B6981" w:rsidRPr="007428EA" w:rsidTr="003938A2">
        <w:trPr>
          <w:trHeight w:val="50"/>
        </w:trPr>
        <w:tc>
          <w:tcPr>
            <w:tcW w:w="3848"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B6981" w:rsidRPr="007428EA" w:rsidRDefault="006B6981" w:rsidP="003938A2">
            <w:pPr>
              <w:jc w:val="left"/>
              <w:rPr>
                <w:color w:val="000000"/>
                <w:sz w:val="20"/>
                <w:szCs w:val="20"/>
                <w:lang w:val="en-US" w:eastAsia="zh-CN"/>
              </w:rPr>
            </w:pPr>
            <w:r w:rsidRPr="007428EA">
              <w:rPr>
                <w:color w:val="000000"/>
                <w:sz w:val="20"/>
                <w:szCs w:val="20"/>
                <w:lang w:val="en-CA" w:eastAsia="zh-CN"/>
              </w:rPr>
              <w:t>Local ownership (%):</w:t>
            </w:r>
          </w:p>
        </w:tc>
        <w:tc>
          <w:tcPr>
            <w:tcW w:w="1152" w:type="pct"/>
            <w:tcBorders>
              <w:top w:val="nil"/>
              <w:left w:val="single" w:sz="4" w:space="0" w:color="auto"/>
              <w:bottom w:val="single" w:sz="4" w:space="0" w:color="auto"/>
              <w:right w:val="single" w:sz="4" w:space="0" w:color="auto"/>
            </w:tcBorders>
            <w:shd w:val="clear" w:color="auto" w:fill="auto"/>
            <w:hideMark/>
          </w:tcPr>
          <w:p w:rsidR="006B6981" w:rsidRPr="007428EA" w:rsidRDefault="006B6981" w:rsidP="003938A2">
            <w:pPr>
              <w:jc w:val="right"/>
              <w:rPr>
                <w:color w:val="000000"/>
                <w:sz w:val="20"/>
                <w:szCs w:val="20"/>
                <w:lang w:val="en-US" w:eastAsia="zh-CN"/>
              </w:rPr>
            </w:pPr>
            <w:r>
              <w:rPr>
                <w:color w:val="000000"/>
                <w:sz w:val="20"/>
                <w:szCs w:val="20"/>
              </w:rPr>
              <w:t>100</w:t>
            </w:r>
          </w:p>
        </w:tc>
      </w:tr>
      <w:tr w:rsidR="006B6981" w:rsidRPr="007428EA" w:rsidTr="003938A2">
        <w:trPr>
          <w:trHeight w:val="50"/>
        </w:trPr>
        <w:tc>
          <w:tcPr>
            <w:tcW w:w="3848"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B6981" w:rsidRPr="007428EA" w:rsidRDefault="006B6981" w:rsidP="003938A2">
            <w:pPr>
              <w:jc w:val="left"/>
              <w:rPr>
                <w:color w:val="000000"/>
                <w:sz w:val="20"/>
                <w:szCs w:val="20"/>
                <w:lang w:val="en-US" w:eastAsia="zh-CN"/>
              </w:rPr>
            </w:pPr>
            <w:r w:rsidRPr="007428EA">
              <w:rPr>
                <w:color w:val="000000"/>
                <w:sz w:val="20"/>
                <w:szCs w:val="20"/>
                <w:lang w:val="en-CA" w:eastAsia="zh-CN"/>
              </w:rPr>
              <w:t>Export component (%):</w:t>
            </w:r>
          </w:p>
        </w:tc>
        <w:tc>
          <w:tcPr>
            <w:tcW w:w="1152" w:type="pct"/>
            <w:tcBorders>
              <w:top w:val="nil"/>
              <w:left w:val="single" w:sz="4" w:space="0" w:color="auto"/>
              <w:bottom w:val="single" w:sz="4" w:space="0" w:color="auto"/>
              <w:right w:val="single" w:sz="4" w:space="0" w:color="auto"/>
            </w:tcBorders>
            <w:shd w:val="clear" w:color="auto" w:fill="auto"/>
            <w:hideMark/>
          </w:tcPr>
          <w:p w:rsidR="006B6981" w:rsidRPr="007428EA" w:rsidRDefault="006B6981" w:rsidP="003938A2">
            <w:pPr>
              <w:jc w:val="right"/>
              <w:rPr>
                <w:color w:val="000000"/>
                <w:sz w:val="20"/>
                <w:szCs w:val="20"/>
                <w:lang w:val="en-US" w:eastAsia="zh-CN"/>
              </w:rPr>
            </w:pPr>
            <w:r>
              <w:rPr>
                <w:color w:val="000000"/>
                <w:sz w:val="20"/>
                <w:szCs w:val="20"/>
              </w:rPr>
              <w:t>0</w:t>
            </w:r>
          </w:p>
        </w:tc>
      </w:tr>
      <w:tr w:rsidR="006B6981" w:rsidRPr="007428EA" w:rsidTr="003938A2">
        <w:trPr>
          <w:trHeight w:val="50"/>
        </w:trPr>
        <w:tc>
          <w:tcPr>
            <w:tcW w:w="3848"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B6981" w:rsidRPr="007428EA" w:rsidRDefault="006B6981" w:rsidP="003938A2">
            <w:pPr>
              <w:jc w:val="left"/>
              <w:rPr>
                <w:color w:val="000000"/>
                <w:sz w:val="20"/>
                <w:szCs w:val="20"/>
                <w:lang w:val="en-US" w:eastAsia="zh-CN"/>
              </w:rPr>
            </w:pPr>
            <w:r w:rsidRPr="007428EA">
              <w:rPr>
                <w:color w:val="000000"/>
                <w:sz w:val="20"/>
                <w:szCs w:val="20"/>
                <w:lang w:val="en-CA" w:eastAsia="zh-CN"/>
              </w:rPr>
              <w:t>Requested grant (</w:t>
            </w:r>
            <w:r>
              <w:rPr>
                <w:color w:val="000000"/>
                <w:sz w:val="20"/>
                <w:szCs w:val="20"/>
                <w:lang w:val="en-CA" w:eastAsia="zh-CN"/>
              </w:rPr>
              <w:t>US $</w:t>
            </w:r>
            <w:r w:rsidRPr="007428EA">
              <w:rPr>
                <w:color w:val="000000"/>
                <w:sz w:val="20"/>
                <w:szCs w:val="20"/>
                <w:lang w:val="en-CA" w:eastAsia="zh-CN"/>
              </w:rPr>
              <w:t>):</w:t>
            </w:r>
          </w:p>
        </w:tc>
        <w:tc>
          <w:tcPr>
            <w:tcW w:w="1152" w:type="pct"/>
            <w:tcBorders>
              <w:top w:val="nil"/>
              <w:left w:val="single" w:sz="4" w:space="0" w:color="auto"/>
              <w:bottom w:val="single" w:sz="4" w:space="0" w:color="auto"/>
              <w:right w:val="single" w:sz="4" w:space="0" w:color="auto"/>
            </w:tcBorders>
            <w:shd w:val="clear" w:color="auto" w:fill="auto"/>
            <w:hideMark/>
          </w:tcPr>
          <w:p w:rsidR="006B6981" w:rsidRPr="007428EA" w:rsidRDefault="006B6981" w:rsidP="006749ED">
            <w:pPr>
              <w:jc w:val="right"/>
              <w:rPr>
                <w:color w:val="000000"/>
                <w:sz w:val="20"/>
                <w:szCs w:val="20"/>
                <w:lang w:val="en-US" w:eastAsia="zh-CN"/>
              </w:rPr>
            </w:pPr>
            <w:r>
              <w:rPr>
                <w:color w:val="000000"/>
                <w:sz w:val="20"/>
                <w:szCs w:val="20"/>
              </w:rPr>
              <w:t>563,5</w:t>
            </w:r>
            <w:r w:rsidR="006749ED">
              <w:rPr>
                <w:color w:val="000000"/>
                <w:sz w:val="20"/>
                <w:szCs w:val="20"/>
              </w:rPr>
              <w:t>2</w:t>
            </w:r>
            <w:r>
              <w:rPr>
                <w:color w:val="000000"/>
                <w:sz w:val="20"/>
                <w:szCs w:val="20"/>
              </w:rPr>
              <w:t>6</w:t>
            </w:r>
          </w:p>
        </w:tc>
      </w:tr>
      <w:tr w:rsidR="006B6981" w:rsidRPr="007428EA" w:rsidTr="003938A2">
        <w:trPr>
          <w:trHeight w:val="50"/>
        </w:trPr>
        <w:tc>
          <w:tcPr>
            <w:tcW w:w="25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981" w:rsidRPr="007428EA" w:rsidRDefault="006B6981" w:rsidP="003938A2">
            <w:pPr>
              <w:jc w:val="left"/>
              <w:rPr>
                <w:color w:val="000000"/>
                <w:sz w:val="20"/>
                <w:szCs w:val="20"/>
                <w:lang w:val="en-US" w:eastAsia="zh-CN"/>
              </w:rPr>
            </w:pPr>
            <w:r w:rsidRPr="007428EA">
              <w:rPr>
                <w:color w:val="000000"/>
                <w:sz w:val="20"/>
                <w:szCs w:val="20"/>
                <w:lang w:val="en-CA" w:eastAsia="zh-CN"/>
              </w:rPr>
              <w:t>Cost-effectiveness:</w:t>
            </w:r>
          </w:p>
        </w:tc>
        <w:tc>
          <w:tcPr>
            <w:tcW w:w="1348" w:type="pct"/>
            <w:tcBorders>
              <w:top w:val="nil"/>
              <w:left w:val="nil"/>
              <w:bottom w:val="single" w:sz="4" w:space="0" w:color="auto"/>
              <w:right w:val="single" w:sz="4" w:space="0" w:color="auto"/>
            </w:tcBorders>
            <w:shd w:val="clear" w:color="auto" w:fill="auto"/>
            <w:vAlign w:val="center"/>
            <w:hideMark/>
          </w:tcPr>
          <w:p w:rsidR="006B6981" w:rsidRPr="007428EA" w:rsidRDefault="006B6981" w:rsidP="003938A2">
            <w:pPr>
              <w:jc w:val="left"/>
              <w:rPr>
                <w:color w:val="000000"/>
                <w:sz w:val="18"/>
                <w:szCs w:val="18"/>
                <w:lang w:val="en-US" w:eastAsia="zh-CN"/>
              </w:rPr>
            </w:pPr>
            <w:r>
              <w:rPr>
                <w:rFonts w:eastAsia="Calibri"/>
                <w:color w:val="000000"/>
                <w:sz w:val="18"/>
                <w:szCs w:val="18"/>
                <w:lang w:val="en-CA" w:eastAsia="zh-CN"/>
              </w:rPr>
              <w:t>US $</w:t>
            </w:r>
            <w:r w:rsidRPr="007428EA">
              <w:rPr>
                <w:rFonts w:eastAsia="Calibri"/>
                <w:color w:val="000000"/>
                <w:sz w:val="18"/>
                <w:szCs w:val="18"/>
                <w:lang w:val="en-CA" w:eastAsia="zh-CN"/>
              </w:rPr>
              <w:t>/kg</w:t>
            </w:r>
          </w:p>
        </w:tc>
        <w:tc>
          <w:tcPr>
            <w:tcW w:w="1152" w:type="pct"/>
            <w:tcBorders>
              <w:top w:val="single" w:sz="4" w:space="0" w:color="auto"/>
              <w:left w:val="single" w:sz="4" w:space="0" w:color="auto"/>
              <w:bottom w:val="single" w:sz="4" w:space="0" w:color="auto"/>
              <w:right w:val="single" w:sz="4" w:space="0" w:color="auto"/>
            </w:tcBorders>
            <w:shd w:val="clear" w:color="auto" w:fill="auto"/>
            <w:hideMark/>
          </w:tcPr>
          <w:p w:rsidR="006B6981" w:rsidRPr="007428EA" w:rsidRDefault="006B6981" w:rsidP="006749ED">
            <w:pPr>
              <w:jc w:val="right"/>
              <w:rPr>
                <w:color w:val="000000"/>
                <w:sz w:val="20"/>
                <w:szCs w:val="20"/>
                <w:lang w:val="en-US" w:eastAsia="zh-CN"/>
              </w:rPr>
            </w:pPr>
            <w:r>
              <w:rPr>
                <w:color w:val="000000"/>
                <w:sz w:val="20"/>
                <w:szCs w:val="20"/>
                <w:lang w:val="en-CA"/>
              </w:rPr>
              <w:t>38.8</w:t>
            </w:r>
            <w:r w:rsidR="006749ED">
              <w:rPr>
                <w:color w:val="000000"/>
                <w:sz w:val="20"/>
                <w:szCs w:val="20"/>
                <w:lang w:val="en-CA"/>
              </w:rPr>
              <w:t>6</w:t>
            </w:r>
          </w:p>
        </w:tc>
      </w:tr>
      <w:tr w:rsidR="006B6981" w:rsidRPr="007428EA" w:rsidTr="003938A2">
        <w:trPr>
          <w:trHeight w:val="50"/>
        </w:trPr>
        <w:tc>
          <w:tcPr>
            <w:tcW w:w="2500" w:type="pct"/>
            <w:vMerge/>
            <w:tcBorders>
              <w:top w:val="single" w:sz="4" w:space="0" w:color="auto"/>
              <w:left w:val="single" w:sz="4" w:space="0" w:color="auto"/>
              <w:bottom w:val="single" w:sz="4" w:space="0" w:color="auto"/>
              <w:right w:val="single" w:sz="4" w:space="0" w:color="auto"/>
            </w:tcBorders>
            <w:vAlign w:val="center"/>
            <w:hideMark/>
          </w:tcPr>
          <w:p w:rsidR="006B6981" w:rsidRPr="007428EA" w:rsidRDefault="006B6981" w:rsidP="003938A2">
            <w:pPr>
              <w:jc w:val="left"/>
              <w:rPr>
                <w:color w:val="000000"/>
                <w:sz w:val="20"/>
                <w:szCs w:val="20"/>
                <w:lang w:val="en-US" w:eastAsia="zh-CN"/>
              </w:rPr>
            </w:pPr>
          </w:p>
        </w:tc>
        <w:tc>
          <w:tcPr>
            <w:tcW w:w="1348" w:type="pct"/>
            <w:tcBorders>
              <w:top w:val="nil"/>
              <w:left w:val="nil"/>
              <w:bottom w:val="single" w:sz="4" w:space="0" w:color="auto"/>
              <w:right w:val="single" w:sz="4" w:space="0" w:color="auto"/>
            </w:tcBorders>
            <w:shd w:val="clear" w:color="auto" w:fill="auto"/>
            <w:vAlign w:val="center"/>
            <w:hideMark/>
          </w:tcPr>
          <w:p w:rsidR="006B6981" w:rsidRPr="007428EA" w:rsidRDefault="006B6981" w:rsidP="003938A2">
            <w:pPr>
              <w:rPr>
                <w:color w:val="000000"/>
                <w:sz w:val="18"/>
                <w:szCs w:val="18"/>
                <w:lang w:val="en-US" w:eastAsia="zh-CN"/>
              </w:rPr>
            </w:pPr>
            <w:r>
              <w:rPr>
                <w:rFonts w:eastAsia="Calibri"/>
                <w:color w:val="000000"/>
                <w:sz w:val="18"/>
                <w:szCs w:val="18"/>
                <w:lang w:val="en-CA" w:eastAsia="zh-CN"/>
              </w:rPr>
              <w:t>US $</w:t>
            </w:r>
            <w:r w:rsidRPr="007428EA">
              <w:rPr>
                <w:rFonts w:eastAsia="Calibri"/>
                <w:color w:val="000000"/>
                <w:sz w:val="18"/>
                <w:szCs w:val="18"/>
                <w:lang w:val="en-CA" w:eastAsia="zh-CN"/>
              </w:rPr>
              <w:t>/CO</w:t>
            </w:r>
            <w:r w:rsidRPr="007428EA">
              <w:rPr>
                <w:rFonts w:eastAsia="Calibri"/>
                <w:color w:val="000000"/>
                <w:sz w:val="18"/>
                <w:szCs w:val="18"/>
                <w:vertAlign w:val="subscript"/>
                <w:lang w:val="en-CA" w:eastAsia="zh-CN"/>
              </w:rPr>
              <w:t>2</w:t>
            </w:r>
            <w:r>
              <w:rPr>
                <w:rFonts w:eastAsia="Calibri"/>
                <w:color w:val="000000"/>
                <w:sz w:val="18"/>
                <w:szCs w:val="18"/>
                <w:lang w:val="en-CA" w:eastAsia="zh-CN"/>
              </w:rPr>
              <w:t xml:space="preserve"> </w:t>
            </w:r>
            <w:proofErr w:type="spellStart"/>
            <w:r w:rsidRPr="007428EA">
              <w:rPr>
                <w:rFonts w:eastAsia="Calibri"/>
                <w:color w:val="000000"/>
                <w:sz w:val="18"/>
                <w:szCs w:val="18"/>
                <w:lang w:val="en-CA" w:eastAsia="zh-CN"/>
              </w:rPr>
              <w:t>eq</w:t>
            </w:r>
            <w:proofErr w:type="spellEnd"/>
          </w:p>
        </w:tc>
        <w:tc>
          <w:tcPr>
            <w:tcW w:w="1152" w:type="pct"/>
            <w:tcBorders>
              <w:top w:val="nil"/>
              <w:left w:val="single" w:sz="4" w:space="0" w:color="auto"/>
              <w:bottom w:val="single" w:sz="4" w:space="0" w:color="auto"/>
              <w:right w:val="single" w:sz="4" w:space="0" w:color="auto"/>
            </w:tcBorders>
            <w:shd w:val="clear" w:color="auto" w:fill="auto"/>
            <w:hideMark/>
          </w:tcPr>
          <w:p w:rsidR="006B6981" w:rsidRPr="007428EA" w:rsidRDefault="006B6981" w:rsidP="003938A2">
            <w:pPr>
              <w:jc w:val="right"/>
              <w:rPr>
                <w:color w:val="000000"/>
                <w:sz w:val="20"/>
                <w:szCs w:val="20"/>
                <w:lang w:val="en-US" w:eastAsia="zh-CN"/>
              </w:rPr>
            </w:pPr>
            <w:r>
              <w:rPr>
                <w:color w:val="000000"/>
                <w:sz w:val="20"/>
                <w:szCs w:val="20"/>
                <w:lang w:val="en-CA"/>
              </w:rPr>
              <w:t>27.18</w:t>
            </w:r>
          </w:p>
        </w:tc>
      </w:tr>
      <w:tr w:rsidR="006B6981" w:rsidRPr="007428EA" w:rsidTr="003938A2">
        <w:trPr>
          <w:trHeight w:val="50"/>
        </w:trPr>
        <w:tc>
          <w:tcPr>
            <w:tcW w:w="3848"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B6981" w:rsidRPr="007428EA" w:rsidRDefault="006B6981" w:rsidP="003938A2">
            <w:pPr>
              <w:jc w:val="left"/>
              <w:rPr>
                <w:color w:val="000000"/>
                <w:sz w:val="20"/>
                <w:szCs w:val="20"/>
                <w:lang w:val="en-US" w:eastAsia="zh-CN"/>
              </w:rPr>
            </w:pPr>
            <w:r w:rsidRPr="007428EA">
              <w:rPr>
                <w:color w:val="000000"/>
                <w:sz w:val="20"/>
                <w:szCs w:val="20"/>
                <w:lang w:val="en-CA" w:eastAsia="zh-CN"/>
              </w:rPr>
              <w:t>Implementing agency support costs (</w:t>
            </w:r>
            <w:r>
              <w:rPr>
                <w:color w:val="000000"/>
                <w:sz w:val="20"/>
                <w:szCs w:val="20"/>
                <w:lang w:val="en-CA" w:eastAsia="zh-CN"/>
              </w:rPr>
              <w:t>US $</w:t>
            </w:r>
            <w:r w:rsidRPr="007428EA">
              <w:rPr>
                <w:color w:val="000000"/>
                <w:sz w:val="20"/>
                <w:szCs w:val="20"/>
                <w:lang w:val="en-CA" w:eastAsia="zh-CN"/>
              </w:rPr>
              <w:t>):</w:t>
            </w:r>
          </w:p>
        </w:tc>
        <w:tc>
          <w:tcPr>
            <w:tcW w:w="1152" w:type="pct"/>
            <w:tcBorders>
              <w:top w:val="single" w:sz="4" w:space="0" w:color="auto"/>
              <w:left w:val="single" w:sz="4" w:space="0" w:color="auto"/>
              <w:bottom w:val="single" w:sz="4" w:space="0" w:color="auto"/>
              <w:right w:val="single" w:sz="4" w:space="0" w:color="auto"/>
            </w:tcBorders>
            <w:shd w:val="clear" w:color="auto" w:fill="auto"/>
            <w:hideMark/>
          </w:tcPr>
          <w:p w:rsidR="006B6981" w:rsidRPr="007428EA" w:rsidRDefault="00B940FC" w:rsidP="003938A2">
            <w:pPr>
              <w:jc w:val="right"/>
              <w:rPr>
                <w:color w:val="000000"/>
                <w:sz w:val="20"/>
                <w:szCs w:val="20"/>
                <w:lang w:val="en-US" w:eastAsia="zh-CN"/>
              </w:rPr>
            </w:pPr>
            <w:r>
              <w:rPr>
                <w:color w:val="000000"/>
                <w:sz w:val="20"/>
                <w:szCs w:val="20"/>
              </w:rPr>
              <w:t>39,447</w:t>
            </w:r>
          </w:p>
        </w:tc>
      </w:tr>
      <w:tr w:rsidR="006B6981" w:rsidRPr="007428EA" w:rsidTr="003938A2">
        <w:trPr>
          <w:trHeight w:val="50"/>
        </w:trPr>
        <w:tc>
          <w:tcPr>
            <w:tcW w:w="3848"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B6981" w:rsidRPr="007428EA" w:rsidRDefault="006B6981" w:rsidP="003938A2">
            <w:pPr>
              <w:jc w:val="left"/>
              <w:rPr>
                <w:color w:val="000000"/>
                <w:sz w:val="20"/>
                <w:szCs w:val="20"/>
                <w:lang w:val="en-US" w:eastAsia="zh-CN"/>
              </w:rPr>
            </w:pPr>
            <w:r w:rsidRPr="007428EA">
              <w:rPr>
                <w:color w:val="000000"/>
                <w:sz w:val="20"/>
                <w:szCs w:val="20"/>
                <w:lang w:val="en-CA" w:eastAsia="zh-CN"/>
              </w:rPr>
              <w:t>Total cost of project to Multilateral Fund (</w:t>
            </w:r>
            <w:r>
              <w:rPr>
                <w:color w:val="000000"/>
                <w:sz w:val="20"/>
                <w:szCs w:val="20"/>
                <w:lang w:val="en-CA" w:eastAsia="zh-CN"/>
              </w:rPr>
              <w:t>US $</w:t>
            </w:r>
            <w:r w:rsidRPr="007428EA">
              <w:rPr>
                <w:color w:val="000000"/>
                <w:sz w:val="20"/>
                <w:szCs w:val="20"/>
                <w:lang w:val="en-CA" w:eastAsia="zh-CN"/>
              </w:rPr>
              <w:t>):</w:t>
            </w:r>
          </w:p>
        </w:tc>
        <w:tc>
          <w:tcPr>
            <w:tcW w:w="1152" w:type="pct"/>
            <w:tcBorders>
              <w:top w:val="nil"/>
              <w:left w:val="single" w:sz="4" w:space="0" w:color="auto"/>
              <w:bottom w:val="single" w:sz="4" w:space="0" w:color="auto"/>
              <w:right w:val="single" w:sz="4" w:space="0" w:color="auto"/>
            </w:tcBorders>
            <w:shd w:val="clear" w:color="auto" w:fill="auto"/>
            <w:hideMark/>
          </w:tcPr>
          <w:p w:rsidR="006B6981" w:rsidRPr="007428EA" w:rsidRDefault="00B940FC" w:rsidP="006749ED">
            <w:pPr>
              <w:jc w:val="right"/>
              <w:rPr>
                <w:color w:val="000000"/>
                <w:sz w:val="20"/>
                <w:szCs w:val="20"/>
                <w:lang w:val="en-US" w:eastAsia="zh-CN"/>
              </w:rPr>
            </w:pPr>
            <w:r>
              <w:rPr>
                <w:color w:val="000000"/>
                <w:sz w:val="20"/>
                <w:szCs w:val="20"/>
              </w:rPr>
              <w:t>602,973</w:t>
            </w:r>
          </w:p>
        </w:tc>
      </w:tr>
      <w:tr w:rsidR="006B6981" w:rsidRPr="007428EA" w:rsidTr="003938A2">
        <w:trPr>
          <w:trHeight w:val="50"/>
        </w:trPr>
        <w:tc>
          <w:tcPr>
            <w:tcW w:w="3848"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B6981" w:rsidRPr="007428EA" w:rsidRDefault="006B6981" w:rsidP="003938A2">
            <w:pPr>
              <w:jc w:val="left"/>
              <w:rPr>
                <w:color w:val="000000"/>
                <w:sz w:val="20"/>
                <w:szCs w:val="20"/>
                <w:lang w:val="en-US" w:eastAsia="zh-CN"/>
              </w:rPr>
            </w:pPr>
            <w:r w:rsidRPr="007428EA">
              <w:rPr>
                <w:color w:val="000000"/>
                <w:sz w:val="20"/>
                <w:szCs w:val="20"/>
                <w:lang w:val="en-CA" w:eastAsia="zh-CN"/>
              </w:rPr>
              <w:t>Counterpart funding (Y/N):</w:t>
            </w:r>
          </w:p>
        </w:tc>
        <w:tc>
          <w:tcPr>
            <w:tcW w:w="1152" w:type="pct"/>
            <w:tcBorders>
              <w:top w:val="nil"/>
              <w:left w:val="single" w:sz="4" w:space="0" w:color="auto"/>
              <w:bottom w:val="single" w:sz="4" w:space="0" w:color="auto"/>
              <w:right w:val="single" w:sz="4" w:space="0" w:color="auto"/>
            </w:tcBorders>
            <w:shd w:val="clear" w:color="auto" w:fill="auto"/>
            <w:hideMark/>
          </w:tcPr>
          <w:p w:rsidR="006B6981" w:rsidRPr="007428EA" w:rsidRDefault="006B6981" w:rsidP="003938A2">
            <w:pPr>
              <w:jc w:val="right"/>
              <w:rPr>
                <w:color w:val="000000"/>
                <w:sz w:val="20"/>
                <w:szCs w:val="20"/>
                <w:lang w:val="en-US" w:eastAsia="zh-CN"/>
              </w:rPr>
            </w:pPr>
            <w:r>
              <w:rPr>
                <w:color w:val="000000"/>
                <w:sz w:val="20"/>
                <w:szCs w:val="20"/>
              </w:rPr>
              <w:t>Yes</w:t>
            </w:r>
          </w:p>
        </w:tc>
      </w:tr>
      <w:tr w:rsidR="006B6981" w:rsidRPr="007428EA" w:rsidTr="003938A2">
        <w:trPr>
          <w:trHeight w:val="50"/>
        </w:trPr>
        <w:tc>
          <w:tcPr>
            <w:tcW w:w="3848"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B6981" w:rsidRPr="007428EA" w:rsidRDefault="006B6981" w:rsidP="003938A2">
            <w:pPr>
              <w:jc w:val="left"/>
              <w:rPr>
                <w:color w:val="000000"/>
                <w:sz w:val="20"/>
                <w:szCs w:val="20"/>
                <w:lang w:val="en-US" w:eastAsia="zh-CN"/>
              </w:rPr>
            </w:pPr>
            <w:r w:rsidRPr="007428EA">
              <w:rPr>
                <w:color w:val="000000"/>
                <w:sz w:val="20"/>
                <w:szCs w:val="20"/>
                <w:lang w:val="en-CA" w:eastAsia="zh-CN"/>
              </w:rPr>
              <w:t>Project monitoring milestones included (Y/N):</w:t>
            </w:r>
          </w:p>
        </w:tc>
        <w:tc>
          <w:tcPr>
            <w:tcW w:w="1152" w:type="pct"/>
            <w:tcBorders>
              <w:top w:val="nil"/>
              <w:left w:val="single" w:sz="4" w:space="0" w:color="auto"/>
              <w:bottom w:val="single" w:sz="4" w:space="0" w:color="auto"/>
              <w:right w:val="single" w:sz="4" w:space="0" w:color="auto"/>
            </w:tcBorders>
            <w:shd w:val="clear" w:color="auto" w:fill="auto"/>
            <w:hideMark/>
          </w:tcPr>
          <w:p w:rsidR="006B6981" w:rsidRPr="007428EA" w:rsidRDefault="006B6981" w:rsidP="003938A2">
            <w:pPr>
              <w:jc w:val="right"/>
              <w:rPr>
                <w:color w:val="000000"/>
                <w:sz w:val="20"/>
                <w:szCs w:val="20"/>
                <w:lang w:val="en-US" w:eastAsia="zh-CN"/>
              </w:rPr>
            </w:pPr>
            <w:r>
              <w:rPr>
                <w:color w:val="000000"/>
                <w:sz w:val="20"/>
                <w:szCs w:val="20"/>
              </w:rPr>
              <w:t>Yes</w:t>
            </w:r>
          </w:p>
        </w:tc>
      </w:tr>
    </w:tbl>
    <w:p w:rsidR="006B6981" w:rsidRPr="003D2435" w:rsidRDefault="006B6981" w:rsidP="006B6981">
      <w:pPr>
        <w:rPr>
          <w:sz w:val="20"/>
          <w:lang w:val="en-US"/>
        </w:rPr>
      </w:pPr>
    </w:p>
    <w:tbl>
      <w:tblPr>
        <w:tblW w:w="9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8"/>
        <w:gridCol w:w="4700"/>
      </w:tblGrid>
      <w:tr w:rsidR="006B6981" w:rsidRPr="003F0F38" w:rsidTr="003938A2">
        <w:trPr>
          <w:trHeight w:val="296"/>
          <w:jc w:val="center"/>
        </w:trPr>
        <w:tc>
          <w:tcPr>
            <w:tcW w:w="4628" w:type="dxa"/>
            <w:tcBorders>
              <w:top w:val="single" w:sz="4" w:space="0" w:color="auto"/>
              <w:left w:val="single" w:sz="4" w:space="0" w:color="auto"/>
              <w:bottom w:val="single" w:sz="4" w:space="0" w:color="auto"/>
              <w:right w:val="single" w:sz="4" w:space="0" w:color="auto"/>
            </w:tcBorders>
          </w:tcPr>
          <w:p w:rsidR="006B6981" w:rsidRPr="00C044C6" w:rsidRDefault="006B6981" w:rsidP="003938A2">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b/>
                <w:sz w:val="20"/>
              </w:rPr>
            </w:pPr>
            <w:r w:rsidRPr="00C044C6">
              <w:rPr>
                <w:b/>
                <w:sz w:val="20"/>
              </w:rPr>
              <w:t>SECRETARIAT’S RECOMMENDATION</w:t>
            </w:r>
          </w:p>
        </w:tc>
        <w:tc>
          <w:tcPr>
            <w:tcW w:w="4700" w:type="dxa"/>
            <w:tcBorders>
              <w:top w:val="single" w:sz="4" w:space="0" w:color="auto"/>
              <w:left w:val="single" w:sz="4" w:space="0" w:color="auto"/>
              <w:bottom w:val="single" w:sz="4" w:space="0" w:color="auto"/>
              <w:right w:val="single" w:sz="4" w:space="0" w:color="auto"/>
            </w:tcBorders>
          </w:tcPr>
          <w:p w:rsidR="006B6981" w:rsidRPr="003F0F38" w:rsidRDefault="006B6981" w:rsidP="003938A2">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center"/>
              <w:rPr>
                <w:sz w:val="20"/>
              </w:rPr>
            </w:pPr>
            <w:r w:rsidRPr="003F0F38">
              <w:rPr>
                <w:sz w:val="20"/>
              </w:rPr>
              <w:t>For individual consideration</w:t>
            </w:r>
          </w:p>
        </w:tc>
      </w:tr>
    </w:tbl>
    <w:p w:rsidR="006B6981" w:rsidRDefault="006B6981" w:rsidP="006B6981">
      <w:pPr>
        <w:spacing w:after="240"/>
        <w:outlineLvl w:val="0"/>
        <w:rPr>
          <w:b/>
        </w:rPr>
      </w:pPr>
    </w:p>
    <w:p w:rsidR="006B6981" w:rsidRDefault="006B6981" w:rsidP="006B6981">
      <w:pPr>
        <w:jc w:val="left"/>
        <w:rPr>
          <w:b/>
        </w:rPr>
      </w:pPr>
      <w:r>
        <w:rPr>
          <w:b/>
        </w:rPr>
        <w:br w:type="page"/>
      </w:r>
    </w:p>
    <w:p w:rsidR="006B6981" w:rsidRPr="00C044C6" w:rsidRDefault="006B6981" w:rsidP="006B6981">
      <w:pPr>
        <w:spacing w:after="240"/>
        <w:jc w:val="center"/>
        <w:outlineLvl w:val="0"/>
        <w:rPr>
          <w:b/>
        </w:rPr>
      </w:pPr>
      <w:r w:rsidRPr="00C044C6">
        <w:rPr>
          <w:b/>
        </w:rPr>
        <w:lastRenderedPageBreak/>
        <w:t>PROJECT DESCRIPTION</w:t>
      </w:r>
    </w:p>
    <w:p w:rsidR="006B6981" w:rsidRDefault="006B6981" w:rsidP="006B6981">
      <w:pPr>
        <w:pStyle w:val="Heading1"/>
      </w:pPr>
      <w:r w:rsidRPr="003F0F38">
        <w:t xml:space="preserve">On </w:t>
      </w:r>
      <w:r w:rsidRPr="00E359E8">
        <w:t xml:space="preserve">behalf of the Government of </w:t>
      </w:r>
      <w:r>
        <w:t>Zimbabwe</w:t>
      </w:r>
      <w:r w:rsidRPr="00E359E8">
        <w:t xml:space="preserve">, </w:t>
      </w:r>
      <w:r>
        <w:t>UNDP</w:t>
      </w:r>
      <w:r w:rsidRPr="00E359E8">
        <w:t xml:space="preserve"> has submitted </w:t>
      </w:r>
      <w:r>
        <w:t xml:space="preserve">a project </w:t>
      </w:r>
      <w:r w:rsidRPr="00E359E8">
        <w:t>proposal</w:t>
      </w:r>
      <w:r>
        <w:t xml:space="preserve"> for the c</w:t>
      </w:r>
      <w:r w:rsidRPr="00E359E8">
        <w:t>onver</w:t>
      </w:r>
      <w:r>
        <w:t>sion of</w:t>
      </w:r>
      <w:r w:rsidRPr="00E359E8">
        <w:t xml:space="preserve"> </w:t>
      </w:r>
      <w:r>
        <w:t>two</w:t>
      </w:r>
      <w:r w:rsidRPr="00E359E8">
        <w:t xml:space="preserve"> manufacturing </w:t>
      </w:r>
      <w:r>
        <w:t xml:space="preserve">lines for domestic </w:t>
      </w:r>
      <w:r w:rsidRPr="00E359E8">
        <w:t>refrigerators</w:t>
      </w:r>
      <w:r>
        <w:t xml:space="preserve"> and freezers at Capri</w:t>
      </w:r>
      <w:r w:rsidRPr="00E359E8">
        <w:t xml:space="preserve"> from HFC-134a and </w:t>
      </w:r>
      <w:proofErr w:type="spellStart"/>
      <w:r w:rsidRPr="00E359E8">
        <w:t>isobut</w:t>
      </w:r>
      <w:r>
        <w:t>a</w:t>
      </w:r>
      <w:r w:rsidRPr="00E359E8">
        <w:t>ne</w:t>
      </w:r>
      <w:proofErr w:type="spellEnd"/>
      <w:r w:rsidRPr="00E359E8">
        <w:t xml:space="preserve"> (R-600a)</w:t>
      </w:r>
      <w:r>
        <w:t>,</w:t>
      </w:r>
      <w:r w:rsidRPr="00E359E8">
        <w:t xml:space="preserve"> at a total cost of </w:t>
      </w:r>
      <w:r>
        <w:t>US $</w:t>
      </w:r>
      <w:r w:rsidRPr="004F7559">
        <w:t>1</w:t>
      </w:r>
      <w:r>
        <w:t>,</w:t>
      </w:r>
      <w:r w:rsidRPr="004F7559">
        <w:t>338</w:t>
      </w:r>
      <w:r>
        <w:t>,</w:t>
      </w:r>
      <w:r w:rsidRPr="004F7559">
        <w:t>689</w:t>
      </w:r>
      <w:r>
        <w:t xml:space="preserve">, </w:t>
      </w:r>
      <w:r w:rsidRPr="00E359E8">
        <w:t>as originally submitted</w:t>
      </w:r>
      <w:r>
        <w:t>,</w:t>
      </w:r>
      <w:r w:rsidRPr="00E359E8">
        <w:t xml:space="preserve"> </w:t>
      </w:r>
      <w:r>
        <w:t xml:space="preserve">to phase out 14.5 </w:t>
      </w:r>
      <w:proofErr w:type="spellStart"/>
      <w:r>
        <w:t>mt</w:t>
      </w:r>
      <w:proofErr w:type="spellEnd"/>
      <w:r>
        <w:t xml:space="preserve"> of HFC</w:t>
      </w:r>
      <w:r>
        <w:noBreakHyphen/>
        <w:t>134a.</w:t>
      </w:r>
    </w:p>
    <w:p w:rsidR="006B6981" w:rsidRDefault="006B6981" w:rsidP="006B6981">
      <w:pPr>
        <w:rPr>
          <w:highlight w:val="yellow"/>
        </w:rPr>
      </w:pPr>
      <w:r w:rsidRPr="00BF1690">
        <w:rPr>
          <w:u w:val="single"/>
        </w:rPr>
        <w:t>HFC consumption and sector background</w:t>
      </w:r>
      <w:r w:rsidRPr="001F78F5">
        <w:rPr>
          <w:u w:val="single"/>
        </w:rPr>
        <w:t xml:space="preserve"> </w:t>
      </w:r>
    </w:p>
    <w:p w:rsidR="006B6981" w:rsidRPr="00223E7F" w:rsidRDefault="006B6981" w:rsidP="006B6981">
      <w:pPr>
        <w:rPr>
          <w:highlight w:val="yellow"/>
        </w:rPr>
      </w:pPr>
    </w:p>
    <w:p w:rsidR="006B6981" w:rsidRDefault="006B6981" w:rsidP="006B6981">
      <w:pPr>
        <w:pStyle w:val="Heading1"/>
      </w:pPr>
      <w:r>
        <w:t xml:space="preserve">According to the data reported under the surveys on ODS alternatives submitted to </w:t>
      </w:r>
      <w:r w:rsidRPr="001E04D3">
        <w:t>78</w:t>
      </w:r>
      <w:r w:rsidRPr="00BF1690">
        <w:rPr>
          <w:vertAlign w:val="superscript"/>
        </w:rPr>
        <w:t>th </w:t>
      </w:r>
      <w:r w:rsidRPr="00F11BCA">
        <w:t>m</w:t>
      </w:r>
      <w:r w:rsidRPr="001E04D3">
        <w:t>e</w:t>
      </w:r>
      <w:r>
        <w:t>eting, a total of 117.50</w:t>
      </w:r>
      <w:r w:rsidRPr="00945780">
        <w:t xml:space="preserve"> </w:t>
      </w:r>
      <w:proofErr w:type="spellStart"/>
      <w:r>
        <w:t>mt</w:t>
      </w:r>
      <w:proofErr w:type="spellEnd"/>
      <w:r>
        <w:t xml:space="preserve"> of HFCs (pure and in blends) was imported in 2015. These were mainly R-410A (40.94 per cent), HFC-134a (30.20 per cent), R-404A (25.36 per cent), and R-507A (1.40 per cent). HFC</w:t>
      </w:r>
      <w:r>
        <w:noBreakHyphen/>
        <w:t xml:space="preserve">134a is used both for manufacturing refrigeration equipment and in the refrigeration servicing sector. In 2015, the consumption of HFC-134a amounted to 48.30 </w:t>
      </w:r>
      <w:proofErr w:type="spellStart"/>
      <w:r>
        <w:t>mt.</w:t>
      </w:r>
      <w:proofErr w:type="spellEnd"/>
    </w:p>
    <w:p w:rsidR="006B6981" w:rsidRPr="00721381" w:rsidRDefault="006B6981" w:rsidP="006B6981">
      <w:pPr>
        <w:pStyle w:val="Heading1"/>
      </w:pPr>
      <w:r w:rsidRPr="00353134">
        <w:t>Capri is a locally</w:t>
      </w:r>
      <w:r>
        <w:t xml:space="preserve"> </w:t>
      </w:r>
      <w:r w:rsidRPr="00353134">
        <w:t>owned enterprise</w:t>
      </w:r>
      <w:r>
        <w:t xml:space="preserve"> that</w:t>
      </w:r>
      <w:r w:rsidRPr="00353134">
        <w:t xml:space="preserve"> </w:t>
      </w:r>
      <w:r>
        <w:t xml:space="preserve">has already </w:t>
      </w:r>
      <w:r w:rsidRPr="00353134">
        <w:t>received Multilateral Fund assistance</w:t>
      </w:r>
      <w:r>
        <w:t>.</w:t>
      </w:r>
      <w:r w:rsidRPr="00353134">
        <w:t xml:space="preserve"> </w:t>
      </w:r>
      <w:r>
        <w:t xml:space="preserve">At </w:t>
      </w:r>
      <w:r w:rsidRPr="00353134">
        <w:t>the 20</w:t>
      </w:r>
      <w:r w:rsidRPr="00353134">
        <w:rPr>
          <w:vertAlign w:val="superscript"/>
        </w:rPr>
        <w:t>th</w:t>
      </w:r>
      <w:r w:rsidRPr="00353134">
        <w:t xml:space="preserve"> </w:t>
      </w:r>
      <w:r>
        <w:t>and 65</w:t>
      </w:r>
      <w:r w:rsidRPr="00BF1690">
        <w:rPr>
          <w:vertAlign w:val="superscript"/>
        </w:rPr>
        <w:t>th</w:t>
      </w:r>
      <w:r>
        <w:t xml:space="preserve"> </w:t>
      </w:r>
      <w:r w:rsidRPr="00353134">
        <w:t>meeting</w:t>
      </w:r>
      <w:r>
        <w:t xml:space="preserve">s, funding was approved </w:t>
      </w:r>
      <w:r w:rsidRPr="00353134">
        <w:t>to replace CFC</w:t>
      </w:r>
      <w:r w:rsidRPr="00353134">
        <w:noBreakHyphen/>
        <w:t xml:space="preserve">11 with HCFC-141b technology (later changed to </w:t>
      </w:r>
      <w:proofErr w:type="spellStart"/>
      <w:r w:rsidRPr="00353134">
        <w:t>cyclopentane</w:t>
      </w:r>
      <w:proofErr w:type="spellEnd"/>
      <w:r w:rsidRPr="00353134">
        <w:t>) and to replace CFC-12 with HFC-134a</w:t>
      </w:r>
      <w:r>
        <w:t>.</w:t>
      </w:r>
      <w:r w:rsidRPr="00353134">
        <w:rPr>
          <w:vertAlign w:val="superscript"/>
        </w:rPr>
        <w:footnoteReference w:id="2"/>
      </w:r>
      <w:r w:rsidRPr="00353134">
        <w:t xml:space="preserve"> </w:t>
      </w:r>
      <w:r>
        <w:t>T</w:t>
      </w:r>
      <w:r w:rsidRPr="00353134">
        <w:t xml:space="preserve">he Secretariat </w:t>
      </w:r>
      <w:r>
        <w:t xml:space="preserve">therefore </w:t>
      </w:r>
      <w:r w:rsidRPr="00353134">
        <w:t>considers that this conversion falls under paragraph 18(b) of decision XXVIII/2</w:t>
      </w:r>
      <w:r>
        <w:t>.</w:t>
      </w:r>
    </w:p>
    <w:p w:rsidR="006B6981" w:rsidRPr="00E971EA" w:rsidRDefault="006B6981" w:rsidP="006B6981">
      <w:pPr>
        <w:keepNext/>
        <w:keepLines/>
        <w:rPr>
          <w:u w:val="single"/>
        </w:rPr>
      </w:pPr>
      <w:r w:rsidRPr="00E971EA">
        <w:rPr>
          <w:u w:val="single"/>
        </w:rPr>
        <w:t>Enterprise background</w:t>
      </w:r>
    </w:p>
    <w:p w:rsidR="006B6981" w:rsidRPr="003F0F38" w:rsidRDefault="006B6981" w:rsidP="006B6981">
      <w:pPr>
        <w:keepNext/>
        <w:keepLines/>
        <w:rPr>
          <w:highlight w:val="yellow"/>
        </w:rPr>
      </w:pPr>
    </w:p>
    <w:p w:rsidR="006B6981" w:rsidRPr="004B2C64" w:rsidRDefault="006B6981" w:rsidP="006B6981">
      <w:pPr>
        <w:pStyle w:val="Heading1"/>
        <w:rPr>
          <w:sz w:val="21"/>
          <w:szCs w:val="21"/>
        </w:rPr>
      </w:pPr>
      <w:r w:rsidRPr="004B2C64">
        <w:t xml:space="preserve">The manufacturing of domestic refrigerators and freezers is done by two companies, Capri and Imperial. However, at Imperial is negligible. </w:t>
      </w:r>
    </w:p>
    <w:p w:rsidR="006B6981" w:rsidRPr="007E4C8F" w:rsidRDefault="006B6981" w:rsidP="006B6981">
      <w:pPr>
        <w:pStyle w:val="Heading1"/>
      </w:pPr>
      <w:r>
        <w:t>Capri</w:t>
      </w:r>
      <w:r w:rsidRPr="00132796">
        <w:t xml:space="preserve"> </w:t>
      </w:r>
      <w:r>
        <w:t>has two manufacturing lines: one for refrigerators, with production capacity of 130,000 units/year, and one for freezers,</w:t>
      </w:r>
      <w:r w:rsidRPr="00C43D2C">
        <w:t xml:space="preserve"> </w:t>
      </w:r>
      <w:r>
        <w:t>with production capacity of 104,000 units/year.</w:t>
      </w:r>
      <w:r w:rsidRPr="007E4C8F">
        <w:t xml:space="preserve"> </w:t>
      </w:r>
      <w:r>
        <w:t>I</w:t>
      </w:r>
      <w:r w:rsidRPr="007E4C8F">
        <w:t>n 2017</w:t>
      </w:r>
      <w:r>
        <w:t>,</w:t>
      </w:r>
      <w:r w:rsidRPr="007E4C8F">
        <w:t xml:space="preserve"> the </w:t>
      </w:r>
      <w:r>
        <w:t xml:space="preserve">enterprise </w:t>
      </w:r>
      <w:r w:rsidRPr="007E4C8F">
        <w:t xml:space="preserve">produced </w:t>
      </w:r>
      <w:r>
        <w:t>97</w:t>
      </w:r>
      <w:r w:rsidRPr="007E4C8F">
        <w:t>,</w:t>
      </w:r>
      <w:r>
        <w:t>000</w:t>
      </w:r>
      <w:r w:rsidRPr="007E4C8F">
        <w:t xml:space="preserve"> units </w:t>
      </w:r>
      <w:r>
        <w:t>as shown in Table 1.</w:t>
      </w:r>
    </w:p>
    <w:p w:rsidR="006B6981" w:rsidRDefault="006B6981" w:rsidP="006B6981">
      <w:pPr>
        <w:pStyle w:val="Heading1"/>
        <w:numPr>
          <w:ilvl w:val="0"/>
          <w:numId w:val="0"/>
        </w:numPr>
        <w:spacing w:after="0"/>
        <w:rPr>
          <w:b/>
          <w:sz w:val="21"/>
          <w:szCs w:val="21"/>
        </w:rPr>
      </w:pPr>
      <w:r>
        <w:rPr>
          <w:b/>
          <w:sz w:val="21"/>
          <w:szCs w:val="21"/>
        </w:rPr>
        <w:t>Table 1. Production of domestic refrigerators and freezers at Capri (2015-2017)</w:t>
      </w:r>
    </w:p>
    <w:tbl>
      <w:tblPr>
        <w:tblW w:w="5000" w:type="pct"/>
        <w:tblLayout w:type="fixed"/>
        <w:tblCellMar>
          <w:left w:w="0" w:type="dxa"/>
          <w:right w:w="0" w:type="dxa"/>
        </w:tblCellMar>
        <w:tblLook w:val="04A0" w:firstRow="1" w:lastRow="0" w:firstColumn="1" w:lastColumn="0" w:noHBand="0" w:noVBand="1"/>
      </w:tblPr>
      <w:tblGrid>
        <w:gridCol w:w="2872"/>
        <w:gridCol w:w="1296"/>
        <w:gridCol w:w="1296"/>
        <w:gridCol w:w="1296"/>
        <w:gridCol w:w="1296"/>
        <w:gridCol w:w="1294"/>
      </w:tblGrid>
      <w:tr w:rsidR="006B6981" w:rsidRPr="00C43D2C" w:rsidTr="003938A2">
        <w:tc>
          <w:tcPr>
            <w:tcW w:w="1536" w:type="pct"/>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6B6981" w:rsidRPr="00C43D2C" w:rsidRDefault="006B6981" w:rsidP="003938A2">
            <w:pPr>
              <w:jc w:val="left"/>
              <w:rPr>
                <w:b/>
                <w:color w:val="000000"/>
                <w:sz w:val="21"/>
                <w:szCs w:val="21"/>
                <w:lang w:val="en-US"/>
              </w:rPr>
            </w:pPr>
            <w:r w:rsidRPr="00C43D2C">
              <w:rPr>
                <w:b/>
                <w:color w:val="000000"/>
                <w:sz w:val="21"/>
                <w:szCs w:val="21"/>
              </w:rPr>
              <w:t>Production line</w:t>
            </w:r>
          </w:p>
        </w:tc>
        <w:tc>
          <w:tcPr>
            <w:tcW w:w="3464"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6B6981" w:rsidRPr="00C43D2C" w:rsidRDefault="006B6981" w:rsidP="003938A2">
            <w:pPr>
              <w:jc w:val="center"/>
              <w:rPr>
                <w:b/>
                <w:color w:val="000000"/>
                <w:sz w:val="21"/>
                <w:szCs w:val="21"/>
              </w:rPr>
            </w:pPr>
            <w:r w:rsidRPr="00C43D2C">
              <w:rPr>
                <w:b/>
                <w:color w:val="000000"/>
                <w:sz w:val="21"/>
                <w:szCs w:val="21"/>
              </w:rPr>
              <w:t>Year</w:t>
            </w:r>
          </w:p>
        </w:tc>
      </w:tr>
      <w:tr w:rsidR="006B6981" w:rsidRPr="00C43D2C" w:rsidTr="003938A2">
        <w:tc>
          <w:tcPr>
            <w:tcW w:w="1536" w:type="pct"/>
            <w:vMerge/>
            <w:tcBorders>
              <w:top w:val="single" w:sz="4" w:space="0" w:color="auto"/>
              <w:left w:val="single" w:sz="4" w:space="0" w:color="auto"/>
              <w:bottom w:val="single" w:sz="4" w:space="0" w:color="auto"/>
              <w:right w:val="single" w:sz="4" w:space="0" w:color="auto"/>
            </w:tcBorders>
            <w:shd w:val="clear" w:color="auto" w:fill="auto"/>
            <w:hideMark/>
          </w:tcPr>
          <w:p w:rsidR="006B6981" w:rsidRPr="00C43D2C" w:rsidRDefault="006B6981" w:rsidP="003938A2">
            <w:pPr>
              <w:jc w:val="center"/>
              <w:rPr>
                <w:color w:val="000000"/>
                <w:sz w:val="21"/>
                <w:szCs w:val="21"/>
              </w:rPr>
            </w:pPr>
          </w:p>
        </w:tc>
        <w:tc>
          <w:tcPr>
            <w:tcW w:w="69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6981" w:rsidRPr="00C43D2C" w:rsidRDefault="006B6981" w:rsidP="003938A2">
            <w:pPr>
              <w:jc w:val="center"/>
              <w:rPr>
                <w:b/>
                <w:color w:val="000000"/>
                <w:sz w:val="21"/>
                <w:szCs w:val="21"/>
              </w:rPr>
            </w:pPr>
            <w:r w:rsidRPr="00C43D2C">
              <w:rPr>
                <w:b/>
                <w:color w:val="000000"/>
                <w:sz w:val="21"/>
                <w:szCs w:val="21"/>
              </w:rPr>
              <w:t>2013</w:t>
            </w:r>
          </w:p>
        </w:tc>
        <w:tc>
          <w:tcPr>
            <w:tcW w:w="69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6981" w:rsidRPr="00C43D2C" w:rsidRDefault="006B6981" w:rsidP="003938A2">
            <w:pPr>
              <w:jc w:val="center"/>
              <w:rPr>
                <w:b/>
                <w:color w:val="000000"/>
                <w:sz w:val="21"/>
                <w:szCs w:val="21"/>
              </w:rPr>
            </w:pPr>
            <w:r w:rsidRPr="00C43D2C">
              <w:rPr>
                <w:b/>
                <w:color w:val="000000"/>
                <w:sz w:val="21"/>
                <w:szCs w:val="21"/>
              </w:rPr>
              <w:t>2014</w:t>
            </w:r>
          </w:p>
        </w:tc>
        <w:tc>
          <w:tcPr>
            <w:tcW w:w="69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6981" w:rsidRPr="00C43D2C" w:rsidRDefault="006B6981" w:rsidP="003938A2">
            <w:pPr>
              <w:jc w:val="center"/>
              <w:rPr>
                <w:b/>
                <w:color w:val="000000"/>
                <w:sz w:val="21"/>
                <w:szCs w:val="21"/>
              </w:rPr>
            </w:pPr>
            <w:r w:rsidRPr="00C43D2C">
              <w:rPr>
                <w:b/>
                <w:color w:val="000000"/>
                <w:sz w:val="21"/>
                <w:szCs w:val="21"/>
              </w:rPr>
              <w:t>2015</w:t>
            </w:r>
          </w:p>
        </w:tc>
        <w:tc>
          <w:tcPr>
            <w:tcW w:w="69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6981" w:rsidRPr="00C43D2C" w:rsidRDefault="006B6981" w:rsidP="003938A2">
            <w:pPr>
              <w:jc w:val="center"/>
              <w:rPr>
                <w:b/>
                <w:color w:val="000000"/>
                <w:sz w:val="21"/>
                <w:szCs w:val="21"/>
              </w:rPr>
            </w:pPr>
            <w:r w:rsidRPr="00C43D2C">
              <w:rPr>
                <w:b/>
                <w:color w:val="000000"/>
                <w:sz w:val="21"/>
                <w:szCs w:val="21"/>
              </w:rPr>
              <w:t>2016</w:t>
            </w:r>
          </w:p>
        </w:tc>
        <w:tc>
          <w:tcPr>
            <w:tcW w:w="692"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6981" w:rsidRPr="00C43D2C" w:rsidRDefault="006B6981" w:rsidP="003938A2">
            <w:pPr>
              <w:jc w:val="center"/>
              <w:rPr>
                <w:b/>
                <w:color w:val="000000"/>
                <w:sz w:val="21"/>
                <w:szCs w:val="21"/>
              </w:rPr>
            </w:pPr>
            <w:r w:rsidRPr="00C43D2C">
              <w:rPr>
                <w:b/>
                <w:color w:val="000000"/>
                <w:sz w:val="21"/>
                <w:szCs w:val="21"/>
              </w:rPr>
              <w:t>2017</w:t>
            </w:r>
          </w:p>
        </w:tc>
      </w:tr>
      <w:tr w:rsidR="006B6981" w:rsidRPr="00C43D2C" w:rsidTr="003938A2">
        <w:tc>
          <w:tcPr>
            <w:tcW w:w="153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6B6981" w:rsidRPr="00C43D2C" w:rsidRDefault="006B6981" w:rsidP="003938A2">
            <w:pPr>
              <w:jc w:val="left"/>
              <w:rPr>
                <w:color w:val="000000"/>
                <w:sz w:val="21"/>
                <w:szCs w:val="21"/>
              </w:rPr>
            </w:pPr>
            <w:r w:rsidRPr="00C43D2C">
              <w:rPr>
                <w:color w:val="000000"/>
                <w:sz w:val="21"/>
                <w:szCs w:val="21"/>
              </w:rPr>
              <w:t xml:space="preserve">Refrigerator </w:t>
            </w:r>
          </w:p>
        </w:tc>
        <w:tc>
          <w:tcPr>
            <w:tcW w:w="69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6981" w:rsidRPr="00C43D2C" w:rsidRDefault="006B6981" w:rsidP="003938A2">
            <w:pPr>
              <w:jc w:val="center"/>
              <w:rPr>
                <w:color w:val="000000"/>
                <w:sz w:val="21"/>
                <w:szCs w:val="21"/>
              </w:rPr>
            </w:pPr>
            <w:r w:rsidRPr="00C43D2C">
              <w:rPr>
                <w:color w:val="000000"/>
                <w:sz w:val="21"/>
                <w:szCs w:val="21"/>
              </w:rPr>
              <w:t>25,000</w:t>
            </w:r>
          </w:p>
        </w:tc>
        <w:tc>
          <w:tcPr>
            <w:tcW w:w="69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6981" w:rsidRPr="00C43D2C" w:rsidRDefault="006B6981" w:rsidP="003938A2">
            <w:pPr>
              <w:jc w:val="center"/>
              <w:rPr>
                <w:color w:val="000000"/>
                <w:sz w:val="21"/>
                <w:szCs w:val="21"/>
              </w:rPr>
            </w:pPr>
            <w:r w:rsidRPr="00C43D2C">
              <w:rPr>
                <w:color w:val="000000"/>
                <w:sz w:val="21"/>
                <w:szCs w:val="21"/>
              </w:rPr>
              <w:t>32,000</w:t>
            </w:r>
          </w:p>
        </w:tc>
        <w:tc>
          <w:tcPr>
            <w:tcW w:w="69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6981" w:rsidRPr="00C43D2C" w:rsidRDefault="006B6981" w:rsidP="003938A2">
            <w:pPr>
              <w:jc w:val="center"/>
              <w:rPr>
                <w:color w:val="000000"/>
                <w:sz w:val="21"/>
                <w:szCs w:val="21"/>
              </w:rPr>
            </w:pPr>
            <w:r w:rsidRPr="00C43D2C">
              <w:rPr>
                <w:color w:val="000000"/>
                <w:sz w:val="21"/>
                <w:szCs w:val="21"/>
              </w:rPr>
              <w:t>35,000</w:t>
            </w:r>
          </w:p>
        </w:tc>
        <w:tc>
          <w:tcPr>
            <w:tcW w:w="69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6981" w:rsidRPr="00C43D2C" w:rsidRDefault="006B6981" w:rsidP="003938A2">
            <w:pPr>
              <w:jc w:val="center"/>
              <w:rPr>
                <w:color w:val="000000"/>
                <w:sz w:val="21"/>
                <w:szCs w:val="21"/>
              </w:rPr>
            </w:pPr>
            <w:r w:rsidRPr="00C43D2C">
              <w:rPr>
                <w:color w:val="000000"/>
                <w:sz w:val="21"/>
                <w:szCs w:val="21"/>
              </w:rPr>
              <w:t>35,000</w:t>
            </w:r>
          </w:p>
        </w:tc>
        <w:tc>
          <w:tcPr>
            <w:tcW w:w="69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6981" w:rsidRPr="00C43D2C" w:rsidRDefault="006B6981" w:rsidP="003938A2">
            <w:pPr>
              <w:jc w:val="center"/>
              <w:rPr>
                <w:color w:val="000000"/>
                <w:sz w:val="21"/>
                <w:szCs w:val="21"/>
              </w:rPr>
            </w:pPr>
            <w:r w:rsidRPr="00C43D2C">
              <w:rPr>
                <w:color w:val="000000"/>
                <w:sz w:val="21"/>
                <w:szCs w:val="21"/>
              </w:rPr>
              <w:t>36,000</w:t>
            </w:r>
          </w:p>
        </w:tc>
      </w:tr>
      <w:tr w:rsidR="006B6981" w:rsidRPr="00C43D2C" w:rsidTr="003938A2">
        <w:tc>
          <w:tcPr>
            <w:tcW w:w="153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6B6981" w:rsidRPr="00C43D2C" w:rsidRDefault="006B6981" w:rsidP="003938A2">
            <w:pPr>
              <w:jc w:val="left"/>
              <w:rPr>
                <w:color w:val="000000"/>
                <w:sz w:val="21"/>
                <w:szCs w:val="21"/>
              </w:rPr>
            </w:pPr>
            <w:r w:rsidRPr="00C43D2C">
              <w:rPr>
                <w:color w:val="000000"/>
                <w:sz w:val="21"/>
                <w:szCs w:val="21"/>
              </w:rPr>
              <w:t xml:space="preserve">Freezer </w:t>
            </w:r>
          </w:p>
        </w:tc>
        <w:tc>
          <w:tcPr>
            <w:tcW w:w="69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6981" w:rsidRPr="00C43D2C" w:rsidRDefault="006B6981" w:rsidP="003938A2">
            <w:pPr>
              <w:jc w:val="center"/>
              <w:rPr>
                <w:color w:val="000000"/>
                <w:sz w:val="21"/>
                <w:szCs w:val="21"/>
              </w:rPr>
            </w:pPr>
            <w:r w:rsidRPr="00C43D2C">
              <w:rPr>
                <w:color w:val="000000"/>
                <w:sz w:val="21"/>
                <w:szCs w:val="21"/>
              </w:rPr>
              <w:t>40,000</w:t>
            </w:r>
          </w:p>
        </w:tc>
        <w:tc>
          <w:tcPr>
            <w:tcW w:w="69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6981" w:rsidRPr="00C43D2C" w:rsidRDefault="006B6981" w:rsidP="003938A2">
            <w:pPr>
              <w:jc w:val="center"/>
              <w:rPr>
                <w:color w:val="000000"/>
                <w:sz w:val="21"/>
                <w:szCs w:val="21"/>
              </w:rPr>
            </w:pPr>
            <w:r w:rsidRPr="00C43D2C">
              <w:rPr>
                <w:color w:val="000000"/>
                <w:sz w:val="21"/>
                <w:szCs w:val="21"/>
              </w:rPr>
              <w:t>46,000</w:t>
            </w:r>
          </w:p>
        </w:tc>
        <w:tc>
          <w:tcPr>
            <w:tcW w:w="69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6981" w:rsidRPr="00C43D2C" w:rsidRDefault="006B6981" w:rsidP="003938A2">
            <w:pPr>
              <w:jc w:val="center"/>
              <w:rPr>
                <w:color w:val="000000"/>
                <w:sz w:val="21"/>
                <w:szCs w:val="21"/>
              </w:rPr>
            </w:pPr>
            <w:r w:rsidRPr="00C43D2C">
              <w:rPr>
                <w:color w:val="000000"/>
                <w:sz w:val="21"/>
                <w:szCs w:val="21"/>
              </w:rPr>
              <w:t>43,000</w:t>
            </w:r>
          </w:p>
        </w:tc>
        <w:tc>
          <w:tcPr>
            <w:tcW w:w="69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6981" w:rsidRPr="00C43D2C" w:rsidRDefault="006B6981" w:rsidP="003938A2">
            <w:pPr>
              <w:jc w:val="center"/>
              <w:rPr>
                <w:color w:val="000000"/>
                <w:sz w:val="21"/>
                <w:szCs w:val="21"/>
              </w:rPr>
            </w:pPr>
            <w:r w:rsidRPr="00C43D2C">
              <w:rPr>
                <w:color w:val="000000"/>
                <w:sz w:val="21"/>
                <w:szCs w:val="21"/>
              </w:rPr>
              <w:t>56,000</w:t>
            </w:r>
          </w:p>
        </w:tc>
        <w:tc>
          <w:tcPr>
            <w:tcW w:w="69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6981" w:rsidRPr="00C43D2C" w:rsidRDefault="006B6981" w:rsidP="003938A2">
            <w:pPr>
              <w:jc w:val="center"/>
              <w:rPr>
                <w:color w:val="000000"/>
                <w:sz w:val="21"/>
                <w:szCs w:val="21"/>
              </w:rPr>
            </w:pPr>
            <w:r w:rsidRPr="00C43D2C">
              <w:rPr>
                <w:color w:val="000000"/>
                <w:sz w:val="21"/>
                <w:szCs w:val="21"/>
              </w:rPr>
              <w:t>61,000</w:t>
            </w:r>
          </w:p>
        </w:tc>
      </w:tr>
      <w:tr w:rsidR="006B6981" w:rsidRPr="00C43D2C" w:rsidTr="003938A2">
        <w:tc>
          <w:tcPr>
            <w:tcW w:w="153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6B6981" w:rsidRDefault="006B6981" w:rsidP="003938A2">
            <w:pPr>
              <w:jc w:val="left"/>
              <w:rPr>
                <w:color w:val="000000"/>
                <w:sz w:val="21"/>
                <w:szCs w:val="21"/>
              </w:rPr>
            </w:pPr>
            <w:r>
              <w:rPr>
                <w:color w:val="000000"/>
                <w:sz w:val="21"/>
                <w:szCs w:val="21"/>
              </w:rPr>
              <w:t>Total units</w:t>
            </w:r>
          </w:p>
        </w:tc>
        <w:tc>
          <w:tcPr>
            <w:tcW w:w="69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6B6981" w:rsidRPr="00C43D2C" w:rsidRDefault="006B6981" w:rsidP="003938A2">
            <w:pPr>
              <w:jc w:val="center"/>
              <w:rPr>
                <w:color w:val="000000"/>
                <w:sz w:val="21"/>
                <w:szCs w:val="21"/>
              </w:rPr>
            </w:pPr>
            <w:r w:rsidRPr="00C43D2C">
              <w:rPr>
                <w:sz w:val="21"/>
                <w:szCs w:val="21"/>
              </w:rPr>
              <w:t>65,000</w:t>
            </w:r>
          </w:p>
        </w:tc>
        <w:tc>
          <w:tcPr>
            <w:tcW w:w="69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6B6981" w:rsidRPr="00C43D2C" w:rsidRDefault="006B6981" w:rsidP="003938A2">
            <w:pPr>
              <w:jc w:val="center"/>
              <w:rPr>
                <w:color w:val="000000"/>
                <w:sz w:val="21"/>
                <w:szCs w:val="21"/>
              </w:rPr>
            </w:pPr>
            <w:r w:rsidRPr="00C43D2C">
              <w:rPr>
                <w:sz w:val="21"/>
                <w:szCs w:val="21"/>
              </w:rPr>
              <w:t>78,000</w:t>
            </w:r>
          </w:p>
        </w:tc>
        <w:tc>
          <w:tcPr>
            <w:tcW w:w="69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6B6981" w:rsidRPr="00C43D2C" w:rsidRDefault="006B6981" w:rsidP="003938A2">
            <w:pPr>
              <w:jc w:val="center"/>
              <w:rPr>
                <w:color w:val="000000"/>
                <w:sz w:val="21"/>
                <w:szCs w:val="21"/>
                <w:lang w:eastAsia="es-CO"/>
              </w:rPr>
            </w:pPr>
            <w:r w:rsidRPr="00C43D2C">
              <w:rPr>
                <w:sz w:val="21"/>
                <w:szCs w:val="21"/>
              </w:rPr>
              <w:t>78,000</w:t>
            </w:r>
          </w:p>
        </w:tc>
        <w:tc>
          <w:tcPr>
            <w:tcW w:w="693"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6B6981" w:rsidRPr="00C43D2C" w:rsidRDefault="006B6981" w:rsidP="003938A2">
            <w:pPr>
              <w:jc w:val="center"/>
              <w:rPr>
                <w:color w:val="000000"/>
                <w:sz w:val="21"/>
                <w:szCs w:val="21"/>
                <w:lang w:eastAsia="es-CO"/>
              </w:rPr>
            </w:pPr>
            <w:r w:rsidRPr="00C43D2C">
              <w:rPr>
                <w:sz w:val="21"/>
                <w:szCs w:val="21"/>
              </w:rPr>
              <w:t>91,000</w:t>
            </w:r>
          </w:p>
        </w:tc>
        <w:tc>
          <w:tcPr>
            <w:tcW w:w="693"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6B6981" w:rsidRPr="00C43D2C" w:rsidRDefault="006B6981" w:rsidP="003938A2">
            <w:pPr>
              <w:jc w:val="center"/>
              <w:rPr>
                <w:color w:val="000000"/>
                <w:sz w:val="21"/>
                <w:szCs w:val="21"/>
                <w:lang w:eastAsia="es-CO"/>
              </w:rPr>
            </w:pPr>
            <w:r w:rsidRPr="00C43D2C">
              <w:rPr>
                <w:sz w:val="21"/>
                <w:szCs w:val="21"/>
              </w:rPr>
              <w:t>97,000</w:t>
            </w:r>
          </w:p>
        </w:tc>
      </w:tr>
      <w:tr w:rsidR="006B6981" w:rsidRPr="00C43D2C" w:rsidTr="003938A2">
        <w:tc>
          <w:tcPr>
            <w:tcW w:w="153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6B6981" w:rsidRPr="00C43D2C" w:rsidRDefault="006B6981" w:rsidP="003938A2">
            <w:pPr>
              <w:jc w:val="left"/>
              <w:rPr>
                <w:color w:val="000000"/>
                <w:sz w:val="21"/>
                <w:szCs w:val="21"/>
              </w:rPr>
            </w:pPr>
            <w:r>
              <w:rPr>
                <w:color w:val="000000"/>
                <w:sz w:val="21"/>
                <w:szCs w:val="21"/>
              </w:rPr>
              <w:t xml:space="preserve">HFC-134a </w:t>
            </w:r>
            <w:r w:rsidRPr="00C43D2C">
              <w:rPr>
                <w:color w:val="000000"/>
                <w:sz w:val="21"/>
                <w:szCs w:val="21"/>
              </w:rPr>
              <w:t>consumption (</w:t>
            </w:r>
            <w:proofErr w:type="spellStart"/>
            <w:r w:rsidRPr="00C43D2C">
              <w:rPr>
                <w:color w:val="000000"/>
                <w:sz w:val="21"/>
                <w:szCs w:val="21"/>
              </w:rPr>
              <w:t>mt</w:t>
            </w:r>
            <w:proofErr w:type="spellEnd"/>
            <w:r w:rsidRPr="00C43D2C">
              <w:rPr>
                <w:color w:val="000000"/>
                <w:sz w:val="21"/>
                <w:szCs w:val="21"/>
              </w:rPr>
              <w:t>)</w:t>
            </w:r>
          </w:p>
        </w:tc>
        <w:tc>
          <w:tcPr>
            <w:tcW w:w="69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B6981" w:rsidRPr="00C43D2C" w:rsidRDefault="006B6981" w:rsidP="003938A2">
            <w:pPr>
              <w:jc w:val="center"/>
              <w:rPr>
                <w:color w:val="000000"/>
                <w:sz w:val="21"/>
                <w:szCs w:val="21"/>
              </w:rPr>
            </w:pPr>
          </w:p>
        </w:tc>
        <w:tc>
          <w:tcPr>
            <w:tcW w:w="69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B6981" w:rsidRPr="00C43D2C" w:rsidRDefault="006B6981" w:rsidP="003938A2">
            <w:pPr>
              <w:jc w:val="center"/>
              <w:rPr>
                <w:color w:val="000000"/>
                <w:sz w:val="21"/>
                <w:szCs w:val="21"/>
              </w:rPr>
            </w:pPr>
          </w:p>
        </w:tc>
        <w:tc>
          <w:tcPr>
            <w:tcW w:w="69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6B6981" w:rsidRPr="00C43D2C" w:rsidRDefault="006B6981" w:rsidP="003938A2">
            <w:pPr>
              <w:jc w:val="center"/>
              <w:rPr>
                <w:color w:val="000000"/>
                <w:sz w:val="21"/>
                <w:szCs w:val="21"/>
              </w:rPr>
            </w:pPr>
            <w:r w:rsidRPr="00C43D2C">
              <w:rPr>
                <w:color w:val="000000"/>
                <w:sz w:val="21"/>
                <w:szCs w:val="21"/>
                <w:lang w:eastAsia="es-CO"/>
              </w:rPr>
              <w:t>11.60</w:t>
            </w:r>
          </w:p>
        </w:tc>
        <w:tc>
          <w:tcPr>
            <w:tcW w:w="693"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6B6981" w:rsidRPr="00C43D2C" w:rsidRDefault="006B6981" w:rsidP="003938A2">
            <w:pPr>
              <w:jc w:val="center"/>
              <w:rPr>
                <w:color w:val="000000"/>
                <w:sz w:val="21"/>
                <w:szCs w:val="21"/>
              </w:rPr>
            </w:pPr>
            <w:r w:rsidRPr="00C43D2C">
              <w:rPr>
                <w:color w:val="000000"/>
                <w:sz w:val="21"/>
                <w:szCs w:val="21"/>
                <w:lang w:eastAsia="es-CO"/>
              </w:rPr>
              <w:t>13.60</w:t>
            </w:r>
          </w:p>
        </w:tc>
        <w:tc>
          <w:tcPr>
            <w:tcW w:w="692"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6B6981" w:rsidRPr="00C43D2C" w:rsidRDefault="006B6981" w:rsidP="003938A2">
            <w:pPr>
              <w:jc w:val="center"/>
              <w:rPr>
                <w:color w:val="000000"/>
                <w:sz w:val="21"/>
                <w:szCs w:val="21"/>
              </w:rPr>
            </w:pPr>
            <w:r w:rsidRPr="00C43D2C">
              <w:rPr>
                <w:color w:val="000000"/>
                <w:sz w:val="21"/>
                <w:szCs w:val="21"/>
                <w:lang w:eastAsia="es-CO"/>
              </w:rPr>
              <w:t>14.50</w:t>
            </w:r>
          </w:p>
        </w:tc>
      </w:tr>
    </w:tbl>
    <w:p w:rsidR="006B6981" w:rsidRDefault="006B6981" w:rsidP="006B6981"/>
    <w:p w:rsidR="006B6981" w:rsidRPr="005E7EF4" w:rsidRDefault="006B6981" w:rsidP="006B6981">
      <w:pPr>
        <w:keepNext/>
        <w:spacing w:after="240"/>
        <w:outlineLvl w:val="0"/>
        <w:rPr>
          <w:u w:val="single"/>
        </w:rPr>
      </w:pPr>
      <w:r w:rsidRPr="005E7EF4">
        <w:rPr>
          <w:u w:val="single"/>
        </w:rPr>
        <w:t>Project description</w:t>
      </w:r>
      <w:r>
        <w:rPr>
          <w:u w:val="single"/>
        </w:rPr>
        <w:t xml:space="preserve"> and costs</w:t>
      </w:r>
    </w:p>
    <w:p w:rsidR="006B6981" w:rsidRDefault="006B6981" w:rsidP="006B6981">
      <w:pPr>
        <w:pStyle w:val="Heading1"/>
        <w:rPr>
          <w:lang w:val="en-US"/>
        </w:rPr>
      </w:pPr>
      <w:r w:rsidRPr="0033113A">
        <w:rPr>
          <w:lang w:val="en-US"/>
        </w:rPr>
        <w:t xml:space="preserve">The currently available replacements for HFC-based capacity are R-600a, HFOs and their blends. </w:t>
      </w:r>
      <w:r>
        <w:t>Capri has chosen to convert all of its products to R-600a giving that it is a proven</w:t>
      </w:r>
      <w:r w:rsidRPr="0033113A">
        <w:rPr>
          <w:rFonts w:asciiTheme="minorHAnsi" w:eastAsiaTheme="minorHAnsi" w:hAnsiTheme="minorHAnsi" w:cstheme="minorHAnsi"/>
          <w:sz w:val="24"/>
          <w:szCs w:val="24"/>
          <w:lang w:bidi="bn-BD"/>
        </w:rPr>
        <w:t xml:space="preserve"> </w:t>
      </w:r>
      <w:r w:rsidRPr="0063596A">
        <w:t>and mature technology</w:t>
      </w:r>
      <w:r>
        <w:t xml:space="preserve"> and c</w:t>
      </w:r>
      <w:r w:rsidRPr="0063596A">
        <w:t>ost</w:t>
      </w:r>
      <w:r>
        <w:t>-</w:t>
      </w:r>
      <w:r w:rsidRPr="0063596A">
        <w:t>effective</w:t>
      </w:r>
      <w:r>
        <w:t>ness; the c</w:t>
      </w:r>
      <w:r w:rsidRPr="0063596A">
        <w:t>haracteristics</w:t>
      </w:r>
      <w:r>
        <w:t xml:space="preserve"> of</w:t>
      </w:r>
      <w:r w:rsidRPr="0063596A">
        <w:t xml:space="preserve"> the product</w:t>
      </w:r>
      <w:r>
        <w:t>, including its performance and e</w:t>
      </w:r>
      <w:r w:rsidRPr="0063596A">
        <w:t>nergy efficiency</w:t>
      </w:r>
      <w:r>
        <w:t>; its c</w:t>
      </w:r>
      <w:r w:rsidRPr="0063596A">
        <w:t>ompliance with established</w:t>
      </w:r>
      <w:r>
        <w:t xml:space="preserve"> </w:t>
      </w:r>
      <w:r w:rsidRPr="0063596A">
        <w:t>stan</w:t>
      </w:r>
      <w:r>
        <w:t>dards on safety and the environment; and r</w:t>
      </w:r>
      <w:r w:rsidRPr="0063596A">
        <w:t xml:space="preserve">educed carbon </w:t>
      </w:r>
      <w:r>
        <w:t xml:space="preserve">emissions. </w:t>
      </w:r>
      <w:r w:rsidRPr="0063596A">
        <w:rPr>
          <w:lang w:val="en-US"/>
        </w:rPr>
        <w:t xml:space="preserve">In addition, the enterprise has experience </w:t>
      </w:r>
      <w:r>
        <w:rPr>
          <w:lang w:val="en-US"/>
        </w:rPr>
        <w:t xml:space="preserve">in handling flammable substances as it is </w:t>
      </w:r>
      <w:r w:rsidRPr="0063596A">
        <w:rPr>
          <w:lang w:val="en-US"/>
        </w:rPr>
        <w:t xml:space="preserve">manufacturing </w:t>
      </w:r>
      <w:r>
        <w:rPr>
          <w:lang w:val="en-US"/>
        </w:rPr>
        <w:t xml:space="preserve">insulation foam </w:t>
      </w:r>
      <w:r w:rsidRPr="0063596A">
        <w:rPr>
          <w:lang w:val="en-US"/>
        </w:rPr>
        <w:t xml:space="preserve">with </w:t>
      </w:r>
      <w:proofErr w:type="spellStart"/>
      <w:r>
        <w:rPr>
          <w:lang w:val="en-US"/>
        </w:rPr>
        <w:t>cyclopentane</w:t>
      </w:r>
      <w:proofErr w:type="spellEnd"/>
      <w:r w:rsidRPr="0063596A">
        <w:rPr>
          <w:lang w:val="en-US"/>
        </w:rPr>
        <w:t xml:space="preserve">. </w:t>
      </w:r>
    </w:p>
    <w:p w:rsidR="006B6981" w:rsidRDefault="006B6981" w:rsidP="006B6981">
      <w:pPr>
        <w:pStyle w:val="Heading1"/>
      </w:pPr>
      <w:r>
        <w:t xml:space="preserve">Given </w:t>
      </w:r>
      <w:r w:rsidRPr="00E824EE">
        <w:t>the flammability of R-600a, changes are required in the manufacturing process, refrigerant storage and supply</w:t>
      </w:r>
      <w:r>
        <w:t>, and product design</w:t>
      </w:r>
      <w:r w:rsidRPr="00E824EE">
        <w:t>.</w:t>
      </w:r>
      <w:r w:rsidRPr="006B4903">
        <w:t xml:space="preserve"> </w:t>
      </w:r>
      <w:r>
        <w:t>As t</w:t>
      </w:r>
      <w:r w:rsidRPr="006B4903">
        <w:t>he two lines are located in two separate buildings</w:t>
      </w:r>
      <w:r>
        <w:t>, e</w:t>
      </w:r>
      <w:r w:rsidRPr="006B4903">
        <w:t>quipment i</w:t>
      </w:r>
      <w:r>
        <w:t>n</w:t>
      </w:r>
      <w:r w:rsidRPr="006B4903">
        <w:t xml:space="preserve"> both places </w:t>
      </w:r>
      <w:r>
        <w:t>needs to be replaced.</w:t>
      </w:r>
      <w:r w:rsidRPr="00E824EE">
        <w:t xml:space="preserve"> </w:t>
      </w:r>
      <w:r>
        <w:t xml:space="preserve">Costs associated with the refrigerant storage and supply station, training and certification are, however, shared. </w:t>
      </w:r>
    </w:p>
    <w:p w:rsidR="006B6981" w:rsidRPr="00CF41E9" w:rsidRDefault="006B6981" w:rsidP="003938A2">
      <w:pPr>
        <w:pStyle w:val="Heading1"/>
      </w:pPr>
      <w:r w:rsidRPr="00CF41E9">
        <w:lastRenderedPageBreak/>
        <w:t>The conversion to R-600a technology includes</w:t>
      </w:r>
      <w:r w:rsidR="004B2C64" w:rsidRPr="00CF41E9">
        <w:t xml:space="preserve"> r</w:t>
      </w:r>
      <w:r w:rsidRPr="00CF41E9">
        <w:t>eplacement of manufacturing equipment, including: one shared R-600a refrigerant storage and supply station</w:t>
      </w:r>
      <w:r w:rsidR="001130AB" w:rsidRPr="00CF41E9">
        <w:t xml:space="preserve"> for two production lines</w:t>
      </w:r>
      <w:r w:rsidRPr="00CF41E9">
        <w:t>; two refrigerant charging stations, along with a refrigerant booster pump; two safety control systems, ventilation systems; two ultrasonic welding machines; two post-charge leak detectors and two helium leak-detection systems; two gas ejection units to replace the proposed gas evacuation unit</w:t>
      </w:r>
      <w:r w:rsidR="001130AB" w:rsidRPr="00CF41E9">
        <w:t>s</w:t>
      </w:r>
      <w:r w:rsidRPr="00CF41E9">
        <w:t xml:space="preserve"> for repair areas</w:t>
      </w:r>
      <w:r w:rsidR="004B2C64" w:rsidRPr="00CF41E9">
        <w:t xml:space="preserve">. </w:t>
      </w:r>
      <w:r w:rsidR="00A56131" w:rsidRPr="00CF41E9">
        <w:t>C</w:t>
      </w:r>
      <w:r w:rsidR="004B2C64" w:rsidRPr="00CF41E9">
        <w:t>osts for s</w:t>
      </w:r>
      <w:r w:rsidRPr="00CF41E9">
        <w:t xml:space="preserve">afety </w:t>
      </w:r>
      <w:r w:rsidR="004B2C64" w:rsidRPr="00CF41E9">
        <w:t>audit</w:t>
      </w:r>
      <w:r w:rsidR="00A56131" w:rsidRPr="00CF41E9">
        <w:t>,</w:t>
      </w:r>
      <w:r w:rsidR="004B2C64" w:rsidRPr="00CF41E9">
        <w:t xml:space="preserve"> </w:t>
      </w:r>
      <w:r w:rsidRPr="00CF41E9">
        <w:t>certification</w:t>
      </w:r>
      <w:r w:rsidR="004B2C64" w:rsidRPr="00CF41E9">
        <w:t xml:space="preserve"> </w:t>
      </w:r>
      <w:r w:rsidR="00A56131" w:rsidRPr="00CF41E9">
        <w:t>and installation are included in some equipment items (e.g. refrigerant storage and distribution system, leak detection system)</w:t>
      </w:r>
      <w:r w:rsidR="004B2C64" w:rsidRPr="00CF41E9">
        <w:t>. The</w:t>
      </w:r>
      <w:r w:rsidR="009B480B" w:rsidRPr="00CF41E9">
        <w:t xml:space="preserve"> contingency was calculated at five</w:t>
      </w:r>
      <w:r w:rsidR="004B2C64" w:rsidRPr="00CF41E9">
        <w:t xml:space="preserve"> per</w:t>
      </w:r>
      <w:r w:rsidR="00977BF4" w:rsidRPr="00CF41E9">
        <w:t xml:space="preserve"> </w:t>
      </w:r>
      <w:r w:rsidR="004B2C64" w:rsidRPr="00CF41E9">
        <w:t>cent of total costs.</w:t>
      </w:r>
    </w:p>
    <w:p w:rsidR="006B6981" w:rsidRPr="00DC627D" w:rsidRDefault="006B6981" w:rsidP="006B6981">
      <w:pPr>
        <w:pStyle w:val="Heading1"/>
      </w:pPr>
      <w:r w:rsidRPr="00DC627D">
        <w:t>The incremental capital costs (ICC</w:t>
      </w:r>
      <w:r>
        <w:t>s</w:t>
      </w:r>
      <w:r w:rsidRPr="00DC627D">
        <w:t>), as originally submitted</w:t>
      </w:r>
      <w:r>
        <w:t>, stand</w:t>
      </w:r>
      <w:r w:rsidRPr="00DC627D">
        <w:t xml:space="preserve"> at </w:t>
      </w:r>
      <w:r w:rsidRPr="00AA0EBE">
        <w:t>US $1,338,689</w:t>
      </w:r>
      <w:r>
        <w:t>, as shown in Table 2</w:t>
      </w:r>
      <w:r w:rsidRPr="00DC627D">
        <w:t>.</w:t>
      </w:r>
      <w:r>
        <w:t xml:space="preserve"> </w:t>
      </w:r>
    </w:p>
    <w:p w:rsidR="006B6981" w:rsidRDefault="006B6981" w:rsidP="006B6981">
      <w:pPr>
        <w:keepNext/>
        <w:autoSpaceDE w:val="0"/>
        <w:autoSpaceDN w:val="0"/>
        <w:adjustRightInd w:val="0"/>
        <w:rPr>
          <w:b/>
          <w:sz w:val="21"/>
          <w:szCs w:val="21"/>
        </w:rPr>
      </w:pPr>
      <w:r w:rsidRPr="004C024F">
        <w:rPr>
          <w:b/>
          <w:sz w:val="21"/>
          <w:szCs w:val="21"/>
        </w:rPr>
        <w:t xml:space="preserve">Table 2. ICCs for the conversion of domestic refrigerator and freezer manufacturing at Capri </w:t>
      </w:r>
    </w:p>
    <w:tbl>
      <w:tblPr>
        <w:tblW w:w="5000" w:type="pct"/>
        <w:tblLook w:val="04A0" w:firstRow="1" w:lastRow="0" w:firstColumn="1" w:lastColumn="0" w:noHBand="0" w:noVBand="1"/>
      </w:tblPr>
      <w:tblGrid>
        <w:gridCol w:w="6149"/>
        <w:gridCol w:w="3201"/>
      </w:tblGrid>
      <w:tr w:rsidR="00044B10" w:rsidRPr="00333FA0" w:rsidTr="00044B10">
        <w:trPr>
          <w:trHeight w:val="50"/>
        </w:trPr>
        <w:tc>
          <w:tcPr>
            <w:tcW w:w="3288" w:type="pct"/>
            <w:tcBorders>
              <w:top w:val="single" w:sz="4" w:space="0" w:color="auto"/>
              <w:left w:val="single" w:sz="4" w:space="0" w:color="auto"/>
              <w:bottom w:val="single" w:sz="4" w:space="0" w:color="auto"/>
              <w:right w:val="single" w:sz="4" w:space="0" w:color="auto"/>
            </w:tcBorders>
            <w:shd w:val="clear" w:color="auto" w:fill="auto"/>
            <w:hideMark/>
          </w:tcPr>
          <w:p w:rsidR="00044B10" w:rsidRPr="00333FA0" w:rsidRDefault="00044B10" w:rsidP="003938A2">
            <w:pPr>
              <w:jc w:val="center"/>
              <w:rPr>
                <w:b/>
                <w:bCs/>
                <w:color w:val="000000"/>
                <w:sz w:val="20"/>
                <w:szCs w:val="20"/>
                <w:lang w:val="en-US" w:eastAsia="zh-CN"/>
              </w:rPr>
            </w:pPr>
            <w:r w:rsidRPr="00333FA0">
              <w:rPr>
                <w:b/>
                <w:bCs/>
                <w:color w:val="000000"/>
                <w:sz w:val="20"/>
                <w:szCs w:val="20"/>
                <w:lang w:val="en-US" w:eastAsia="zh-CN"/>
              </w:rPr>
              <w:t>Description</w:t>
            </w:r>
          </w:p>
        </w:tc>
        <w:tc>
          <w:tcPr>
            <w:tcW w:w="1712" w:type="pct"/>
            <w:tcBorders>
              <w:top w:val="single" w:sz="4" w:space="0" w:color="auto"/>
              <w:left w:val="nil"/>
              <w:bottom w:val="single" w:sz="4" w:space="0" w:color="auto"/>
              <w:right w:val="single" w:sz="4" w:space="0" w:color="auto"/>
            </w:tcBorders>
            <w:shd w:val="clear" w:color="auto" w:fill="auto"/>
            <w:hideMark/>
          </w:tcPr>
          <w:p w:rsidR="00044B10" w:rsidRPr="00333FA0" w:rsidRDefault="00044B10" w:rsidP="003938A2">
            <w:pPr>
              <w:jc w:val="center"/>
              <w:rPr>
                <w:b/>
                <w:bCs/>
                <w:color w:val="000000"/>
                <w:sz w:val="20"/>
                <w:szCs w:val="20"/>
                <w:lang w:val="en-US" w:eastAsia="zh-CN"/>
              </w:rPr>
            </w:pPr>
            <w:r w:rsidRPr="00333FA0">
              <w:rPr>
                <w:b/>
                <w:bCs/>
                <w:color w:val="000000"/>
                <w:sz w:val="20"/>
                <w:szCs w:val="20"/>
                <w:lang w:val="en-US" w:eastAsia="zh-CN"/>
              </w:rPr>
              <w:t>Proposed costs (US $)</w:t>
            </w:r>
          </w:p>
        </w:tc>
      </w:tr>
      <w:tr w:rsidR="00044B10" w:rsidRPr="00333FA0" w:rsidTr="00044B10">
        <w:trPr>
          <w:trHeight w:val="300"/>
        </w:trPr>
        <w:tc>
          <w:tcPr>
            <w:tcW w:w="3288" w:type="pct"/>
            <w:tcBorders>
              <w:top w:val="nil"/>
              <w:left w:val="single" w:sz="4" w:space="0" w:color="auto"/>
              <w:bottom w:val="single" w:sz="4" w:space="0" w:color="auto"/>
              <w:right w:val="single" w:sz="4" w:space="0" w:color="auto"/>
            </w:tcBorders>
            <w:shd w:val="clear" w:color="auto" w:fill="auto"/>
            <w:hideMark/>
          </w:tcPr>
          <w:p w:rsidR="00044B10" w:rsidRPr="00333FA0" w:rsidRDefault="00044B10" w:rsidP="00044B10">
            <w:pPr>
              <w:jc w:val="left"/>
              <w:rPr>
                <w:color w:val="000000"/>
                <w:sz w:val="20"/>
                <w:szCs w:val="20"/>
                <w:lang w:val="en-US" w:eastAsia="zh-CN"/>
              </w:rPr>
            </w:pPr>
            <w:r w:rsidRPr="00333FA0">
              <w:rPr>
                <w:color w:val="000000"/>
                <w:sz w:val="20"/>
                <w:szCs w:val="20"/>
                <w:lang w:val="en-US" w:eastAsia="zh-CN"/>
              </w:rPr>
              <w:t>Refrigerant storage</w:t>
            </w:r>
            <w:r>
              <w:rPr>
                <w:color w:val="000000"/>
                <w:sz w:val="20"/>
                <w:szCs w:val="20"/>
                <w:lang w:val="en-US" w:eastAsia="zh-CN"/>
              </w:rPr>
              <w:t xml:space="preserve">, </w:t>
            </w:r>
            <w:r w:rsidRPr="00333FA0">
              <w:rPr>
                <w:color w:val="000000"/>
                <w:sz w:val="20"/>
                <w:szCs w:val="20"/>
                <w:lang w:val="en-US" w:eastAsia="zh-CN"/>
              </w:rPr>
              <w:t xml:space="preserve">distribution </w:t>
            </w:r>
            <w:r>
              <w:rPr>
                <w:color w:val="000000"/>
                <w:sz w:val="20"/>
                <w:szCs w:val="20"/>
                <w:lang w:val="en-US" w:eastAsia="zh-CN"/>
              </w:rPr>
              <w:t xml:space="preserve">and safety </w:t>
            </w:r>
            <w:r w:rsidRPr="00333FA0">
              <w:rPr>
                <w:color w:val="000000"/>
                <w:sz w:val="20"/>
                <w:szCs w:val="20"/>
                <w:lang w:val="en-US" w:eastAsia="zh-CN"/>
              </w:rPr>
              <w:t>system</w:t>
            </w:r>
          </w:p>
        </w:tc>
        <w:tc>
          <w:tcPr>
            <w:tcW w:w="1712" w:type="pct"/>
            <w:tcBorders>
              <w:top w:val="nil"/>
              <w:left w:val="nil"/>
              <w:bottom w:val="single" w:sz="4" w:space="0" w:color="auto"/>
              <w:right w:val="single" w:sz="4" w:space="0" w:color="auto"/>
            </w:tcBorders>
            <w:shd w:val="clear" w:color="auto" w:fill="auto"/>
            <w:hideMark/>
          </w:tcPr>
          <w:p w:rsidR="00044B10" w:rsidRPr="00333FA0" w:rsidRDefault="00044B10" w:rsidP="00044B10">
            <w:pPr>
              <w:ind w:firstLineChars="100" w:firstLine="200"/>
              <w:jc w:val="right"/>
              <w:rPr>
                <w:color w:val="000000"/>
                <w:sz w:val="20"/>
                <w:szCs w:val="20"/>
                <w:lang w:val="en-US" w:eastAsia="zh-CN"/>
              </w:rPr>
            </w:pPr>
            <w:r w:rsidRPr="00333FA0">
              <w:rPr>
                <w:color w:val="000000"/>
                <w:sz w:val="20"/>
                <w:szCs w:val="20"/>
                <w:lang w:val="en-US" w:eastAsia="zh-CN"/>
              </w:rPr>
              <w:t>1</w:t>
            </w:r>
            <w:r>
              <w:rPr>
                <w:color w:val="000000"/>
                <w:sz w:val="20"/>
                <w:szCs w:val="20"/>
                <w:lang w:val="en-US" w:eastAsia="zh-CN"/>
              </w:rPr>
              <w:t>5</w:t>
            </w:r>
            <w:r w:rsidRPr="00333FA0">
              <w:rPr>
                <w:color w:val="000000"/>
                <w:sz w:val="20"/>
                <w:szCs w:val="20"/>
                <w:lang w:val="en-US" w:eastAsia="zh-CN"/>
              </w:rPr>
              <w:t>5,</w:t>
            </w:r>
            <w:r>
              <w:rPr>
                <w:color w:val="000000"/>
                <w:sz w:val="20"/>
                <w:szCs w:val="20"/>
                <w:lang w:val="en-US" w:eastAsia="zh-CN"/>
              </w:rPr>
              <w:t>5</w:t>
            </w:r>
            <w:r w:rsidRPr="00333FA0">
              <w:rPr>
                <w:color w:val="000000"/>
                <w:sz w:val="20"/>
                <w:szCs w:val="20"/>
                <w:lang w:val="en-US" w:eastAsia="zh-CN"/>
              </w:rPr>
              <w:t>00</w:t>
            </w:r>
          </w:p>
        </w:tc>
      </w:tr>
      <w:tr w:rsidR="00044B10" w:rsidRPr="00333FA0" w:rsidTr="00044B10">
        <w:trPr>
          <w:trHeight w:val="300"/>
        </w:trPr>
        <w:tc>
          <w:tcPr>
            <w:tcW w:w="3288" w:type="pct"/>
            <w:tcBorders>
              <w:top w:val="nil"/>
              <w:left w:val="single" w:sz="4" w:space="0" w:color="auto"/>
              <w:bottom w:val="single" w:sz="4" w:space="0" w:color="auto"/>
              <w:right w:val="single" w:sz="4" w:space="0" w:color="auto"/>
            </w:tcBorders>
            <w:shd w:val="clear" w:color="auto" w:fill="auto"/>
            <w:hideMark/>
          </w:tcPr>
          <w:p w:rsidR="00044B10" w:rsidRPr="00333FA0" w:rsidRDefault="00044B10" w:rsidP="00044B10">
            <w:pPr>
              <w:jc w:val="left"/>
              <w:rPr>
                <w:color w:val="000000"/>
                <w:sz w:val="20"/>
                <w:szCs w:val="20"/>
                <w:lang w:val="en-US" w:eastAsia="zh-CN"/>
              </w:rPr>
            </w:pPr>
            <w:r w:rsidRPr="00333FA0">
              <w:rPr>
                <w:color w:val="000000"/>
                <w:sz w:val="20"/>
                <w:szCs w:val="20"/>
                <w:lang w:val="en-US" w:eastAsia="zh-CN"/>
              </w:rPr>
              <w:t>Helium leak-detection</w:t>
            </w:r>
            <w:r>
              <w:rPr>
                <w:color w:val="000000"/>
                <w:sz w:val="20"/>
                <w:szCs w:val="20"/>
                <w:lang w:val="en-US" w:eastAsia="zh-CN"/>
              </w:rPr>
              <w:t xml:space="preserve"> </w:t>
            </w:r>
            <w:r w:rsidRPr="00333FA0">
              <w:rPr>
                <w:color w:val="000000"/>
                <w:sz w:val="20"/>
                <w:szCs w:val="20"/>
                <w:lang w:val="en-US" w:eastAsia="zh-CN"/>
              </w:rPr>
              <w:t>system</w:t>
            </w:r>
            <w:r>
              <w:rPr>
                <w:color w:val="000000"/>
                <w:sz w:val="20"/>
                <w:szCs w:val="20"/>
                <w:lang w:val="en-US" w:eastAsia="zh-CN"/>
              </w:rPr>
              <w:t xml:space="preserve"> including helium storage and recovery</w:t>
            </w:r>
          </w:p>
        </w:tc>
        <w:tc>
          <w:tcPr>
            <w:tcW w:w="1712" w:type="pct"/>
            <w:tcBorders>
              <w:top w:val="nil"/>
              <w:left w:val="nil"/>
              <w:bottom w:val="single" w:sz="4" w:space="0" w:color="auto"/>
              <w:right w:val="single" w:sz="4" w:space="0" w:color="auto"/>
            </w:tcBorders>
            <w:shd w:val="clear" w:color="auto" w:fill="auto"/>
            <w:hideMark/>
          </w:tcPr>
          <w:p w:rsidR="00044B10" w:rsidRPr="00333FA0" w:rsidRDefault="00044B10" w:rsidP="003938A2">
            <w:pPr>
              <w:ind w:firstLineChars="100" w:firstLine="200"/>
              <w:jc w:val="right"/>
              <w:rPr>
                <w:color w:val="000000"/>
                <w:sz w:val="20"/>
                <w:szCs w:val="20"/>
                <w:lang w:val="en-US" w:eastAsia="zh-CN"/>
              </w:rPr>
            </w:pPr>
            <w:r w:rsidRPr="00333FA0">
              <w:rPr>
                <w:color w:val="000000"/>
                <w:sz w:val="20"/>
                <w:szCs w:val="20"/>
                <w:lang w:val="en-US" w:eastAsia="zh-CN"/>
              </w:rPr>
              <w:t>258,017</w:t>
            </w:r>
          </w:p>
        </w:tc>
      </w:tr>
      <w:tr w:rsidR="00044B10" w:rsidRPr="00333FA0" w:rsidTr="00044B10">
        <w:trPr>
          <w:trHeight w:val="300"/>
        </w:trPr>
        <w:tc>
          <w:tcPr>
            <w:tcW w:w="3288" w:type="pct"/>
            <w:tcBorders>
              <w:top w:val="nil"/>
              <w:left w:val="single" w:sz="4" w:space="0" w:color="auto"/>
              <w:bottom w:val="single" w:sz="4" w:space="0" w:color="auto"/>
              <w:right w:val="single" w:sz="4" w:space="0" w:color="auto"/>
            </w:tcBorders>
            <w:shd w:val="clear" w:color="auto" w:fill="auto"/>
            <w:noWrap/>
            <w:hideMark/>
          </w:tcPr>
          <w:p w:rsidR="00044B10" w:rsidRPr="00333FA0" w:rsidRDefault="00044B10" w:rsidP="003938A2">
            <w:pPr>
              <w:jc w:val="left"/>
              <w:rPr>
                <w:color w:val="000000"/>
                <w:sz w:val="20"/>
                <w:szCs w:val="20"/>
                <w:lang w:val="en-US" w:eastAsia="zh-CN"/>
              </w:rPr>
            </w:pPr>
            <w:r w:rsidRPr="00333FA0">
              <w:rPr>
                <w:color w:val="000000"/>
                <w:sz w:val="20"/>
                <w:szCs w:val="20"/>
                <w:lang w:val="en-US" w:eastAsia="zh-CN"/>
              </w:rPr>
              <w:t>Vacuum pump and accessories</w:t>
            </w:r>
            <w:r>
              <w:rPr>
                <w:color w:val="000000"/>
                <w:sz w:val="20"/>
                <w:szCs w:val="20"/>
                <w:lang w:val="en-US" w:eastAsia="zh-CN"/>
              </w:rPr>
              <w:t xml:space="preserve"> (60 units)</w:t>
            </w:r>
          </w:p>
        </w:tc>
        <w:tc>
          <w:tcPr>
            <w:tcW w:w="1712" w:type="pct"/>
            <w:tcBorders>
              <w:top w:val="nil"/>
              <w:left w:val="nil"/>
              <w:bottom w:val="single" w:sz="4" w:space="0" w:color="auto"/>
              <w:right w:val="single" w:sz="4" w:space="0" w:color="auto"/>
            </w:tcBorders>
            <w:shd w:val="clear" w:color="auto" w:fill="auto"/>
            <w:noWrap/>
            <w:hideMark/>
          </w:tcPr>
          <w:p w:rsidR="00044B10" w:rsidRPr="00333FA0" w:rsidRDefault="00044B10" w:rsidP="003938A2">
            <w:pPr>
              <w:ind w:firstLineChars="100" w:firstLine="200"/>
              <w:jc w:val="right"/>
              <w:rPr>
                <w:color w:val="000000"/>
                <w:sz w:val="20"/>
                <w:szCs w:val="20"/>
                <w:lang w:val="en-US" w:eastAsia="zh-CN"/>
              </w:rPr>
            </w:pPr>
            <w:r w:rsidRPr="00333FA0">
              <w:rPr>
                <w:color w:val="000000"/>
                <w:sz w:val="20"/>
                <w:szCs w:val="20"/>
                <w:lang w:val="en-US" w:eastAsia="zh-CN"/>
              </w:rPr>
              <w:t>291,658</w:t>
            </w:r>
          </w:p>
        </w:tc>
      </w:tr>
      <w:tr w:rsidR="00044B10" w:rsidRPr="00333FA0" w:rsidTr="00044B10">
        <w:trPr>
          <w:trHeight w:val="300"/>
        </w:trPr>
        <w:tc>
          <w:tcPr>
            <w:tcW w:w="3288" w:type="pct"/>
            <w:tcBorders>
              <w:top w:val="nil"/>
              <w:left w:val="single" w:sz="4" w:space="0" w:color="auto"/>
              <w:bottom w:val="single" w:sz="4" w:space="0" w:color="auto"/>
              <w:right w:val="single" w:sz="4" w:space="0" w:color="auto"/>
            </w:tcBorders>
            <w:shd w:val="clear" w:color="auto" w:fill="auto"/>
            <w:hideMark/>
          </w:tcPr>
          <w:p w:rsidR="00044B10" w:rsidRPr="00333FA0" w:rsidRDefault="00044B10" w:rsidP="003938A2">
            <w:pPr>
              <w:jc w:val="left"/>
              <w:rPr>
                <w:color w:val="000000"/>
                <w:sz w:val="20"/>
                <w:szCs w:val="20"/>
                <w:lang w:val="en-US" w:eastAsia="zh-CN"/>
              </w:rPr>
            </w:pPr>
            <w:r w:rsidRPr="00333FA0">
              <w:rPr>
                <w:color w:val="000000"/>
                <w:sz w:val="20"/>
                <w:szCs w:val="20"/>
                <w:lang w:val="en-US" w:eastAsia="zh-CN"/>
              </w:rPr>
              <w:t>Refrigerant-charging system</w:t>
            </w:r>
            <w:r>
              <w:rPr>
                <w:color w:val="000000"/>
                <w:sz w:val="20"/>
                <w:szCs w:val="20"/>
                <w:lang w:val="en-US" w:eastAsia="zh-CN"/>
              </w:rPr>
              <w:t xml:space="preserve"> including pumps and accessories</w:t>
            </w:r>
          </w:p>
        </w:tc>
        <w:tc>
          <w:tcPr>
            <w:tcW w:w="1712" w:type="pct"/>
            <w:tcBorders>
              <w:top w:val="nil"/>
              <w:left w:val="nil"/>
              <w:bottom w:val="single" w:sz="4" w:space="0" w:color="auto"/>
              <w:right w:val="single" w:sz="4" w:space="0" w:color="auto"/>
            </w:tcBorders>
            <w:shd w:val="clear" w:color="auto" w:fill="auto"/>
            <w:hideMark/>
          </w:tcPr>
          <w:p w:rsidR="00044B10" w:rsidRPr="00333FA0" w:rsidRDefault="00044B10" w:rsidP="003938A2">
            <w:pPr>
              <w:ind w:firstLineChars="100" w:firstLine="200"/>
              <w:jc w:val="right"/>
              <w:rPr>
                <w:color w:val="000000"/>
                <w:sz w:val="20"/>
                <w:szCs w:val="20"/>
                <w:lang w:val="en-US" w:eastAsia="zh-CN"/>
              </w:rPr>
            </w:pPr>
            <w:r w:rsidRPr="00333FA0">
              <w:rPr>
                <w:color w:val="000000"/>
                <w:sz w:val="20"/>
                <w:szCs w:val="20"/>
                <w:lang w:val="en-US" w:eastAsia="zh-CN"/>
              </w:rPr>
              <w:t>220,502</w:t>
            </w:r>
          </w:p>
        </w:tc>
      </w:tr>
      <w:tr w:rsidR="00044B10" w:rsidRPr="00333FA0" w:rsidTr="00044B10">
        <w:trPr>
          <w:trHeight w:val="300"/>
        </w:trPr>
        <w:tc>
          <w:tcPr>
            <w:tcW w:w="3288" w:type="pct"/>
            <w:tcBorders>
              <w:top w:val="nil"/>
              <w:left w:val="single" w:sz="4" w:space="0" w:color="auto"/>
              <w:bottom w:val="single" w:sz="4" w:space="0" w:color="auto"/>
              <w:right w:val="single" w:sz="4" w:space="0" w:color="auto"/>
            </w:tcBorders>
            <w:shd w:val="clear" w:color="auto" w:fill="auto"/>
            <w:hideMark/>
          </w:tcPr>
          <w:p w:rsidR="00044B10" w:rsidRPr="00333FA0" w:rsidRDefault="00044B10" w:rsidP="003938A2">
            <w:pPr>
              <w:jc w:val="left"/>
              <w:rPr>
                <w:color w:val="000000"/>
                <w:sz w:val="20"/>
                <w:szCs w:val="20"/>
                <w:lang w:val="en-US" w:eastAsia="zh-CN"/>
              </w:rPr>
            </w:pPr>
            <w:r w:rsidRPr="00333FA0">
              <w:rPr>
                <w:color w:val="000000"/>
                <w:sz w:val="20"/>
                <w:szCs w:val="20"/>
                <w:lang w:val="en-US" w:eastAsia="zh-CN"/>
              </w:rPr>
              <w:t xml:space="preserve">Leak detection for </w:t>
            </w:r>
            <w:r>
              <w:rPr>
                <w:color w:val="000000"/>
                <w:sz w:val="20"/>
                <w:szCs w:val="20"/>
                <w:lang w:val="en-US" w:eastAsia="zh-CN"/>
              </w:rPr>
              <w:t xml:space="preserve">R-600a in refrigerant </w:t>
            </w:r>
            <w:r w:rsidRPr="00333FA0">
              <w:rPr>
                <w:color w:val="000000"/>
                <w:sz w:val="20"/>
                <w:szCs w:val="20"/>
                <w:lang w:val="en-US" w:eastAsia="zh-CN"/>
              </w:rPr>
              <w:t>charging area</w:t>
            </w:r>
          </w:p>
        </w:tc>
        <w:tc>
          <w:tcPr>
            <w:tcW w:w="1712" w:type="pct"/>
            <w:tcBorders>
              <w:top w:val="nil"/>
              <w:left w:val="nil"/>
              <w:bottom w:val="single" w:sz="4" w:space="0" w:color="auto"/>
              <w:right w:val="single" w:sz="4" w:space="0" w:color="auto"/>
            </w:tcBorders>
            <w:shd w:val="clear" w:color="auto" w:fill="auto"/>
            <w:hideMark/>
          </w:tcPr>
          <w:p w:rsidR="00044B10" w:rsidRPr="00333FA0" w:rsidRDefault="00044B10" w:rsidP="003938A2">
            <w:pPr>
              <w:ind w:firstLineChars="100" w:firstLine="200"/>
              <w:jc w:val="right"/>
              <w:rPr>
                <w:color w:val="000000"/>
                <w:sz w:val="20"/>
                <w:szCs w:val="20"/>
                <w:lang w:val="en-US" w:eastAsia="zh-CN"/>
              </w:rPr>
            </w:pPr>
            <w:r w:rsidRPr="00333FA0">
              <w:rPr>
                <w:color w:val="000000"/>
                <w:sz w:val="20"/>
                <w:szCs w:val="20"/>
                <w:lang w:val="en-US" w:eastAsia="zh-CN"/>
              </w:rPr>
              <w:t>36,759</w:t>
            </w:r>
          </w:p>
        </w:tc>
      </w:tr>
      <w:tr w:rsidR="00044B10" w:rsidRPr="00333FA0" w:rsidTr="00044B10">
        <w:trPr>
          <w:trHeight w:val="300"/>
        </w:trPr>
        <w:tc>
          <w:tcPr>
            <w:tcW w:w="3288" w:type="pct"/>
            <w:tcBorders>
              <w:top w:val="nil"/>
              <w:left w:val="single" w:sz="4" w:space="0" w:color="auto"/>
              <w:bottom w:val="single" w:sz="4" w:space="0" w:color="auto"/>
              <w:right w:val="single" w:sz="4" w:space="0" w:color="auto"/>
            </w:tcBorders>
            <w:shd w:val="clear" w:color="auto" w:fill="auto"/>
            <w:hideMark/>
          </w:tcPr>
          <w:p w:rsidR="00044B10" w:rsidRPr="00333FA0" w:rsidRDefault="00044B10" w:rsidP="003938A2">
            <w:pPr>
              <w:jc w:val="left"/>
              <w:rPr>
                <w:color w:val="000000"/>
                <w:sz w:val="20"/>
                <w:szCs w:val="20"/>
                <w:lang w:val="en-US" w:eastAsia="zh-CN"/>
              </w:rPr>
            </w:pPr>
            <w:r w:rsidRPr="00333FA0">
              <w:rPr>
                <w:color w:val="000000"/>
                <w:sz w:val="20"/>
                <w:szCs w:val="20"/>
                <w:lang w:val="en-US" w:eastAsia="zh-CN"/>
              </w:rPr>
              <w:t>Ultrasonic welding machine</w:t>
            </w:r>
          </w:p>
        </w:tc>
        <w:tc>
          <w:tcPr>
            <w:tcW w:w="1712" w:type="pct"/>
            <w:tcBorders>
              <w:top w:val="nil"/>
              <w:left w:val="nil"/>
              <w:bottom w:val="single" w:sz="4" w:space="0" w:color="auto"/>
              <w:right w:val="single" w:sz="4" w:space="0" w:color="auto"/>
            </w:tcBorders>
            <w:shd w:val="clear" w:color="auto" w:fill="auto"/>
            <w:hideMark/>
          </w:tcPr>
          <w:p w:rsidR="00044B10" w:rsidRPr="00333FA0" w:rsidRDefault="00044B10" w:rsidP="003938A2">
            <w:pPr>
              <w:ind w:firstLineChars="100" w:firstLine="200"/>
              <w:jc w:val="right"/>
              <w:rPr>
                <w:color w:val="000000"/>
                <w:sz w:val="20"/>
                <w:szCs w:val="20"/>
                <w:lang w:val="en-US" w:eastAsia="zh-CN"/>
              </w:rPr>
            </w:pPr>
            <w:r w:rsidRPr="00333FA0">
              <w:rPr>
                <w:color w:val="000000"/>
                <w:sz w:val="20"/>
                <w:szCs w:val="20"/>
                <w:lang w:val="en-US" w:eastAsia="zh-CN"/>
              </w:rPr>
              <w:t>99,519</w:t>
            </w:r>
          </w:p>
        </w:tc>
      </w:tr>
      <w:tr w:rsidR="00044B10" w:rsidRPr="00333FA0" w:rsidTr="00C33A15">
        <w:trPr>
          <w:trHeight w:val="300"/>
        </w:trPr>
        <w:tc>
          <w:tcPr>
            <w:tcW w:w="3288" w:type="pct"/>
            <w:tcBorders>
              <w:top w:val="nil"/>
              <w:left w:val="single" w:sz="4" w:space="0" w:color="auto"/>
              <w:bottom w:val="single" w:sz="4" w:space="0" w:color="auto"/>
              <w:right w:val="single" w:sz="4" w:space="0" w:color="auto"/>
            </w:tcBorders>
            <w:shd w:val="clear" w:color="auto" w:fill="auto"/>
            <w:hideMark/>
          </w:tcPr>
          <w:p w:rsidR="00044B10" w:rsidRPr="00333FA0" w:rsidRDefault="00044B10" w:rsidP="00C33A15">
            <w:pPr>
              <w:jc w:val="left"/>
              <w:rPr>
                <w:color w:val="000000"/>
                <w:sz w:val="20"/>
                <w:szCs w:val="20"/>
                <w:lang w:val="en-US" w:eastAsia="zh-CN"/>
              </w:rPr>
            </w:pPr>
            <w:r w:rsidRPr="00333FA0">
              <w:rPr>
                <w:color w:val="000000"/>
                <w:sz w:val="20"/>
                <w:szCs w:val="20"/>
                <w:lang w:val="en-US" w:eastAsia="zh-CN"/>
              </w:rPr>
              <w:t>Gas evacuation system for repair area</w:t>
            </w:r>
          </w:p>
        </w:tc>
        <w:tc>
          <w:tcPr>
            <w:tcW w:w="1712" w:type="pct"/>
            <w:tcBorders>
              <w:top w:val="nil"/>
              <w:left w:val="nil"/>
              <w:bottom w:val="single" w:sz="4" w:space="0" w:color="auto"/>
              <w:right w:val="single" w:sz="4" w:space="0" w:color="auto"/>
            </w:tcBorders>
            <w:shd w:val="clear" w:color="auto" w:fill="auto"/>
            <w:hideMark/>
          </w:tcPr>
          <w:p w:rsidR="00044B10" w:rsidRPr="00333FA0" w:rsidRDefault="00044B10" w:rsidP="00C33A15">
            <w:pPr>
              <w:ind w:firstLineChars="100" w:firstLine="200"/>
              <w:jc w:val="right"/>
              <w:rPr>
                <w:color w:val="000000"/>
                <w:sz w:val="20"/>
                <w:szCs w:val="20"/>
                <w:lang w:val="en-US" w:eastAsia="zh-CN"/>
              </w:rPr>
            </w:pPr>
            <w:r w:rsidRPr="00333FA0">
              <w:rPr>
                <w:color w:val="000000"/>
                <w:sz w:val="20"/>
                <w:szCs w:val="20"/>
                <w:lang w:val="en-US" w:eastAsia="zh-CN"/>
              </w:rPr>
              <w:t>27,380</w:t>
            </w:r>
          </w:p>
        </w:tc>
      </w:tr>
      <w:tr w:rsidR="00044B10" w:rsidRPr="00333FA0" w:rsidTr="00044B10">
        <w:trPr>
          <w:trHeight w:val="300"/>
        </w:trPr>
        <w:tc>
          <w:tcPr>
            <w:tcW w:w="3288" w:type="pct"/>
            <w:tcBorders>
              <w:top w:val="nil"/>
              <w:left w:val="single" w:sz="4" w:space="0" w:color="auto"/>
              <w:bottom w:val="single" w:sz="4" w:space="0" w:color="auto"/>
              <w:right w:val="single" w:sz="4" w:space="0" w:color="auto"/>
            </w:tcBorders>
            <w:shd w:val="clear" w:color="auto" w:fill="auto"/>
            <w:hideMark/>
          </w:tcPr>
          <w:p w:rsidR="00044B10" w:rsidRPr="00044B10" w:rsidRDefault="00044B10" w:rsidP="003938A2">
            <w:pPr>
              <w:jc w:val="left"/>
              <w:rPr>
                <w:color w:val="000000"/>
                <w:sz w:val="20"/>
                <w:szCs w:val="20"/>
                <w:lang w:val="en-US" w:eastAsia="zh-CN"/>
              </w:rPr>
            </w:pPr>
            <w:r w:rsidRPr="00044B10">
              <w:rPr>
                <w:color w:val="000000"/>
                <w:sz w:val="20"/>
                <w:szCs w:val="20"/>
                <w:lang w:val="en-US" w:eastAsia="zh-CN"/>
              </w:rPr>
              <w:t>Safety and ventilation</w:t>
            </w:r>
          </w:p>
        </w:tc>
        <w:tc>
          <w:tcPr>
            <w:tcW w:w="1712" w:type="pct"/>
            <w:tcBorders>
              <w:top w:val="nil"/>
              <w:left w:val="nil"/>
              <w:bottom w:val="single" w:sz="4" w:space="0" w:color="auto"/>
              <w:right w:val="single" w:sz="4" w:space="0" w:color="auto"/>
            </w:tcBorders>
            <w:shd w:val="clear" w:color="auto" w:fill="auto"/>
            <w:hideMark/>
          </w:tcPr>
          <w:p w:rsidR="00044B10" w:rsidRPr="00044B10" w:rsidRDefault="00044B10" w:rsidP="003938A2">
            <w:pPr>
              <w:ind w:firstLineChars="100" w:firstLine="200"/>
              <w:jc w:val="right"/>
              <w:rPr>
                <w:color w:val="000000"/>
                <w:sz w:val="20"/>
                <w:szCs w:val="20"/>
                <w:lang w:val="en-US" w:eastAsia="zh-CN"/>
              </w:rPr>
            </w:pPr>
            <w:r w:rsidRPr="00044B10">
              <w:rPr>
                <w:color w:val="000000"/>
                <w:sz w:val="20"/>
                <w:szCs w:val="20"/>
                <w:lang w:val="en-US" w:eastAsia="zh-CN"/>
              </w:rPr>
              <w:t>107,133</w:t>
            </w:r>
          </w:p>
        </w:tc>
      </w:tr>
      <w:tr w:rsidR="00044B10" w:rsidRPr="00333FA0" w:rsidTr="00CF41E9">
        <w:trPr>
          <w:trHeight w:val="45"/>
        </w:trPr>
        <w:tc>
          <w:tcPr>
            <w:tcW w:w="3288" w:type="pct"/>
            <w:tcBorders>
              <w:top w:val="nil"/>
              <w:left w:val="single" w:sz="4" w:space="0" w:color="auto"/>
              <w:bottom w:val="single" w:sz="4" w:space="0" w:color="auto"/>
              <w:right w:val="single" w:sz="4" w:space="0" w:color="auto"/>
            </w:tcBorders>
            <w:shd w:val="clear" w:color="auto" w:fill="auto"/>
            <w:noWrap/>
            <w:hideMark/>
          </w:tcPr>
          <w:p w:rsidR="00044B10" w:rsidRPr="00CF41E9" w:rsidRDefault="00044B10" w:rsidP="003938A2">
            <w:pPr>
              <w:jc w:val="left"/>
              <w:rPr>
                <w:b/>
                <w:color w:val="000000"/>
                <w:sz w:val="20"/>
                <w:lang w:val="en-US"/>
              </w:rPr>
            </w:pPr>
            <w:r w:rsidRPr="00D931BB">
              <w:rPr>
                <w:b/>
                <w:bCs/>
                <w:color w:val="000000"/>
                <w:sz w:val="20"/>
                <w:szCs w:val="20"/>
                <w:lang w:val="en-US" w:eastAsia="zh-CN"/>
              </w:rPr>
              <w:softHyphen/>
              <w:t>Sub</w:t>
            </w:r>
            <w:r w:rsidRPr="00CF41E9">
              <w:rPr>
                <w:b/>
                <w:color w:val="000000"/>
                <w:sz w:val="20"/>
                <w:lang w:val="en-US"/>
              </w:rPr>
              <w:t>-total</w:t>
            </w:r>
          </w:p>
        </w:tc>
        <w:tc>
          <w:tcPr>
            <w:tcW w:w="1712" w:type="pct"/>
            <w:tcBorders>
              <w:top w:val="nil"/>
              <w:left w:val="nil"/>
              <w:bottom w:val="single" w:sz="4" w:space="0" w:color="auto"/>
              <w:right w:val="single" w:sz="4" w:space="0" w:color="auto"/>
            </w:tcBorders>
            <w:shd w:val="clear" w:color="auto" w:fill="auto"/>
            <w:hideMark/>
          </w:tcPr>
          <w:p w:rsidR="00044B10" w:rsidRPr="00CF41E9" w:rsidRDefault="00044B10" w:rsidP="003938A2">
            <w:pPr>
              <w:ind w:firstLineChars="100" w:firstLine="200"/>
              <w:jc w:val="right"/>
              <w:rPr>
                <w:b/>
                <w:color w:val="000000"/>
                <w:sz w:val="20"/>
                <w:lang w:val="en-US"/>
              </w:rPr>
            </w:pPr>
            <w:r w:rsidRPr="00CF41E9">
              <w:rPr>
                <w:b/>
                <w:color w:val="000000"/>
                <w:sz w:val="20"/>
                <w:lang w:val="en-US"/>
              </w:rPr>
              <w:t>1,196,468</w:t>
            </w:r>
          </w:p>
        </w:tc>
      </w:tr>
      <w:tr w:rsidR="00044B10" w:rsidRPr="00333FA0" w:rsidTr="00CF41E9">
        <w:trPr>
          <w:trHeight w:val="45"/>
        </w:trPr>
        <w:tc>
          <w:tcPr>
            <w:tcW w:w="3288" w:type="pct"/>
            <w:tcBorders>
              <w:top w:val="nil"/>
              <w:left w:val="single" w:sz="4" w:space="0" w:color="auto"/>
              <w:bottom w:val="single" w:sz="4" w:space="0" w:color="auto"/>
              <w:right w:val="single" w:sz="4" w:space="0" w:color="auto"/>
            </w:tcBorders>
            <w:shd w:val="clear" w:color="auto" w:fill="auto"/>
            <w:hideMark/>
          </w:tcPr>
          <w:p w:rsidR="00044B10" w:rsidRPr="00333FA0" w:rsidRDefault="00D931BB" w:rsidP="00044B10">
            <w:pPr>
              <w:jc w:val="left"/>
              <w:rPr>
                <w:color w:val="000000"/>
                <w:sz w:val="20"/>
                <w:szCs w:val="20"/>
                <w:lang w:val="en-US" w:eastAsia="zh-CN"/>
              </w:rPr>
            </w:pPr>
            <w:r>
              <w:rPr>
                <w:color w:val="000000"/>
                <w:sz w:val="20"/>
                <w:szCs w:val="20"/>
                <w:lang w:val="en-US" w:eastAsia="zh-CN"/>
              </w:rPr>
              <w:t xml:space="preserve">Inspection visit, </w:t>
            </w:r>
            <w:r w:rsidR="00044B10">
              <w:rPr>
                <w:color w:val="000000"/>
                <w:sz w:val="20"/>
                <w:szCs w:val="20"/>
                <w:lang w:val="en-US" w:eastAsia="zh-CN"/>
              </w:rPr>
              <w:t>spare parts</w:t>
            </w:r>
            <w:r w:rsidR="0044613F">
              <w:rPr>
                <w:color w:val="000000"/>
                <w:sz w:val="20"/>
                <w:szCs w:val="20"/>
                <w:lang w:val="en-US" w:eastAsia="zh-CN"/>
              </w:rPr>
              <w:t xml:space="preserve"> and </w:t>
            </w:r>
            <w:r>
              <w:rPr>
                <w:color w:val="000000"/>
                <w:sz w:val="20"/>
                <w:szCs w:val="20"/>
                <w:lang w:val="en-US" w:eastAsia="zh-CN"/>
              </w:rPr>
              <w:t>startup</w:t>
            </w:r>
          </w:p>
        </w:tc>
        <w:tc>
          <w:tcPr>
            <w:tcW w:w="1712" w:type="pct"/>
            <w:tcBorders>
              <w:top w:val="nil"/>
              <w:left w:val="nil"/>
              <w:bottom w:val="single" w:sz="4" w:space="0" w:color="auto"/>
              <w:right w:val="single" w:sz="4" w:space="0" w:color="auto"/>
            </w:tcBorders>
            <w:shd w:val="clear" w:color="auto" w:fill="auto"/>
            <w:hideMark/>
          </w:tcPr>
          <w:p w:rsidR="00044B10" w:rsidRPr="00333FA0" w:rsidRDefault="00044B10" w:rsidP="003938A2">
            <w:pPr>
              <w:ind w:firstLineChars="100" w:firstLine="200"/>
              <w:jc w:val="right"/>
              <w:rPr>
                <w:color w:val="000000"/>
                <w:sz w:val="20"/>
                <w:szCs w:val="20"/>
                <w:lang w:val="en-US" w:eastAsia="zh-CN"/>
              </w:rPr>
            </w:pPr>
            <w:r w:rsidRPr="00333FA0">
              <w:rPr>
                <w:color w:val="000000"/>
                <w:sz w:val="20"/>
                <w:szCs w:val="20"/>
                <w:lang w:val="en-US" w:eastAsia="zh-CN"/>
              </w:rPr>
              <w:t>78,474</w:t>
            </w:r>
          </w:p>
        </w:tc>
      </w:tr>
      <w:tr w:rsidR="00044B10" w:rsidRPr="00333FA0" w:rsidTr="00CF41E9">
        <w:trPr>
          <w:trHeight w:val="45"/>
        </w:trPr>
        <w:tc>
          <w:tcPr>
            <w:tcW w:w="3288" w:type="pct"/>
            <w:tcBorders>
              <w:top w:val="nil"/>
              <w:left w:val="single" w:sz="4" w:space="0" w:color="auto"/>
              <w:bottom w:val="single" w:sz="4" w:space="0" w:color="auto"/>
              <w:right w:val="single" w:sz="4" w:space="0" w:color="auto"/>
            </w:tcBorders>
            <w:shd w:val="clear" w:color="auto" w:fill="auto"/>
            <w:hideMark/>
          </w:tcPr>
          <w:p w:rsidR="00044B10" w:rsidRPr="00333FA0" w:rsidRDefault="00044B10" w:rsidP="001130AB">
            <w:pPr>
              <w:jc w:val="left"/>
              <w:rPr>
                <w:color w:val="000000"/>
                <w:sz w:val="20"/>
                <w:szCs w:val="20"/>
                <w:lang w:val="en-US" w:eastAsia="zh-CN"/>
              </w:rPr>
            </w:pPr>
            <w:r w:rsidRPr="00333FA0">
              <w:rPr>
                <w:color w:val="000000"/>
                <w:sz w:val="20"/>
                <w:szCs w:val="20"/>
                <w:lang w:val="en-US" w:eastAsia="zh-CN"/>
              </w:rPr>
              <w:t>Contingency</w:t>
            </w:r>
            <w:r>
              <w:rPr>
                <w:color w:val="000000"/>
                <w:sz w:val="20"/>
                <w:szCs w:val="20"/>
                <w:lang w:val="en-US" w:eastAsia="zh-CN"/>
              </w:rPr>
              <w:t xml:space="preserve"> (5 per cent</w:t>
            </w:r>
            <w:r w:rsidR="001130AB">
              <w:rPr>
                <w:color w:val="000000"/>
                <w:sz w:val="20"/>
                <w:szCs w:val="20"/>
                <w:lang w:val="en-US" w:eastAsia="zh-CN"/>
              </w:rPr>
              <w:t>)</w:t>
            </w:r>
          </w:p>
        </w:tc>
        <w:tc>
          <w:tcPr>
            <w:tcW w:w="1712" w:type="pct"/>
            <w:tcBorders>
              <w:top w:val="nil"/>
              <w:left w:val="nil"/>
              <w:bottom w:val="single" w:sz="4" w:space="0" w:color="auto"/>
              <w:right w:val="single" w:sz="4" w:space="0" w:color="auto"/>
            </w:tcBorders>
            <w:shd w:val="clear" w:color="auto" w:fill="auto"/>
            <w:hideMark/>
          </w:tcPr>
          <w:p w:rsidR="00044B10" w:rsidRPr="00333FA0" w:rsidRDefault="00044B10" w:rsidP="00044B10">
            <w:pPr>
              <w:ind w:firstLineChars="100" w:firstLine="200"/>
              <w:jc w:val="right"/>
              <w:rPr>
                <w:color w:val="000000"/>
                <w:sz w:val="20"/>
                <w:szCs w:val="20"/>
                <w:lang w:val="en-US" w:eastAsia="zh-CN"/>
              </w:rPr>
            </w:pPr>
            <w:r w:rsidRPr="00333FA0">
              <w:rPr>
                <w:color w:val="000000"/>
                <w:sz w:val="20"/>
                <w:szCs w:val="20"/>
                <w:lang w:val="en-US" w:eastAsia="zh-CN"/>
              </w:rPr>
              <w:t>63,747</w:t>
            </w:r>
          </w:p>
        </w:tc>
      </w:tr>
      <w:tr w:rsidR="00044B10" w:rsidRPr="00333FA0" w:rsidTr="00044B10">
        <w:trPr>
          <w:trHeight w:val="50"/>
        </w:trPr>
        <w:tc>
          <w:tcPr>
            <w:tcW w:w="3288" w:type="pct"/>
            <w:tcBorders>
              <w:top w:val="nil"/>
              <w:left w:val="single" w:sz="4" w:space="0" w:color="auto"/>
              <w:bottom w:val="single" w:sz="4" w:space="0" w:color="auto"/>
              <w:right w:val="single" w:sz="4" w:space="0" w:color="auto"/>
            </w:tcBorders>
            <w:shd w:val="clear" w:color="auto" w:fill="auto"/>
            <w:hideMark/>
          </w:tcPr>
          <w:p w:rsidR="00044B10" w:rsidRPr="00044B10" w:rsidRDefault="00044B10" w:rsidP="003938A2">
            <w:pPr>
              <w:jc w:val="left"/>
              <w:rPr>
                <w:b/>
                <w:color w:val="000000"/>
                <w:sz w:val="20"/>
                <w:szCs w:val="20"/>
                <w:lang w:val="en-US" w:eastAsia="zh-CN"/>
              </w:rPr>
            </w:pPr>
            <w:r w:rsidRPr="00044B10">
              <w:rPr>
                <w:b/>
                <w:color w:val="000000"/>
                <w:sz w:val="20"/>
                <w:szCs w:val="20"/>
                <w:lang w:val="en-US" w:eastAsia="zh-CN"/>
              </w:rPr>
              <w:t>Total ICCs</w:t>
            </w:r>
          </w:p>
        </w:tc>
        <w:tc>
          <w:tcPr>
            <w:tcW w:w="1712" w:type="pct"/>
            <w:tcBorders>
              <w:top w:val="nil"/>
              <w:left w:val="nil"/>
              <w:bottom w:val="single" w:sz="4" w:space="0" w:color="auto"/>
              <w:right w:val="single" w:sz="4" w:space="0" w:color="auto"/>
            </w:tcBorders>
            <w:shd w:val="clear" w:color="auto" w:fill="auto"/>
            <w:hideMark/>
          </w:tcPr>
          <w:p w:rsidR="00044B10" w:rsidRPr="00044B10" w:rsidRDefault="00044B10" w:rsidP="003938A2">
            <w:pPr>
              <w:ind w:firstLineChars="100" w:firstLine="200"/>
              <w:jc w:val="right"/>
              <w:rPr>
                <w:b/>
                <w:color w:val="000000"/>
                <w:sz w:val="20"/>
                <w:szCs w:val="20"/>
                <w:lang w:val="en-US" w:eastAsia="zh-CN"/>
              </w:rPr>
            </w:pPr>
            <w:r w:rsidRPr="00044B10">
              <w:rPr>
                <w:b/>
                <w:color w:val="000000"/>
                <w:sz w:val="20"/>
                <w:szCs w:val="20"/>
                <w:lang w:val="en-US" w:eastAsia="zh-CN"/>
              </w:rPr>
              <w:t>1,338,689</w:t>
            </w:r>
          </w:p>
        </w:tc>
      </w:tr>
      <w:tr w:rsidR="00044B10" w:rsidRPr="00333FA0" w:rsidTr="00044B10">
        <w:trPr>
          <w:trHeight w:val="50"/>
        </w:trPr>
        <w:tc>
          <w:tcPr>
            <w:tcW w:w="3288" w:type="pct"/>
            <w:tcBorders>
              <w:top w:val="nil"/>
              <w:left w:val="single" w:sz="4" w:space="0" w:color="auto"/>
              <w:bottom w:val="single" w:sz="4" w:space="0" w:color="auto"/>
              <w:right w:val="single" w:sz="4" w:space="0" w:color="auto"/>
            </w:tcBorders>
            <w:shd w:val="clear" w:color="auto" w:fill="auto"/>
            <w:noWrap/>
            <w:hideMark/>
          </w:tcPr>
          <w:p w:rsidR="00044B10" w:rsidRPr="00333FA0" w:rsidRDefault="00044B10" w:rsidP="003938A2">
            <w:pPr>
              <w:jc w:val="left"/>
              <w:rPr>
                <w:color w:val="000000"/>
                <w:sz w:val="20"/>
                <w:szCs w:val="20"/>
                <w:lang w:val="en-US" w:eastAsia="zh-CN"/>
              </w:rPr>
            </w:pPr>
            <w:r w:rsidRPr="00333FA0">
              <w:rPr>
                <w:color w:val="000000"/>
                <w:sz w:val="20"/>
                <w:szCs w:val="20"/>
                <w:lang w:val="en-US" w:eastAsia="zh-CN"/>
              </w:rPr>
              <w:t>IOCs</w:t>
            </w:r>
          </w:p>
        </w:tc>
        <w:tc>
          <w:tcPr>
            <w:tcW w:w="1712" w:type="pct"/>
            <w:tcBorders>
              <w:top w:val="nil"/>
              <w:left w:val="nil"/>
              <w:bottom w:val="single" w:sz="4" w:space="0" w:color="auto"/>
              <w:right w:val="single" w:sz="4" w:space="0" w:color="auto"/>
            </w:tcBorders>
            <w:shd w:val="clear" w:color="auto" w:fill="auto"/>
            <w:noWrap/>
            <w:hideMark/>
          </w:tcPr>
          <w:p w:rsidR="00044B10" w:rsidRPr="00333FA0" w:rsidRDefault="00044B10" w:rsidP="003938A2">
            <w:pPr>
              <w:jc w:val="right"/>
              <w:rPr>
                <w:color w:val="000000"/>
                <w:sz w:val="20"/>
                <w:szCs w:val="20"/>
                <w:lang w:val="en-US" w:eastAsia="zh-CN"/>
              </w:rPr>
            </w:pPr>
            <w:r>
              <w:rPr>
                <w:color w:val="000000"/>
                <w:sz w:val="20"/>
                <w:szCs w:val="20"/>
                <w:lang w:val="en-US" w:eastAsia="zh-CN"/>
              </w:rPr>
              <w:t>Not requested</w:t>
            </w:r>
          </w:p>
        </w:tc>
      </w:tr>
      <w:tr w:rsidR="00044B10" w:rsidRPr="00333FA0" w:rsidTr="00044B10">
        <w:trPr>
          <w:trHeight w:val="50"/>
        </w:trPr>
        <w:tc>
          <w:tcPr>
            <w:tcW w:w="3288" w:type="pct"/>
            <w:tcBorders>
              <w:top w:val="nil"/>
              <w:left w:val="single" w:sz="4" w:space="0" w:color="auto"/>
              <w:bottom w:val="single" w:sz="4" w:space="0" w:color="auto"/>
              <w:right w:val="single" w:sz="4" w:space="0" w:color="auto"/>
            </w:tcBorders>
            <w:shd w:val="clear" w:color="auto" w:fill="auto"/>
            <w:noWrap/>
            <w:hideMark/>
          </w:tcPr>
          <w:p w:rsidR="00044B10" w:rsidRPr="00333FA0" w:rsidRDefault="00044B10" w:rsidP="003938A2">
            <w:pPr>
              <w:jc w:val="left"/>
              <w:rPr>
                <w:b/>
                <w:bCs/>
                <w:color w:val="000000"/>
                <w:sz w:val="20"/>
                <w:szCs w:val="20"/>
                <w:lang w:val="en-US" w:eastAsia="zh-CN"/>
              </w:rPr>
            </w:pPr>
            <w:r w:rsidRPr="00333FA0">
              <w:rPr>
                <w:b/>
                <w:bCs/>
                <w:color w:val="000000"/>
                <w:sz w:val="20"/>
                <w:szCs w:val="20"/>
                <w:lang w:val="en-US" w:eastAsia="zh-CN"/>
              </w:rPr>
              <w:t>Total costs</w:t>
            </w:r>
          </w:p>
        </w:tc>
        <w:tc>
          <w:tcPr>
            <w:tcW w:w="1712" w:type="pct"/>
            <w:tcBorders>
              <w:top w:val="nil"/>
              <w:left w:val="nil"/>
              <w:bottom w:val="single" w:sz="4" w:space="0" w:color="auto"/>
              <w:right w:val="single" w:sz="4" w:space="0" w:color="auto"/>
            </w:tcBorders>
            <w:shd w:val="clear" w:color="auto" w:fill="auto"/>
            <w:hideMark/>
          </w:tcPr>
          <w:p w:rsidR="00044B10" w:rsidRPr="00333FA0" w:rsidRDefault="00044B10" w:rsidP="003938A2">
            <w:pPr>
              <w:jc w:val="right"/>
              <w:rPr>
                <w:b/>
                <w:bCs/>
                <w:color w:val="000000"/>
                <w:sz w:val="20"/>
                <w:szCs w:val="20"/>
                <w:lang w:val="en-US" w:eastAsia="zh-CN"/>
              </w:rPr>
            </w:pPr>
            <w:r w:rsidRPr="00333FA0">
              <w:rPr>
                <w:b/>
                <w:bCs/>
                <w:color w:val="000000"/>
                <w:sz w:val="20"/>
                <w:szCs w:val="20"/>
                <w:lang w:val="en-US" w:eastAsia="zh-CN"/>
              </w:rPr>
              <w:t>1,338,689</w:t>
            </w:r>
          </w:p>
        </w:tc>
      </w:tr>
      <w:tr w:rsidR="0018782C" w:rsidRPr="00333FA0" w:rsidTr="00044B10">
        <w:trPr>
          <w:trHeight w:val="50"/>
        </w:trPr>
        <w:tc>
          <w:tcPr>
            <w:tcW w:w="3288" w:type="pct"/>
            <w:tcBorders>
              <w:top w:val="nil"/>
              <w:left w:val="single" w:sz="4" w:space="0" w:color="auto"/>
              <w:bottom w:val="single" w:sz="4" w:space="0" w:color="auto"/>
              <w:right w:val="single" w:sz="4" w:space="0" w:color="auto"/>
            </w:tcBorders>
            <w:shd w:val="clear" w:color="auto" w:fill="auto"/>
            <w:noWrap/>
          </w:tcPr>
          <w:p w:rsidR="0018782C" w:rsidRPr="00333FA0" w:rsidRDefault="0018782C" w:rsidP="003938A2">
            <w:pPr>
              <w:jc w:val="left"/>
              <w:rPr>
                <w:color w:val="000000"/>
                <w:sz w:val="20"/>
                <w:szCs w:val="20"/>
                <w:lang w:val="en-US" w:eastAsia="zh-CN"/>
              </w:rPr>
            </w:pPr>
            <w:r>
              <w:rPr>
                <w:color w:val="000000"/>
                <w:sz w:val="20"/>
                <w:szCs w:val="20"/>
                <w:lang w:val="en-US" w:eastAsia="zh-CN"/>
              </w:rPr>
              <w:t>Counterpart funding</w:t>
            </w:r>
          </w:p>
        </w:tc>
        <w:tc>
          <w:tcPr>
            <w:tcW w:w="1712" w:type="pct"/>
            <w:tcBorders>
              <w:top w:val="nil"/>
              <w:left w:val="nil"/>
              <w:bottom w:val="single" w:sz="4" w:space="0" w:color="auto"/>
              <w:right w:val="single" w:sz="4" w:space="0" w:color="auto"/>
            </w:tcBorders>
            <w:shd w:val="clear" w:color="auto" w:fill="auto"/>
          </w:tcPr>
          <w:p w:rsidR="0018782C" w:rsidRPr="00333FA0" w:rsidRDefault="001130AB" w:rsidP="003938A2">
            <w:pPr>
              <w:jc w:val="right"/>
              <w:rPr>
                <w:color w:val="000000"/>
                <w:sz w:val="20"/>
                <w:szCs w:val="20"/>
                <w:lang w:val="en-US" w:eastAsia="zh-CN"/>
              </w:rPr>
            </w:pPr>
            <w:r>
              <w:rPr>
                <w:color w:val="000000"/>
                <w:sz w:val="20"/>
                <w:szCs w:val="20"/>
                <w:lang w:val="en-US" w:eastAsia="zh-CN"/>
              </w:rPr>
              <w:t>(</w:t>
            </w:r>
            <w:r w:rsidR="0018782C">
              <w:rPr>
                <w:color w:val="000000"/>
                <w:sz w:val="20"/>
                <w:szCs w:val="20"/>
                <w:lang w:val="en-US" w:eastAsia="zh-CN"/>
              </w:rPr>
              <w:t>300,000</w:t>
            </w:r>
            <w:r>
              <w:rPr>
                <w:color w:val="000000"/>
                <w:sz w:val="20"/>
                <w:szCs w:val="20"/>
                <w:lang w:val="en-US" w:eastAsia="zh-CN"/>
              </w:rPr>
              <w:t>)</w:t>
            </w:r>
          </w:p>
        </w:tc>
      </w:tr>
      <w:tr w:rsidR="0018782C" w:rsidRPr="001130AB" w:rsidTr="00044B10">
        <w:trPr>
          <w:trHeight w:val="50"/>
        </w:trPr>
        <w:tc>
          <w:tcPr>
            <w:tcW w:w="3288" w:type="pct"/>
            <w:tcBorders>
              <w:top w:val="nil"/>
              <w:left w:val="single" w:sz="4" w:space="0" w:color="auto"/>
              <w:bottom w:val="single" w:sz="4" w:space="0" w:color="auto"/>
              <w:right w:val="single" w:sz="4" w:space="0" w:color="auto"/>
            </w:tcBorders>
            <w:shd w:val="clear" w:color="auto" w:fill="auto"/>
            <w:noWrap/>
          </w:tcPr>
          <w:p w:rsidR="0018782C" w:rsidRPr="001130AB" w:rsidRDefault="0018782C" w:rsidP="001130AB">
            <w:pPr>
              <w:jc w:val="left"/>
              <w:rPr>
                <w:b/>
                <w:color w:val="000000"/>
                <w:sz w:val="20"/>
                <w:szCs w:val="20"/>
                <w:lang w:val="en-US" w:eastAsia="zh-CN"/>
              </w:rPr>
            </w:pPr>
            <w:r w:rsidRPr="001130AB">
              <w:rPr>
                <w:b/>
                <w:color w:val="000000"/>
                <w:sz w:val="20"/>
                <w:szCs w:val="20"/>
                <w:lang w:val="en-US" w:eastAsia="zh-CN"/>
              </w:rPr>
              <w:t xml:space="preserve">Total requested </w:t>
            </w:r>
          </w:p>
        </w:tc>
        <w:tc>
          <w:tcPr>
            <w:tcW w:w="1712" w:type="pct"/>
            <w:tcBorders>
              <w:top w:val="nil"/>
              <w:left w:val="nil"/>
              <w:bottom w:val="single" w:sz="4" w:space="0" w:color="auto"/>
              <w:right w:val="single" w:sz="4" w:space="0" w:color="auto"/>
            </w:tcBorders>
            <w:shd w:val="clear" w:color="auto" w:fill="auto"/>
            <w:noWrap/>
          </w:tcPr>
          <w:p w:rsidR="0018782C" w:rsidRPr="001130AB" w:rsidRDefault="0018782C" w:rsidP="003938A2">
            <w:pPr>
              <w:jc w:val="right"/>
              <w:rPr>
                <w:b/>
                <w:color w:val="000000"/>
                <w:sz w:val="20"/>
                <w:szCs w:val="20"/>
                <w:lang w:val="en-US" w:eastAsia="zh-CN"/>
              </w:rPr>
            </w:pPr>
            <w:r w:rsidRPr="001130AB">
              <w:rPr>
                <w:b/>
                <w:color w:val="000000"/>
                <w:sz w:val="20"/>
                <w:szCs w:val="20"/>
                <w:lang w:val="en-US" w:eastAsia="zh-CN"/>
              </w:rPr>
              <w:t>1,038,689</w:t>
            </w:r>
          </w:p>
        </w:tc>
      </w:tr>
      <w:tr w:rsidR="0018782C" w:rsidRPr="00333FA0" w:rsidTr="00044B10">
        <w:trPr>
          <w:trHeight w:val="50"/>
        </w:trPr>
        <w:tc>
          <w:tcPr>
            <w:tcW w:w="3288" w:type="pct"/>
            <w:tcBorders>
              <w:top w:val="nil"/>
              <w:left w:val="single" w:sz="4" w:space="0" w:color="auto"/>
              <w:bottom w:val="single" w:sz="4" w:space="0" w:color="auto"/>
              <w:right w:val="single" w:sz="4" w:space="0" w:color="auto"/>
            </w:tcBorders>
            <w:shd w:val="clear" w:color="auto" w:fill="auto"/>
            <w:noWrap/>
          </w:tcPr>
          <w:p w:rsidR="0018782C" w:rsidRPr="00333FA0" w:rsidRDefault="0018782C" w:rsidP="0018782C">
            <w:pPr>
              <w:jc w:val="left"/>
              <w:rPr>
                <w:color w:val="000000"/>
                <w:sz w:val="20"/>
                <w:szCs w:val="20"/>
                <w:lang w:val="en-US" w:eastAsia="zh-CN"/>
              </w:rPr>
            </w:pPr>
            <w:r>
              <w:rPr>
                <w:color w:val="000000"/>
                <w:sz w:val="20"/>
                <w:szCs w:val="20"/>
                <w:lang w:val="en-US" w:eastAsia="zh-CN"/>
              </w:rPr>
              <w:t xml:space="preserve">HFC-134a </w:t>
            </w:r>
            <w:r w:rsidR="001130AB">
              <w:rPr>
                <w:color w:val="000000"/>
                <w:sz w:val="20"/>
                <w:szCs w:val="20"/>
                <w:lang w:val="en-US" w:eastAsia="zh-CN"/>
              </w:rPr>
              <w:t xml:space="preserve">consumption </w:t>
            </w:r>
            <w:r>
              <w:rPr>
                <w:color w:val="000000"/>
                <w:sz w:val="20"/>
                <w:szCs w:val="20"/>
                <w:lang w:val="en-US" w:eastAsia="zh-CN"/>
              </w:rPr>
              <w:t>to be phased out (</w:t>
            </w:r>
            <w:proofErr w:type="spellStart"/>
            <w:r>
              <w:rPr>
                <w:color w:val="000000"/>
                <w:sz w:val="20"/>
                <w:szCs w:val="20"/>
                <w:lang w:val="en-US" w:eastAsia="zh-CN"/>
              </w:rPr>
              <w:t>mt</w:t>
            </w:r>
            <w:proofErr w:type="spellEnd"/>
            <w:r w:rsidR="001130AB">
              <w:rPr>
                <w:color w:val="000000"/>
                <w:sz w:val="20"/>
                <w:szCs w:val="20"/>
                <w:lang w:val="en-US" w:eastAsia="zh-CN"/>
              </w:rPr>
              <w:t>/year</w:t>
            </w:r>
            <w:r>
              <w:rPr>
                <w:color w:val="000000"/>
                <w:sz w:val="20"/>
                <w:szCs w:val="20"/>
                <w:lang w:val="en-US" w:eastAsia="zh-CN"/>
              </w:rPr>
              <w:t>)</w:t>
            </w:r>
          </w:p>
        </w:tc>
        <w:tc>
          <w:tcPr>
            <w:tcW w:w="1712" w:type="pct"/>
            <w:tcBorders>
              <w:top w:val="nil"/>
              <w:left w:val="nil"/>
              <w:bottom w:val="single" w:sz="4" w:space="0" w:color="auto"/>
              <w:right w:val="single" w:sz="4" w:space="0" w:color="auto"/>
            </w:tcBorders>
            <w:shd w:val="clear" w:color="auto" w:fill="auto"/>
            <w:noWrap/>
          </w:tcPr>
          <w:p w:rsidR="0018782C" w:rsidRPr="00333FA0" w:rsidRDefault="0018782C" w:rsidP="003938A2">
            <w:pPr>
              <w:jc w:val="right"/>
              <w:rPr>
                <w:color w:val="000000"/>
                <w:sz w:val="20"/>
                <w:szCs w:val="20"/>
                <w:lang w:val="en-US" w:eastAsia="zh-CN"/>
              </w:rPr>
            </w:pPr>
            <w:r>
              <w:rPr>
                <w:color w:val="000000"/>
                <w:sz w:val="20"/>
                <w:szCs w:val="20"/>
                <w:lang w:val="en-US" w:eastAsia="zh-CN"/>
              </w:rPr>
              <w:t>14.5</w:t>
            </w:r>
          </w:p>
        </w:tc>
      </w:tr>
      <w:tr w:rsidR="001130AB" w:rsidRPr="00333FA0" w:rsidTr="00C33A15">
        <w:trPr>
          <w:trHeight w:val="50"/>
        </w:trPr>
        <w:tc>
          <w:tcPr>
            <w:tcW w:w="3288" w:type="pct"/>
            <w:tcBorders>
              <w:top w:val="single" w:sz="4" w:space="0" w:color="auto"/>
              <w:left w:val="single" w:sz="4" w:space="0" w:color="auto"/>
              <w:bottom w:val="single" w:sz="4" w:space="0" w:color="auto"/>
              <w:right w:val="single" w:sz="4" w:space="0" w:color="auto"/>
            </w:tcBorders>
            <w:shd w:val="clear" w:color="auto" w:fill="auto"/>
            <w:noWrap/>
          </w:tcPr>
          <w:p w:rsidR="001130AB" w:rsidRPr="00333FA0" w:rsidRDefault="001130AB" w:rsidP="00C33A15">
            <w:pPr>
              <w:jc w:val="left"/>
              <w:rPr>
                <w:color w:val="000000"/>
                <w:sz w:val="20"/>
                <w:szCs w:val="20"/>
                <w:lang w:val="en-US" w:eastAsia="zh-CN"/>
              </w:rPr>
            </w:pPr>
            <w:r w:rsidRPr="00333FA0">
              <w:rPr>
                <w:color w:val="000000"/>
                <w:sz w:val="20"/>
                <w:szCs w:val="20"/>
                <w:lang w:val="en-US" w:eastAsia="zh-CN"/>
              </w:rPr>
              <w:t xml:space="preserve">Cost-effectiveness </w:t>
            </w:r>
            <w:r>
              <w:rPr>
                <w:color w:val="000000"/>
                <w:sz w:val="20"/>
                <w:szCs w:val="20"/>
                <w:lang w:val="en-US" w:eastAsia="zh-CN"/>
              </w:rPr>
              <w:t xml:space="preserve">based on total project costs </w:t>
            </w:r>
            <w:r w:rsidRPr="00333FA0">
              <w:rPr>
                <w:color w:val="000000"/>
                <w:sz w:val="20"/>
                <w:szCs w:val="20"/>
                <w:lang w:val="en-US" w:eastAsia="zh-CN"/>
              </w:rPr>
              <w:t>(US $/kg)</w:t>
            </w:r>
          </w:p>
        </w:tc>
        <w:tc>
          <w:tcPr>
            <w:tcW w:w="1712" w:type="pct"/>
            <w:tcBorders>
              <w:top w:val="single" w:sz="4" w:space="0" w:color="auto"/>
              <w:left w:val="nil"/>
              <w:bottom w:val="single" w:sz="4" w:space="0" w:color="auto"/>
              <w:right w:val="single" w:sz="4" w:space="0" w:color="auto"/>
            </w:tcBorders>
            <w:shd w:val="clear" w:color="auto" w:fill="auto"/>
            <w:noWrap/>
          </w:tcPr>
          <w:p w:rsidR="001130AB" w:rsidRPr="00333FA0" w:rsidRDefault="001130AB" w:rsidP="00C33A15">
            <w:pPr>
              <w:jc w:val="right"/>
              <w:rPr>
                <w:color w:val="000000"/>
                <w:sz w:val="20"/>
                <w:szCs w:val="20"/>
                <w:lang w:val="en-US" w:eastAsia="zh-CN"/>
              </w:rPr>
            </w:pPr>
            <w:r>
              <w:rPr>
                <w:color w:val="000000"/>
                <w:sz w:val="20"/>
                <w:szCs w:val="20"/>
                <w:lang w:val="en-US" w:eastAsia="zh-CN"/>
              </w:rPr>
              <w:t>92.32</w:t>
            </w:r>
          </w:p>
        </w:tc>
      </w:tr>
      <w:tr w:rsidR="00044B10" w:rsidRPr="00333FA0" w:rsidTr="0018782C">
        <w:trPr>
          <w:trHeight w:val="50"/>
        </w:trPr>
        <w:tc>
          <w:tcPr>
            <w:tcW w:w="3288" w:type="pct"/>
            <w:tcBorders>
              <w:top w:val="nil"/>
              <w:left w:val="single" w:sz="4" w:space="0" w:color="auto"/>
              <w:bottom w:val="single" w:sz="4" w:space="0" w:color="auto"/>
              <w:right w:val="single" w:sz="4" w:space="0" w:color="auto"/>
            </w:tcBorders>
            <w:shd w:val="clear" w:color="auto" w:fill="auto"/>
            <w:noWrap/>
            <w:hideMark/>
          </w:tcPr>
          <w:p w:rsidR="00044B10" w:rsidRPr="00333FA0" w:rsidRDefault="00044B10" w:rsidP="003938A2">
            <w:pPr>
              <w:jc w:val="left"/>
              <w:rPr>
                <w:color w:val="000000"/>
                <w:sz w:val="20"/>
                <w:szCs w:val="20"/>
                <w:lang w:val="en-US" w:eastAsia="zh-CN"/>
              </w:rPr>
            </w:pPr>
            <w:r w:rsidRPr="00333FA0">
              <w:rPr>
                <w:color w:val="000000"/>
                <w:sz w:val="20"/>
                <w:szCs w:val="20"/>
                <w:lang w:val="en-US" w:eastAsia="zh-CN"/>
              </w:rPr>
              <w:t xml:space="preserve">Cost-effectiveness </w:t>
            </w:r>
            <w:r w:rsidR="0018782C">
              <w:rPr>
                <w:color w:val="000000"/>
                <w:sz w:val="20"/>
                <w:szCs w:val="20"/>
                <w:lang w:val="en-US" w:eastAsia="zh-CN"/>
              </w:rPr>
              <w:t xml:space="preserve">based on funding requested </w:t>
            </w:r>
            <w:r w:rsidRPr="00333FA0">
              <w:rPr>
                <w:color w:val="000000"/>
                <w:sz w:val="20"/>
                <w:szCs w:val="20"/>
                <w:lang w:val="en-US" w:eastAsia="zh-CN"/>
              </w:rPr>
              <w:t>(US $/kg)</w:t>
            </w:r>
          </w:p>
        </w:tc>
        <w:tc>
          <w:tcPr>
            <w:tcW w:w="1712" w:type="pct"/>
            <w:tcBorders>
              <w:top w:val="nil"/>
              <w:left w:val="nil"/>
              <w:bottom w:val="single" w:sz="4" w:space="0" w:color="auto"/>
              <w:right w:val="single" w:sz="4" w:space="0" w:color="auto"/>
            </w:tcBorders>
            <w:shd w:val="clear" w:color="auto" w:fill="auto"/>
            <w:noWrap/>
            <w:hideMark/>
          </w:tcPr>
          <w:p w:rsidR="00044B10" w:rsidRPr="00333FA0" w:rsidRDefault="00044B10" w:rsidP="003938A2">
            <w:pPr>
              <w:jc w:val="right"/>
              <w:rPr>
                <w:color w:val="000000"/>
                <w:sz w:val="20"/>
                <w:szCs w:val="20"/>
                <w:lang w:val="en-US" w:eastAsia="zh-CN"/>
              </w:rPr>
            </w:pPr>
            <w:r w:rsidRPr="00333FA0">
              <w:rPr>
                <w:color w:val="000000"/>
                <w:sz w:val="20"/>
                <w:szCs w:val="20"/>
                <w:lang w:val="en-US" w:eastAsia="zh-CN"/>
              </w:rPr>
              <w:t>71.63</w:t>
            </w:r>
          </w:p>
        </w:tc>
      </w:tr>
    </w:tbl>
    <w:p w:rsidR="001E7C63" w:rsidRPr="00CF41E9" w:rsidRDefault="00044B10" w:rsidP="001E7C63">
      <w:pPr>
        <w:autoSpaceDE w:val="0"/>
        <w:autoSpaceDN w:val="0"/>
        <w:adjustRightInd w:val="0"/>
      </w:pPr>
      <w:r>
        <w:rPr>
          <w:sz w:val="18"/>
          <w:szCs w:val="18"/>
        </w:rPr>
        <w:t xml:space="preserve"> </w:t>
      </w:r>
    </w:p>
    <w:p w:rsidR="00562B07" w:rsidRPr="00B940FC" w:rsidRDefault="006B6981" w:rsidP="006B6981">
      <w:pPr>
        <w:pStyle w:val="Heading1"/>
      </w:pPr>
      <w:r w:rsidRPr="00CF41E9">
        <w:t>Incremental operating costs (IOCs) are not requested and not calculated in the submission. Of the total cost, the Government is requesting US $</w:t>
      </w:r>
      <w:r w:rsidR="0001440D" w:rsidRPr="00CF41E9">
        <w:t>1,038,689</w:t>
      </w:r>
      <w:r w:rsidRPr="00CF41E9">
        <w:t xml:space="preserve"> from the Multilateral Fund</w:t>
      </w:r>
      <w:r w:rsidR="0018782C" w:rsidRPr="00CF41E9">
        <w:t>, resulting in a cost effectiveness of US $71.63/kg</w:t>
      </w:r>
      <w:r w:rsidRPr="00CF41E9">
        <w:t xml:space="preserve">. Capri will provide co-funding of US $300,000 plus IOCs </w:t>
      </w:r>
      <w:r w:rsidR="00562B07" w:rsidRPr="00CF41E9">
        <w:t xml:space="preserve">associated with </w:t>
      </w:r>
      <w:r w:rsidRPr="00CF41E9">
        <w:t xml:space="preserve">the conversion project. </w:t>
      </w:r>
    </w:p>
    <w:p w:rsidR="006B6981" w:rsidRPr="00B940FC" w:rsidRDefault="006B6981" w:rsidP="006B6981">
      <w:pPr>
        <w:pStyle w:val="Heading1"/>
      </w:pPr>
      <w:r w:rsidRPr="00CF41E9">
        <w:t>The project will be implemented over a period of 24 months</w:t>
      </w:r>
      <w:r w:rsidRPr="00B940FC">
        <w:t>.</w:t>
      </w:r>
    </w:p>
    <w:p w:rsidR="006B6981" w:rsidRDefault="006B6981" w:rsidP="006B6981">
      <w:pPr>
        <w:jc w:val="center"/>
        <w:rPr>
          <w:b/>
        </w:rPr>
      </w:pPr>
    </w:p>
    <w:p w:rsidR="006B6981" w:rsidRPr="00B87CC1" w:rsidRDefault="006B6981" w:rsidP="006B6981">
      <w:pPr>
        <w:keepNext/>
        <w:keepLines/>
        <w:jc w:val="center"/>
        <w:rPr>
          <w:b/>
        </w:rPr>
      </w:pPr>
      <w:r w:rsidRPr="00B87CC1">
        <w:rPr>
          <w:b/>
        </w:rPr>
        <w:t>SECRETARIAT’S COMMENTS AND RECOMMENDATION</w:t>
      </w:r>
    </w:p>
    <w:p w:rsidR="006B6981" w:rsidRPr="00B87CC1" w:rsidRDefault="006B6981" w:rsidP="006B6981">
      <w:pPr>
        <w:keepNext/>
        <w:keepLines/>
      </w:pPr>
    </w:p>
    <w:p w:rsidR="006B6981" w:rsidRPr="00B87CC1" w:rsidRDefault="006B6981" w:rsidP="006B6981">
      <w:pPr>
        <w:keepNext/>
        <w:keepLines/>
        <w:rPr>
          <w:b/>
        </w:rPr>
      </w:pPr>
      <w:r w:rsidRPr="00B87CC1">
        <w:rPr>
          <w:b/>
        </w:rPr>
        <w:t>COMMENTS</w:t>
      </w:r>
    </w:p>
    <w:p w:rsidR="006B6981" w:rsidRDefault="006B6981" w:rsidP="006B6981">
      <w:pPr>
        <w:keepNext/>
        <w:keepLines/>
      </w:pPr>
    </w:p>
    <w:p w:rsidR="006B6981" w:rsidRDefault="006B6981" w:rsidP="006B6981">
      <w:pPr>
        <w:pStyle w:val="Heading1"/>
        <w:rPr>
          <w:lang w:val="en-CA"/>
        </w:rPr>
      </w:pPr>
      <w:r w:rsidRPr="00020ED4">
        <w:rPr>
          <w:lang w:val="en-CA"/>
        </w:rPr>
        <w:t xml:space="preserve">The Secretariat </w:t>
      </w:r>
      <w:r>
        <w:rPr>
          <w:lang w:val="en-CA"/>
        </w:rPr>
        <w:t xml:space="preserve">has </w:t>
      </w:r>
      <w:r w:rsidRPr="00020ED4">
        <w:rPr>
          <w:lang w:val="en-CA"/>
        </w:rPr>
        <w:t xml:space="preserve">reviewed the project proposal </w:t>
      </w:r>
      <w:r>
        <w:rPr>
          <w:lang w:val="en-CA"/>
        </w:rPr>
        <w:t>on the basis</w:t>
      </w:r>
      <w:r w:rsidRPr="00020ED4">
        <w:rPr>
          <w:lang w:val="en-CA"/>
        </w:rPr>
        <w:t xml:space="preserve"> o</w:t>
      </w:r>
      <w:r>
        <w:rPr>
          <w:lang w:val="en-CA"/>
        </w:rPr>
        <w:t>f</w:t>
      </w:r>
      <w:r w:rsidRPr="00020ED4">
        <w:rPr>
          <w:lang w:val="en-CA"/>
        </w:rPr>
        <w:t xml:space="preserve"> the current policies and decisions of the</w:t>
      </w:r>
      <w:r>
        <w:rPr>
          <w:lang w:val="en-CA"/>
        </w:rPr>
        <w:t xml:space="preserve"> Executive Committee</w:t>
      </w:r>
      <w:r w:rsidRPr="00020ED4">
        <w:rPr>
          <w:lang w:val="en-CA"/>
        </w:rPr>
        <w:t>, similar conversion projects approved for CFC</w:t>
      </w:r>
      <w:r>
        <w:rPr>
          <w:lang w:val="en-CA"/>
        </w:rPr>
        <w:t xml:space="preserve"> and HFC </w:t>
      </w:r>
      <w:r w:rsidRPr="00020ED4">
        <w:rPr>
          <w:lang w:val="en-CA"/>
        </w:rPr>
        <w:t xml:space="preserve">phase-out </w:t>
      </w:r>
      <w:r w:rsidRPr="00175C3A">
        <w:rPr>
          <w:lang w:val="en-CA"/>
        </w:rPr>
        <w:t xml:space="preserve">and projects </w:t>
      </w:r>
      <w:r>
        <w:rPr>
          <w:lang w:val="en-CA"/>
        </w:rPr>
        <w:t>approved for ODS</w:t>
      </w:r>
      <w:r w:rsidRPr="00175C3A">
        <w:rPr>
          <w:lang w:val="en-CA"/>
        </w:rPr>
        <w:t xml:space="preserve"> phase</w:t>
      </w:r>
      <w:r>
        <w:rPr>
          <w:lang w:val="en-CA"/>
        </w:rPr>
        <w:t>-</w:t>
      </w:r>
      <w:r w:rsidRPr="00175C3A">
        <w:rPr>
          <w:lang w:val="en-CA"/>
        </w:rPr>
        <w:t xml:space="preserve">out </w:t>
      </w:r>
      <w:r>
        <w:rPr>
          <w:lang w:val="en-CA"/>
        </w:rPr>
        <w:t>using</w:t>
      </w:r>
      <w:r w:rsidRPr="00175C3A">
        <w:rPr>
          <w:lang w:val="en-CA"/>
        </w:rPr>
        <w:t xml:space="preserve"> flammable alternatives.</w:t>
      </w:r>
    </w:p>
    <w:p w:rsidR="006B6981" w:rsidRPr="000B2FE4" w:rsidRDefault="006B6981" w:rsidP="00CF41E9">
      <w:pPr>
        <w:keepNext/>
        <w:rPr>
          <w:u w:val="single"/>
          <w:lang w:val="en-CA"/>
        </w:rPr>
      </w:pPr>
      <w:r w:rsidRPr="000B2FE4">
        <w:rPr>
          <w:u w:val="single"/>
          <w:lang w:val="en-CA"/>
        </w:rPr>
        <w:lastRenderedPageBreak/>
        <w:t>Eligibility</w:t>
      </w:r>
    </w:p>
    <w:p w:rsidR="006B6981" w:rsidRPr="000B2FE4" w:rsidRDefault="006B6981" w:rsidP="00CF41E9">
      <w:pPr>
        <w:keepNext/>
        <w:rPr>
          <w:lang w:val="en-CA"/>
        </w:rPr>
      </w:pPr>
    </w:p>
    <w:p w:rsidR="006B6981" w:rsidRPr="00F11BCA" w:rsidRDefault="006B6981" w:rsidP="00CF41E9">
      <w:pPr>
        <w:pStyle w:val="Heading1"/>
        <w:keepNext/>
        <w:rPr>
          <w:lang w:val="en-CA"/>
        </w:rPr>
      </w:pPr>
      <w:r w:rsidRPr="00F11BCA">
        <w:rPr>
          <w:lang w:val="en-CA"/>
        </w:rPr>
        <w:t xml:space="preserve">The project proposal has been submitted in line with decisions 78/3(g) and 79/45. </w:t>
      </w:r>
      <w:r>
        <w:rPr>
          <w:lang w:val="en-CA"/>
        </w:rPr>
        <w:t>It</w:t>
      </w:r>
      <w:r w:rsidRPr="00F11BCA">
        <w:rPr>
          <w:lang w:val="en-CA"/>
        </w:rPr>
        <w:t xml:space="preserve"> includes an official letter from the Government of Zimbabwe stating</w:t>
      </w:r>
      <w:r>
        <w:rPr>
          <w:lang w:val="en-CA"/>
        </w:rPr>
        <w:t>:</w:t>
      </w:r>
      <w:r w:rsidRPr="00F11BCA">
        <w:rPr>
          <w:lang w:val="en-CA"/>
        </w:rPr>
        <w:t xml:space="preserve"> that </w:t>
      </w:r>
      <w:r>
        <w:rPr>
          <w:lang w:val="en-CA"/>
        </w:rPr>
        <w:t>it intends</w:t>
      </w:r>
      <w:r w:rsidRPr="00F11BCA">
        <w:rPr>
          <w:lang w:val="en-CA"/>
        </w:rPr>
        <w:t xml:space="preserve"> to ratify the Kigali Amendment and will make every effort to do so as soon as possible; </w:t>
      </w:r>
      <w:r>
        <w:rPr>
          <w:lang w:val="en-CA"/>
        </w:rPr>
        <w:t xml:space="preserve">that </w:t>
      </w:r>
      <w:r w:rsidRPr="00F11BCA">
        <w:rPr>
          <w:lang w:val="en-CA"/>
        </w:rPr>
        <w:t xml:space="preserve">it is aware that, if this project is approved by the Executive Committee, no further funding will be available until the instrument of ratification of the Kigali Amendment has been received by the depositary at the United Nations Headquarters in New York; and </w:t>
      </w:r>
      <w:r>
        <w:rPr>
          <w:lang w:val="en-CA"/>
        </w:rPr>
        <w:t xml:space="preserve">that the Government </w:t>
      </w:r>
      <w:r w:rsidRPr="00F11BCA">
        <w:rPr>
          <w:lang w:val="en-CA"/>
        </w:rPr>
        <w:t>acknowledges that, in the event that this project is approved, any reduction in HFC consumption will be deducted from any starting point that may be agreed in the future.</w:t>
      </w:r>
    </w:p>
    <w:p w:rsidR="006B6981" w:rsidRPr="0002460E" w:rsidRDefault="006B6981" w:rsidP="006B6981">
      <w:pPr>
        <w:pStyle w:val="Heading1"/>
        <w:numPr>
          <w:ilvl w:val="0"/>
          <w:numId w:val="0"/>
        </w:numPr>
        <w:rPr>
          <w:u w:val="single"/>
          <w:lang w:val="en-CA"/>
        </w:rPr>
      </w:pPr>
      <w:r w:rsidRPr="0002460E">
        <w:rPr>
          <w:u w:val="single"/>
          <w:lang w:val="en-CA"/>
        </w:rPr>
        <w:t xml:space="preserve">Maturity of the technology, replicability and sustainability </w:t>
      </w:r>
    </w:p>
    <w:p w:rsidR="006B6981" w:rsidRPr="00C1665F" w:rsidRDefault="006B6981" w:rsidP="006B6981">
      <w:pPr>
        <w:pStyle w:val="Heading1"/>
        <w:rPr>
          <w:lang w:val="en-CA"/>
        </w:rPr>
      </w:pPr>
      <w:r w:rsidRPr="00C1665F">
        <w:rPr>
          <w:lang w:val="en-CA"/>
        </w:rPr>
        <w:t xml:space="preserve">Providing information to demonstrate the sustainability of the project proposal, UNDP explained that the Government of Zimbabwe is working on regulatory measures to protect and support national production once the enterprise Capri has been converted. This includes a technical regulation to classify and label equipment according to its refrigerant and energy consumption to prevent safety and health risks. Furthermore, the Government is focusing on ratification of Kigali Amendment and the national ozone unit (NOU) will support activities to raise awareness of the upcoming control measures on HFC imports that will help prevent any further investment in HFC-based manufacturing capacity in the future. UNDP has confirmed that, with the approval of the project proposal, the enterprise commits to </w:t>
      </w:r>
      <w:r>
        <w:rPr>
          <w:lang w:val="en-CA"/>
        </w:rPr>
        <w:t xml:space="preserve">completely </w:t>
      </w:r>
      <w:r w:rsidRPr="00C1665F">
        <w:rPr>
          <w:lang w:val="en-CA"/>
        </w:rPr>
        <w:t xml:space="preserve">phase-out </w:t>
      </w:r>
      <w:r>
        <w:rPr>
          <w:lang w:val="en-CA"/>
        </w:rPr>
        <w:t xml:space="preserve">consumption </w:t>
      </w:r>
      <w:r w:rsidRPr="00C1665F">
        <w:rPr>
          <w:lang w:val="en-CA"/>
        </w:rPr>
        <w:t>of HFC</w:t>
      </w:r>
      <w:r w:rsidR="00B940FC">
        <w:rPr>
          <w:lang w:val="en-CA"/>
        </w:rPr>
        <w:noBreakHyphen/>
      </w:r>
      <w:r w:rsidRPr="00C1665F">
        <w:rPr>
          <w:lang w:val="en-CA"/>
        </w:rPr>
        <w:t xml:space="preserve">134a. </w:t>
      </w:r>
    </w:p>
    <w:p w:rsidR="006B6981" w:rsidRPr="00C1665F" w:rsidRDefault="006B6981" w:rsidP="006B6981">
      <w:pPr>
        <w:pStyle w:val="Heading1"/>
        <w:rPr>
          <w:lang w:val="en-CA"/>
        </w:rPr>
      </w:pPr>
      <w:r w:rsidRPr="00C1665F">
        <w:rPr>
          <w:lang w:val="en-CA"/>
        </w:rPr>
        <w:t xml:space="preserve">UNDP confirms that products based on hydrocarbons (HCs) are already on the </w:t>
      </w:r>
      <w:r>
        <w:rPr>
          <w:lang w:val="en-CA"/>
        </w:rPr>
        <w:t xml:space="preserve">local </w:t>
      </w:r>
      <w:r w:rsidRPr="00C1665F">
        <w:rPr>
          <w:lang w:val="en-CA"/>
        </w:rPr>
        <w:t xml:space="preserve">market, and there are no limitations on or barriers to the introduction of </w:t>
      </w:r>
      <w:r>
        <w:rPr>
          <w:lang w:val="en-CA"/>
        </w:rPr>
        <w:t xml:space="preserve">HC-based </w:t>
      </w:r>
      <w:r w:rsidRPr="00C1665F">
        <w:rPr>
          <w:lang w:val="en-CA"/>
        </w:rPr>
        <w:t>domestic refrigerators and freezers, as all units produced will have a refrigerant charge lower than 150 g. Furthermore, Zimbabwe has a national regulation on the safe use of HC refrigerants, including their transportation and storage</w:t>
      </w:r>
      <w:r>
        <w:rPr>
          <w:lang w:val="en-CA"/>
        </w:rPr>
        <w:t xml:space="preserve">, and </w:t>
      </w:r>
      <w:r w:rsidRPr="00C1665F">
        <w:rPr>
          <w:lang w:val="en-CA"/>
        </w:rPr>
        <w:t>a national standard (SAZ 1012:2016) for the certification of refrigeration and air-conditioning (RAC) practitioners working with HC-based appliances.</w:t>
      </w:r>
    </w:p>
    <w:p w:rsidR="006B6981" w:rsidRPr="00C1665F" w:rsidRDefault="006B6981" w:rsidP="006B6981">
      <w:pPr>
        <w:pStyle w:val="Heading1"/>
        <w:rPr>
          <w:lang w:val="en-CA"/>
        </w:rPr>
      </w:pPr>
      <w:r w:rsidRPr="00C1665F">
        <w:rPr>
          <w:lang w:val="en-CA"/>
        </w:rPr>
        <w:t>UNDP has indicated that the results of the conversions in the project proposal are expected to encourage adoption of energy-efficient R</w:t>
      </w:r>
      <w:r>
        <w:rPr>
          <w:lang w:val="en-CA"/>
        </w:rPr>
        <w:t>-600a-based equipment by small</w:t>
      </w:r>
      <w:r w:rsidRPr="00C1665F">
        <w:rPr>
          <w:lang w:val="en-CA"/>
        </w:rPr>
        <w:t xml:space="preserve"> commercial refrigeration manufacturing enterprises within the region and elsewhere.</w:t>
      </w:r>
    </w:p>
    <w:p w:rsidR="006B6981" w:rsidRPr="00B31E07" w:rsidRDefault="006B6981" w:rsidP="006B6981">
      <w:pPr>
        <w:rPr>
          <w:u w:val="single"/>
          <w:lang w:val="en-CA"/>
        </w:rPr>
      </w:pPr>
      <w:r w:rsidRPr="00B31E07">
        <w:rPr>
          <w:u w:val="single"/>
          <w:lang w:val="en-CA"/>
        </w:rPr>
        <w:t>Proposed costs</w:t>
      </w:r>
    </w:p>
    <w:p w:rsidR="006B6981" w:rsidRPr="007871D3" w:rsidRDefault="006B6981" w:rsidP="006B6981">
      <w:pPr>
        <w:rPr>
          <w:i/>
          <w:highlight w:val="yellow"/>
          <w:lang w:val="en-CA"/>
        </w:rPr>
      </w:pPr>
    </w:p>
    <w:p w:rsidR="006B6981" w:rsidRDefault="006B6981" w:rsidP="006B6981">
      <w:pPr>
        <w:pStyle w:val="Heading1"/>
        <w:rPr>
          <w:lang w:val="en-CA"/>
        </w:rPr>
      </w:pPr>
      <w:r>
        <w:rPr>
          <w:lang w:val="en-CA"/>
        </w:rPr>
        <w:t xml:space="preserve">During the discussions with UNDP about the elements included in the project, the following adjustments were </w:t>
      </w:r>
      <w:r w:rsidRPr="008522C3">
        <w:rPr>
          <w:lang w:val="en-CA"/>
        </w:rPr>
        <w:t>agreed:</w:t>
      </w:r>
      <w:r>
        <w:rPr>
          <w:lang w:val="en-CA"/>
        </w:rPr>
        <w:t xml:space="preserve"> </w:t>
      </w:r>
    </w:p>
    <w:p w:rsidR="006B6981" w:rsidRDefault="006B6981" w:rsidP="006B6981">
      <w:pPr>
        <w:pStyle w:val="Heading2"/>
        <w:rPr>
          <w:lang w:val="en-CA"/>
        </w:rPr>
      </w:pPr>
      <w:r>
        <w:rPr>
          <w:lang w:val="en-CA"/>
        </w:rPr>
        <w:t>A reduction in the cost of the refrigerant supply station from US $125,000 to US $30,000. Capri plans to procure a large storage tank owing to the difficulty of ensuring a reliable supply of R-600a; therefore, it represents an avoidable technical upgrade</w:t>
      </w:r>
      <w:r w:rsidR="00A56131">
        <w:rPr>
          <w:lang w:val="en-CA"/>
        </w:rPr>
        <w:t xml:space="preserve"> and increased capacity</w:t>
      </w:r>
      <w:r>
        <w:rPr>
          <w:lang w:val="en-CA"/>
        </w:rPr>
        <w:t>. The agreed funding is compatible with the current scale of production;</w:t>
      </w:r>
    </w:p>
    <w:p w:rsidR="006B6981" w:rsidRDefault="006B6981" w:rsidP="006B6981">
      <w:pPr>
        <w:pStyle w:val="Heading2"/>
        <w:rPr>
          <w:lang w:val="en-CA"/>
        </w:rPr>
      </w:pPr>
      <w:r>
        <w:rPr>
          <w:lang w:val="en-CA"/>
        </w:rPr>
        <w:t xml:space="preserve">Optimization of the cost of the helium leak detection systems, from US $258,017 to US $90,000; the charging machines from US $220,502 to US $110,000; the leak detectors from US $36,759 to US $26,000; and the ultrasonic welding machines from US $99,519 to US $50,000, based on funding levels agreed on other approved projects; </w:t>
      </w:r>
    </w:p>
    <w:p w:rsidR="006B6981" w:rsidRPr="00CF41E9" w:rsidRDefault="005941BF" w:rsidP="006B6981">
      <w:pPr>
        <w:pStyle w:val="Heading2"/>
        <w:rPr>
          <w:lang w:val="en-CA"/>
        </w:rPr>
      </w:pPr>
      <w:r w:rsidRPr="00CF41E9">
        <w:rPr>
          <w:lang w:val="en-CA"/>
        </w:rPr>
        <w:t xml:space="preserve">The request for </w:t>
      </w:r>
      <w:r w:rsidR="003938A2" w:rsidRPr="00CF41E9">
        <w:rPr>
          <w:lang w:val="en-CA"/>
        </w:rPr>
        <w:t>v</w:t>
      </w:r>
      <w:r w:rsidR="006B6981" w:rsidRPr="00CF41E9">
        <w:rPr>
          <w:lang w:val="en-CA"/>
        </w:rPr>
        <w:t xml:space="preserve">acuum pumps </w:t>
      </w:r>
      <w:r w:rsidR="00A33BE0" w:rsidRPr="00CF41E9">
        <w:rPr>
          <w:lang w:val="en-CA"/>
        </w:rPr>
        <w:t xml:space="preserve">(60 units) </w:t>
      </w:r>
      <w:r w:rsidR="006B6981" w:rsidRPr="00CF41E9">
        <w:rPr>
          <w:lang w:val="en-CA"/>
        </w:rPr>
        <w:t xml:space="preserve">were </w:t>
      </w:r>
      <w:r w:rsidRPr="00CF41E9">
        <w:rPr>
          <w:lang w:val="en-CA"/>
        </w:rPr>
        <w:t xml:space="preserve">considered </w:t>
      </w:r>
      <w:r w:rsidR="00A33BE0" w:rsidRPr="00CF41E9">
        <w:rPr>
          <w:lang w:val="en-CA"/>
        </w:rPr>
        <w:t xml:space="preserve">not </w:t>
      </w:r>
      <w:r w:rsidRPr="00CF41E9">
        <w:rPr>
          <w:lang w:val="en-CA"/>
        </w:rPr>
        <w:t xml:space="preserve">incremental </w:t>
      </w:r>
      <w:r w:rsidR="00A33BE0" w:rsidRPr="00CF41E9">
        <w:rPr>
          <w:lang w:val="en-CA"/>
        </w:rPr>
        <w:t xml:space="preserve">since </w:t>
      </w:r>
      <w:r w:rsidRPr="00CF41E9">
        <w:rPr>
          <w:lang w:val="en-CA"/>
        </w:rPr>
        <w:t>vacuuming is conducted before refrigerant charge</w:t>
      </w:r>
      <w:r w:rsidR="00A33BE0" w:rsidRPr="00CF41E9">
        <w:rPr>
          <w:lang w:val="en-CA"/>
        </w:rPr>
        <w:t xml:space="preserve"> and the same </w:t>
      </w:r>
      <w:r w:rsidRPr="00CF41E9">
        <w:rPr>
          <w:lang w:val="en-CA"/>
        </w:rPr>
        <w:t>vacuum</w:t>
      </w:r>
      <w:r w:rsidR="00A33BE0" w:rsidRPr="00CF41E9">
        <w:rPr>
          <w:lang w:val="en-CA"/>
        </w:rPr>
        <w:t xml:space="preserve"> pumps</w:t>
      </w:r>
      <w:r w:rsidR="00B940FC" w:rsidRPr="00CF41E9">
        <w:rPr>
          <w:lang w:val="en-CA"/>
        </w:rPr>
        <w:t xml:space="preserve"> </w:t>
      </w:r>
      <w:r w:rsidR="00B940FC">
        <w:rPr>
          <w:lang w:val="en-CA"/>
        </w:rPr>
        <w:t>can</w:t>
      </w:r>
      <w:r w:rsidR="00A33BE0" w:rsidRPr="00B940FC">
        <w:rPr>
          <w:lang w:val="en-CA"/>
        </w:rPr>
        <w:t xml:space="preserve"> </w:t>
      </w:r>
      <w:r w:rsidR="006B6981" w:rsidRPr="00CF41E9">
        <w:rPr>
          <w:lang w:val="en-CA"/>
        </w:rPr>
        <w:t>be used</w:t>
      </w:r>
      <w:r w:rsidR="00A33BE0" w:rsidRPr="00CF41E9">
        <w:rPr>
          <w:lang w:val="en-CA"/>
        </w:rPr>
        <w:t xml:space="preserve"> for R-600a</w:t>
      </w:r>
      <w:r w:rsidR="006B6981" w:rsidRPr="00CF41E9">
        <w:rPr>
          <w:lang w:val="en-CA"/>
        </w:rPr>
        <w:t>;</w:t>
      </w:r>
    </w:p>
    <w:p w:rsidR="006B6981" w:rsidRDefault="006B6981" w:rsidP="00CF41E9">
      <w:pPr>
        <w:pStyle w:val="Heading2"/>
        <w:keepNext/>
        <w:widowControl/>
        <w:rPr>
          <w:lang w:val="en-CA"/>
        </w:rPr>
      </w:pPr>
      <w:r>
        <w:rPr>
          <w:lang w:val="en-CA"/>
        </w:rPr>
        <w:lastRenderedPageBreak/>
        <w:t xml:space="preserve">A reduction in the cost of the gas evacuation systems from US $27,380 to US $4,000, since R-600a is safely vented with a gas ejector instead of recovered owing to the small quantity being used; </w:t>
      </w:r>
    </w:p>
    <w:p w:rsidR="006B6981" w:rsidRPr="00CF41E9" w:rsidRDefault="006B6981" w:rsidP="006B6981">
      <w:pPr>
        <w:pStyle w:val="Heading2"/>
        <w:rPr>
          <w:lang w:val="en-CA"/>
        </w:rPr>
      </w:pPr>
      <w:r w:rsidRPr="00CF41E9">
        <w:rPr>
          <w:lang w:val="en-CA"/>
        </w:rPr>
        <w:t>Cost</w:t>
      </w:r>
      <w:r w:rsidR="003938A2" w:rsidRPr="00CF41E9">
        <w:rPr>
          <w:lang w:val="en-CA"/>
        </w:rPr>
        <w:t xml:space="preserve">s </w:t>
      </w:r>
      <w:r w:rsidRPr="00CF41E9">
        <w:rPr>
          <w:lang w:val="en-CA"/>
        </w:rPr>
        <w:t>for</w:t>
      </w:r>
      <w:r w:rsidR="004C04D4" w:rsidRPr="00CF41E9">
        <w:rPr>
          <w:lang w:val="en-CA"/>
        </w:rPr>
        <w:t xml:space="preserve"> </w:t>
      </w:r>
      <w:r w:rsidR="00A56131" w:rsidRPr="00CF41E9">
        <w:rPr>
          <w:lang w:val="en-CA"/>
        </w:rPr>
        <w:t xml:space="preserve">inspection visit, </w:t>
      </w:r>
      <w:r w:rsidR="004C04D4" w:rsidRPr="00CF41E9">
        <w:rPr>
          <w:lang w:val="en-CA"/>
        </w:rPr>
        <w:t>start up</w:t>
      </w:r>
      <w:r w:rsidR="00A56131" w:rsidRPr="00CF41E9">
        <w:rPr>
          <w:lang w:val="en-CA"/>
        </w:rPr>
        <w:t xml:space="preserve"> and</w:t>
      </w:r>
      <w:r w:rsidR="004C04D4" w:rsidRPr="00CF41E9">
        <w:rPr>
          <w:lang w:val="en-CA"/>
        </w:rPr>
        <w:t xml:space="preserve"> </w:t>
      </w:r>
      <w:r w:rsidR="00A56131" w:rsidRPr="00CF41E9">
        <w:rPr>
          <w:lang w:val="en-CA"/>
        </w:rPr>
        <w:t>spare parts were</w:t>
      </w:r>
      <w:r w:rsidR="004C04D4" w:rsidRPr="00CF41E9">
        <w:rPr>
          <w:lang w:val="en-CA"/>
        </w:rPr>
        <w:t xml:space="preserve"> </w:t>
      </w:r>
      <w:r w:rsidR="00A33BE0" w:rsidRPr="00CF41E9">
        <w:rPr>
          <w:lang w:val="en-CA"/>
        </w:rPr>
        <w:t xml:space="preserve">adjusted </w:t>
      </w:r>
      <w:r w:rsidR="004C04D4" w:rsidRPr="00CF41E9">
        <w:rPr>
          <w:lang w:val="en-CA"/>
        </w:rPr>
        <w:t>to US $46,000</w:t>
      </w:r>
      <w:r w:rsidR="00A33BE0" w:rsidRPr="00CF41E9">
        <w:rPr>
          <w:lang w:val="en-CA"/>
        </w:rPr>
        <w:t xml:space="preserve"> noting that spare parts are included in the new equipment</w:t>
      </w:r>
      <w:r w:rsidR="003938A2" w:rsidRPr="00CF41E9">
        <w:rPr>
          <w:lang w:val="en-CA"/>
        </w:rPr>
        <w:t>;</w:t>
      </w:r>
      <w:r w:rsidR="00A56131" w:rsidRPr="00CF41E9">
        <w:rPr>
          <w:lang w:val="en-CA"/>
        </w:rPr>
        <w:t xml:space="preserve"> and</w:t>
      </w:r>
    </w:p>
    <w:p w:rsidR="003938A2" w:rsidRPr="00B940FC" w:rsidRDefault="002A25AB" w:rsidP="00A56131">
      <w:pPr>
        <w:pStyle w:val="Heading2"/>
        <w:rPr>
          <w:lang w:val="en-CA"/>
        </w:rPr>
      </w:pPr>
      <w:r w:rsidRPr="00CF41E9">
        <w:rPr>
          <w:lang w:val="en-CA"/>
        </w:rPr>
        <w:t xml:space="preserve">Cost of equipment installation was calculated </w:t>
      </w:r>
      <w:r w:rsidR="00A33BE0" w:rsidRPr="00CF41E9">
        <w:rPr>
          <w:lang w:val="en-CA"/>
        </w:rPr>
        <w:t xml:space="preserve">at the agreed </w:t>
      </w:r>
      <w:r w:rsidRPr="00CF41E9">
        <w:rPr>
          <w:lang w:val="en-CA"/>
        </w:rPr>
        <w:t xml:space="preserve">seven per cent of equipment costs and applied contingency of 10 </w:t>
      </w:r>
      <w:r w:rsidR="00A56131" w:rsidRPr="00CF41E9">
        <w:rPr>
          <w:lang w:val="en-CA"/>
        </w:rPr>
        <w:t>per cent on equipment and trial.</w:t>
      </w:r>
    </w:p>
    <w:p w:rsidR="006B6981" w:rsidRPr="00806690" w:rsidRDefault="006B6981" w:rsidP="006B6981">
      <w:pPr>
        <w:pStyle w:val="Heading1"/>
        <w:rPr>
          <w:lang w:val="en-CA"/>
        </w:rPr>
      </w:pPr>
      <w:r>
        <w:rPr>
          <w:lang w:val="en-CA"/>
        </w:rPr>
        <w:t>As IOCs are not being requested, cost calculation was not discussed in detail. However, i</w:t>
      </w:r>
      <w:r w:rsidRPr="00806690">
        <w:rPr>
          <w:lang w:val="en-CA"/>
        </w:rPr>
        <w:t>n line with decision</w:t>
      </w:r>
      <w:r>
        <w:rPr>
          <w:lang w:val="en-CA"/>
        </w:rPr>
        <w:t> </w:t>
      </w:r>
      <w:r w:rsidRPr="00806690">
        <w:rPr>
          <w:lang w:val="en-CA"/>
        </w:rPr>
        <w:t>78/3(g), the project w</w:t>
      </w:r>
      <w:r>
        <w:rPr>
          <w:lang w:val="en-CA"/>
        </w:rPr>
        <w:t>ill</w:t>
      </w:r>
      <w:r w:rsidRPr="00806690">
        <w:rPr>
          <w:lang w:val="en-CA"/>
        </w:rPr>
        <w:t xml:space="preserve"> collect</w:t>
      </w:r>
      <w:r>
        <w:rPr>
          <w:lang w:val="en-CA"/>
        </w:rPr>
        <w:t xml:space="preserve">, and include in the final report, </w:t>
      </w:r>
      <w:r w:rsidRPr="00806690">
        <w:rPr>
          <w:lang w:val="en-CA"/>
        </w:rPr>
        <w:t xml:space="preserve">data on </w:t>
      </w:r>
      <w:r>
        <w:rPr>
          <w:lang w:val="en-CA"/>
        </w:rPr>
        <w:t xml:space="preserve">the </w:t>
      </w:r>
      <w:r w:rsidRPr="00806690">
        <w:rPr>
          <w:lang w:val="en-CA"/>
        </w:rPr>
        <w:t>ICC</w:t>
      </w:r>
      <w:r>
        <w:rPr>
          <w:lang w:val="en-CA"/>
        </w:rPr>
        <w:t>s</w:t>
      </w:r>
      <w:r w:rsidRPr="00806690">
        <w:rPr>
          <w:lang w:val="en-CA"/>
        </w:rPr>
        <w:t xml:space="preserve"> and IOCs</w:t>
      </w:r>
      <w:r>
        <w:rPr>
          <w:lang w:val="en-CA"/>
        </w:rPr>
        <w:t xml:space="preserve"> incurred. Furthermore</w:t>
      </w:r>
      <w:r w:rsidRPr="00806690">
        <w:rPr>
          <w:lang w:val="en-CA"/>
        </w:rPr>
        <w:t xml:space="preserve">, in line with decision 22/38 and subsequent decisions of the Executive Committee, equipment to be replaced </w:t>
      </w:r>
      <w:r>
        <w:rPr>
          <w:lang w:val="en-CA"/>
        </w:rPr>
        <w:t>in</w:t>
      </w:r>
      <w:r w:rsidRPr="00806690">
        <w:rPr>
          <w:lang w:val="en-CA"/>
        </w:rPr>
        <w:t xml:space="preserve"> the project w</w:t>
      </w:r>
      <w:r>
        <w:rPr>
          <w:lang w:val="en-CA"/>
        </w:rPr>
        <w:t>ill,</w:t>
      </w:r>
      <w:r w:rsidRPr="00806690">
        <w:rPr>
          <w:lang w:val="en-CA"/>
        </w:rPr>
        <w:t xml:space="preserve"> as part of the project</w:t>
      </w:r>
      <w:r>
        <w:rPr>
          <w:lang w:val="en-CA"/>
        </w:rPr>
        <w:t xml:space="preserve">, be </w:t>
      </w:r>
      <w:r w:rsidRPr="00806690">
        <w:rPr>
          <w:lang w:val="en-CA"/>
        </w:rPr>
        <w:t>destroyed or rendered unusable.</w:t>
      </w:r>
    </w:p>
    <w:p w:rsidR="006B6981" w:rsidRPr="00FA0711" w:rsidRDefault="006B6981" w:rsidP="006B6981">
      <w:pPr>
        <w:pStyle w:val="Heading1"/>
        <w:rPr>
          <w:lang w:val="en-CA"/>
        </w:rPr>
      </w:pPr>
      <w:r w:rsidRPr="00B4558E">
        <w:rPr>
          <w:lang w:val="en-CA"/>
        </w:rPr>
        <w:t xml:space="preserve">The </w:t>
      </w:r>
      <w:r>
        <w:rPr>
          <w:lang w:val="en-CA"/>
        </w:rPr>
        <w:t>revised</w:t>
      </w:r>
      <w:r w:rsidRPr="00B4558E">
        <w:rPr>
          <w:lang w:val="en-CA"/>
        </w:rPr>
        <w:t xml:space="preserve"> costs of the conversion of </w:t>
      </w:r>
      <w:r>
        <w:rPr>
          <w:lang w:val="en-CA"/>
        </w:rPr>
        <w:t xml:space="preserve">the domestic </w:t>
      </w:r>
      <w:r w:rsidRPr="00B4558E">
        <w:rPr>
          <w:lang w:val="en-CA"/>
        </w:rPr>
        <w:t>refrigerat</w:t>
      </w:r>
      <w:r>
        <w:rPr>
          <w:lang w:val="en-CA"/>
        </w:rPr>
        <w:t>or</w:t>
      </w:r>
      <w:r w:rsidRPr="00B4558E">
        <w:rPr>
          <w:lang w:val="en-CA"/>
        </w:rPr>
        <w:t xml:space="preserve"> </w:t>
      </w:r>
      <w:r>
        <w:rPr>
          <w:lang w:val="en-CA"/>
        </w:rPr>
        <w:t xml:space="preserve">and freezer </w:t>
      </w:r>
      <w:r w:rsidRPr="00B4558E">
        <w:rPr>
          <w:lang w:val="en-CA"/>
        </w:rPr>
        <w:t>manufacturing line</w:t>
      </w:r>
      <w:r>
        <w:rPr>
          <w:lang w:val="en-CA"/>
        </w:rPr>
        <w:t>s</w:t>
      </w:r>
      <w:r w:rsidRPr="00B4558E">
        <w:rPr>
          <w:lang w:val="en-CA"/>
        </w:rPr>
        <w:t xml:space="preserve"> </w:t>
      </w:r>
      <w:r>
        <w:rPr>
          <w:lang w:val="en-CA"/>
        </w:rPr>
        <w:t>at Capri are sho</w:t>
      </w:r>
      <w:r w:rsidRPr="00B4558E">
        <w:rPr>
          <w:lang w:val="en-CA"/>
        </w:rPr>
        <w:t xml:space="preserve">wn in Table </w:t>
      </w:r>
      <w:r>
        <w:rPr>
          <w:lang w:val="en-CA"/>
        </w:rPr>
        <w:t>3</w:t>
      </w:r>
      <w:r w:rsidRPr="00B4558E">
        <w:rPr>
          <w:lang w:val="en-CA"/>
        </w:rPr>
        <w:t>.</w:t>
      </w:r>
    </w:p>
    <w:p w:rsidR="006B6981" w:rsidRDefault="006B6981" w:rsidP="006B6981">
      <w:pPr>
        <w:rPr>
          <w:b/>
          <w:sz w:val="21"/>
          <w:szCs w:val="21"/>
          <w:lang w:val="en-CA"/>
        </w:rPr>
      </w:pPr>
      <w:r w:rsidRPr="008F460B">
        <w:rPr>
          <w:b/>
          <w:sz w:val="21"/>
          <w:szCs w:val="21"/>
          <w:lang w:val="en-CA"/>
        </w:rPr>
        <w:t xml:space="preserve">Table </w:t>
      </w:r>
      <w:r>
        <w:rPr>
          <w:b/>
          <w:sz w:val="21"/>
          <w:szCs w:val="21"/>
          <w:lang w:val="en-CA"/>
        </w:rPr>
        <w:t>3</w:t>
      </w:r>
      <w:r w:rsidRPr="008F460B">
        <w:rPr>
          <w:b/>
          <w:sz w:val="21"/>
          <w:szCs w:val="21"/>
          <w:lang w:val="en-CA"/>
        </w:rPr>
        <w:t xml:space="preserve">. </w:t>
      </w:r>
      <w:r>
        <w:rPr>
          <w:b/>
          <w:sz w:val="21"/>
          <w:szCs w:val="21"/>
          <w:lang w:val="en-CA"/>
        </w:rPr>
        <w:t xml:space="preserve">Total agreed </w:t>
      </w:r>
      <w:r w:rsidRPr="008F460B">
        <w:rPr>
          <w:b/>
          <w:sz w:val="21"/>
          <w:szCs w:val="21"/>
          <w:lang w:val="en-CA"/>
        </w:rPr>
        <w:t xml:space="preserve">costs </w:t>
      </w:r>
      <w:r>
        <w:rPr>
          <w:b/>
          <w:sz w:val="21"/>
          <w:szCs w:val="21"/>
          <w:lang w:val="en-CA"/>
        </w:rPr>
        <w:t xml:space="preserve">for </w:t>
      </w:r>
      <w:r w:rsidRPr="008F460B">
        <w:rPr>
          <w:b/>
          <w:sz w:val="21"/>
          <w:szCs w:val="21"/>
          <w:lang w:val="en-CA"/>
        </w:rPr>
        <w:t xml:space="preserve">the conversion of domestic refrigerator </w:t>
      </w:r>
      <w:r>
        <w:rPr>
          <w:b/>
          <w:sz w:val="21"/>
          <w:szCs w:val="21"/>
          <w:lang w:val="en-CA"/>
        </w:rPr>
        <w:t xml:space="preserve">and freezer </w:t>
      </w:r>
      <w:r w:rsidRPr="008F460B">
        <w:rPr>
          <w:b/>
          <w:sz w:val="21"/>
          <w:szCs w:val="21"/>
          <w:lang w:val="en-CA"/>
        </w:rPr>
        <w:t xml:space="preserve">manufacturing at </w:t>
      </w:r>
      <w:r>
        <w:rPr>
          <w:b/>
          <w:sz w:val="21"/>
          <w:szCs w:val="21"/>
          <w:lang w:val="en-CA"/>
        </w:rPr>
        <w:t>Capri</w:t>
      </w:r>
    </w:p>
    <w:tbl>
      <w:tblPr>
        <w:tblW w:w="5000" w:type="pct"/>
        <w:tblLook w:val="04A0" w:firstRow="1" w:lastRow="0" w:firstColumn="1" w:lastColumn="0" w:noHBand="0" w:noVBand="1"/>
      </w:tblPr>
      <w:tblGrid>
        <w:gridCol w:w="6633"/>
        <w:gridCol w:w="2717"/>
      </w:tblGrid>
      <w:tr w:rsidR="00935EEA" w:rsidRPr="00333FA0" w:rsidTr="00935EEA">
        <w:trPr>
          <w:trHeight w:val="50"/>
        </w:trPr>
        <w:tc>
          <w:tcPr>
            <w:tcW w:w="3547" w:type="pct"/>
            <w:tcBorders>
              <w:top w:val="single" w:sz="4" w:space="0" w:color="auto"/>
              <w:left w:val="single" w:sz="4" w:space="0" w:color="auto"/>
              <w:bottom w:val="single" w:sz="4" w:space="0" w:color="auto"/>
              <w:right w:val="single" w:sz="4" w:space="0" w:color="auto"/>
            </w:tcBorders>
            <w:shd w:val="clear" w:color="auto" w:fill="auto"/>
            <w:hideMark/>
          </w:tcPr>
          <w:p w:rsidR="00935EEA" w:rsidRPr="00333FA0" w:rsidRDefault="00935EEA" w:rsidP="003938A2">
            <w:pPr>
              <w:jc w:val="center"/>
              <w:rPr>
                <w:b/>
                <w:bCs/>
                <w:color w:val="000000"/>
                <w:sz w:val="20"/>
                <w:szCs w:val="20"/>
                <w:lang w:val="en-US" w:eastAsia="zh-CN"/>
              </w:rPr>
            </w:pPr>
            <w:r w:rsidRPr="00333FA0">
              <w:rPr>
                <w:b/>
                <w:bCs/>
                <w:color w:val="000000"/>
                <w:sz w:val="20"/>
                <w:szCs w:val="20"/>
                <w:lang w:val="en-US" w:eastAsia="zh-CN"/>
              </w:rPr>
              <w:t>Description</w:t>
            </w:r>
          </w:p>
        </w:tc>
        <w:tc>
          <w:tcPr>
            <w:tcW w:w="1453" w:type="pct"/>
            <w:tcBorders>
              <w:top w:val="single" w:sz="4" w:space="0" w:color="auto"/>
              <w:left w:val="nil"/>
              <w:bottom w:val="single" w:sz="4" w:space="0" w:color="auto"/>
              <w:right w:val="single" w:sz="4" w:space="0" w:color="auto"/>
            </w:tcBorders>
            <w:shd w:val="clear" w:color="auto" w:fill="auto"/>
            <w:noWrap/>
            <w:hideMark/>
          </w:tcPr>
          <w:p w:rsidR="00935EEA" w:rsidRPr="00333FA0" w:rsidRDefault="00935EEA" w:rsidP="00935EEA">
            <w:pPr>
              <w:jc w:val="center"/>
              <w:rPr>
                <w:b/>
                <w:bCs/>
                <w:color w:val="000000"/>
                <w:sz w:val="20"/>
                <w:szCs w:val="20"/>
                <w:lang w:val="en-US" w:eastAsia="zh-CN"/>
              </w:rPr>
            </w:pPr>
            <w:r>
              <w:rPr>
                <w:b/>
                <w:bCs/>
                <w:color w:val="000000"/>
                <w:sz w:val="20"/>
                <w:szCs w:val="20"/>
                <w:lang w:val="en-US" w:eastAsia="zh-CN"/>
              </w:rPr>
              <w:t>Agreed costs</w:t>
            </w:r>
            <w:r w:rsidRPr="00333FA0">
              <w:rPr>
                <w:b/>
                <w:bCs/>
                <w:color w:val="000000"/>
                <w:sz w:val="20"/>
                <w:szCs w:val="20"/>
                <w:lang w:val="en-US" w:eastAsia="zh-CN"/>
              </w:rPr>
              <w:t xml:space="preserve"> (US $)</w:t>
            </w:r>
          </w:p>
        </w:tc>
      </w:tr>
      <w:tr w:rsidR="00935EEA" w:rsidRPr="00333FA0" w:rsidTr="00935EEA">
        <w:trPr>
          <w:trHeight w:val="50"/>
        </w:trPr>
        <w:tc>
          <w:tcPr>
            <w:tcW w:w="3547" w:type="pct"/>
            <w:tcBorders>
              <w:top w:val="nil"/>
              <w:left w:val="single" w:sz="4" w:space="0" w:color="auto"/>
              <w:bottom w:val="single" w:sz="4" w:space="0" w:color="auto"/>
              <w:right w:val="single" w:sz="4" w:space="0" w:color="auto"/>
            </w:tcBorders>
            <w:shd w:val="clear" w:color="auto" w:fill="auto"/>
            <w:hideMark/>
          </w:tcPr>
          <w:p w:rsidR="00935EEA" w:rsidRPr="00333FA0" w:rsidRDefault="00935EEA" w:rsidP="003938A2">
            <w:pPr>
              <w:jc w:val="left"/>
              <w:rPr>
                <w:color w:val="000000"/>
                <w:sz w:val="20"/>
                <w:szCs w:val="20"/>
                <w:lang w:val="en-US" w:eastAsia="zh-CN"/>
              </w:rPr>
            </w:pPr>
            <w:r w:rsidRPr="00333FA0">
              <w:rPr>
                <w:color w:val="000000"/>
                <w:sz w:val="20"/>
                <w:szCs w:val="20"/>
                <w:lang w:val="en-US" w:eastAsia="zh-CN"/>
              </w:rPr>
              <w:t>Refrigerant storage and distribution system</w:t>
            </w:r>
          </w:p>
        </w:tc>
        <w:tc>
          <w:tcPr>
            <w:tcW w:w="1453" w:type="pct"/>
            <w:tcBorders>
              <w:top w:val="nil"/>
              <w:left w:val="nil"/>
              <w:bottom w:val="single" w:sz="4" w:space="0" w:color="auto"/>
              <w:right w:val="single" w:sz="4" w:space="0" w:color="auto"/>
            </w:tcBorders>
            <w:shd w:val="clear" w:color="auto" w:fill="auto"/>
            <w:hideMark/>
          </w:tcPr>
          <w:p w:rsidR="00935EEA" w:rsidRPr="00333FA0" w:rsidRDefault="00935EEA" w:rsidP="003938A2">
            <w:pPr>
              <w:ind w:firstLineChars="100" w:firstLine="200"/>
              <w:jc w:val="right"/>
              <w:rPr>
                <w:color w:val="000000"/>
                <w:sz w:val="20"/>
                <w:szCs w:val="20"/>
                <w:lang w:val="en-US" w:eastAsia="zh-CN"/>
              </w:rPr>
            </w:pPr>
            <w:r w:rsidRPr="00333FA0">
              <w:rPr>
                <w:color w:val="000000"/>
                <w:sz w:val="20"/>
                <w:szCs w:val="20"/>
                <w:lang w:val="en-US" w:eastAsia="zh-CN"/>
              </w:rPr>
              <w:t>30,000</w:t>
            </w:r>
          </w:p>
        </w:tc>
      </w:tr>
      <w:tr w:rsidR="00935EEA" w:rsidRPr="00333FA0" w:rsidTr="00935EEA">
        <w:trPr>
          <w:trHeight w:val="50"/>
        </w:trPr>
        <w:tc>
          <w:tcPr>
            <w:tcW w:w="3547" w:type="pct"/>
            <w:tcBorders>
              <w:top w:val="nil"/>
              <w:left w:val="single" w:sz="4" w:space="0" w:color="auto"/>
              <w:bottom w:val="single" w:sz="4" w:space="0" w:color="auto"/>
              <w:right w:val="single" w:sz="4" w:space="0" w:color="auto"/>
            </w:tcBorders>
            <w:shd w:val="clear" w:color="auto" w:fill="auto"/>
            <w:hideMark/>
          </w:tcPr>
          <w:p w:rsidR="00935EEA" w:rsidRPr="00333FA0" w:rsidRDefault="00935EEA" w:rsidP="003938A2">
            <w:pPr>
              <w:jc w:val="left"/>
              <w:rPr>
                <w:color w:val="000000"/>
                <w:sz w:val="20"/>
                <w:szCs w:val="20"/>
                <w:lang w:val="en-US" w:eastAsia="zh-CN"/>
              </w:rPr>
            </w:pPr>
            <w:r w:rsidRPr="00333FA0">
              <w:rPr>
                <w:color w:val="000000"/>
                <w:sz w:val="20"/>
                <w:szCs w:val="20"/>
                <w:lang w:val="en-US" w:eastAsia="zh-CN"/>
              </w:rPr>
              <w:t>Safety system</w:t>
            </w:r>
          </w:p>
        </w:tc>
        <w:tc>
          <w:tcPr>
            <w:tcW w:w="1453" w:type="pct"/>
            <w:tcBorders>
              <w:top w:val="nil"/>
              <w:left w:val="nil"/>
              <w:bottom w:val="single" w:sz="4" w:space="0" w:color="auto"/>
              <w:right w:val="single" w:sz="4" w:space="0" w:color="auto"/>
            </w:tcBorders>
            <w:shd w:val="clear" w:color="auto" w:fill="auto"/>
            <w:hideMark/>
          </w:tcPr>
          <w:p w:rsidR="00935EEA" w:rsidRPr="00333FA0" w:rsidRDefault="00935EEA" w:rsidP="003938A2">
            <w:pPr>
              <w:ind w:firstLineChars="100" w:firstLine="200"/>
              <w:jc w:val="right"/>
              <w:rPr>
                <w:color w:val="000000"/>
                <w:sz w:val="20"/>
                <w:szCs w:val="20"/>
                <w:lang w:val="en-US" w:eastAsia="zh-CN"/>
              </w:rPr>
            </w:pPr>
            <w:r w:rsidRPr="00333FA0">
              <w:rPr>
                <w:color w:val="000000"/>
                <w:sz w:val="20"/>
                <w:szCs w:val="20"/>
                <w:lang w:val="en-US" w:eastAsia="zh-CN"/>
              </w:rPr>
              <w:t>18,000</w:t>
            </w:r>
          </w:p>
        </w:tc>
      </w:tr>
      <w:tr w:rsidR="00935EEA" w:rsidRPr="00333FA0" w:rsidTr="00935EEA">
        <w:trPr>
          <w:trHeight w:val="50"/>
        </w:trPr>
        <w:tc>
          <w:tcPr>
            <w:tcW w:w="3547" w:type="pct"/>
            <w:tcBorders>
              <w:top w:val="nil"/>
              <w:left w:val="single" w:sz="4" w:space="0" w:color="auto"/>
              <w:bottom w:val="single" w:sz="4" w:space="0" w:color="auto"/>
              <w:right w:val="single" w:sz="4" w:space="0" w:color="auto"/>
            </w:tcBorders>
            <w:shd w:val="clear" w:color="auto" w:fill="auto"/>
            <w:hideMark/>
          </w:tcPr>
          <w:p w:rsidR="00935EEA" w:rsidRPr="00333FA0" w:rsidRDefault="00935EEA" w:rsidP="003938A2">
            <w:pPr>
              <w:jc w:val="left"/>
              <w:rPr>
                <w:color w:val="000000"/>
                <w:sz w:val="20"/>
                <w:szCs w:val="20"/>
                <w:lang w:val="en-US" w:eastAsia="zh-CN"/>
              </w:rPr>
            </w:pPr>
            <w:r w:rsidRPr="00333FA0">
              <w:rPr>
                <w:color w:val="000000"/>
                <w:sz w:val="20"/>
                <w:szCs w:val="20"/>
                <w:lang w:val="en-US" w:eastAsia="zh-CN"/>
              </w:rPr>
              <w:t>Welding certificate</w:t>
            </w:r>
          </w:p>
        </w:tc>
        <w:tc>
          <w:tcPr>
            <w:tcW w:w="1453" w:type="pct"/>
            <w:tcBorders>
              <w:top w:val="nil"/>
              <w:left w:val="nil"/>
              <w:bottom w:val="single" w:sz="4" w:space="0" w:color="auto"/>
              <w:right w:val="single" w:sz="4" w:space="0" w:color="auto"/>
            </w:tcBorders>
            <w:shd w:val="clear" w:color="auto" w:fill="auto"/>
            <w:hideMark/>
          </w:tcPr>
          <w:p w:rsidR="00935EEA" w:rsidRPr="00333FA0" w:rsidRDefault="00935EEA" w:rsidP="003938A2">
            <w:pPr>
              <w:ind w:firstLineChars="100" w:firstLine="200"/>
              <w:jc w:val="right"/>
              <w:rPr>
                <w:color w:val="000000"/>
                <w:sz w:val="20"/>
                <w:szCs w:val="20"/>
                <w:lang w:val="en-US" w:eastAsia="zh-CN"/>
              </w:rPr>
            </w:pPr>
            <w:r w:rsidRPr="00333FA0">
              <w:rPr>
                <w:color w:val="000000"/>
                <w:sz w:val="20"/>
                <w:szCs w:val="20"/>
                <w:lang w:val="en-US" w:eastAsia="zh-CN"/>
              </w:rPr>
              <w:t>10,000</w:t>
            </w:r>
          </w:p>
        </w:tc>
      </w:tr>
      <w:tr w:rsidR="00935EEA" w:rsidRPr="00333FA0" w:rsidTr="00935EEA">
        <w:trPr>
          <w:trHeight w:val="50"/>
        </w:trPr>
        <w:tc>
          <w:tcPr>
            <w:tcW w:w="3547" w:type="pct"/>
            <w:tcBorders>
              <w:top w:val="nil"/>
              <w:left w:val="single" w:sz="4" w:space="0" w:color="auto"/>
              <w:bottom w:val="single" w:sz="4" w:space="0" w:color="auto"/>
              <w:right w:val="single" w:sz="4" w:space="0" w:color="auto"/>
            </w:tcBorders>
            <w:shd w:val="clear" w:color="auto" w:fill="auto"/>
            <w:hideMark/>
          </w:tcPr>
          <w:p w:rsidR="00935EEA" w:rsidRPr="00333FA0" w:rsidRDefault="00935EEA" w:rsidP="003938A2">
            <w:pPr>
              <w:jc w:val="left"/>
              <w:rPr>
                <w:color w:val="000000"/>
                <w:sz w:val="20"/>
                <w:szCs w:val="20"/>
                <w:lang w:val="en-US" w:eastAsia="zh-CN"/>
              </w:rPr>
            </w:pPr>
            <w:r w:rsidRPr="00333FA0">
              <w:rPr>
                <w:color w:val="000000"/>
                <w:sz w:val="20"/>
                <w:szCs w:val="20"/>
                <w:lang w:val="en-US" w:eastAsia="zh-CN"/>
              </w:rPr>
              <w:t>Helium leak-detection system</w:t>
            </w:r>
          </w:p>
        </w:tc>
        <w:tc>
          <w:tcPr>
            <w:tcW w:w="1453" w:type="pct"/>
            <w:tcBorders>
              <w:top w:val="nil"/>
              <w:left w:val="nil"/>
              <w:bottom w:val="single" w:sz="4" w:space="0" w:color="auto"/>
              <w:right w:val="single" w:sz="4" w:space="0" w:color="auto"/>
            </w:tcBorders>
            <w:shd w:val="clear" w:color="auto" w:fill="auto"/>
            <w:hideMark/>
          </w:tcPr>
          <w:p w:rsidR="00935EEA" w:rsidRPr="00333FA0" w:rsidRDefault="00935EEA" w:rsidP="003938A2">
            <w:pPr>
              <w:ind w:firstLineChars="100" w:firstLine="200"/>
              <w:jc w:val="right"/>
              <w:rPr>
                <w:color w:val="000000"/>
                <w:sz w:val="20"/>
                <w:szCs w:val="20"/>
                <w:lang w:val="en-US" w:eastAsia="zh-CN"/>
              </w:rPr>
            </w:pPr>
            <w:r w:rsidRPr="00333FA0">
              <w:rPr>
                <w:color w:val="000000"/>
                <w:sz w:val="20"/>
                <w:szCs w:val="20"/>
                <w:lang w:val="en-US" w:eastAsia="zh-CN"/>
              </w:rPr>
              <w:t>90,000</w:t>
            </w:r>
          </w:p>
        </w:tc>
      </w:tr>
      <w:tr w:rsidR="00935EEA" w:rsidRPr="00333FA0" w:rsidTr="00935EEA">
        <w:trPr>
          <w:trHeight w:val="50"/>
        </w:trPr>
        <w:tc>
          <w:tcPr>
            <w:tcW w:w="3547" w:type="pct"/>
            <w:tcBorders>
              <w:top w:val="nil"/>
              <w:left w:val="single" w:sz="4" w:space="0" w:color="auto"/>
              <w:bottom w:val="single" w:sz="4" w:space="0" w:color="auto"/>
              <w:right w:val="single" w:sz="4" w:space="0" w:color="auto"/>
            </w:tcBorders>
            <w:shd w:val="clear" w:color="auto" w:fill="auto"/>
            <w:noWrap/>
            <w:hideMark/>
          </w:tcPr>
          <w:p w:rsidR="00935EEA" w:rsidRPr="00333FA0" w:rsidRDefault="00935EEA" w:rsidP="003938A2">
            <w:pPr>
              <w:jc w:val="left"/>
              <w:rPr>
                <w:color w:val="000000"/>
                <w:sz w:val="20"/>
                <w:szCs w:val="20"/>
                <w:lang w:val="en-US" w:eastAsia="zh-CN"/>
              </w:rPr>
            </w:pPr>
            <w:r w:rsidRPr="00333FA0">
              <w:rPr>
                <w:color w:val="000000"/>
                <w:sz w:val="20"/>
                <w:szCs w:val="20"/>
                <w:lang w:val="en-US" w:eastAsia="zh-CN"/>
              </w:rPr>
              <w:t>Vacuum pump and accessories</w:t>
            </w:r>
            <w:r w:rsidR="0044613F">
              <w:rPr>
                <w:color w:val="000000"/>
                <w:sz w:val="20"/>
                <w:szCs w:val="20"/>
                <w:lang w:val="en-US" w:eastAsia="zh-CN"/>
              </w:rPr>
              <w:t xml:space="preserve"> (60 units)</w:t>
            </w:r>
          </w:p>
        </w:tc>
        <w:tc>
          <w:tcPr>
            <w:tcW w:w="1453" w:type="pct"/>
            <w:tcBorders>
              <w:top w:val="nil"/>
              <w:left w:val="nil"/>
              <w:bottom w:val="single" w:sz="4" w:space="0" w:color="auto"/>
              <w:right w:val="single" w:sz="4" w:space="0" w:color="auto"/>
            </w:tcBorders>
            <w:shd w:val="clear" w:color="auto" w:fill="auto"/>
            <w:hideMark/>
          </w:tcPr>
          <w:p w:rsidR="00935EEA" w:rsidRPr="00333FA0" w:rsidRDefault="00935EEA" w:rsidP="003938A2">
            <w:pPr>
              <w:ind w:firstLineChars="100" w:firstLine="200"/>
              <w:jc w:val="right"/>
              <w:rPr>
                <w:color w:val="000000"/>
                <w:sz w:val="20"/>
                <w:szCs w:val="20"/>
                <w:lang w:val="en-US" w:eastAsia="zh-CN"/>
              </w:rPr>
            </w:pPr>
            <w:r>
              <w:rPr>
                <w:color w:val="000000"/>
                <w:sz w:val="20"/>
                <w:szCs w:val="20"/>
                <w:lang w:val="en-US" w:eastAsia="zh-CN"/>
              </w:rPr>
              <w:t>0</w:t>
            </w:r>
          </w:p>
        </w:tc>
      </w:tr>
      <w:tr w:rsidR="00935EEA" w:rsidRPr="00333FA0" w:rsidTr="00935EEA">
        <w:trPr>
          <w:trHeight w:val="50"/>
        </w:trPr>
        <w:tc>
          <w:tcPr>
            <w:tcW w:w="3547" w:type="pct"/>
            <w:tcBorders>
              <w:top w:val="nil"/>
              <w:left w:val="single" w:sz="4" w:space="0" w:color="auto"/>
              <w:bottom w:val="single" w:sz="4" w:space="0" w:color="auto"/>
              <w:right w:val="single" w:sz="4" w:space="0" w:color="auto"/>
            </w:tcBorders>
            <w:shd w:val="clear" w:color="auto" w:fill="auto"/>
            <w:hideMark/>
          </w:tcPr>
          <w:p w:rsidR="00935EEA" w:rsidRPr="00333FA0" w:rsidRDefault="00935EEA" w:rsidP="003938A2">
            <w:pPr>
              <w:jc w:val="left"/>
              <w:rPr>
                <w:color w:val="000000"/>
                <w:sz w:val="20"/>
                <w:szCs w:val="20"/>
                <w:lang w:val="en-US" w:eastAsia="zh-CN"/>
              </w:rPr>
            </w:pPr>
            <w:r w:rsidRPr="00333FA0">
              <w:rPr>
                <w:color w:val="000000"/>
                <w:sz w:val="20"/>
                <w:szCs w:val="20"/>
                <w:lang w:val="en-US" w:eastAsia="zh-CN"/>
              </w:rPr>
              <w:t>Refrigerant-charging system</w:t>
            </w:r>
          </w:p>
        </w:tc>
        <w:tc>
          <w:tcPr>
            <w:tcW w:w="1453" w:type="pct"/>
            <w:tcBorders>
              <w:top w:val="nil"/>
              <w:left w:val="nil"/>
              <w:bottom w:val="single" w:sz="4" w:space="0" w:color="auto"/>
              <w:right w:val="single" w:sz="4" w:space="0" w:color="auto"/>
            </w:tcBorders>
            <w:shd w:val="clear" w:color="auto" w:fill="auto"/>
            <w:hideMark/>
          </w:tcPr>
          <w:p w:rsidR="00935EEA" w:rsidRPr="00333FA0" w:rsidRDefault="00935EEA" w:rsidP="003938A2">
            <w:pPr>
              <w:ind w:firstLineChars="100" w:firstLine="200"/>
              <w:jc w:val="right"/>
              <w:rPr>
                <w:color w:val="000000"/>
                <w:sz w:val="20"/>
                <w:szCs w:val="20"/>
                <w:lang w:val="en-US" w:eastAsia="zh-CN"/>
              </w:rPr>
            </w:pPr>
            <w:r w:rsidRPr="00333FA0">
              <w:rPr>
                <w:color w:val="000000"/>
                <w:sz w:val="20"/>
                <w:szCs w:val="20"/>
                <w:lang w:val="en-US" w:eastAsia="zh-CN"/>
              </w:rPr>
              <w:t>110,000</w:t>
            </w:r>
          </w:p>
        </w:tc>
      </w:tr>
      <w:tr w:rsidR="00935EEA" w:rsidRPr="00333FA0" w:rsidTr="00935EEA">
        <w:trPr>
          <w:trHeight w:val="50"/>
        </w:trPr>
        <w:tc>
          <w:tcPr>
            <w:tcW w:w="3547" w:type="pct"/>
            <w:tcBorders>
              <w:top w:val="nil"/>
              <w:left w:val="single" w:sz="4" w:space="0" w:color="auto"/>
              <w:bottom w:val="single" w:sz="4" w:space="0" w:color="auto"/>
              <w:right w:val="single" w:sz="4" w:space="0" w:color="auto"/>
            </w:tcBorders>
            <w:shd w:val="clear" w:color="auto" w:fill="auto"/>
            <w:hideMark/>
          </w:tcPr>
          <w:p w:rsidR="00935EEA" w:rsidRPr="00333FA0" w:rsidRDefault="00935EEA" w:rsidP="003938A2">
            <w:pPr>
              <w:jc w:val="left"/>
              <w:rPr>
                <w:color w:val="000000"/>
                <w:sz w:val="20"/>
                <w:szCs w:val="20"/>
                <w:lang w:val="en-US" w:eastAsia="zh-CN"/>
              </w:rPr>
            </w:pPr>
            <w:r w:rsidRPr="00333FA0">
              <w:rPr>
                <w:color w:val="000000"/>
                <w:sz w:val="20"/>
                <w:szCs w:val="20"/>
                <w:lang w:val="en-US" w:eastAsia="zh-CN"/>
              </w:rPr>
              <w:t>Leak detection for charging area</w:t>
            </w:r>
          </w:p>
        </w:tc>
        <w:tc>
          <w:tcPr>
            <w:tcW w:w="1453" w:type="pct"/>
            <w:tcBorders>
              <w:top w:val="nil"/>
              <w:left w:val="nil"/>
              <w:bottom w:val="single" w:sz="4" w:space="0" w:color="auto"/>
              <w:right w:val="single" w:sz="4" w:space="0" w:color="auto"/>
            </w:tcBorders>
            <w:shd w:val="clear" w:color="auto" w:fill="auto"/>
            <w:hideMark/>
          </w:tcPr>
          <w:p w:rsidR="00935EEA" w:rsidRPr="00333FA0" w:rsidRDefault="00935EEA" w:rsidP="003938A2">
            <w:pPr>
              <w:ind w:firstLineChars="100" w:firstLine="200"/>
              <w:jc w:val="right"/>
              <w:rPr>
                <w:color w:val="000000"/>
                <w:sz w:val="20"/>
                <w:szCs w:val="20"/>
                <w:lang w:val="en-US" w:eastAsia="zh-CN"/>
              </w:rPr>
            </w:pPr>
            <w:r w:rsidRPr="00333FA0">
              <w:rPr>
                <w:color w:val="000000"/>
                <w:sz w:val="20"/>
                <w:szCs w:val="20"/>
                <w:lang w:val="en-US" w:eastAsia="zh-CN"/>
              </w:rPr>
              <w:t>26,000</w:t>
            </w:r>
          </w:p>
        </w:tc>
      </w:tr>
      <w:tr w:rsidR="00935EEA" w:rsidRPr="00333FA0" w:rsidTr="00935EEA">
        <w:trPr>
          <w:trHeight w:val="50"/>
        </w:trPr>
        <w:tc>
          <w:tcPr>
            <w:tcW w:w="3547" w:type="pct"/>
            <w:tcBorders>
              <w:top w:val="nil"/>
              <w:left w:val="single" w:sz="4" w:space="0" w:color="auto"/>
              <w:bottom w:val="single" w:sz="4" w:space="0" w:color="auto"/>
              <w:right w:val="single" w:sz="4" w:space="0" w:color="auto"/>
            </w:tcBorders>
            <w:shd w:val="clear" w:color="auto" w:fill="auto"/>
            <w:hideMark/>
          </w:tcPr>
          <w:p w:rsidR="00935EEA" w:rsidRPr="00333FA0" w:rsidRDefault="00935EEA" w:rsidP="003938A2">
            <w:pPr>
              <w:jc w:val="left"/>
              <w:rPr>
                <w:color w:val="000000"/>
                <w:sz w:val="20"/>
                <w:szCs w:val="20"/>
                <w:lang w:val="en-US" w:eastAsia="zh-CN"/>
              </w:rPr>
            </w:pPr>
            <w:r w:rsidRPr="00333FA0">
              <w:rPr>
                <w:color w:val="000000"/>
                <w:sz w:val="20"/>
                <w:szCs w:val="20"/>
                <w:lang w:val="en-US" w:eastAsia="zh-CN"/>
              </w:rPr>
              <w:t>Gas evacuation system for repair area</w:t>
            </w:r>
          </w:p>
        </w:tc>
        <w:tc>
          <w:tcPr>
            <w:tcW w:w="1453" w:type="pct"/>
            <w:tcBorders>
              <w:top w:val="nil"/>
              <w:left w:val="nil"/>
              <w:bottom w:val="single" w:sz="4" w:space="0" w:color="auto"/>
              <w:right w:val="single" w:sz="4" w:space="0" w:color="auto"/>
            </w:tcBorders>
            <w:shd w:val="clear" w:color="auto" w:fill="auto"/>
            <w:hideMark/>
          </w:tcPr>
          <w:p w:rsidR="00935EEA" w:rsidRPr="00333FA0" w:rsidRDefault="00935EEA" w:rsidP="003938A2">
            <w:pPr>
              <w:ind w:firstLineChars="100" w:firstLine="200"/>
              <w:jc w:val="right"/>
              <w:rPr>
                <w:color w:val="000000"/>
                <w:sz w:val="20"/>
                <w:szCs w:val="20"/>
                <w:lang w:val="en-US" w:eastAsia="zh-CN"/>
              </w:rPr>
            </w:pPr>
            <w:r w:rsidRPr="00333FA0">
              <w:rPr>
                <w:color w:val="000000"/>
                <w:sz w:val="20"/>
                <w:szCs w:val="20"/>
                <w:lang w:val="en-US" w:eastAsia="zh-CN"/>
              </w:rPr>
              <w:t>4,000</w:t>
            </w:r>
          </w:p>
        </w:tc>
      </w:tr>
      <w:tr w:rsidR="00935EEA" w:rsidRPr="00333FA0" w:rsidTr="00935EEA">
        <w:trPr>
          <w:trHeight w:val="50"/>
        </w:trPr>
        <w:tc>
          <w:tcPr>
            <w:tcW w:w="3547" w:type="pct"/>
            <w:tcBorders>
              <w:top w:val="nil"/>
              <w:left w:val="single" w:sz="4" w:space="0" w:color="auto"/>
              <w:bottom w:val="single" w:sz="4" w:space="0" w:color="auto"/>
              <w:right w:val="single" w:sz="4" w:space="0" w:color="auto"/>
            </w:tcBorders>
            <w:shd w:val="clear" w:color="auto" w:fill="auto"/>
            <w:hideMark/>
          </w:tcPr>
          <w:p w:rsidR="00935EEA" w:rsidRPr="00333FA0" w:rsidRDefault="00935EEA" w:rsidP="003938A2">
            <w:pPr>
              <w:jc w:val="left"/>
              <w:rPr>
                <w:color w:val="000000"/>
                <w:sz w:val="20"/>
                <w:szCs w:val="20"/>
                <w:lang w:val="en-US" w:eastAsia="zh-CN"/>
              </w:rPr>
            </w:pPr>
            <w:r w:rsidRPr="00333FA0">
              <w:rPr>
                <w:color w:val="000000"/>
                <w:sz w:val="20"/>
                <w:szCs w:val="20"/>
                <w:lang w:val="en-US" w:eastAsia="zh-CN"/>
              </w:rPr>
              <w:t>Ultrasonic welding machine</w:t>
            </w:r>
          </w:p>
        </w:tc>
        <w:tc>
          <w:tcPr>
            <w:tcW w:w="1453" w:type="pct"/>
            <w:tcBorders>
              <w:top w:val="nil"/>
              <w:left w:val="nil"/>
              <w:bottom w:val="single" w:sz="4" w:space="0" w:color="auto"/>
              <w:right w:val="single" w:sz="4" w:space="0" w:color="auto"/>
            </w:tcBorders>
            <w:shd w:val="clear" w:color="auto" w:fill="auto"/>
            <w:hideMark/>
          </w:tcPr>
          <w:p w:rsidR="00935EEA" w:rsidRPr="00333FA0" w:rsidRDefault="00935EEA" w:rsidP="003938A2">
            <w:pPr>
              <w:ind w:firstLineChars="100" w:firstLine="200"/>
              <w:jc w:val="right"/>
              <w:rPr>
                <w:color w:val="000000"/>
                <w:sz w:val="20"/>
                <w:szCs w:val="20"/>
                <w:lang w:val="en-US" w:eastAsia="zh-CN"/>
              </w:rPr>
            </w:pPr>
            <w:r w:rsidRPr="00333FA0">
              <w:rPr>
                <w:color w:val="000000"/>
                <w:sz w:val="20"/>
                <w:szCs w:val="20"/>
                <w:lang w:val="en-US" w:eastAsia="zh-CN"/>
              </w:rPr>
              <w:t>50,000</w:t>
            </w:r>
          </w:p>
        </w:tc>
      </w:tr>
      <w:tr w:rsidR="00935EEA" w:rsidRPr="00333FA0" w:rsidTr="00935EEA">
        <w:trPr>
          <w:trHeight w:val="50"/>
        </w:trPr>
        <w:tc>
          <w:tcPr>
            <w:tcW w:w="3547" w:type="pct"/>
            <w:tcBorders>
              <w:top w:val="nil"/>
              <w:left w:val="single" w:sz="4" w:space="0" w:color="auto"/>
              <w:bottom w:val="single" w:sz="4" w:space="0" w:color="auto"/>
              <w:right w:val="single" w:sz="4" w:space="0" w:color="auto"/>
            </w:tcBorders>
            <w:shd w:val="clear" w:color="auto" w:fill="auto"/>
            <w:hideMark/>
          </w:tcPr>
          <w:p w:rsidR="00935EEA" w:rsidRPr="00333FA0" w:rsidRDefault="00935EEA" w:rsidP="003938A2">
            <w:pPr>
              <w:jc w:val="left"/>
              <w:rPr>
                <w:color w:val="000000"/>
                <w:sz w:val="20"/>
                <w:szCs w:val="20"/>
                <w:lang w:val="en-US" w:eastAsia="zh-CN"/>
              </w:rPr>
            </w:pPr>
            <w:r w:rsidRPr="00333FA0">
              <w:rPr>
                <w:color w:val="000000"/>
                <w:sz w:val="20"/>
                <w:szCs w:val="20"/>
                <w:lang w:val="en-US" w:eastAsia="zh-CN"/>
              </w:rPr>
              <w:t>Safety and ventilation</w:t>
            </w:r>
          </w:p>
        </w:tc>
        <w:tc>
          <w:tcPr>
            <w:tcW w:w="1453" w:type="pct"/>
            <w:tcBorders>
              <w:top w:val="nil"/>
              <w:left w:val="nil"/>
              <w:bottom w:val="single" w:sz="4" w:space="0" w:color="auto"/>
              <w:right w:val="single" w:sz="4" w:space="0" w:color="auto"/>
            </w:tcBorders>
            <w:shd w:val="clear" w:color="auto" w:fill="auto"/>
            <w:hideMark/>
          </w:tcPr>
          <w:p w:rsidR="00935EEA" w:rsidRPr="00333FA0" w:rsidRDefault="00935EEA" w:rsidP="003938A2">
            <w:pPr>
              <w:ind w:firstLineChars="100" w:firstLine="200"/>
              <w:jc w:val="right"/>
              <w:rPr>
                <w:color w:val="000000"/>
                <w:sz w:val="20"/>
                <w:szCs w:val="20"/>
                <w:lang w:val="en-US" w:eastAsia="zh-CN"/>
              </w:rPr>
            </w:pPr>
            <w:r w:rsidRPr="00333FA0">
              <w:rPr>
                <w:color w:val="000000"/>
                <w:sz w:val="20"/>
                <w:szCs w:val="20"/>
                <w:lang w:val="en-US" w:eastAsia="zh-CN"/>
              </w:rPr>
              <w:t>100,000</w:t>
            </w:r>
          </w:p>
        </w:tc>
      </w:tr>
      <w:tr w:rsidR="00935EEA" w:rsidRPr="00333FA0" w:rsidTr="00935EEA">
        <w:trPr>
          <w:trHeight w:val="50"/>
        </w:trPr>
        <w:tc>
          <w:tcPr>
            <w:tcW w:w="3547" w:type="pct"/>
            <w:tcBorders>
              <w:top w:val="nil"/>
              <w:left w:val="single" w:sz="4" w:space="0" w:color="auto"/>
              <w:bottom w:val="single" w:sz="4" w:space="0" w:color="auto"/>
              <w:right w:val="single" w:sz="4" w:space="0" w:color="auto"/>
            </w:tcBorders>
            <w:shd w:val="clear" w:color="auto" w:fill="auto"/>
            <w:hideMark/>
          </w:tcPr>
          <w:p w:rsidR="00935EEA" w:rsidRPr="00A74A47" w:rsidRDefault="00935EEA" w:rsidP="00B84680">
            <w:pPr>
              <w:jc w:val="left"/>
              <w:rPr>
                <w:bCs/>
                <w:color w:val="000000"/>
                <w:sz w:val="20"/>
                <w:szCs w:val="20"/>
                <w:lang w:val="en-US" w:eastAsia="zh-CN"/>
              </w:rPr>
            </w:pPr>
            <w:r w:rsidRPr="00A74A47">
              <w:rPr>
                <w:bCs/>
                <w:color w:val="000000"/>
                <w:sz w:val="20"/>
                <w:szCs w:val="20"/>
                <w:lang w:val="en-US" w:eastAsia="zh-CN"/>
              </w:rPr>
              <w:t>Installation</w:t>
            </w:r>
            <w:r w:rsidR="0044613F">
              <w:rPr>
                <w:bCs/>
                <w:color w:val="000000"/>
                <w:sz w:val="20"/>
                <w:szCs w:val="20"/>
                <w:lang w:val="en-US" w:eastAsia="zh-CN"/>
              </w:rPr>
              <w:tab/>
            </w:r>
          </w:p>
        </w:tc>
        <w:tc>
          <w:tcPr>
            <w:tcW w:w="1453" w:type="pct"/>
            <w:tcBorders>
              <w:top w:val="nil"/>
              <w:left w:val="nil"/>
              <w:bottom w:val="single" w:sz="4" w:space="0" w:color="auto"/>
              <w:right w:val="single" w:sz="4" w:space="0" w:color="auto"/>
            </w:tcBorders>
            <w:shd w:val="clear" w:color="auto" w:fill="auto"/>
            <w:hideMark/>
          </w:tcPr>
          <w:p w:rsidR="00935EEA" w:rsidRPr="00A74A47" w:rsidRDefault="0044613F" w:rsidP="003938A2">
            <w:pPr>
              <w:ind w:firstLineChars="100" w:firstLine="200"/>
              <w:jc w:val="right"/>
              <w:rPr>
                <w:bCs/>
                <w:color w:val="000000"/>
                <w:sz w:val="20"/>
                <w:szCs w:val="20"/>
                <w:lang w:val="en-US" w:eastAsia="zh-CN"/>
              </w:rPr>
            </w:pPr>
            <w:r>
              <w:rPr>
                <w:bCs/>
                <w:color w:val="000000"/>
                <w:sz w:val="20"/>
                <w:szCs w:val="20"/>
                <w:lang w:val="en-US" w:eastAsia="zh-CN"/>
              </w:rPr>
              <w:t>30</w:t>
            </w:r>
            <w:r w:rsidR="00935EEA" w:rsidRPr="00A74A47">
              <w:rPr>
                <w:bCs/>
                <w:color w:val="000000"/>
                <w:sz w:val="20"/>
                <w:szCs w:val="20"/>
                <w:lang w:val="en-US" w:eastAsia="zh-CN"/>
              </w:rPr>
              <w:t>,</w:t>
            </w:r>
            <w:r>
              <w:rPr>
                <w:bCs/>
                <w:color w:val="000000"/>
                <w:sz w:val="20"/>
                <w:szCs w:val="20"/>
                <w:lang w:val="en-US" w:eastAsia="zh-CN"/>
              </w:rPr>
              <w:t>660</w:t>
            </w:r>
          </w:p>
        </w:tc>
      </w:tr>
      <w:tr w:rsidR="00935EEA" w:rsidRPr="00333FA0" w:rsidTr="00935EEA">
        <w:trPr>
          <w:trHeight w:val="50"/>
        </w:trPr>
        <w:tc>
          <w:tcPr>
            <w:tcW w:w="3547" w:type="pct"/>
            <w:tcBorders>
              <w:top w:val="nil"/>
              <w:left w:val="single" w:sz="4" w:space="0" w:color="auto"/>
              <w:bottom w:val="single" w:sz="4" w:space="0" w:color="auto"/>
              <w:right w:val="single" w:sz="4" w:space="0" w:color="auto"/>
            </w:tcBorders>
            <w:shd w:val="clear" w:color="auto" w:fill="auto"/>
            <w:noWrap/>
            <w:hideMark/>
          </w:tcPr>
          <w:p w:rsidR="00935EEA" w:rsidRPr="00333FA0" w:rsidRDefault="0044613F" w:rsidP="003938A2">
            <w:pPr>
              <w:jc w:val="left"/>
              <w:rPr>
                <w:b/>
                <w:bCs/>
                <w:color w:val="000000"/>
                <w:sz w:val="20"/>
                <w:szCs w:val="20"/>
                <w:lang w:val="en-US" w:eastAsia="zh-CN"/>
              </w:rPr>
            </w:pPr>
            <w:r>
              <w:rPr>
                <w:b/>
                <w:bCs/>
                <w:color w:val="000000"/>
                <w:sz w:val="20"/>
                <w:szCs w:val="20"/>
                <w:lang w:val="en-US" w:eastAsia="zh-CN"/>
              </w:rPr>
              <w:t>Sub-total</w:t>
            </w:r>
          </w:p>
        </w:tc>
        <w:tc>
          <w:tcPr>
            <w:tcW w:w="1453" w:type="pct"/>
            <w:tcBorders>
              <w:top w:val="nil"/>
              <w:left w:val="nil"/>
              <w:bottom w:val="single" w:sz="4" w:space="0" w:color="auto"/>
              <w:right w:val="single" w:sz="4" w:space="0" w:color="auto"/>
            </w:tcBorders>
            <w:shd w:val="clear" w:color="auto" w:fill="auto"/>
            <w:hideMark/>
          </w:tcPr>
          <w:p w:rsidR="00935EEA" w:rsidRPr="00333FA0" w:rsidRDefault="00935EEA" w:rsidP="003938A2">
            <w:pPr>
              <w:ind w:firstLineChars="100" w:firstLine="200"/>
              <w:jc w:val="right"/>
              <w:rPr>
                <w:b/>
                <w:bCs/>
                <w:color w:val="000000"/>
                <w:sz w:val="20"/>
                <w:szCs w:val="20"/>
                <w:lang w:val="en-US" w:eastAsia="zh-CN"/>
              </w:rPr>
            </w:pPr>
            <w:r w:rsidRPr="00333FA0">
              <w:rPr>
                <w:b/>
                <w:bCs/>
                <w:color w:val="000000"/>
                <w:sz w:val="20"/>
                <w:szCs w:val="20"/>
                <w:lang w:val="en-US" w:eastAsia="zh-CN"/>
              </w:rPr>
              <w:t>468,660</w:t>
            </w:r>
          </w:p>
        </w:tc>
      </w:tr>
      <w:tr w:rsidR="00935EEA" w:rsidRPr="00333FA0" w:rsidTr="00935EEA">
        <w:trPr>
          <w:trHeight w:val="50"/>
        </w:trPr>
        <w:tc>
          <w:tcPr>
            <w:tcW w:w="3547" w:type="pct"/>
            <w:tcBorders>
              <w:top w:val="nil"/>
              <w:left w:val="single" w:sz="4" w:space="0" w:color="auto"/>
              <w:bottom w:val="single" w:sz="4" w:space="0" w:color="auto"/>
              <w:right w:val="single" w:sz="4" w:space="0" w:color="auto"/>
            </w:tcBorders>
            <w:shd w:val="clear" w:color="auto" w:fill="auto"/>
            <w:hideMark/>
          </w:tcPr>
          <w:p w:rsidR="00935EEA" w:rsidRPr="00333FA0" w:rsidRDefault="00D931BB" w:rsidP="003938A2">
            <w:pPr>
              <w:jc w:val="left"/>
              <w:rPr>
                <w:color w:val="000000"/>
                <w:sz w:val="20"/>
                <w:szCs w:val="20"/>
                <w:lang w:val="en-US" w:eastAsia="zh-CN"/>
              </w:rPr>
            </w:pPr>
            <w:r w:rsidRPr="00D931BB">
              <w:rPr>
                <w:color w:val="000000"/>
                <w:sz w:val="20"/>
                <w:szCs w:val="20"/>
                <w:lang w:val="en-US" w:eastAsia="zh-CN"/>
              </w:rPr>
              <w:t>Inspection visit</w:t>
            </w:r>
            <w:r w:rsidR="00935EEA">
              <w:rPr>
                <w:color w:val="000000"/>
                <w:sz w:val="20"/>
                <w:szCs w:val="20"/>
                <w:lang w:val="en-US" w:eastAsia="zh-CN"/>
              </w:rPr>
              <w:t xml:space="preserve">, spare parts and </w:t>
            </w:r>
            <w:r w:rsidRPr="00D931BB">
              <w:rPr>
                <w:color w:val="000000"/>
                <w:sz w:val="20"/>
                <w:szCs w:val="20"/>
                <w:lang w:val="en-US" w:eastAsia="zh-CN"/>
              </w:rPr>
              <w:t>startup</w:t>
            </w:r>
            <w:r w:rsidR="00CF41E9">
              <w:rPr>
                <w:color w:val="000000"/>
                <w:sz w:val="20"/>
                <w:szCs w:val="20"/>
                <w:lang w:val="en-US" w:eastAsia="zh-CN"/>
              </w:rPr>
              <w:t>*</w:t>
            </w:r>
          </w:p>
        </w:tc>
        <w:tc>
          <w:tcPr>
            <w:tcW w:w="1453" w:type="pct"/>
            <w:tcBorders>
              <w:top w:val="nil"/>
              <w:left w:val="nil"/>
              <w:bottom w:val="single" w:sz="4" w:space="0" w:color="auto"/>
              <w:right w:val="single" w:sz="4" w:space="0" w:color="auto"/>
            </w:tcBorders>
            <w:shd w:val="clear" w:color="auto" w:fill="auto"/>
            <w:hideMark/>
          </w:tcPr>
          <w:p w:rsidR="00935EEA" w:rsidRPr="00333FA0" w:rsidRDefault="00935EEA" w:rsidP="003938A2">
            <w:pPr>
              <w:ind w:firstLineChars="100" w:firstLine="200"/>
              <w:jc w:val="right"/>
              <w:rPr>
                <w:color w:val="000000"/>
                <w:sz w:val="20"/>
                <w:szCs w:val="20"/>
                <w:lang w:val="en-US" w:eastAsia="zh-CN"/>
              </w:rPr>
            </w:pPr>
            <w:r>
              <w:rPr>
                <w:color w:val="000000"/>
                <w:sz w:val="20"/>
                <w:szCs w:val="20"/>
                <w:lang w:val="en-US" w:eastAsia="zh-CN"/>
              </w:rPr>
              <w:t>46</w:t>
            </w:r>
            <w:r w:rsidRPr="00333FA0">
              <w:rPr>
                <w:color w:val="000000"/>
                <w:sz w:val="20"/>
                <w:szCs w:val="20"/>
                <w:lang w:val="en-US" w:eastAsia="zh-CN"/>
              </w:rPr>
              <w:t>,000</w:t>
            </w:r>
          </w:p>
        </w:tc>
      </w:tr>
      <w:tr w:rsidR="00935EEA" w:rsidRPr="00333FA0" w:rsidTr="00935EEA">
        <w:trPr>
          <w:trHeight w:val="50"/>
        </w:trPr>
        <w:tc>
          <w:tcPr>
            <w:tcW w:w="3547" w:type="pct"/>
            <w:tcBorders>
              <w:top w:val="nil"/>
              <w:left w:val="single" w:sz="4" w:space="0" w:color="auto"/>
              <w:bottom w:val="single" w:sz="4" w:space="0" w:color="auto"/>
              <w:right w:val="single" w:sz="4" w:space="0" w:color="auto"/>
            </w:tcBorders>
            <w:shd w:val="clear" w:color="auto" w:fill="auto"/>
            <w:hideMark/>
          </w:tcPr>
          <w:p w:rsidR="00935EEA" w:rsidRPr="00333FA0" w:rsidRDefault="00935EEA" w:rsidP="00A56131">
            <w:pPr>
              <w:jc w:val="left"/>
              <w:rPr>
                <w:color w:val="000000"/>
                <w:sz w:val="20"/>
                <w:szCs w:val="20"/>
                <w:lang w:val="en-US" w:eastAsia="zh-CN"/>
              </w:rPr>
            </w:pPr>
            <w:r w:rsidRPr="00333FA0">
              <w:rPr>
                <w:color w:val="000000"/>
                <w:sz w:val="20"/>
                <w:szCs w:val="20"/>
                <w:lang w:val="en-US" w:eastAsia="zh-CN"/>
              </w:rPr>
              <w:t>Contingency</w:t>
            </w:r>
            <w:r>
              <w:rPr>
                <w:color w:val="000000"/>
                <w:sz w:val="20"/>
                <w:szCs w:val="20"/>
                <w:lang w:val="en-US" w:eastAsia="zh-CN"/>
              </w:rPr>
              <w:t xml:space="preserve"> (10 per cent) </w:t>
            </w:r>
          </w:p>
        </w:tc>
        <w:tc>
          <w:tcPr>
            <w:tcW w:w="1453" w:type="pct"/>
            <w:tcBorders>
              <w:top w:val="nil"/>
              <w:left w:val="nil"/>
              <w:bottom w:val="single" w:sz="4" w:space="0" w:color="auto"/>
              <w:right w:val="single" w:sz="4" w:space="0" w:color="auto"/>
            </w:tcBorders>
            <w:shd w:val="clear" w:color="auto" w:fill="auto"/>
            <w:hideMark/>
          </w:tcPr>
          <w:p w:rsidR="00935EEA" w:rsidRPr="00333FA0" w:rsidRDefault="00935EEA" w:rsidP="003938A2">
            <w:pPr>
              <w:ind w:firstLineChars="100" w:firstLine="200"/>
              <w:jc w:val="right"/>
              <w:rPr>
                <w:color w:val="000000"/>
                <w:sz w:val="20"/>
                <w:szCs w:val="20"/>
                <w:lang w:val="en-US" w:eastAsia="zh-CN"/>
              </w:rPr>
            </w:pPr>
            <w:r w:rsidRPr="00333FA0">
              <w:rPr>
                <w:color w:val="000000"/>
                <w:sz w:val="20"/>
                <w:szCs w:val="20"/>
                <w:lang w:val="en-US" w:eastAsia="zh-CN"/>
              </w:rPr>
              <w:t>48,866</w:t>
            </w:r>
          </w:p>
        </w:tc>
      </w:tr>
      <w:tr w:rsidR="00935EEA" w:rsidRPr="00333FA0" w:rsidTr="00935EEA">
        <w:trPr>
          <w:trHeight w:val="50"/>
        </w:trPr>
        <w:tc>
          <w:tcPr>
            <w:tcW w:w="3547" w:type="pct"/>
            <w:tcBorders>
              <w:top w:val="nil"/>
              <w:left w:val="single" w:sz="4" w:space="0" w:color="auto"/>
              <w:bottom w:val="single" w:sz="4" w:space="0" w:color="auto"/>
              <w:right w:val="single" w:sz="4" w:space="0" w:color="auto"/>
            </w:tcBorders>
            <w:shd w:val="clear" w:color="auto" w:fill="auto"/>
            <w:hideMark/>
          </w:tcPr>
          <w:p w:rsidR="00935EEA" w:rsidRPr="00CF41E9" w:rsidRDefault="00935EEA" w:rsidP="003938A2">
            <w:pPr>
              <w:jc w:val="left"/>
              <w:rPr>
                <w:b/>
                <w:color w:val="000000"/>
                <w:sz w:val="20"/>
                <w:lang w:val="en-US"/>
              </w:rPr>
            </w:pPr>
            <w:r w:rsidRPr="00CF41E9">
              <w:rPr>
                <w:b/>
                <w:color w:val="000000"/>
                <w:sz w:val="20"/>
                <w:lang w:val="en-US"/>
              </w:rPr>
              <w:t>Total ICCs</w:t>
            </w:r>
          </w:p>
        </w:tc>
        <w:tc>
          <w:tcPr>
            <w:tcW w:w="1453" w:type="pct"/>
            <w:tcBorders>
              <w:top w:val="nil"/>
              <w:left w:val="nil"/>
              <w:bottom w:val="single" w:sz="4" w:space="0" w:color="auto"/>
              <w:right w:val="single" w:sz="4" w:space="0" w:color="auto"/>
            </w:tcBorders>
            <w:shd w:val="clear" w:color="auto" w:fill="auto"/>
            <w:noWrap/>
            <w:hideMark/>
          </w:tcPr>
          <w:p w:rsidR="00935EEA" w:rsidRPr="00CF41E9" w:rsidRDefault="00935EEA" w:rsidP="003938A2">
            <w:pPr>
              <w:jc w:val="right"/>
              <w:rPr>
                <w:b/>
                <w:color w:val="000000"/>
                <w:sz w:val="20"/>
                <w:lang w:val="en-US"/>
              </w:rPr>
            </w:pPr>
            <w:r w:rsidRPr="00CF41E9">
              <w:rPr>
                <w:b/>
                <w:color w:val="000000"/>
                <w:sz w:val="20"/>
                <w:lang w:val="en-US"/>
              </w:rPr>
              <w:t>563,526</w:t>
            </w:r>
          </w:p>
        </w:tc>
      </w:tr>
      <w:tr w:rsidR="00935EEA" w:rsidRPr="00333FA0" w:rsidTr="00935EEA">
        <w:trPr>
          <w:trHeight w:val="50"/>
        </w:trPr>
        <w:tc>
          <w:tcPr>
            <w:tcW w:w="3547" w:type="pct"/>
            <w:tcBorders>
              <w:top w:val="nil"/>
              <w:left w:val="single" w:sz="4" w:space="0" w:color="auto"/>
              <w:bottom w:val="single" w:sz="4" w:space="0" w:color="auto"/>
              <w:right w:val="single" w:sz="4" w:space="0" w:color="auto"/>
            </w:tcBorders>
            <w:shd w:val="clear" w:color="auto" w:fill="auto"/>
            <w:noWrap/>
            <w:hideMark/>
          </w:tcPr>
          <w:p w:rsidR="00935EEA" w:rsidRPr="00333FA0" w:rsidRDefault="00935EEA" w:rsidP="003938A2">
            <w:pPr>
              <w:jc w:val="left"/>
              <w:rPr>
                <w:color w:val="000000"/>
                <w:sz w:val="20"/>
                <w:szCs w:val="20"/>
                <w:lang w:val="en-US" w:eastAsia="zh-CN"/>
              </w:rPr>
            </w:pPr>
            <w:r w:rsidRPr="00333FA0">
              <w:rPr>
                <w:color w:val="000000"/>
                <w:sz w:val="20"/>
                <w:szCs w:val="20"/>
                <w:lang w:val="en-US" w:eastAsia="zh-CN"/>
              </w:rPr>
              <w:t>IOCs</w:t>
            </w:r>
          </w:p>
        </w:tc>
        <w:tc>
          <w:tcPr>
            <w:tcW w:w="1453" w:type="pct"/>
            <w:tcBorders>
              <w:top w:val="nil"/>
              <w:left w:val="nil"/>
              <w:bottom w:val="single" w:sz="4" w:space="0" w:color="auto"/>
              <w:right w:val="single" w:sz="4" w:space="0" w:color="auto"/>
            </w:tcBorders>
            <w:shd w:val="clear" w:color="auto" w:fill="auto"/>
            <w:noWrap/>
            <w:hideMark/>
          </w:tcPr>
          <w:p w:rsidR="00935EEA" w:rsidRPr="00333FA0" w:rsidRDefault="00935EEA" w:rsidP="003938A2">
            <w:pPr>
              <w:jc w:val="right"/>
              <w:rPr>
                <w:color w:val="000000"/>
                <w:sz w:val="20"/>
                <w:szCs w:val="20"/>
                <w:lang w:val="en-US" w:eastAsia="zh-CN"/>
              </w:rPr>
            </w:pPr>
            <w:r>
              <w:rPr>
                <w:color w:val="000000"/>
                <w:sz w:val="20"/>
                <w:szCs w:val="20"/>
                <w:lang w:val="en-US" w:eastAsia="zh-CN"/>
              </w:rPr>
              <w:t>Not requested</w:t>
            </w:r>
          </w:p>
        </w:tc>
      </w:tr>
      <w:tr w:rsidR="00935EEA" w:rsidRPr="00333FA0" w:rsidTr="00935EEA">
        <w:trPr>
          <w:trHeight w:val="50"/>
        </w:trPr>
        <w:tc>
          <w:tcPr>
            <w:tcW w:w="3547" w:type="pct"/>
            <w:tcBorders>
              <w:top w:val="nil"/>
              <w:left w:val="single" w:sz="4" w:space="0" w:color="auto"/>
              <w:bottom w:val="single" w:sz="4" w:space="0" w:color="auto"/>
              <w:right w:val="single" w:sz="4" w:space="0" w:color="auto"/>
            </w:tcBorders>
            <w:shd w:val="clear" w:color="auto" w:fill="auto"/>
            <w:noWrap/>
            <w:hideMark/>
          </w:tcPr>
          <w:p w:rsidR="00935EEA" w:rsidRPr="00333FA0" w:rsidRDefault="00935EEA" w:rsidP="003938A2">
            <w:pPr>
              <w:jc w:val="left"/>
              <w:rPr>
                <w:b/>
                <w:bCs/>
                <w:color w:val="000000"/>
                <w:sz w:val="20"/>
                <w:szCs w:val="20"/>
                <w:lang w:val="en-US" w:eastAsia="zh-CN"/>
              </w:rPr>
            </w:pPr>
            <w:r w:rsidRPr="00333FA0">
              <w:rPr>
                <w:b/>
                <w:bCs/>
                <w:color w:val="000000"/>
                <w:sz w:val="20"/>
                <w:szCs w:val="20"/>
                <w:lang w:val="en-US" w:eastAsia="zh-CN"/>
              </w:rPr>
              <w:t>Total costs</w:t>
            </w:r>
          </w:p>
        </w:tc>
        <w:tc>
          <w:tcPr>
            <w:tcW w:w="1453" w:type="pct"/>
            <w:tcBorders>
              <w:top w:val="nil"/>
              <w:left w:val="nil"/>
              <w:bottom w:val="single" w:sz="4" w:space="0" w:color="auto"/>
              <w:right w:val="single" w:sz="4" w:space="0" w:color="auto"/>
            </w:tcBorders>
            <w:shd w:val="clear" w:color="auto" w:fill="auto"/>
            <w:noWrap/>
            <w:hideMark/>
          </w:tcPr>
          <w:p w:rsidR="00935EEA" w:rsidRPr="00A74A47" w:rsidRDefault="00935EEA" w:rsidP="003938A2">
            <w:pPr>
              <w:jc w:val="right"/>
              <w:rPr>
                <w:b/>
                <w:color w:val="000000"/>
                <w:sz w:val="20"/>
                <w:szCs w:val="20"/>
                <w:lang w:val="en-US" w:eastAsia="zh-CN"/>
              </w:rPr>
            </w:pPr>
            <w:r w:rsidRPr="00A74A47">
              <w:rPr>
                <w:b/>
                <w:color w:val="000000"/>
                <w:sz w:val="20"/>
                <w:szCs w:val="20"/>
                <w:lang w:eastAsia="zh-CN"/>
              </w:rPr>
              <w:t>563,526</w:t>
            </w:r>
          </w:p>
        </w:tc>
      </w:tr>
      <w:tr w:rsidR="00935EEA" w:rsidRPr="00333FA0" w:rsidTr="00C33A15">
        <w:trPr>
          <w:trHeight w:val="50"/>
        </w:trPr>
        <w:tc>
          <w:tcPr>
            <w:tcW w:w="3547" w:type="pct"/>
            <w:tcBorders>
              <w:top w:val="nil"/>
              <w:left w:val="single" w:sz="4" w:space="0" w:color="auto"/>
              <w:bottom w:val="single" w:sz="4" w:space="0" w:color="auto"/>
              <w:right w:val="single" w:sz="4" w:space="0" w:color="auto"/>
            </w:tcBorders>
            <w:shd w:val="clear" w:color="auto" w:fill="auto"/>
            <w:noWrap/>
            <w:hideMark/>
          </w:tcPr>
          <w:p w:rsidR="00935EEA" w:rsidRPr="00333FA0" w:rsidRDefault="00935EEA" w:rsidP="00C33A15">
            <w:pPr>
              <w:jc w:val="left"/>
              <w:rPr>
                <w:color w:val="000000"/>
                <w:sz w:val="20"/>
                <w:szCs w:val="20"/>
                <w:lang w:val="en-US" w:eastAsia="zh-CN"/>
              </w:rPr>
            </w:pPr>
            <w:r w:rsidRPr="00333FA0">
              <w:rPr>
                <w:color w:val="000000"/>
                <w:sz w:val="20"/>
                <w:szCs w:val="20"/>
                <w:lang w:val="en-US" w:eastAsia="zh-CN"/>
              </w:rPr>
              <w:t>HFC</w:t>
            </w:r>
            <w:r w:rsidR="00D931BB">
              <w:rPr>
                <w:color w:val="000000"/>
                <w:sz w:val="20"/>
                <w:szCs w:val="20"/>
                <w:lang w:val="en-US" w:eastAsia="zh-CN"/>
              </w:rPr>
              <w:t>-134a</w:t>
            </w:r>
            <w:r w:rsidRPr="00333FA0">
              <w:rPr>
                <w:color w:val="000000"/>
                <w:sz w:val="20"/>
                <w:szCs w:val="20"/>
                <w:lang w:val="en-US" w:eastAsia="zh-CN"/>
              </w:rPr>
              <w:t xml:space="preserve"> consumption to be phased out (</w:t>
            </w:r>
            <w:proofErr w:type="spellStart"/>
            <w:r w:rsidRPr="00333FA0">
              <w:rPr>
                <w:color w:val="000000"/>
                <w:sz w:val="20"/>
                <w:szCs w:val="20"/>
                <w:lang w:val="en-US" w:eastAsia="zh-CN"/>
              </w:rPr>
              <w:t>mt</w:t>
            </w:r>
            <w:proofErr w:type="spellEnd"/>
            <w:r w:rsidR="00D931BB">
              <w:rPr>
                <w:color w:val="000000"/>
                <w:sz w:val="20"/>
                <w:szCs w:val="20"/>
                <w:lang w:val="en-US" w:eastAsia="zh-CN"/>
              </w:rPr>
              <w:t>/year</w:t>
            </w:r>
            <w:r w:rsidRPr="00333FA0">
              <w:rPr>
                <w:color w:val="000000"/>
                <w:sz w:val="20"/>
                <w:szCs w:val="20"/>
                <w:lang w:val="en-US" w:eastAsia="zh-CN"/>
              </w:rPr>
              <w:t>)</w:t>
            </w:r>
          </w:p>
        </w:tc>
        <w:tc>
          <w:tcPr>
            <w:tcW w:w="1453" w:type="pct"/>
            <w:tcBorders>
              <w:top w:val="nil"/>
              <w:left w:val="nil"/>
              <w:bottom w:val="single" w:sz="4" w:space="0" w:color="auto"/>
              <w:right w:val="single" w:sz="4" w:space="0" w:color="auto"/>
            </w:tcBorders>
            <w:shd w:val="clear" w:color="auto" w:fill="auto"/>
            <w:noWrap/>
            <w:hideMark/>
          </w:tcPr>
          <w:p w:rsidR="00935EEA" w:rsidRPr="00333FA0" w:rsidRDefault="00935EEA" w:rsidP="00C33A15">
            <w:pPr>
              <w:jc w:val="right"/>
              <w:rPr>
                <w:color w:val="000000"/>
                <w:sz w:val="20"/>
                <w:szCs w:val="20"/>
                <w:lang w:val="en-US" w:eastAsia="zh-CN"/>
              </w:rPr>
            </w:pPr>
            <w:r w:rsidRPr="00333FA0">
              <w:rPr>
                <w:bCs/>
                <w:color w:val="000000"/>
                <w:sz w:val="20"/>
                <w:szCs w:val="20"/>
                <w:lang w:eastAsia="zh-CN"/>
              </w:rPr>
              <w:t>14.5</w:t>
            </w:r>
          </w:p>
        </w:tc>
      </w:tr>
      <w:tr w:rsidR="00935EEA" w:rsidRPr="00333FA0" w:rsidTr="009B480B">
        <w:trPr>
          <w:trHeight w:val="50"/>
        </w:trPr>
        <w:tc>
          <w:tcPr>
            <w:tcW w:w="3547" w:type="pct"/>
            <w:tcBorders>
              <w:top w:val="nil"/>
              <w:left w:val="single" w:sz="4" w:space="0" w:color="auto"/>
              <w:bottom w:val="single" w:sz="4" w:space="0" w:color="auto"/>
              <w:right w:val="single" w:sz="4" w:space="0" w:color="auto"/>
            </w:tcBorders>
            <w:shd w:val="clear" w:color="auto" w:fill="auto"/>
            <w:noWrap/>
            <w:hideMark/>
          </w:tcPr>
          <w:p w:rsidR="00935EEA" w:rsidRPr="00333FA0" w:rsidRDefault="00935EEA" w:rsidP="00C33A15">
            <w:pPr>
              <w:jc w:val="left"/>
              <w:rPr>
                <w:color w:val="000000"/>
                <w:sz w:val="20"/>
                <w:szCs w:val="20"/>
                <w:lang w:val="en-US" w:eastAsia="zh-CN"/>
              </w:rPr>
            </w:pPr>
            <w:r w:rsidRPr="00333FA0">
              <w:rPr>
                <w:color w:val="000000"/>
                <w:sz w:val="20"/>
                <w:szCs w:val="20"/>
                <w:lang w:val="en-US" w:eastAsia="zh-CN"/>
              </w:rPr>
              <w:t>Cost-effectiveness (US $/kg)</w:t>
            </w:r>
          </w:p>
        </w:tc>
        <w:tc>
          <w:tcPr>
            <w:tcW w:w="1453" w:type="pct"/>
            <w:tcBorders>
              <w:top w:val="nil"/>
              <w:left w:val="nil"/>
              <w:bottom w:val="single" w:sz="4" w:space="0" w:color="auto"/>
              <w:right w:val="single" w:sz="4" w:space="0" w:color="auto"/>
            </w:tcBorders>
            <w:shd w:val="clear" w:color="auto" w:fill="auto"/>
            <w:hideMark/>
          </w:tcPr>
          <w:p w:rsidR="00935EEA" w:rsidRPr="00333FA0" w:rsidRDefault="00935EEA" w:rsidP="00C33A15">
            <w:pPr>
              <w:jc w:val="right"/>
              <w:rPr>
                <w:color w:val="000000"/>
                <w:sz w:val="20"/>
                <w:szCs w:val="20"/>
                <w:lang w:val="en-US" w:eastAsia="zh-CN"/>
              </w:rPr>
            </w:pPr>
            <w:r w:rsidRPr="00333FA0">
              <w:rPr>
                <w:color w:val="000000"/>
                <w:sz w:val="20"/>
                <w:szCs w:val="20"/>
                <w:lang w:val="en-US" w:eastAsia="zh-CN"/>
              </w:rPr>
              <w:t>38.86</w:t>
            </w:r>
          </w:p>
        </w:tc>
      </w:tr>
      <w:tr w:rsidR="009B480B" w:rsidRPr="00333FA0" w:rsidTr="009B480B">
        <w:trPr>
          <w:trHeight w:val="50"/>
        </w:trPr>
        <w:tc>
          <w:tcPr>
            <w:tcW w:w="3547" w:type="pct"/>
            <w:tcBorders>
              <w:top w:val="single" w:sz="4" w:space="0" w:color="auto"/>
              <w:left w:val="single" w:sz="4" w:space="0" w:color="auto"/>
              <w:bottom w:val="single" w:sz="4" w:space="0" w:color="auto"/>
              <w:right w:val="single" w:sz="4" w:space="0" w:color="auto"/>
            </w:tcBorders>
            <w:shd w:val="clear" w:color="auto" w:fill="auto"/>
            <w:noWrap/>
          </w:tcPr>
          <w:p w:rsidR="009B480B" w:rsidRPr="00333FA0" w:rsidRDefault="009B480B" w:rsidP="00C33A15">
            <w:pPr>
              <w:jc w:val="left"/>
              <w:rPr>
                <w:color w:val="000000"/>
                <w:sz w:val="20"/>
                <w:szCs w:val="20"/>
                <w:lang w:val="en-US" w:eastAsia="zh-CN"/>
              </w:rPr>
            </w:pPr>
            <w:r>
              <w:rPr>
                <w:color w:val="000000"/>
                <w:sz w:val="20"/>
                <w:szCs w:val="20"/>
                <w:lang w:val="en-US" w:eastAsia="zh-CN"/>
              </w:rPr>
              <w:t>Co-funding (US $)</w:t>
            </w:r>
          </w:p>
        </w:tc>
        <w:tc>
          <w:tcPr>
            <w:tcW w:w="1453" w:type="pct"/>
            <w:tcBorders>
              <w:top w:val="single" w:sz="4" w:space="0" w:color="auto"/>
              <w:left w:val="nil"/>
              <w:bottom w:val="single" w:sz="4" w:space="0" w:color="auto"/>
              <w:right w:val="single" w:sz="4" w:space="0" w:color="auto"/>
            </w:tcBorders>
            <w:shd w:val="clear" w:color="auto" w:fill="auto"/>
          </w:tcPr>
          <w:p w:rsidR="009B480B" w:rsidRPr="00333FA0" w:rsidRDefault="00D931BB" w:rsidP="00C33A15">
            <w:pPr>
              <w:jc w:val="right"/>
              <w:rPr>
                <w:color w:val="000000"/>
                <w:sz w:val="20"/>
                <w:szCs w:val="20"/>
                <w:lang w:val="en-US" w:eastAsia="zh-CN"/>
              </w:rPr>
            </w:pPr>
            <w:r>
              <w:rPr>
                <w:color w:val="000000"/>
                <w:sz w:val="20"/>
                <w:szCs w:val="20"/>
                <w:lang w:val="en-US" w:eastAsia="zh-CN"/>
              </w:rPr>
              <w:t>(</w:t>
            </w:r>
            <w:r w:rsidR="009B480B">
              <w:rPr>
                <w:color w:val="000000"/>
                <w:sz w:val="20"/>
                <w:szCs w:val="20"/>
                <w:lang w:val="en-US" w:eastAsia="zh-CN"/>
              </w:rPr>
              <w:t>300,000</w:t>
            </w:r>
            <w:r>
              <w:rPr>
                <w:color w:val="000000"/>
                <w:sz w:val="20"/>
                <w:szCs w:val="20"/>
                <w:lang w:val="en-US" w:eastAsia="zh-CN"/>
              </w:rPr>
              <w:t>)</w:t>
            </w:r>
          </w:p>
        </w:tc>
      </w:tr>
    </w:tbl>
    <w:p w:rsidR="00935EEA" w:rsidRPr="00CF41E9" w:rsidRDefault="00CF41E9" w:rsidP="00CF41E9">
      <w:pPr>
        <w:rPr>
          <w:sz w:val="20"/>
          <w:szCs w:val="20"/>
          <w:lang w:val="en-CA"/>
        </w:rPr>
      </w:pPr>
      <w:r w:rsidRPr="00CF41E9">
        <w:rPr>
          <w:sz w:val="20"/>
          <w:szCs w:val="20"/>
          <w:lang w:val="en-CA"/>
        </w:rPr>
        <w:t>* Of</w:t>
      </w:r>
      <w:r>
        <w:rPr>
          <w:sz w:val="20"/>
          <w:szCs w:val="20"/>
          <w:lang w:val="en-CA"/>
        </w:rPr>
        <w:t xml:space="preserve"> </w:t>
      </w:r>
      <w:r w:rsidR="00D51B26">
        <w:rPr>
          <w:sz w:val="20"/>
          <w:szCs w:val="20"/>
          <w:lang w:val="en-CA"/>
        </w:rPr>
        <w:t xml:space="preserve">the </w:t>
      </w:r>
      <w:r>
        <w:rPr>
          <w:sz w:val="20"/>
          <w:szCs w:val="20"/>
          <w:lang w:val="en-CA"/>
        </w:rPr>
        <w:t xml:space="preserve">US $46,000, </w:t>
      </w:r>
      <w:r w:rsidR="00D51B26">
        <w:rPr>
          <w:sz w:val="20"/>
          <w:szCs w:val="20"/>
          <w:lang w:val="en-CA"/>
        </w:rPr>
        <w:t xml:space="preserve">contingency was provided for US $20,000 for spare parts and </w:t>
      </w:r>
      <w:proofErr w:type="spellStart"/>
      <w:r w:rsidR="00D51B26">
        <w:rPr>
          <w:sz w:val="20"/>
          <w:szCs w:val="20"/>
          <w:lang w:val="en-CA"/>
        </w:rPr>
        <w:t>startup</w:t>
      </w:r>
      <w:proofErr w:type="spellEnd"/>
      <w:r w:rsidR="00D51B26">
        <w:rPr>
          <w:sz w:val="20"/>
          <w:szCs w:val="20"/>
          <w:lang w:val="en-CA"/>
        </w:rPr>
        <w:t>.</w:t>
      </w:r>
    </w:p>
    <w:p w:rsidR="006B6981" w:rsidRDefault="006B6981" w:rsidP="006B6981">
      <w:pPr>
        <w:rPr>
          <w:b/>
          <w:sz w:val="21"/>
          <w:szCs w:val="21"/>
          <w:lang w:val="en-CA"/>
        </w:rPr>
      </w:pPr>
    </w:p>
    <w:p w:rsidR="006B6981" w:rsidRPr="00B940FC" w:rsidRDefault="006B6981" w:rsidP="006B6981">
      <w:pPr>
        <w:pStyle w:val="Heading1"/>
        <w:rPr>
          <w:lang w:val="en-CA"/>
        </w:rPr>
      </w:pPr>
      <w:r w:rsidRPr="00CF41E9">
        <w:rPr>
          <w:lang w:val="en-CA"/>
        </w:rPr>
        <w:t xml:space="preserve">The </w:t>
      </w:r>
      <w:r w:rsidR="00935EEA" w:rsidRPr="00CF41E9">
        <w:rPr>
          <w:lang w:val="en-CA"/>
        </w:rPr>
        <w:t xml:space="preserve">agree </w:t>
      </w:r>
      <w:r w:rsidRPr="00CF41E9">
        <w:rPr>
          <w:lang w:val="en-CA"/>
        </w:rPr>
        <w:t xml:space="preserve">incremental costs </w:t>
      </w:r>
      <w:r w:rsidR="00A74A47" w:rsidRPr="00CF41E9">
        <w:rPr>
          <w:lang w:val="en-CA"/>
        </w:rPr>
        <w:t>from the Multilateral Fund for</w:t>
      </w:r>
      <w:r w:rsidRPr="00CF41E9">
        <w:rPr>
          <w:lang w:val="en-CA"/>
        </w:rPr>
        <w:t xml:space="preserve"> the conversion of </w:t>
      </w:r>
      <w:r w:rsidR="00935EEA" w:rsidRPr="00CF41E9">
        <w:rPr>
          <w:lang w:val="en-CA"/>
        </w:rPr>
        <w:t xml:space="preserve">two lines for </w:t>
      </w:r>
      <w:r w:rsidRPr="00CF41E9">
        <w:rPr>
          <w:lang w:val="en-CA"/>
        </w:rPr>
        <w:t xml:space="preserve">domestic refrigerators and freezers </w:t>
      </w:r>
      <w:r w:rsidR="00935EEA" w:rsidRPr="00CF41E9">
        <w:rPr>
          <w:lang w:val="en-CA"/>
        </w:rPr>
        <w:t xml:space="preserve">respectively </w:t>
      </w:r>
      <w:r w:rsidRPr="00CF41E9">
        <w:rPr>
          <w:lang w:val="en-CA"/>
        </w:rPr>
        <w:t xml:space="preserve">at Capri </w:t>
      </w:r>
      <w:r w:rsidR="00935EEA" w:rsidRPr="00CF41E9">
        <w:rPr>
          <w:lang w:val="en-CA"/>
        </w:rPr>
        <w:t xml:space="preserve">amounts </w:t>
      </w:r>
      <w:r w:rsidRPr="00CF41E9">
        <w:rPr>
          <w:lang w:val="en-CA"/>
        </w:rPr>
        <w:t>to US $</w:t>
      </w:r>
      <w:r w:rsidR="00A74A47" w:rsidRPr="00CF41E9">
        <w:rPr>
          <w:lang w:val="en-CA"/>
        </w:rPr>
        <w:t>563,526</w:t>
      </w:r>
      <w:r w:rsidRPr="00CF41E9">
        <w:rPr>
          <w:lang w:val="en-CA"/>
        </w:rPr>
        <w:t>, with a cost effectiveness of US $</w:t>
      </w:r>
      <w:r w:rsidR="00A74A47" w:rsidRPr="00CF41E9">
        <w:rPr>
          <w:lang w:val="en-CA"/>
        </w:rPr>
        <w:t>38.86</w:t>
      </w:r>
      <w:r w:rsidRPr="00CF41E9">
        <w:rPr>
          <w:lang w:val="en-CA"/>
        </w:rPr>
        <w:t xml:space="preserve">/kg. </w:t>
      </w:r>
      <w:r w:rsidRPr="00B940FC">
        <w:rPr>
          <w:lang w:val="en-CA"/>
        </w:rPr>
        <w:t xml:space="preserve">The Secretariat notes that, although </w:t>
      </w:r>
      <w:r w:rsidR="00935EEA" w:rsidRPr="00B940FC">
        <w:rPr>
          <w:lang w:val="en-CA"/>
        </w:rPr>
        <w:t xml:space="preserve">US $300,000 </w:t>
      </w:r>
      <w:r w:rsidRPr="00B940FC">
        <w:rPr>
          <w:lang w:val="en-CA"/>
        </w:rPr>
        <w:t>co-funding is being provided, the cost</w:t>
      </w:r>
      <w:r w:rsidRPr="00B940FC">
        <w:rPr>
          <w:lang w:val="en-CA"/>
        </w:rPr>
        <w:noBreakHyphen/>
        <w:t>effectiveness of the proposal is higher than that of larger manufacturing enterprises.</w:t>
      </w:r>
    </w:p>
    <w:p w:rsidR="006B6981" w:rsidRPr="00FA0711" w:rsidRDefault="006B6981" w:rsidP="006B6981">
      <w:pPr>
        <w:pStyle w:val="Heading1"/>
        <w:rPr>
          <w:lang w:val="en-CA"/>
        </w:rPr>
      </w:pPr>
      <w:r w:rsidRPr="00645E66">
        <w:rPr>
          <w:lang w:val="en-CA"/>
        </w:rPr>
        <w:t xml:space="preserve">The Secretariat </w:t>
      </w:r>
      <w:r>
        <w:rPr>
          <w:lang w:val="en-CA"/>
        </w:rPr>
        <w:t>recalls</w:t>
      </w:r>
      <w:r w:rsidRPr="00645E66">
        <w:rPr>
          <w:lang w:val="en-CA"/>
        </w:rPr>
        <w:t xml:space="preserve"> that the purpose of implementing projects under decision 78/3(g) is to gain experience in the ICCs and IOCs that might be associated with phasing down HFCs. </w:t>
      </w:r>
      <w:r>
        <w:rPr>
          <w:lang w:val="en-CA"/>
        </w:rPr>
        <w:t>On the basis of the</w:t>
      </w:r>
      <w:r w:rsidRPr="00645E66">
        <w:rPr>
          <w:lang w:val="en-CA"/>
        </w:rPr>
        <w:t xml:space="preserve"> information available at the time of review, the Secretariat considers that the agreed costs are its best estimates of the overall incremental costs of conversion</w:t>
      </w:r>
      <w:r>
        <w:rPr>
          <w:lang w:val="en-CA"/>
        </w:rPr>
        <w:t xml:space="preserve"> in Zimbabwe</w:t>
      </w:r>
      <w:r w:rsidRPr="00645E66">
        <w:rPr>
          <w:lang w:val="en-CA"/>
        </w:rPr>
        <w:t>; these estimates</w:t>
      </w:r>
      <w:r>
        <w:rPr>
          <w:lang w:val="en-CA"/>
        </w:rPr>
        <w:t>, however,</w:t>
      </w:r>
      <w:r w:rsidRPr="00645E66">
        <w:rPr>
          <w:lang w:val="en-CA"/>
        </w:rPr>
        <w:t xml:space="preserve"> might change as more information becomes available and according to the specific characteri</w:t>
      </w:r>
      <w:r>
        <w:rPr>
          <w:lang w:val="en-CA"/>
        </w:rPr>
        <w:t>stics of the enterprise</w:t>
      </w:r>
      <w:r w:rsidRPr="00645E66">
        <w:rPr>
          <w:lang w:val="en-CA"/>
        </w:rPr>
        <w:t xml:space="preserve">. The Secretariat, therefore, </w:t>
      </w:r>
      <w:r w:rsidRPr="00F64F0A">
        <w:rPr>
          <w:lang w:val="en-CA"/>
        </w:rPr>
        <w:t xml:space="preserve">considers that </w:t>
      </w:r>
      <w:r>
        <w:rPr>
          <w:lang w:val="en-CA"/>
        </w:rPr>
        <w:t>approval of the project at the level</w:t>
      </w:r>
      <w:r w:rsidRPr="00F64F0A">
        <w:rPr>
          <w:lang w:val="en-CA"/>
        </w:rPr>
        <w:t xml:space="preserve">s </w:t>
      </w:r>
      <w:r>
        <w:rPr>
          <w:lang w:val="en-CA"/>
        </w:rPr>
        <w:t xml:space="preserve">proposed </w:t>
      </w:r>
      <w:r w:rsidRPr="00F64F0A">
        <w:rPr>
          <w:lang w:val="en-CA"/>
        </w:rPr>
        <w:t>above would not constitute a precedent.</w:t>
      </w:r>
    </w:p>
    <w:p w:rsidR="006B6981" w:rsidRPr="001247E5" w:rsidRDefault="006B6981" w:rsidP="006B6981">
      <w:pPr>
        <w:spacing w:after="240"/>
        <w:outlineLvl w:val="0"/>
        <w:rPr>
          <w:u w:val="single"/>
          <w:lang w:val="en-CA"/>
        </w:rPr>
      </w:pPr>
      <w:r w:rsidRPr="001247E5">
        <w:rPr>
          <w:u w:val="single"/>
          <w:lang w:val="en-CA"/>
        </w:rPr>
        <w:lastRenderedPageBreak/>
        <w:t>Climate benefits</w:t>
      </w:r>
    </w:p>
    <w:p w:rsidR="006B6981" w:rsidRDefault="006B6981" w:rsidP="006B6981">
      <w:pPr>
        <w:pStyle w:val="Heading1"/>
        <w:rPr>
          <w:lang w:val="en-CA"/>
        </w:rPr>
      </w:pPr>
      <w:r w:rsidRPr="00965AB5">
        <w:rPr>
          <w:lang w:val="en-CA"/>
        </w:rPr>
        <w:t xml:space="preserve">The reduction of </w:t>
      </w:r>
      <w:r>
        <w:rPr>
          <w:lang w:val="en-CA"/>
        </w:rPr>
        <w:t>14.5</w:t>
      </w:r>
      <w:r w:rsidRPr="00965AB5">
        <w:rPr>
          <w:lang w:val="en-CA"/>
        </w:rPr>
        <w:t xml:space="preserve"> </w:t>
      </w:r>
      <w:proofErr w:type="spellStart"/>
      <w:r w:rsidRPr="00965AB5">
        <w:rPr>
          <w:lang w:val="en-CA"/>
        </w:rPr>
        <w:t>mt</w:t>
      </w:r>
      <w:proofErr w:type="spellEnd"/>
      <w:r w:rsidRPr="00965AB5">
        <w:rPr>
          <w:lang w:val="en-CA"/>
        </w:rPr>
        <w:t xml:space="preserve"> of HFC-</w:t>
      </w:r>
      <w:r>
        <w:rPr>
          <w:lang w:val="en-CA"/>
        </w:rPr>
        <w:t>134a</w:t>
      </w:r>
      <w:r w:rsidRPr="00965AB5">
        <w:rPr>
          <w:lang w:val="en-CA"/>
        </w:rPr>
        <w:t xml:space="preserve"> </w:t>
      </w:r>
      <w:r>
        <w:rPr>
          <w:lang w:val="en-CA"/>
        </w:rPr>
        <w:t xml:space="preserve">consumption </w:t>
      </w:r>
      <w:r w:rsidRPr="00965AB5">
        <w:rPr>
          <w:lang w:val="en-CA"/>
        </w:rPr>
        <w:t xml:space="preserve">and the expected introduction of </w:t>
      </w:r>
      <w:r>
        <w:rPr>
          <w:lang w:val="en-CA"/>
        </w:rPr>
        <w:t>HC</w:t>
      </w:r>
      <w:r w:rsidRPr="00965AB5">
        <w:rPr>
          <w:lang w:val="en-CA"/>
        </w:rPr>
        <w:t>s</w:t>
      </w:r>
      <w:r>
        <w:rPr>
          <w:lang w:val="en-CA"/>
        </w:rPr>
        <w:t xml:space="preserve"> in the </w:t>
      </w:r>
      <w:r w:rsidRPr="00965AB5">
        <w:rPr>
          <w:lang w:val="en-CA"/>
        </w:rPr>
        <w:t xml:space="preserve">project is expected to result in </w:t>
      </w:r>
      <w:r>
        <w:rPr>
          <w:lang w:val="en-CA"/>
        </w:rPr>
        <w:t xml:space="preserve">an </w:t>
      </w:r>
      <w:r w:rsidRPr="00965AB5">
        <w:rPr>
          <w:lang w:val="en-CA"/>
        </w:rPr>
        <w:t xml:space="preserve">emission reduction of </w:t>
      </w:r>
      <w:r>
        <w:rPr>
          <w:lang w:val="en-CA"/>
        </w:rPr>
        <w:t>20,735</w:t>
      </w:r>
      <w:r w:rsidRPr="00965AB5">
        <w:rPr>
          <w:lang w:val="en-CA"/>
        </w:rPr>
        <w:t xml:space="preserve"> tonnes of CO</w:t>
      </w:r>
      <w:r w:rsidRPr="0032477E">
        <w:rPr>
          <w:vertAlign w:val="subscript"/>
          <w:lang w:val="en-CA"/>
        </w:rPr>
        <w:t>2</w:t>
      </w:r>
      <w:r>
        <w:rPr>
          <w:lang w:val="en-CA"/>
        </w:rPr>
        <w:t xml:space="preserve"> </w:t>
      </w:r>
      <w:r w:rsidRPr="00965AB5">
        <w:rPr>
          <w:lang w:val="en-CA"/>
        </w:rPr>
        <w:t xml:space="preserve">equivalent. No estimate of </w:t>
      </w:r>
      <w:r>
        <w:rPr>
          <w:lang w:val="en-CA"/>
        </w:rPr>
        <w:t xml:space="preserve">the </w:t>
      </w:r>
      <w:r w:rsidRPr="00965AB5">
        <w:rPr>
          <w:lang w:val="en-CA"/>
        </w:rPr>
        <w:t>indirect emission</w:t>
      </w:r>
      <w:r>
        <w:rPr>
          <w:lang w:val="en-CA"/>
        </w:rPr>
        <w:t>s</w:t>
      </w:r>
      <w:r w:rsidRPr="00965AB5">
        <w:rPr>
          <w:lang w:val="en-CA"/>
        </w:rPr>
        <w:t xml:space="preserve"> savings associated with </w:t>
      </w:r>
      <w:r>
        <w:rPr>
          <w:lang w:val="en-CA"/>
        </w:rPr>
        <w:t xml:space="preserve">improved </w:t>
      </w:r>
      <w:r w:rsidRPr="00965AB5">
        <w:rPr>
          <w:lang w:val="en-CA"/>
        </w:rPr>
        <w:t xml:space="preserve">energy efficiency </w:t>
      </w:r>
      <w:r>
        <w:rPr>
          <w:lang w:val="en-CA"/>
        </w:rPr>
        <w:t>has been</w:t>
      </w:r>
      <w:r w:rsidRPr="00965AB5">
        <w:rPr>
          <w:lang w:val="en-CA"/>
        </w:rPr>
        <w:t xml:space="preserve"> provided.</w:t>
      </w:r>
    </w:p>
    <w:p w:rsidR="006B6981" w:rsidRPr="00B04EB0" w:rsidRDefault="006B6981" w:rsidP="006B6981">
      <w:pPr>
        <w:rPr>
          <w:u w:val="single"/>
          <w:lang w:val="en-CA"/>
        </w:rPr>
      </w:pPr>
      <w:r w:rsidRPr="00B04EB0">
        <w:rPr>
          <w:u w:val="single"/>
          <w:lang w:val="en-CA"/>
        </w:rPr>
        <w:t>2018</w:t>
      </w:r>
      <w:r w:rsidRPr="00B04EB0">
        <w:rPr>
          <w:sz w:val="18"/>
          <w:szCs w:val="18"/>
          <w:u w:val="single"/>
          <w:lang w:val="en-CA"/>
        </w:rPr>
        <w:t>–</w:t>
      </w:r>
      <w:r w:rsidRPr="00B04EB0">
        <w:rPr>
          <w:u w:val="single"/>
          <w:lang w:val="en-CA"/>
        </w:rPr>
        <w:t>2020 business plan</w:t>
      </w:r>
    </w:p>
    <w:p w:rsidR="006B6981" w:rsidRPr="00597146" w:rsidRDefault="006B6981" w:rsidP="006B6981">
      <w:pPr>
        <w:rPr>
          <w:lang w:val="en-CA"/>
        </w:rPr>
      </w:pPr>
    </w:p>
    <w:p w:rsidR="006B6981" w:rsidRPr="009503D1" w:rsidRDefault="006B6981" w:rsidP="006B6981">
      <w:pPr>
        <w:pStyle w:val="Heading1"/>
        <w:rPr>
          <w:lang w:val="en-CA"/>
        </w:rPr>
      </w:pPr>
      <w:r w:rsidRPr="009503D1">
        <w:rPr>
          <w:lang w:val="en-CA"/>
        </w:rPr>
        <w:t>This project is included in the 2018</w:t>
      </w:r>
      <w:r w:rsidRPr="009503D1">
        <w:rPr>
          <w:sz w:val="18"/>
          <w:szCs w:val="18"/>
          <w:lang w:val="en-CA"/>
        </w:rPr>
        <w:t>–</w:t>
      </w:r>
      <w:r w:rsidRPr="009503D1">
        <w:rPr>
          <w:lang w:val="en-CA"/>
        </w:rPr>
        <w:t xml:space="preserve">2020 business plan of the Multilateral Fund at a value of </w:t>
      </w:r>
      <w:r>
        <w:rPr>
          <w:lang w:val="en-CA"/>
        </w:rPr>
        <w:t>US $503</w:t>
      </w:r>
      <w:r w:rsidRPr="009503D1">
        <w:rPr>
          <w:lang w:val="en-CA"/>
        </w:rPr>
        <w:t>,</w:t>
      </w:r>
      <w:r>
        <w:rPr>
          <w:lang w:val="en-CA"/>
        </w:rPr>
        <w:t>00</w:t>
      </w:r>
      <w:r w:rsidRPr="009503D1">
        <w:rPr>
          <w:lang w:val="en-CA"/>
        </w:rPr>
        <w:t xml:space="preserve">0, including </w:t>
      </w:r>
      <w:r>
        <w:rPr>
          <w:lang w:val="en-CA"/>
        </w:rPr>
        <w:t xml:space="preserve">agency </w:t>
      </w:r>
      <w:r w:rsidRPr="009503D1">
        <w:rPr>
          <w:lang w:val="en-CA"/>
        </w:rPr>
        <w:t>support cost</w:t>
      </w:r>
      <w:r>
        <w:rPr>
          <w:lang w:val="en-CA"/>
        </w:rPr>
        <w:t>s, but with no indication of</w:t>
      </w:r>
      <w:r w:rsidRPr="009503D1">
        <w:rPr>
          <w:lang w:val="en-CA"/>
        </w:rPr>
        <w:t xml:space="preserve"> phase</w:t>
      </w:r>
      <w:r>
        <w:rPr>
          <w:lang w:val="en-CA"/>
        </w:rPr>
        <w:t>-</w:t>
      </w:r>
      <w:r w:rsidRPr="009503D1">
        <w:rPr>
          <w:lang w:val="en-CA"/>
        </w:rPr>
        <w:t>out of HFC</w:t>
      </w:r>
      <w:r>
        <w:rPr>
          <w:lang w:val="en-CA"/>
        </w:rPr>
        <w:t>s</w:t>
      </w:r>
      <w:r w:rsidRPr="009503D1">
        <w:rPr>
          <w:lang w:val="en-CA"/>
        </w:rPr>
        <w:t>. The Secretariat notes that</w:t>
      </w:r>
      <w:r>
        <w:rPr>
          <w:lang w:val="en-CA"/>
        </w:rPr>
        <w:t>,</w:t>
      </w:r>
      <w:r w:rsidRPr="009503D1">
        <w:rPr>
          <w:lang w:val="en-CA"/>
        </w:rPr>
        <w:t xml:space="preserve"> after the adjustments to the cost</w:t>
      </w:r>
      <w:r>
        <w:rPr>
          <w:lang w:val="en-CA"/>
        </w:rPr>
        <w:t>s</w:t>
      </w:r>
      <w:r w:rsidRPr="009503D1">
        <w:rPr>
          <w:lang w:val="en-CA"/>
        </w:rPr>
        <w:t xml:space="preserve">, the proposal is </w:t>
      </w:r>
      <w:r>
        <w:rPr>
          <w:lang w:val="en-CA"/>
        </w:rPr>
        <w:t>US $7,526</w:t>
      </w:r>
      <w:r w:rsidRPr="009503D1">
        <w:rPr>
          <w:lang w:val="en-CA"/>
        </w:rPr>
        <w:t xml:space="preserve"> </w:t>
      </w:r>
      <w:r>
        <w:rPr>
          <w:lang w:val="en-CA"/>
        </w:rPr>
        <w:t xml:space="preserve">more than what had been included </w:t>
      </w:r>
      <w:r w:rsidRPr="009503D1">
        <w:rPr>
          <w:lang w:val="en-CA"/>
        </w:rPr>
        <w:t>in</w:t>
      </w:r>
      <w:r>
        <w:rPr>
          <w:lang w:val="en-CA"/>
        </w:rPr>
        <w:t>to</w:t>
      </w:r>
      <w:r w:rsidRPr="009503D1">
        <w:rPr>
          <w:lang w:val="en-CA"/>
        </w:rPr>
        <w:t xml:space="preserve"> the </w:t>
      </w:r>
      <w:r>
        <w:rPr>
          <w:lang w:val="en-CA"/>
        </w:rPr>
        <w:t>b</w:t>
      </w:r>
      <w:r w:rsidRPr="009503D1">
        <w:rPr>
          <w:lang w:val="en-CA"/>
        </w:rPr>
        <w:t xml:space="preserve">usiness </w:t>
      </w:r>
      <w:r>
        <w:rPr>
          <w:lang w:val="en-CA"/>
        </w:rPr>
        <w:t>p</w:t>
      </w:r>
      <w:r w:rsidRPr="009503D1">
        <w:rPr>
          <w:lang w:val="en-CA"/>
        </w:rPr>
        <w:t>lan.</w:t>
      </w:r>
    </w:p>
    <w:p w:rsidR="006B6981" w:rsidRPr="00AD3371" w:rsidRDefault="006B6981" w:rsidP="006B6981">
      <w:pPr>
        <w:keepNext/>
        <w:rPr>
          <w:b/>
          <w:lang w:val="en-CA"/>
        </w:rPr>
      </w:pPr>
      <w:r>
        <w:rPr>
          <w:b/>
          <w:lang w:val="en-CA"/>
        </w:rPr>
        <w:t>R</w:t>
      </w:r>
      <w:r w:rsidRPr="00AD3371">
        <w:rPr>
          <w:b/>
          <w:lang w:val="en-CA"/>
        </w:rPr>
        <w:t>ecommendation</w:t>
      </w:r>
    </w:p>
    <w:p w:rsidR="006B6981" w:rsidRPr="00AD3371" w:rsidRDefault="006B6981" w:rsidP="006B6981">
      <w:pPr>
        <w:keepNext/>
        <w:rPr>
          <w:b/>
          <w:lang w:val="en-CA"/>
        </w:rPr>
      </w:pPr>
    </w:p>
    <w:p w:rsidR="006B6981" w:rsidRDefault="006B6981" w:rsidP="006B6981">
      <w:pPr>
        <w:pStyle w:val="Heading1"/>
        <w:rPr>
          <w:lang w:val="en-CA"/>
        </w:rPr>
      </w:pPr>
      <w:r w:rsidRPr="00442237">
        <w:rPr>
          <w:lang w:val="en-CA"/>
        </w:rPr>
        <w:t>The Executive Committee may wish to consider</w:t>
      </w:r>
      <w:r>
        <w:rPr>
          <w:lang w:val="en-CA"/>
        </w:rPr>
        <w:t xml:space="preserve"> </w:t>
      </w:r>
    </w:p>
    <w:p w:rsidR="006B6981" w:rsidRPr="00F11BCA" w:rsidRDefault="006B6981" w:rsidP="006B6981">
      <w:pPr>
        <w:pStyle w:val="Heading2"/>
        <w:rPr>
          <w:lang w:val="en-CA"/>
        </w:rPr>
      </w:pPr>
      <w:r w:rsidRPr="00F11BCA">
        <w:rPr>
          <w:lang w:val="en-CA"/>
        </w:rPr>
        <w:t xml:space="preserve">The project proposal for the conversion of domestic refrigerator </w:t>
      </w:r>
      <w:r>
        <w:rPr>
          <w:lang w:val="en-CA"/>
        </w:rPr>
        <w:t xml:space="preserve">and freezer </w:t>
      </w:r>
      <w:r w:rsidRPr="00F11BCA">
        <w:rPr>
          <w:lang w:val="en-CA"/>
        </w:rPr>
        <w:t xml:space="preserve">manufacturing at Capri from the use of HFC-134a as the refrigerant to </w:t>
      </w:r>
      <w:proofErr w:type="spellStart"/>
      <w:r w:rsidRPr="00F11BCA">
        <w:rPr>
          <w:lang w:val="en-CA"/>
        </w:rPr>
        <w:t>isobutane</w:t>
      </w:r>
      <w:proofErr w:type="spellEnd"/>
      <w:r w:rsidRPr="00F11BCA">
        <w:rPr>
          <w:lang w:val="en-CA"/>
        </w:rPr>
        <w:t xml:space="preserve"> (R-600a), in the context of its discussion on HFC stand-alone project</w:t>
      </w:r>
      <w:r>
        <w:rPr>
          <w:lang w:val="en-CA"/>
        </w:rPr>
        <w:t>s</w:t>
      </w:r>
      <w:r w:rsidRPr="00F11BCA">
        <w:rPr>
          <w:lang w:val="en-CA"/>
        </w:rPr>
        <w:t xml:space="preserve"> submitted to the 81</w:t>
      </w:r>
      <w:r w:rsidRPr="009173F9">
        <w:rPr>
          <w:vertAlign w:val="superscript"/>
          <w:lang w:val="en-CA"/>
        </w:rPr>
        <w:t>st</w:t>
      </w:r>
      <w:r w:rsidRPr="00F11BCA">
        <w:rPr>
          <w:lang w:val="en-CA"/>
        </w:rPr>
        <w:t xml:space="preserve"> meeting in line with decision 78/3(g), as described in the document on the Overview of issues identified during project review (UNEP/</w:t>
      </w:r>
      <w:proofErr w:type="spellStart"/>
      <w:r w:rsidRPr="00F11BCA">
        <w:rPr>
          <w:lang w:val="en-CA"/>
        </w:rPr>
        <w:t>OzL.Pro</w:t>
      </w:r>
      <w:proofErr w:type="spellEnd"/>
      <w:r w:rsidRPr="00F11BCA">
        <w:rPr>
          <w:lang w:val="en-CA"/>
        </w:rPr>
        <w:t>/</w:t>
      </w:r>
      <w:proofErr w:type="spellStart"/>
      <w:r w:rsidRPr="00F11BCA">
        <w:rPr>
          <w:lang w:val="en-CA"/>
        </w:rPr>
        <w:t>ExCom</w:t>
      </w:r>
      <w:proofErr w:type="spellEnd"/>
      <w:r w:rsidRPr="00F11BCA">
        <w:rPr>
          <w:lang w:val="en-CA"/>
        </w:rPr>
        <w:t>/81/14);</w:t>
      </w:r>
    </w:p>
    <w:p w:rsidR="006B6981" w:rsidRPr="00F11BCA" w:rsidRDefault="006B6981" w:rsidP="006B6981">
      <w:pPr>
        <w:pStyle w:val="Heading2"/>
        <w:rPr>
          <w:lang w:val="en-CA"/>
        </w:rPr>
      </w:pPr>
      <w:r w:rsidRPr="00F11BCA">
        <w:rPr>
          <w:lang w:val="en-CA"/>
        </w:rPr>
        <w:t xml:space="preserve">Whether or not to approve the project proposal indicated in sub-paragraph (a) above in the amount of </w:t>
      </w:r>
      <w:r>
        <w:rPr>
          <w:lang w:val="en-CA"/>
        </w:rPr>
        <w:t>US $563,526</w:t>
      </w:r>
      <w:r w:rsidRPr="00F11BCA">
        <w:rPr>
          <w:lang w:val="en-CA"/>
        </w:rPr>
        <w:t xml:space="preserve">, plus agency support costs of </w:t>
      </w:r>
      <w:r>
        <w:rPr>
          <w:lang w:val="en-CA"/>
        </w:rPr>
        <w:t>US $</w:t>
      </w:r>
      <w:r w:rsidR="002D0D5E">
        <w:rPr>
          <w:lang w:val="en-CA"/>
        </w:rPr>
        <w:t>39</w:t>
      </w:r>
      <w:r>
        <w:rPr>
          <w:lang w:val="en-CA"/>
        </w:rPr>
        <w:t>,</w:t>
      </w:r>
      <w:r w:rsidR="002D0D5E">
        <w:rPr>
          <w:lang w:val="en-CA"/>
        </w:rPr>
        <w:t>44</w:t>
      </w:r>
      <w:r>
        <w:rPr>
          <w:lang w:val="en-CA"/>
        </w:rPr>
        <w:t>7</w:t>
      </w:r>
      <w:r w:rsidRPr="00F11BCA">
        <w:rPr>
          <w:lang w:val="en-CA"/>
        </w:rPr>
        <w:t xml:space="preserve"> for UNDP, on the understanding, if the project were to be approved:</w:t>
      </w:r>
    </w:p>
    <w:p w:rsidR="006B6981" w:rsidRDefault="006B6981" w:rsidP="006B6981">
      <w:pPr>
        <w:pStyle w:val="Heading3"/>
        <w:rPr>
          <w:lang w:val="en-CA"/>
        </w:rPr>
      </w:pPr>
      <w:r>
        <w:rPr>
          <w:lang w:val="en-CA"/>
        </w:rPr>
        <w:t>That n</w:t>
      </w:r>
      <w:r w:rsidRPr="000B26A6">
        <w:rPr>
          <w:lang w:val="en-CA"/>
        </w:rPr>
        <w:t xml:space="preserve">o further funding would be available until the instrument of ratification </w:t>
      </w:r>
      <w:r>
        <w:rPr>
          <w:lang w:val="en-CA"/>
        </w:rPr>
        <w:t xml:space="preserve">by the Government of Zimbabwe </w:t>
      </w:r>
      <w:r w:rsidRPr="000B26A6">
        <w:rPr>
          <w:lang w:val="en-CA"/>
        </w:rPr>
        <w:t>had been received by the depositary at the Headquarters of the United Nations in New York</w:t>
      </w:r>
      <w:r>
        <w:rPr>
          <w:lang w:val="en-CA"/>
        </w:rPr>
        <w:t>, noting that the Government of Zimbabwe has already submitted a request for enabling activities</w:t>
      </w:r>
      <w:r w:rsidRPr="000B26A6">
        <w:rPr>
          <w:lang w:val="en-CA"/>
        </w:rPr>
        <w:t xml:space="preserve">; </w:t>
      </w:r>
    </w:p>
    <w:p w:rsidR="006B6981" w:rsidRPr="009224B6" w:rsidRDefault="006B6981" w:rsidP="006B6981">
      <w:pPr>
        <w:pStyle w:val="Heading3"/>
        <w:rPr>
          <w:lang w:val="en-CA"/>
        </w:rPr>
      </w:pPr>
      <w:r>
        <w:rPr>
          <w:lang w:val="en-CA"/>
        </w:rPr>
        <w:t>That 14.5</w:t>
      </w:r>
      <w:r w:rsidRPr="00274F6A">
        <w:rPr>
          <w:lang w:val="en-CA"/>
        </w:rPr>
        <w:t xml:space="preserve"> </w:t>
      </w:r>
      <w:proofErr w:type="spellStart"/>
      <w:r w:rsidRPr="00274F6A">
        <w:rPr>
          <w:lang w:val="en-CA"/>
        </w:rPr>
        <w:t>mt</w:t>
      </w:r>
      <w:proofErr w:type="spellEnd"/>
      <w:r w:rsidRPr="00274F6A">
        <w:rPr>
          <w:lang w:val="en-CA"/>
        </w:rPr>
        <w:t xml:space="preserve"> (</w:t>
      </w:r>
      <w:r>
        <w:rPr>
          <w:lang w:val="en-CA"/>
        </w:rPr>
        <w:t>20,735 </w:t>
      </w:r>
      <w:r>
        <w:t>CO</w:t>
      </w:r>
      <w:r w:rsidRPr="008F1303">
        <w:rPr>
          <w:vertAlign w:val="subscript"/>
        </w:rPr>
        <w:t>2</w:t>
      </w:r>
      <w:r>
        <w:t xml:space="preserve"> </w:t>
      </w:r>
      <w:proofErr w:type="spellStart"/>
      <w:r w:rsidRPr="008F1303">
        <w:t>eq</w:t>
      </w:r>
      <w:proofErr w:type="spellEnd"/>
      <w:r w:rsidRPr="00274F6A">
        <w:rPr>
          <w:lang w:val="en-CA"/>
        </w:rPr>
        <w:t xml:space="preserve">) </w:t>
      </w:r>
      <w:r>
        <w:rPr>
          <w:lang w:val="en-CA"/>
        </w:rPr>
        <w:t xml:space="preserve">of </w:t>
      </w:r>
      <w:r w:rsidRPr="000B26A6">
        <w:rPr>
          <w:lang w:val="en-CA"/>
        </w:rPr>
        <w:t>HFC</w:t>
      </w:r>
      <w:r>
        <w:rPr>
          <w:lang w:val="en-CA"/>
        </w:rPr>
        <w:t xml:space="preserve">-134 </w:t>
      </w:r>
      <w:r w:rsidRPr="009224B6">
        <w:rPr>
          <w:lang w:val="en-CA"/>
        </w:rPr>
        <w:t xml:space="preserve">would be deducted from </w:t>
      </w:r>
      <w:r>
        <w:rPr>
          <w:lang w:val="en-CA"/>
        </w:rPr>
        <w:t xml:space="preserve">any </w:t>
      </w:r>
      <w:r w:rsidRPr="009224B6">
        <w:rPr>
          <w:lang w:val="en-CA"/>
        </w:rPr>
        <w:t>starting point for sustained aggregate reduction</w:t>
      </w:r>
      <w:r>
        <w:rPr>
          <w:lang w:val="en-CA"/>
        </w:rPr>
        <w:t>s</w:t>
      </w:r>
      <w:r w:rsidRPr="009224B6">
        <w:rPr>
          <w:lang w:val="en-CA"/>
        </w:rPr>
        <w:t xml:space="preserve"> in HFC</w:t>
      </w:r>
      <w:r>
        <w:rPr>
          <w:lang w:val="en-CA"/>
        </w:rPr>
        <w:t>s</w:t>
      </w:r>
      <w:r w:rsidRPr="009224B6">
        <w:rPr>
          <w:lang w:val="en-CA"/>
        </w:rPr>
        <w:t xml:space="preserve"> </w:t>
      </w:r>
      <w:r>
        <w:rPr>
          <w:lang w:val="en-CA"/>
        </w:rPr>
        <w:t>that may be</w:t>
      </w:r>
      <w:r w:rsidRPr="009224B6">
        <w:rPr>
          <w:lang w:val="en-CA"/>
        </w:rPr>
        <w:t xml:space="preserve"> established;</w:t>
      </w:r>
    </w:p>
    <w:p w:rsidR="006B6981" w:rsidRPr="009224B6" w:rsidRDefault="006B6981" w:rsidP="006B6981">
      <w:pPr>
        <w:pStyle w:val="Heading3"/>
        <w:rPr>
          <w:lang w:val="en-CA"/>
        </w:rPr>
      </w:pPr>
      <w:r w:rsidRPr="009224B6">
        <w:rPr>
          <w:lang w:val="en-CA"/>
        </w:rPr>
        <w:t xml:space="preserve">That the project would be completed within 24 months of the transfer of funds to </w:t>
      </w:r>
      <w:r>
        <w:rPr>
          <w:lang w:val="en-CA"/>
        </w:rPr>
        <w:t>UNDP</w:t>
      </w:r>
      <w:r w:rsidRPr="009224B6">
        <w:rPr>
          <w:lang w:val="en-CA"/>
        </w:rPr>
        <w:t xml:space="preserve">, and </w:t>
      </w:r>
      <w:r>
        <w:rPr>
          <w:lang w:val="en-CA"/>
        </w:rPr>
        <w:t xml:space="preserve">that </w:t>
      </w:r>
      <w:r w:rsidRPr="009224B6">
        <w:rPr>
          <w:lang w:val="en-CA"/>
        </w:rPr>
        <w:t>a comprehensive completion report with detailed information on the eligible incremental capital costs, incremental operating costs, any possible savings incurred during the conversion</w:t>
      </w:r>
      <w:r>
        <w:rPr>
          <w:lang w:val="en-CA"/>
        </w:rPr>
        <w:t>,</w:t>
      </w:r>
      <w:r w:rsidRPr="009224B6">
        <w:rPr>
          <w:lang w:val="en-CA"/>
        </w:rPr>
        <w:t xml:space="preserve"> and relevant factors that facilitated implementation would be submitted within six months of project completion; and </w:t>
      </w:r>
    </w:p>
    <w:p w:rsidR="006B6981" w:rsidRPr="00EE66FD" w:rsidRDefault="006B6981" w:rsidP="006B6981">
      <w:pPr>
        <w:pStyle w:val="Heading3"/>
        <w:rPr>
          <w:lang w:val="en-CA"/>
        </w:rPr>
      </w:pPr>
      <w:r w:rsidRPr="00A75F2A">
        <w:rPr>
          <w:lang w:val="en-CA"/>
        </w:rPr>
        <w:t>That any remaining funds would be returned to the Multilateral Fund no later than one year after the date of project completion.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E85409" w:rsidTr="006B6981">
        <w:tc>
          <w:tcPr>
            <w:tcW w:w="1871" w:type="dxa"/>
          </w:tcPr>
          <w:p w:rsidR="00E85409" w:rsidRDefault="00E85409" w:rsidP="003938A2"/>
        </w:tc>
        <w:tc>
          <w:tcPr>
            <w:tcW w:w="1872" w:type="dxa"/>
          </w:tcPr>
          <w:p w:rsidR="00E85409" w:rsidRDefault="00E85409" w:rsidP="003938A2"/>
        </w:tc>
        <w:tc>
          <w:tcPr>
            <w:tcW w:w="1872" w:type="dxa"/>
            <w:tcBorders>
              <w:bottom w:val="single" w:sz="4" w:space="0" w:color="auto"/>
            </w:tcBorders>
          </w:tcPr>
          <w:p w:rsidR="00E85409" w:rsidRDefault="00E85409" w:rsidP="003938A2"/>
        </w:tc>
        <w:tc>
          <w:tcPr>
            <w:tcW w:w="1872" w:type="dxa"/>
          </w:tcPr>
          <w:p w:rsidR="00E85409" w:rsidRDefault="00E85409" w:rsidP="003938A2"/>
        </w:tc>
        <w:tc>
          <w:tcPr>
            <w:tcW w:w="1873" w:type="dxa"/>
          </w:tcPr>
          <w:p w:rsidR="00E85409" w:rsidRDefault="00E85409" w:rsidP="003938A2"/>
        </w:tc>
      </w:tr>
    </w:tbl>
    <w:p w:rsidR="00E85409" w:rsidRPr="00B04161" w:rsidRDefault="00E85409" w:rsidP="004E7F9C">
      <w:pPr>
        <w:rPr>
          <w:lang w:val="en-CA"/>
        </w:rPr>
      </w:pPr>
    </w:p>
    <w:sectPr w:rsidR="00E85409" w:rsidRPr="00B04161" w:rsidSect="00896234">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1E9" w:rsidRDefault="00CF41E9" w:rsidP="004A504B">
      <w:r>
        <w:separator/>
      </w:r>
    </w:p>
  </w:endnote>
  <w:endnote w:type="continuationSeparator" w:id="0">
    <w:p w:rsidR="00CF41E9" w:rsidRDefault="00CF41E9" w:rsidP="004A504B">
      <w:r>
        <w:continuationSeparator/>
      </w:r>
    </w:p>
  </w:endnote>
  <w:endnote w:type="continuationNotice" w:id="1">
    <w:p w:rsidR="00CF41E9" w:rsidRDefault="00CF41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8A2" w:rsidRPr="0033525D" w:rsidRDefault="003938A2">
    <w:pPr>
      <w:jc w:val="center"/>
    </w:pPr>
    <w:r>
      <w:fldChar w:fldCharType="begin"/>
    </w:r>
    <w:r>
      <w:instrText xml:space="preserve"> PAGE </w:instrText>
    </w:r>
    <w:r>
      <w:fldChar w:fldCharType="separate"/>
    </w:r>
    <w:r w:rsidR="00E1595F">
      <w:rPr>
        <w:noProof/>
      </w:rPr>
      <w:t>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8A2" w:rsidRPr="0033525D" w:rsidRDefault="003938A2">
    <w:pPr>
      <w:jc w:val="center"/>
    </w:pPr>
    <w:r>
      <w:fldChar w:fldCharType="begin"/>
    </w:r>
    <w:r>
      <w:instrText xml:space="preserve"> PAGE </w:instrText>
    </w:r>
    <w:r>
      <w:fldChar w:fldCharType="separate"/>
    </w:r>
    <w:r w:rsidR="00E1595F">
      <w:rPr>
        <w:noProof/>
      </w:rPr>
      <w:t>7</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8A2" w:rsidRDefault="003938A2"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3938A2" w:rsidRDefault="003938A2"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1E9" w:rsidRDefault="00CF41E9" w:rsidP="004A504B">
      <w:r>
        <w:separator/>
      </w:r>
    </w:p>
  </w:footnote>
  <w:footnote w:type="continuationSeparator" w:id="0">
    <w:p w:rsidR="00CF41E9" w:rsidRDefault="00CF41E9" w:rsidP="004A504B">
      <w:r>
        <w:continuationSeparator/>
      </w:r>
    </w:p>
  </w:footnote>
  <w:footnote w:type="continuationNotice" w:id="1">
    <w:p w:rsidR="00CF41E9" w:rsidRDefault="00CF41E9"/>
  </w:footnote>
  <w:footnote w:id="2">
    <w:p w:rsidR="003938A2" w:rsidRPr="00424306" w:rsidRDefault="003938A2" w:rsidP="006B6981">
      <w:pPr>
        <w:pStyle w:val="FootnoteText"/>
        <w:rPr>
          <w:lang w:val="en-US"/>
        </w:rPr>
      </w:pPr>
      <w:r>
        <w:rPr>
          <w:rStyle w:val="FootnoteReference"/>
        </w:rPr>
        <w:footnoteRef/>
      </w:r>
      <w:r>
        <w:t xml:space="preserve"> </w:t>
      </w:r>
      <w:r w:rsidRPr="00DA0C82">
        <w:rPr>
          <w:lang w:val="en-US"/>
        </w:rPr>
        <w:t>ZIM/REF/20/INV/08</w:t>
      </w:r>
      <w:r>
        <w:rPr>
          <w:lang w:val="en-US"/>
        </w:rPr>
        <w:t xml:space="preserve"> and </w:t>
      </w:r>
      <w:r w:rsidRPr="00DA0C82">
        <w:rPr>
          <w:lang w:val="en-US"/>
        </w:rPr>
        <w:t>ZIM/PHA/65/INV/44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8A2" w:rsidRPr="0033525D" w:rsidRDefault="006C431B">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/81/52</w:t>
    </w:r>
    <w:r>
      <w:fldChar w:fldCharType="end"/>
    </w:r>
  </w:p>
  <w:p w:rsidR="003938A2" w:rsidRPr="0033525D" w:rsidRDefault="003938A2"/>
  <w:p w:rsidR="003938A2" w:rsidRPr="0033525D" w:rsidRDefault="003938A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8A2" w:rsidRPr="0033525D" w:rsidRDefault="006C431B">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/81/52</w:t>
    </w:r>
    <w:r>
      <w:fldChar w:fldCharType="end"/>
    </w:r>
  </w:p>
  <w:p w:rsidR="003938A2" w:rsidRPr="0033525D" w:rsidRDefault="003938A2"/>
  <w:p w:rsidR="003938A2" w:rsidRPr="0033525D" w:rsidRDefault="003938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05A8AC8"/>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944266F"/>
    <w:multiLevelType w:val="hybridMultilevel"/>
    <w:tmpl w:val="9D683EDE"/>
    <w:lvl w:ilvl="0" w:tplc="45624558">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493932"/>
    <w:multiLevelType w:val="hybridMultilevel"/>
    <w:tmpl w:val="C480FE54"/>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3F94536E"/>
    <w:multiLevelType w:val="hybridMultilevel"/>
    <w:tmpl w:val="A164F196"/>
    <w:lvl w:ilvl="0" w:tplc="10090001">
      <w:start w:val="170"/>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A65229D"/>
    <w:multiLevelType w:val="hybridMultilevel"/>
    <w:tmpl w:val="101C5006"/>
    <w:lvl w:ilvl="0" w:tplc="0600944E">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9"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0" w15:restartNumberingAfterBreak="0">
    <w:nsid w:val="7E3F05E7"/>
    <w:multiLevelType w:val="hybridMultilevel"/>
    <w:tmpl w:val="747E8F5E"/>
    <w:lvl w:ilvl="0" w:tplc="A27E446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6"/>
  </w:num>
  <w:num w:numId="18">
    <w:abstractNumId w:val="17"/>
  </w:num>
  <w:num w:numId="19">
    <w:abstractNumId w:val="19"/>
  </w:num>
  <w:num w:numId="20">
    <w:abstractNumId w:val="14"/>
  </w:num>
  <w:num w:numId="21">
    <w:abstractNumId w:val="11"/>
  </w:num>
  <w:num w:numId="22">
    <w:abstractNumId w:val="2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qQUAMBKuTSwAAAA="/>
  </w:docVars>
  <w:rsids>
    <w:rsidRoot w:val="006B6981"/>
    <w:rsid w:val="00000FED"/>
    <w:rsid w:val="0000434E"/>
    <w:rsid w:val="0001440D"/>
    <w:rsid w:val="000211A9"/>
    <w:rsid w:val="00031260"/>
    <w:rsid w:val="0003681A"/>
    <w:rsid w:val="00044B10"/>
    <w:rsid w:val="00061EC2"/>
    <w:rsid w:val="00080ED0"/>
    <w:rsid w:val="00085B8F"/>
    <w:rsid w:val="00090481"/>
    <w:rsid w:val="000A6C26"/>
    <w:rsid w:val="000E07BC"/>
    <w:rsid w:val="000F1CD4"/>
    <w:rsid w:val="000F4103"/>
    <w:rsid w:val="000F70A7"/>
    <w:rsid w:val="001130AB"/>
    <w:rsid w:val="00122F25"/>
    <w:rsid w:val="00135980"/>
    <w:rsid w:val="00164719"/>
    <w:rsid w:val="00166FC4"/>
    <w:rsid w:val="001677AC"/>
    <w:rsid w:val="001804EA"/>
    <w:rsid w:val="0018054B"/>
    <w:rsid w:val="0018782C"/>
    <w:rsid w:val="00190A61"/>
    <w:rsid w:val="001A3342"/>
    <w:rsid w:val="001A3E3D"/>
    <w:rsid w:val="001A7049"/>
    <w:rsid w:val="001B1E40"/>
    <w:rsid w:val="001C764E"/>
    <w:rsid w:val="001E1052"/>
    <w:rsid w:val="001E21B1"/>
    <w:rsid w:val="001E2F93"/>
    <w:rsid w:val="001E61E5"/>
    <w:rsid w:val="001E7C63"/>
    <w:rsid w:val="001F2159"/>
    <w:rsid w:val="00214863"/>
    <w:rsid w:val="002156B4"/>
    <w:rsid w:val="00253222"/>
    <w:rsid w:val="00262847"/>
    <w:rsid w:val="00281BB2"/>
    <w:rsid w:val="002A25AB"/>
    <w:rsid w:val="002B72E9"/>
    <w:rsid w:val="002C7998"/>
    <w:rsid w:val="002D0D5E"/>
    <w:rsid w:val="002F1E53"/>
    <w:rsid w:val="002F2CAA"/>
    <w:rsid w:val="0030052C"/>
    <w:rsid w:val="003306E1"/>
    <w:rsid w:val="003320E4"/>
    <w:rsid w:val="0033525D"/>
    <w:rsid w:val="003414F3"/>
    <w:rsid w:val="0035613E"/>
    <w:rsid w:val="00363EE9"/>
    <w:rsid w:val="00376128"/>
    <w:rsid w:val="0037742E"/>
    <w:rsid w:val="0038245A"/>
    <w:rsid w:val="00385CFC"/>
    <w:rsid w:val="0039337A"/>
    <w:rsid w:val="003938A2"/>
    <w:rsid w:val="003A3189"/>
    <w:rsid w:val="003B33BD"/>
    <w:rsid w:val="003B569D"/>
    <w:rsid w:val="003C3C0E"/>
    <w:rsid w:val="003D4FAC"/>
    <w:rsid w:val="003E7906"/>
    <w:rsid w:val="003F3C50"/>
    <w:rsid w:val="00406A6A"/>
    <w:rsid w:val="00406B22"/>
    <w:rsid w:val="004328A7"/>
    <w:rsid w:val="00434C74"/>
    <w:rsid w:val="00442F97"/>
    <w:rsid w:val="0044613F"/>
    <w:rsid w:val="00456EB4"/>
    <w:rsid w:val="004718F3"/>
    <w:rsid w:val="00475040"/>
    <w:rsid w:val="00493D40"/>
    <w:rsid w:val="004967B6"/>
    <w:rsid w:val="004A504B"/>
    <w:rsid w:val="004A6911"/>
    <w:rsid w:val="004B2C64"/>
    <w:rsid w:val="004B54E0"/>
    <w:rsid w:val="004B7384"/>
    <w:rsid w:val="004C04D4"/>
    <w:rsid w:val="004C4269"/>
    <w:rsid w:val="004D6236"/>
    <w:rsid w:val="004E4DBB"/>
    <w:rsid w:val="004E4E41"/>
    <w:rsid w:val="004E7F9C"/>
    <w:rsid w:val="004F3493"/>
    <w:rsid w:val="004F5143"/>
    <w:rsid w:val="00512B09"/>
    <w:rsid w:val="00555D75"/>
    <w:rsid w:val="00560DF0"/>
    <w:rsid w:val="00562B07"/>
    <w:rsid w:val="0056759C"/>
    <w:rsid w:val="00571910"/>
    <w:rsid w:val="005941BF"/>
    <w:rsid w:val="0059513E"/>
    <w:rsid w:val="005B48FF"/>
    <w:rsid w:val="00604C15"/>
    <w:rsid w:val="006158D5"/>
    <w:rsid w:val="00625D83"/>
    <w:rsid w:val="006623E7"/>
    <w:rsid w:val="00662B80"/>
    <w:rsid w:val="00670F6C"/>
    <w:rsid w:val="006749ED"/>
    <w:rsid w:val="006852C7"/>
    <w:rsid w:val="006B6981"/>
    <w:rsid w:val="006C1727"/>
    <w:rsid w:val="006C32FD"/>
    <w:rsid w:val="006C39CE"/>
    <w:rsid w:val="006C431B"/>
    <w:rsid w:val="006D0FCC"/>
    <w:rsid w:val="006E1FC3"/>
    <w:rsid w:val="0070616B"/>
    <w:rsid w:val="00706FDA"/>
    <w:rsid w:val="00711F9A"/>
    <w:rsid w:val="00713810"/>
    <w:rsid w:val="007303A5"/>
    <w:rsid w:val="00730B3E"/>
    <w:rsid w:val="0073420B"/>
    <w:rsid w:val="0074760E"/>
    <w:rsid w:val="00754ABA"/>
    <w:rsid w:val="007A1546"/>
    <w:rsid w:val="007A228C"/>
    <w:rsid w:val="007A368E"/>
    <w:rsid w:val="007A5868"/>
    <w:rsid w:val="007B04CE"/>
    <w:rsid w:val="007B6871"/>
    <w:rsid w:val="007B7A2F"/>
    <w:rsid w:val="007C3D33"/>
    <w:rsid w:val="007D294A"/>
    <w:rsid w:val="007D47D2"/>
    <w:rsid w:val="007D6EC0"/>
    <w:rsid w:val="007D7E1D"/>
    <w:rsid w:val="00831979"/>
    <w:rsid w:val="00834FA3"/>
    <w:rsid w:val="00851352"/>
    <w:rsid w:val="00863230"/>
    <w:rsid w:val="008717D8"/>
    <w:rsid w:val="0087215C"/>
    <w:rsid w:val="008875FE"/>
    <w:rsid w:val="00887F8E"/>
    <w:rsid w:val="00896234"/>
    <w:rsid w:val="00897E43"/>
    <w:rsid w:val="008C5738"/>
    <w:rsid w:val="008C7EAD"/>
    <w:rsid w:val="008D0CFE"/>
    <w:rsid w:val="008D6152"/>
    <w:rsid w:val="008F0F81"/>
    <w:rsid w:val="008F27BF"/>
    <w:rsid w:val="009142EC"/>
    <w:rsid w:val="009154C3"/>
    <w:rsid w:val="00923540"/>
    <w:rsid w:val="00926767"/>
    <w:rsid w:val="00935EEA"/>
    <w:rsid w:val="009361D5"/>
    <w:rsid w:val="009428A4"/>
    <w:rsid w:val="009572D1"/>
    <w:rsid w:val="009659F4"/>
    <w:rsid w:val="00970D60"/>
    <w:rsid w:val="00977BF4"/>
    <w:rsid w:val="009960E5"/>
    <w:rsid w:val="009A7ADC"/>
    <w:rsid w:val="009B480B"/>
    <w:rsid w:val="009C19B7"/>
    <w:rsid w:val="009D7C51"/>
    <w:rsid w:val="009E196C"/>
    <w:rsid w:val="009F36BF"/>
    <w:rsid w:val="00A111B6"/>
    <w:rsid w:val="00A26D27"/>
    <w:rsid w:val="00A33BE0"/>
    <w:rsid w:val="00A376EE"/>
    <w:rsid w:val="00A42A99"/>
    <w:rsid w:val="00A5151A"/>
    <w:rsid w:val="00A56131"/>
    <w:rsid w:val="00A57E0A"/>
    <w:rsid w:val="00A74A47"/>
    <w:rsid w:val="00A823F6"/>
    <w:rsid w:val="00AA0A89"/>
    <w:rsid w:val="00AA6429"/>
    <w:rsid w:val="00AC01AA"/>
    <w:rsid w:val="00AC4F72"/>
    <w:rsid w:val="00AF741A"/>
    <w:rsid w:val="00B01ADB"/>
    <w:rsid w:val="00B04161"/>
    <w:rsid w:val="00B056F9"/>
    <w:rsid w:val="00B11E3D"/>
    <w:rsid w:val="00B17E82"/>
    <w:rsid w:val="00B4575A"/>
    <w:rsid w:val="00B575BA"/>
    <w:rsid w:val="00B76429"/>
    <w:rsid w:val="00B84680"/>
    <w:rsid w:val="00B940FC"/>
    <w:rsid w:val="00B956D4"/>
    <w:rsid w:val="00B97446"/>
    <w:rsid w:val="00BA09D6"/>
    <w:rsid w:val="00BA7432"/>
    <w:rsid w:val="00BC1AA0"/>
    <w:rsid w:val="00BC2495"/>
    <w:rsid w:val="00BC7EB9"/>
    <w:rsid w:val="00BD2643"/>
    <w:rsid w:val="00BD56B1"/>
    <w:rsid w:val="00BD6558"/>
    <w:rsid w:val="00BE26F1"/>
    <w:rsid w:val="00BF3022"/>
    <w:rsid w:val="00BF3214"/>
    <w:rsid w:val="00BF5573"/>
    <w:rsid w:val="00C15867"/>
    <w:rsid w:val="00C22346"/>
    <w:rsid w:val="00C2296D"/>
    <w:rsid w:val="00C23155"/>
    <w:rsid w:val="00C40C41"/>
    <w:rsid w:val="00C45885"/>
    <w:rsid w:val="00C50F22"/>
    <w:rsid w:val="00C57971"/>
    <w:rsid w:val="00C76BA4"/>
    <w:rsid w:val="00C83A48"/>
    <w:rsid w:val="00C85865"/>
    <w:rsid w:val="00C85E85"/>
    <w:rsid w:val="00CA2EAE"/>
    <w:rsid w:val="00CA4AC1"/>
    <w:rsid w:val="00CB0316"/>
    <w:rsid w:val="00CB0B11"/>
    <w:rsid w:val="00CB5354"/>
    <w:rsid w:val="00CC6A14"/>
    <w:rsid w:val="00CC70A3"/>
    <w:rsid w:val="00CD4442"/>
    <w:rsid w:val="00CD53C3"/>
    <w:rsid w:val="00CD574E"/>
    <w:rsid w:val="00CE4C22"/>
    <w:rsid w:val="00CF41E9"/>
    <w:rsid w:val="00CF41EC"/>
    <w:rsid w:val="00CF5D04"/>
    <w:rsid w:val="00D04DE4"/>
    <w:rsid w:val="00D063F1"/>
    <w:rsid w:val="00D14F22"/>
    <w:rsid w:val="00D4741C"/>
    <w:rsid w:val="00D51B26"/>
    <w:rsid w:val="00D57918"/>
    <w:rsid w:val="00D73DC6"/>
    <w:rsid w:val="00D74C1A"/>
    <w:rsid w:val="00D754C1"/>
    <w:rsid w:val="00D77393"/>
    <w:rsid w:val="00D77A35"/>
    <w:rsid w:val="00D81B3E"/>
    <w:rsid w:val="00D90C70"/>
    <w:rsid w:val="00D90E49"/>
    <w:rsid w:val="00D931BB"/>
    <w:rsid w:val="00D96ADE"/>
    <w:rsid w:val="00DC6A10"/>
    <w:rsid w:val="00DE657E"/>
    <w:rsid w:val="00DF4704"/>
    <w:rsid w:val="00E024AA"/>
    <w:rsid w:val="00E1595F"/>
    <w:rsid w:val="00E250F1"/>
    <w:rsid w:val="00E3550D"/>
    <w:rsid w:val="00E614E0"/>
    <w:rsid w:val="00E73F7F"/>
    <w:rsid w:val="00E85409"/>
    <w:rsid w:val="00EA429F"/>
    <w:rsid w:val="00EA4F9E"/>
    <w:rsid w:val="00EA63CA"/>
    <w:rsid w:val="00EA6D3B"/>
    <w:rsid w:val="00EB00AD"/>
    <w:rsid w:val="00EB136C"/>
    <w:rsid w:val="00EB480E"/>
    <w:rsid w:val="00EB5EC6"/>
    <w:rsid w:val="00EB7FC9"/>
    <w:rsid w:val="00ED27E8"/>
    <w:rsid w:val="00ED7137"/>
    <w:rsid w:val="00F21088"/>
    <w:rsid w:val="00F327E7"/>
    <w:rsid w:val="00F35746"/>
    <w:rsid w:val="00F447C7"/>
    <w:rsid w:val="00F554A9"/>
    <w:rsid w:val="00F554E3"/>
    <w:rsid w:val="00F716FD"/>
    <w:rsid w:val="00F80355"/>
    <w:rsid w:val="00FB0C81"/>
    <w:rsid w:val="00FC2200"/>
    <w:rsid w:val="00FC2540"/>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9535"/>
  <w15:docId w15:val="{0854A3B4-0C4C-48EE-BA23-FC2C1F78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6B6981"/>
    <w:rPr>
      <w:sz w:val="22"/>
      <w:szCs w:val="22"/>
      <w:lang w:val="en-GB"/>
    </w:rPr>
  </w:style>
  <w:style w:type="character" w:styleId="FootnoteReference">
    <w:name w:val="footnote reference"/>
    <w:basedOn w:val="DefaultParagraphFont"/>
    <w:uiPriority w:val="99"/>
    <w:semiHidden/>
    <w:unhideWhenUsed/>
    <w:rsid w:val="006B6981"/>
    <w:rPr>
      <w:vertAlign w:val="superscript"/>
    </w:rPr>
  </w:style>
  <w:style w:type="paragraph" w:styleId="ListParagraph">
    <w:name w:val="List Paragraph"/>
    <w:basedOn w:val="Normal"/>
    <w:uiPriority w:val="34"/>
    <w:qFormat/>
    <w:rsid w:val="006B6981"/>
    <w:pPr>
      <w:ind w:left="720"/>
      <w:contextualSpacing/>
    </w:pPr>
  </w:style>
  <w:style w:type="paragraph" w:customStyle="1" w:styleId="Footer1">
    <w:name w:val="Footer1"/>
    <w:basedOn w:val="Normal"/>
    <w:rsid w:val="006B6981"/>
    <w:pPr>
      <w:widowControl w:val="0"/>
      <w:tabs>
        <w:tab w:val="center" w:pos="4320"/>
        <w:tab w:val="right" w:pos="8640"/>
        <w:tab w:val="left" w:pos="9000"/>
      </w:tabs>
      <w:jc w:val="left"/>
    </w:pPr>
    <w:rPr>
      <w:snapToGrid w:val="0"/>
      <w:sz w:val="20"/>
      <w:szCs w:val="20"/>
      <w:lang w:val="en-US"/>
    </w:rPr>
  </w:style>
  <w:style w:type="paragraph" w:styleId="FootnoteText">
    <w:name w:val="footnote text"/>
    <w:aliases w:val="Char1,Char1 Char Char, Char1, Char1 Char Char"/>
    <w:basedOn w:val="Normal"/>
    <w:link w:val="FootnoteTextChar"/>
    <w:uiPriority w:val="99"/>
    <w:unhideWhenUsed/>
    <w:qFormat/>
    <w:rsid w:val="006B6981"/>
    <w:rPr>
      <w:sz w:val="20"/>
      <w:szCs w:val="20"/>
    </w:rPr>
  </w:style>
  <w:style w:type="character" w:customStyle="1" w:styleId="FootnoteTextChar">
    <w:name w:val="Footnote Text Char"/>
    <w:aliases w:val="Char1 Char,Char1 Char Char Char, Char1 Char, Char1 Char Char Char"/>
    <w:basedOn w:val="DefaultParagraphFont"/>
    <w:link w:val="FootnoteText"/>
    <w:uiPriority w:val="99"/>
    <w:rsid w:val="006B6981"/>
    <w:rPr>
      <w:lang w:val="en-GB"/>
    </w:rPr>
  </w:style>
  <w:style w:type="paragraph" w:styleId="Revision">
    <w:name w:val="Revision"/>
    <w:hidden/>
    <w:uiPriority w:val="99"/>
    <w:semiHidden/>
    <w:rsid w:val="006B6981"/>
    <w:rPr>
      <w:sz w:val="22"/>
      <w:szCs w:val="22"/>
      <w:lang w:val="en-GB"/>
    </w:rPr>
  </w:style>
  <w:style w:type="character" w:customStyle="1" w:styleId="FooterChar">
    <w:name w:val="Footer Char"/>
    <w:basedOn w:val="DefaultParagraphFont"/>
    <w:link w:val="Footer"/>
    <w:uiPriority w:val="99"/>
    <w:rsid w:val="006B6981"/>
    <w:rPr>
      <w:sz w:val="22"/>
      <w:szCs w:val="22"/>
      <w:lang w:val="en-GB"/>
    </w:rPr>
  </w:style>
  <w:style w:type="table" w:customStyle="1" w:styleId="Cuadrculadetablaclara1">
    <w:name w:val="Cuadrícula de tabla clara1"/>
    <w:basedOn w:val="TableNormal"/>
    <w:uiPriority w:val="40"/>
    <w:rsid w:val="006B6981"/>
    <w:rPr>
      <w:rFonts w:asciiTheme="minorHAnsi" w:eastAsiaTheme="minorHAnsi" w:hAnsiTheme="minorHAnsi" w:cstheme="minorBidi"/>
      <w:sz w:val="22"/>
      <w:szCs w:val="22"/>
      <w:lang w:val="es-EC"/>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6B6981"/>
    <w:pPr>
      <w:jc w:val="both"/>
    </w:pPr>
    <w:rPr>
      <w:sz w:val="22"/>
      <w:szCs w:val="22"/>
      <w:lang w:val="en-GB"/>
    </w:rPr>
  </w:style>
  <w:style w:type="character" w:styleId="Hyperlink">
    <w:name w:val="Hyperlink"/>
    <w:basedOn w:val="DefaultParagraphFont"/>
    <w:uiPriority w:val="99"/>
    <w:unhideWhenUsed/>
    <w:rsid w:val="006B6981"/>
    <w:rPr>
      <w:color w:val="0000FF" w:themeColor="hyperlink"/>
      <w:u w:val="single"/>
    </w:rPr>
  </w:style>
  <w:style w:type="character" w:customStyle="1" w:styleId="UnresolvedMention">
    <w:name w:val="Unresolved Mention"/>
    <w:basedOn w:val="DefaultParagraphFont"/>
    <w:uiPriority w:val="99"/>
    <w:semiHidden/>
    <w:unhideWhenUsed/>
    <w:rsid w:val="006B69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81st\Templates\Eec81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Number xmlns="6b03d5a6-c642-4a08-93b6-965b66bfac2e">UNEP/OzL.Pro/ExCom/81/52</Document_x0020_Number>
    <DocumentType xmlns="64e33b30-101d-41de-b951-961aab25ea29">Pre-session</DocumentType>
    <Format xmlns="c41b18c7-297f-4c27-85f0-8b52ca6c4730">Word</Format>
    <Language xmlns="c41b18c7-297f-4c27-85f0-8b52ca6c4730">English</Languag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B13B1B27BA23146A32B327DDC69C6DE" ma:contentTypeVersion="6" ma:contentTypeDescription="Create a new document." ma:contentTypeScope="" ma:versionID="e12c066ed450db8bfb21665078aca8d9">
  <xsd:schema xmlns:xsd="http://www.w3.org/2001/XMLSchema" xmlns:p="http://schemas.microsoft.com/office/2006/metadata/properties" xmlns:ns2="6b03d5a6-c642-4a08-93b6-965b66bfac2e" xmlns:ns3="64e33b30-101d-41de-b951-961aab25ea29" xmlns:ns4="c41b18c7-297f-4c27-85f0-8b52ca6c4730" targetNamespace="http://schemas.microsoft.com/office/2006/metadata/properties" ma:root="true" ma:fieldsID="681ba12bcfa428e99468d2fc16f1a4ed" ns2:_="" ns3:_="" ns4:_="">
    <xsd:import namespace="6b03d5a6-c642-4a08-93b6-965b66bfac2e"/>
    <xsd:import namespace="64e33b30-101d-41de-b951-961aab25ea29"/>
    <xsd:import namespace="c41b18c7-297f-4c27-85f0-8b52ca6c4730"/>
    <xsd:element name="properties">
      <xsd:complexType>
        <xsd:sequence>
          <xsd:element name="documentManagement">
            <xsd:complexType>
              <xsd:all>
                <xsd:element ref="ns2:Document_x0020_Number" minOccurs="0"/>
                <xsd:element ref="ns3:DocumentType" minOccurs="0"/>
                <xsd:element ref="ns4:Format" minOccurs="0"/>
                <xsd:element ref="ns4:Languag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1/"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Business plan"/>
          <xsd:enumeration value="Information Document"/>
        </xsd:restriction>
      </xsd:simpleType>
    </xsd:element>
  </xsd:schema>
  <xsd:schema xmlns:xsd="http://www.w3.org/2001/XMLSchema" xmlns:dms="http://schemas.microsoft.com/office/2006/documentManagement/types" targetNamespace="c41b18c7-297f-4c27-85f0-8b52ca6c4730"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PDF"/>
          <xsd:enumeration value="Word"/>
          <xsd:enumeration value="Excel"/>
        </xsd:restriction>
      </xsd:simpleType>
    </xsd:element>
    <xsd:element name="Language" ma:index="11" nillable="true" ma:displayName="Language" ma:default="English" ma:format="Dropdown" ma:internalName="Language">
      <xsd:simpleType>
        <xsd:restriction base="dms:Choice">
          <xsd:enumeration value="Englis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E49CD01-0DD6-4656-9B8F-B8A8E3B92F60}"/>
</file>

<file path=customXml/itemProps2.xml><?xml version="1.0" encoding="utf-8"?>
<ds:datastoreItem xmlns:ds="http://schemas.openxmlformats.org/officeDocument/2006/customXml" ds:itemID="{9F5310AE-94B7-4D40-9BBB-E04161543CBD}"/>
</file>

<file path=customXml/itemProps3.xml><?xml version="1.0" encoding="utf-8"?>
<ds:datastoreItem xmlns:ds="http://schemas.openxmlformats.org/officeDocument/2006/customXml" ds:itemID="{F3521DBE-94D5-4CEF-B329-8D9CBB643020}"/>
</file>

<file path=customXml/itemProps4.xml><?xml version="1.0" encoding="utf-8"?>
<ds:datastoreItem xmlns:ds="http://schemas.openxmlformats.org/officeDocument/2006/customXml" ds:itemID="{2093D0B1-1CDA-4129-8B16-363F1F974264}"/>
</file>

<file path=docProps/app.xml><?xml version="1.0" encoding="utf-8"?>
<Properties xmlns="http://schemas.openxmlformats.org/officeDocument/2006/extended-properties" xmlns:vt="http://schemas.openxmlformats.org/officeDocument/2006/docPropsVTypes">
  <Template>Eec81G</Template>
  <TotalTime>33</TotalTime>
  <Pages>7</Pages>
  <Words>2458</Words>
  <Characters>13915</Characters>
  <Application>Microsoft Office Word</Application>
  <DocSecurity>0</DocSecurity>
  <Lines>434</Lines>
  <Paragraphs>303</Paragraphs>
  <ScaleCrop>false</ScaleCrop>
  <HeadingPairs>
    <vt:vector size="2" baseType="variant">
      <vt:variant>
        <vt:lpstr>Title</vt:lpstr>
      </vt:variant>
      <vt:variant>
        <vt:i4>1</vt:i4>
      </vt:variant>
    </vt:vector>
  </HeadingPairs>
  <TitlesOfParts>
    <vt:vector size="1" baseType="lpstr">
      <vt:lpstr>Project Proposal: Zimbabwe</vt:lpstr>
    </vt:vector>
  </TitlesOfParts>
  <Company/>
  <LinksUpToDate>false</LinksUpToDate>
  <CharactersWithSpaces>16070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Zimbabwe</dc:title>
  <dc:creator>Muriel Aguiar</dc:creator>
  <cp:lastModifiedBy>Despina Psillou</cp:lastModifiedBy>
  <cp:revision>5</cp:revision>
  <cp:lastPrinted>2018-06-02T20:30:00Z</cp:lastPrinted>
  <dcterms:created xsi:type="dcterms:W3CDTF">2018-06-02T19:55:00Z</dcterms:created>
  <dcterms:modified xsi:type="dcterms:W3CDTF">2018-06-02T20:45:00Z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UNEP/OzL.Pro/ExCom/81/52</vt:lpwstr>
  </property>
  <property fmtid="{D5CDD505-2E9C-101B-9397-08002B2CF9AE}" pid="3" name="Revision date">
    <vt:lpwstr>6/2/2018</vt:lpwstr>
  </property>
  <property fmtid="{D5CDD505-2E9C-101B-9397-08002B2CF9AE}" pid="4" name="ContentTypeId">
    <vt:lpwstr>0x0101004B13B1B27BA23146A32B327DDC69C6DE</vt:lpwstr>
  </property>
</Properties>
</file>