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A558DC" w14:paraId="37981A2D" w14:textId="77777777" w:rsidTr="009C59F7">
        <w:trPr>
          <w:trHeight w:val="720"/>
        </w:trPr>
        <w:tc>
          <w:tcPr>
            <w:tcW w:w="5490" w:type="dxa"/>
            <w:gridSpan w:val="2"/>
            <w:tcBorders>
              <w:bottom w:val="single" w:sz="18" w:space="0" w:color="auto"/>
            </w:tcBorders>
          </w:tcPr>
          <w:p w14:paraId="30582AB2" w14:textId="77777777" w:rsidR="00C15867" w:rsidRPr="00A558D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A558DC">
              <w:rPr>
                <w:rFonts w:ascii="Univers" w:hAnsi="Univers"/>
                <w:b/>
                <w:sz w:val="28"/>
                <w:szCs w:val="28"/>
              </w:rPr>
              <w:t>UNITED</w:t>
            </w:r>
            <w:r w:rsidRPr="00A558DC">
              <w:rPr>
                <w:rFonts w:ascii="Univers" w:hAnsi="Univers"/>
                <w:b/>
                <w:sz w:val="28"/>
                <w:szCs w:val="28"/>
              </w:rPr>
              <w:br/>
              <w:t>NATIONS</w:t>
            </w:r>
          </w:p>
        </w:tc>
        <w:tc>
          <w:tcPr>
            <w:tcW w:w="4590" w:type="dxa"/>
            <w:tcBorders>
              <w:bottom w:val="single" w:sz="18" w:space="0" w:color="auto"/>
            </w:tcBorders>
          </w:tcPr>
          <w:p w14:paraId="416AC1C3" w14:textId="77777777" w:rsidR="00C15867" w:rsidRPr="00A558DC" w:rsidRDefault="00C15867" w:rsidP="009C59F7">
            <w:pPr>
              <w:jc w:val="right"/>
              <w:rPr>
                <w:sz w:val="52"/>
                <w:szCs w:val="52"/>
              </w:rPr>
            </w:pPr>
            <w:r w:rsidRPr="00A558DC">
              <w:rPr>
                <w:rFonts w:ascii="Univers Bold" w:hAnsi="Univers Bold"/>
                <w:b/>
                <w:sz w:val="72"/>
              </w:rPr>
              <w:t>EP</w:t>
            </w:r>
          </w:p>
        </w:tc>
      </w:tr>
      <w:tr w:rsidR="00C15867" w:rsidRPr="00A558DC" w14:paraId="42426181"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130FCFF" w14:textId="77777777" w:rsidR="00C15867" w:rsidRPr="00A558DC" w:rsidRDefault="00C15867" w:rsidP="0063039B">
            <w:pPr>
              <w:spacing w:before="120"/>
            </w:pPr>
            <w:r w:rsidRPr="00A558DC">
              <w:rPr>
                <w:noProof/>
                <w:lang w:val="en-CA" w:eastAsia="en-CA"/>
              </w:rPr>
              <w:drawing>
                <wp:anchor distT="0" distB="0" distL="114300" distR="114300" simplePos="0" relativeHeight="251660288" behindDoc="0" locked="0" layoutInCell="1" allowOverlap="1" wp14:anchorId="7C7DC781" wp14:editId="005B9A73">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A558DC">
              <w:rPr>
                <w:noProof/>
                <w:lang w:val="en-CA" w:eastAsia="en-CA"/>
              </w:rPr>
              <w:drawing>
                <wp:anchor distT="0" distB="0" distL="114300" distR="114300" simplePos="0" relativeHeight="251661312" behindDoc="1" locked="0" layoutInCell="0" allowOverlap="1" wp14:anchorId="5540E78C" wp14:editId="35FFC16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F66BBDF" w14:textId="77777777" w:rsidR="00C15867" w:rsidRPr="00A558DC" w:rsidRDefault="00C15867" w:rsidP="006303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A558DC">
              <w:rPr>
                <w:rFonts w:ascii="Univers" w:hAnsi="Univers"/>
                <w:b/>
                <w:sz w:val="32"/>
              </w:rPr>
              <w:t>United Nations</w:t>
            </w:r>
          </w:p>
          <w:p w14:paraId="13422FCF" w14:textId="77777777" w:rsidR="00C15867" w:rsidRPr="00A558DC" w:rsidRDefault="00C15867" w:rsidP="006303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A558DC">
              <w:rPr>
                <w:rFonts w:ascii="Univers" w:hAnsi="Univers"/>
                <w:b/>
                <w:sz w:val="32"/>
              </w:rPr>
              <w:t>Environment</w:t>
            </w:r>
          </w:p>
          <w:p w14:paraId="6D30CAD9" w14:textId="77777777" w:rsidR="00C15867" w:rsidRPr="00A558DC" w:rsidRDefault="00C15867" w:rsidP="006303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A558DC">
              <w:rPr>
                <w:rFonts w:ascii="Univers" w:hAnsi="Univers"/>
                <w:b/>
                <w:sz w:val="32"/>
              </w:rPr>
              <w:t>Programme</w:t>
            </w:r>
          </w:p>
          <w:p w14:paraId="03E2DEF2" w14:textId="77777777" w:rsidR="00C15867" w:rsidRPr="00A558DC" w:rsidRDefault="00C15867" w:rsidP="0063039B">
            <w:pPr>
              <w:spacing w:before="720"/>
              <w:ind w:left="158"/>
            </w:pPr>
          </w:p>
        </w:tc>
        <w:tc>
          <w:tcPr>
            <w:tcW w:w="4590" w:type="dxa"/>
            <w:tcBorders>
              <w:top w:val="nil"/>
              <w:left w:val="nil"/>
              <w:bottom w:val="single" w:sz="36" w:space="0" w:color="auto"/>
              <w:right w:val="nil"/>
            </w:tcBorders>
          </w:tcPr>
          <w:p w14:paraId="318FA3FC" w14:textId="77777777" w:rsidR="00C15867" w:rsidRPr="00A558DC" w:rsidRDefault="00C15867" w:rsidP="0063039B">
            <w:r w:rsidRPr="00A558DC">
              <w:t>Distr.</w:t>
            </w:r>
          </w:p>
          <w:p w14:paraId="6E92CB9E" w14:textId="77777777" w:rsidR="00923540" w:rsidRPr="00A558DC" w:rsidRDefault="00923540" w:rsidP="0063039B">
            <w:r w:rsidRPr="00A558DC">
              <w:t>GENERAL</w:t>
            </w:r>
          </w:p>
          <w:p w14:paraId="109A5AC5" w14:textId="77777777" w:rsidR="00C15867" w:rsidRPr="00A558DC" w:rsidRDefault="00C15867" w:rsidP="0063039B"/>
          <w:p w14:paraId="0C99007A" w14:textId="77777777" w:rsidR="00C15867" w:rsidRPr="00A558DC" w:rsidRDefault="00C15867" w:rsidP="0063039B"/>
          <w:p w14:paraId="64B3F1AE" w14:textId="5ADFA296" w:rsidR="00C15867" w:rsidRPr="00A558DC" w:rsidRDefault="0061413C" w:rsidP="0063039B">
            <w:r w:rsidRPr="00A558DC">
              <w:fldChar w:fldCharType="begin"/>
            </w:r>
            <w:r w:rsidRPr="00A558DC">
              <w:instrText xml:space="preserve"> DOCPROPERTY "Document number"  \* MERGEFORMAT </w:instrText>
            </w:r>
            <w:r w:rsidRPr="00A558DC">
              <w:fldChar w:fldCharType="separate"/>
            </w:r>
            <w:r w:rsidR="003164DB" w:rsidRPr="00A558DC">
              <w:t>UNEP/</w:t>
            </w:r>
            <w:proofErr w:type="spellStart"/>
            <w:r w:rsidR="003164DB" w:rsidRPr="00A558DC">
              <w:t>OzL.Pro</w:t>
            </w:r>
            <w:proofErr w:type="spellEnd"/>
            <w:r w:rsidR="003164DB" w:rsidRPr="00A558DC">
              <w:t>/</w:t>
            </w:r>
            <w:proofErr w:type="spellStart"/>
            <w:r w:rsidR="003164DB" w:rsidRPr="00A558DC">
              <w:t>ExCom</w:t>
            </w:r>
            <w:proofErr w:type="spellEnd"/>
            <w:r w:rsidR="003164DB" w:rsidRPr="00A558DC">
              <w:t>/81/57</w:t>
            </w:r>
            <w:r w:rsidRPr="00A558DC">
              <w:fldChar w:fldCharType="end"/>
            </w:r>
          </w:p>
          <w:p w14:paraId="664B843D" w14:textId="0368D6A5" w:rsidR="00C15867" w:rsidRPr="00A558DC" w:rsidRDefault="00BC2495" w:rsidP="0063039B">
            <w:r w:rsidRPr="00A558DC">
              <w:fldChar w:fldCharType="begin"/>
            </w:r>
            <w:r w:rsidR="00851352" w:rsidRPr="00A558DC">
              <w:instrText xml:space="preserve"> DOCPROPERTY "Revision date" \@ "d MMMM YYYY"  \* MERGEFORMAT </w:instrText>
            </w:r>
            <w:r w:rsidRPr="00A558DC">
              <w:fldChar w:fldCharType="separate"/>
            </w:r>
            <w:r w:rsidR="00C254C6">
              <w:t>27 June 2018</w:t>
            </w:r>
            <w:r w:rsidRPr="00A558DC">
              <w:fldChar w:fldCharType="end"/>
            </w:r>
          </w:p>
          <w:p w14:paraId="7A1D04CE" w14:textId="77777777" w:rsidR="00C15867" w:rsidRPr="00A558DC" w:rsidRDefault="00C15867" w:rsidP="0063039B">
            <w:pPr>
              <w:rPr>
                <w:caps/>
              </w:rPr>
            </w:pPr>
          </w:p>
          <w:p w14:paraId="464E3B36" w14:textId="77777777" w:rsidR="00C15867" w:rsidRPr="00A558DC" w:rsidRDefault="00C15867" w:rsidP="0063039B">
            <w:r w:rsidRPr="00A558DC">
              <w:t>ORIGINAL: ENGLISH</w:t>
            </w:r>
          </w:p>
        </w:tc>
      </w:tr>
    </w:tbl>
    <w:p w14:paraId="07A3785E" w14:textId="76865824" w:rsidR="00BF3022" w:rsidRPr="00A558DC" w:rsidRDefault="00C15867" w:rsidP="0063039B">
      <w:pPr>
        <w:jc w:val="left"/>
      </w:pPr>
      <w:r w:rsidRPr="00A558DC">
        <w:t>EXECUTIVE COMMITTEE OF</w:t>
      </w:r>
      <w:r w:rsidRPr="00A558DC">
        <w:br/>
        <w:t xml:space="preserve">  THE MULTILATERAL FUND FOR THE</w:t>
      </w:r>
      <w:r w:rsidRPr="00A558DC">
        <w:br/>
        <w:t xml:space="preserve">  IMPLEMENTATION OF THE MONTREAL PROTOCOL</w:t>
      </w:r>
      <w:r w:rsidRPr="00A558DC">
        <w:br/>
      </w:r>
      <w:r w:rsidR="006A61E1" w:rsidRPr="00A558DC">
        <w:rPr>
          <w:lang w:val="en-CA"/>
        </w:rPr>
        <w:t>Eighty-first</w:t>
      </w:r>
      <w:r w:rsidR="00831979" w:rsidRPr="00A558DC">
        <w:rPr>
          <w:lang w:val="en-CA"/>
        </w:rPr>
        <w:t xml:space="preserve"> </w:t>
      </w:r>
      <w:r w:rsidR="00BF3022" w:rsidRPr="00A558DC">
        <w:t>Meeting</w:t>
      </w:r>
    </w:p>
    <w:p w14:paraId="254D7435" w14:textId="275CD7F4" w:rsidR="009960E5" w:rsidRPr="00A558DC" w:rsidRDefault="003B33BD" w:rsidP="0063039B">
      <w:pPr>
        <w:jc w:val="left"/>
        <w:rPr>
          <w:lang w:val="en-CA"/>
        </w:rPr>
      </w:pPr>
      <w:r w:rsidRPr="00A558DC">
        <w:rPr>
          <w:lang w:val="en-CA"/>
        </w:rPr>
        <w:t>Montreal</w:t>
      </w:r>
      <w:r w:rsidR="00BF3022" w:rsidRPr="00A558DC">
        <w:rPr>
          <w:lang w:val="en-CA"/>
        </w:rPr>
        <w:t xml:space="preserve">, </w:t>
      </w:r>
      <w:r w:rsidR="006A61E1" w:rsidRPr="00A558DC">
        <w:t>18</w:t>
      </w:r>
      <w:r w:rsidR="009154C3" w:rsidRPr="00A558DC">
        <w:t>-</w:t>
      </w:r>
      <w:r w:rsidR="006A61E1" w:rsidRPr="00A558DC">
        <w:t>22</w:t>
      </w:r>
      <w:r w:rsidR="001459F6" w:rsidRPr="00A558DC">
        <w:t xml:space="preserve"> June</w:t>
      </w:r>
      <w:r w:rsidR="006A61E1" w:rsidRPr="00A558DC">
        <w:t xml:space="preserve"> 2018</w:t>
      </w:r>
    </w:p>
    <w:p w14:paraId="276FE8BA" w14:textId="77777777" w:rsidR="00C15867" w:rsidRPr="00A558DC" w:rsidRDefault="00C15867" w:rsidP="0063039B">
      <w:pPr>
        <w:jc w:val="left"/>
        <w:rPr>
          <w:lang w:val="en-US"/>
        </w:rPr>
      </w:pPr>
    </w:p>
    <w:p w14:paraId="269905D6" w14:textId="71B3C6B1" w:rsidR="009D05A1" w:rsidRPr="00A558DC" w:rsidRDefault="009D05A1" w:rsidP="0063039B">
      <w:pPr>
        <w:pStyle w:val="0Heading0"/>
        <w:spacing w:after="240"/>
        <w:jc w:val="center"/>
        <w:rPr>
          <w:b/>
          <w:lang w:val="en-US"/>
        </w:rPr>
      </w:pPr>
      <w:r w:rsidRPr="00A558DC">
        <w:rPr>
          <w:b/>
          <w:lang w:val="en-US"/>
        </w:rPr>
        <w:t>REPORT OF THE SUB-GROUP ON THE PRODUCTION SECTOR</w:t>
      </w:r>
    </w:p>
    <w:p w14:paraId="5781A6ED" w14:textId="77777777" w:rsidR="00D20DE4" w:rsidRPr="00A558DC" w:rsidRDefault="00D20DE4" w:rsidP="0063039B">
      <w:pPr>
        <w:pStyle w:val="Heading1"/>
        <w:numPr>
          <w:ilvl w:val="0"/>
          <w:numId w:val="0"/>
        </w:numPr>
        <w:tabs>
          <w:tab w:val="left" w:pos="1778"/>
        </w:tabs>
        <w:rPr>
          <w:b/>
        </w:rPr>
      </w:pPr>
      <w:r w:rsidRPr="00A558DC">
        <w:rPr>
          <w:b/>
        </w:rPr>
        <w:t>Introduction</w:t>
      </w:r>
    </w:p>
    <w:p w14:paraId="23EDB72E" w14:textId="196E7C6D" w:rsidR="008C5738" w:rsidRPr="00A558DC" w:rsidRDefault="00AF742F" w:rsidP="0063039B">
      <w:pPr>
        <w:pStyle w:val="Heading1"/>
        <w:rPr>
          <w:lang w:val="en-US"/>
        </w:rPr>
      </w:pPr>
      <w:r w:rsidRPr="00A558DC">
        <w:t>The Sub-group on the Production Sector</w:t>
      </w:r>
      <w:r w:rsidR="001F3449" w:rsidRPr="00A558DC">
        <w:t>, as</w:t>
      </w:r>
      <w:r w:rsidR="006A61E1" w:rsidRPr="00A558DC">
        <w:t xml:space="preserve"> reconstituted at the 81</w:t>
      </w:r>
      <w:r w:rsidR="006A61E1" w:rsidRPr="00A558DC">
        <w:rPr>
          <w:vertAlign w:val="superscript"/>
        </w:rPr>
        <w:t>st</w:t>
      </w:r>
      <w:r w:rsidR="006A61E1" w:rsidRPr="00A558DC">
        <w:t xml:space="preserve"> </w:t>
      </w:r>
      <w:r w:rsidRPr="00A558DC">
        <w:t>meeting of the Executive Committee</w:t>
      </w:r>
      <w:r w:rsidR="00C9058E" w:rsidRPr="00A558DC">
        <w:t>,</w:t>
      </w:r>
      <w:r w:rsidRPr="00A558DC">
        <w:t xml:space="preserve"> met </w:t>
      </w:r>
      <w:r w:rsidR="001521E5" w:rsidRPr="00A558DC">
        <w:t>three</w:t>
      </w:r>
      <w:r w:rsidR="006A61E1" w:rsidRPr="00A558DC">
        <w:t xml:space="preserve"> times in the margins of the 81</w:t>
      </w:r>
      <w:r w:rsidR="006A61E1" w:rsidRPr="00A558DC">
        <w:rPr>
          <w:vertAlign w:val="superscript"/>
        </w:rPr>
        <w:t>st</w:t>
      </w:r>
      <w:r w:rsidR="006A61E1" w:rsidRPr="00A558DC">
        <w:t xml:space="preserve"> </w:t>
      </w:r>
      <w:r w:rsidRPr="00A558DC">
        <w:t>mee</w:t>
      </w:r>
      <w:r w:rsidR="006A61E1" w:rsidRPr="00A558DC">
        <w:t xml:space="preserve">ting. </w:t>
      </w:r>
      <w:r w:rsidRPr="00A558DC">
        <w:t xml:space="preserve">The Sub-group consisted of the representatives of </w:t>
      </w:r>
      <w:r w:rsidRPr="00A558DC">
        <w:rPr>
          <w:lang w:val="en-US"/>
        </w:rPr>
        <w:t xml:space="preserve">Argentina, </w:t>
      </w:r>
      <w:r w:rsidR="006A61E1" w:rsidRPr="00A558DC">
        <w:rPr>
          <w:lang w:val="en-US"/>
        </w:rPr>
        <w:t xml:space="preserve">Canada, Dominican Republic, France, India, Nigeria, Norway, </w:t>
      </w:r>
      <w:r w:rsidRPr="00A558DC">
        <w:rPr>
          <w:lang w:val="en-US"/>
        </w:rPr>
        <w:t>and the United States of America</w:t>
      </w:r>
      <w:r w:rsidR="00B87DD0" w:rsidRPr="00A558DC">
        <w:t>, with Canada</w:t>
      </w:r>
      <w:r w:rsidRPr="00A558DC">
        <w:t xml:space="preserve"> acting as </w:t>
      </w:r>
      <w:r w:rsidR="00482664" w:rsidRPr="00A558DC">
        <w:t xml:space="preserve">facilitator. Representatives of </w:t>
      </w:r>
      <w:r w:rsidRPr="00A558DC">
        <w:t>the World Bank were also present as observers.</w:t>
      </w:r>
    </w:p>
    <w:p w14:paraId="71991475" w14:textId="77777777" w:rsidR="00D20DE4" w:rsidRPr="00A558DC" w:rsidRDefault="00D20DE4" w:rsidP="0063039B">
      <w:pPr>
        <w:autoSpaceDE w:val="0"/>
        <w:autoSpaceDN w:val="0"/>
        <w:adjustRightInd w:val="0"/>
        <w:spacing w:after="240"/>
        <w:rPr>
          <w:b/>
        </w:rPr>
      </w:pPr>
      <w:r w:rsidRPr="00A558DC">
        <w:rPr>
          <w:b/>
        </w:rPr>
        <w:t>Agenda item 1:</w:t>
      </w:r>
      <w:r w:rsidRPr="00A558DC">
        <w:rPr>
          <w:b/>
        </w:rPr>
        <w:tab/>
      </w:r>
      <w:r w:rsidRPr="00A558DC">
        <w:rPr>
          <w:b/>
        </w:rPr>
        <w:tab/>
        <w:t>Adoption of the Agenda</w:t>
      </w:r>
    </w:p>
    <w:p w14:paraId="18B2C7EA" w14:textId="1990D121" w:rsidR="00D20DE4" w:rsidRPr="00A558DC" w:rsidRDefault="00D20DE4" w:rsidP="0063039B">
      <w:pPr>
        <w:pStyle w:val="Heading1"/>
      </w:pPr>
      <w:r w:rsidRPr="00A558DC">
        <w:t>The Sub-group adopted the provisional agenda contained i</w:t>
      </w:r>
      <w:r w:rsidR="00B87DD0" w:rsidRPr="00A558DC">
        <w:t>n document UNEP/</w:t>
      </w:r>
      <w:proofErr w:type="spellStart"/>
      <w:r w:rsidR="00B87DD0" w:rsidRPr="00A558DC">
        <w:t>OzL.Pro</w:t>
      </w:r>
      <w:proofErr w:type="spellEnd"/>
      <w:r w:rsidR="00B87DD0" w:rsidRPr="00A558DC">
        <w:t>/</w:t>
      </w:r>
      <w:proofErr w:type="spellStart"/>
      <w:r w:rsidR="00B87DD0" w:rsidRPr="00A558DC">
        <w:t>ExCom</w:t>
      </w:r>
      <w:proofErr w:type="spellEnd"/>
      <w:r w:rsidR="00B87DD0" w:rsidRPr="00A558DC">
        <w:t>/81</w:t>
      </w:r>
      <w:r w:rsidRPr="00A558DC">
        <w:t>/SGP/1</w:t>
      </w:r>
      <w:r w:rsidR="0000279A" w:rsidRPr="00A558DC">
        <w:t xml:space="preserve"> and agreed to discuss, under agenda item </w:t>
      </w:r>
      <w:r w:rsidR="0040046D" w:rsidRPr="00A558DC">
        <w:t>5</w:t>
      </w:r>
      <w:r w:rsidR="001F3449" w:rsidRPr="00A558DC">
        <w:t>, “Other matters”</w:t>
      </w:r>
      <w:r w:rsidR="0000279A" w:rsidRPr="00A558DC">
        <w:t>, th</w:t>
      </w:r>
      <w:r w:rsidR="0040046D" w:rsidRPr="00A558DC">
        <w:t>e HCFC production sector guidel</w:t>
      </w:r>
      <w:r w:rsidR="0000279A" w:rsidRPr="00A558DC">
        <w:t>in</w:t>
      </w:r>
      <w:r w:rsidR="0040046D" w:rsidRPr="00A558DC">
        <w:t>e</w:t>
      </w:r>
      <w:r w:rsidR="0000279A" w:rsidRPr="00A558DC">
        <w:t xml:space="preserve">s, and </w:t>
      </w:r>
      <w:r w:rsidR="001F3449" w:rsidRPr="00A558DC">
        <w:t xml:space="preserve">the issue </w:t>
      </w:r>
      <w:r w:rsidR="00C1139C" w:rsidRPr="00A558DC">
        <w:t xml:space="preserve">related to </w:t>
      </w:r>
      <w:r w:rsidR="0000279A" w:rsidRPr="00A558DC">
        <w:t xml:space="preserve">monitoring and </w:t>
      </w:r>
      <w:r w:rsidR="00C1139C" w:rsidRPr="00A558DC">
        <w:t>verification</w:t>
      </w:r>
      <w:r w:rsidRPr="00A558DC">
        <w:t>.</w:t>
      </w:r>
    </w:p>
    <w:p w14:paraId="1DAC15C8" w14:textId="77777777" w:rsidR="007947E1" w:rsidRPr="00A558DC" w:rsidRDefault="007947E1" w:rsidP="0063039B">
      <w:pPr>
        <w:pStyle w:val="Heading1"/>
        <w:numPr>
          <w:ilvl w:val="0"/>
          <w:numId w:val="0"/>
        </w:numPr>
        <w:autoSpaceDE w:val="0"/>
        <w:autoSpaceDN w:val="0"/>
        <w:adjustRightInd w:val="0"/>
        <w:spacing w:before="240"/>
        <w:rPr>
          <w:b/>
        </w:rPr>
      </w:pPr>
      <w:r w:rsidRPr="00A558DC">
        <w:rPr>
          <w:b/>
        </w:rPr>
        <w:t>Agenda item 2:</w:t>
      </w:r>
      <w:r w:rsidRPr="00A558DC">
        <w:rPr>
          <w:b/>
        </w:rPr>
        <w:tab/>
      </w:r>
      <w:r w:rsidRPr="00A558DC">
        <w:rPr>
          <w:b/>
        </w:rPr>
        <w:tab/>
        <w:t>Organization of work</w:t>
      </w:r>
    </w:p>
    <w:p w14:paraId="6DCC4EDA" w14:textId="78F10730" w:rsidR="007947E1" w:rsidRPr="00A558DC" w:rsidRDefault="007947E1" w:rsidP="0063039B">
      <w:pPr>
        <w:pStyle w:val="Heading1"/>
      </w:pPr>
      <w:r w:rsidRPr="00A558DC">
        <w:t xml:space="preserve">The Sub-group </w:t>
      </w:r>
      <w:r w:rsidRPr="00A558DC">
        <w:rPr>
          <w:u w:val="single"/>
        </w:rPr>
        <w:t>agreed</w:t>
      </w:r>
      <w:r w:rsidRPr="00A558DC">
        <w:t xml:space="preserve"> to follow the organization of work proposed by the facilitator</w:t>
      </w:r>
      <w:r w:rsidR="0040046D" w:rsidRPr="00A558DC">
        <w:t>. It also agreed to defer cons</w:t>
      </w:r>
      <w:r w:rsidR="00421C30" w:rsidRPr="00A558DC">
        <w:t>ideration of agenda item 4, “</w:t>
      </w:r>
      <w:r w:rsidR="0040046D" w:rsidRPr="00A558DC">
        <w:t xml:space="preserve">Financial reporting format for annual project management unit </w:t>
      </w:r>
      <w:r w:rsidR="00C254C6">
        <w:t xml:space="preserve">(PMU) </w:t>
      </w:r>
      <w:r w:rsidR="0040046D" w:rsidRPr="00A558DC">
        <w:t>expenditures in the production sector for China</w:t>
      </w:r>
      <w:r w:rsidR="00421C30" w:rsidRPr="00A558DC">
        <w:t>”</w:t>
      </w:r>
      <w:r w:rsidR="001F3449" w:rsidRPr="00A558DC">
        <w:t xml:space="preserve"> until </w:t>
      </w:r>
      <w:r w:rsidR="0040046D" w:rsidRPr="00A558DC">
        <w:t xml:space="preserve">that issue had </w:t>
      </w:r>
      <w:r w:rsidR="001F3449" w:rsidRPr="00A558DC">
        <w:t xml:space="preserve">first </w:t>
      </w:r>
      <w:r w:rsidR="0040046D" w:rsidRPr="00A558DC">
        <w:t>been discu</w:t>
      </w:r>
      <w:r w:rsidR="000579D2" w:rsidRPr="00A558DC">
        <w:t>ssed by the Executive Committee</w:t>
      </w:r>
      <w:r w:rsidR="00C1139C" w:rsidRPr="00A558DC">
        <w:t xml:space="preserve"> </w:t>
      </w:r>
      <w:r w:rsidR="00985498" w:rsidRPr="00A558DC">
        <w:t xml:space="preserve">when discussing the </w:t>
      </w:r>
      <w:r w:rsidR="002173DB" w:rsidRPr="00A558DC">
        <w:t>format for PMU expenditures for consumption sector</w:t>
      </w:r>
      <w:r w:rsidR="00985498" w:rsidRPr="00A558DC">
        <w:t xml:space="preserve"> </w:t>
      </w:r>
      <w:r w:rsidR="002173DB" w:rsidRPr="00A558DC">
        <w:t xml:space="preserve">in China </w:t>
      </w:r>
      <w:r w:rsidR="002F0F5D" w:rsidRPr="00A558DC">
        <w:t>under agenda item 9(e)</w:t>
      </w:r>
      <w:r w:rsidR="0063039B">
        <w:t>, Investment projects</w:t>
      </w:r>
      <w:r w:rsidRPr="00A558DC">
        <w:t>.</w:t>
      </w:r>
    </w:p>
    <w:p w14:paraId="51FA000C" w14:textId="4B10AB3E" w:rsidR="00DB6581" w:rsidRPr="00A558DC" w:rsidRDefault="007947E1" w:rsidP="0063039B">
      <w:pPr>
        <w:pStyle w:val="Heading1"/>
        <w:keepNext/>
        <w:numPr>
          <w:ilvl w:val="0"/>
          <w:numId w:val="0"/>
        </w:numPr>
        <w:autoSpaceDE w:val="0"/>
        <w:autoSpaceDN w:val="0"/>
        <w:adjustRightInd w:val="0"/>
        <w:spacing w:before="240"/>
        <w:rPr>
          <w:b/>
        </w:rPr>
      </w:pPr>
      <w:r w:rsidRPr="00A558DC">
        <w:rPr>
          <w:b/>
        </w:rPr>
        <w:t xml:space="preserve">Agenda </w:t>
      </w:r>
      <w:r w:rsidR="00DB6581" w:rsidRPr="00A558DC">
        <w:rPr>
          <w:b/>
        </w:rPr>
        <w:t>item 3:</w:t>
      </w:r>
      <w:r w:rsidR="00DB6581" w:rsidRPr="00A558DC">
        <w:rPr>
          <w:b/>
        </w:rPr>
        <w:tab/>
      </w:r>
      <w:r w:rsidR="00DB6581" w:rsidRPr="00A558DC">
        <w:rPr>
          <w:b/>
        </w:rPr>
        <w:tab/>
        <w:t>HCFC production phase-out management plan (HPPMP) (stage I</w:t>
      </w:r>
      <w:r w:rsidR="00C1139C" w:rsidRPr="00A558DC">
        <w:rPr>
          <w:b/>
        </w:rPr>
        <w:t>I</w:t>
      </w:r>
      <w:r w:rsidR="00DB6581" w:rsidRPr="00A558DC">
        <w:rPr>
          <w:b/>
        </w:rPr>
        <w:t xml:space="preserve">) for China </w:t>
      </w:r>
    </w:p>
    <w:p w14:paraId="2C18C4EF" w14:textId="4B6C26DD" w:rsidR="004B0D12" w:rsidRPr="00A558DC" w:rsidRDefault="004B0D12" w:rsidP="0063039B">
      <w:pPr>
        <w:pStyle w:val="Heading1"/>
        <w:keepNext/>
      </w:pPr>
      <w:r w:rsidRPr="00A558DC">
        <w:t>The representative of the Secretariat introduced docu</w:t>
      </w:r>
      <w:r w:rsidR="00B87DD0" w:rsidRPr="00A558DC">
        <w:t>ment UNEP/</w:t>
      </w:r>
      <w:proofErr w:type="spellStart"/>
      <w:r w:rsidR="00B87DD0" w:rsidRPr="00A558DC">
        <w:t>OzL.Pro</w:t>
      </w:r>
      <w:proofErr w:type="spellEnd"/>
      <w:r w:rsidR="00B87DD0" w:rsidRPr="00A558DC">
        <w:t>/</w:t>
      </w:r>
      <w:proofErr w:type="spellStart"/>
      <w:r w:rsidR="00B87DD0" w:rsidRPr="00A558DC">
        <w:t>ExCom</w:t>
      </w:r>
      <w:proofErr w:type="spellEnd"/>
      <w:r w:rsidR="00B87DD0" w:rsidRPr="00A558DC">
        <w:t>/81/SGP/2</w:t>
      </w:r>
      <w:r w:rsidR="0040046D" w:rsidRPr="00A558DC">
        <w:t xml:space="preserve"> and the representative of the Wo</w:t>
      </w:r>
      <w:r w:rsidR="00421C30" w:rsidRPr="00A558DC">
        <w:t xml:space="preserve">rld Bank made a presentation </w:t>
      </w:r>
      <w:r w:rsidR="0040046D" w:rsidRPr="00A558DC">
        <w:t>explain</w:t>
      </w:r>
      <w:r w:rsidR="00421C30" w:rsidRPr="00A558DC">
        <w:t>ing</w:t>
      </w:r>
      <w:r w:rsidR="0040046D" w:rsidRPr="00A558DC">
        <w:t xml:space="preserve"> the revisions that had been made</w:t>
      </w:r>
      <w:r w:rsidR="00421C30" w:rsidRPr="00A558DC">
        <w:t xml:space="preserve"> to the proposal</w:t>
      </w:r>
      <w:r w:rsidRPr="00A558DC">
        <w:t>.</w:t>
      </w:r>
    </w:p>
    <w:p w14:paraId="7B9488EB" w14:textId="5F723D48" w:rsidR="00F45E67" w:rsidRPr="00A558DC" w:rsidRDefault="00421C30" w:rsidP="0063039B">
      <w:pPr>
        <w:pStyle w:val="Heading1"/>
      </w:pPr>
      <w:r w:rsidRPr="00A558DC">
        <w:t>A</w:t>
      </w:r>
      <w:r w:rsidR="008847C2" w:rsidRPr="00A558DC">
        <w:t xml:space="preserve"> number of reques</w:t>
      </w:r>
      <w:r w:rsidRPr="00A558DC">
        <w:t>ts for clarification were made</w:t>
      </w:r>
      <w:r w:rsidR="008847C2" w:rsidRPr="00A558DC">
        <w:t xml:space="preserve"> with</w:t>
      </w:r>
      <w:r w:rsidR="000579D2" w:rsidRPr="00A558DC">
        <w:t xml:space="preserve"> respec</w:t>
      </w:r>
      <w:r w:rsidR="001521E5" w:rsidRPr="00A558DC">
        <w:t>t to</w:t>
      </w:r>
      <w:r w:rsidR="008847C2" w:rsidRPr="00A558DC">
        <w:t>:</w:t>
      </w:r>
      <w:r w:rsidR="000579D2" w:rsidRPr="00A558DC">
        <w:t xml:space="preserve"> the basis for the calculation of lost</w:t>
      </w:r>
      <w:r w:rsidR="008847C2" w:rsidRPr="00A558DC">
        <w:t xml:space="preserve"> profit, the need to meet</w:t>
      </w:r>
      <w:r w:rsidR="000579D2" w:rsidRPr="00A558DC">
        <w:t xml:space="preserve"> basic domestic needs after 2026, </w:t>
      </w:r>
      <w:r w:rsidR="008847C2" w:rsidRPr="00A558DC">
        <w:t xml:space="preserve">feedstock use, the basis for </w:t>
      </w:r>
      <w:r w:rsidR="000579D2" w:rsidRPr="00A558DC">
        <w:t>forecast</w:t>
      </w:r>
      <w:r w:rsidR="008847C2" w:rsidRPr="00A558DC">
        <w:t xml:space="preserve">ing </w:t>
      </w:r>
      <w:r w:rsidR="000579D2" w:rsidRPr="00A558DC">
        <w:t xml:space="preserve">consumption after </w:t>
      </w:r>
      <w:r w:rsidR="008847C2" w:rsidRPr="00A558DC">
        <w:t>2025, the use</w:t>
      </w:r>
      <w:r w:rsidR="000579D2" w:rsidRPr="00A558DC">
        <w:t xml:space="preserve"> </w:t>
      </w:r>
      <w:r w:rsidR="002173DB" w:rsidRPr="00A558DC">
        <w:t xml:space="preserve">of </w:t>
      </w:r>
      <w:r w:rsidR="000579D2" w:rsidRPr="00A558DC">
        <w:t xml:space="preserve">2016 instead of </w:t>
      </w:r>
      <w:r w:rsidR="008847C2" w:rsidRPr="00A558DC">
        <w:t xml:space="preserve">the agreed </w:t>
      </w:r>
      <w:r w:rsidR="000579D2" w:rsidRPr="00A558DC">
        <w:t>2010</w:t>
      </w:r>
      <w:r w:rsidR="00C1139C" w:rsidRPr="00A558DC">
        <w:t xml:space="preserve"> profit rates</w:t>
      </w:r>
      <w:r w:rsidR="008847C2" w:rsidRPr="00A558DC">
        <w:t>,</w:t>
      </w:r>
      <w:r w:rsidR="000579D2" w:rsidRPr="00A558DC">
        <w:t xml:space="preserve"> as the basis for compensation</w:t>
      </w:r>
      <w:r w:rsidR="00F73A2C" w:rsidRPr="00A558DC">
        <w:t>, and plant lifetime</w:t>
      </w:r>
      <w:r w:rsidR="000F5922" w:rsidRPr="00A558DC">
        <w:t xml:space="preserve">. </w:t>
      </w:r>
      <w:r w:rsidR="00F765E1" w:rsidRPr="00A558DC">
        <w:t xml:space="preserve">It was </w:t>
      </w:r>
      <w:r w:rsidR="00F73A2C" w:rsidRPr="00A558DC">
        <w:t xml:space="preserve">also </w:t>
      </w:r>
      <w:r w:rsidR="00F765E1" w:rsidRPr="00A558DC">
        <w:t>unclear</w:t>
      </w:r>
      <w:r w:rsidR="000F5922" w:rsidRPr="00A558DC">
        <w:t xml:space="preserve"> why </w:t>
      </w:r>
      <w:r w:rsidR="006447B9" w:rsidRPr="00A558DC">
        <w:t xml:space="preserve">basic domestic needs after 2026 </w:t>
      </w:r>
      <w:r w:rsidR="00F765E1" w:rsidRPr="00A558DC">
        <w:t>had been</w:t>
      </w:r>
      <w:r w:rsidR="000F5922" w:rsidRPr="00A558DC">
        <w:t xml:space="preserve"> included </w:t>
      </w:r>
      <w:r w:rsidR="006447B9" w:rsidRPr="00A558DC">
        <w:t>when</w:t>
      </w:r>
      <w:r w:rsidR="00F765E1" w:rsidRPr="00A558DC">
        <w:t xml:space="preserve"> there was no provision for that</w:t>
      </w:r>
      <w:r w:rsidR="006447B9" w:rsidRPr="00A558DC">
        <w:t xml:space="preserve"> in the HCFC control </w:t>
      </w:r>
      <w:r w:rsidR="000F5922" w:rsidRPr="00A558DC">
        <w:t>measures</w:t>
      </w:r>
      <w:r w:rsidR="001C7871" w:rsidRPr="00A558DC">
        <w:t xml:space="preserve"> applicable to Article 5 Parties</w:t>
      </w:r>
      <w:r w:rsidR="00F765E1" w:rsidRPr="00A558DC">
        <w:t xml:space="preserve">. </w:t>
      </w:r>
      <w:r w:rsidR="002F0F5D" w:rsidRPr="00A558DC">
        <w:t xml:space="preserve">Regarding the need for monitoring and the project management unit (PMU) between 2030 and 2040, </w:t>
      </w:r>
      <w:r w:rsidR="006447B9" w:rsidRPr="00A558DC">
        <w:t xml:space="preserve">it </w:t>
      </w:r>
      <w:r w:rsidR="00F765E1" w:rsidRPr="00A558DC">
        <w:lastRenderedPageBreak/>
        <w:t>would be important</w:t>
      </w:r>
      <w:r w:rsidR="000F5922" w:rsidRPr="00A558DC">
        <w:t xml:space="preserve"> to consider that issue</w:t>
      </w:r>
      <w:r w:rsidR="00F765E1" w:rsidRPr="00A558DC">
        <w:t xml:space="preserve"> </w:t>
      </w:r>
      <w:r w:rsidR="006447B9" w:rsidRPr="00A558DC">
        <w:t>under stage II and no</w:t>
      </w:r>
      <w:r w:rsidR="00F765E1" w:rsidRPr="00A558DC">
        <w:t>t wait until consideration of</w:t>
      </w:r>
      <w:r w:rsidR="006447B9" w:rsidRPr="00A558DC">
        <w:t xml:space="preserve"> stage III </w:t>
      </w:r>
      <w:r w:rsidR="002173DB" w:rsidRPr="00A558DC">
        <w:t>of</w:t>
      </w:r>
      <w:r w:rsidR="00F765E1" w:rsidRPr="00A558DC">
        <w:t xml:space="preserve"> the HPPMP. A</w:t>
      </w:r>
      <w:r w:rsidR="000F5922" w:rsidRPr="00A558DC">
        <w:t xml:space="preserve"> break</w:t>
      </w:r>
      <w:r w:rsidR="006447B9" w:rsidRPr="00A558DC">
        <w:t>-down of the cost</w:t>
      </w:r>
      <w:r w:rsidR="00F765E1" w:rsidRPr="00A558DC">
        <w:t>s</w:t>
      </w:r>
      <w:r w:rsidR="006447B9" w:rsidRPr="00A558DC">
        <w:t xml:space="preserve"> for the </w:t>
      </w:r>
      <w:r w:rsidR="00F765E1" w:rsidRPr="00A558DC">
        <w:t xml:space="preserve">activities of the </w:t>
      </w:r>
      <w:r w:rsidR="000F5922" w:rsidRPr="00A558DC">
        <w:t xml:space="preserve">PMU </w:t>
      </w:r>
      <w:r w:rsidR="00F765E1" w:rsidRPr="00A558DC">
        <w:t>and for technical assistance was a</w:t>
      </w:r>
      <w:r w:rsidR="00F73A2C" w:rsidRPr="00A558DC">
        <w:t>l</w:t>
      </w:r>
      <w:r w:rsidR="00F765E1" w:rsidRPr="00A558DC">
        <w:t>so required</w:t>
      </w:r>
      <w:r w:rsidR="005D4C46" w:rsidRPr="00A558DC">
        <w:t>.</w:t>
      </w:r>
    </w:p>
    <w:p w14:paraId="683ECA24" w14:textId="1D5BEDCD" w:rsidR="009F63E2" w:rsidRPr="00A558DC" w:rsidRDefault="006447B9" w:rsidP="0063039B">
      <w:pPr>
        <w:pStyle w:val="Heading1"/>
      </w:pPr>
      <w:r w:rsidRPr="00A558DC">
        <w:t xml:space="preserve">The representative of the World Bank explained that </w:t>
      </w:r>
      <w:r w:rsidR="001F50E3" w:rsidRPr="00A558DC">
        <w:t>lost profits were calculated by considering price and demand, but i</w:t>
      </w:r>
      <w:r w:rsidR="00F765E1" w:rsidRPr="00A558DC">
        <w:t>t was difficult to project that</w:t>
      </w:r>
      <w:r w:rsidR="001F50E3" w:rsidRPr="00A558DC">
        <w:t xml:space="preserve"> into the future</w:t>
      </w:r>
      <w:r w:rsidR="00AA6FB4" w:rsidRPr="00A558DC">
        <w:t xml:space="preserve">.  </w:t>
      </w:r>
      <w:r w:rsidR="00F765E1" w:rsidRPr="00A558DC">
        <w:t>T</w:t>
      </w:r>
      <w:r w:rsidR="001F50E3" w:rsidRPr="00A558DC">
        <w:t>he yea</w:t>
      </w:r>
      <w:r w:rsidR="00AA6FB4" w:rsidRPr="00A558DC">
        <w:t xml:space="preserve">r 2016 </w:t>
      </w:r>
      <w:r w:rsidR="00F765E1" w:rsidRPr="00A558DC">
        <w:t>had been proposed a</w:t>
      </w:r>
      <w:r w:rsidR="00AA6FB4" w:rsidRPr="00A558DC">
        <w:t xml:space="preserve">s the basis for compensation </w:t>
      </w:r>
      <w:r w:rsidR="00F765E1" w:rsidRPr="00A558DC">
        <w:t xml:space="preserve">instead of 2010 </w:t>
      </w:r>
      <w:r w:rsidR="00AA6FB4" w:rsidRPr="00A558DC">
        <w:t>as</w:t>
      </w:r>
      <w:r w:rsidR="001F50E3" w:rsidRPr="00A558DC">
        <w:t xml:space="preserve"> there had</w:t>
      </w:r>
      <w:r w:rsidR="00AA6FB4" w:rsidRPr="00A558DC">
        <w:t xml:space="preserve"> been significant changes in both</w:t>
      </w:r>
      <w:r w:rsidR="009F63E2" w:rsidRPr="00A558DC">
        <w:t xml:space="preserve"> prices and demand</w:t>
      </w:r>
      <w:r w:rsidR="00F765E1" w:rsidRPr="00A558DC">
        <w:t>.</w:t>
      </w:r>
      <w:r w:rsidR="009F63E2" w:rsidRPr="00A558DC">
        <w:t xml:space="preserve"> </w:t>
      </w:r>
      <w:r w:rsidR="00F765E1" w:rsidRPr="00A558DC">
        <w:t xml:space="preserve">He </w:t>
      </w:r>
      <w:r w:rsidR="002F0F5D" w:rsidRPr="00A558DC">
        <w:t>noted that</w:t>
      </w:r>
      <w:r w:rsidR="001F50E3" w:rsidRPr="00A558DC">
        <w:t xml:space="preserve"> funding from the Multilateral Fund only covered </w:t>
      </w:r>
      <w:r w:rsidR="005E0D14" w:rsidRPr="00A558DC">
        <w:t xml:space="preserve">part of </w:t>
      </w:r>
      <w:r w:rsidR="001F50E3" w:rsidRPr="00A558DC">
        <w:t>the net present valu</w:t>
      </w:r>
      <w:r w:rsidR="009F63E2" w:rsidRPr="00A558DC">
        <w:t xml:space="preserve">e </w:t>
      </w:r>
      <w:r w:rsidR="005E0D14" w:rsidRPr="00A558DC">
        <w:t>of the lost profit, with</w:t>
      </w:r>
      <w:r w:rsidR="009F63E2" w:rsidRPr="00A558DC">
        <w:t xml:space="preserve"> the remainder</w:t>
      </w:r>
      <w:r w:rsidR="001F50E3" w:rsidRPr="00A558DC">
        <w:t xml:space="preserve"> absorbed by the producers themselves</w:t>
      </w:r>
      <w:r w:rsidR="00C254C6">
        <w:t>, and that t</w:t>
      </w:r>
      <w:r w:rsidR="00A75869" w:rsidRPr="00A558DC">
        <w:t xml:space="preserve">he provision for basic domestic needs arose out of China’s </w:t>
      </w:r>
      <w:r w:rsidR="00F765E1" w:rsidRPr="00A558DC">
        <w:t xml:space="preserve">desire </w:t>
      </w:r>
      <w:r w:rsidR="009F63E2" w:rsidRPr="00A558DC">
        <w:t xml:space="preserve">to have the flexibility </w:t>
      </w:r>
      <w:r w:rsidR="00F765E1" w:rsidRPr="00A558DC">
        <w:t>to address the needs of its trading partners</w:t>
      </w:r>
      <w:r w:rsidR="00C00EE7" w:rsidRPr="00A558DC">
        <w:t xml:space="preserve">. </w:t>
      </w:r>
      <w:r w:rsidR="00C254C6">
        <w:t xml:space="preserve">It was indicated that </w:t>
      </w:r>
      <w:r w:rsidR="00F765E1" w:rsidRPr="00A558DC">
        <w:t xml:space="preserve">the </w:t>
      </w:r>
      <w:r w:rsidR="009F63E2" w:rsidRPr="00A558DC">
        <w:t>Oz</w:t>
      </w:r>
      <w:r w:rsidR="00F765E1" w:rsidRPr="00A558DC">
        <w:t>one S</w:t>
      </w:r>
      <w:r w:rsidR="00A75869" w:rsidRPr="00A558DC">
        <w:t xml:space="preserve">ecretariat </w:t>
      </w:r>
      <w:r w:rsidR="0063039B" w:rsidRPr="00A558DC">
        <w:t xml:space="preserve">had </w:t>
      </w:r>
      <w:r w:rsidR="0063039B">
        <w:t xml:space="preserve">been </w:t>
      </w:r>
      <w:r w:rsidR="0063039B" w:rsidRPr="00A558DC">
        <w:t xml:space="preserve">approached </w:t>
      </w:r>
      <w:r w:rsidR="00F765E1" w:rsidRPr="00A558DC">
        <w:t>to inquire</w:t>
      </w:r>
      <w:r w:rsidR="00A75869" w:rsidRPr="00A558DC">
        <w:t xml:space="preserve"> whether </w:t>
      </w:r>
      <w:r w:rsidR="00C254C6">
        <w:t xml:space="preserve">paragraph 4 of Article 5 of </w:t>
      </w:r>
      <w:r w:rsidR="00A75869" w:rsidRPr="00A558DC">
        <w:t>the Montreal Protocol</w:t>
      </w:r>
      <w:r w:rsidR="00C254C6">
        <w:t xml:space="preserve"> would address the issue</w:t>
      </w:r>
      <w:r w:rsidR="00A75869" w:rsidRPr="00A558DC">
        <w:t>.</w:t>
      </w:r>
      <w:r w:rsidR="009F63E2" w:rsidRPr="00A558DC">
        <w:t xml:space="preserve"> </w:t>
      </w:r>
    </w:p>
    <w:p w14:paraId="4B8BCABF" w14:textId="4D74E22D" w:rsidR="00A75869" w:rsidRPr="00A558DC" w:rsidRDefault="007A0A89" w:rsidP="0063039B">
      <w:pPr>
        <w:pStyle w:val="Heading1"/>
      </w:pPr>
      <w:r w:rsidRPr="00A558DC">
        <w:t>With respect to feed</w:t>
      </w:r>
      <w:r w:rsidR="009F63E2" w:rsidRPr="00A558DC">
        <w:t>stock</w:t>
      </w:r>
      <w:r w:rsidR="00E27E2B" w:rsidRPr="00A558DC">
        <w:t>,</w:t>
      </w:r>
      <w:r w:rsidR="009F63E2" w:rsidRPr="00A558DC">
        <w:t xml:space="preserve"> th</w:t>
      </w:r>
      <w:r w:rsidR="00A75869" w:rsidRPr="00A558DC">
        <w:t xml:space="preserve">e </w:t>
      </w:r>
      <w:r w:rsidR="00E27E2B" w:rsidRPr="00A558DC">
        <w:t xml:space="preserve">representative of the World Bank </w:t>
      </w:r>
      <w:r w:rsidR="00A75869" w:rsidRPr="00A558DC">
        <w:t>confirmed that there would be no redirection</w:t>
      </w:r>
      <w:r w:rsidR="00E27E2B" w:rsidRPr="00A558DC">
        <w:t xml:space="preserve"> of production for feedsto</w:t>
      </w:r>
      <w:r w:rsidR="00A75869" w:rsidRPr="00A558DC">
        <w:t>ck</w:t>
      </w:r>
      <w:r w:rsidR="00F765E1" w:rsidRPr="00A558DC">
        <w:t xml:space="preserve"> and said that </w:t>
      </w:r>
      <w:r w:rsidR="00E27E2B" w:rsidRPr="00A558DC">
        <w:t>us</w:t>
      </w:r>
      <w:r w:rsidRPr="00A558DC">
        <w:t>e for feed</w:t>
      </w:r>
      <w:r w:rsidR="00E27E2B" w:rsidRPr="00A558DC">
        <w:t>stock had been stable</w:t>
      </w:r>
      <w:r w:rsidR="00C91A27" w:rsidRPr="00A558DC">
        <w:t xml:space="preserve"> with the exception of H</w:t>
      </w:r>
      <w:r w:rsidR="00985498" w:rsidRPr="00A558DC">
        <w:t>C</w:t>
      </w:r>
      <w:r w:rsidR="00C91A27" w:rsidRPr="00A558DC">
        <w:t>FC-14</w:t>
      </w:r>
      <w:r w:rsidR="005A4576" w:rsidRPr="00A558DC">
        <w:t>2b</w:t>
      </w:r>
      <w:r w:rsidR="00C91A27" w:rsidRPr="00A558DC">
        <w:t xml:space="preserve"> which had increased between 2013 and 2016</w:t>
      </w:r>
      <w:r w:rsidR="00EB791E" w:rsidRPr="00A558DC">
        <w:t xml:space="preserve"> from 53,000 </w:t>
      </w:r>
      <w:r w:rsidR="004E626D" w:rsidRPr="00A558DC">
        <w:t xml:space="preserve">metric </w:t>
      </w:r>
      <w:r w:rsidR="00EB791E" w:rsidRPr="00A558DC">
        <w:t>to</w:t>
      </w:r>
      <w:r w:rsidR="004E626D" w:rsidRPr="00A558DC">
        <w:t>n</w:t>
      </w:r>
      <w:r w:rsidR="00EB791E" w:rsidRPr="00A558DC">
        <w:t>n</w:t>
      </w:r>
      <w:r w:rsidR="004E626D" w:rsidRPr="00A558DC">
        <w:t>e</w:t>
      </w:r>
      <w:r w:rsidR="00EB791E" w:rsidRPr="00A558DC">
        <w:t xml:space="preserve">s </w:t>
      </w:r>
      <w:r w:rsidR="009D4A1A" w:rsidRPr="00A558DC">
        <w:t>(</w:t>
      </w:r>
      <w:proofErr w:type="spellStart"/>
      <w:r w:rsidR="009D4A1A" w:rsidRPr="00A558DC">
        <w:t>mt</w:t>
      </w:r>
      <w:proofErr w:type="spellEnd"/>
      <w:r w:rsidR="009D4A1A" w:rsidRPr="00A558DC">
        <w:t xml:space="preserve">) </w:t>
      </w:r>
      <w:r w:rsidR="00EB791E" w:rsidRPr="00A558DC">
        <w:t xml:space="preserve">to 71,000 </w:t>
      </w:r>
      <w:proofErr w:type="spellStart"/>
      <w:r w:rsidR="009D4A1A" w:rsidRPr="00A558DC">
        <w:t>mt</w:t>
      </w:r>
      <w:r w:rsidR="001F50E3" w:rsidRPr="00A558DC">
        <w:t>.</w:t>
      </w:r>
      <w:proofErr w:type="spellEnd"/>
      <w:r w:rsidR="001F50E3" w:rsidRPr="00A558DC">
        <w:t xml:space="preserve"> </w:t>
      </w:r>
    </w:p>
    <w:p w14:paraId="0768EF77" w14:textId="70CE000A" w:rsidR="00D85E76" w:rsidRPr="00A558DC" w:rsidRDefault="00BB5580" w:rsidP="0063039B">
      <w:pPr>
        <w:pStyle w:val="Heading1"/>
      </w:pPr>
      <w:r w:rsidRPr="00A558DC">
        <w:t>The r</w:t>
      </w:r>
      <w:r w:rsidR="004E626D" w:rsidRPr="00A558DC">
        <w:t>epresentative of the World Bank provided additional information on the activities of PMU and for te</w:t>
      </w:r>
      <w:r w:rsidR="00F765E1" w:rsidRPr="00A558DC">
        <w:t>chnical assistance. Some members</w:t>
      </w:r>
      <w:r w:rsidR="004E626D" w:rsidRPr="00A558DC">
        <w:t xml:space="preserve"> observed that there still appeared to be an overlap between project activities and some specific technical assistance activities. </w:t>
      </w:r>
    </w:p>
    <w:p w14:paraId="415C766C" w14:textId="403CDBCD" w:rsidR="002F1299" w:rsidRPr="00A558DC" w:rsidRDefault="00D85E76" w:rsidP="0063039B">
      <w:pPr>
        <w:pStyle w:val="Heading1"/>
      </w:pPr>
      <w:r w:rsidRPr="00A558DC">
        <w:t>Concern was also expressed at the continued “front loading”</w:t>
      </w:r>
      <w:r w:rsidR="005171AB" w:rsidRPr="00A558DC">
        <w:t xml:space="preserve"> of the tranche</w:t>
      </w:r>
      <w:r w:rsidRPr="00A558DC">
        <w:t>s of funding as well as with the overall funding being requ</w:t>
      </w:r>
      <w:r w:rsidR="005171AB" w:rsidRPr="00A558DC">
        <w:t xml:space="preserve">ested for stage II of the HPPMP, </w:t>
      </w:r>
      <w:r w:rsidR="003949D3" w:rsidRPr="00A558DC">
        <w:t xml:space="preserve"> </w:t>
      </w:r>
      <w:r w:rsidR="005171AB" w:rsidRPr="00A558DC">
        <w:t>t</w:t>
      </w:r>
      <w:r w:rsidR="003949D3" w:rsidRPr="00A558DC">
        <w:t>he overlap between activities for the PMU and for technical assistance</w:t>
      </w:r>
      <w:r w:rsidR="007D544F" w:rsidRPr="00A558DC">
        <w:t>,</w:t>
      </w:r>
      <w:r w:rsidR="003949D3" w:rsidRPr="00A558DC">
        <w:t xml:space="preserve"> and the need for better reporting to avoid duplication of efforts and costs.  It was asked what the impact feedstock use would have</w:t>
      </w:r>
      <w:r w:rsidR="005171AB" w:rsidRPr="00A558DC">
        <w:t xml:space="preserve"> </w:t>
      </w:r>
      <w:r w:rsidR="003949D3" w:rsidRPr="00A558DC">
        <w:t>on the calculation of lost profit</w:t>
      </w:r>
      <w:r w:rsidR="00985498" w:rsidRPr="00A558DC">
        <w:t>.</w:t>
      </w:r>
      <w:r w:rsidR="003949D3" w:rsidRPr="00A558DC">
        <w:t xml:space="preserve"> </w:t>
      </w:r>
      <w:r w:rsidR="00985498" w:rsidRPr="00A558DC">
        <w:t>M</w:t>
      </w:r>
      <w:r w:rsidR="003949D3" w:rsidRPr="00A558DC">
        <w:t xml:space="preserve">ore information was </w:t>
      </w:r>
      <w:r w:rsidR="00985498" w:rsidRPr="00A558DC">
        <w:t xml:space="preserve">also </w:t>
      </w:r>
      <w:r w:rsidR="003949D3" w:rsidRPr="00A558DC">
        <w:t xml:space="preserve">requested on the possibility for continuous monitoring and verification </w:t>
      </w:r>
      <w:r w:rsidR="00985498" w:rsidRPr="00A558DC">
        <w:t xml:space="preserve">of the production between 2030 to 2040 </w:t>
      </w:r>
      <w:r w:rsidR="003949D3" w:rsidRPr="00A558DC">
        <w:t>and the costs that would be associated with that.</w:t>
      </w:r>
    </w:p>
    <w:p w14:paraId="2E37BA83" w14:textId="2C6E4EA9" w:rsidR="005F2892" w:rsidRPr="00A558DC" w:rsidRDefault="00CA4141" w:rsidP="0063039B">
      <w:pPr>
        <w:pStyle w:val="Heading1"/>
      </w:pPr>
      <w:r w:rsidRPr="00A558DC">
        <w:t xml:space="preserve">The representative of the World Bank said that he would consult with the representative of the Government of China to see what adjustments could be made but also noted that it was important to come to an agreement at the present meeting in order </w:t>
      </w:r>
      <w:r w:rsidR="005A4576" w:rsidRPr="00A558DC">
        <w:t>for</w:t>
      </w:r>
      <w:r w:rsidR="005171AB" w:rsidRPr="00A558DC">
        <w:t xml:space="preserve"> China </w:t>
      </w:r>
      <w:r w:rsidR="005A4576" w:rsidRPr="00A558DC">
        <w:t>to continue to comply with the Montreal Protocol</w:t>
      </w:r>
      <w:r w:rsidR="005F2892" w:rsidRPr="00A558DC">
        <w:t>.</w:t>
      </w:r>
    </w:p>
    <w:p w14:paraId="2D3F3ECC" w14:textId="00431240" w:rsidR="007E5096" w:rsidRPr="00A558DC" w:rsidRDefault="00A50CC4" w:rsidP="0063039B">
      <w:pPr>
        <w:pStyle w:val="Heading1"/>
        <w:numPr>
          <w:ilvl w:val="0"/>
          <w:numId w:val="1"/>
        </w:numPr>
      </w:pPr>
      <w:r w:rsidRPr="00A558DC">
        <w:t>T</w:t>
      </w:r>
      <w:r w:rsidR="007E5096" w:rsidRPr="00A558DC">
        <w:t xml:space="preserve">he </w:t>
      </w:r>
      <w:r w:rsidR="0061413C" w:rsidRPr="00A558DC">
        <w:t>Sub-group recommends to the Executive Committee</w:t>
      </w:r>
      <w:r w:rsidR="007E5096" w:rsidRPr="00A558DC">
        <w:t>:</w:t>
      </w:r>
    </w:p>
    <w:p w14:paraId="6E58D1F4" w14:textId="77777777" w:rsidR="007E5096" w:rsidRPr="00A558DC" w:rsidRDefault="007E5096" w:rsidP="0063039B">
      <w:pPr>
        <w:pStyle w:val="Heading2"/>
        <w:numPr>
          <w:ilvl w:val="1"/>
          <w:numId w:val="21"/>
        </w:numPr>
      </w:pPr>
      <w:r w:rsidRPr="00A558DC">
        <w:t>To note:</w:t>
      </w:r>
    </w:p>
    <w:p w14:paraId="607B602B" w14:textId="77777777" w:rsidR="007E5096" w:rsidRPr="00A558DC" w:rsidRDefault="007E5096" w:rsidP="0063039B">
      <w:pPr>
        <w:pStyle w:val="Heading3"/>
        <w:numPr>
          <w:ilvl w:val="2"/>
          <w:numId w:val="1"/>
        </w:numPr>
      </w:pPr>
      <w:r w:rsidRPr="00A558DC">
        <w:t>The submission of stage II of the HCFC production phase-out management plan (HPPMP) for China, which had been considered by the Sub</w:t>
      </w:r>
      <w:r w:rsidRPr="00A558DC">
        <w:noBreakHyphen/>
        <w:t xml:space="preserve">group on the Production Sector; </w:t>
      </w:r>
    </w:p>
    <w:p w14:paraId="78254C6D" w14:textId="77777777" w:rsidR="007E5096" w:rsidRPr="00A558DC" w:rsidRDefault="007E5096" w:rsidP="0063039B">
      <w:pPr>
        <w:pStyle w:val="Heading3"/>
        <w:numPr>
          <w:ilvl w:val="2"/>
          <w:numId w:val="1"/>
        </w:numPr>
      </w:pPr>
      <w:r w:rsidRPr="00A558DC">
        <w:t>That the revised proposal submitted by the World Bank addressed several of the issues that had been raised by the Sub-group on the Production Sector in relation to the previous proposals submitted to the 79</w:t>
      </w:r>
      <w:r w:rsidRPr="00A558DC">
        <w:rPr>
          <w:vertAlign w:val="superscript"/>
        </w:rPr>
        <w:t>th</w:t>
      </w:r>
      <w:r w:rsidRPr="00A558DC">
        <w:t xml:space="preserve"> and 80</w:t>
      </w:r>
      <w:r w:rsidRPr="00A558DC">
        <w:rPr>
          <w:vertAlign w:val="superscript"/>
        </w:rPr>
        <w:t>th</w:t>
      </w:r>
      <w:r w:rsidRPr="00A558DC">
        <w:t xml:space="preserve"> meetings of the Executive Committee; </w:t>
      </w:r>
    </w:p>
    <w:p w14:paraId="49F1E6A3" w14:textId="77777777" w:rsidR="007E5096" w:rsidRPr="00A558DC" w:rsidRDefault="007E5096" w:rsidP="0063039B">
      <w:pPr>
        <w:pStyle w:val="Heading3"/>
        <w:numPr>
          <w:ilvl w:val="2"/>
          <w:numId w:val="1"/>
        </w:numPr>
      </w:pPr>
      <w:r w:rsidRPr="00A558DC">
        <w:t>That other relevant issues, including the calculation of the lost profit, the distribution of funding across tranches, the duration of stage II and subsequent stages, including the 2030–2040 tail-end, and the funding requirements for technical assistance activities and the project management unit, had not, however, been fully addressed and that the Sub-group on the Production sector was consequently unable to recommend consideration of the proposal by the Executive Committee;</w:t>
      </w:r>
    </w:p>
    <w:p w14:paraId="6029CA90" w14:textId="77777777" w:rsidR="007E5096" w:rsidRPr="00A558DC" w:rsidRDefault="007E5096" w:rsidP="0063039B">
      <w:pPr>
        <w:pStyle w:val="Heading3"/>
        <w:numPr>
          <w:ilvl w:val="2"/>
          <w:numId w:val="1"/>
        </w:numPr>
      </w:pPr>
      <w:r w:rsidRPr="00A558DC">
        <w:lastRenderedPageBreak/>
        <w:t>With appreciation, that the Government of China had complied fully with all the conditions set out in the Agreement with the Executive Committee in relation to the reduction in HCFC production in accordance with stage I of the HPPMP and that, as at March 2018, 94.2 per cent of the total funding approved for stage I of the HPPMP had been disbursed to the final beneficiaries;</w:t>
      </w:r>
    </w:p>
    <w:p w14:paraId="3E4CDDDD" w14:textId="4915F1DE" w:rsidR="007E5096" w:rsidRPr="00A558DC" w:rsidRDefault="007E5096" w:rsidP="0063039B">
      <w:pPr>
        <w:pStyle w:val="Heading3"/>
        <w:numPr>
          <w:ilvl w:val="2"/>
          <w:numId w:val="1"/>
        </w:numPr>
      </w:pPr>
      <w:r w:rsidRPr="00A558DC">
        <w:t xml:space="preserve">That immediate funding for the production reduction and/or closure of HCFC production lines eligible for funding would assist the Government of China </w:t>
      </w:r>
      <w:r w:rsidR="00C00EE7" w:rsidRPr="00A558DC">
        <w:t>in moving</w:t>
      </w:r>
      <w:r w:rsidRPr="00A558DC">
        <w:t xml:space="preserve"> towards compliance with its 2020 obligations under the Montreal Protocol;</w:t>
      </w:r>
    </w:p>
    <w:p w14:paraId="25E8422D" w14:textId="77777777" w:rsidR="007E5096" w:rsidRPr="00A558DC" w:rsidRDefault="007E5096" w:rsidP="0063039B">
      <w:pPr>
        <w:pStyle w:val="Heading2"/>
        <w:numPr>
          <w:ilvl w:val="1"/>
          <w:numId w:val="1"/>
        </w:numPr>
      </w:pPr>
      <w:r w:rsidRPr="00A558DC">
        <w:t>To approve, on an exceptional basis, and without setting a precedent with regard to the overall level of funding of stage II of the HPPMP and the funding tranches therein, the sum of US $23,000,000, plus agency support costs for the World Bank, on the understanding:</w:t>
      </w:r>
    </w:p>
    <w:p w14:paraId="5A3F787C" w14:textId="77777777" w:rsidR="007E5096" w:rsidRPr="00A558DC" w:rsidRDefault="007E5096" w:rsidP="0063039B">
      <w:pPr>
        <w:pStyle w:val="Heading3"/>
        <w:numPr>
          <w:ilvl w:val="2"/>
          <w:numId w:val="1"/>
        </w:numPr>
      </w:pPr>
      <w:r w:rsidRPr="00A558DC">
        <w:t xml:space="preserve">That the Government of China agreed that the maximum allowable level of production of HCFCs for 2018 would be 22,742 ODP tonnes, and the amount of funding provided may be reduced by US $1.73 per kg/year of production beyond the above-mentioned level; </w:t>
      </w:r>
    </w:p>
    <w:p w14:paraId="4FFE1978" w14:textId="77777777" w:rsidR="007E5096" w:rsidRPr="00A558DC" w:rsidRDefault="007E5096" w:rsidP="0063039B">
      <w:pPr>
        <w:pStyle w:val="Heading3"/>
        <w:numPr>
          <w:ilvl w:val="2"/>
          <w:numId w:val="1"/>
        </w:numPr>
      </w:pPr>
      <w:r w:rsidRPr="00A558DC">
        <w:t>That the Government of China would:</w:t>
      </w:r>
    </w:p>
    <w:p w14:paraId="6223E410" w14:textId="77777777" w:rsidR="007E5096" w:rsidRPr="00A558DC" w:rsidRDefault="007E5096" w:rsidP="007E2541">
      <w:pPr>
        <w:pStyle w:val="Heading3"/>
        <w:numPr>
          <w:ilvl w:val="0"/>
          <w:numId w:val="32"/>
        </w:numPr>
        <w:ind w:left="2880" w:hanging="720"/>
      </w:pPr>
      <w:bookmarkStart w:id="0" w:name="_GoBack"/>
      <w:r w:rsidRPr="00A558DC">
        <w:t>Organize bidding in relation to production closure or quota reduction to reduce 1,188 ODP tonnes of HCFC production in 2018, issue the quota at the reduced level for 2018, and begin to address the sustainability of the phase-out of HCFC production in relation to the environment impact assessment;</w:t>
      </w:r>
    </w:p>
    <w:p w14:paraId="15F120FE" w14:textId="77777777" w:rsidR="007E5096" w:rsidRPr="00A558DC" w:rsidRDefault="007E5096" w:rsidP="007E2541">
      <w:pPr>
        <w:pStyle w:val="Heading3"/>
        <w:numPr>
          <w:ilvl w:val="0"/>
          <w:numId w:val="32"/>
        </w:numPr>
        <w:ind w:left="2880" w:hanging="720"/>
      </w:pPr>
      <w:r w:rsidRPr="00A558DC">
        <w:t xml:space="preserve">Provide specific technical assistance to support enterprise-level activities, including continued monitoring and verification of each compensated production line; </w:t>
      </w:r>
    </w:p>
    <w:p w14:paraId="5E8B6851" w14:textId="77777777" w:rsidR="007E5096" w:rsidRPr="00A558DC" w:rsidRDefault="007E5096" w:rsidP="007E2541">
      <w:pPr>
        <w:pStyle w:val="Heading3"/>
        <w:numPr>
          <w:ilvl w:val="0"/>
          <w:numId w:val="32"/>
        </w:numPr>
        <w:ind w:left="2880" w:hanging="720"/>
      </w:pPr>
      <w:r w:rsidRPr="00A558DC">
        <w:t xml:space="preserve">Ensure that any compensated plant would not redirect any phased out HCFC production capacity towards feedstock use, subject to a penalty of US $0.15 per kg of redirected production per year; </w:t>
      </w:r>
    </w:p>
    <w:p w14:paraId="252DE689" w14:textId="77777777" w:rsidR="007E5096" w:rsidRPr="00A558DC" w:rsidRDefault="007E5096" w:rsidP="007E2541">
      <w:pPr>
        <w:pStyle w:val="Heading3"/>
        <w:numPr>
          <w:ilvl w:val="0"/>
          <w:numId w:val="32"/>
        </w:numPr>
        <w:ind w:left="2880" w:hanging="720"/>
      </w:pPr>
      <w:r w:rsidRPr="00A558DC">
        <w:t>Coordinate with its stakeholders and authorities to make best efforts to manage HCFC production and associated by-product production in HCFC plants, in accordance with best practices to minimize associated climate impacts;</w:t>
      </w:r>
    </w:p>
    <w:p w14:paraId="6CF1D9F4" w14:textId="77777777" w:rsidR="007E5096" w:rsidRPr="00A558DC" w:rsidRDefault="007E5096" w:rsidP="007E2541">
      <w:pPr>
        <w:pStyle w:val="Heading3"/>
        <w:numPr>
          <w:ilvl w:val="0"/>
          <w:numId w:val="32"/>
        </w:numPr>
        <w:ind w:left="2880" w:hanging="720"/>
      </w:pPr>
      <w:r w:rsidRPr="00A558DC">
        <w:t>Optimize the implementation of the activities in 2018 in order to minimize environmental and climate impacts as much as possible, including by giving priority to HCFC production closure to achieve the HCFC reduction targets set out in decision XIX/6;</w:t>
      </w:r>
    </w:p>
    <w:p w14:paraId="15434AB9" w14:textId="77777777" w:rsidR="007E5096" w:rsidRPr="00A558DC" w:rsidRDefault="007E5096" w:rsidP="007E2541">
      <w:pPr>
        <w:pStyle w:val="Heading3"/>
        <w:numPr>
          <w:ilvl w:val="0"/>
          <w:numId w:val="32"/>
        </w:numPr>
        <w:ind w:left="2880" w:hanging="720"/>
      </w:pPr>
      <w:r w:rsidRPr="00A558DC">
        <w:t xml:space="preserve">Ensure that any funds in possession of the Foreign Economic Cooperation Office of the Ministry of Environment Protection would return a reasonable rate of accrued interest, and that any interest would be offset against stage II of the HPPMP; </w:t>
      </w:r>
    </w:p>
    <w:bookmarkEnd w:id="0"/>
    <w:p w14:paraId="51965008" w14:textId="77777777" w:rsidR="007E5096" w:rsidRPr="00A558DC" w:rsidRDefault="007E5096" w:rsidP="0032562B">
      <w:pPr>
        <w:pStyle w:val="Heading2"/>
        <w:widowControl/>
        <w:numPr>
          <w:ilvl w:val="1"/>
          <w:numId w:val="1"/>
        </w:numPr>
      </w:pPr>
      <w:r w:rsidRPr="00A558DC">
        <w:t>To note that the approved funding of US $23,000,000 indicated in sub-paragraph (b) above would be deducted from the funding of stage II of the HPPMP; and</w:t>
      </w:r>
    </w:p>
    <w:p w14:paraId="0E891EEC" w14:textId="77777777" w:rsidR="007E5096" w:rsidRPr="00A558DC" w:rsidRDefault="007E5096" w:rsidP="0032562B">
      <w:pPr>
        <w:pStyle w:val="Heading2"/>
        <w:keepNext/>
        <w:widowControl/>
        <w:numPr>
          <w:ilvl w:val="1"/>
          <w:numId w:val="1"/>
        </w:numPr>
      </w:pPr>
      <w:r w:rsidRPr="00A558DC">
        <w:lastRenderedPageBreak/>
        <w:t>To defer consideration of stage II of the HPPMP and to invite submission of a revised proposal to the 83</w:t>
      </w:r>
      <w:r w:rsidRPr="00A558DC">
        <w:rPr>
          <w:vertAlign w:val="superscript"/>
        </w:rPr>
        <w:t>rd</w:t>
      </w:r>
      <w:r w:rsidRPr="00A558DC">
        <w:t xml:space="preserve"> meeting pursuant to discussions at the 82</w:t>
      </w:r>
      <w:r w:rsidRPr="00A558DC">
        <w:rPr>
          <w:vertAlign w:val="superscript"/>
        </w:rPr>
        <w:t>nd</w:t>
      </w:r>
      <w:r w:rsidRPr="00A558DC">
        <w:t xml:space="preserve"> meeting on issues remaining to be addressed indicated in paragraph (a)(iii).</w:t>
      </w:r>
    </w:p>
    <w:p w14:paraId="43F74B71" w14:textId="1DA6A16D" w:rsidR="00DB6581" w:rsidRPr="00A558DC" w:rsidRDefault="001459F6" w:rsidP="0063039B">
      <w:pPr>
        <w:pStyle w:val="Heading1"/>
        <w:numPr>
          <w:ilvl w:val="0"/>
          <w:numId w:val="0"/>
        </w:numPr>
        <w:rPr>
          <w:b/>
        </w:rPr>
      </w:pPr>
      <w:r w:rsidRPr="00A558DC">
        <w:rPr>
          <w:b/>
        </w:rPr>
        <w:t>Agenda item 4:</w:t>
      </w:r>
      <w:r w:rsidR="00C2431D" w:rsidRPr="00A558DC">
        <w:rPr>
          <w:b/>
        </w:rPr>
        <w:tab/>
      </w:r>
      <w:r w:rsidRPr="00A558DC">
        <w:rPr>
          <w:b/>
        </w:rPr>
        <w:tab/>
        <w:t>Financi</w:t>
      </w:r>
      <w:r w:rsidR="00E962AC">
        <w:rPr>
          <w:b/>
        </w:rPr>
        <w:t xml:space="preserve">al reporting format for annual </w:t>
      </w:r>
      <w:r w:rsidRPr="00A558DC">
        <w:rPr>
          <w:b/>
        </w:rPr>
        <w:t>project management unit expenditures in the production sector for China</w:t>
      </w:r>
    </w:p>
    <w:p w14:paraId="01508B0C" w14:textId="1F7B2D95" w:rsidR="00D71589" w:rsidRPr="00A558DC" w:rsidRDefault="001521E5" w:rsidP="0063039B">
      <w:pPr>
        <w:pStyle w:val="Heading1"/>
      </w:pPr>
      <w:r w:rsidRPr="00A558DC">
        <w:t>Due to a lack of time</w:t>
      </w:r>
      <w:r w:rsidR="00207603" w:rsidRPr="00A558DC">
        <w:t>,</w:t>
      </w:r>
      <w:r w:rsidRPr="00A558DC">
        <w:t xml:space="preserve"> the Sub-group did not</w:t>
      </w:r>
      <w:r w:rsidR="00864D43">
        <w:t xml:space="preserve"> further</w:t>
      </w:r>
      <w:r w:rsidRPr="00A558DC">
        <w:t xml:space="preserve"> discuss the item</w:t>
      </w:r>
      <w:r w:rsidR="006D6A98" w:rsidRPr="00A558DC">
        <w:t>.</w:t>
      </w:r>
    </w:p>
    <w:p w14:paraId="0CF2A652" w14:textId="77777777" w:rsidR="001459F6" w:rsidRPr="00A558DC" w:rsidRDefault="00DB6581" w:rsidP="0063039B">
      <w:pPr>
        <w:pStyle w:val="Heading1"/>
        <w:numPr>
          <w:ilvl w:val="0"/>
          <w:numId w:val="0"/>
        </w:numPr>
        <w:rPr>
          <w:b/>
        </w:rPr>
      </w:pPr>
      <w:r w:rsidRPr="00A558DC">
        <w:rPr>
          <w:b/>
        </w:rPr>
        <w:t xml:space="preserve">Agenda item 5: </w:t>
      </w:r>
      <w:r w:rsidRPr="00A558DC">
        <w:rPr>
          <w:b/>
        </w:rPr>
        <w:tab/>
        <w:t>Other matters</w:t>
      </w:r>
    </w:p>
    <w:p w14:paraId="53DCC3BA" w14:textId="6D00C809" w:rsidR="003E5CB7" w:rsidRPr="00A558DC" w:rsidRDefault="00C00EE7" w:rsidP="0063039B">
      <w:pPr>
        <w:pStyle w:val="Heading2"/>
        <w:numPr>
          <w:ilvl w:val="1"/>
          <w:numId w:val="29"/>
        </w:numPr>
        <w:rPr>
          <w:b/>
        </w:rPr>
      </w:pPr>
      <w:r w:rsidRPr="00A558DC">
        <w:rPr>
          <w:b/>
        </w:rPr>
        <w:t>HCFC production sector g</w:t>
      </w:r>
      <w:r w:rsidR="003E5CB7" w:rsidRPr="00A558DC">
        <w:rPr>
          <w:b/>
        </w:rPr>
        <w:t>uidelines</w:t>
      </w:r>
    </w:p>
    <w:p w14:paraId="715EB360" w14:textId="51582AC6" w:rsidR="001521E5" w:rsidRPr="00A558DC" w:rsidRDefault="001521E5" w:rsidP="0063039B">
      <w:pPr>
        <w:pStyle w:val="Heading1"/>
      </w:pPr>
      <w:r w:rsidRPr="00A558DC">
        <w:t>The facilitator reminded the Sub-gr</w:t>
      </w:r>
      <w:r w:rsidR="007D544F" w:rsidRPr="00A558DC">
        <w:t xml:space="preserve">oup that it had agreed at the </w:t>
      </w:r>
      <w:r w:rsidR="00207603" w:rsidRPr="00A558DC">
        <w:t>79</w:t>
      </w:r>
      <w:r w:rsidRPr="00A558DC">
        <w:rPr>
          <w:vertAlign w:val="superscript"/>
        </w:rPr>
        <w:t>th</w:t>
      </w:r>
      <w:r w:rsidRPr="00A558DC">
        <w:t xml:space="preserve"> meeting to postpone further consideration of the guideline</w:t>
      </w:r>
      <w:r w:rsidR="00C00EE7" w:rsidRPr="00A558DC">
        <w:t>s</w:t>
      </w:r>
      <w:r w:rsidRPr="00A558DC">
        <w:t xml:space="preserve"> pending the results of the discussions on HFC-23 by-product by the Executive Committee and consequently the item had not been included in the agenda of </w:t>
      </w:r>
      <w:r w:rsidR="001C7871" w:rsidRPr="00A558DC">
        <w:t xml:space="preserve">the </w:t>
      </w:r>
      <w:r w:rsidRPr="00A558DC">
        <w:t>Sub-group.  Two members requested that the item be maintained in the agenda</w:t>
      </w:r>
      <w:r w:rsidR="00F67B23" w:rsidRPr="00A558DC">
        <w:t>, which was agreed</w:t>
      </w:r>
      <w:r w:rsidRPr="00A558DC">
        <w:t>.</w:t>
      </w:r>
    </w:p>
    <w:p w14:paraId="16C0209F" w14:textId="20F0EA10" w:rsidR="001521E5" w:rsidRPr="00A558DC" w:rsidRDefault="001521E5" w:rsidP="0063039B">
      <w:pPr>
        <w:pStyle w:val="Heading1"/>
      </w:pPr>
      <w:r w:rsidRPr="00A558DC">
        <w:t xml:space="preserve">The representative </w:t>
      </w:r>
      <w:r w:rsidR="00207603" w:rsidRPr="00A558DC">
        <w:t xml:space="preserve">of the Secretariat </w:t>
      </w:r>
      <w:r w:rsidRPr="00A558DC">
        <w:t>introduced document UNEP/</w:t>
      </w:r>
      <w:proofErr w:type="spellStart"/>
      <w:r w:rsidRPr="00A558DC">
        <w:t>OzL.Pro</w:t>
      </w:r>
      <w:proofErr w:type="spellEnd"/>
      <w:r w:rsidRPr="00A558DC">
        <w:t>/</w:t>
      </w:r>
      <w:proofErr w:type="spellStart"/>
      <w:r w:rsidRPr="00A558DC">
        <w:t>ExCom</w:t>
      </w:r>
      <w:proofErr w:type="spellEnd"/>
      <w:r w:rsidRPr="00A558DC">
        <w:t>/79/SGP/2 and reminded the meeting that only sub-paragraphs (e) and (k) remained in square bracket</w:t>
      </w:r>
      <w:r w:rsidR="007D544F" w:rsidRPr="00A558DC">
        <w:t>s as they addressed</w:t>
      </w:r>
      <w:r w:rsidRPr="00A558DC">
        <w:t xml:space="preserve"> swing plants and </w:t>
      </w:r>
      <w:r w:rsidR="007D544F" w:rsidRPr="00A558DC">
        <w:t xml:space="preserve">that </w:t>
      </w:r>
      <w:r w:rsidRPr="00A558DC">
        <w:t>it had been agreed that a discussion of those paragraphs should await the result of the deliberations of the Executive Committee on HFC-23.</w:t>
      </w:r>
    </w:p>
    <w:p w14:paraId="445DB021" w14:textId="758C14EB" w:rsidR="001521E5" w:rsidRPr="00A558DC" w:rsidRDefault="001521E5" w:rsidP="0063039B">
      <w:pPr>
        <w:pStyle w:val="Heading1"/>
      </w:pPr>
      <w:r w:rsidRPr="00A558DC">
        <w:t xml:space="preserve"> The representative of India said that the compensation for</w:t>
      </w:r>
      <w:r w:rsidR="009D4A1A" w:rsidRPr="00A558DC">
        <w:t xml:space="preserve"> HCFC-22</w:t>
      </w:r>
      <w:r w:rsidRPr="00A558DC">
        <w:t xml:space="preserve"> swing </w:t>
      </w:r>
      <w:r w:rsidR="009D4A1A" w:rsidRPr="00A558DC">
        <w:t xml:space="preserve">production </w:t>
      </w:r>
      <w:r w:rsidRPr="00A558DC">
        <w:t xml:space="preserve">plants </w:t>
      </w:r>
      <w:r w:rsidR="007D544F" w:rsidRPr="00A558DC">
        <w:t xml:space="preserve">and </w:t>
      </w:r>
      <w:r w:rsidRPr="00A558DC">
        <w:t>the phase</w:t>
      </w:r>
      <w:r w:rsidR="009D4A1A" w:rsidRPr="00A558DC">
        <w:t>-</w:t>
      </w:r>
      <w:r w:rsidRPr="00A558DC">
        <w:t>out of HFC-23</w:t>
      </w:r>
      <w:r w:rsidR="001C7871" w:rsidRPr="00A558DC">
        <w:t xml:space="preserve"> were two separate issues</w:t>
      </w:r>
      <w:r w:rsidRPr="00A558DC">
        <w:t>. While HFC-23 was a by-product of HCFC-22, and should be addressed in the context of the Kigali Amendment, that did not</w:t>
      </w:r>
      <w:r w:rsidR="007D544F" w:rsidRPr="00A558DC">
        <w:t xml:space="preserve"> mean that the </w:t>
      </w:r>
      <w:r w:rsidRPr="00A558DC">
        <w:t xml:space="preserve">issue of </w:t>
      </w:r>
      <w:r w:rsidR="009D4A1A" w:rsidRPr="00A558DC">
        <w:t xml:space="preserve">HCFC-22 </w:t>
      </w:r>
      <w:r w:rsidRPr="00A558DC">
        <w:t xml:space="preserve">swing </w:t>
      </w:r>
      <w:r w:rsidR="009D4A1A" w:rsidRPr="00A558DC">
        <w:t xml:space="preserve">production </w:t>
      </w:r>
      <w:r w:rsidRPr="00A558DC">
        <w:t>plants needed to be delayed</w:t>
      </w:r>
      <w:r w:rsidR="00207603" w:rsidRPr="00A558DC">
        <w:t>.</w:t>
      </w:r>
    </w:p>
    <w:p w14:paraId="5CF59864" w14:textId="5852EEC6" w:rsidR="001521E5" w:rsidRPr="00A558DC" w:rsidRDefault="001521E5" w:rsidP="0063039B">
      <w:pPr>
        <w:pStyle w:val="Heading1"/>
      </w:pPr>
      <w:r w:rsidRPr="00A558DC">
        <w:t xml:space="preserve">Other members were of the view that the two </w:t>
      </w:r>
      <w:r w:rsidR="001C7871" w:rsidRPr="00A558DC">
        <w:t>issues</w:t>
      </w:r>
      <w:r w:rsidRPr="00A558DC">
        <w:t xml:space="preserve"> were interlinked and should be considered together once the Executive Committee had held a more substantial discussion of the issue of H</w:t>
      </w:r>
      <w:r w:rsidR="0063039B">
        <w:t>FC</w:t>
      </w:r>
      <w:r w:rsidRPr="00A558DC">
        <w:t>-23</w:t>
      </w:r>
      <w:r w:rsidR="00C00EE7" w:rsidRPr="00A558DC">
        <w:t xml:space="preserve"> by</w:t>
      </w:r>
      <w:r w:rsidR="00C00EE7" w:rsidRPr="00A558DC">
        <w:noBreakHyphen/>
        <w:t>production emission control</w:t>
      </w:r>
      <w:r w:rsidRPr="00A558DC">
        <w:t xml:space="preserve">. </w:t>
      </w:r>
    </w:p>
    <w:p w14:paraId="604720D1" w14:textId="14FE97B6" w:rsidR="00A37A05" w:rsidRPr="00A558DC" w:rsidRDefault="001521E5" w:rsidP="0063039B">
      <w:pPr>
        <w:pStyle w:val="Heading1"/>
      </w:pPr>
      <w:r w:rsidRPr="00A558DC">
        <w:t>The Sub-group deferred further consideration of the issue until its next meeting.</w:t>
      </w:r>
    </w:p>
    <w:p w14:paraId="71192F82" w14:textId="2426C57E" w:rsidR="001459F6" w:rsidRPr="00A558DC" w:rsidRDefault="003E5CB7" w:rsidP="0063039B">
      <w:pPr>
        <w:pStyle w:val="Heading2"/>
        <w:numPr>
          <w:ilvl w:val="1"/>
          <w:numId w:val="28"/>
        </w:numPr>
        <w:rPr>
          <w:b/>
        </w:rPr>
      </w:pPr>
      <w:r w:rsidRPr="00A558DC">
        <w:rPr>
          <w:b/>
        </w:rPr>
        <w:t xml:space="preserve">Monitoring and </w:t>
      </w:r>
      <w:r w:rsidR="00CD28F3" w:rsidRPr="00A558DC">
        <w:rPr>
          <w:b/>
        </w:rPr>
        <w:t>verification</w:t>
      </w:r>
    </w:p>
    <w:p w14:paraId="55786E0B" w14:textId="15BFD4A6" w:rsidR="00BB5580" w:rsidRPr="00A558DC" w:rsidRDefault="009D4A1A" w:rsidP="0063039B">
      <w:pPr>
        <w:pStyle w:val="Heading1"/>
      </w:pPr>
      <w:r w:rsidRPr="00A558DC">
        <w:t xml:space="preserve">One member </w:t>
      </w:r>
      <w:r w:rsidR="00BB5580" w:rsidRPr="00A558DC">
        <w:t xml:space="preserve">suggested that it would be useful for the Secretariat to prepare an overview </w:t>
      </w:r>
      <w:r w:rsidR="00CD28F3" w:rsidRPr="00A558DC">
        <w:t xml:space="preserve">paper </w:t>
      </w:r>
      <w:r w:rsidR="00BB5580" w:rsidRPr="00A558DC">
        <w:t>that reviewed the past practice</w:t>
      </w:r>
      <w:r w:rsidR="00F94EEA" w:rsidRPr="00A558DC">
        <w:t>s</w:t>
      </w:r>
      <w:r w:rsidR="00BB5580" w:rsidRPr="00A558DC">
        <w:t xml:space="preserve"> of the Multilateral Fund in </w:t>
      </w:r>
      <w:r w:rsidR="005171AB" w:rsidRPr="00A558DC">
        <w:t xml:space="preserve">both </w:t>
      </w:r>
      <w:r w:rsidR="00BB5580" w:rsidRPr="00A558DC">
        <w:t>verifying plant closure</w:t>
      </w:r>
      <w:r w:rsidR="005171AB" w:rsidRPr="00A558DC">
        <w:t>, and</w:t>
      </w:r>
      <w:r w:rsidR="00BB5580" w:rsidRPr="00A558DC">
        <w:t xml:space="preserve"> </w:t>
      </w:r>
      <w:r w:rsidR="007D544F" w:rsidRPr="00A558DC">
        <w:t xml:space="preserve">the </w:t>
      </w:r>
      <w:r w:rsidR="00BB5580" w:rsidRPr="00A558DC">
        <w:t xml:space="preserve">subsequent monitoring to ensure </w:t>
      </w:r>
      <w:r w:rsidR="005171AB" w:rsidRPr="00A558DC">
        <w:t>that there were no later</w:t>
      </w:r>
      <w:r w:rsidR="00BB5580" w:rsidRPr="00A558DC">
        <w:t xml:space="preserve"> emissions of controlled substances.</w:t>
      </w:r>
    </w:p>
    <w:p w14:paraId="082288DF" w14:textId="300181EB" w:rsidR="00BB5580" w:rsidRPr="00A558DC" w:rsidRDefault="00BB5580" w:rsidP="0063039B">
      <w:pPr>
        <w:pStyle w:val="Heading1"/>
      </w:pPr>
      <w:r w:rsidRPr="00A558DC">
        <w:t xml:space="preserve">The representative of the Secretariat explained </w:t>
      </w:r>
      <w:r w:rsidR="005171AB" w:rsidRPr="00A558DC">
        <w:t xml:space="preserve">that </w:t>
      </w:r>
      <w:r w:rsidR="00F94EEA" w:rsidRPr="00A558DC">
        <w:t xml:space="preserve">when a production facility was closed, the key equipment was destroyed and the destruction was verified. After completion of the sector plan, </w:t>
      </w:r>
      <w:r w:rsidR="005171AB" w:rsidRPr="00A558DC">
        <w:t>there was no</w:t>
      </w:r>
      <w:r w:rsidRPr="00A558DC">
        <w:t xml:space="preserve"> further monitoring of facilities under the Montreal Protocol</w:t>
      </w:r>
      <w:r w:rsidR="00F94EEA" w:rsidRPr="00A558DC">
        <w:t xml:space="preserve">. </w:t>
      </w:r>
      <w:r w:rsidR="00697CD8" w:rsidRPr="00A558DC">
        <w:t>Two</w:t>
      </w:r>
      <w:r w:rsidR="00F94EEA" w:rsidRPr="00A558DC">
        <w:t xml:space="preserve"> members stated that their Government</w:t>
      </w:r>
      <w:r w:rsidR="00C00EE7" w:rsidRPr="00A558DC">
        <w:t>s monitored</w:t>
      </w:r>
      <w:r w:rsidR="00F94EEA" w:rsidRPr="00A558DC">
        <w:t xml:space="preserve"> the production facilit</w:t>
      </w:r>
      <w:r w:rsidR="00A558DC" w:rsidRPr="00A558DC">
        <w:t>ies in their countries</w:t>
      </w:r>
      <w:r w:rsidR="00F94EEA" w:rsidRPr="00A558DC">
        <w:t xml:space="preserve"> to ensure </w:t>
      </w:r>
      <w:r w:rsidR="00697CD8" w:rsidRPr="00A558DC">
        <w:t>sustainable phase-out.</w:t>
      </w:r>
      <w:r w:rsidR="005171AB" w:rsidRPr="00A558DC">
        <w:t xml:space="preserve"> </w:t>
      </w:r>
      <w:r w:rsidR="00697CD8" w:rsidRPr="00A558DC">
        <w:t>O</w:t>
      </w:r>
      <w:r w:rsidR="005171AB" w:rsidRPr="00A558DC">
        <w:t xml:space="preserve">ne member suggested that </w:t>
      </w:r>
      <w:r w:rsidRPr="00A558DC">
        <w:t xml:space="preserve">the </w:t>
      </w:r>
      <w:r w:rsidR="005171AB" w:rsidRPr="00A558DC">
        <w:t xml:space="preserve">Secretariat could ask the </w:t>
      </w:r>
      <w:r w:rsidRPr="00A558DC">
        <w:t>countrie</w:t>
      </w:r>
      <w:r w:rsidR="005171AB" w:rsidRPr="00A558DC">
        <w:t>s for</w:t>
      </w:r>
      <w:r w:rsidRPr="00A558DC">
        <w:t xml:space="preserve"> that information</w:t>
      </w:r>
      <w:r w:rsidR="00377B7E" w:rsidRPr="00A558DC">
        <w:t>, noting</w:t>
      </w:r>
      <w:r w:rsidR="007D544F" w:rsidRPr="00A558DC">
        <w:t>, howev</w:t>
      </w:r>
      <w:r w:rsidR="009D4A1A" w:rsidRPr="00A558DC">
        <w:t>e</w:t>
      </w:r>
      <w:r w:rsidR="007D544F" w:rsidRPr="00A558DC">
        <w:t>r,</w:t>
      </w:r>
      <w:r w:rsidR="00A558DC" w:rsidRPr="00A558DC">
        <w:t xml:space="preserve"> that</w:t>
      </w:r>
      <w:r w:rsidR="005171AB" w:rsidRPr="00A558DC">
        <w:t xml:space="preserve"> such</w:t>
      </w:r>
      <w:r w:rsidRPr="00A558DC">
        <w:t xml:space="preserve"> information might not be available</w:t>
      </w:r>
      <w:r w:rsidR="00377B7E" w:rsidRPr="00A558DC">
        <w:t xml:space="preserve"> as no assistance f</w:t>
      </w:r>
      <w:r w:rsidR="00A558DC" w:rsidRPr="00A558DC">
        <w:t>rom the Multilateral Fund wa</w:t>
      </w:r>
      <w:r w:rsidR="00377B7E" w:rsidRPr="00A558DC">
        <w:t>s provided after completion of the projects</w:t>
      </w:r>
      <w:r w:rsidRPr="00A558DC">
        <w:t>.</w:t>
      </w:r>
    </w:p>
    <w:p w14:paraId="44037B1F" w14:textId="53DC6436" w:rsidR="001521E5" w:rsidRPr="00A558DC" w:rsidRDefault="009D4A1A" w:rsidP="0063039B">
      <w:pPr>
        <w:pStyle w:val="Heading1"/>
      </w:pPr>
      <w:r w:rsidRPr="00A558DC">
        <w:t xml:space="preserve">One member </w:t>
      </w:r>
      <w:r w:rsidR="00BB5580" w:rsidRPr="00A558DC">
        <w:t>sai</w:t>
      </w:r>
      <w:r w:rsidR="005171AB" w:rsidRPr="00A558DC">
        <w:t xml:space="preserve">d that the </w:t>
      </w:r>
      <w:r w:rsidR="001C7871" w:rsidRPr="00A558DC">
        <w:t xml:space="preserve">proposed overview paper </w:t>
      </w:r>
      <w:r w:rsidR="005171AB" w:rsidRPr="00A558DC">
        <w:t xml:space="preserve">should </w:t>
      </w:r>
      <w:r w:rsidR="00BB5580" w:rsidRPr="00A558DC">
        <w:t>show how the Multilateral Fund had addressed the different sectors over the years and the costs of the actions unde</w:t>
      </w:r>
      <w:r w:rsidR="005171AB" w:rsidRPr="00A558DC">
        <w:t xml:space="preserve">rtaken. Once that </w:t>
      </w:r>
      <w:r w:rsidR="001C7871" w:rsidRPr="00A558DC">
        <w:t>paper</w:t>
      </w:r>
      <w:r w:rsidR="005171AB" w:rsidRPr="00A558DC">
        <w:t xml:space="preserve"> was</w:t>
      </w:r>
      <w:r w:rsidR="00BB5580" w:rsidRPr="00A558DC">
        <w:t xml:space="preserve"> rev</w:t>
      </w:r>
      <w:r w:rsidR="005171AB" w:rsidRPr="00A558DC">
        <w:t xml:space="preserve">iewed it could be decided whether there was a need </w:t>
      </w:r>
      <w:r w:rsidR="00BB5580" w:rsidRPr="00A558DC">
        <w:t>to</w:t>
      </w:r>
      <w:r w:rsidR="005171AB" w:rsidRPr="00A558DC">
        <w:t xml:space="preserve"> request the Secretariat to seek</w:t>
      </w:r>
      <w:r w:rsidR="00BB5580" w:rsidRPr="00A558DC">
        <w:t xml:space="preserve"> additional information</w:t>
      </w:r>
      <w:r w:rsidR="001521E5" w:rsidRPr="00A558DC">
        <w:t>.</w:t>
      </w:r>
    </w:p>
    <w:p w14:paraId="54CD6485" w14:textId="4056A14A" w:rsidR="001521E5" w:rsidRPr="00A558DC" w:rsidRDefault="001521E5" w:rsidP="0063039B">
      <w:pPr>
        <w:pStyle w:val="Heading1"/>
      </w:pPr>
      <w:r w:rsidRPr="00A558DC">
        <w:lastRenderedPageBreak/>
        <w:t>The representative of the Secretariat subsequently introduced a draft decision for the consideration of the Sub-group.</w:t>
      </w:r>
      <w:r w:rsidR="003971DC" w:rsidRPr="00A558DC">
        <w:t xml:space="preserve"> </w:t>
      </w:r>
    </w:p>
    <w:p w14:paraId="2FE98391" w14:textId="4B772B95" w:rsidR="00BB5580" w:rsidRPr="00A558DC" w:rsidRDefault="001521E5" w:rsidP="0063039B">
      <w:pPr>
        <w:pStyle w:val="Heading1"/>
      </w:pPr>
      <w:r w:rsidRPr="00A558DC">
        <w:t xml:space="preserve">One member asked why the additional information was being requested, as the monitoring and verification of projects was demanding. If additional information was </w:t>
      </w:r>
      <w:proofErr w:type="gramStart"/>
      <w:r w:rsidRPr="00A558DC">
        <w:t>required</w:t>
      </w:r>
      <w:proofErr w:type="gramEnd"/>
      <w:r w:rsidRPr="00A558DC">
        <w:t xml:space="preserve"> then it should be mandated by either the Open-ended Working Group or the Meeting of the Parties </w:t>
      </w:r>
      <w:r w:rsidR="007D544F" w:rsidRPr="00A558DC">
        <w:t xml:space="preserve">and it should apply to all </w:t>
      </w:r>
      <w:r w:rsidRPr="00A558DC">
        <w:t>production</w:t>
      </w:r>
      <w:r w:rsidR="007D544F" w:rsidRPr="00A558DC">
        <w:t xml:space="preserve"> of ozone depleting substances</w:t>
      </w:r>
      <w:r w:rsidR="00BB5580" w:rsidRPr="00A558DC">
        <w:t xml:space="preserve">. </w:t>
      </w:r>
    </w:p>
    <w:p w14:paraId="71905E66" w14:textId="62F79993" w:rsidR="00090EA7" w:rsidRPr="00A558DC" w:rsidRDefault="001521E5" w:rsidP="0063039B">
      <w:pPr>
        <w:pStyle w:val="Heading1"/>
      </w:pPr>
      <w:r w:rsidRPr="00A558DC">
        <w:t>Following interventions by a number of members to explain the rational for requesting the additional information, the member said that he remained uncomfortable with the text of the draft decision and could not agree to it unless it only addressed the reporting requirements already established under the Montreal Protocol.</w:t>
      </w:r>
      <w:r w:rsidR="003971DC" w:rsidRPr="00A558DC">
        <w:t xml:space="preserve"> One member proposed to put the draft decision in the square bracket; </w:t>
      </w:r>
      <w:proofErr w:type="gramStart"/>
      <w:r w:rsidR="003971DC" w:rsidRPr="00A558DC">
        <w:t>however</w:t>
      </w:r>
      <w:proofErr w:type="gramEnd"/>
      <w:r w:rsidR="003971DC" w:rsidRPr="00A558DC">
        <w:t xml:space="preserve"> this was not agreed by all the members of the Sub-group. Due to the time constraints, the issue was not further considered at the 81</w:t>
      </w:r>
      <w:r w:rsidR="003971DC" w:rsidRPr="00A558DC">
        <w:rPr>
          <w:vertAlign w:val="superscript"/>
        </w:rPr>
        <w:t>st</w:t>
      </w:r>
      <w:r w:rsidR="003971DC" w:rsidRPr="00A558DC">
        <w:t xml:space="preserve"> meeting. </w:t>
      </w:r>
    </w:p>
    <w:p w14:paraId="067CB124" w14:textId="1B87BFC5" w:rsidR="00DB6581" w:rsidRPr="00A558DC" w:rsidRDefault="00DB6581" w:rsidP="0063039B">
      <w:pPr>
        <w:pStyle w:val="Heading2"/>
        <w:numPr>
          <w:ilvl w:val="0"/>
          <w:numId w:val="0"/>
        </w:numPr>
      </w:pPr>
      <w:r w:rsidRPr="00A558DC">
        <w:rPr>
          <w:b/>
        </w:rPr>
        <w:t>Agenda item</w:t>
      </w:r>
      <w:r w:rsidR="00444DE3" w:rsidRPr="00A558DC">
        <w:rPr>
          <w:b/>
        </w:rPr>
        <w:t xml:space="preserve"> 6</w:t>
      </w:r>
      <w:r w:rsidRPr="00A558DC">
        <w:rPr>
          <w:b/>
        </w:rPr>
        <w:t>:</w:t>
      </w:r>
      <w:r w:rsidRPr="00A558DC">
        <w:rPr>
          <w:b/>
        </w:rPr>
        <w:tab/>
      </w:r>
      <w:r w:rsidR="00C2431D" w:rsidRPr="00A558DC">
        <w:rPr>
          <w:b/>
        </w:rPr>
        <w:tab/>
      </w:r>
      <w:r w:rsidRPr="00A558DC">
        <w:rPr>
          <w:b/>
        </w:rPr>
        <w:t>Adoption of the report</w:t>
      </w:r>
    </w:p>
    <w:p w14:paraId="78A46421" w14:textId="77777777" w:rsidR="00DB6581" w:rsidRPr="00A558DC" w:rsidRDefault="00DB6581" w:rsidP="0063039B">
      <w:pPr>
        <w:pStyle w:val="Heading1"/>
      </w:pPr>
      <w:r w:rsidRPr="00A558DC">
        <w:t>The present report was reviewed by the facilitator.</w:t>
      </w:r>
    </w:p>
    <w:p w14:paraId="55A22CB7" w14:textId="77777777" w:rsidR="00DB6581" w:rsidRPr="00A558DC" w:rsidRDefault="00DB6581" w:rsidP="0063039B">
      <w:pPr>
        <w:autoSpaceDE w:val="0"/>
        <w:autoSpaceDN w:val="0"/>
        <w:adjustRightInd w:val="0"/>
        <w:spacing w:after="240"/>
        <w:ind w:left="2160" w:hanging="2160"/>
      </w:pPr>
      <w:r w:rsidRPr="00A558DC">
        <w:rPr>
          <w:b/>
        </w:rPr>
        <w:t>Agenda item</w:t>
      </w:r>
      <w:r w:rsidR="00444DE3" w:rsidRPr="00A558DC">
        <w:rPr>
          <w:b/>
        </w:rPr>
        <w:t xml:space="preserve"> 7</w:t>
      </w:r>
      <w:r w:rsidRPr="00A558DC">
        <w:rPr>
          <w:b/>
        </w:rPr>
        <w:t>:</w:t>
      </w:r>
      <w:r w:rsidRPr="00A558DC">
        <w:rPr>
          <w:b/>
        </w:rPr>
        <w:tab/>
        <w:t>Closure</w:t>
      </w:r>
    </w:p>
    <w:p w14:paraId="499A4385" w14:textId="3E35714B" w:rsidR="00DB6581" w:rsidRPr="00A558DC" w:rsidRDefault="00DB6581" w:rsidP="0063039B">
      <w:pPr>
        <w:pStyle w:val="Heading1"/>
        <w:rPr>
          <w:lang w:val="en-CA"/>
        </w:rPr>
      </w:pPr>
      <w:r w:rsidRPr="00A558DC">
        <w:t xml:space="preserve">The meeting of the Sub-group </w:t>
      </w:r>
      <w:r w:rsidR="00A558DC" w:rsidRPr="00A558DC">
        <w:t>on Production S</w:t>
      </w:r>
      <w:r w:rsidR="003971DC" w:rsidRPr="00A558DC">
        <w:t xml:space="preserve">ector </w:t>
      </w:r>
      <w:r w:rsidRPr="00A558DC">
        <w:t>was clo</w:t>
      </w:r>
      <w:r w:rsidR="001459F6" w:rsidRPr="00A558DC">
        <w:t xml:space="preserve">sed at </w:t>
      </w:r>
      <w:r w:rsidR="001521E5" w:rsidRPr="00A558DC">
        <w:t xml:space="preserve">8.30 </w:t>
      </w:r>
      <w:r w:rsidR="001459F6" w:rsidRPr="00A558DC">
        <w:t xml:space="preserve">pm on </w:t>
      </w:r>
      <w:r w:rsidR="001521E5" w:rsidRPr="00A558DC">
        <w:t>21</w:t>
      </w:r>
      <w:r w:rsidR="001459F6" w:rsidRPr="00A558DC">
        <w:t xml:space="preserve"> June 2018</w:t>
      </w:r>
      <w:r w:rsidRPr="00A558DC">
        <w:t>.</w:t>
      </w:r>
    </w:p>
    <w:p w14:paraId="3E1D1364" w14:textId="77777777" w:rsidR="00DB6581" w:rsidRPr="00DB6581" w:rsidRDefault="00DB6581" w:rsidP="00DB6581">
      <w:pPr>
        <w:rPr>
          <w:lang w:val="en-CA"/>
        </w:rPr>
      </w:pPr>
    </w:p>
    <w:sectPr w:rsidR="00DB6581" w:rsidRPr="00DB6581" w:rsidSect="00896234">
      <w:headerReference w:type="even" r:id="rId10"/>
      <w:headerReference w:type="default" r:id="rId11"/>
      <w:footerReference w:type="even" r:id="rId12"/>
      <w:footerReference w:type="default" r:id="rId13"/>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2B45E" w16cid:durableId="1DB57619"/>
  <w16cid:commentId w16cid:paraId="67E5B702" w16cid:durableId="1DB72F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D26F" w14:textId="77777777" w:rsidR="002C65FF" w:rsidRDefault="002C65FF" w:rsidP="004A504B">
      <w:r>
        <w:separator/>
      </w:r>
    </w:p>
  </w:endnote>
  <w:endnote w:type="continuationSeparator" w:id="0">
    <w:p w14:paraId="1A6A28FE" w14:textId="77777777" w:rsidR="002C65FF" w:rsidRDefault="002C65F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365" w14:textId="642A4C9C" w:rsidR="00DC6A10" w:rsidRPr="0033525D" w:rsidRDefault="00BC2495">
    <w:pPr>
      <w:jc w:val="center"/>
    </w:pPr>
    <w:r>
      <w:fldChar w:fldCharType="begin"/>
    </w:r>
    <w:r w:rsidR="00851352">
      <w:instrText xml:space="preserve"> PAGE </w:instrText>
    </w:r>
    <w:r>
      <w:fldChar w:fldCharType="separate"/>
    </w:r>
    <w:r w:rsidR="007E254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9E29" w14:textId="6C314602" w:rsidR="00DC6A10" w:rsidRPr="0033525D" w:rsidRDefault="00BC2495">
    <w:pPr>
      <w:jc w:val="center"/>
    </w:pPr>
    <w:r>
      <w:fldChar w:fldCharType="begin"/>
    </w:r>
    <w:r w:rsidR="00851352">
      <w:instrText xml:space="preserve"> PAGE </w:instrText>
    </w:r>
    <w:r>
      <w:fldChar w:fldCharType="separate"/>
    </w:r>
    <w:r w:rsidR="007E25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FEB3" w14:textId="77777777" w:rsidR="002C65FF" w:rsidRDefault="002C65FF" w:rsidP="004A504B">
      <w:r>
        <w:separator/>
      </w:r>
    </w:p>
  </w:footnote>
  <w:footnote w:type="continuationSeparator" w:id="0">
    <w:p w14:paraId="56DDA51B" w14:textId="77777777" w:rsidR="002C65FF" w:rsidRDefault="002C65FF"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2C25" w14:textId="22E285A3" w:rsidR="00DC6A10" w:rsidRPr="0033525D" w:rsidRDefault="0061413C">
    <w:r>
      <w:fldChar w:fldCharType="begin"/>
    </w:r>
    <w:r>
      <w:instrText xml:space="preserve"> DOCPROPERTY "Document number"  \* MERGEFORMAT </w:instrText>
    </w:r>
    <w:r>
      <w:fldChar w:fldCharType="separate"/>
    </w:r>
    <w:r w:rsidR="007E2541">
      <w:t>UNEP/</w:t>
    </w:r>
    <w:proofErr w:type="spellStart"/>
    <w:r w:rsidR="007E2541">
      <w:t>OzL.Pro</w:t>
    </w:r>
    <w:proofErr w:type="spellEnd"/>
    <w:r w:rsidR="007E2541">
      <w:t>/</w:t>
    </w:r>
    <w:proofErr w:type="spellStart"/>
    <w:r w:rsidR="007E2541">
      <w:t>ExCom</w:t>
    </w:r>
    <w:proofErr w:type="spellEnd"/>
    <w:r w:rsidR="007E2541">
      <w:t>/81/57</w:t>
    </w:r>
    <w:r>
      <w:fldChar w:fldCharType="end"/>
    </w:r>
  </w:p>
  <w:p w14:paraId="192E6AF3" w14:textId="77777777" w:rsidR="00DC6A10" w:rsidRPr="0033525D" w:rsidRDefault="00DC6A10"/>
  <w:p w14:paraId="24C9A826"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CC2A" w14:textId="569497C8" w:rsidR="00DC6A10" w:rsidRPr="0033525D" w:rsidRDefault="0061413C">
    <w:pPr>
      <w:jc w:val="right"/>
    </w:pPr>
    <w:r>
      <w:fldChar w:fldCharType="begin"/>
    </w:r>
    <w:r>
      <w:instrText xml:space="preserve"> DOCPROPERTY "Document number"  \* MERGEFORMAT </w:instrText>
    </w:r>
    <w:r>
      <w:fldChar w:fldCharType="separate"/>
    </w:r>
    <w:r w:rsidR="007E2541">
      <w:t>UNEP/</w:t>
    </w:r>
    <w:proofErr w:type="spellStart"/>
    <w:r w:rsidR="007E2541">
      <w:t>OzL.Pro</w:t>
    </w:r>
    <w:proofErr w:type="spellEnd"/>
    <w:r w:rsidR="007E2541">
      <w:t>/</w:t>
    </w:r>
    <w:proofErr w:type="spellStart"/>
    <w:r w:rsidR="007E2541">
      <w:t>ExCom</w:t>
    </w:r>
    <w:proofErr w:type="spellEnd"/>
    <w:r w:rsidR="007E2541">
      <w:t>/81/57</w:t>
    </w:r>
    <w:r>
      <w:fldChar w:fldCharType="end"/>
    </w:r>
  </w:p>
  <w:p w14:paraId="3C623914" w14:textId="77777777" w:rsidR="00DC6A10" w:rsidRPr="0033525D" w:rsidRDefault="00DC6A10"/>
  <w:p w14:paraId="1F349B98"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3662FF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EE15835"/>
    <w:multiLevelType w:val="hybridMultilevel"/>
    <w:tmpl w:val="563A78CA"/>
    <w:lvl w:ilvl="0" w:tplc="FAECF1EA">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4A411EA"/>
    <w:multiLevelType w:val="hybridMultilevel"/>
    <w:tmpl w:val="E51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687877"/>
    <w:rsid w:val="00000FED"/>
    <w:rsid w:val="0000279A"/>
    <w:rsid w:val="0000434E"/>
    <w:rsid w:val="00005403"/>
    <w:rsid w:val="00013628"/>
    <w:rsid w:val="000211A9"/>
    <w:rsid w:val="00031260"/>
    <w:rsid w:val="0003681A"/>
    <w:rsid w:val="000579D2"/>
    <w:rsid w:val="00057EF7"/>
    <w:rsid w:val="00061EC2"/>
    <w:rsid w:val="00080ED0"/>
    <w:rsid w:val="00085B8F"/>
    <w:rsid w:val="00090481"/>
    <w:rsid w:val="00090EA7"/>
    <w:rsid w:val="000A45BB"/>
    <w:rsid w:val="000A6C26"/>
    <w:rsid w:val="000D5D6E"/>
    <w:rsid w:val="000E07BC"/>
    <w:rsid w:val="000E5ED9"/>
    <w:rsid w:val="000F1CD4"/>
    <w:rsid w:val="000F4103"/>
    <w:rsid w:val="000F5922"/>
    <w:rsid w:val="000F70A7"/>
    <w:rsid w:val="00122F25"/>
    <w:rsid w:val="00135980"/>
    <w:rsid w:val="001459F6"/>
    <w:rsid w:val="001521E5"/>
    <w:rsid w:val="00164719"/>
    <w:rsid w:val="00166FC4"/>
    <w:rsid w:val="001677AC"/>
    <w:rsid w:val="001804EA"/>
    <w:rsid w:val="00190A61"/>
    <w:rsid w:val="001A0D48"/>
    <w:rsid w:val="001A3342"/>
    <w:rsid w:val="001A3E3D"/>
    <w:rsid w:val="001A7049"/>
    <w:rsid w:val="001B1E40"/>
    <w:rsid w:val="001B35D0"/>
    <w:rsid w:val="001B4F57"/>
    <w:rsid w:val="001C3314"/>
    <w:rsid w:val="001C764E"/>
    <w:rsid w:val="001C7871"/>
    <w:rsid w:val="001D4F04"/>
    <w:rsid w:val="001E1052"/>
    <w:rsid w:val="001E21B1"/>
    <w:rsid w:val="001E2F93"/>
    <w:rsid w:val="001E61E5"/>
    <w:rsid w:val="001F2159"/>
    <w:rsid w:val="001F3449"/>
    <w:rsid w:val="001F50E3"/>
    <w:rsid w:val="002043F2"/>
    <w:rsid w:val="00205750"/>
    <w:rsid w:val="00207603"/>
    <w:rsid w:val="00214863"/>
    <w:rsid w:val="002156B4"/>
    <w:rsid w:val="002173DB"/>
    <w:rsid w:val="002361FB"/>
    <w:rsid w:val="00253222"/>
    <w:rsid w:val="00262847"/>
    <w:rsid w:val="00281BB2"/>
    <w:rsid w:val="002902EE"/>
    <w:rsid w:val="00292BEA"/>
    <w:rsid w:val="00296FF2"/>
    <w:rsid w:val="002A19CC"/>
    <w:rsid w:val="002B045A"/>
    <w:rsid w:val="002B72E9"/>
    <w:rsid w:val="002C65FF"/>
    <w:rsid w:val="002C7998"/>
    <w:rsid w:val="002E2701"/>
    <w:rsid w:val="002F0F5D"/>
    <w:rsid w:val="002F1299"/>
    <w:rsid w:val="002F1E53"/>
    <w:rsid w:val="002F2CAA"/>
    <w:rsid w:val="0030052C"/>
    <w:rsid w:val="00305BCF"/>
    <w:rsid w:val="003164DB"/>
    <w:rsid w:val="0032562B"/>
    <w:rsid w:val="003306E1"/>
    <w:rsid w:val="003320E4"/>
    <w:rsid w:val="0033525D"/>
    <w:rsid w:val="003414F3"/>
    <w:rsid w:val="0035613E"/>
    <w:rsid w:val="00363EE9"/>
    <w:rsid w:val="0036635E"/>
    <w:rsid w:val="00376128"/>
    <w:rsid w:val="0037742E"/>
    <w:rsid w:val="00377B7E"/>
    <w:rsid w:val="0038245A"/>
    <w:rsid w:val="00385CFC"/>
    <w:rsid w:val="0039337A"/>
    <w:rsid w:val="003949D3"/>
    <w:rsid w:val="003971DC"/>
    <w:rsid w:val="003A2B44"/>
    <w:rsid w:val="003A3189"/>
    <w:rsid w:val="003B33BD"/>
    <w:rsid w:val="003B569D"/>
    <w:rsid w:val="003C3C0E"/>
    <w:rsid w:val="003D4FAC"/>
    <w:rsid w:val="003E5CB7"/>
    <w:rsid w:val="003E7906"/>
    <w:rsid w:val="003F3C50"/>
    <w:rsid w:val="0040046D"/>
    <w:rsid w:val="00406A6A"/>
    <w:rsid w:val="00406B22"/>
    <w:rsid w:val="00421C30"/>
    <w:rsid w:val="004328A7"/>
    <w:rsid w:val="00433024"/>
    <w:rsid w:val="00434C74"/>
    <w:rsid w:val="004403FD"/>
    <w:rsid w:val="00444DE3"/>
    <w:rsid w:val="00456EB4"/>
    <w:rsid w:val="004718F3"/>
    <w:rsid w:val="00475040"/>
    <w:rsid w:val="00482664"/>
    <w:rsid w:val="00493D40"/>
    <w:rsid w:val="0049413E"/>
    <w:rsid w:val="004967B6"/>
    <w:rsid w:val="004A504B"/>
    <w:rsid w:val="004A6911"/>
    <w:rsid w:val="004B0D12"/>
    <w:rsid w:val="004B54E0"/>
    <w:rsid w:val="004B659C"/>
    <w:rsid w:val="004B7384"/>
    <w:rsid w:val="004C4269"/>
    <w:rsid w:val="004D1379"/>
    <w:rsid w:val="004D6236"/>
    <w:rsid w:val="004E4DBB"/>
    <w:rsid w:val="004E4E41"/>
    <w:rsid w:val="004E626D"/>
    <w:rsid w:val="004E7F9C"/>
    <w:rsid w:val="004F3493"/>
    <w:rsid w:val="004F5143"/>
    <w:rsid w:val="004F7267"/>
    <w:rsid w:val="00512B09"/>
    <w:rsid w:val="005171AB"/>
    <w:rsid w:val="00551CCB"/>
    <w:rsid w:val="00555D75"/>
    <w:rsid w:val="00560DF0"/>
    <w:rsid w:val="0056759C"/>
    <w:rsid w:val="00581A8F"/>
    <w:rsid w:val="0059513E"/>
    <w:rsid w:val="005A4576"/>
    <w:rsid w:val="005B3F0D"/>
    <w:rsid w:val="005B48FF"/>
    <w:rsid w:val="005D4C46"/>
    <w:rsid w:val="005E0D14"/>
    <w:rsid w:val="005F2892"/>
    <w:rsid w:val="005F516E"/>
    <w:rsid w:val="005F70E5"/>
    <w:rsid w:val="00604C15"/>
    <w:rsid w:val="0061413C"/>
    <w:rsid w:val="006158D5"/>
    <w:rsid w:val="00625D83"/>
    <w:rsid w:val="0063039B"/>
    <w:rsid w:val="006447B9"/>
    <w:rsid w:val="00647262"/>
    <w:rsid w:val="006623E7"/>
    <w:rsid w:val="00662B80"/>
    <w:rsid w:val="00670F6C"/>
    <w:rsid w:val="006852C7"/>
    <w:rsid w:val="00687877"/>
    <w:rsid w:val="00697CD8"/>
    <w:rsid w:val="006A61E1"/>
    <w:rsid w:val="006C1727"/>
    <w:rsid w:val="006C32FD"/>
    <w:rsid w:val="006C39CE"/>
    <w:rsid w:val="006C6A1B"/>
    <w:rsid w:val="006D0FCC"/>
    <w:rsid w:val="006D6A98"/>
    <w:rsid w:val="006D7D59"/>
    <w:rsid w:val="006E1FC3"/>
    <w:rsid w:val="006E7B3F"/>
    <w:rsid w:val="007027BB"/>
    <w:rsid w:val="00705776"/>
    <w:rsid w:val="0070616B"/>
    <w:rsid w:val="00706FDA"/>
    <w:rsid w:val="00711F9A"/>
    <w:rsid w:val="00713810"/>
    <w:rsid w:val="007303A5"/>
    <w:rsid w:val="00730B3E"/>
    <w:rsid w:val="0073420B"/>
    <w:rsid w:val="00743C42"/>
    <w:rsid w:val="007452D7"/>
    <w:rsid w:val="0074760E"/>
    <w:rsid w:val="00754ABA"/>
    <w:rsid w:val="007763BB"/>
    <w:rsid w:val="007947E1"/>
    <w:rsid w:val="007A0A89"/>
    <w:rsid w:val="007A1546"/>
    <w:rsid w:val="007A228C"/>
    <w:rsid w:val="007A368E"/>
    <w:rsid w:val="007A5868"/>
    <w:rsid w:val="007B04CE"/>
    <w:rsid w:val="007B6871"/>
    <w:rsid w:val="007B7A2F"/>
    <w:rsid w:val="007C3D33"/>
    <w:rsid w:val="007D294A"/>
    <w:rsid w:val="007D47D2"/>
    <w:rsid w:val="007D544F"/>
    <w:rsid w:val="007D6EC0"/>
    <w:rsid w:val="007D7E1D"/>
    <w:rsid w:val="007E2541"/>
    <w:rsid w:val="007E5096"/>
    <w:rsid w:val="00805DC9"/>
    <w:rsid w:val="00821DB5"/>
    <w:rsid w:val="00827F0F"/>
    <w:rsid w:val="00831979"/>
    <w:rsid w:val="0084396B"/>
    <w:rsid w:val="00851352"/>
    <w:rsid w:val="00863230"/>
    <w:rsid w:val="00864D43"/>
    <w:rsid w:val="008717D8"/>
    <w:rsid w:val="0087215C"/>
    <w:rsid w:val="008847C2"/>
    <w:rsid w:val="00886BFA"/>
    <w:rsid w:val="008875FE"/>
    <w:rsid w:val="00887F8E"/>
    <w:rsid w:val="00896234"/>
    <w:rsid w:val="00897E43"/>
    <w:rsid w:val="008B02A5"/>
    <w:rsid w:val="008C5738"/>
    <w:rsid w:val="008C7EAD"/>
    <w:rsid w:val="008D0CFE"/>
    <w:rsid w:val="008D24AD"/>
    <w:rsid w:val="008D6152"/>
    <w:rsid w:val="008F0F81"/>
    <w:rsid w:val="008F27BF"/>
    <w:rsid w:val="009142EC"/>
    <w:rsid w:val="009154C3"/>
    <w:rsid w:val="009214E2"/>
    <w:rsid w:val="00923540"/>
    <w:rsid w:val="00926767"/>
    <w:rsid w:val="009361D5"/>
    <w:rsid w:val="009428A4"/>
    <w:rsid w:val="009659F4"/>
    <w:rsid w:val="00970D60"/>
    <w:rsid w:val="009725EF"/>
    <w:rsid w:val="00974310"/>
    <w:rsid w:val="00985498"/>
    <w:rsid w:val="009922B4"/>
    <w:rsid w:val="009960E5"/>
    <w:rsid w:val="009A7ADC"/>
    <w:rsid w:val="009C19B7"/>
    <w:rsid w:val="009D05A1"/>
    <w:rsid w:val="009D09AC"/>
    <w:rsid w:val="009D1E91"/>
    <w:rsid w:val="009D4A1A"/>
    <w:rsid w:val="009D7C51"/>
    <w:rsid w:val="009E4F79"/>
    <w:rsid w:val="009F36BF"/>
    <w:rsid w:val="009F63E2"/>
    <w:rsid w:val="00A111B6"/>
    <w:rsid w:val="00A26D27"/>
    <w:rsid w:val="00A33F79"/>
    <w:rsid w:val="00A376EE"/>
    <w:rsid w:val="00A37A05"/>
    <w:rsid w:val="00A42A99"/>
    <w:rsid w:val="00A50CC4"/>
    <w:rsid w:val="00A5151A"/>
    <w:rsid w:val="00A558DC"/>
    <w:rsid w:val="00A56E4D"/>
    <w:rsid w:val="00A57E0A"/>
    <w:rsid w:val="00A63730"/>
    <w:rsid w:val="00A75869"/>
    <w:rsid w:val="00A823F6"/>
    <w:rsid w:val="00A91A55"/>
    <w:rsid w:val="00AA0A89"/>
    <w:rsid w:val="00AA6429"/>
    <w:rsid w:val="00AA6FB4"/>
    <w:rsid w:val="00AC01AA"/>
    <w:rsid w:val="00AC4F72"/>
    <w:rsid w:val="00AF741A"/>
    <w:rsid w:val="00AF742F"/>
    <w:rsid w:val="00B01ADB"/>
    <w:rsid w:val="00B04161"/>
    <w:rsid w:val="00B056F9"/>
    <w:rsid w:val="00B11E3D"/>
    <w:rsid w:val="00B16FEE"/>
    <w:rsid w:val="00B17E82"/>
    <w:rsid w:val="00B3176E"/>
    <w:rsid w:val="00B31C3F"/>
    <w:rsid w:val="00B4575A"/>
    <w:rsid w:val="00B575BA"/>
    <w:rsid w:val="00B76429"/>
    <w:rsid w:val="00B87DD0"/>
    <w:rsid w:val="00B956D4"/>
    <w:rsid w:val="00B97446"/>
    <w:rsid w:val="00B979E5"/>
    <w:rsid w:val="00BA7432"/>
    <w:rsid w:val="00BB5580"/>
    <w:rsid w:val="00BC1AA0"/>
    <w:rsid w:val="00BC2495"/>
    <w:rsid w:val="00BC7EB9"/>
    <w:rsid w:val="00BD2643"/>
    <w:rsid w:val="00BD56B1"/>
    <w:rsid w:val="00BD6558"/>
    <w:rsid w:val="00BF3022"/>
    <w:rsid w:val="00BF3214"/>
    <w:rsid w:val="00BF5573"/>
    <w:rsid w:val="00BF6575"/>
    <w:rsid w:val="00C00EE7"/>
    <w:rsid w:val="00C1139C"/>
    <w:rsid w:val="00C15867"/>
    <w:rsid w:val="00C2296D"/>
    <w:rsid w:val="00C23155"/>
    <w:rsid w:val="00C2431D"/>
    <w:rsid w:val="00C254C6"/>
    <w:rsid w:val="00C40C41"/>
    <w:rsid w:val="00C44BDA"/>
    <w:rsid w:val="00C45885"/>
    <w:rsid w:val="00C50F22"/>
    <w:rsid w:val="00C57971"/>
    <w:rsid w:val="00C73D82"/>
    <w:rsid w:val="00C76BA4"/>
    <w:rsid w:val="00C83A48"/>
    <w:rsid w:val="00C85865"/>
    <w:rsid w:val="00C85E85"/>
    <w:rsid w:val="00C86CE1"/>
    <w:rsid w:val="00C9058E"/>
    <w:rsid w:val="00C91A27"/>
    <w:rsid w:val="00CA2EAE"/>
    <w:rsid w:val="00CA4141"/>
    <w:rsid w:val="00CA4AC1"/>
    <w:rsid w:val="00CB0316"/>
    <w:rsid w:val="00CB0B11"/>
    <w:rsid w:val="00CB5354"/>
    <w:rsid w:val="00CC6A14"/>
    <w:rsid w:val="00CC70A3"/>
    <w:rsid w:val="00CD28F3"/>
    <w:rsid w:val="00CD4442"/>
    <w:rsid w:val="00CD53C3"/>
    <w:rsid w:val="00CD574E"/>
    <w:rsid w:val="00CE3EF6"/>
    <w:rsid w:val="00CE44D5"/>
    <w:rsid w:val="00CE4C22"/>
    <w:rsid w:val="00CF41EC"/>
    <w:rsid w:val="00CF5D04"/>
    <w:rsid w:val="00D04DE4"/>
    <w:rsid w:val="00D063F1"/>
    <w:rsid w:val="00D14F22"/>
    <w:rsid w:val="00D20DE4"/>
    <w:rsid w:val="00D56245"/>
    <w:rsid w:val="00D57918"/>
    <w:rsid w:val="00D60AD8"/>
    <w:rsid w:val="00D71589"/>
    <w:rsid w:val="00D73DC6"/>
    <w:rsid w:val="00D74C1A"/>
    <w:rsid w:val="00D754C1"/>
    <w:rsid w:val="00D77393"/>
    <w:rsid w:val="00D77A35"/>
    <w:rsid w:val="00D81B3E"/>
    <w:rsid w:val="00D85E76"/>
    <w:rsid w:val="00D90C70"/>
    <w:rsid w:val="00D90E49"/>
    <w:rsid w:val="00D96ADE"/>
    <w:rsid w:val="00D96BA1"/>
    <w:rsid w:val="00DA78BB"/>
    <w:rsid w:val="00DB6581"/>
    <w:rsid w:val="00DC6A10"/>
    <w:rsid w:val="00DE657E"/>
    <w:rsid w:val="00DF28E2"/>
    <w:rsid w:val="00DF3389"/>
    <w:rsid w:val="00DF4704"/>
    <w:rsid w:val="00DF732F"/>
    <w:rsid w:val="00E024AA"/>
    <w:rsid w:val="00E250F1"/>
    <w:rsid w:val="00E27E2B"/>
    <w:rsid w:val="00E3550D"/>
    <w:rsid w:val="00E614E0"/>
    <w:rsid w:val="00E66363"/>
    <w:rsid w:val="00E70D40"/>
    <w:rsid w:val="00E73F7F"/>
    <w:rsid w:val="00E82523"/>
    <w:rsid w:val="00E85409"/>
    <w:rsid w:val="00E85D15"/>
    <w:rsid w:val="00E962AC"/>
    <w:rsid w:val="00EA429F"/>
    <w:rsid w:val="00EA4F9E"/>
    <w:rsid w:val="00EA63CA"/>
    <w:rsid w:val="00EA6D3B"/>
    <w:rsid w:val="00EB00AD"/>
    <w:rsid w:val="00EB136C"/>
    <w:rsid w:val="00EB480E"/>
    <w:rsid w:val="00EB5EC6"/>
    <w:rsid w:val="00EB791E"/>
    <w:rsid w:val="00EB7945"/>
    <w:rsid w:val="00EB7FC9"/>
    <w:rsid w:val="00ED27E8"/>
    <w:rsid w:val="00ED323A"/>
    <w:rsid w:val="00ED7137"/>
    <w:rsid w:val="00F21088"/>
    <w:rsid w:val="00F2626F"/>
    <w:rsid w:val="00F327E7"/>
    <w:rsid w:val="00F3318B"/>
    <w:rsid w:val="00F35746"/>
    <w:rsid w:val="00F447C7"/>
    <w:rsid w:val="00F45E67"/>
    <w:rsid w:val="00F554A9"/>
    <w:rsid w:val="00F67B23"/>
    <w:rsid w:val="00F716FD"/>
    <w:rsid w:val="00F73A2C"/>
    <w:rsid w:val="00F765E1"/>
    <w:rsid w:val="00F80355"/>
    <w:rsid w:val="00F822E6"/>
    <w:rsid w:val="00F94EEA"/>
    <w:rsid w:val="00FB03EA"/>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7F04"/>
  <w15:docId w15:val="{3DE4017A-D32A-40B3-A9F8-5652356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6"/>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6"/>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26"/>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6"/>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6"/>
      </w:numPr>
      <w:spacing w:before="240" w:after="60"/>
      <w:outlineLvl w:val="5"/>
    </w:pPr>
    <w:rPr>
      <w:rFonts w:ascii="Arial" w:hAnsi="Arial"/>
      <w:i/>
    </w:rPr>
  </w:style>
  <w:style w:type="paragraph" w:styleId="Heading7">
    <w:name w:val="heading 7"/>
    <w:basedOn w:val="Normal"/>
    <w:next w:val="Normal"/>
    <w:qFormat/>
    <w:rsid w:val="00A5151A"/>
    <w:pPr>
      <w:numPr>
        <w:ilvl w:val="6"/>
        <w:numId w:val="26"/>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92BEA"/>
    <w:rPr>
      <w:sz w:val="22"/>
      <w:szCs w:val="22"/>
      <w:lang w:val="en-GB"/>
    </w:rPr>
  </w:style>
  <w:style w:type="paragraph" w:styleId="FootnoteText">
    <w:name w:val="footnote text"/>
    <w:basedOn w:val="Normal"/>
    <w:link w:val="FootnoteTextChar"/>
    <w:semiHidden/>
    <w:rsid w:val="00482664"/>
    <w:pPr>
      <w:jc w:val="left"/>
    </w:pPr>
    <w:rPr>
      <w:szCs w:val="20"/>
    </w:rPr>
  </w:style>
  <w:style w:type="character" w:customStyle="1" w:styleId="FootnoteTextChar">
    <w:name w:val="Footnote Text Char"/>
    <w:basedOn w:val="DefaultParagraphFont"/>
    <w:link w:val="FootnoteText"/>
    <w:semiHidden/>
    <w:rsid w:val="00482664"/>
    <w:rPr>
      <w:sz w:val="22"/>
      <w:lang w:val="en-GB"/>
    </w:rPr>
  </w:style>
  <w:style w:type="character" w:styleId="FootnoteReference">
    <w:name w:val="footnote reference"/>
    <w:semiHidden/>
    <w:rsid w:val="00482664"/>
    <w:rPr>
      <w:vertAlign w:val="superscript"/>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uiPriority w:val="9"/>
    <w:locked/>
    <w:rsid w:val="006E7B3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1667">
      <w:bodyDiv w:val="1"/>
      <w:marLeft w:val="0"/>
      <w:marRight w:val="0"/>
      <w:marTop w:val="0"/>
      <w:marBottom w:val="0"/>
      <w:divBdr>
        <w:top w:val="none" w:sz="0" w:space="0" w:color="auto"/>
        <w:left w:val="none" w:sz="0" w:space="0" w:color="auto"/>
        <w:bottom w:val="none" w:sz="0" w:space="0" w:color="auto"/>
        <w:right w:val="none" w:sz="0" w:space="0" w:color="auto"/>
      </w:divBdr>
    </w:div>
    <w:div w:id="18734221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UNEP/OzL.Pro/ExCom/81/57</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751E3CD9-3CD7-4C07-84AA-782BD24FBACA}"/>
</file>

<file path=customXml/itemProps2.xml><?xml version="1.0" encoding="utf-8"?>
<ds:datastoreItem xmlns:ds="http://schemas.openxmlformats.org/officeDocument/2006/customXml" ds:itemID="{A02B840B-23A5-45C1-AE12-87B0F84DF7F1}"/>
</file>

<file path=customXml/itemProps3.xml><?xml version="1.0" encoding="utf-8"?>
<ds:datastoreItem xmlns:ds="http://schemas.openxmlformats.org/officeDocument/2006/customXml" ds:itemID="{79684B6B-1F1A-48D8-A9C3-53B175E3CD6E}"/>
</file>

<file path=customXml/itemProps4.xml><?xml version="1.0" encoding="utf-8"?>
<ds:datastoreItem xmlns:ds="http://schemas.openxmlformats.org/officeDocument/2006/customXml" ds:itemID="{D2F78C94-3EC4-4883-931B-1C82C315B1AD}"/>
</file>

<file path=docProps/app.xml><?xml version="1.0" encoding="utf-8"?>
<Properties xmlns="http://schemas.openxmlformats.org/officeDocument/2006/extended-properties" xmlns:vt="http://schemas.openxmlformats.org/officeDocument/2006/docPropsVTypes">
  <Template>Eec80G</Template>
  <TotalTime>136</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Report of the Sub-group on the Production Sector</vt:lpstr>
    </vt:vector>
  </TitlesOfParts>
  <Company>UNMFS</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Sub-group on the Production Sector</dc:title>
  <dc:subject>UNEP/OzL.Pro/ExCom/80/57</dc:subject>
  <dc:creator>muriel Aguiar</dc:creator>
  <cp:lastModifiedBy>Elina Yuen</cp:lastModifiedBy>
  <cp:revision>14</cp:revision>
  <cp:lastPrinted>2018-06-27T18:08:00Z</cp:lastPrinted>
  <dcterms:created xsi:type="dcterms:W3CDTF">2018-06-26T20:06:00Z</dcterms:created>
  <dcterms:modified xsi:type="dcterms:W3CDTF">2018-06-27T18:14:00Z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UNEP/OzL.Pro/ExCom/81/57</vt:lpwstr>
  </property>
  <property fmtid="{D5CDD505-2E9C-101B-9397-08002B2CF9AE}" pid="3" name="Revision date">
    <vt:lpwstr>27/06/2018</vt:lpwstr>
  </property>
  <property fmtid="{D5CDD505-2E9C-101B-9397-08002B2CF9AE}" pid="4" name="ContentTypeId">
    <vt:lpwstr>0x0101004B13B1B27BA23146A32B327DDC69C6DE</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