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070"/>
        <w:gridCol w:w="3420"/>
        <w:gridCol w:w="4590"/>
      </w:tblGrid>
      <w:tr w:rsidR="00C15867" w:rsidRPr="003B533B" w14:paraId="209C2466" w14:textId="77777777" w:rsidTr="00807919">
        <w:trPr>
          <w:trHeight w:val="720"/>
        </w:trPr>
        <w:tc>
          <w:tcPr>
            <w:tcW w:w="5490" w:type="dxa"/>
            <w:gridSpan w:val="2"/>
            <w:tcBorders>
              <w:bottom w:val="single" w:sz="18" w:space="0" w:color="auto"/>
            </w:tcBorders>
          </w:tcPr>
          <w:p w14:paraId="4A3FB84A" w14:textId="77777777" w:rsidR="00C15867" w:rsidRPr="003B533B" w:rsidRDefault="00C15867" w:rsidP="001409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3B533B">
              <w:rPr>
                <w:rFonts w:ascii="Univers" w:hAnsi="Univers"/>
                <w:b/>
                <w:sz w:val="28"/>
                <w:szCs w:val="28"/>
              </w:rPr>
              <w:t>UNITED</w:t>
            </w:r>
            <w:r w:rsidRPr="003B533B">
              <w:rPr>
                <w:rFonts w:ascii="Univers" w:hAnsi="Univers"/>
                <w:b/>
                <w:sz w:val="28"/>
                <w:szCs w:val="28"/>
              </w:rPr>
              <w:br/>
              <w:t>NATIONS</w:t>
            </w:r>
          </w:p>
        </w:tc>
        <w:tc>
          <w:tcPr>
            <w:tcW w:w="4590" w:type="dxa"/>
            <w:tcBorders>
              <w:bottom w:val="single" w:sz="18" w:space="0" w:color="auto"/>
            </w:tcBorders>
          </w:tcPr>
          <w:p w14:paraId="098DD11E" w14:textId="77777777" w:rsidR="00C15867" w:rsidRPr="003B533B" w:rsidRDefault="00C15867" w:rsidP="0014095B">
            <w:pPr>
              <w:jc w:val="right"/>
              <w:rPr>
                <w:sz w:val="52"/>
                <w:szCs w:val="52"/>
              </w:rPr>
            </w:pPr>
            <w:r w:rsidRPr="003B533B">
              <w:rPr>
                <w:rFonts w:ascii="Univers Bold" w:hAnsi="Univers Bold"/>
                <w:b/>
                <w:sz w:val="72"/>
              </w:rPr>
              <w:t>EP</w:t>
            </w:r>
          </w:p>
        </w:tc>
      </w:tr>
      <w:tr w:rsidR="00C15867" w:rsidRPr="003B533B" w14:paraId="74012098" w14:textId="77777777" w:rsidTr="00807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12D0EE2" w14:textId="77777777" w:rsidR="00C15867" w:rsidRPr="003B533B" w:rsidRDefault="00DA0CE2" w:rsidP="0014095B">
            <w:pPr>
              <w:spacing w:before="120"/>
            </w:pPr>
            <w:r w:rsidRPr="003B533B">
              <w:rPr>
                <w:noProof/>
                <w:lang w:val="en-CA" w:eastAsia="en-CA"/>
              </w:rPr>
              <w:drawing>
                <wp:anchor distT="0" distB="0" distL="114300" distR="114300" simplePos="0" relativeHeight="251659264" behindDoc="0" locked="0" layoutInCell="1" allowOverlap="1" wp14:anchorId="0E5B9C59" wp14:editId="6B89AF10">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3B533B">
              <w:rPr>
                <w:noProof/>
                <w:lang w:val="en-CA" w:eastAsia="en-CA"/>
              </w:rPr>
              <w:drawing>
                <wp:anchor distT="0" distB="0" distL="114300" distR="114300" simplePos="0" relativeHeight="251660288" behindDoc="1" locked="0" layoutInCell="0" allowOverlap="1" wp14:anchorId="1C0DE383" wp14:editId="5BDDE53D">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58A0C5EC" w14:textId="77777777" w:rsidR="00C15867" w:rsidRPr="003B533B" w:rsidRDefault="00C15867" w:rsidP="001409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3B533B">
              <w:rPr>
                <w:rFonts w:ascii="Univers" w:hAnsi="Univers"/>
                <w:b/>
                <w:sz w:val="32"/>
              </w:rPr>
              <w:t>United Nations</w:t>
            </w:r>
          </w:p>
          <w:p w14:paraId="2AD5D610" w14:textId="77777777" w:rsidR="00C15867" w:rsidRPr="003B533B" w:rsidRDefault="00C15867" w:rsidP="001409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3B533B">
              <w:rPr>
                <w:rFonts w:ascii="Univers" w:hAnsi="Univers"/>
                <w:b/>
                <w:sz w:val="32"/>
              </w:rPr>
              <w:t>Environment</w:t>
            </w:r>
          </w:p>
          <w:p w14:paraId="6881E9CB" w14:textId="77777777" w:rsidR="00C15867" w:rsidRPr="003B533B" w:rsidRDefault="00C15867" w:rsidP="001409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3B533B">
              <w:rPr>
                <w:rFonts w:ascii="Univers" w:hAnsi="Univers"/>
                <w:b/>
                <w:sz w:val="32"/>
              </w:rPr>
              <w:t>Programme</w:t>
            </w:r>
          </w:p>
          <w:p w14:paraId="5AF3039C" w14:textId="77777777" w:rsidR="00C15867" w:rsidRPr="003B533B" w:rsidRDefault="00C15867" w:rsidP="0014095B">
            <w:pPr>
              <w:spacing w:before="720"/>
              <w:ind w:left="158"/>
            </w:pPr>
          </w:p>
        </w:tc>
        <w:tc>
          <w:tcPr>
            <w:tcW w:w="4590" w:type="dxa"/>
            <w:tcBorders>
              <w:top w:val="nil"/>
              <w:left w:val="nil"/>
              <w:bottom w:val="single" w:sz="36" w:space="0" w:color="auto"/>
              <w:right w:val="nil"/>
            </w:tcBorders>
          </w:tcPr>
          <w:p w14:paraId="37DE62F8" w14:textId="77777777" w:rsidR="00C15867" w:rsidRPr="003B533B" w:rsidRDefault="00C15867" w:rsidP="0014095B">
            <w:r w:rsidRPr="003B533B">
              <w:t>Distr.</w:t>
            </w:r>
          </w:p>
          <w:p w14:paraId="6987A220" w14:textId="77777777" w:rsidR="00923540" w:rsidRPr="003B533B" w:rsidRDefault="00923540" w:rsidP="0014095B">
            <w:r w:rsidRPr="003B533B">
              <w:t>GENERAL</w:t>
            </w:r>
          </w:p>
          <w:p w14:paraId="1363A442" w14:textId="77777777" w:rsidR="00C15867" w:rsidRPr="003B533B" w:rsidRDefault="00C15867" w:rsidP="0014095B"/>
          <w:p w14:paraId="70A12A67" w14:textId="77777777" w:rsidR="00C15867" w:rsidRPr="003B533B" w:rsidRDefault="00C15867" w:rsidP="0014095B"/>
          <w:p w14:paraId="71E4949F" w14:textId="07961CDA" w:rsidR="00C15867" w:rsidRPr="003B533B" w:rsidRDefault="00322DC6" w:rsidP="0014095B">
            <w:fldSimple w:instr=" DOCPROPERTY &quot;Document number&quot;  \* MERGEFORMAT ">
              <w:r w:rsidR="00D02D5C" w:rsidRPr="003B533B">
                <w:t>UNEP/OzL.Pro/ExCom/82/24</w:t>
              </w:r>
            </w:fldSimple>
          </w:p>
          <w:p w14:paraId="6926847B" w14:textId="11225895" w:rsidR="00C15867" w:rsidRPr="003B533B" w:rsidRDefault="00BC2495" w:rsidP="0014095B">
            <w:r w:rsidRPr="003B533B">
              <w:fldChar w:fldCharType="begin"/>
            </w:r>
            <w:r w:rsidR="00851352" w:rsidRPr="003B533B">
              <w:instrText xml:space="preserve"> DOCPROPERTY "Revision date" \@ "d MMMM YYYY"  \* MERGEFORMAT </w:instrText>
            </w:r>
            <w:r w:rsidRPr="003B533B">
              <w:fldChar w:fldCharType="separate"/>
            </w:r>
            <w:r w:rsidR="001B13C2" w:rsidRPr="003B533B">
              <w:t>6 November 2018</w:t>
            </w:r>
            <w:r w:rsidRPr="003B533B">
              <w:fldChar w:fldCharType="end"/>
            </w:r>
          </w:p>
          <w:p w14:paraId="05B5521B" w14:textId="77777777" w:rsidR="00C15867" w:rsidRPr="003B533B" w:rsidRDefault="00C15867" w:rsidP="0014095B">
            <w:pPr>
              <w:rPr>
                <w:caps/>
              </w:rPr>
            </w:pPr>
          </w:p>
          <w:p w14:paraId="181B8D1C" w14:textId="77777777" w:rsidR="00C15867" w:rsidRPr="003B533B" w:rsidRDefault="00C15867" w:rsidP="0014095B">
            <w:r w:rsidRPr="003B533B">
              <w:t>ORIGINAL: ENGLISH</w:t>
            </w:r>
          </w:p>
        </w:tc>
      </w:tr>
    </w:tbl>
    <w:p w14:paraId="6A4C549D" w14:textId="0361AB26" w:rsidR="009E196C" w:rsidRPr="003B533B" w:rsidRDefault="00C15867" w:rsidP="0014095B">
      <w:pPr>
        <w:jc w:val="left"/>
      </w:pPr>
      <w:r w:rsidRPr="003B533B">
        <w:t>EXECUTIVE COMMITTEE OF</w:t>
      </w:r>
      <w:r w:rsidRPr="003B533B">
        <w:br/>
      </w:r>
      <w:r w:rsidR="0014095B" w:rsidRPr="003B533B">
        <w:t xml:space="preserve"> </w:t>
      </w:r>
      <w:r w:rsidRPr="003B533B">
        <w:t>THE MULTILATERAL FUND FOR THE</w:t>
      </w:r>
      <w:r w:rsidRPr="003B533B">
        <w:br/>
      </w:r>
      <w:r w:rsidR="0014095B" w:rsidRPr="003B533B">
        <w:t xml:space="preserve"> </w:t>
      </w:r>
      <w:r w:rsidRPr="003B533B">
        <w:t>IMPLEMENTATION OF THE MONTREAL PROTOCOL</w:t>
      </w:r>
      <w:r w:rsidRPr="003B533B">
        <w:br/>
      </w:r>
      <w:r w:rsidR="009E196C" w:rsidRPr="003B533B">
        <w:rPr>
          <w:lang w:val="en-CA"/>
        </w:rPr>
        <w:t>Eighty-</w:t>
      </w:r>
      <w:r w:rsidR="00533796" w:rsidRPr="003B533B">
        <w:rPr>
          <w:lang w:val="en-CA"/>
        </w:rPr>
        <w:t>second</w:t>
      </w:r>
      <w:r w:rsidR="009E196C" w:rsidRPr="003B533B">
        <w:rPr>
          <w:lang w:val="en-CA"/>
        </w:rPr>
        <w:t xml:space="preserve"> </w:t>
      </w:r>
      <w:r w:rsidR="009E196C" w:rsidRPr="003B533B">
        <w:t>Meeting</w:t>
      </w:r>
    </w:p>
    <w:p w14:paraId="0D56EC5F" w14:textId="77777777" w:rsidR="009E196C" w:rsidRPr="003B533B" w:rsidRDefault="009E196C" w:rsidP="0014095B">
      <w:pPr>
        <w:jc w:val="left"/>
        <w:rPr>
          <w:lang w:val="en-CA"/>
        </w:rPr>
      </w:pPr>
      <w:r w:rsidRPr="003B533B">
        <w:rPr>
          <w:lang w:val="en-CA"/>
        </w:rPr>
        <w:t xml:space="preserve">Montreal, </w:t>
      </w:r>
      <w:r w:rsidR="00533796" w:rsidRPr="003B533B">
        <w:rPr>
          <w:lang w:val="en-CA"/>
        </w:rPr>
        <w:t>3</w:t>
      </w:r>
      <w:r w:rsidRPr="003B533B">
        <w:t>-</w:t>
      </w:r>
      <w:r w:rsidR="00533796" w:rsidRPr="003B533B">
        <w:t>7</w:t>
      </w:r>
      <w:r w:rsidRPr="003B533B">
        <w:t xml:space="preserve"> </w:t>
      </w:r>
      <w:r w:rsidR="00533796" w:rsidRPr="003B533B">
        <w:t>December</w:t>
      </w:r>
      <w:r w:rsidRPr="003B533B">
        <w:t xml:space="preserve"> 2018</w:t>
      </w:r>
    </w:p>
    <w:p w14:paraId="5AB6AA1D" w14:textId="77777777" w:rsidR="00C15867" w:rsidRPr="003B533B" w:rsidRDefault="00C15867" w:rsidP="0014095B">
      <w:pPr>
        <w:jc w:val="left"/>
        <w:rPr>
          <w:lang w:val="en-US"/>
        </w:rPr>
      </w:pPr>
    </w:p>
    <w:p w14:paraId="2CA8FDD1" w14:textId="77777777" w:rsidR="004E7F9C" w:rsidRPr="003B533B" w:rsidRDefault="004E7F9C" w:rsidP="0014095B">
      <w:pPr>
        <w:pStyle w:val="Title1"/>
      </w:pPr>
    </w:p>
    <w:p w14:paraId="6A1E0840" w14:textId="77777777" w:rsidR="001B20F4" w:rsidRPr="003B533B" w:rsidRDefault="001B20F4" w:rsidP="0014095B">
      <w:pPr>
        <w:pStyle w:val="Title1"/>
        <w:rPr>
          <w:bCs/>
          <w:lang w:val="en-CA"/>
        </w:rPr>
      </w:pPr>
      <w:r w:rsidRPr="003B533B">
        <w:rPr>
          <w:bCs/>
          <w:lang w:val="en-CA"/>
        </w:rPr>
        <w:t>TRANCHE SUBMISSION DELAYS</w:t>
      </w:r>
    </w:p>
    <w:p w14:paraId="1D2F6A7A" w14:textId="77777777" w:rsidR="001B20F4" w:rsidRPr="003B533B" w:rsidRDefault="001B20F4" w:rsidP="0014095B">
      <w:pPr>
        <w:pStyle w:val="StyleHeader4Para4Left0Firstline0"/>
        <w:numPr>
          <w:ilvl w:val="0"/>
          <w:numId w:val="0"/>
        </w:numPr>
        <w:spacing w:after="0"/>
        <w:rPr>
          <w:sz w:val="22"/>
          <w:lang w:val="en-CA"/>
        </w:rPr>
      </w:pPr>
    </w:p>
    <w:p w14:paraId="0FC07192" w14:textId="77777777" w:rsidR="001B20F4" w:rsidRPr="003B533B" w:rsidRDefault="001B20F4" w:rsidP="0014095B">
      <w:pPr>
        <w:spacing w:after="240"/>
        <w:rPr>
          <w:b/>
          <w:lang w:val="en-CA"/>
        </w:rPr>
      </w:pPr>
      <w:r w:rsidRPr="003B533B">
        <w:rPr>
          <w:b/>
          <w:lang w:val="en-CA"/>
        </w:rPr>
        <w:t>Introduction</w:t>
      </w:r>
    </w:p>
    <w:p w14:paraId="64D1A017" w14:textId="77777777" w:rsidR="001B20F4" w:rsidRPr="003B533B" w:rsidRDefault="001B20F4" w:rsidP="0014095B">
      <w:pPr>
        <w:pStyle w:val="Heading1"/>
        <w:rPr>
          <w:lang w:val="en-CA"/>
        </w:rPr>
      </w:pPr>
      <w:r w:rsidRPr="003B533B">
        <w:rPr>
          <w:lang w:val="en-CA"/>
        </w:rPr>
        <w:t>Pursuant to decision 47/50(d),</w:t>
      </w:r>
      <w:r w:rsidRPr="003B533B">
        <w:rPr>
          <w:rStyle w:val="FootnoteReference"/>
          <w:lang w:val="en-CA"/>
        </w:rPr>
        <w:footnoteReference w:id="1"/>
      </w:r>
      <w:r w:rsidRPr="003B533B">
        <w:rPr>
          <w:lang w:val="en-CA"/>
        </w:rPr>
        <w:t xml:space="preserve"> the Secretariat has prepared this document on tranche submission delays of multi-year agreements (MYAs). It presents actions taken in response to decisions on tranche submission delays adopted at the 8</w:t>
      </w:r>
      <w:r w:rsidR="008F6EAA" w:rsidRPr="003B533B">
        <w:rPr>
          <w:lang w:val="en-CA"/>
        </w:rPr>
        <w:t>1</w:t>
      </w:r>
      <w:r w:rsidR="008F6EAA" w:rsidRPr="003B533B">
        <w:rPr>
          <w:vertAlign w:val="superscript"/>
          <w:lang w:val="en-CA"/>
        </w:rPr>
        <w:t>st</w:t>
      </w:r>
      <w:r w:rsidR="008F6EAA" w:rsidRPr="003B533B">
        <w:rPr>
          <w:lang w:val="en-CA"/>
        </w:rPr>
        <w:t xml:space="preserve"> </w:t>
      </w:r>
      <w:r w:rsidRPr="003B533B">
        <w:rPr>
          <w:lang w:val="en-CA"/>
        </w:rPr>
        <w:t xml:space="preserve">meeting; an analysis of each of the tranches that were not submitted to the </w:t>
      </w:r>
      <w:r w:rsidR="008F6EAA" w:rsidRPr="003B533B">
        <w:rPr>
          <w:lang w:val="en-CA"/>
        </w:rPr>
        <w:t>82</w:t>
      </w:r>
      <w:r w:rsidR="008F6EAA" w:rsidRPr="003B533B">
        <w:rPr>
          <w:vertAlign w:val="superscript"/>
          <w:lang w:val="en-CA"/>
        </w:rPr>
        <w:t>nd</w:t>
      </w:r>
      <w:r w:rsidR="008F6EAA" w:rsidRPr="003B533B">
        <w:rPr>
          <w:lang w:val="en-CA"/>
        </w:rPr>
        <w:t xml:space="preserve"> </w:t>
      </w:r>
      <w:r w:rsidRPr="003B533B">
        <w:rPr>
          <w:lang w:val="en-CA"/>
        </w:rPr>
        <w:t xml:space="preserve">meeting; reasons for the withdrawal of tranches that were submitted to the </w:t>
      </w:r>
      <w:r w:rsidR="008F6EAA" w:rsidRPr="003B533B">
        <w:rPr>
          <w:lang w:val="en-CA"/>
        </w:rPr>
        <w:t>82</w:t>
      </w:r>
      <w:r w:rsidR="008F6EAA" w:rsidRPr="003B533B">
        <w:rPr>
          <w:vertAlign w:val="superscript"/>
          <w:lang w:val="en-CA"/>
        </w:rPr>
        <w:t>nd</w:t>
      </w:r>
      <w:r w:rsidR="008F6EAA" w:rsidRPr="003B533B">
        <w:rPr>
          <w:lang w:val="en-CA"/>
        </w:rPr>
        <w:t xml:space="preserve"> meeting</w:t>
      </w:r>
      <w:r w:rsidRPr="003B533B">
        <w:rPr>
          <w:lang w:val="en-CA"/>
        </w:rPr>
        <w:t xml:space="preserve">; and the recommendation. </w:t>
      </w:r>
    </w:p>
    <w:p w14:paraId="58F77915" w14:textId="77777777" w:rsidR="001B20F4" w:rsidRPr="003B533B" w:rsidRDefault="001B20F4" w:rsidP="0014095B">
      <w:pPr>
        <w:spacing w:after="240"/>
        <w:rPr>
          <w:b/>
          <w:lang w:val="en-CA"/>
        </w:rPr>
      </w:pPr>
      <w:r w:rsidRPr="003B533B">
        <w:rPr>
          <w:b/>
          <w:lang w:val="en-CA"/>
        </w:rPr>
        <w:t>Follow-up to decisions taken on tranche submission delays at the 8</w:t>
      </w:r>
      <w:r w:rsidR="008F6EAA" w:rsidRPr="003B533B">
        <w:rPr>
          <w:b/>
          <w:lang w:val="en-CA"/>
        </w:rPr>
        <w:t>1</w:t>
      </w:r>
      <w:r w:rsidR="008F6EAA" w:rsidRPr="003B533B">
        <w:rPr>
          <w:b/>
          <w:vertAlign w:val="superscript"/>
          <w:lang w:val="en-CA"/>
        </w:rPr>
        <w:t>st</w:t>
      </w:r>
      <w:r w:rsidR="008F6EAA" w:rsidRPr="003B533B">
        <w:rPr>
          <w:b/>
          <w:lang w:val="en-CA"/>
        </w:rPr>
        <w:t xml:space="preserve"> </w:t>
      </w:r>
      <w:r w:rsidRPr="003B533B">
        <w:rPr>
          <w:b/>
          <w:lang w:val="en-CA"/>
        </w:rPr>
        <w:t>meeting</w:t>
      </w:r>
    </w:p>
    <w:p w14:paraId="28ECF598" w14:textId="72D02651" w:rsidR="001B20F4" w:rsidRPr="003B533B" w:rsidRDefault="001B20F4" w:rsidP="0014095B">
      <w:pPr>
        <w:pStyle w:val="Heading1"/>
        <w:rPr>
          <w:lang w:val="en-CA"/>
        </w:rPr>
      </w:pPr>
      <w:r w:rsidRPr="003B533B">
        <w:rPr>
          <w:lang w:val="en-CA"/>
        </w:rPr>
        <w:t xml:space="preserve">Pursuant to decision </w:t>
      </w:r>
      <w:r w:rsidR="00F56C71" w:rsidRPr="003B533B">
        <w:rPr>
          <w:lang w:val="en-CA"/>
        </w:rPr>
        <w:t>81</w:t>
      </w:r>
      <w:r w:rsidRPr="003B533B">
        <w:rPr>
          <w:lang w:val="en-CA"/>
        </w:rPr>
        <w:t>/</w:t>
      </w:r>
      <w:r w:rsidR="00F56C71" w:rsidRPr="003B533B">
        <w:rPr>
          <w:lang w:val="en-CA"/>
        </w:rPr>
        <w:t>27</w:t>
      </w:r>
      <w:r w:rsidRPr="003B533B">
        <w:rPr>
          <w:lang w:val="en-CA"/>
        </w:rPr>
        <w:t xml:space="preserve">(b), the Secretariat sent letters to the Governments of </w:t>
      </w:r>
      <w:r w:rsidR="00476ACE" w:rsidRPr="003B533B">
        <w:rPr>
          <w:lang w:val="en-CA"/>
        </w:rPr>
        <w:t>3</w:t>
      </w:r>
      <w:r w:rsidR="00F56C71" w:rsidRPr="003B533B">
        <w:rPr>
          <w:lang w:val="en-CA"/>
        </w:rPr>
        <w:t>5</w:t>
      </w:r>
      <w:r w:rsidRPr="003B533B">
        <w:rPr>
          <w:lang w:val="en-CA"/>
        </w:rPr>
        <w:t xml:space="preserve"> Article 5 countries to urge the submission of the next tranche of their HCFC phase-out management plans (HPMPs) to the </w:t>
      </w:r>
      <w:r w:rsidR="00476ACE" w:rsidRPr="003B533B">
        <w:rPr>
          <w:lang w:val="en-CA"/>
        </w:rPr>
        <w:t>82</w:t>
      </w:r>
      <w:r w:rsidR="00476ACE" w:rsidRPr="003B533B">
        <w:rPr>
          <w:vertAlign w:val="superscript"/>
          <w:lang w:val="en-CA"/>
        </w:rPr>
        <w:t>nd</w:t>
      </w:r>
      <w:r w:rsidR="00476ACE" w:rsidRPr="003B533B">
        <w:rPr>
          <w:lang w:val="en-CA"/>
        </w:rPr>
        <w:t> </w:t>
      </w:r>
      <w:r w:rsidRPr="003B533B">
        <w:rPr>
          <w:lang w:val="en-CA"/>
        </w:rPr>
        <w:t xml:space="preserve">meeting. As a result, the Governments of </w:t>
      </w:r>
      <w:r w:rsidR="00807919" w:rsidRPr="003B533B">
        <w:rPr>
          <w:lang w:val="en-CA"/>
        </w:rPr>
        <w:t>Bosnia and Herzegovina</w:t>
      </w:r>
      <w:r w:rsidRPr="003B533B">
        <w:rPr>
          <w:rStyle w:val="FootnoteReference"/>
          <w:lang w:val="en-CA"/>
        </w:rPr>
        <w:footnoteReference w:id="2"/>
      </w:r>
      <w:r w:rsidRPr="003B533B">
        <w:rPr>
          <w:lang w:val="en-CA"/>
        </w:rPr>
        <w:t>,</w:t>
      </w:r>
      <w:r w:rsidR="000976E8" w:rsidRPr="003B533B">
        <w:rPr>
          <w:lang w:val="en-CA"/>
        </w:rPr>
        <w:t xml:space="preserve"> </w:t>
      </w:r>
      <w:r w:rsidR="00807919" w:rsidRPr="003B533B">
        <w:rPr>
          <w:lang w:val="en-CA"/>
        </w:rPr>
        <w:t>Brazil</w:t>
      </w:r>
      <w:r w:rsidRPr="003B533B">
        <w:rPr>
          <w:rStyle w:val="FootnoteReference"/>
          <w:lang w:val="en-CA"/>
        </w:rPr>
        <w:footnoteReference w:id="3"/>
      </w:r>
      <w:r w:rsidRPr="003B533B">
        <w:rPr>
          <w:lang w:val="en-CA"/>
        </w:rPr>
        <w:t xml:space="preserve">, </w:t>
      </w:r>
      <w:r w:rsidR="00807919" w:rsidRPr="003B533B">
        <w:rPr>
          <w:lang w:val="en-CA"/>
        </w:rPr>
        <w:t>Brunei Darussalam</w:t>
      </w:r>
      <w:r w:rsidRPr="003B533B">
        <w:rPr>
          <w:rStyle w:val="FootnoteReference"/>
          <w:lang w:val="en-CA"/>
        </w:rPr>
        <w:footnoteReference w:id="4"/>
      </w:r>
      <w:r w:rsidRPr="003B533B">
        <w:rPr>
          <w:lang w:val="en-CA"/>
        </w:rPr>
        <w:t xml:space="preserve">, </w:t>
      </w:r>
      <w:r w:rsidR="00807919" w:rsidRPr="003B533B">
        <w:rPr>
          <w:lang w:val="en-CA"/>
        </w:rPr>
        <w:t>Chad</w:t>
      </w:r>
      <w:r w:rsidRPr="003B533B">
        <w:rPr>
          <w:rStyle w:val="FootnoteReference"/>
          <w:lang w:val="en-CA"/>
        </w:rPr>
        <w:footnoteReference w:id="5"/>
      </w:r>
      <w:r w:rsidR="00807919" w:rsidRPr="003B533B">
        <w:rPr>
          <w:lang w:val="en-CA"/>
        </w:rPr>
        <w:t>, Cuba</w:t>
      </w:r>
      <w:r w:rsidR="00807919" w:rsidRPr="003B533B">
        <w:rPr>
          <w:rStyle w:val="FootnoteReference"/>
          <w:lang w:val="en-CA"/>
        </w:rPr>
        <w:footnoteReference w:id="6"/>
      </w:r>
      <w:r w:rsidR="00807919" w:rsidRPr="003B533B">
        <w:rPr>
          <w:lang w:val="en-CA"/>
        </w:rPr>
        <w:t>,</w:t>
      </w:r>
      <w:r w:rsidR="000976E8" w:rsidRPr="003B533B">
        <w:rPr>
          <w:lang w:val="en-CA"/>
        </w:rPr>
        <w:t xml:space="preserve"> </w:t>
      </w:r>
      <w:r w:rsidR="00807919" w:rsidRPr="003B533B">
        <w:rPr>
          <w:lang w:val="en-CA"/>
        </w:rPr>
        <w:t>Equatorial Guinea</w:t>
      </w:r>
      <w:r w:rsidR="00807919" w:rsidRPr="003B533B">
        <w:rPr>
          <w:rStyle w:val="FootnoteReference"/>
          <w:lang w:val="en-CA"/>
        </w:rPr>
        <w:footnoteReference w:id="7"/>
      </w:r>
      <w:r w:rsidR="00807919" w:rsidRPr="003B533B">
        <w:rPr>
          <w:lang w:val="en-CA"/>
        </w:rPr>
        <w:t>, Panama</w:t>
      </w:r>
      <w:r w:rsidR="00807919" w:rsidRPr="003B533B">
        <w:rPr>
          <w:rStyle w:val="FootnoteReference"/>
          <w:lang w:val="en-CA"/>
        </w:rPr>
        <w:footnoteReference w:id="8"/>
      </w:r>
      <w:r w:rsidR="00807919" w:rsidRPr="003B533B">
        <w:rPr>
          <w:lang w:val="en-CA"/>
        </w:rPr>
        <w:t>, Rwanda</w:t>
      </w:r>
      <w:r w:rsidR="00807919" w:rsidRPr="003B533B">
        <w:rPr>
          <w:rStyle w:val="FootnoteReference"/>
          <w:lang w:val="en-CA"/>
        </w:rPr>
        <w:footnoteReference w:id="9"/>
      </w:r>
      <w:r w:rsidR="00B241F1" w:rsidRPr="003B533B">
        <w:rPr>
          <w:lang w:val="en-CA"/>
        </w:rPr>
        <w:t xml:space="preserve"> and</w:t>
      </w:r>
      <w:r w:rsidR="00807919" w:rsidRPr="003B533B">
        <w:rPr>
          <w:lang w:val="en-CA"/>
        </w:rPr>
        <w:t xml:space="preserve"> Saint Lucia</w:t>
      </w:r>
      <w:r w:rsidR="00807919" w:rsidRPr="003B533B">
        <w:rPr>
          <w:rStyle w:val="FootnoteReference"/>
          <w:lang w:val="en-CA"/>
        </w:rPr>
        <w:footnoteReference w:id="10"/>
      </w:r>
      <w:r w:rsidR="00B241F1" w:rsidRPr="003B533B">
        <w:rPr>
          <w:lang w:val="en-CA"/>
        </w:rPr>
        <w:t xml:space="preserve"> </w:t>
      </w:r>
      <w:r w:rsidRPr="003B533B">
        <w:rPr>
          <w:lang w:val="en-CA"/>
        </w:rPr>
        <w:t xml:space="preserve">submitted respective tranches of their HPMPs. However, the Governments of </w:t>
      </w:r>
      <w:r w:rsidR="00090DB4" w:rsidRPr="003B533B">
        <w:rPr>
          <w:lang w:val="en-CA"/>
        </w:rPr>
        <w:t>Algeria, Antigua and Barbuda, Barbados</w:t>
      </w:r>
      <w:r w:rsidR="0016272C" w:rsidRPr="003B533B">
        <w:rPr>
          <w:rStyle w:val="FootnoteReference"/>
          <w:lang w:val="en-CA"/>
        </w:rPr>
        <w:footnoteReference w:id="11"/>
      </w:r>
      <w:r w:rsidR="00090DB4" w:rsidRPr="003B533B">
        <w:rPr>
          <w:lang w:val="en-CA"/>
        </w:rPr>
        <w:t>, Central African Republic, China (Stage II – PU rigid foam sector)</w:t>
      </w:r>
      <w:r w:rsidR="002229B4" w:rsidRPr="003B533B">
        <w:rPr>
          <w:rStyle w:val="FootnoteReference"/>
          <w:lang w:val="en-CA"/>
        </w:rPr>
        <w:footnoteReference w:id="12"/>
      </w:r>
      <w:r w:rsidR="00090DB4" w:rsidRPr="003B533B">
        <w:rPr>
          <w:lang w:val="en-CA"/>
        </w:rPr>
        <w:t>, Comoros</w:t>
      </w:r>
      <w:r w:rsidR="00913A5B" w:rsidRPr="003B533B">
        <w:rPr>
          <w:lang w:val="en-CA"/>
        </w:rPr>
        <w:t xml:space="preserve"> (the)</w:t>
      </w:r>
      <w:r w:rsidR="00090DB4" w:rsidRPr="003B533B">
        <w:rPr>
          <w:lang w:val="en-CA"/>
        </w:rPr>
        <w:t xml:space="preserve">, Congo (the), Cote d’Ivoire, Djibouti, Dominica, Gabon, Guinea, </w:t>
      </w:r>
      <w:r w:rsidR="00453A87" w:rsidRPr="003B533B">
        <w:rPr>
          <w:lang w:val="en-CA"/>
        </w:rPr>
        <w:t>Haiti</w:t>
      </w:r>
      <w:r w:rsidR="0016272C" w:rsidRPr="003B533B">
        <w:rPr>
          <w:rStyle w:val="FootnoteReference"/>
          <w:lang w:val="en-CA"/>
        </w:rPr>
        <w:footnoteReference w:id="13"/>
      </w:r>
      <w:r w:rsidR="00453A87" w:rsidRPr="003B533B">
        <w:rPr>
          <w:lang w:val="en-CA"/>
        </w:rPr>
        <w:t xml:space="preserve">, </w:t>
      </w:r>
      <w:r w:rsidR="00090DB4" w:rsidRPr="003B533B">
        <w:rPr>
          <w:lang w:val="en-CA"/>
        </w:rPr>
        <w:t xml:space="preserve">Mali, Mozambique, Niger (the), Pakistan, Republic of Moldova (the), </w:t>
      </w:r>
      <w:r w:rsidR="00090DB4" w:rsidRPr="003B533B">
        <w:rPr>
          <w:lang w:val="en-CA"/>
        </w:rPr>
        <w:lastRenderedPageBreak/>
        <w:t>Qatar, Saint Vincent and the Grenadines</w:t>
      </w:r>
      <w:r w:rsidR="0016272C" w:rsidRPr="003B533B">
        <w:rPr>
          <w:rStyle w:val="FootnoteReference"/>
          <w:lang w:val="en-CA"/>
        </w:rPr>
        <w:footnoteReference w:id="14"/>
      </w:r>
      <w:r w:rsidR="00090DB4" w:rsidRPr="003B533B">
        <w:rPr>
          <w:lang w:val="en-CA"/>
        </w:rPr>
        <w:t>, Saudi Arabia,</w:t>
      </w:r>
      <w:r w:rsidR="00090DB4" w:rsidRPr="003B533B">
        <w:t xml:space="preserve"> </w:t>
      </w:r>
      <w:r w:rsidR="00090DB4" w:rsidRPr="003B533B">
        <w:rPr>
          <w:lang w:val="en-CA"/>
        </w:rPr>
        <w:t>Sierra Leone</w:t>
      </w:r>
      <w:r w:rsidR="00941BA9" w:rsidRPr="003B533B">
        <w:rPr>
          <w:rStyle w:val="FootnoteReference"/>
          <w:lang w:val="en-CA"/>
        </w:rPr>
        <w:footnoteReference w:id="15"/>
      </w:r>
      <w:r w:rsidR="00090DB4" w:rsidRPr="003B533B">
        <w:rPr>
          <w:lang w:val="en-CA"/>
        </w:rPr>
        <w:t>, Togo, Tunisia, Turkey</w:t>
      </w:r>
      <w:r w:rsidR="00B241F1" w:rsidRPr="003B533B">
        <w:rPr>
          <w:lang w:val="en-CA"/>
        </w:rPr>
        <w:t xml:space="preserve"> and </w:t>
      </w:r>
      <w:r w:rsidR="00090DB4" w:rsidRPr="003B533B">
        <w:rPr>
          <w:lang w:val="en-CA"/>
        </w:rPr>
        <w:t>Venezuela (Bolivarian Republic of)</w:t>
      </w:r>
      <w:r w:rsidR="0016272C" w:rsidRPr="003B533B">
        <w:rPr>
          <w:lang w:val="en-CA"/>
        </w:rPr>
        <w:t xml:space="preserve"> </w:t>
      </w:r>
      <w:r w:rsidRPr="003B533B">
        <w:rPr>
          <w:sz w:val="21"/>
          <w:szCs w:val="21"/>
          <w:lang w:val="en-CA"/>
        </w:rPr>
        <w:t>did not submit their tranche request</w:t>
      </w:r>
      <w:r w:rsidRPr="003B533B">
        <w:rPr>
          <w:lang w:val="en-CA"/>
        </w:rPr>
        <w:t xml:space="preserve">. </w:t>
      </w:r>
    </w:p>
    <w:p w14:paraId="25968F54" w14:textId="77777777" w:rsidR="001B20F4" w:rsidRPr="003B533B" w:rsidRDefault="001B20F4" w:rsidP="0014095B">
      <w:pPr>
        <w:keepNext/>
        <w:rPr>
          <w:b/>
          <w:lang w:val="en-CA"/>
        </w:rPr>
      </w:pPr>
      <w:r w:rsidRPr="003B533B">
        <w:rPr>
          <w:b/>
          <w:lang w:val="en-CA"/>
        </w:rPr>
        <w:t xml:space="preserve">Analysis of tranches not submitted to the </w:t>
      </w:r>
      <w:r w:rsidR="00476ACE" w:rsidRPr="003B533B">
        <w:rPr>
          <w:b/>
          <w:lang w:val="en-CA"/>
        </w:rPr>
        <w:t>82</w:t>
      </w:r>
      <w:r w:rsidR="00476ACE" w:rsidRPr="003B533B">
        <w:rPr>
          <w:b/>
          <w:vertAlign w:val="superscript"/>
          <w:lang w:val="en-CA"/>
        </w:rPr>
        <w:t>nd</w:t>
      </w:r>
      <w:r w:rsidR="00476ACE" w:rsidRPr="003B533B">
        <w:rPr>
          <w:b/>
          <w:lang w:val="en-CA"/>
        </w:rPr>
        <w:t xml:space="preserve"> </w:t>
      </w:r>
      <w:r w:rsidRPr="003B533B">
        <w:rPr>
          <w:b/>
          <w:lang w:val="en-CA"/>
        </w:rPr>
        <w:t>meeting</w:t>
      </w:r>
    </w:p>
    <w:p w14:paraId="1C054B74" w14:textId="77777777" w:rsidR="001B20F4" w:rsidRPr="003B533B" w:rsidRDefault="001B20F4" w:rsidP="0014095B">
      <w:pPr>
        <w:keepNext/>
        <w:rPr>
          <w:b/>
          <w:lang w:val="en-CA"/>
        </w:rPr>
      </w:pPr>
    </w:p>
    <w:p w14:paraId="122C74FD" w14:textId="1801A2F3" w:rsidR="001B20F4" w:rsidRPr="003B533B" w:rsidRDefault="00922DF4" w:rsidP="0014095B">
      <w:pPr>
        <w:pStyle w:val="Heading1"/>
        <w:rPr>
          <w:lang w:val="en-CA"/>
        </w:rPr>
      </w:pPr>
      <w:r w:rsidRPr="003B533B">
        <w:rPr>
          <w:lang w:val="en-CA"/>
        </w:rPr>
        <w:t>Fifty</w:t>
      </w:r>
      <w:r w:rsidR="001B20F4" w:rsidRPr="003B533B">
        <w:rPr>
          <w:lang w:val="en-CA"/>
        </w:rPr>
        <w:t>-</w:t>
      </w:r>
      <w:r w:rsidR="00CF664E" w:rsidRPr="003B533B">
        <w:rPr>
          <w:lang w:val="en-CA"/>
        </w:rPr>
        <w:t>one</w:t>
      </w:r>
      <w:r w:rsidR="001B20F4" w:rsidRPr="003B533B">
        <w:rPr>
          <w:lang w:val="en-CA"/>
        </w:rPr>
        <w:t xml:space="preserve"> activities associated with tranches of HPMPs for 3</w:t>
      </w:r>
      <w:r w:rsidR="00CF664E" w:rsidRPr="003B533B">
        <w:rPr>
          <w:lang w:val="en-CA"/>
        </w:rPr>
        <w:t>1</w:t>
      </w:r>
      <w:r w:rsidR="001B20F4" w:rsidRPr="003B533B">
        <w:rPr>
          <w:lang w:val="en-CA"/>
        </w:rPr>
        <w:t> countries, at a total value of US $</w:t>
      </w:r>
      <w:r w:rsidR="00CF664E" w:rsidRPr="003B533B">
        <w:rPr>
          <w:lang w:val="en-CA"/>
        </w:rPr>
        <w:t xml:space="preserve">20,255,789 </w:t>
      </w:r>
      <w:r w:rsidR="001B20F4" w:rsidRPr="003B533B">
        <w:rPr>
          <w:lang w:val="en-CA"/>
        </w:rPr>
        <w:t xml:space="preserve">(including agency support costs), due for submission to the </w:t>
      </w:r>
      <w:r w:rsidR="00476ACE" w:rsidRPr="003B533B">
        <w:rPr>
          <w:lang w:val="en-CA"/>
        </w:rPr>
        <w:t>82</w:t>
      </w:r>
      <w:r w:rsidR="00476ACE" w:rsidRPr="003B533B">
        <w:rPr>
          <w:vertAlign w:val="superscript"/>
          <w:lang w:val="en-CA"/>
        </w:rPr>
        <w:t>nd</w:t>
      </w:r>
      <w:r w:rsidR="00476ACE" w:rsidRPr="003B533B">
        <w:rPr>
          <w:lang w:val="en-CA"/>
        </w:rPr>
        <w:t xml:space="preserve"> </w:t>
      </w:r>
      <w:r w:rsidR="001B20F4" w:rsidRPr="003B533B">
        <w:rPr>
          <w:lang w:val="en-CA"/>
        </w:rPr>
        <w:t>meeting were not submitted, as shown in Annex I to the present document</w:t>
      </w:r>
      <w:r w:rsidR="001B20F4" w:rsidRPr="003B533B">
        <w:rPr>
          <w:vertAlign w:val="superscript"/>
          <w:lang w:val="en-CA"/>
        </w:rPr>
        <w:footnoteReference w:id="16"/>
      </w:r>
      <w:r w:rsidR="001B20F4" w:rsidRPr="003B533B">
        <w:rPr>
          <w:lang w:val="en-CA"/>
        </w:rPr>
        <w:t xml:space="preserve">. In addition, </w:t>
      </w:r>
      <w:r w:rsidR="00CF664E" w:rsidRPr="003B533B">
        <w:rPr>
          <w:lang w:val="en-CA"/>
        </w:rPr>
        <w:t>three</w:t>
      </w:r>
      <w:r w:rsidR="001B20F4" w:rsidRPr="003B533B">
        <w:rPr>
          <w:lang w:val="en-CA"/>
        </w:rPr>
        <w:t xml:space="preserve"> tranches of stage I or stage II of HPMPs amounting to US $</w:t>
      </w:r>
      <w:r w:rsidR="00CF664E" w:rsidRPr="003B533B">
        <w:rPr>
          <w:lang w:val="en-CA"/>
        </w:rPr>
        <w:t xml:space="preserve">11,403,355 </w:t>
      </w:r>
      <w:r w:rsidR="001B20F4" w:rsidRPr="003B533B">
        <w:rPr>
          <w:lang w:val="en-CA"/>
        </w:rPr>
        <w:t>(including agency support costs) were submitted to the</w:t>
      </w:r>
      <w:r w:rsidR="00CF664E" w:rsidRPr="003B533B">
        <w:rPr>
          <w:lang w:val="en-CA"/>
        </w:rPr>
        <w:t xml:space="preserve"> 82</w:t>
      </w:r>
      <w:r w:rsidR="00CF664E" w:rsidRPr="003B533B">
        <w:rPr>
          <w:vertAlign w:val="superscript"/>
          <w:lang w:val="en-CA"/>
        </w:rPr>
        <w:t>nd</w:t>
      </w:r>
      <w:r w:rsidR="00913A5B" w:rsidRPr="003B533B">
        <w:rPr>
          <w:lang w:val="en-CA"/>
        </w:rPr>
        <w:t> </w:t>
      </w:r>
      <w:r w:rsidR="001B20F4" w:rsidRPr="003B533B">
        <w:rPr>
          <w:lang w:val="en-CA"/>
        </w:rPr>
        <w:t xml:space="preserve">meeting, but subsequently withdrawn by relevant implementing agencies during the project review process, and are also presented in Annex I. </w:t>
      </w:r>
    </w:p>
    <w:p w14:paraId="4E90CB33" w14:textId="77777777" w:rsidR="001B20F4" w:rsidRPr="003B533B" w:rsidRDefault="001B20F4" w:rsidP="0014095B">
      <w:pPr>
        <w:keepNext/>
        <w:spacing w:after="240"/>
        <w:rPr>
          <w:b/>
          <w:lang w:val="en-CA"/>
        </w:rPr>
      </w:pPr>
      <w:r w:rsidRPr="003B533B">
        <w:rPr>
          <w:b/>
          <w:lang w:val="en-CA"/>
        </w:rPr>
        <w:t>Reason for delays and impact on compliance</w:t>
      </w:r>
    </w:p>
    <w:p w14:paraId="23D053B2" w14:textId="30B0D526" w:rsidR="001B20F4" w:rsidRPr="003B533B" w:rsidRDefault="001B20F4" w:rsidP="0014095B">
      <w:pPr>
        <w:pStyle w:val="Heading1"/>
        <w:rPr>
          <w:lang w:val="en-CA"/>
        </w:rPr>
      </w:pPr>
      <w:r w:rsidRPr="003B533B">
        <w:rPr>
          <w:lang w:val="en-CA"/>
        </w:rPr>
        <w:t>The reasons for delays in the submission of tranches of HPMPs include: Government decisions</w:t>
      </w:r>
      <w:r w:rsidR="0014095B" w:rsidRPr="003B533B">
        <w:rPr>
          <w:lang w:val="en-CA"/>
        </w:rPr>
        <w:t>,</w:t>
      </w:r>
      <w:r w:rsidRPr="003B533B">
        <w:rPr>
          <w:lang w:val="en-CA"/>
        </w:rPr>
        <w:t xml:space="preserve"> and/or endorsements</w:t>
      </w:r>
      <w:r w:rsidR="0014095B" w:rsidRPr="003B533B">
        <w:rPr>
          <w:lang w:val="en-CA"/>
        </w:rPr>
        <w:t>,</w:t>
      </w:r>
      <w:r w:rsidRPr="003B533B">
        <w:rPr>
          <w:lang w:val="en-CA"/>
        </w:rPr>
        <w:t xml:space="preserve"> and/or changes in the </w:t>
      </w:r>
      <w:r w:rsidR="001130E1" w:rsidRPr="003B533B">
        <w:rPr>
          <w:lang w:val="en-CA"/>
        </w:rPr>
        <w:t>national ozone unit (</w:t>
      </w:r>
      <w:r w:rsidRPr="003B533B">
        <w:rPr>
          <w:lang w:val="en-CA"/>
        </w:rPr>
        <w:t>NOU</w:t>
      </w:r>
      <w:r w:rsidR="001130E1" w:rsidRPr="003B533B">
        <w:rPr>
          <w:lang w:val="en-CA"/>
        </w:rPr>
        <w:t>)</w:t>
      </w:r>
      <w:r w:rsidR="0014095B" w:rsidRPr="003B533B">
        <w:rPr>
          <w:lang w:val="en-CA"/>
        </w:rPr>
        <w:t>,</w:t>
      </w:r>
      <w:r w:rsidRPr="003B533B">
        <w:rPr>
          <w:lang w:val="en-CA"/>
        </w:rPr>
        <w:t xml:space="preserve"> and/or structural change (</w:t>
      </w:r>
      <w:r w:rsidR="0065733B" w:rsidRPr="003B533B">
        <w:rPr>
          <w:lang w:val="en-CA"/>
        </w:rPr>
        <w:t>14</w:t>
      </w:r>
      <w:r w:rsidRPr="003B533B">
        <w:rPr>
          <w:lang w:val="en-CA"/>
        </w:rPr>
        <w:t>); lack of mandatory verifi</w:t>
      </w:r>
      <w:r w:rsidR="0065733B" w:rsidRPr="003B533B">
        <w:rPr>
          <w:lang w:val="en-CA"/>
        </w:rPr>
        <w:t>cation report (12</w:t>
      </w:r>
      <w:r w:rsidRPr="003B533B">
        <w:rPr>
          <w:lang w:val="en-CA"/>
        </w:rPr>
        <w:t>); sufficient funds from previous tranches (</w:t>
      </w:r>
      <w:r w:rsidR="0065733B" w:rsidRPr="003B533B">
        <w:rPr>
          <w:lang w:val="en-CA"/>
        </w:rPr>
        <w:t>5</w:t>
      </w:r>
      <w:r w:rsidRPr="003B533B">
        <w:rPr>
          <w:lang w:val="en-CA"/>
        </w:rPr>
        <w:t>); disbursement below the 20 per cent threshold of approved funds for the previous tranche (</w:t>
      </w:r>
      <w:r w:rsidR="0065733B" w:rsidRPr="003B533B">
        <w:rPr>
          <w:lang w:val="en-CA"/>
        </w:rPr>
        <w:t>24</w:t>
      </w:r>
      <w:r w:rsidRPr="003B533B">
        <w:rPr>
          <w:lang w:val="en-CA"/>
        </w:rPr>
        <w:t>); delays in implementa</w:t>
      </w:r>
      <w:r w:rsidR="0065733B" w:rsidRPr="003B533B">
        <w:rPr>
          <w:lang w:val="en-CA"/>
        </w:rPr>
        <w:t>tion of investment components (6</w:t>
      </w:r>
      <w:r w:rsidRPr="003B533B">
        <w:rPr>
          <w:lang w:val="en-CA"/>
        </w:rPr>
        <w:t>); security issues (</w:t>
      </w:r>
      <w:r w:rsidR="0065733B" w:rsidRPr="003B533B">
        <w:rPr>
          <w:lang w:val="en-CA"/>
        </w:rPr>
        <w:t>1</w:t>
      </w:r>
      <w:r w:rsidRPr="003B533B">
        <w:rPr>
          <w:lang w:val="en-CA"/>
        </w:rPr>
        <w:t>); signing of agreements (</w:t>
      </w:r>
      <w:r w:rsidR="0065733B" w:rsidRPr="003B533B">
        <w:rPr>
          <w:lang w:val="en-CA"/>
        </w:rPr>
        <w:t>7</w:t>
      </w:r>
      <w:r w:rsidRPr="003B533B">
        <w:rPr>
          <w:lang w:val="en-CA"/>
        </w:rPr>
        <w:t>); lead or cooperating ag</w:t>
      </w:r>
      <w:r w:rsidR="0065733B" w:rsidRPr="003B533B">
        <w:rPr>
          <w:lang w:val="en-CA"/>
        </w:rPr>
        <w:t>ency not ready for submission (2</w:t>
      </w:r>
      <w:r w:rsidRPr="003B533B">
        <w:rPr>
          <w:lang w:val="en-CA"/>
        </w:rPr>
        <w:t xml:space="preserve">); internal or external difficulties (8); </w:t>
      </w:r>
      <w:r w:rsidR="0065733B" w:rsidRPr="003B533B">
        <w:rPr>
          <w:lang w:val="en-CA"/>
        </w:rPr>
        <w:t xml:space="preserve">operational licensing system (2); revision of agreement (2); </w:t>
      </w:r>
      <w:r w:rsidRPr="003B533B">
        <w:rPr>
          <w:lang w:val="en-CA"/>
        </w:rPr>
        <w:t>or no submission of progress and/or financial reports (</w:t>
      </w:r>
      <w:r w:rsidR="0065733B" w:rsidRPr="003B533B">
        <w:rPr>
          <w:lang w:val="en-CA"/>
        </w:rPr>
        <w:t>4</w:t>
      </w:r>
      <w:r w:rsidRPr="003B533B">
        <w:rPr>
          <w:lang w:val="en-CA"/>
        </w:rPr>
        <w:t xml:space="preserve">). </w:t>
      </w:r>
    </w:p>
    <w:p w14:paraId="0A27AA49" w14:textId="6A1CE433" w:rsidR="001B20F4" w:rsidRPr="003B533B" w:rsidRDefault="001B20F4" w:rsidP="007C2AED">
      <w:pPr>
        <w:pStyle w:val="Heading1"/>
        <w:rPr>
          <w:lang w:val="en-CA"/>
        </w:rPr>
      </w:pPr>
      <w:r w:rsidRPr="003B533B">
        <w:rPr>
          <w:lang w:val="en-CA"/>
        </w:rPr>
        <w:t xml:space="preserve">As reported by the relevant bilateral and implementing agencies, delays in the submission of tranches that were past due would </w:t>
      </w:r>
      <w:r w:rsidR="003F2EE3" w:rsidRPr="003B533B">
        <w:rPr>
          <w:lang w:val="en-CA"/>
        </w:rPr>
        <w:t>have no</w:t>
      </w:r>
      <w:r w:rsidRPr="003B533B">
        <w:rPr>
          <w:lang w:val="en-CA"/>
        </w:rPr>
        <w:t xml:space="preserve"> </w:t>
      </w:r>
      <w:r w:rsidR="003F2EE3" w:rsidRPr="003B533B">
        <w:rPr>
          <w:lang w:val="en-CA"/>
        </w:rPr>
        <w:t xml:space="preserve">impact, </w:t>
      </w:r>
      <w:r w:rsidRPr="003B533B">
        <w:rPr>
          <w:lang w:val="en-CA"/>
        </w:rPr>
        <w:t xml:space="preserve">or </w:t>
      </w:r>
      <w:r w:rsidR="00267A7F" w:rsidRPr="003B533B">
        <w:rPr>
          <w:lang w:val="en-CA"/>
        </w:rPr>
        <w:t>were</w:t>
      </w:r>
      <w:r w:rsidRPr="003B533B">
        <w:rPr>
          <w:lang w:val="en-CA"/>
        </w:rPr>
        <w:t xml:space="preserve"> unlikely </w:t>
      </w:r>
      <w:r w:rsidR="003F2EE3" w:rsidRPr="003B533B">
        <w:rPr>
          <w:lang w:val="en-CA"/>
        </w:rPr>
        <w:t xml:space="preserve">to </w:t>
      </w:r>
      <w:r w:rsidRPr="003B533B">
        <w:rPr>
          <w:lang w:val="en-CA"/>
        </w:rPr>
        <w:t>have an impact</w:t>
      </w:r>
      <w:r w:rsidR="003F2EE3" w:rsidRPr="003B533B">
        <w:rPr>
          <w:lang w:val="en-CA"/>
        </w:rPr>
        <w:t>,</w:t>
      </w:r>
      <w:r w:rsidRPr="003B533B">
        <w:rPr>
          <w:lang w:val="en-CA"/>
        </w:rPr>
        <w:t xml:space="preserve"> on compliance with the countries</w:t>
      </w:r>
      <w:r w:rsidR="003F2EE3" w:rsidRPr="003B533B">
        <w:rPr>
          <w:lang w:val="en-CA"/>
        </w:rPr>
        <w:t>’</w:t>
      </w:r>
      <w:r w:rsidRPr="003B533B">
        <w:rPr>
          <w:lang w:val="en-CA"/>
        </w:rPr>
        <w:t xml:space="preserve"> obligations under the Montreal Protocol</w:t>
      </w:r>
      <w:r w:rsidR="0056020F" w:rsidRPr="003B533B">
        <w:rPr>
          <w:lang w:val="en-CA"/>
        </w:rPr>
        <w:t>,</w:t>
      </w:r>
      <w:r w:rsidR="006870F1" w:rsidRPr="003B533B">
        <w:rPr>
          <w:lang w:val="en-CA"/>
        </w:rPr>
        <w:t xml:space="preserve"> except for Saudi Arabia where non-compliance is possible</w:t>
      </w:r>
      <w:r w:rsidR="0014095B" w:rsidRPr="003B533B">
        <w:rPr>
          <w:lang w:val="en-CA"/>
        </w:rPr>
        <w:t xml:space="preserve"> given that the consumption of </w:t>
      </w:r>
      <w:r w:rsidR="007C2AED" w:rsidRPr="003B533B">
        <w:rPr>
          <w:lang w:val="en-CA"/>
        </w:rPr>
        <w:t>1,060.2</w:t>
      </w:r>
      <w:r w:rsidR="0014095B" w:rsidRPr="003B533B">
        <w:rPr>
          <w:lang w:val="en-CA"/>
        </w:rPr>
        <w:t xml:space="preserve"> ODP tonnes in 2017 was only </w:t>
      </w:r>
      <w:r w:rsidR="007C2AED" w:rsidRPr="003B533B">
        <w:rPr>
          <w:lang w:val="en-CA"/>
        </w:rPr>
        <w:t>28</w:t>
      </w:r>
      <w:r w:rsidR="0014095B" w:rsidRPr="003B533B">
        <w:rPr>
          <w:lang w:val="en-CA"/>
        </w:rPr>
        <w:t xml:space="preserve"> per cent below the HCFC baseline of </w:t>
      </w:r>
      <w:r w:rsidR="007C2AED" w:rsidRPr="003B533B">
        <w:rPr>
          <w:lang w:val="en-CA"/>
        </w:rPr>
        <w:t>1,468.7</w:t>
      </w:r>
      <w:r w:rsidR="0014095B" w:rsidRPr="003B533B">
        <w:rPr>
          <w:lang w:val="en-CA"/>
        </w:rPr>
        <w:t xml:space="preserve"> ODP tonnes</w:t>
      </w:r>
      <w:r w:rsidRPr="003B533B">
        <w:rPr>
          <w:lang w:val="en-CA"/>
        </w:rPr>
        <w:t>. All outstanding tranches are expected to be submitted to the 8</w:t>
      </w:r>
      <w:r w:rsidR="00E00C7C" w:rsidRPr="003B533B">
        <w:rPr>
          <w:lang w:val="en-CA"/>
        </w:rPr>
        <w:t>3</w:t>
      </w:r>
      <w:r w:rsidR="00E00C7C" w:rsidRPr="003B533B">
        <w:rPr>
          <w:vertAlign w:val="superscript"/>
          <w:lang w:val="en-CA"/>
        </w:rPr>
        <w:t>rd</w:t>
      </w:r>
      <w:r w:rsidR="00E776FD" w:rsidRPr="003B533B">
        <w:rPr>
          <w:lang w:val="en-CA"/>
        </w:rPr>
        <w:t> </w:t>
      </w:r>
      <w:r w:rsidRPr="003B533B">
        <w:rPr>
          <w:lang w:val="en-CA"/>
        </w:rPr>
        <w:t xml:space="preserve">meeting except for </w:t>
      </w:r>
      <w:r w:rsidR="00E00C7C" w:rsidRPr="003B533B">
        <w:rPr>
          <w:lang w:val="en-CA"/>
        </w:rPr>
        <w:t>Saudi Arabia</w:t>
      </w:r>
      <w:r w:rsidRPr="003B533B">
        <w:rPr>
          <w:lang w:val="en-CA"/>
        </w:rPr>
        <w:t xml:space="preserve"> which may be submitted to the 8</w:t>
      </w:r>
      <w:r w:rsidR="00E00C7C" w:rsidRPr="003B533B">
        <w:rPr>
          <w:lang w:val="en-CA"/>
        </w:rPr>
        <w:t>4</w:t>
      </w:r>
      <w:r w:rsidR="00E00C7C" w:rsidRPr="003B533B">
        <w:rPr>
          <w:vertAlign w:val="superscript"/>
          <w:lang w:val="en-CA"/>
        </w:rPr>
        <w:t>th</w:t>
      </w:r>
      <w:r w:rsidR="00E00C7C" w:rsidRPr="003B533B">
        <w:rPr>
          <w:lang w:val="en-CA"/>
        </w:rPr>
        <w:t xml:space="preserve"> </w:t>
      </w:r>
      <w:r w:rsidRPr="003B533B">
        <w:rPr>
          <w:lang w:val="en-CA"/>
        </w:rPr>
        <w:t xml:space="preserve">meeting. </w:t>
      </w:r>
    </w:p>
    <w:p w14:paraId="2EBC6519" w14:textId="77777777" w:rsidR="001B20F4" w:rsidRPr="003B533B" w:rsidRDefault="001B20F4" w:rsidP="0014095B">
      <w:pPr>
        <w:pStyle w:val="Heading1"/>
        <w:keepNext/>
        <w:numPr>
          <w:ilvl w:val="0"/>
          <w:numId w:val="0"/>
        </w:numPr>
        <w:tabs>
          <w:tab w:val="left" w:pos="0"/>
          <w:tab w:val="left" w:pos="720"/>
          <w:tab w:val="left" w:pos="1440"/>
          <w:tab w:val="left" w:pos="2160"/>
          <w:tab w:val="left" w:pos="2880"/>
          <w:tab w:val="left" w:pos="3600"/>
        </w:tabs>
        <w:rPr>
          <w:b/>
          <w:bCs/>
          <w:lang w:val="en-CA"/>
        </w:rPr>
      </w:pPr>
      <w:r w:rsidRPr="003B533B">
        <w:rPr>
          <w:b/>
          <w:bCs/>
          <w:lang w:val="en-CA"/>
        </w:rPr>
        <w:t>Recommendations</w:t>
      </w:r>
    </w:p>
    <w:p w14:paraId="0C7F3ADD" w14:textId="77777777" w:rsidR="001B20F4" w:rsidRPr="003B533B" w:rsidRDefault="001B20F4" w:rsidP="0014095B">
      <w:pPr>
        <w:pStyle w:val="Heading1"/>
        <w:rPr>
          <w:lang w:val="en-CA"/>
        </w:rPr>
      </w:pPr>
      <w:r w:rsidRPr="003B533B">
        <w:rPr>
          <w:lang w:val="en-CA"/>
        </w:rPr>
        <w:t>The Executive Committee may wish:</w:t>
      </w:r>
    </w:p>
    <w:p w14:paraId="0801EE68" w14:textId="77777777" w:rsidR="001B20F4" w:rsidRPr="003B533B" w:rsidRDefault="001B20F4" w:rsidP="0014095B">
      <w:pPr>
        <w:pStyle w:val="Heading2"/>
        <w:numPr>
          <w:ilvl w:val="1"/>
          <w:numId w:val="1"/>
        </w:numPr>
        <w:rPr>
          <w:lang w:val="en-CA"/>
        </w:rPr>
      </w:pPr>
      <w:r w:rsidRPr="003B533B">
        <w:rPr>
          <w:lang w:val="en-CA"/>
        </w:rPr>
        <w:t>To note:</w:t>
      </w:r>
    </w:p>
    <w:p w14:paraId="4D23AF26" w14:textId="3B12207B" w:rsidR="001B20F4" w:rsidRPr="003B533B" w:rsidRDefault="001B20F4" w:rsidP="0014095B">
      <w:pPr>
        <w:pStyle w:val="Heading3"/>
        <w:numPr>
          <w:ilvl w:val="2"/>
          <w:numId w:val="1"/>
        </w:numPr>
        <w:rPr>
          <w:lang w:val="en-CA"/>
        </w:rPr>
      </w:pPr>
      <w:r w:rsidRPr="003B533B">
        <w:rPr>
          <w:lang w:val="en-CA"/>
        </w:rPr>
        <w:t>The report on tranche submissi</w:t>
      </w:r>
      <w:r w:rsidR="00862C41" w:rsidRPr="003B533B">
        <w:rPr>
          <w:lang w:val="en-CA"/>
        </w:rPr>
        <w:t>on delays contained in document </w:t>
      </w:r>
      <w:r w:rsidRPr="003B533B">
        <w:rPr>
          <w:lang w:val="en-CA"/>
        </w:rPr>
        <w:t>UNEP/OzL.Pro/ExCom/</w:t>
      </w:r>
      <w:r w:rsidR="002906E2" w:rsidRPr="003B533B">
        <w:rPr>
          <w:lang w:val="en-CA"/>
        </w:rPr>
        <w:t>82</w:t>
      </w:r>
      <w:r w:rsidRPr="003B533B">
        <w:rPr>
          <w:lang w:val="en-CA"/>
        </w:rPr>
        <w:t>/</w:t>
      </w:r>
      <w:r w:rsidR="008E45DB" w:rsidRPr="003B533B">
        <w:rPr>
          <w:lang w:val="en-CA"/>
        </w:rPr>
        <w:t>24</w:t>
      </w:r>
      <w:r w:rsidRPr="003B533B">
        <w:rPr>
          <w:lang w:val="en-CA"/>
        </w:rPr>
        <w:t>;</w:t>
      </w:r>
    </w:p>
    <w:p w14:paraId="6D031473" w14:textId="22CC3403" w:rsidR="001B20F4" w:rsidRPr="003B533B" w:rsidRDefault="001B20F4" w:rsidP="0014095B">
      <w:pPr>
        <w:pStyle w:val="Heading3"/>
        <w:numPr>
          <w:ilvl w:val="2"/>
          <w:numId w:val="1"/>
        </w:numPr>
        <w:rPr>
          <w:lang w:val="en-CA"/>
        </w:rPr>
      </w:pPr>
      <w:r w:rsidRPr="003B533B">
        <w:rPr>
          <w:lang w:val="en-CA"/>
        </w:rPr>
        <w:t>The information on tranche submission delays under HCFC phase-out management plans (HPMPs) submitted by the Government</w:t>
      </w:r>
      <w:r w:rsidR="00224629" w:rsidRPr="003B533B">
        <w:rPr>
          <w:lang w:val="en-CA"/>
        </w:rPr>
        <w:t>s</w:t>
      </w:r>
      <w:r w:rsidRPr="003B533B">
        <w:rPr>
          <w:lang w:val="en-CA"/>
        </w:rPr>
        <w:t xml:space="preserve"> of France, </w:t>
      </w:r>
      <w:r w:rsidR="008E45DB" w:rsidRPr="003B533B">
        <w:rPr>
          <w:lang w:val="en-CA"/>
        </w:rPr>
        <w:t>Germany, Italy</w:t>
      </w:r>
      <w:r w:rsidR="00224629" w:rsidRPr="003B533B">
        <w:rPr>
          <w:lang w:val="en-CA"/>
        </w:rPr>
        <w:t xml:space="preserve"> and</w:t>
      </w:r>
      <w:r w:rsidR="008E45DB" w:rsidRPr="003B533B">
        <w:rPr>
          <w:lang w:val="en-CA"/>
        </w:rPr>
        <w:t xml:space="preserve"> Japan, </w:t>
      </w:r>
      <w:r w:rsidRPr="003B533B">
        <w:rPr>
          <w:lang w:val="en-CA"/>
        </w:rPr>
        <w:t>UNDP, UNEP, UNIDO and the World Bank;</w:t>
      </w:r>
    </w:p>
    <w:p w14:paraId="2A348334" w14:textId="4439B140" w:rsidR="001B20F4" w:rsidRPr="003B533B" w:rsidRDefault="001B20F4" w:rsidP="0014095B">
      <w:pPr>
        <w:pStyle w:val="Heading3"/>
        <w:numPr>
          <w:ilvl w:val="2"/>
          <w:numId w:val="1"/>
        </w:numPr>
        <w:rPr>
          <w:lang w:val="en-CA"/>
        </w:rPr>
      </w:pPr>
      <w:r w:rsidRPr="003B533B">
        <w:rPr>
          <w:lang w:val="en-CA"/>
        </w:rPr>
        <w:t xml:space="preserve">That </w:t>
      </w:r>
      <w:r w:rsidR="00CD2BD3" w:rsidRPr="003B533B">
        <w:rPr>
          <w:lang w:val="en-CA"/>
        </w:rPr>
        <w:t>40</w:t>
      </w:r>
      <w:r w:rsidRPr="003B533B">
        <w:rPr>
          <w:lang w:val="en-CA"/>
        </w:rPr>
        <w:t xml:space="preserve"> out of </w:t>
      </w:r>
      <w:r w:rsidR="00CD2BD3" w:rsidRPr="003B533B">
        <w:rPr>
          <w:lang w:val="en-CA"/>
        </w:rPr>
        <w:t>91</w:t>
      </w:r>
      <w:r w:rsidRPr="003B533B">
        <w:rPr>
          <w:lang w:val="en-CA"/>
        </w:rPr>
        <w:t xml:space="preserve"> activities related to tranches of HPMPs due for submission to the </w:t>
      </w:r>
      <w:r w:rsidR="002906E2" w:rsidRPr="003B533B">
        <w:rPr>
          <w:lang w:val="en-CA"/>
        </w:rPr>
        <w:t>82</w:t>
      </w:r>
      <w:r w:rsidR="002906E2" w:rsidRPr="003B533B">
        <w:rPr>
          <w:vertAlign w:val="superscript"/>
          <w:lang w:val="en-CA"/>
        </w:rPr>
        <w:t>nd</w:t>
      </w:r>
      <w:r w:rsidR="002906E2" w:rsidRPr="003B533B">
        <w:rPr>
          <w:lang w:val="en-CA"/>
        </w:rPr>
        <w:t> </w:t>
      </w:r>
      <w:r w:rsidRPr="003B533B">
        <w:rPr>
          <w:lang w:val="en-CA"/>
        </w:rPr>
        <w:t>meeting had been submitted on time;</w:t>
      </w:r>
    </w:p>
    <w:p w14:paraId="3B9A2C72" w14:textId="6DFDBB02" w:rsidR="001B20F4" w:rsidRPr="003B533B" w:rsidRDefault="001B20F4" w:rsidP="0014095B">
      <w:pPr>
        <w:pStyle w:val="Heading3"/>
        <w:keepNext/>
        <w:numPr>
          <w:ilvl w:val="2"/>
          <w:numId w:val="1"/>
        </w:numPr>
        <w:rPr>
          <w:lang w:val="en-CA"/>
        </w:rPr>
      </w:pPr>
      <w:r w:rsidRPr="003B533B">
        <w:rPr>
          <w:lang w:val="en-CA"/>
        </w:rPr>
        <w:t xml:space="preserve">That relevant bilateral and implementing agencies had indicated that the late submission of </w:t>
      </w:r>
      <w:r w:rsidR="00D464B4" w:rsidRPr="003B533B">
        <w:rPr>
          <w:lang w:val="en-CA"/>
        </w:rPr>
        <w:t xml:space="preserve">the </w:t>
      </w:r>
      <w:r w:rsidRPr="003B533B">
        <w:rPr>
          <w:lang w:val="en-CA"/>
        </w:rPr>
        <w:t xml:space="preserve">tranches of HPMPs due for submission </w:t>
      </w:r>
      <w:r w:rsidR="00427FDA" w:rsidRPr="003B533B">
        <w:rPr>
          <w:lang w:val="en-CA"/>
        </w:rPr>
        <w:t>to</w:t>
      </w:r>
      <w:r w:rsidRPr="003B533B">
        <w:rPr>
          <w:lang w:val="en-CA"/>
        </w:rPr>
        <w:t xml:space="preserve"> the </w:t>
      </w:r>
      <w:r w:rsidR="00B73D16" w:rsidRPr="003B533B">
        <w:rPr>
          <w:lang w:val="en-CA"/>
        </w:rPr>
        <w:t>second</w:t>
      </w:r>
      <w:r w:rsidRPr="003B533B">
        <w:rPr>
          <w:lang w:val="en-CA"/>
        </w:rPr>
        <w:t xml:space="preserve"> meeting of 2018 would have no impact, or </w:t>
      </w:r>
      <w:r w:rsidR="009832A2" w:rsidRPr="003B533B">
        <w:rPr>
          <w:lang w:val="en-CA"/>
        </w:rPr>
        <w:t>was</w:t>
      </w:r>
      <w:r w:rsidRPr="003B533B">
        <w:rPr>
          <w:lang w:val="en-CA"/>
        </w:rPr>
        <w:t xml:space="preserve"> unlikely to have an impact</w:t>
      </w:r>
      <w:r w:rsidR="003E60A3" w:rsidRPr="003B533B">
        <w:rPr>
          <w:lang w:val="en-CA"/>
        </w:rPr>
        <w:t>,</w:t>
      </w:r>
      <w:r w:rsidRPr="003B533B">
        <w:rPr>
          <w:lang w:val="en-CA"/>
        </w:rPr>
        <w:t xml:space="preserve"> on compliance with the Montreal Protocol, and that there </w:t>
      </w:r>
      <w:r w:rsidR="00C242B5" w:rsidRPr="003B533B">
        <w:rPr>
          <w:lang w:val="en-CA"/>
        </w:rPr>
        <w:t>was</w:t>
      </w:r>
      <w:r w:rsidRPr="003B533B">
        <w:rPr>
          <w:lang w:val="en-CA"/>
        </w:rPr>
        <w:t xml:space="preserve"> no indication that any of the </w:t>
      </w:r>
      <w:r w:rsidRPr="003B533B">
        <w:rPr>
          <w:lang w:val="en-CA"/>
        </w:rPr>
        <w:lastRenderedPageBreak/>
        <w:t>countries concerned were in non</w:t>
      </w:r>
      <w:r w:rsidRPr="003B533B">
        <w:rPr>
          <w:lang w:val="en-CA"/>
        </w:rPr>
        <w:noBreakHyphen/>
        <w:t>compliance with the Montreal Protocol control measures</w:t>
      </w:r>
      <w:r w:rsidR="006870F1" w:rsidRPr="003B533B">
        <w:rPr>
          <w:lang w:val="en-CA"/>
        </w:rPr>
        <w:t>, except for Saudi Arabia where non-compliance is possible</w:t>
      </w:r>
      <w:r w:rsidRPr="003B533B">
        <w:rPr>
          <w:lang w:val="en-CA"/>
        </w:rPr>
        <w:t>; and</w:t>
      </w:r>
    </w:p>
    <w:p w14:paraId="24A7E0FD" w14:textId="1599EFBB" w:rsidR="001B20F4" w:rsidRPr="003B533B" w:rsidRDefault="001B20F4" w:rsidP="0014095B">
      <w:pPr>
        <w:pStyle w:val="Heading2"/>
        <w:numPr>
          <w:ilvl w:val="1"/>
          <w:numId w:val="1"/>
        </w:numPr>
      </w:pPr>
      <w:r w:rsidRPr="003B533B">
        <w:rPr>
          <w:lang w:val="en-CA"/>
        </w:rPr>
        <w:t xml:space="preserve">To request the Secretariat to send letters to </w:t>
      </w:r>
      <w:r w:rsidR="00744C1C" w:rsidRPr="003B533B">
        <w:rPr>
          <w:lang w:val="en-CA"/>
        </w:rPr>
        <w:t xml:space="preserve">the </w:t>
      </w:r>
      <w:r w:rsidRPr="003B533B">
        <w:rPr>
          <w:lang w:val="en-CA"/>
        </w:rPr>
        <w:t>relevant governments regarding the decisions on tranche submission delays contained in Annex I to the present report.</w:t>
      </w:r>
    </w:p>
    <w:p w14:paraId="576F2000" w14:textId="211D0BC7" w:rsidR="001B20F4" w:rsidRPr="003B533B" w:rsidRDefault="001B20F4" w:rsidP="0014095B">
      <w:pPr>
        <w:pStyle w:val="Heading1"/>
        <w:numPr>
          <w:ilvl w:val="0"/>
          <w:numId w:val="0"/>
        </w:numPr>
      </w:pPr>
    </w:p>
    <w:p w14:paraId="72599F5E" w14:textId="77777777" w:rsidR="003813FF" w:rsidRPr="003B533B" w:rsidRDefault="003813FF" w:rsidP="0014095B">
      <w:pPr>
        <w:sectPr w:rsidR="003813FF" w:rsidRPr="003B533B" w:rsidSect="00807919">
          <w:headerReference w:type="even" r:id="rId10"/>
          <w:headerReference w:type="default" r:id="rId11"/>
          <w:footerReference w:type="even" r:id="rId12"/>
          <w:footerReference w:type="default" r:id="rId13"/>
          <w:footerReference w:type="first" r:id="rId14"/>
          <w:pgSz w:w="12240" w:h="15840" w:code="1"/>
          <w:pgMar w:top="720" w:right="1440" w:bottom="426" w:left="1440" w:header="720" w:footer="475" w:gutter="0"/>
          <w:pgNumType w:start="1"/>
          <w:cols w:space="720"/>
          <w:titlePg/>
        </w:sectPr>
      </w:pPr>
    </w:p>
    <w:p w14:paraId="5D2B94E3" w14:textId="77777777" w:rsidR="001B20F4" w:rsidRPr="003B533B" w:rsidRDefault="001B20F4" w:rsidP="0014095B">
      <w:pPr>
        <w:tabs>
          <w:tab w:val="left" w:pos="1384"/>
          <w:tab w:val="left" w:pos="2185"/>
          <w:tab w:val="left" w:pos="2742"/>
          <w:tab w:val="left" w:pos="3829"/>
          <w:tab w:val="left" w:pos="6671"/>
          <w:tab w:val="left" w:pos="7624"/>
          <w:tab w:val="left" w:pos="8384"/>
        </w:tabs>
        <w:ind w:left="1440" w:hanging="1440"/>
        <w:jc w:val="center"/>
        <w:rPr>
          <w:b/>
          <w:bCs/>
          <w:lang w:val="en-CA"/>
        </w:rPr>
      </w:pPr>
      <w:r w:rsidRPr="003B533B">
        <w:rPr>
          <w:b/>
          <w:bCs/>
          <w:lang w:val="en-CA"/>
        </w:rPr>
        <w:lastRenderedPageBreak/>
        <w:t>Annex I</w:t>
      </w:r>
    </w:p>
    <w:p w14:paraId="6BFBB017" w14:textId="77777777" w:rsidR="001B20F4" w:rsidRPr="003B533B" w:rsidRDefault="001B20F4" w:rsidP="0014095B">
      <w:pPr>
        <w:tabs>
          <w:tab w:val="left" w:pos="1384"/>
          <w:tab w:val="left" w:pos="2185"/>
          <w:tab w:val="left" w:pos="2742"/>
          <w:tab w:val="left" w:pos="3829"/>
          <w:tab w:val="left" w:pos="6671"/>
          <w:tab w:val="left" w:pos="7624"/>
          <w:tab w:val="left" w:pos="8384"/>
        </w:tabs>
        <w:ind w:left="1440" w:hanging="1440"/>
        <w:jc w:val="center"/>
        <w:rPr>
          <w:b/>
          <w:bCs/>
          <w:color w:val="000000"/>
          <w:lang w:val="en-CA"/>
        </w:rPr>
      </w:pPr>
    </w:p>
    <w:p w14:paraId="319F4437" w14:textId="77777777" w:rsidR="001B20F4" w:rsidRPr="003B533B" w:rsidRDefault="001B20F4" w:rsidP="0014095B">
      <w:pPr>
        <w:tabs>
          <w:tab w:val="left" w:pos="1384"/>
          <w:tab w:val="left" w:pos="2185"/>
          <w:tab w:val="left" w:pos="2742"/>
          <w:tab w:val="left" w:pos="3829"/>
          <w:tab w:val="left" w:pos="6671"/>
          <w:tab w:val="left" w:pos="7624"/>
          <w:tab w:val="left" w:pos="8384"/>
        </w:tabs>
        <w:ind w:left="1440" w:hanging="1440"/>
        <w:jc w:val="center"/>
        <w:rPr>
          <w:b/>
          <w:bCs/>
          <w:caps/>
          <w:color w:val="000000"/>
          <w:lang w:val="en-CA"/>
        </w:rPr>
      </w:pPr>
      <w:r w:rsidRPr="003B533B">
        <w:rPr>
          <w:b/>
          <w:bCs/>
          <w:caps/>
          <w:color w:val="000000"/>
          <w:lang w:val="en-CA"/>
        </w:rPr>
        <w:t>tranches NOT SUBMITTED to the 82</w:t>
      </w:r>
      <w:r w:rsidRPr="003B533B">
        <w:rPr>
          <w:b/>
          <w:bCs/>
          <w:caps/>
          <w:color w:val="000000"/>
          <w:vertAlign w:val="superscript"/>
          <w:lang w:val="en-CA"/>
        </w:rPr>
        <w:t>nd</w:t>
      </w:r>
      <w:r w:rsidRPr="003B533B">
        <w:rPr>
          <w:b/>
          <w:bCs/>
          <w:caps/>
          <w:color w:val="000000"/>
          <w:lang w:val="en-CA"/>
        </w:rPr>
        <w:t xml:space="preserve"> meeting</w:t>
      </w:r>
    </w:p>
    <w:p w14:paraId="4608AE26" w14:textId="77777777" w:rsidR="001B20F4" w:rsidRPr="003B533B" w:rsidRDefault="001B20F4" w:rsidP="0014095B">
      <w:pPr>
        <w:tabs>
          <w:tab w:val="left" w:pos="1384"/>
          <w:tab w:val="left" w:pos="2185"/>
          <w:tab w:val="left" w:pos="2742"/>
          <w:tab w:val="left" w:pos="3829"/>
          <w:tab w:val="left" w:pos="6671"/>
          <w:tab w:val="left" w:pos="7624"/>
          <w:tab w:val="left" w:pos="8384"/>
        </w:tabs>
        <w:ind w:left="1440" w:hanging="1440"/>
        <w:jc w:val="center"/>
        <w:rPr>
          <w:b/>
          <w:bCs/>
          <w:caps/>
          <w:color w:val="000000"/>
          <w:lang w:val="en-CA"/>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879"/>
        <w:gridCol w:w="1275"/>
        <w:gridCol w:w="3373"/>
        <w:gridCol w:w="5812"/>
      </w:tblGrid>
      <w:tr w:rsidR="001B20F4" w:rsidRPr="003B533B" w14:paraId="7FDAAB8D" w14:textId="77777777" w:rsidTr="00807919">
        <w:trPr>
          <w:trHeight w:val="692"/>
          <w:tblHeader/>
        </w:trPr>
        <w:tc>
          <w:tcPr>
            <w:tcW w:w="1560" w:type="dxa"/>
            <w:hideMark/>
          </w:tcPr>
          <w:p w14:paraId="560DBC2C" w14:textId="77777777" w:rsidR="001B20F4" w:rsidRPr="003B533B" w:rsidRDefault="001B20F4" w:rsidP="0014095B">
            <w:pPr>
              <w:ind w:left="-108" w:firstLine="108"/>
              <w:jc w:val="center"/>
              <w:rPr>
                <w:b/>
                <w:bCs/>
                <w:sz w:val="19"/>
                <w:szCs w:val="19"/>
                <w:lang w:val="en-CA" w:eastAsia="en-CA"/>
              </w:rPr>
            </w:pPr>
            <w:r w:rsidRPr="003B533B">
              <w:rPr>
                <w:b/>
                <w:bCs/>
                <w:sz w:val="19"/>
                <w:szCs w:val="19"/>
                <w:lang w:val="en-CA" w:eastAsia="en-CA"/>
              </w:rPr>
              <w:t>Country</w:t>
            </w:r>
          </w:p>
        </w:tc>
        <w:tc>
          <w:tcPr>
            <w:tcW w:w="1276" w:type="dxa"/>
            <w:hideMark/>
          </w:tcPr>
          <w:p w14:paraId="67F8D20D" w14:textId="77777777" w:rsidR="001B20F4" w:rsidRPr="003B533B" w:rsidRDefault="001B20F4" w:rsidP="0014095B">
            <w:pPr>
              <w:jc w:val="center"/>
              <w:rPr>
                <w:b/>
                <w:bCs/>
                <w:sz w:val="19"/>
                <w:szCs w:val="19"/>
                <w:lang w:val="en-CA" w:eastAsia="en-CA"/>
              </w:rPr>
            </w:pPr>
            <w:r w:rsidRPr="003B533B">
              <w:rPr>
                <w:b/>
                <w:bCs/>
                <w:sz w:val="19"/>
                <w:szCs w:val="19"/>
                <w:lang w:val="en-CA" w:eastAsia="en-CA"/>
              </w:rPr>
              <w:t>Agency</w:t>
            </w:r>
          </w:p>
        </w:tc>
        <w:tc>
          <w:tcPr>
            <w:tcW w:w="879" w:type="dxa"/>
            <w:hideMark/>
          </w:tcPr>
          <w:p w14:paraId="4F9F3668" w14:textId="77777777" w:rsidR="001B20F4" w:rsidRPr="003B533B" w:rsidRDefault="001B20F4" w:rsidP="0014095B">
            <w:pPr>
              <w:ind w:left="-108" w:right="-128"/>
              <w:jc w:val="center"/>
              <w:rPr>
                <w:b/>
                <w:bCs/>
                <w:sz w:val="19"/>
                <w:szCs w:val="19"/>
                <w:lang w:val="en-CA" w:eastAsia="en-CA"/>
              </w:rPr>
            </w:pPr>
            <w:r w:rsidRPr="003B533B">
              <w:rPr>
                <w:b/>
                <w:bCs/>
                <w:sz w:val="19"/>
                <w:szCs w:val="19"/>
                <w:lang w:val="en-CA" w:eastAsia="en-CA"/>
              </w:rPr>
              <w:t>Tranche</w:t>
            </w:r>
          </w:p>
        </w:tc>
        <w:tc>
          <w:tcPr>
            <w:tcW w:w="1275" w:type="dxa"/>
            <w:hideMark/>
          </w:tcPr>
          <w:p w14:paraId="29F70D06" w14:textId="77777777" w:rsidR="001B20F4" w:rsidRPr="003B533B" w:rsidRDefault="001B20F4" w:rsidP="0014095B">
            <w:pPr>
              <w:ind w:left="-108" w:right="-108"/>
              <w:jc w:val="center"/>
              <w:rPr>
                <w:b/>
                <w:bCs/>
                <w:sz w:val="19"/>
                <w:szCs w:val="19"/>
                <w:lang w:val="en-CA" w:eastAsia="en-CA"/>
              </w:rPr>
            </w:pPr>
            <w:r w:rsidRPr="003B533B">
              <w:rPr>
                <w:b/>
                <w:bCs/>
                <w:sz w:val="19"/>
                <w:szCs w:val="19"/>
                <w:lang w:val="en-CA" w:eastAsia="en-CA"/>
              </w:rPr>
              <w:t>Amount (with support costs)</w:t>
            </w:r>
          </w:p>
          <w:p w14:paraId="05BB5F79" w14:textId="77777777" w:rsidR="001B20F4" w:rsidRPr="003B533B" w:rsidRDefault="001B20F4" w:rsidP="0014095B">
            <w:pPr>
              <w:jc w:val="center"/>
              <w:rPr>
                <w:b/>
                <w:bCs/>
                <w:sz w:val="19"/>
                <w:szCs w:val="19"/>
                <w:lang w:val="en-CA" w:eastAsia="en-CA"/>
              </w:rPr>
            </w:pPr>
            <w:r w:rsidRPr="003B533B">
              <w:rPr>
                <w:b/>
                <w:bCs/>
                <w:sz w:val="19"/>
                <w:szCs w:val="19"/>
                <w:lang w:val="en-CA" w:eastAsia="en-CA"/>
              </w:rPr>
              <w:t>(US $)</w:t>
            </w:r>
          </w:p>
        </w:tc>
        <w:tc>
          <w:tcPr>
            <w:tcW w:w="3373" w:type="dxa"/>
            <w:hideMark/>
          </w:tcPr>
          <w:p w14:paraId="004A5298" w14:textId="77777777" w:rsidR="001B20F4" w:rsidRPr="003B533B" w:rsidRDefault="001B20F4" w:rsidP="0014095B">
            <w:pPr>
              <w:jc w:val="center"/>
              <w:rPr>
                <w:b/>
                <w:bCs/>
                <w:sz w:val="19"/>
                <w:szCs w:val="19"/>
                <w:lang w:val="en-CA" w:eastAsia="en-CA"/>
              </w:rPr>
            </w:pPr>
            <w:r w:rsidRPr="003B533B">
              <w:rPr>
                <w:b/>
                <w:bCs/>
                <w:sz w:val="19"/>
                <w:szCs w:val="19"/>
                <w:lang w:val="en-CA" w:eastAsia="en-CA"/>
              </w:rPr>
              <w:t>Reason for delay/withdrawal</w:t>
            </w:r>
          </w:p>
        </w:tc>
        <w:tc>
          <w:tcPr>
            <w:tcW w:w="5812" w:type="dxa"/>
          </w:tcPr>
          <w:p w14:paraId="3E4F3615" w14:textId="0D98E98A" w:rsidR="001B20F4" w:rsidRPr="003B533B" w:rsidRDefault="00EC640D" w:rsidP="0014095B">
            <w:pPr>
              <w:jc w:val="center"/>
              <w:rPr>
                <w:b/>
                <w:bCs/>
                <w:sz w:val="19"/>
                <w:szCs w:val="19"/>
                <w:lang w:val="en-CA" w:eastAsia="en-CA"/>
              </w:rPr>
            </w:pPr>
            <w:r w:rsidRPr="003B533B">
              <w:rPr>
                <w:b/>
                <w:sz w:val="19"/>
                <w:szCs w:val="19"/>
                <w:lang w:val="en-CA"/>
              </w:rPr>
              <w:t>Recommendations</w:t>
            </w:r>
          </w:p>
        </w:tc>
      </w:tr>
      <w:tr w:rsidR="001B318F" w:rsidRPr="003B533B" w14:paraId="3A093DC0" w14:textId="77777777" w:rsidTr="00807919">
        <w:trPr>
          <w:trHeight w:val="450"/>
        </w:trPr>
        <w:tc>
          <w:tcPr>
            <w:tcW w:w="1560" w:type="dxa"/>
            <w:hideMark/>
          </w:tcPr>
          <w:p w14:paraId="02F44C58" w14:textId="77777777" w:rsidR="001B20F4" w:rsidRPr="003B533B" w:rsidRDefault="001B20F4" w:rsidP="0014095B">
            <w:pPr>
              <w:jc w:val="left"/>
              <w:rPr>
                <w:sz w:val="19"/>
                <w:szCs w:val="19"/>
                <w:lang w:val="en-CA" w:eastAsia="en-CA"/>
              </w:rPr>
            </w:pPr>
            <w:r w:rsidRPr="003B533B">
              <w:rPr>
                <w:sz w:val="19"/>
                <w:szCs w:val="19"/>
                <w:lang w:val="en-CA" w:eastAsia="en-CA"/>
              </w:rPr>
              <w:t>Algeria (Stage I)</w:t>
            </w:r>
          </w:p>
        </w:tc>
        <w:tc>
          <w:tcPr>
            <w:tcW w:w="1276" w:type="dxa"/>
            <w:hideMark/>
          </w:tcPr>
          <w:p w14:paraId="712172DB" w14:textId="77777777" w:rsidR="001B20F4" w:rsidRPr="003B533B" w:rsidRDefault="001B20F4" w:rsidP="0014095B">
            <w:pPr>
              <w:jc w:val="left"/>
              <w:rPr>
                <w:sz w:val="19"/>
                <w:szCs w:val="19"/>
                <w:lang w:val="en-CA" w:eastAsia="en-CA"/>
              </w:rPr>
            </w:pPr>
            <w:r w:rsidRPr="003B533B">
              <w:rPr>
                <w:sz w:val="19"/>
                <w:szCs w:val="19"/>
                <w:lang w:val="en-CA" w:eastAsia="en-CA"/>
              </w:rPr>
              <w:t>UNIDO</w:t>
            </w:r>
          </w:p>
        </w:tc>
        <w:tc>
          <w:tcPr>
            <w:tcW w:w="879" w:type="dxa"/>
            <w:hideMark/>
          </w:tcPr>
          <w:p w14:paraId="2B401FD1" w14:textId="77777777" w:rsidR="001B20F4" w:rsidRPr="003B533B" w:rsidRDefault="001B20F4" w:rsidP="0014095B">
            <w:pPr>
              <w:jc w:val="center"/>
              <w:rPr>
                <w:sz w:val="19"/>
                <w:szCs w:val="19"/>
                <w:lang w:val="en-CA" w:eastAsia="en-CA"/>
              </w:rPr>
            </w:pPr>
            <w:r w:rsidRPr="003B533B">
              <w:rPr>
                <w:sz w:val="19"/>
                <w:szCs w:val="19"/>
                <w:lang w:val="en-CA" w:eastAsia="en-CA"/>
              </w:rPr>
              <w:t>2014</w:t>
            </w:r>
          </w:p>
        </w:tc>
        <w:tc>
          <w:tcPr>
            <w:tcW w:w="1275" w:type="dxa"/>
            <w:hideMark/>
          </w:tcPr>
          <w:p w14:paraId="561160D4" w14:textId="77777777" w:rsidR="001B20F4" w:rsidRPr="003B533B" w:rsidRDefault="001B20F4" w:rsidP="0014095B">
            <w:pPr>
              <w:jc w:val="right"/>
              <w:rPr>
                <w:sz w:val="19"/>
                <w:szCs w:val="19"/>
                <w:lang w:val="en-CA" w:eastAsia="en-CA"/>
              </w:rPr>
            </w:pPr>
            <w:r w:rsidRPr="003B533B">
              <w:rPr>
                <w:sz w:val="19"/>
                <w:szCs w:val="19"/>
                <w:lang w:val="en-CA" w:eastAsia="en-CA"/>
              </w:rPr>
              <w:t>154,800</w:t>
            </w:r>
          </w:p>
        </w:tc>
        <w:tc>
          <w:tcPr>
            <w:tcW w:w="3373" w:type="dxa"/>
            <w:hideMark/>
          </w:tcPr>
          <w:p w14:paraId="39273FCA" w14:textId="58FC92D3" w:rsidR="001B20F4" w:rsidRPr="003B533B" w:rsidRDefault="009513C5" w:rsidP="0014095B">
            <w:pPr>
              <w:rPr>
                <w:sz w:val="19"/>
                <w:szCs w:val="19"/>
                <w:lang w:val="en-CA" w:eastAsia="en-CA"/>
              </w:rPr>
            </w:pPr>
            <w:r w:rsidRPr="003B533B">
              <w:rPr>
                <w:sz w:val="19"/>
                <w:szCs w:val="19"/>
                <w:lang w:val="en-CA" w:eastAsia="en-CA"/>
              </w:rPr>
              <w:t>Government </w:t>
            </w:r>
            <w:r w:rsidR="001B20F4" w:rsidRPr="003B533B">
              <w:rPr>
                <w:sz w:val="19"/>
                <w:szCs w:val="19"/>
                <w:lang w:val="en-CA" w:eastAsia="en-CA"/>
              </w:rPr>
              <w:t>decisions/endorsements/ chang</w:t>
            </w:r>
            <w:r w:rsidR="00A37E27" w:rsidRPr="003B533B">
              <w:rPr>
                <w:sz w:val="19"/>
                <w:szCs w:val="19"/>
                <w:lang w:val="en-CA" w:eastAsia="en-CA"/>
              </w:rPr>
              <w:t xml:space="preserve">es in the </w:t>
            </w:r>
            <w:r w:rsidR="00A27BE0" w:rsidRPr="003B533B">
              <w:rPr>
                <w:sz w:val="19"/>
                <w:szCs w:val="19"/>
                <w:lang w:val="en-CA" w:eastAsia="en-CA"/>
              </w:rPr>
              <w:t>national ozone unit (</w:t>
            </w:r>
            <w:r w:rsidR="00A37E27" w:rsidRPr="003B533B">
              <w:rPr>
                <w:sz w:val="19"/>
                <w:szCs w:val="19"/>
                <w:lang w:val="en-CA" w:eastAsia="en-CA"/>
              </w:rPr>
              <w:t>NOU</w:t>
            </w:r>
            <w:r w:rsidR="00A27BE0" w:rsidRPr="003B533B">
              <w:rPr>
                <w:sz w:val="19"/>
                <w:szCs w:val="19"/>
                <w:lang w:val="en-CA" w:eastAsia="en-CA"/>
              </w:rPr>
              <w:t>)</w:t>
            </w:r>
            <w:r w:rsidR="00A37E27" w:rsidRPr="003B533B">
              <w:rPr>
                <w:sz w:val="19"/>
                <w:szCs w:val="19"/>
                <w:lang w:val="en-CA" w:eastAsia="en-CA"/>
              </w:rPr>
              <w:t>/structural change</w:t>
            </w:r>
          </w:p>
        </w:tc>
        <w:tc>
          <w:tcPr>
            <w:tcW w:w="5812" w:type="dxa"/>
          </w:tcPr>
          <w:p w14:paraId="31C6FDF4" w14:textId="6F8D692C" w:rsidR="001B20F4" w:rsidRPr="003B533B" w:rsidRDefault="004A7014" w:rsidP="0014095B">
            <w:pPr>
              <w:rPr>
                <w:sz w:val="19"/>
                <w:szCs w:val="19"/>
                <w:lang w:val="en-CA"/>
              </w:rPr>
            </w:pPr>
            <w:r w:rsidRPr="003B533B">
              <w:rPr>
                <w:sz w:val="19"/>
                <w:szCs w:val="19"/>
                <w:lang w:val="en-CA"/>
              </w:rPr>
              <w:t xml:space="preserve">Noting </w:t>
            </w:r>
            <w:r w:rsidR="002A4DBA" w:rsidRPr="003B533B">
              <w:rPr>
                <w:sz w:val="19"/>
                <w:szCs w:val="19"/>
                <w:lang w:val="en-CA"/>
              </w:rPr>
              <w:t xml:space="preserve">the </w:t>
            </w:r>
            <w:r w:rsidR="00CB0856" w:rsidRPr="003B533B">
              <w:rPr>
                <w:sz w:val="19"/>
                <w:szCs w:val="19"/>
                <w:lang w:val="en-CA"/>
              </w:rPr>
              <w:t xml:space="preserve">ongoing difficult </w:t>
            </w:r>
            <w:r w:rsidR="002A4DBA" w:rsidRPr="003B533B">
              <w:rPr>
                <w:sz w:val="19"/>
                <w:szCs w:val="19"/>
                <w:lang w:val="en-CA"/>
              </w:rPr>
              <w:t>circumstance</w:t>
            </w:r>
            <w:r w:rsidR="003A2203" w:rsidRPr="003B533B">
              <w:rPr>
                <w:sz w:val="19"/>
                <w:szCs w:val="19"/>
                <w:lang w:val="en-CA"/>
              </w:rPr>
              <w:t>s</w:t>
            </w:r>
            <w:r w:rsidR="002A4DBA" w:rsidRPr="003B533B">
              <w:rPr>
                <w:sz w:val="19"/>
                <w:szCs w:val="19"/>
                <w:lang w:val="en-CA"/>
              </w:rPr>
              <w:t xml:space="preserve"> </w:t>
            </w:r>
            <w:r w:rsidR="00CB0856" w:rsidRPr="003B533B">
              <w:rPr>
                <w:sz w:val="19"/>
                <w:szCs w:val="19"/>
                <w:lang w:val="en-CA"/>
              </w:rPr>
              <w:t xml:space="preserve">in </w:t>
            </w:r>
            <w:r w:rsidR="002A4DBA" w:rsidRPr="003B533B">
              <w:rPr>
                <w:sz w:val="19"/>
                <w:szCs w:val="19"/>
                <w:lang w:val="en-CA"/>
              </w:rPr>
              <w:t xml:space="preserve">the country </w:t>
            </w:r>
            <w:r w:rsidRPr="003B533B">
              <w:rPr>
                <w:sz w:val="19"/>
                <w:szCs w:val="19"/>
                <w:lang w:val="en-CA"/>
              </w:rPr>
              <w:t xml:space="preserve">and to request </w:t>
            </w:r>
            <w:r w:rsidR="00E8248D" w:rsidRPr="003B533B">
              <w:rPr>
                <w:sz w:val="19"/>
                <w:szCs w:val="19"/>
                <w:lang w:val="en-CA"/>
              </w:rPr>
              <w:t>cancellation of stage </w:t>
            </w:r>
            <w:r w:rsidRPr="003B533B">
              <w:rPr>
                <w:sz w:val="19"/>
                <w:szCs w:val="19"/>
                <w:lang w:val="en-CA"/>
              </w:rPr>
              <w:t xml:space="preserve">I of the </w:t>
            </w:r>
            <w:r w:rsidR="00CB0856" w:rsidRPr="003B533B">
              <w:rPr>
                <w:sz w:val="19"/>
                <w:szCs w:val="19"/>
                <w:lang w:val="en-CA"/>
              </w:rPr>
              <w:t>HCFC phase-out management plan (</w:t>
            </w:r>
            <w:r w:rsidRPr="003B533B">
              <w:rPr>
                <w:sz w:val="19"/>
                <w:szCs w:val="19"/>
                <w:lang w:val="en-CA"/>
              </w:rPr>
              <w:t>HPMP</w:t>
            </w:r>
            <w:r w:rsidR="00CB0856" w:rsidRPr="003B533B">
              <w:rPr>
                <w:sz w:val="19"/>
                <w:szCs w:val="19"/>
                <w:lang w:val="en-CA"/>
              </w:rPr>
              <w:t>)</w:t>
            </w:r>
            <w:r w:rsidR="00D07141" w:rsidRPr="003B533B">
              <w:rPr>
                <w:sz w:val="19"/>
                <w:szCs w:val="19"/>
                <w:lang w:val="en-CA"/>
              </w:rPr>
              <w:t xml:space="preserve"> for Algeria</w:t>
            </w:r>
            <w:r w:rsidRPr="003B533B">
              <w:rPr>
                <w:sz w:val="19"/>
                <w:szCs w:val="19"/>
                <w:lang w:val="en-CA"/>
              </w:rPr>
              <w:t xml:space="preserve"> at the </w:t>
            </w:r>
            <w:r w:rsidR="001B31C9" w:rsidRPr="003B533B">
              <w:rPr>
                <w:sz w:val="19"/>
                <w:szCs w:val="19"/>
                <w:lang w:val="en-CA"/>
              </w:rPr>
              <w:t>83</w:t>
            </w:r>
            <w:r w:rsidR="001B31C9" w:rsidRPr="003B533B">
              <w:rPr>
                <w:sz w:val="19"/>
                <w:szCs w:val="19"/>
                <w:vertAlign w:val="superscript"/>
                <w:lang w:val="en-CA"/>
              </w:rPr>
              <w:t>rd</w:t>
            </w:r>
            <w:r w:rsidR="001B31C9" w:rsidRPr="003B533B">
              <w:rPr>
                <w:sz w:val="19"/>
                <w:szCs w:val="19"/>
                <w:lang w:val="en-CA"/>
              </w:rPr>
              <w:t xml:space="preserve"> </w:t>
            </w:r>
            <w:r w:rsidRPr="003B533B">
              <w:rPr>
                <w:sz w:val="19"/>
                <w:szCs w:val="19"/>
                <w:lang w:val="en-CA"/>
              </w:rPr>
              <w:t xml:space="preserve">meeting and </w:t>
            </w:r>
            <w:r w:rsidR="00D07141" w:rsidRPr="003B533B">
              <w:rPr>
                <w:sz w:val="19"/>
                <w:szCs w:val="19"/>
                <w:lang w:val="en-CA"/>
              </w:rPr>
              <w:t xml:space="preserve">return of </w:t>
            </w:r>
            <w:r w:rsidRPr="003B533B">
              <w:rPr>
                <w:sz w:val="19"/>
                <w:szCs w:val="19"/>
                <w:lang w:val="en-CA"/>
              </w:rPr>
              <w:t xml:space="preserve">the outstanding balances </w:t>
            </w:r>
            <w:r w:rsidR="001B31C9" w:rsidRPr="003B533B">
              <w:rPr>
                <w:sz w:val="19"/>
                <w:szCs w:val="19"/>
                <w:lang w:val="en-CA"/>
              </w:rPr>
              <w:t>to</w:t>
            </w:r>
            <w:r w:rsidRPr="003B533B">
              <w:rPr>
                <w:sz w:val="19"/>
                <w:szCs w:val="19"/>
                <w:lang w:val="en-CA"/>
              </w:rPr>
              <w:t xml:space="preserve"> the </w:t>
            </w:r>
            <w:r w:rsidR="001B31C9" w:rsidRPr="003B533B">
              <w:rPr>
                <w:sz w:val="19"/>
                <w:szCs w:val="19"/>
                <w:lang w:val="en-CA"/>
              </w:rPr>
              <w:t>84</w:t>
            </w:r>
            <w:r w:rsidR="001B31C9" w:rsidRPr="003B533B">
              <w:rPr>
                <w:sz w:val="19"/>
                <w:szCs w:val="19"/>
                <w:vertAlign w:val="superscript"/>
                <w:lang w:val="en-CA"/>
              </w:rPr>
              <w:t>th</w:t>
            </w:r>
            <w:r w:rsidR="001B31C9" w:rsidRPr="003B533B">
              <w:rPr>
                <w:sz w:val="19"/>
                <w:szCs w:val="19"/>
                <w:lang w:val="en-CA"/>
              </w:rPr>
              <w:t xml:space="preserve"> </w:t>
            </w:r>
            <w:r w:rsidRPr="003B533B">
              <w:rPr>
                <w:sz w:val="19"/>
                <w:szCs w:val="19"/>
                <w:lang w:val="en-CA"/>
              </w:rPr>
              <w:t>meeting</w:t>
            </w:r>
            <w:r w:rsidR="008745A6" w:rsidRPr="003B533B">
              <w:rPr>
                <w:sz w:val="19"/>
                <w:szCs w:val="19"/>
                <w:lang w:val="en-CA"/>
              </w:rPr>
              <w:t xml:space="preserve"> so that a proposal for stage II of the HPMP could be submitted </w:t>
            </w:r>
            <w:r w:rsidR="002A4DBA" w:rsidRPr="003B533B">
              <w:rPr>
                <w:sz w:val="19"/>
                <w:szCs w:val="19"/>
                <w:lang w:val="en-CA"/>
              </w:rPr>
              <w:t>when condition</w:t>
            </w:r>
            <w:r w:rsidR="00B370DC" w:rsidRPr="003B533B">
              <w:rPr>
                <w:sz w:val="19"/>
                <w:szCs w:val="19"/>
                <w:lang w:val="en-CA"/>
              </w:rPr>
              <w:t>s</w:t>
            </w:r>
            <w:r w:rsidR="002A4DBA" w:rsidRPr="003B533B">
              <w:rPr>
                <w:sz w:val="19"/>
                <w:szCs w:val="19"/>
                <w:lang w:val="en-CA"/>
              </w:rPr>
              <w:t xml:space="preserve"> permit</w:t>
            </w:r>
            <w:r w:rsidRPr="003B533B">
              <w:rPr>
                <w:sz w:val="19"/>
                <w:szCs w:val="19"/>
                <w:lang w:val="en-CA"/>
              </w:rPr>
              <w:t>.</w:t>
            </w:r>
            <w:r w:rsidR="00B370DC" w:rsidRPr="003B533B">
              <w:rPr>
                <w:sz w:val="19"/>
                <w:szCs w:val="19"/>
                <w:lang w:val="en-CA"/>
              </w:rPr>
              <w:t xml:space="preserve"> </w:t>
            </w:r>
          </w:p>
        </w:tc>
      </w:tr>
      <w:tr w:rsidR="001B20F4" w:rsidRPr="003B533B" w14:paraId="663517CB" w14:textId="77777777" w:rsidTr="00807919">
        <w:trPr>
          <w:trHeight w:val="314"/>
        </w:trPr>
        <w:tc>
          <w:tcPr>
            <w:tcW w:w="1560" w:type="dxa"/>
            <w:hideMark/>
          </w:tcPr>
          <w:p w14:paraId="0F92CCDD" w14:textId="77777777" w:rsidR="001B20F4" w:rsidRPr="003B533B" w:rsidRDefault="001B20F4" w:rsidP="0014095B">
            <w:pPr>
              <w:jc w:val="left"/>
              <w:rPr>
                <w:sz w:val="19"/>
                <w:szCs w:val="19"/>
                <w:lang w:val="en-CA" w:eastAsia="en-CA"/>
              </w:rPr>
            </w:pPr>
            <w:r w:rsidRPr="003B533B">
              <w:rPr>
                <w:sz w:val="19"/>
                <w:szCs w:val="19"/>
                <w:lang w:val="en-CA" w:eastAsia="en-CA"/>
              </w:rPr>
              <w:t>Antigua and Barbuda (Stage I)</w:t>
            </w:r>
          </w:p>
        </w:tc>
        <w:tc>
          <w:tcPr>
            <w:tcW w:w="1276" w:type="dxa"/>
            <w:hideMark/>
          </w:tcPr>
          <w:p w14:paraId="0DC9F329" w14:textId="77777777" w:rsidR="001B20F4" w:rsidRPr="003B533B" w:rsidRDefault="001B20F4" w:rsidP="0014095B">
            <w:pPr>
              <w:jc w:val="left"/>
              <w:rPr>
                <w:sz w:val="19"/>
                <w:szCs w:val="19"/>
                <w:lang w:val="fr-FR" w:eastAsia="en-CA"/>
              </w:rPr>
            </w:pPr>
            <w:r w:rsidRPr="003B533B">
              <w:rPr>
                <w:sz w:val="19"/>
                <w:szCs w:val="19"/>
                <w:lang w:val="en-CA" w:eastAsia="en-CA"/>
              </w:rPr>
              <w:t>UNEP</w:t>
            </w:r>
          </w:p>
        </w:tc>
        <w:tc>
          <w:tcPr>
            <w:tcW w:w="879" w:type="dxa"/>
            <w:hideMark/>
          </w:tcPr>
          <w:p w14:paraId="17821A34" w14:textId="77777777" w:rsidR="001B20F4" w:rsidRPr="003B533B" w:rsidRDefault="001B20F4" w:rsidP="0014095B">
            <w:pPr>
              <w:jc w:val="center"/>
              <w:rPr>
                <w:sz w:val="19"/>
                <w:szCs w:val="19"/>
                <w:lang w:val="en-CA" w:eastAsia="en-CA"/>
              </w:rPr>
            </w:pPr>
            <w:r w:rsidRPr="003B533B">
              <w:rPr>
                <w:sz w:val="19"/>
                <w:szCs w:val="19"/>
                <w:lang w:val="en-CA" w:eastAsia="en-CA"/>
              </w:rPr>
              <w:t>2015</w:t>
            </w:r>
          </w:p>
        </w:tc>
        <w:tc>
          <w:tcPr>
            <w:tcW w:w="1275" w:type="dxa"/>
            <w:hideMark/>
          </w:tcPr>
          <w:p w14:paraId="7533FA1B" w14:textId="77777777" w:rsidR="001B20F4" w:rsidRPr="003B533B" w:rsidRDefault="001B20F4" w:rsidP="0014095B">
            <w:pPr>
              <w:jc w:val="right"/>
              <w:rPr>
                <w:sz w:val="19"/>
                <w:szCs w:val="19"/>
                <w:lang w:val="en-CA" w:eastAsia="en-CA"/>
              </w:rPr>
            </w:pPr>
            <w:r w:rsidRPr="003B533B">
              <w:rPr>
                <w:sz w:val="19"/>
                <w:szCs w:val="19"/>
                <w:lang w:val="en-CA" w:eastAsia="en-CA"/>
              </w:rPr>
              <w:t>6,610</w:t>
            </w:r>
          </w:p>
        </w:tc>
        <w:tc>
          <w:tcPr>
            <w:tcW w:w="3373" w:type="dxa"/>
            <w:hideMark/>
          </w:tcPr>
          <w:p w14:paraId="660EC702" w14:textId="2EC2B736" w:rsidR="001B20F4" w:rsidRPr="003B533B" w:rsidRDefault="007B27B8" w:rsidP="0014095B">
            <w:pPr>
              <w:rPr>
                <w:sz w:val="19"/>
                <w:szCs w:val="19"/>
                <w:lang w:val="en-CA" w:eastAsia="en-CA"/>
              </w:rPr>
            </w:pPr>
            <w:r w:rsidRPr="003B533B">
              <w:rPr>
                <w:sz w:val="19"/>
                <w:szCs w:val="19"/>
                <w:lang w:val="en-CA" w:eastAsia="en-CA"/>
              </w:rPr>
              <w:t>Government decisions/</w:t>
            </w:r>
            <w:r w:rsidR="001B20F4" w:rsidRPr="003B533B">
              <w:rPr>
                <w:sz w:val="19"/>
                <w:szCs w:val="19"/>
                <w:lang w:val="en-CA" w:eastAsia="en-CA"/>
              </w:rPr>
              <w:t>endorsements/ changes in the NOU/structural change/ submission of progress and financial reports/internal or external difficulties</w:t>
            </w:r>
          </w:p>
        </w:tc>
        <w:tc>
          <w:tcPr>
            <w:tcW w:w="5812" w:type="dxa"/>
          </w:tcPr>
          <w:p w14:paraId="5FF57277" w14:textId="0DC339F8" w:rsidR="001B20F4" w:rsidRPr="003B533B" w:rsidRDefault="001B31C9" w:rsidP="0014095B">
            <w:pPr>
              <w:rPr>
                <w:sz w:val="19"/>
                <w:szCs w:val="19"/>
                <w:lang w:val="en-CA"/>
              </w:rPr>
            </w:pPr>
            <w:r w:rsidRPr="003B533B">
              <w:rPr>
                <w:sz w:val="19"/>
                <w:szCs w:val="19"/>
                <w:lang w:val="en-CA"/>
              </w:rPr>
              <w:t xml:space="preserve">Noting that the second (2015) tranche of stage I of the HPMP for Antigua and Barbuda had not been submitted due to structural changes within the Government and to request cancellation of stage I of the HPMP and </w:t>
            </w:r>
            <w:r w:rsidR="0019213D" w:rsidRPr="003B533B">
              <w:rPr>
                <w:sz w:val="19"/>
                <w:szCs w:val="19"/>
                <w:lang w:val="en-CA"/>
              </w:rPr>
              <w:t>return of the outstanding balances</w:t>
            </w:r>
            <w:r w:rsidRPr="003B533B">
              <w:rPr>
                <w:sz w:val="19"/>
                <w:szCs w:val="19"/>
                <w:lang w:val="en-CA"/>
              </w:rPr>
              <w:t xml:space="preserve"> to the 82</w:t>
            </w:r>
            <w:r w:rsidRPr="003B533B">
              <w:rPr>
                <w:sz w:val="19"/>
                <w:szCs w:val="19"/>
                <w:vertAlign w:val="superscript"/>
                <w:lang w:val="en-CA"/>
              </w:rPr>
              <w:t>nd</w:t>
            </w:r>
            <w:r w:rsidR="0014095B" w:rsidRPr="003B533B">
              <w:rPr>
                <w:sz w:val="19"/>
                <w:szCs w:val="19"/>
                <w:lang w:val="en-CA"/>
              </w:rPr>
              <w:t xml:space="preserve"> </w:t>
            </w:r>
            <w:r w:rsidRPr="003B533B">
              <w:rPr>
                <w:sz w:val="19"/>
                <w:szCs w:val="19"/>
                <w:lang w:val="en-CA"/>
              </w:rPr>
              <w:t xml:space="preserve">meeting, noting that stage II of the HPMP would take into consideration </w:t>
            </w:r>
            <w:r w:rsidR="0075713E" w:rsidRPr="003B533B">
              <w:rPr>
                <w:sz w:val="19"/>
                <w:szCs w:val="19"/>
                <w:lang w:val="en-CA"/>
              </w:rPr>
              <w:t>d</w:t>
            </w:r>
            <w:r w:rsidRPr="003B533B">
              <w:rPr>
                <w:sz w:val="19"/>
                <w:szCs w:val="19"/>
                <w:lang w:val="en-CA"/>
              </w:rPr>
              <w:t>ecision XXIX/19</w:t>
            </w:r>
            <w:r w:rsidR="00CB0856" w:rsidRPr="003B533B">
              <w:rPr>
                <w:sz w:val="19"/>
                <w:szCs w:val="19"/>
                <w:lang w:val="en-CA"/>
              </w:rPr>
              <w:t xml:space="preserve"> on special considerations for the Caribbean islands affected by hurricanes</w:t>
            </w:r>
            <w:r w:rsidRPr="003B533B">
              <w:rPr>
                <w:sz w:val="19"/>
                <w:szCs w:val="19"/>
                <w:lang w:val="en-CA"/>
              </w:rPr>
              <w:t>.</w:t>
            </w:r>
          </w:p>
        </w:tc>
      </w:tr>
      <w:tr w:rsidR="00EB2B41" w:rsidRPr="003B533B" w14:paraId="71F86CF5" w14:textId="77777777" w:rsidTr="00807919">
        <w:trPr>
          <w:trHeight w:val="314"/>
        </w:trPr>
        <w:tc>
          <w:tcPr>
            <w:tcW w:w="1560" w:type="dxa"/>
          </w:tcPr>
          <w:p w14:paraId="4E283D1E" w14:textId="0DE69562" w:rsidR="00EB2B41" w:rsidRPr="003B533B" w:rsidRDefault="00EB2B41" w:rsidP="0014095B">
            <w:pPr>
              <w:jc w:val="left"/>
              <w:rPr>
                <w:sz w:val="19"/>
                <w:szCs w:val="19"/>
                <w:lang w:val="en-CA" w:eastAsia="en-CA"/>
              </w:rPr>
            </w:pPr>
            <w:r w:rsidRPr="003B533B">
              <w:rPr>
                <w:sz w:val="19"/>
                <w:szCs w:val="19"/>
                <w:lang w:val="en-CA" w:eastAsia="en-CA"/>
              </w:rPr>
              <w:t>Armenia</w:t>
            </w:r>
          </w:p>
          <w:p w14:paraId="61FD9948" w14:textId="443282E2" w:rsidR="00EB2B41" w:rsidRPr="003B533B" w:rsidRDefault="00EB2B41" w:rsidP="0014095B">
            <w:pPr>
              <w:jc w:val="left"/>
              <w:rPr>
                <w:sz w:val="19"/>
                <w:szCs w:val="19"/>
                <w:lang w:val="en-CA" w:eastAsia="en-CA"/>
              </w:rPr>
            </w:pPr>
            <w:r w:rsidRPr="003B533B">
              <w:rPr>
                <w:sz w:val="19"/>
                <w:szCs w:val="19"/>
                <w:lang w:val="en-CA" w:eastAsia="en-CA"/>
              </w:rPr>
              <w:t>(Stage II)</w:t>
            </w:r>
          </w:p>
          <w:p w14:paraId="69C67D31" w14:textId="5E145C5D" w:rsidR="00EB2B41" w:rsidRPr="003B533B" w:rsidRDefault="00EB2B41" w:rsidP="0014095B">
            <w:pPr>
              <w:jc w:val="left"/>
              <w:rPr>
                <w:sz w:val="19"/>
                <w:szCs w:val="19"/>
                <w:lang w:val="en-CA" w:eastAsia="en-CA"/>
              </w:rPr>
            </w:pPr>
          </w:p>
        </w:tc>
        <w:tc>
          <w:tcPr>
            <w:tcW w:w="1276" w:type="dxa"/>
          </w:tcPr>
          <w:p w14:paraId="7EBDA4E7" w14:textId="3B809BC9" w:rsidR="00EB2B41" w:rsidRPr="003B533B" w:rsidRDefault="00EB2B41" w:rsidP="0014095B">
            <w:pPr>
              <w:jc w:val="left"/>
              <w:rPr>
                <w:sz w:val="19"/>
                <w:szCs w:val="19"/>
                <w:lang w:val="en-CA" w:eastAsia="en-CA"/>
              </w:rPr>
            </w:pPr>
            <w:r w:rsidRPr="003B533B">
              <w:rPr>
                <w:sz w:val="19"/>
                <w:szCs w:val="19"/>
                <w:lang w:val="en-CA" w:eastAsia="en-CA"/>
              </w:rPr>
              <w:t>UNEP</w:t>
            </w:r>
          </w:p>
        </w:tc>
        <w:tc>
          <w:tcPr>
            <w:tcW w:w="879" w:type="dxa"/>
          </w:tcPr>
          <w:p w14:paraId="4C6C2588" w14:textId="57377538" w:rsidR="00EB2B41" w:rsidRPr="003B533B" w:rsidRDefault="00EB2B41" w:rsidP="0014095B">
            <w:pPr>
              <w:jc w:val="center"/>
              <w:rPr>
                <w:sz w:val="19"/>
                <w:szCs w:val="19"/>
                <w:lang w:val="en-CA" w:eastAsia="en-CA"/>
              </w:rPr>
            </w:pPr>
            <w:r w:rsidRPr="003B533B">
              <w:rPr>
                <w:sz w:val="19"/>
                <w:szCs w:val="19"/>
                <w:lang w:val="en-CA" w:eastAsia="en-CA"/>
              </w:rPr>
              <w:t>2018</w:t>
            </w:r>
          </w:p>
        </w:tc>
        <w:tc>
          <w:tcPr>
            <w:tcW w:w="1275" w:type="dxa"/>
          </w:tcPr>
          <w:p w14:paraId="6BE8B6BC" w14:textId="0598D1C5" w:rsidR="00EB2B41" w:rsidRPr="003B533B" w:rsidRDefault="00EB2B41" w:rsidP="0014095B">
            <w:pPr>
              <w:jc w:val="right"/>
              <w:rPr>
                <w:sz w:val="19"/>
                <w:szCs w:val="19"/>
                <w:lang w:val="en-CA" w:eastAsia="en-CA"/>
              </w:rPr>
            </w:pPr>
            <w:r w:rsidRPr="003B533B">
              <w:rPr>
                <w:sz w:val="19"/>
                <w:szCs w:val="19"/>
                <w:lang w:val="en-CA" w:eastAsia="en-CA"/>
              </w:rPr>
              <w:t>58,082</w:t>
            </w:r>
          </w:p>
        </w:tc>
        <w:tc>
          <w:tcPr>
            <w:tcW w:w="3373" w:type="dxa"/>
          </w:tcPr>
          <w:p w14:paraId="59B72C74" w14:textId="172D2F2A" w:rsidR="00EB2B41" w:rsidRPr="003B533B" w:rsidRDefault="00EB2B41" w:rsidP="0014095B">
            <w:pPr>
              <w:rPr>
                <w:sz w:val="19"/>
                <w:szCs w:val="19"/>
                <w:lang w:val="en-CA" w:eastAsia="en-CA"/>
              </w:rPr>
            </w:pPr>
            <w:r w:rsidRPr="003B533B">
              <w:rPr>
                <w:sz w:val="19"/>
                <w:szCs w:val="19"/>
                <w:lang w:val="en-CA" w:eastAsia="en-CA"/>
              </w:rPr>
              <w:t>Sufficient funds from previous tranche approved/20 per cent disbursement threshold</w:t>
            </w:r>
          </w:p>
        </w:tc>
        <w:tc>
          <w:tcPr>
            <w:tcW w:w="5812" w:type="dxa"/>
          </w:tcPr>
          <w:p w14:paraId="6331362E" w14:textId="6C5B7999" w:rsidR="00EB2B41" w:rsidRPr="003B533B" w:rsidRDefault="00EB2B41" w:rsidP="00314E77">
            <w:pPr>
              <w:rPr>
                <w:sz w:val="19"/>
                <w:szCs w:val="19"/>
                <w:lang w:val="en-CA"/>
              </w:rPr>
            </w:pPr>
            <w:r w:rsidRPr="003B533B">
              <w:rPr>
                <w:sz w:val="19"/>
                <w:szCs w:val="19"/>
                <w:lang w:val="en-CA"/>
              </w:rPr>
              <w:t xml:space="preserve">Noting that the overall disbursement rate of the first (2016) tranche of stage II of the HPMP was below the 20 per cent disbursement threshold and urging the Government of Armenia to work with </w:t>
            </w:r>
            <w:r w:rsidRPr="003B533B">
              <w:rPr>
                <w:sz w:val="19"/>
                <w:szCs w:val="19"/>
                <w:lang w:val="en-CA" w:eastAsia="en-CA"/>
              </w:rPr>
              <w:t xml:space="preserve">UNEP </w:t>
            </w:r>
            <w:r w:rsidRPr="003B533B">
              <w:rPr>
                <w:sz w:val="19"/>
                <w:szCs w:val="19"/>
                <w:lang w:val="en-CA"/>
              </w:rPr>
              <w:t>so that the second (2018) tranche could be submitted to the 83</w:t>
            </w:r>
            <w:r w:rsidRPr="003B533B">
              <w:rPr>
                <w:sz w:val="19"/>
                <w:szCs w:val="19"/>
                <w:vertAlign w:val="superscript"/>
                <w:lang w:val="en-CA"/>
              </w:rPr>
              <w:t>rd</w:t>
            </w:r>
            <w:r w:rsidRPr="003B533B">
              <w:rPr>
                <w:sz w:val="19"/>
                <w:szCs w:val="19"/>
                <w:lang w:val="en-CA"/>
              </w:rPr>
              <w:t xml:space="preserve"> meeting </w:t>
            </w:r>
            <w:r w:rsidR="009726FE" w:rsidRPr="003B533B">
              <w:rPr>
                <w:sz w:val="19"/>
                <w:szCs w:val="19"/>
                <w:lang w:val="en-CA"/>
              </w:rPr>
              <w:t xml:space="preserve">with a revised plan of action to take into account the reallocation of the 2018 and subsequent tranches, </w:t>
            </w:r>
            <w:r w:rsidRPr="003B533B">
              <w:rPr>
                <w:sz w:val="19"/>
                <w:szCs w:val="19"/>
                <w:lang w:val="en-CA"/>
              </w:rPr>
              <w:t>on the understanding that the 20 per cent disbursement threshold for funding of the previous tranche had been achieved.</w:t>
            </w:r>
          </w:p>
        </w:tc>
      </w:tr>
      <w:tr w:rsidR="00286EF4" w:rsidRPr="003B533B" w14:paraId="4383A7CA" w14:textId="77777777" w:rsidTr="00807919">
        <w:trPr>
          <w:trHeight w:val="547"/>
        </w:trPr>
        <w:tc>
          <w:tcPr>
            <w:tcW w:w="1560" w:type="dxa"/>
          </w:tcPr>
          <w:p w14:paraId="032EAC83" w14:textId="77777777" w:rsidR="00286EF4" w:rsidRPr="003B533B" w:rsidRDefault="00286EF4" w:rsidP="0014095B">
            <w:pPr>
              <w:jc w:val="left"/>
              <w:rPr>
                <w:sz w:val="19"/>
                <w:szCs w:val="19"/>
                <w:lang w:val="en-CA" w:eastAsia="en-CA"/>
              </w:rPr>
            </w:pPr>
            <w:r w:rsidRPr="003B533B">
              <w:rPr>
                <w:sz w:val="19"/>
                <w:szCs w:val="19"/>
                <w:lang w:val="en-CA" w:eastAsia="en-CA"/>
              </w:rPr>
              <w:t>Central African Republic (the)</w:t>
            </w:r>
          </w:p>
          <w:p w14:paraId="017B2738" w14:textId="5CC16AE5" w:rsidR="00286EF4" w:rsidRPr="003B533B" w:rsidRDefault="00286EF4" w:rsidP="0014095B">
            <w:pPr>
              <w:jc w:val="left"/>
              <w:rPr>
                <w:sz w:val="19"/>
                <w:szCs w:val="19"/>
                <w:lang w:val="en-CA" w:eastAsia="en-CA"/>
              </w:rPr>
            </w:pPr>
            <w:r w:rsidRPr="003B533B">
              <w:rPr>
                <w:sz w:val="19"/>
                <w:szCs w:val="19"/>
                <w:lang w:val="en-CA" w:eastAsia="en-CA"/>
              </w:rPr>
              <w:t>(Stage I)</w:t>
            </w:r>
          </w:p>
        </w:tc>
        <w:tc>
          <w:tcPr>
            <w:tcW w:w="1276" w:type="dxa"/>
          </w:tcPr>
          <w:p w14:paraId="6C9C37A7"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tcPr>
          <w:p w14:paraId="400FF73B" w14:textId="77777777" w:rsidR="00286EF4" w:rsidRPr="003B533B" w:rsidRDefault="00286EF4" w:rsidP="0014095B">
            <w:pPr>
              <w:jc w:val="center"/>
              <w:rPr>
                <w:sz w:val="19"/>
                <w:szCs w:val="19"/>
                <w:lang w:val="en-CA" w:eastAsia="en-CA"/>
              </w:rPr>
            </w:pPr>
            <w:r w:rsidRPr="003B533B">
              <w:rPr>
                <w:sz w:val="19"/>
                <w:szCs w:val="19"/>
                <w:lang w:val="en-CA" w:eastAsia="en-CA"/>
              </w:rPr>
              <w:t>2013</w:t>
            </w:r>
          </w:p>
        </w:tc>
        <w:tc>
          <w:tcPr>
            <w:tcW w:w="1275" w:type="dxa"/>
          </w:tcPr>
          <w:p w14:paraId="3F8C77A9" w14:textId="77777777" w:rsidR="00286EF4" w:rsidRPr="003B533B" w:rsidRDefault="00286EF4" w:rsidP="0014095B">
            <w:pPr>
              <w:jc w:val="right"/>
              <w:rPr>
                <w:sz w:val="19"/>
                <w:szCs w:val="19"/>
                <w:lang w:val="en-CA" w:eastAsia="en-CA"/>
              </w:rPr>
            </w:pPr>
            <w:r w:rsidRPr="003B533B">
              <w:rPr>
                <w:sz w:val="19"/>
                <w:szCs w:val="19"/>
                <w:lang w:val="en-CA" w:eastAsia="en-CA"/>
              </w:rPr>
              <w:t>62,150</w:t>
            </w:r>
          </w:p>
        </w:tc>
        <w:tc>
          <w:tcPr>
            <w:tcW w:w="3373" w:type="dxa"/>
          </w:tcPr>
          <w:p w14:paraId="0AD77773" w14:textId="77777777" w:rsidR="00286EF4" w:rsidRPr="003B533B" w:rsidRDefault="00286EF4" w:rsidP="0014095B">
            <w:pPr>
              <w:rPr>
                <w:sz w:val="19"/>
                <w:szCs w:val="19"/>
                <w:lang w:val="en-CA" w:eastAsia="en-CA"/>
              </w:rPr>
            </w:pPr>
            <w:r w:rsidRPr="003B533B">
              <w:rPr>
                <w:sz w:val="19"/>
                <w:szCs w:val="19"/>
                <w:lang w:val="en-CA" w:eastAsia="en-CA"/>
              </w:rPr>
              <w:t>Internal or external difficulties/securities issues/20 per cent disbursement threshold</w:t>
            </w:r>
          </w:p>
        </w:tc>
        <w:tc>
          <w:tcPr>
            <w:tcW w:w="5812" w:type="dxa"/>
          </w:tcPr>
          <w:p w14:paraId="070E1D38" w14:textId="3FC24A14" w:rsidR="00286EF4" w:rsidRPr="003B533B" w:rsidRDefault="00286EF4" w:rsidP="0014095B">
            <w:pPr>
              <w:keepNext/>
              <w:rPr>
                <w:sz w:val="19"/>
                <w:szCs w:val="19"/>
                <w:lang w:val="en-CA" w:eastAsia="en-CA"/>
              </w:rPr>
            </w:pPr>
            <w:r w:rsidRPr="003B533B">
              <w:rPr>
                <w:sz w:val="19"/>
                <w:szCs w:val="19"/>
                <w:lang w:val="en-CA"/>
              </w:rPr>
              <w:t xml:space="preserve">Noting the ongoing difficult circumstances in the country and to request cancellation of stage I of the HPMP </w:t>
            </w:r>
            <w:r w:rsidR="0094629C" w:rsidRPr="003B533B">
              <w:rPr>
                <w:sz w:val="19"/>
                <w:szCs w:val="19"/>
                <w:lang w:val="en-CA"/>
              </w:rPr>
              <w:t xml:space="preserve">for the Central African Republic </w:t>
            </w:r>
            <w:r w:rsidRPr="003B533B">
              <w:rPr>
                <w:sz w:val="19"/>
                <w:szCs w:val="19"/>
                <w:lang w:val="en-CA"/>
              </w:rPr>
              <w:t>at the 82</w:t>
            </w:r>
            <w:r w:rsidRPr="003B533B">
              <w:rPr>
                <w:sz w:val="19"/>
                <w:szCs w:val="19"/>
                <w:vertAlign w:val="superscript"/>
                <w:lang w:val="en-CA"/>
              </w:rPr>
              <w:t>nd</w:t>
            </w:r>
            <w:r w:rsidRPr="003B533B">
              <w:rPr>
                <w:sz w:val="19"/>
                <w:szCs w:val="19"/>
                <w:lang w:val="en-CA"/>
              </w:rPr>
              <w:t xml:space="preserve"> meeting and </w:t>
            </w:r>
            <w:r w:rsidR="0094629C" w:rsidRPr="003B533B">
              <w:rPr>
                <w:sz w:val="19"/>
                <w:szCs w:val="19"/>
                <w:lang w:val="en-CA"/>
              </w:rPr>
              <w:t xml:space="preserve">return of the outstanding balances </w:t>
            </w:r>
            <w:r w:rsidRPr="003B533B">
              <w:rPr>
                <w:sz w:val="19"/>
                <w:szCs w:val="19"/>
                <w:lang w:val="en-CA"/>
              </w:rPr>
              <w:t>to the 83</w:t>
            </w:r>
            <w:r w:rsidRPr="003B533B">
              <w:rPr>
                <w:sz w:val="19"/>
                <w:szCs w:val="19"/>
                <w:vertAlign w:val="superscript"/>
                <w:lang w:val="en-CA"/>
              </w:rPr>
              <w:t>rd</w:t>
            </w:r>
            <w:r w:rsidRPr="003B533B">
              <w:rPr>
                <w:sz w:val="19"/>
                <w:szCs w:val="19"/>
                <w:lang w:val="en-CA"/>
              </w:rPr>
              <w:t xml:space="preserve"> meeting so that a proposal for stage II of the HPMP could be submitted when conditions permit.</w:t>
            </w:r>
          </w:p>
        </w:tc>
      </w:tr>
      <w:tr w:rsidR="00286EF4" w:rsidRPr="003B533B" w14:paraId="0D61FFB4" w14:textId="77777777" w:rsidTr="00807919">
        <w:trPr>
          <w:trHeight w:val="132"/>
        </w:trPr>
        <w:tc>
          <w:tcPr>
            <w:tcW w:w="1560" w:type="dxa"/>
          </w:tcPr>
          <w:p w14:paraId="244B5370" w14:textId="77777777" w:rsidR="00286EF4" w:rsidRPr="003B533B" w:rsidRDefault="00286EF4" w:rsidP="0014095B">
            <w:pPr>
              <w:jc w:val="left"/>
              <w:rPr>
                <w:sz w:val="19"/>
                <w:szCs w:val="19"/>
                <w:lang w:val="en-CA" w:eastAsia="en-CA"/>
              </w:rPr>
            </w:pPr>
            <w:r w:rsidRPr="003B533B">
              <w:rPr>
                <w:sz w:val="19"/>
                <w:szCs w:val="19"/>
                <w:lang w:val="en-CA" w:eastAsia="en-CA"/>
              </w:rPr>
              <w:t>China (Stage II – PU rigid foam sector)</w:t>
            </w:r>
          </w:p>
        </w:tc>
        <w:tc>
          <w:tcPr>
            <w:tcW w:w="1276" w:type="dxa"/>
          </w:tcPr>
          <w:p w14:paraId="78CCA735" w14:textId="77777777" w:rsidR="00286EF4" w:rsidRPr="003B533B" w:rsidRDefault="00286EF4" w:rsidP="0014095B">
            <w:pPr>
              <w:jc w:val="left"/>
              <w:rPr>
                <w:sz w:val="19"/>
                <w:szCs w:val="19"/>
                <w:lang w:val="en-CA" w:eastAsia="en-CA"/>
              </w:rPr>
            </w:pPr>
            <w:r w:rsidRPr="003B533B">
              <w:rPr>
                <w:sz w:val="19"/>
                <w:szCs w:val="19"/>
                <w:lang w:val="en-CA" w:eastAsia="en-CA"/>
              </w:rPr>
              <w:t>World Bank</w:t>
            </w:r>
          </w:p>
        </w:tc>
        <w:tc>
          <w:tcPr>
            <w:tcW w:w="879" w:type="dxa"/>
          </w:tcPr>
          <w:p w14:paraId="5E378CF2" w14:textId="77777777" w:rsidR="00286EF4" w:rsidRPr="003B533B" w:rsidRDefault="00286EF4" w:rsidP="0014095B">
            <w:pPr>
              <w:jc w:val="center"/>
              <w:rPr>
                <w:sz w:val="19"/>
                <w:szCs w:val="19"/>
                <w:lang w:val="en-CA" w:eastAsia="en-CA"/>
              </w:rPr>
            </w:pPr>
            <w:r w:rsidRPr="003B533B">
              <w:rPr>
                <w:sz w:val="19"/>
                <w:szCs w:val="19"/>
                <w:lang w:val="en-CA" w:eastAsia="en-CA"/>
              </w:rPr>
              <w:t>2017</w:t>
            </w:r>
          </w:p>
        </w:tc>
        <w:tc>
          <w:tcPr>
            <w:tcW w:w="1275" w:type="dxa"/>
          </w:tcPr>
          <w:p w14:paraId="142700F3" w14:textId="2ECB7095" w:rsidR="00286EF4" w:rsidRPr="003B533B" w:rsidRDefault="00286EF4" w:rsidP="0014095B">
            <w:pPr>
              <w:jc w:val="right"/>
              <w:rPr>
                <w:sz w:val="19"/>
                <w:szCs w:val="19"/>
                <w:lang w:val="en-CA" w:eastAsia="en-CA"/>
              </w:rPr>
            </w:pPr>
            <w:r w:rsidRPr="003B533B">
              <w:rPr>
                <w:sz w:val="19"/>
                <w:szCs w:val="19"/>
                <w:lang w:val="en-CA" w:eastAsia="en-CA"/>
              </w:rPr>
              <w:t>11,342,000</w:t>
            </w:r>
          </w:p>
        </w:tc>
        <w:tc>
          <w:tcPr>
            <w:tcW w:w="3373" w:type="dxa"/>
          </w:tcPr>
          <w:p w14:paraId="6538D7E9" w14:textId="7E15E6DE" w:rsidR="00286EF4" w:rsidRPr="003B533B" w:rsidRDefault="00286EF4" w:rsidP="0014095B">
            <w:pPr>
              <w:rPr>
                <w:sz w:val="19"/>
                <w:szCs w:val="19"/>
                <w:lang w:val="en-CA" w:eastAsia="en-CA"/>
              </w:rPr>
            </w:pPr>
            <w:r w:rsidRPr="003B533B">
              <w:rPr>
                <w:sz w:val="19"/>
                <w:szCs w:val="19"/>
                <w:lang w:val="en-CA" w:eastAsia="en-CA"/>
              </w:rPr>
              <w:t>Signing of agreement/project document/ 20 per cent disbursement threshold</w:t>
            </w:r>
          </w:p>
          <w:p w14:paraId="50BFF7D6" w14:textId="77777777" w:rsidR="00286EF4" w:rsidRPr="003B533B" w:rsidRDefault="00286EF4" w:rsidP="0014095B">
            <w:pPr>
              <w:rPr>
                <w:sz w:val="19"/>
                <w:szCs w:val="19"/>
                <w:lang w:val="en-CA" w:eastAsia="en-CA"/>
              </w:rPr>
            </w:pPr>
          </w:p>
        </w:tc>
        <w:tc>
          <w:tcPr>
            <w:tcW w:w="5812" w:type="dxa"/>
          </w:tcPr>
          <w:p w14:paraId="6F939FAF" w14:textId="2E877676" w:rsidR="00286EF4" w:rsidRPr="003B533B" w:rsidRDefault="00286EF4" w:rsidP="00314E77">
            <w:pPr>
              <w:rPr>
                <w:sz w:val="19"/>
                <w:szCs w:val="19"/>
                <w:lang w:val="en-CA"/>
              </w:rPr>
            </w:pPr>
            <w:r w:rsidRPr="003B533B">
              <w:rPr>
                <w:sz w:val="19"/>
                <w:szCs w:val="19"/>
                <w:lang w:val="en-CA"/>
              </w:rPr>
              <w:t>Noting that the second (2017) tranche of the polyurethane (PU) rigid foam sector plan of stage II of the HPMP submitted to the 82</w:t>
            </w:r>
            <w:r w:rsidRPr="003B533B">
              <w:rPr>
                <w:sz w:val="19"/>
                <w:szCs w:val="19"/>
                <w:vertAlign w:val="superscript"/>
                <w:lang w:val="en-CA"/>
              </w:rPr>
              <w:t>nd</w:t>
            </w:r>
            <w:r w:rsidRPr="003B533B">
              <w:rPr>
                <w:sz w:val="19"/>
                <w:szCs w:val="19"/>
                <w:lang w:val="en-CA"/>
              </w:rPr>
              <w:t xml:space="preserve"> meeting had been withdrawn, and urging the Government of China to work with the World Bank to expedite the signing of the agreement so that the second  tranche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2017 and subsequent tranches, on the understanding that the 20 per cent disbursement threshold for funding of the previous tranche had been achieved.</w:t>
            </w:r>
          </w:p>
        </w:tc>
      </w:tr>
      <w:tr w:rsidR="00286EF4" w:rsidRPr="003B533B" w14:paraId="5308D8E8" w14:textId="77777777" w:rsidTr="00807919">
        <w:trPr>
          <w:trHeight w:val="809"/>
        </w:trPr>
        <w:tc>
          <w:tcPr>
            <w:tcW w:w="1560" w:type="dxa"/>
          </w:tcPr>
          <w:p w14:paraId="039B4B13" w14:textId="34E3074D" w:rsidR="00286EF4" w:rsidRPr="003B533B" w:rsidRDefault="00286EF4" w:rsidP="0014095B">
            <w:pPr>
              <w:jc w:val="left"/>
              <w:rPr>
                <w:sz w:val="19"/>
                <w:szCs w:val="19"/>
                <w:lang w:val="en-CA" w:eastAsia="en-CA"/>
              </w:rPr>
            </w:pPr>
            <w:r w:rsidRPr="003B533B">
              <w:rPr>
                <w:sz w:val="19"/>
                <w:szCs w:val="19"/>
                <w:lang w:val="en-CA" w:eastAsia="en-CA"/>
              </w:rPr>
              <w:lastRenderedPageBreak/>
              <w:t>Comoros (the)</w:t>
            </w:r>
          </w:p>
          <w:p w14:paraId="779BD198" w14:textId="77777777" w:rsidR="00286EF4" w:rsidRPr="003B533B" w:rsidRDefault="00286EF4" w:rsidP="0014095B">
            <w:pPr>
              <w:jc w:val="left"/>
              <w:rPr>
                <w:sz w:val="19"/>
                <w:szCs w:val="19"/>
                <w:lang w:val="en-CA" w:eastAsia="en-CA"/>
              </w:rPr>
            </w:pPr>
            <w:r w:rsidRPr="003B533B">
              <w:rPr>
                <w:sz w:val="19"/>
                <w:szCs w:val="19"/>
                <w:lang w:val="en-CA" w:eastAsia="en-CA"/>
              </w:rPr>
              <w:t>(Stage I)</w:t>
            </w:r>
          </w:p>
        </w:tc>
        <w:tc>
          <w:tcPr>
            <w:tcW w:w="1276" w:type="dxa"/>
          </w:tcPr>
          <w:p w14:paraId="2FC4AF2D"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tcPr>
          <w:p w14:paraId="27812E09" w14:textId="77777777"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21CFDD32" w14:textId="77777777" w:rsidR="00286EF4" w:rsidRPr="003B533B" w:rsidRDefault="00286EF4" w:rsidP="0014095B">
            <w:pPr>
              <w:jc w:val="right"/>
              <w:rPr>
                <w:sz w:val="19"/>
                <w:szCs w:val="19"/>
                <w:lang w:val="en-CA" w:eastAsia="en-CA"/>
              </w:rPr>
            </w:pPr>
            <w:r w:rsidRPr="003B533B">
              <w:rPr>
                <w:sz w:val="19"/>
                <w:szCs w:val="19"/>
                <w:lang w:val="en-CA" w:eastAsia="en-CA"/>
              </w:rPr>
              <w:t>33,900</w:t>
            </w:r>
          </w:p>
        </w:tc>
        <w:tc>
          <w:tcPr>
            <w:tcW w:w="3373" w:type="dxa"/>
          </w:tcPr>
          <w:p w14:paraId="3E659D68" w14:textId="59524B41" w:rsidR="00286EF4" w:rsidRPr="003B533B" w:rsidRDefault="00286EF4" w:rsidP="0014095B">
            <w:pPr>
              <w:rPr>
                <w:sz w:val="19"/>
                <w:szCs w:val="19"/>
                <w:lang w:val="en-CA" w:eastAsia="en-CA"/>
              </w:rPr>
            </w:pPr>
            <w:r w:rsidRPr="003B533B">
              <w:rPr>
                <w:sz w:val="19"/>
                <w:szCs w:val="19"/>
                <w:lang w:val="en-CA" w:eastAsia="en-CA"/>
              </w:rPr>
              <w:t>Lack of verification report</w:t>
            </w:r>
          </w:p>
        </w:tc>
        <w:tc>
          <w:tcPr>
            <w:tcW w:w="5812" w:type="dxa"/>
          </w:tcPr>
          <w:p w14:paraId="5B547B3E" w14:textId="1981CC97" w:rsidR="00286EF4" w:rsidRPr="003B533B" w:rsidRDefault="00286EF4" w:rsidP="0014095B">
            <w:pPr>
              <w:rPr>
                <w:sz w:val="19"/>
                <w:szCs w:val="19"/>
                <w:lang w:val="en-CA" w:eastAsia="en-CA"/>
              </w:rPr>
            </w:pPr>
            <w:r w:rsidRPr="003B533B">
              <w:rPr>
                <w:sz w:val="19"/>
                <w:szCs w:val="19"/>
                <w:lang w:val="en-CA"/>
              </w:rPr>
              <w:t xml:space="preserve">Noting that the mandatory verification of HCFC consumption targets has not been completed and urging the Government of the Comoros to work with </w:t>
            </w:r>
            <w:r w:rsidRPr="003B533B">
              <w:rPr>
                <w:sz w:val="19"/>
                <w:szCs w:val="19"/>
                <w:lang w:val="en-CA" w:eastAsia="en-CA"/>
              </w:rPr>
              <w:t>UNEP</w:t>
            </w:r>
            <w:r w:rsidRPr="003B533B">
              <w:rPr>
                <w:sz w:val="19"/>
                <w:szCs w:val="19"/>
                <w:lang w:val="en-CA"/>
              </w:rPr>
              <w:t xml:space="preserve"> to complete the verification so that the fourth (2018)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w:t>
            </w:r>
          </w:p>
        </w:tc>
      </w:tr>
      <w:tr w:rsidR="00286EF4" w:rsidRPr="003B533B" w14:paraId="2F83D3D4" w14:textId="77777777" w:rsidTr="00807919">
        <w:trPr>
          <w:trHeight w:val="622"/>
        </w:trPr>
        <w:tc>
          <w:tcPr>
            <w:tcW w:w="1560" w:type="dxa"/>
          </w:tcPr>
          <w:p w14:paraId="76488B5B" w14:textId="24783E13" w:rsidR="00286EF4" w:rsidRPr="003B533B" w:rsidRDefault="00286EF4" w:rsidP="0014095B">
            <w:pPr>
              <w:jc w:val="left"/>
              <w:rPr>
                <w:sz w:val="19"/>
                <w:szCs w:val="19"/>
                <w:lang w:val="en-CA" w:eastAsia="en-CA"/>
              </w:rPr>
            </w:pPr>
            <w:r w:rsidRPr="003B533B">
              <w:rPr>
                <w:sz w:val="19"/>
                <w:szCs w:val="19"/>
                <w:lang w:val="en-CA" w:eastAsia="en-CA"/>
              </w:rPr>
              <w:t>Congo (the)</w:t>
            </w:r>
          </w:p>
          <w:p w14:paraId="15761EE4" w14:textId="3B02D23F" w:rsidR="00286EF4" w:rsidRPr="003B533B" w:rsidRDefault="00286EF4" w:rsidP="0014095B">
            <w:pPr>
              <w:jc w:val="left"/>
              <w:rPr>
                <w:sz w:val="19"/>
                <w:szCs w:val="19"/>
                <w:lang w:val="en-CA" w:eastAsia="en-CA"/>
              </w:rPr>
            </w:pPr>
            <w:r w:rsidRPr="003B533B">
              <w:rPr>
                <w:sz w:val="19"/>
                <w:szCs w:val="19"/>
                <w:lang w:val="en-CA" w:eastAsia="en-CA"/>
              </w:rPr>
              <w:t>(Stage I)</w:t>
            </w:r>
          </w:p>
        </w:tc>
        <w:tc>
          <w:tcPr>
            <w:tcW w:w="1276" w:type="dxa"/>
          </w:tcPr>
          <w:p w14:paraId="6F8BC5CD"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tcPr>
          <w:p w14:paraId="6030336B" w14:textId="77777777"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34318A15" w14:textId="77777777" w:rsidR="00286EF4" w:rsidRPr="003B533B" w:rsidRDefault="00286EF4" w:rsidP="0014095B">
            <w:pPr>
              <w:jc w:val="right"/>
              <w:rPr>
                <w:sz w:val="19"/>
                <w:szCs w:val="19"/>
                <w:lang w:val="en-CA" w:eastAsia="en-CA"/>
              </w:rPr>
            </w:pPr>
            <w:r w:rsidRPr="003B533B">
              <w:rPr>
                <w:sz w:val="19"/>
                <w:szCs w:val="19"/>
                <w:lang w:val="en-CA" w:eastAsia="en-CA"/>
              </w:rPr>
              <w:t>28,250</w:t>
            </w:r>
          </w:p>
        </w:tc>
        <w:tc>
          <w:tcPr>
            <w:tcW w:w="3373" w:type="dxa"/>
          </w:tcPr>
          <w:p w14:paraId="6B8B04EB" w14:textId="504505EB" w:rsidR="00286EF4" w:rsidRPr="003B533B" w:rsidRDefault="00286EF4" w:rsidP="0014095B">
            <w:pPr>
              <w:rPr>
                <w:sz w:val="19"/>
                <w:szCs w:val="19"/>
                <w:lang w:val="en-CA" w:eastAsia="en-CA"/>
              </w:rPr>
            </w:pPr>
            <w:r w:rsidRPr="003B533B">
              <w:rPr>
                <w:sz w:val="19"/>
                <w:szCs w:val="19"/>
                <w:lang w:val="en-CA" w:eastAsia="en-CA"/>
              </w:rPr>
              <w:t>Investment component implementation</w:t>
            </w:r>
          </w:p>
        </w:tc>
        <w:tc>
          <w:tcPr>
            <w:tcW w:w="5812" w:type="dxa"/>
          </w:tcPr>
          <w:p w14:paraId="4F489B8A" w14:textId="364EFF40" w:rsidR="00286EF4" w:rsidRPr="003B533B" w:rsidRDefault="00286EF4" w:rsidP="0014095B">
            <w:pPr>
              <w:rPr>
                <w:sz w:val="19"/>
                <w:szCs w:val="19"/>
                <w:lang w:val="en-CA" w:eastAsia="en-CA"/>
              </w:rPr>
            </w:pPr>
            <w:r w:rsidRPr="003B533B">
              <w:rPr>
                <w:sz w:val="19"/>
                <w:szCs w:val="19"/>
                <w:lang w:val="en-CA"/>
              </w:rPr>
              <w:t>Noting the delays due to implementation of</w:t>
            </w:r>
            <w:r w:rsidR="0094629C" w:rsidRPr="003B533B">
              <w:rPr>
                <w:sz w:val="19"/>
                <w:szCs w:val="19"/>
                <w:lang w:val="en-CA"/>
              </w:rPr>
              <w:t xml:space="preserve"> the</w:t>
            </w:r>
            <w:r w:rsidRPr="003B533B">
              <w:rPr>
                <w:sz w:val="19"/>
                <w:szCs w:val="19"/>
                <w:lang w:val="en-CA"/>
              </w:rPr>
              <w:t xml:space="preserve"> investment component of the third (2016) tranche of the HPMP and urging the Government of the Congo to work with </w:t>
            </w:r>
            <w:r w:rsidRPr="003B533B">
              <w:rPr>
                <w:sz w:val="19"/>
                <w:szCs w:val="19"/>
                <w:lang w:val="en-CA" w:eastAsia="en-CA"/>
              </w:rPr>
              <w:t>UNEP</w:t>
            </w:r>
            <w:r w:rsidRPr="003B533B">
              <w:rPr>
                <w:sz w:val="19"/>
                <w:szCs w:val="19"/>
                <w:lang w:val="en-CA"/>
              </w:rPr>
              <w:t xml:space="preserve"> so that the fourth (2018)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w:t>
            </w:r>
          </w:p>
        </w:tc>
      </w:tr>
      <w:tr w:rsidR="00286EF4" w:rsidRPr="003B533B" w14:paraId="3A109E6C" w14:textId="77777777" w:rsidTr="00A3681A">
        <w:trPr>
          <w:trHeight w:val="656"/>
        </w:trPr>
        <w:tc>
          <w:tcPr>
            <w:tcW w:w="1560" w:type="dxa"/>
            <w:vMerge w:val="restart"/>
            <w:hideMark/>
          </w:tcPr>
          <w:p w14:paraId="6F62258F" w14:textId="77777777" w:rsidR="00286EF4" w:rsidRPr="003B533B" w:rsidRDefault="00286EF4" w:rsidP="0014095B">
            <w:pPr>
              <w:jc w:val="left"/>
              <w:rPr>
                <w:sz w:val="19"/>
                <w:szCs w:val="19"/>
                <w:lang w:val="en-CA" w:eastAsia="en-CA"/>
              </w:rPr>
            </w:pPr>
            <w:r w:rsidRPr="003B533B">
              <w:rPr>
                <w:sz w:val="19"/>
                <w:szCs w:val="19"/>
                <w:lang w:val="en-CA" w:eastAsia="en-CA"/>
              </w:rPr>
              <w:t>Cote d’Ivoire (Stage I)</w:t>
            </w:r>
          </w:p>
          <w:p w14:paraId="2347CBF9" w14:textId="77777777" w:rsidR="00286EF4" w:rsidRPr="003B533B" w:rsidRDefault="00286EF4" w:rsidP="0014095B">
            <w:pPr>
              <w:jc w:val="left"/>
              <w:rPr>
                <w:sz w:val="19"/>
                <w:szCs w:val="19"/>
                <w:lang w:val="en-CA" w:eastAsia="en-CA"/>
              </w:rPr>
            </w:pPr>
          </w:p>
        </w:tc>
        <w:tc>
          <w:tcPr>
            <w:tcW w:w="1276" w:type="dxa"/>
            <w:hideMark/>
          </w:tcPr>
          <w:p w14:paraId="1468CE06"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hideMark/>
          </w:tcPr>
          <w:p w14:paraId="13B4895C" w14:textId="77777777"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hideMark/>
          </w:tcPr>
          <w:p w14:paraId="10064559" w14:textId="77777777" w:rsidR="00286EF4" w:rsidRPr="003B533B" w:rsidRDefault="00286EF4" w:rsidP="0014095B">
            <w:pPr>
              <w:jc w:val="right"/>
              <w:rPr>
                <w:sz w:val="19"/>
                <w:szCs w:val="19"/>
                <w:lang w:val="en-CA" w:eastAsia="en-CA"/>
              </w:rPr>
            </w:pPr>
            <w:r w:rsidRPr="003B533B">
              <w:rPr>
                <w:sz w:val="19"/>
                <w:szCs w:val="19"/>
                <w:lang w:val="en-CA" w:eastAsia="en-CA"/>
              </w:rPr>
              <w:t>168,156</w:t>
            </w:r>
          </w:p>
        </w:tc>
        <w:tc>
          <w:tcPr>
            <w:tcW w:w="3373" w:type="dxa"/>
            <w:vMerge w:val="restart"/>
            <w:hideMark/>
          </w:tcPr>
          <w:p w14:paraId="5B9F2047" w14:textId="7F7C526A" w:rsidR="00286EF4" w:rsidRPr="003B533B" w:rsidRDefault="00286EF4" w:rsidP="0014095B">
            <w:pPr>
              <w:keepNext/>
              <w:keepLines/>
              <w:rPr>
                <w:sz w:val="19"/>
                <w:szCs w:val="19"/>
                <w:lang w:val="en-CA" w:eastAsia="en-CA"/>
              </w:rPr>
            </w:pPr>
            <w:r w:rsidRPr="003B533B">
              <w:rPr>
                <w:sz w:val="19"/>
                <w:szCs w:val="19"/>
                <w:lang w:val="en-CA" w:eastAsia="en-CA"/>
              </w:rPr>
              <w:t>Lack of verification report</w:t>
            </w:r>
          </w:p>
        </w:tc>
        <w:tc>
          <w:tcPr>
            <w:tcW w:w="5812" w:type="dxa"/>
            <w:vMerge w:val="restart"/>
          </w:tcPr>
          <w:p w14:paraId="02A61F6F" w14:textId="74F78919" w:rsidR="00286EF4" w:rsidRPr="003B533B" w:rsidRDefault="00286EF4" w:rsidP="0014095B">
            <w:pPr>
              <w:rPr>
                <w:sz w:val="19"/>
                <w:szCs w:val="19"/>
                <w:lang w:val="en-CA"/>
              </w:rPr>
            </w:pPr>
            <w:r w:rsidRPr="003B533B">
              <w:rPr>
                <w:sz w:val="19"/>
                <w:szCs w:val="19"/>
                <w:lang w:val="en-CA"/>
              </w:rPr>
              <w:t xml:space="preserve">Noting that the mandatory verification on HCFC consumption targets had not been completed and urging the Government of Cote d’Ivoire to work with </w:t>
            </w:r>
            <w:r w:rsidRPr="003B533B">
              <w:rPr>
                <w:sz w:val="19"/>
                <w:szCs w:val="19"/>
                <w:lang w:val="en-CA" w:eastAsia="en-CA"/>
              </w:rPr>
              <w:t>UNEP</w:t>
            </w:r>
            <w:r w:rsidRPr="003B533B">
              <w:rPr>
                <w:sz w:val="19"/>
                <w:szCs w:val="19"/>
                <w:lang w:val="en-CA"/>
              </w:rPr>
              <w:t xml:space="preserve"> and UNIDO to complete the verification so that the third (2016) tranche of stage I of the HPMP could be submitted to the 83</w:t>
            </w:r>
            <w:r w:rsidRPr="003B533B">
              <w:rPr>
                <w:sz w:val="19"/>
                <w:szCs w:val="19"/>
                <w:vertAlign w:val="superscript"/>
                <w:lang w:val="en-CA"/>
              </w:rPr>
              <w:t>rd</w:t>
            </w:r>
            <w:r w:rsidRPr="003B533B">
              <w:rPr>
                <w:sz w:val="19"/>
                <w:szCs w:val="19"/>
                <w:lang w:val="en-CA"/>
              </w:rPr>
              <w:t> meeting with a revised plan of action to take into account the reallocation of the 2016 and subsequent tranches.</w:t>
            </w:r>
          </w:p>
        </w:tc>
      </w:tr>
      <w:tr w:rsidR="00286EF4" w:rsidRPr="003B533B" w14:paraId="3D0CE907" w14:textId="77777777" w:rsidTr="00A3681A">
        <w:trPr>
          <w:trHeight w:val="656"/>
        </w:trPr>
        <w:tc>
          <w:tcPr>
            <w:tcW w:w="1560" w:type="dxa"/>
            <w:vMerge/>
            <w:hideMark/>
          </w:tcPr>
          <w:p w14:paraId="2A9A5873" w14:textId="77777777" w:rsidR="00286EF4" w:rsidRPr="003B533B" w:rsidRDefault="00286EF4" w:rsidP="0014095B">
            <w:pPr>
              <w:jc w:val="left"/>
              <w:rPr>
                <w:sz w:val="19"/>
                <w:szCs w:val="19"/>
                <w:lang w:val="en-CA" w:eastAsia="en-CA"/>
              </w:rPr>
            </w:pPr>
          </w:p>
        </w:tc>
        <w:tc>
          <w:tcPr>
            <w:tcW w:w="1276" w:type="dxa"/>
            <w:hideMark/>
          </w:tcPr>
          <w:p w14:paraId="7E3FFBA1" w14:textId="77777777" w:rsidR="00286EF4" w:rsidRPr="003B533B" w:rsidRDefault="00286EF4" w:rsidP="0014095B">
            <w:pPr>
              <w:jc w:val="left"/>
              <w:rPr>
                <w:sz w:val="19"/>
                <w:szCs w:val="19"/>
                <w:lang w:val="en-CA" w:eastAsia="en-CA"/>
              </w:rPr>
            </w:pPr>
            <w:r w:rsidRPr="003B533B">
              <w:rPr>
                <w:sz w:val="19"/>
                <w:szCs w:val="19"/>
                <w:lang w:val="en-CA" w:eastAsia="en-CA"/>
              </w:rPr>
              <w:t>UNIDO</w:t>
            </w:r>
          </w:p>
        </w:tc>
        <w:tc>
          <w:tcPr>
            <w:tcW w:w="879" w:type="dxa"/>
            <w:hideMark/>
          </w:tcPr>
          <w:p w14:paraId="77A5571B" w14:textId="77777777"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hideMark/>
          </w:tcPr>
          <w:p w14:paraId="1D0B9E52" w14:textId="77777777" w:rsidR="00286EF4" w:rsidRPr="003B533B" w:rsidRDefault="00286EF4" w:rsidP="0014095B">
            <w:pPr>
              <w:jc w:val="right"/>
              <w:rPr>
                <w:sz w:val="19"/>
                <w:szCs w:val="19"/>
                <w:lang w:val="en-CA" w:eastAsia="en-CA"/>
              </w:rPr>
            </w:pPr>
            <w:r w:rsidRPr="003B533B">
              <w:rPr>
                <w:sz w:val="19"/>
                <w:szCs w:val="19"/>
                <w:lang w:val="en-CA" w:eastAsia="en-CA"/>
              </w:rPr>
              <w:t>492,200</w:t>
            </w:r>
          </w:p>
        </w:tc>
        <w:tc>
          <w:tcPr>
            <w:tcW w:w="3373" w:type="dxa"/>
            <w:vMerge/>
            <w:hideMark/>
          </w:tcPr>
          <w:p w14:paraId="61C57ED6" w14:textId="651BD219" w:rsidR="00286EF4" w:rsidRPr="003B533B" w:rsidRDefault="00286EF4" w:rsidP="0014095B">
            <w:pPr>
              <w:keepNext/>
              <w:keepLines/>
              <w:rPr>
                <w:sz w:val="19"/>
                <w:szCs w:val="19"/>
                <w:lang w:val="en-CA" w:eastAsia="en-CA"/>
              </w:rPr>
            </w:pPr>
          </w:p>
        </w:tc>
        <w:tc>
          <w:tcPr>
            <w:tcW w:w="5812" w:type="dxa"/>
            <w:vMerge/>
          </w:tcPr>
          <w:p w14:paraId="709FC9C8" w14:textId="77777777" w:rsidR="00286EF4" w:rsidRPr="003B533B" w:rsidRDefault="00286EF4" w:rsidP="0014095B">
            <w:pPr>
              <w:rPr>
                <w:sz w:val="19"/>
                <w:szCs w:val="19"/>
                <w:lang w:val="en-CA" w:eastAsia="en-CA"/>
              </w:rPr>
            </w:pPr>
          </w:p>
        </w:tc>
      </w:tr>
      <w:tr w:rsidR="00286EF4" w:rsidRPr="003B533B" w14:paraId="07BB333F" w14:textId="77777777" w:rsidTr="00807919">
        <w:trPr>
          <w:trHeight w:val="161"/>
        </w:trPr>
        <w:tc>
          <w:tcPr>
            <w:tcW w:w="1560" w:type="dxa"/>
          </w:tcPr>
          <w:p w14:paraId="05122CEA" w14:textId="77777777" w:rsidR="00286EF4" w:rsidRPr="003B533B" w:rsidRDefault="00286EF4" w:rsidP="0014095B">
            <w:pPr>
              <w:jc w:val="left"/>
              <w:rPr>
                <w:sz w:val="19"/>
                <w:szCs w:val="19"/>
                <w:lang w:val="en-CA" w:eastAsia="en-CA"/>
              </w:rPr>
            </w:pPr>
            <w:r w:rsidRPr="003B533B">
              <w:rPr>
                <w:sz w:val="19"/>
                <w:szCs w:val="19"/>
                <w:lang w:val="en-CA" w:eastAsia="en-CA"/>
              </w:rPr>
              <w:t>Djibouti (Stage I)</w:t>
            </w:r>
          </w:p>
        </w:tc>
        <w:tc>
          <w:tcPr>
            <w:tcW w:w="1276" w:type="dxa"/>
          </w:tcPr>
          <w:p w14:paraId="2551C2BC"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tcPr>
          <w:p w14:paraId="4CA87136" w14:textId="77777777"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750C0024" w14:textId="77777777" w:rsidR="00286EF4" w:rsidRPr="003B533B" w:rsidRDefault="00286EF4" w:rsidP="0014095B">
            <w:pPr>
              <w:jc w:val="right"/>
              <w:rPr>
                <w:sz w:val="19"/>
                <w:szCs w:val="19"/>
                <w:lang w:val="en-CA" w:eastAsia="en-CA"/>
              </w:rPr>
            </w:pPr>
            <w:r w:rsidRPr="003B533B">
              <w:rPr>
                <w:sz w:val="19"/>
                <w:szCs w:val="19"/>
                <w:lang w:val="en-CA" w:eastAsia="en-CA"/>
              </w:rPr>
              <w:t>49,720</w:t>
            </w:r>
          </w:p>
        </w:tc>
        <w:tc>
          <w:tcPr>
            <w:tcW w:w="3373" w:type="dxa"/>
          </w:tcPr>
          <w:p w14:paraId="686E4D3A" w14:textId="6BA78976" w:rsidR="00286EF4" w:rsidRPr="003B533B" w:rsidRDefault="00286EF4" w:rsidP="0014095B">
            <w:pPr>
              <w:keepNext/>
              <w:keepLines/>
              <w:rPr>
                <w:sz w:val="19"/>
                <w:szCs w:val="19"/>
                <w:lang w:val="en-CA" w:eastAsia="en-CA"/>
              </w:rPr>
            </w:pPr>
            <w:r w:rsidRPr="003B533B">
              <w:rPr>
                <w:sz w:val="19"/>
                <w:szCs w:val="19"/>
                <w:lang w:val="en-CA" w:eastAsia="en-CA"/>
              </w:rPr>
              <w:t>Lack of verification report</w:t>
            </w:r>
          </w:p>
        </w:tc>
        <w:tc>
          <w:tcPr>
            <w:tcW w:w="5812" w:type="dxa"/>
          </w:tcPr>
          <w:p w14:paraId="6A95967D" w14:textId="50A7A763" w:rsidR="00286EF4" w:rsidRPr="003B533B" w:rsidRDefault="00286EF4" w:rsidP="0014095B">
            <w:pPr>
              <w:rPr>
                <w:sz w:val="19"/>
                <w:szCs w:val="19"/>
                <w:lang w:val="en-CA"/>
              </w:rPr>
            </w:pPr>
            <w:r w:rsidRPr="003B533B">
              <w:rPr>
                <w:sz w:val="19"/>
                <w:szCs w:val="19"/>
                <w:lang w:val="en-CA"/>
              </w:rPr>
              <w:t xml:space="preserve">Noting that the mandatory verification on HCFC consumption targets had not been completed and urging the Government of Djibouti to work with </w:t>
            </w:r>
            <w:r w:rsidRPr="003B533B">
              <w:rPr>
                <w:sz w:val="19"/>
                <w:szCs w:val="19"/>
                <w:lang w:val="en-CA" w:eastAsia="en-CA"/>
              </w:rPr>
              <w:t>UNEP</w:t>
            </w:r>
            <w:r w:rsidRPr="003B533B">
              <w:rPr>
                <w:sz w:val="19"/>
                <w:szCs w:val="19"/>
                <w:lang w:val="en-CA"/>
              </w:rPr>
              <w:t xml:space="preserve"> to complete the verification so that the third (2018)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w:t>
            </w:r>
          </w:p>
        </w:tc>
      </w:tr>
      <w:tr w:rsidR="00286EF4" w:rsidRPr="003B533B" w14:paraId="759707A6" w14:textId="77777777" w:rsidTr="00807919">
        <w:trPr>
          <w:trHeight w:val="161"/>
        </w:trPr>
        <w:tc>
          <w:tcPr>
            <w:tcW w:w="1560" w:type="dxa"/>
            <w:hideMark/>
          </w:tcPr>
          <w:p w14:paraId="33A9B8B3" w14:textId="77777777" w:rsidR="00286EF4" w:rsidRPr="003B533B" w:rsidRDefault="00286EF4" w:rsidP="0014095B">
            <w:pPr>
              <w:jc w:val="left"/>
              <w:rPr>
                <w:sz w:val="19"/>
                <w:szCs w:val="19"/>
                <w:lang w:val="en-CA" w:eastAsia="en-CA"/>
              </w:rPr>
            </w:pPr>
            <w:r w:rsidRPr="003B533B">
              <w:rPr>
                <w:sz w:val="19"/>
                <w:szCs w:val="19"/>
                <w:lang w:val="en-CA" w:eastAsia="en-CA"/>
              </w:rPr>
              <w:t>Dominica</w:t>
            </w:r>
          </w:p>
          <w:p w14:paraId="111F8971" w14:textId="77777777" w:rsidR="00286EF4" w:rsidRPr="003B533B" w:rsidRDefault="00286EF4" w:rsidP="0014095B">
            <w:pPr>
              <w:jc w:val="left"/>
              <w:rPr>
                <w:sz w:val="19"/>
                <w:szCs w:val="19"/>
                <w:lang w:val="en-CA" w:eastAsia="en-CA"/>
              </w:rPr>
            </w:pPr>
            <w:r w:rsidRPr="003B533B">
              <w:rPr>
                <w:sz w:val="19"/>
                <w:szCs w:val="19"/>
                <w:lang w:val="en-CA" w:eastAsia="en-CA"/>
              </w:rPr>
              <w:t xml:space="preserve">(Stage I) </w:t>
            </w:r>
          </w:p>
        </w:tc>
        <w:tc>
          <w:tcPr>
            <w:tcW w:w="1276" w:type="dxa"/>
            <w:hideMark/>
          </w:tcPr>
          <w:p w14:paraId="01E8626F"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hideMark/>
          </w:tcPr>
          <w:p w14:paraId="4B150082" w14:textId="77777777"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hideMark/>
          </w:tcPr>
          <w:p w14:paraId="7FC1604E" w14:textId="77777777" w:rsidR="00286EF4" w:rsidRPr="003B533B" w:rsidRDefault="00286EF4" w:rsidP="0014095B">
            <w:pPr>
              <w:jc w:val="right"/>
              <w:rPr>
                <w:sz w:val="19"/>
                <w:szCs w:val="19"/>
                <w:lang w:val="en-CA" w:eastAsia="en-CA"/>
              </w:rPr>
            </w:pPr>
            <w:r w:rsidRPr="003B533B">
              <w:rPr>
                <w:sz w:val="19"/>
                <w:szCs w:val="19"/>
                <w:lang w:val="en-CA" w:eastAsia="en-CA"/>
              </w:rPr>
              <w:t>74,354</w:t>
            </w:r>
          </w:p>
        </w:tc>
        <w:tc>
          <w:tcPr>
            <w:tcW w:w="3373" w:type="dxa"/>
            <w:hideMark/>
          </w:tcPr>
          <w:p w14:paraId="38988274" w14:textId="2CB1343F" w:rsidR="00286EF4" w:rsidRPr="003B533B" w:rsidRDefault="00286EF4" w:rsidP="0014095B">
            <w:pPr>
              <w:keepNext/>
              <w:keepLines/>
              <w:rPr>
                <w:sz w:val="19"/>
                <w:szCs w:val="19"/>
                <w:lang w:val="en-CA" w:eastAsia="en-CA"/>
              </w:rPr>
            </w:pPr>
            <w:r w:rsidRPr="003B533B">
              <w:rPr>
                <w:sz w:val="19"/>
                <w:szCs w:val="19"/>
                <w:lang w:val="en-CA" w:eastAsia="en-CA"/>
              </w:rPr>
              <w:t>Government decisions/endorsements/ changes in the NOU/structural change/ lack of verification report/internal or external difficulties/signing of agreement /project document</w:t>
            </w:r>
          </w:p>
        </w:tc>
        <w:tc>
          <w:tcPr>
            <w:tcW w:w="5812" w:type="dxa"/>
          </w:tcPr>
          <w:p w14:paraId="4DD16831" w14:textId="5787D270" w:rsidR="00286EF4" w:rsidRPr="003B533B" w:rsidRDefault="00286EF4" w:rsidP="0014095B">
            <w:pPr>
              <w:rPr>
                <w:sz w:val="19"/>
                <w:szCs w:val="19"/>
                <w:lang w:val="en-CA"/>
              </w:rPr>
            </w:pPr>
            <w:r w:rsidRPr="003B533B">
              <w:rPr>
                <w:sz w:val="19"/>
                <w:szCs w:val="19"/>
                <w:lang w:val="en-CA"/>
              </w:rPr>
              <w:t>Noting the delays due to structural changes within the Government and the NOU</w:t>
            </w:r>
            <w:r w:rsidR="0014095B" w:rsidRPr="003B533B">
              <w:rPr>
                <w:sz w:val="19"/>
                <w:szCs w:val="19"/>
                <w:lang w:val="en-CA"/>
              </w:rPr>
              <w:t xml:space="preserve"> </w:t>
            </w:r>
            <w:r w:rsidRPr="003B533B">
              <w:rPr>
                <w:sz w:val="19"/>
                <w:szCs w:val="19"/>
                <w:lang w:val="en-CA"/>
              </w:rPr>
              <w:t xml:space="preserve">and that the mandatory verification on HCFC consumption targets had not been completed, and urging the Government of Dominica to work with </w:t>
            </w:r>
            <w:r w:rsidRPr="003B533B">
              <w:rPr>
                <w:sz w:val="19"/>
                <w:szCs w:val="19"/>
                <w:lang w:val="en-CA" w:eastAsia="en-CA"/>
              </w:rPr>
              <w:t>UNEP</w:t>
            </w:r>
            <w:r w:rsidRPr="003B533B">
              <w:rPr>
                <w:sz w:val="19"/>
                <w:szCs w:val="19"/>
                <w:lang w:val="en-CA"/>
              </w:rPr>
              <w:t xml:space="preserve"> to complete the verification so that the second (2016)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2016 and subsequent tranches</w:t>
            </w:r>
            <w:r w:rsidR="00CB0856" w:rsidRPr="003B533B">
              <w:rPr>
                <w:sz w:val="19"/>
                <w:szCs w:val="19"/>
                <w:lang w:val="en-CA"/>
              </w:rPr>
              <w:t xml:space="preserve">, </w:t>
            </w:r>
            <w:r w:rsidR="00A1327D" w:rsidRPr="003B533B">
              <w:rPr>
                <w:sz w:val="19"/>
                <w:szCs w:val="19"/>
                <w:lang w:val="en-CA"/>
              </w:rPr>
              <w:t>noting</w:t>
            </w:r>
            <w:r w:rsidR="00CB0856" w:rsidRPr="003B533B">
              <w:rPr>
                <w:sz w:val="19"/>
                <w:szCs w:val="19"/>
                <w:lang w:val="en-CA"/>
              </w:rPr>
              <w:t xml:space="preserve"> </w:t>
            </w:r>
            <w:r w:rsidR="00376ED5" w:rsidRPr="003B533B">
              <w:rPr>
                <w:sz w:val="19"/>
                <w:szCs w:val="19"/>
                <w:lang w:val="en-CA"/>
              </w:rPr>
              <w:t>d</w:t>
            </w:r>
            <w:r w:rsidR="00CB0856" w:rsidRPr="003B533B">
              <w:rPr>
                <w:sz w:val="19"/>
                <w:szCs w:val="19"/>
                <w:lang w:val="en-CA"/>
              </w:rPr>
              <w:t>ecision XXIX/19 on special considerations for the Caribbean islands affected by hurricanes</w:t>
            </w:r>
            <w:r w:rsidRPr="003B533B">
              <w:rPr>
                <w:sz w:val="19"/>
                <w:szCs w:val="19"/>
                <w:lang w:val="en-CA"/>
              </w:rPr>
              <w:t>.</w:t>
            </w:r>
          </w:p>
        </w:tc>
      </w:tr>
      <w:tr w:rsidR="00286EF4" w:rsidRPr="003B533B" w14:paraId="6FF5D741" w14:textId="77777777" w:rsidTr="00807919">
        <w:trPr>
          <w:trHeight w:val="300"/>
        </w:trPr>
        <w:tc>
          <w:tcPr>
            <w:tcW w:w="1560" w:type="dxa"/>
          </w:tcPr>
          <w:p w14:paraId="6856F3B9" w14:textId="77777777" w:rsidR="00286EF4" w:rsidRPr="003B533B" w:rsidRDefault="00286EF4" w:rsidP="00FC00F0">
            <w:pPr>
              <w:keepNext/>
              <w:keepLines/>
              <w:jc w:val="left"/>
              <w:rPr>
                <w:sz w:val="19"/>
                <w:szCs w:val="19"/>
                <w:lang w:val="en-CA" w:eastAsia="en-CA"/>
              </w:rPr>
            </w:pPr>
            <w:r w:rsidRPr="003B533B">
              <w:rPr>
                <w:sz w:val="19"/>
                <w:szCs w:val="19"/>
                <w:lang w:val="en-CA" w:eastAsia="en-CA"/>
              </w:rPr>
              <w:t>Gabon (Stage I)</w:t>
            </w:r>
          </w:p>
        </w:tc>
        <w:tc>
          <w:tcPr>
            <w:tcW w:w="1276" w:type="dxa"/>
          </w:tcPr>
          <w:p w14:paraId="6AD0E92E" w14:textId="77777777" w:rsidR="00286EF4" w:rsidRPr="003B533B" w:rsidRDefault="00286EF4" w:rsidP="00FC00F0">
            <w:pPr>
              <w:keepNext/>
              <w:keepLines/>
              <w:jc w:val="left"/>
              <w:rPr>
                <w:sz w:val="19"/>
                <w:szCs w:val="19"/>
                <w:lang w:val="en-CA" w:eastAsia="en-CA"/>
              </w:rPr>
            </w:pPr>
            <w:r w:rsidRPr="003B533B">
              <w:rPr>
                <w:sz w:val="19"/>
                <w:szCs w:val="19"/>
                <w:lang w:val="en-CA" w:eastAsia="en-CA"/>
              </w:rPr>
              <w:t>UNEP</w:t>
            </w:r>
          </w:p>
        </w:tc>
        <w:tc>
          <w:tcPr>
            <w:tcW w:w="879" w:type="dxa"/>
          </w:tcPr>
          <w:p w14:paraId="6B8E75E8" w14:textId="77777777" w:rsidR="00286EF4" w:rsidRPr="003B533B" w:rsidRDefault="00286EF4" w:rsidP="00FC00F0">
            <w:pPr>
              <w:keepNext/>
              <w:keepLines/>
              <w:jc w:val="center"/>
              <w:rPr>
                <w:sz w:val="19"/>
                <w:szCs w:val="19"/>
                <w:lang w:val="en-CA" w:eastAsia="en-CA"/>
              </w:rPr>
            </w:pPr>
            <w:r w:rsidRPr="003B533B">
              <w:rPr>
                <w:sz w:val="19"/>
                <w:szCs w:val="19"/>
                <w:lang w:val="en-CA" w:eastAsia="en-CA"/>
              </w:rPr>
              <w:t>2018</w:t>
            </w:r>
          </w:p>
        </w:tc>
        <w:tc>
          <w:tcPr>
            <w:tcW w:w="1275" w:type="dxa"/>
          </w:tcPr>
          <w:p w14:paraId="534E2A35" w14:textId="77777777" w:rsidR="00286EF4" w:rsidRPr="003B533B" w:rsidRDefault="00286EF4" w:rsidP="00FC00F0">
            <w:pPr>
              <w:keepNext/>
              <w:keepLines/>
              <w:jc w:val="right"/>
              <w:rPr>
                <w:sz w:val="19"/>
                <w:szCs w:val="19"/>
                <w:lang w:val="en-CA" w:eastAsia="en-CA"/>
              </w:rPr>
            </w:pPr>
            <w:r w:rsidRPr="003B533B">
              <w:rPr>
                <w:sz w:val="19"/>
                <w:szCs w:val="19"/>
                <w:lang w:val="en-CA" w:eastAsia="en-CA"/>
              </w:rPr>
              <w:t>56,500</w:t>
            </w:r>
          </w:p>
        </w:tc>
        <w:tc>
          <w:tcPr>
            <w:tcW w:w="3373" w:type="dxa"/>
          </w:tcPr>
          <w:p w14:paraId="78B626DD" w14:textId="07724485" w:rsidR="00286EF4" w:rsidRPr="003B533B" w:rsidRDefault="00286EF4" w:rsidP="00FC00F0">
            <w:pPr>
              <w:keepNext/>
              <w:keepLines/>
              <w:rPr>
                <w:sz w:val="19"/>
                <w:szCs w:val="19"/>
                <w:lang w:val="en-CA" w:eastAsia="en-CA"/>
              </w:rPr>
            </w:pPr>
            <w:r w:rsidRPr="003B533B">
              <w:rPr>
                <w:sz w:val="19"/>
                <w:szCs w:val="19"/>
                <w:lang w:val="en-CA" w:eastAsia="en-CA"/>
              </w:rPr>
              <w:t>Lack of verification report</w:t>
            </w:r>
          </w:p>
        </w:tc>
        <w:tc>
          <w:tcPr>
            <w:tcW w:w="5812" w:type="dxa"/>
          </w:tcPr>
          <w:p w14:paraId="7EFDF6E6" w14:textId="47733F5C" w:rsidR="00286EF4" w:rsidRPr="003B533B" w:rsidRDefault="00286EF4" w:rsidP="00FC00F0">
            <w:pPr>
              <w:keepNext/>
              <w:keepLines/>
              <w:rPr>
                <w:sz w:val="19"/>
                <w:szCs w:val="19"/>
                <w:lang w:val="en-CA" w:eastAsia="en-CA"/>
              </w:rPr>
            </w:pPr>
            <w:r w:rsidRPr="003B533B">
              <w:rPr>
                <w:sz w:val="19"/>
                <w:szCs w:val="19"/>
                <w:lang w:val="en-CA"/>
              </w:rPr>
              <w:t xml:space="preserve">Noting that the mandatory verification on HCFC consumption targets had not been completed and urging the Government of Gabon to work with </w:t>
            </w:r>
            <w:r w:rsidRPr="003B533B">
              <w:rPr>
                <w:sz w:val="19"/>
                <w:szCs w:val="19"/>
                <w:lang w:val="en-CA" w:eastAsia="en-CA"/>
              </w:rPr>
              <w:t>UNEP</w:t>
            </w:r>
            <w:r w:rsidRPr="003B533B">
              <w:rPr>
                <w:sz w:val="19"/>
                <w:szCs w:val="19"/>
                <w:lang w:val="en-CA"/>
              </w:rPr>
              <w:t xml:space="preserve"> to complete the verification so that the fourth (2018)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w:t>
            </w:r>
            <w:r w:rsidRPr="003B533B">
              <w:rPr>
                <w:sz w:val="19"/>
                <w:szCs w:val="19"/>
                <w:lang w:val="en-CA"/>
              </w:rPr>
              <w:lastRenderedPageBreak/>
              <w:t>plan of action to take into account the reallocation of the 2018 and subsequent tranches.</w:t>
            </w:r>
          </w:p>
        </w:tc>
      </w:tr>
      <w:tr w:rsidR="00286EF4" w:rsidRPr="003B533B" w14:paraId="3FDA449E" w14:textId="77777777" w:rsidTr="00E776FD">
        <w:trPr>
          <w:trHeight w:val="677"/>
        </w:trPr>
        <w:tc>
          <w:tcPr>
            <w:tcW w:w="1560" w:type="dxa"/>
            <w:vMerge w:val="restart"/>
            <w:hideMark/>
          </w:tcPr>
          <w:p w14:paraId="454FC2A3" w14:textId="77777777" w:rsidR="00286EF4" w:rsidRPr="003B533B" w:rsidRDefault="00286EF4" w:rsidP="0014095B">
            <w:pPr>
              <w:keepNext/>
              <w:keepLines/>
              <w:jc w:val="left"/>
              <w:rPr>
                <w:sz w:val="19"/>
                <w:szCs w:val="19"/>
                <w:lang w:val="en-CA" w:eastAsia="en-CA"/>
              </w:rPr>
            </w:pPr>
            <w:r w:rsidRPr="003B533B">
              <w:rPr>
                <w:sz w:val="19"/>
                <w:szCs w:val="19"/>
                <w:lang w:val="en-CA" w:eastAsia="en-CA"/>
              </w:rPr>
              <w:lastRenderedPageBreak/>
              <w:t>Guinea (Stage I)</w:t>
            </w:r>
          </w:p>
          <w:p w14:paraId="1FEAC1F5" w14:textId="77777777" w:rsidR="00286EF4" w:rsidRPr="003B533B" w:rsidRDefault="00286EF4" w:rsidP="0014095B">
            <w:pPr>
              <w:keepNext/>
              <w:keepLines/>
              <w:jc w:val="left"/>
              <w:rPr>
                <w:sz w:val="19"/>
                <w:szCs w:val="19"/>
                <w:lang w:val="en-CA" w:eastAsia="en-CA"/>
              </w:rPr>
            </w:pPr>
          </w:p>
        </w:tc>
        <w:tc>
          <w:tcPr>
            <w:tcW w:w="1276" w:type="dxa"/>
            <w:hideMark/>
          </w:tcPr>
          <w:p w14:paraId="0C1F8636" w14:textId="77777777" w:rsidR="00286EF4" w:rsidRPr="003B533B" w:rsidRDefault="00286EF4" w:rsidP="0014095B">
            <w:pPr>
              <w:keepNext/>
              <w:keepLines/>
              <w:jc w:val="left"/>
              <w:rPr>
                <w:sz w:val="19"/>
                <w:szCs w:val="19"/>
                <w:lang w:val="en-CA" w:eastAsia="en-CA"/>
              </w:rPr>
            </w:pPr>
            <w:r w:rsidRPr="003B533B">
              <w:rPr>
                <w:sz w:val="19"/>
                <w:szCs w:val="19"/>
                <w:lang w:val="en-CA" w:eastAsia="en-CA"/>
              </w:rPr>
              <w:t>UNIDO</w:t>
            </w:r>
          </w:p>
        </w:tc>
        <w:tc>
          <w:tcPr>
            <w:tcW w:w="879" w:type="dxa"/>
            <w:hideMark/>
          </w:tcPr>
          <w:p w14:paraId="306C6D8E" w14:textId="77777777" w:rsidR="00286EF4" w:rsidRPr="003B533B" w:rsidRDefault="00286EF4" w:rsidP="0014095B">
            <w:pPr>
              <w:keepNext/>
              <w:keepLines/>
              <w:jc w:val="center"/>
              <w:rPr>
                <w:sz w:val="19"/>
                <w:szCs w:val="19"/>
                <w:lang w:val="en-CA" w:eastAsia="en-CA"/>
              </w:rPr>
            </w:pPr>
            <w:r w:rsidRPr="003B533B">
              <w:rPr>
                <w:sz w:val="19"/>
                <w:szCs w:val="19"/>
                <w:lang w:val="en-CA" w:eastAsia="en-CA"/>
              </w:rPr>
              <w:t>2016</w:t>
            </w:r>
          </w:p>
        </w:tc>
        <w:tc>
          <w:tcPr>
            <w:tcW w:w="1275" w:type="dxa"/>
            <w:hideMark/>
          </w:tcPr>
          <w:p w14:paraId="4AB3B34E" w14:textId="77777777" w:rsidR="00286EF4" w:rsidRPr="003B533B" w:rsidRDefault="00286EF4" w:rsidP="0014095B">
            <w:pPr>
              <w:keepNext/>
              <w:keepLines/>
              <w:jc w:val="right"/>
              <w:rPr>
                <w:sz w:val="19"/>
                <w:szCs w:val="19"/>
                <w:lang w:val="en-CA" w:eastAsia="en-CA"/>
              </w:rPr>
            </w:pPr>
            <w:r w:rsidRPr="003B533B">
              <w:rPr>
                <w:sz w:val="19"/>
                <w:szCs w:val="19"/>
                <w:lang w:val="en-CA" w:eastAsia="en-CA"/>
              </w:rPr>
              <w:t>172,000</w:t>
            </w:r>
          </w:p>
        </w:tc>
        <w:tc>
          <w:tcPr>
            <w:tcW w:w="3373" w:type="dxa"/>
            <w:vMerge w:val="restart"/>
            <w:hideMark/>
          </w:tcPr>
          <w:p w14:paraId="6AF2A58E" w14:textId="2C79027B" w:rsidR="00286EF4" w:rsidRPr="003B533B" w:rsidRDefault="00286EF4" w:rsidP="0014095B">
            <w:pPr>
              <w:keepNext/>
              <w:keepLines/>
              <w:rPr>
                <w:sz w:val="19"/>
                <w:szCs w:val="19"/>
                <w:lang w:val="en-CA" w:eastAsia="en-CA"/>
              </w:rPr>
            </w:pPr>
            <w:r w:rsidRPr="003B533B">
              <w:rPr>
                <w:sz w:val="19"/>
                <w:szCs w:val="19"/>
                <w:lang w:val="en-CA" w:eastAsia="en-CA"/>
              </w:rPr>
              <w:t>Lack of verification report</w:t>
            </w:r>
          </w:p>
        </w:tc>
        <w:tc>
          <w:tcPr>
            <w:tcW w:w="5812" w:type="dxa"/>
            <w:vMerge w:val="restart"/>
          </w:tcPr>
          <w:p w14:paraId="79C619D7" w14:textId="2F658FAD" w:rsidR="00286EF4" w:rsidRPr="003B533B" w:rsidRDefault="00286EF4" w:rsidP="0014095B">
            <w:pPr>
              <w:keepNext/>
              <w:keepLines/>
              <w:rPr>
                <w:sz w:val="19"/>
                <w:szCs w:val="19"/>
                <w:lang w:val="en-CA" w:eastAsia="en-CA"/>
              </w:rPr>
            </w:pPr>
            <w:r w:rsidRPr="003B533B">
              <w:rPr>
                <w:sz w:val="19"/>
                <w:szCs w:val="19"/>
                <w:lang w:val="en-CA"/>
              </w:rPr>
              <w:t xml:space="preserve">Noting that the mandatory verification on HCFC consumption targets had not been completed and urging the Government of Guinea to work with </w:t>
            </w:r>
            <w:r w:rsidRPr="003B533B">
              <w:rPr>
                <w:sz w:val="19"/>
                <w:szCs w:val="19"/>
                <w:lang w:val="en-CA" w:eastAsia="en-CA"/>
              </w:rPr>
              <w:t>UNEP and UNIDO</w:t>
            </w:r>
            <w:r w:rsidRPr="003B533B">
              <w:rPr>
                <w:sz w:val="19"/>
                <w:szCs w:val="19"/>
                <w:lang w:val="en-CA"/>
              </w:rPr>
              <w:t xml:space="preserve"> to complete the verification so that the third (2016)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2016 and subsequent tranches.</w:t>
            </w:r>
          </w:p>
        </w:tc>
      </w:tr>
      <w:tr w:rsidR="00286EF4" w:rsidRPr="003B533B" w14:paraId="3B2E4AF6" w14:textId="77777777" w:rsidTr="00E776FD">
        <w:trPr>
          <w:trHeight w:val="385"/>
        </w:trPr>
        <w:tc>
          <w:tcPr>
            <w:tcW w:w="1560" w:type="dxa"/>
            <w:vMerge/>
            <w:hideMark/>
          </w:tcPr>
          <w:p w14:paraId="33873073" w14:textId="77777777" w:rsidR="00286EF4" w:rsidRPr="003B533B" w:rsidRDefault="00286EF4" w:rsidP="0014095B">
            <w:pPr>
              <w:keepNext/>
              <w:keepLines/>
              <w:jc w:val="left"/>
              <w:rPr>
                <w:sz w:val="19"/>
                <w:szCs w:val="19"/>
                <w:lang w:val="en-CA" w:eastAsia="en-CA"/>
              </w:rPr>
            </w:pPr>
          </w:p>
        </w:tc>
        <w:tc>
          <w:tcPr>
            <w:tcW w:w="1276" w:type="dxa"/>
            <w:hideMark/>
          </w:tcPr>
          <w:p w14:paraId="645A7774" w14:textId="77777777" w:rsidR="00286EF4" w:rsidRPr="003B533B" w:rsidRDefault="00286EF4" w:rsidP="0014095B">
            <w:pPr>
              <w:keepNext/>
              <w:keepLines/>
              <w:jc w:val="left"/>
              <w:rPr>
                <w:sz w:val="19"/>
                <w:szCs w:val="19"/>
                <w:lang w:val="en-CA" w:eastAsia="en-CA"/>
              </w:rPr>
            </w:pPr>
            <w:r w:rsidRPr="003B533B">
              <w:rPr>
                <w:sz w:val="19"/>
                <w:szCs w:val="19"/>
                <w:lang w:val="en-CA" w:eastAsia="en-CA"/>
              </w:rPr>
              <w:t>UNEP</w:t>
            </w:r>
          </w:p>
        </w:tc>
        <w:tc>
          <w:tcPr>
            <w:tcW w:w="879" w:type="dxa"/>
            <w:hideMark/>
          </w:tcPr>
          <w:p w14:paraId="7DA58882" w14:textId="77777777" w:rsidR="00286EF4" w:rsidRPr="003B533B" w:rsidRDefault="00286EF4" w:rsidP="0014095B">
            <w:pPr>
              <w:keepNext/>
              <w:keepLines/>
              <w:jc w:val="center"/>
              <w:rPr>
                <w:sz w:val="19"/>
                <w:szCs w:val="19"/>
                <w:lang w:val="en-CA" w:eastAsia="en-CA"/>
              </w:rPr>
            </w:pPr>
            <w:r w:rsidRPr="003B533B">
              <w:rPr>
                <w:sz w:val="19"/>
                <w:szCs w:val="19"/>
                <w:lang w:val="en-CA" w:eastAsia="en-CA"/>
              </w:rPr>
              <w:t>2016</w:t>
            </w:r>
          </w:p>
        </w:tc>
        <w:tc>
          <w:tcPr>
            <w:tcW w:w="1275" w:type="dxa"/>
            <w:hideMark/>
          </w:tcPr>
          <w:p w14:paraId="5272EE98" w14:textId="77777777" w:rsidR="00286EF4" w:rsidRPr="003B533B" w:rsidRDefault="00286EF4" w:rsidP="0014095B">
            <w:pPr>
              <w:keepNext/>
              <w:keepLines/>
              <w:jc w:val="right"/>
              <w:rPr>
                <w:sz w:val="19"/>
                <w:szCs w:val="19"/>
                <w:lang w:val="en-CA" w:eastAsia="en-CA"/>
              </w:rPr>
            </w:pPr>
            <w:r w:rsidRPr="003B533B">
              <w:rPr>
                <w:sz w:val="19"/>
                <w:szCs w:val="19"/>
                <w:lang w:val="en-CA" w:eastAsia="en-CA"/>
              </w:rPr>
              <w:t>73,450</w:t>
            </w:r>
          </w:p>
        </w:tc>
        <w:tc>
          <w:tcPr>
            <w:tcW w:w="3373" w:type="dxa"/>
            <w:vMerge/>
          </w:tcPr>
          <w:p w14:paraId="1E38115E" w14:textId="54A3636C" w:rsidR="00286EF4" w:rsidRPr="003B533B" w:rsidRDefault="00286EF4" w:rsidP="0014095B">
            <w:pPr>
              <w:keepNext/>
              <w:keepLines/>
              <w:rPr>
                <w:sz w:val="19"/>
                <w:szCs w:val="19"/>
                <w:lang w:val="en-CA" w:eastAsia="en-CA"/>
              </w:rPr>
            </w:pPr>
          </w:p>
        </w:tc>
        <w:tc>
          <w:tcPr>
            <w:tcW w:w="5812" w:type="dxa"/>
            <w:vMerge/>
          </w:tcPr>
          <w:p w14:paraId="67FEF5F3" w14:textId="77777777" w:rsidR="00286EF4" w:rsidRPr="003B533B" w:rsidRDefault="00286EF4" w:rsidP="0014095B">
            <w:pPr>
              <w:keepNext/>
              <w:keepLines/>
              <w:rPr>
                <w:sz w:val="19"/>
                <w:szCs w:val="19"/>
                <w:lang w:val="en-CA" w:eastAsia="en-CA"/>
              </w:rPr>
            </w:pPr>
          </w:p>
        </w:tc>
      </w:tr>
      <w:tr w:rsidR="00286EF4" w:rsidRPr="003B533B" w14:paraId="3981F7C1" w14:textId="77777777" w:rsidTr="00E776FD">
        <w:trPr>
          <w:trHeight w:val="638"/>
        </w:trPr>
        <w:tc>
          <w:tcPr>
            <w:tcW w:w="1560" w:type="dxa"/>
            <w:vMerge w:val="restart"/>
            <w:shd w:val="clear" w:color="auto" w:fill="auto"/>
          </w:tcPr>
          <w:p w14:paraId="7B1B7723" w14:textId="77777777" w:rsidR="00286EF4" w:rsidRPr="003B533B" w:rsidRDefault="00286EF4" w:rsidP="0014095B">
            <w:pPr>
              <w:keepNext/>
              <w:keepLines/>
              <w:jc w:val="left"/>
              <w:rPr>
                <w:sz w:val="19"/>
                <w:szCs w:val="19"/>
                <w:lang w:val="en-CA" w:eastAsia="en-CA"/>
              </w:rPr>
            </w:pPr>
            <w:r w:rsidRPr="003B533B">
              <w:rPr>
                <w:sz w:val="19"/>
                <w:szCs w:val="19"/>
                <w:lang w:val="en-CA" w:eastAsia="en-CA"/>
              </w:rPr>
              <w:t xml:space="preserve">Guyana </w:t>
            </w:r>
          </w:p>
          <w:p w14:paraId="13230C7B" w14:textId="39B1F547" w:rsidR="00286EF4" w:rsidRPr="003B533B" w:rsidRDefault="00286EF4" w:rsidP="0014095B">
            <w:pPr>
              <w:keepNext/>
              <w:keepLines/>
              <w:jc w:val="left"/>
              <w:rPr>
                <w:sz w:val="19"/>
                <w:szCs w:val="19"/>
                <w:lang w:val="en-CA" w:eastAsia="en-CA"/>
              </w:rPr>
            </w:pPr>
            <w:r w:rsidRPr="003B533B">
              <w:rPr>
                <w:sz w:val="19"/>
                <w:szCs w:val="19"/>
                <w:lang w:val="en-CA" w:eastAsia="en-CA"/>
              </w:rPr>
              <w:t>(Stage II)</w:t>
            </w:r>
          </w:p>
        </w:tc>
        <w:tc>
          <w:tcPr>
            <w:tcW w:w="1276" w:type="dxa"/>
            <w:shd w:val="clear" w:color="auto" w:fill="auto"/>
          </w:tcPr>
          <w:p w14:paraId="42A28A26" w14:textId="713E0827" w:rsidR="00286EF4" w:rsidRPr="003B533B" w:rsidRDefault="00286EF4" w:rsidP="0014095B">
            <w:pPr>
              <w:keepNext/>
              <w:keepLines/>
              <w:jc w:val="left"/>
              <w:rPr>
                <w:sz w:val="19"/>
                <w:szCs w:val="19"/>
                <w:lang w:val="en-CA" w:eastAsia="en-CA"/>
              </w:rPr>
            </w:pPr>
            <w:r w:rsidRPr="003B533B">
              <w:rPr>
                <w:sz w:val="19"/>
                <w:szCs w:val="19"/>
                <w:lang w:val="en-CA" w:eastAsia="en-CA"/>
              </w:rPr>
              <w:t>UNDP</w:t>
            </w:r>
          </w:p>
        </w:tc>
        <w:tc>
          <w:tcPr>
            <w:tcW w:w="879" w:type="dxa"/>
            <w:shd w:val="clear" w:color="auto" w:fill="auto"/>
          </w:tcPr>
          <w:p w14:paraId="709AA7DF" w14:textId="07180774" w:rsidR="00286EF4" w:rsidRPr="003B533B" w:rsidRDefault="00286EF4" w:rsidP="0014095B">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78270E91" w14:textId="3FE2A603" w:rsidR="00286EF4" w:rsidRPr="003B533B" w:rsidRDefault="00286EF4" w:rsidP="0014095B">
            <w:pPr>
              <w:keepNext/>
              <w:keepLines/>
              <w:jc w:val="right"/>
              <w:rPr>
                <w:sz w:val="19"/>
                <w:szCs w:val="19"/>
                <w:lang w:val="en-CA" w:eastAsia="en-CA"/>
              </w:rPr>
            </w:pPr>
            <w:r w:rsidRPr="003B533B">
              <w:rPr>
                <w:sz w:val="19"/>
                <w:szCs w:val="19"/>
                <w:lang w:val="en-CA" w:eastAsia="en-CA"/>
              </w:rPr>
              <w:t>71,423</w:t>
            </w:r>
          </w:p>
        </w:tc>
        <w:tc>
          <w:tcPr>
            <w:tcW w:w="3373" w:type="dxa"/>
            <w:shd w:val="clear" w:color="auto" w:fill="auto"/>
          </w:tcPr>
          <w:p w14:paraId="0D66DAEC" w14:textId="52AFA346" w:rsidR="00286EF4" w:rsidRPr="003B533B" w:rsidRDefault="00286EF4" w:rsidP="0014095B">
            <w:pPr>
              <w:keepNext/>
              <w:keepLines/>
              <w:rPr>
                <w:sz w:val="19"/>
                <w:szCs w:val="19"/>
                <w:lang w:val="en-CA" w:eastAsia="en-CA"/>
              </w:rPr>
            </w:pPr>
            <w:r w:rsidRPr="003B533B">
              <w:rPr>
                <w:sz w:val="19"/>
                <w:szCs w:val="19"/>
                <w:lang w:val="en-CA" w:eastAsia="en-CA"/>
              </w:rPr>
              <w:t>Lead agency not ready for submission</w:t>
            </w:r>
          </w:p>
        </w:tc>
        <w:tc>
          <w:tcPr>
            <w:tcW w:w="5812" w:type="dxa"/>
            <w:vMerge w:val="restart"/>
            <w:shd w:val="clear" w:color="auto" w:fill="auto"/>
          </w:tcPr>
          <w:p w14:paraId="3DE94828" w14:textId="7592CBE2" w:rsidR="00286EF4" w:rsidRPr="003B533B" w:rsidRDefault="00286EF4" w:rsidP="0014095B">
            <w:pPr>
              <w:rPr>
                <w:sz w:val="19"/>
                <w:szCs w:val="19"/>
                <w:lang w:val="en-CA"/>
              </w:rPr>
            </w:pPr>
            <w:r w:rsidRPr="003B533B">
              <w:rPr>
                <w:sz w:val="19"/>
                <w:szCs w:val="19"/>
                <w:lang w:val="en-CA"/>
              </w:rPr>
              <w:t xml:space="preserve">Noting that the mandatory verification on HCFC consumption targets had not been completed and urging the Government of Guyana to work with </w:t>
            </w:r>
            <w:r w:rsidRPr="003B533B">
              <w:rPr>
                <w:sz w:val="19"/>
                <w:szCs w:val="19"/>
                <w:lang w:val="en-CA" w:eastAsia="en-CA"/>
              </w:rPr>
              <w:t>UNDP and UNEP</w:t>
            </w:r>
            <w:r w:rsidRPr="003B533B">
              <w:rPr>
                <w:sz w:val="19"/>
                <w:szCs w:val="19"/>
                <w:lang w:val="en-CA"/>
              </w:rPr>
              <w:t xml:space="preserve"> to complete the verification so that the second (2018) tranche of stage II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w:t>
            </w:r>
          </w:p>
        </w:tc>
      </w:tr>
      <w:tr w:rsidR="00286EF4" w:rsidRPr="003B533B" w14:paraId="401599D9" w14:textId="77777777" w:rsidTr="00E776FD">
        <w:trPr>
          <w:trHeight w:val="690"/>
        </w:trPr>
        <w:tc>
          <w:tcPr>
            <w:tcW w:w="1560" w:type="dxa"/>
            <w:vMerge/>
            <w:shd w:val="clear" w:color="auto" w:fill="auto"/>
          </w:tcPr>
          <w:p w14:paraId="45B74736" w14:textId="77777777" w:rsidR="00286EF4" w:rsidRPr="003B533B" w:rsidRDefault="00286EF4" w:rsidP="0014095B">
            <w:pPr>
              <w:jc w:val="left"/>
              <w:rPr>
                <w:sz w:val="19"/>
                <w:szCs w:val="19"/>
                <w:lang w:val="en-CA" w:eastAsia="en-CA"/>
              </w:rPr>
            </w:pPr>
          </w:p>
        </w:tc>
        <w:tc>
          <w:tcPr>
            <w:tcW w:w="1276" w:type="dxa"/>
            <w:shd w:val="clear" w:color="auto" w:fill="auto"/>
          </w:tcPr>
          <w:p w14:paraId="2333AD9F" w14:textId="73CBA64B" w:rsidR="00286EF4" w:rsidRPr="003B533B" w:rsidRDefault="00286EF4" w:rsidP="0014095B">
            <w:pPr>
              <w:keepNext/>
              <w:keepLines/>
              <w:jc w:val="left"/>
              <w:rPr>
                <w:sz w:val="19"/>
                <w:szCs w:val="19"/>
                <w:lang w:val="en-CA" w:eastAsia="en-CA"/>
              </w:rPr>
            </w:pPr>
            <w:r w:rsidRPr="003B533B">
              <w:rPr>
                <w:sz w:val="19"/>
                <w:szCs w:val="19"/>
                <w:lang w:val="en-CA" w:eastAsia="en-CA"/>
              </w:rPr>
              <w:t>UNEP</w:t>
            </w:r>
          </w:p>
        </w:tc>
        <w:tc>
          <w:tcPr>
            <w:tcW w:w="879" w:type="dxa"/>
            <w:shd w:val="clear" w:color="auto" w:fill="auto"/>
          </w:tcPr>
          <w:p w14:paraId="10987FC9" w14:textId="750795C2" w:rsidR="00286EF4" w:rsidRPr="003B533B" w:rsidRDefault="00286EF4" w:rsidP="0014095B">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456AFF63" w14:textId="3F09170F" w:rsidR="00286EF4" w:rsidRPr="003B533B" w:rsidRDefault="00286EF4" w:rsidP="0014095B">
            <w:pPr>
              <w:keepNext/>
              <w:keepLines/>
              <w:jc w:val="right"/>
              <w:rPr>
                <w:sz w:val="19"/>
                <w:szCs w:val="19"/>
                <w:lang w:val="en-CA" w:eastAsia="en-CA"/>
              </w:rPr>
            </w:pPr>
            <w:r w:rsidRPr="003B533B">
              <w:rPr>
                <w:sz w:val="19"/>
                <w:szCs w:val="19"/>
                <w:lang w:val="en-CA" w:eastAsia="en-CA"/>
              </w:rPr>
              <w:t>74,015</w:t>
            </w:r>
          </w:p>
        </w:tc>
        <w:tc>
          <w:tcPr>
            <w:tcW w:w="3373" w:type="dxa"/>
            <w:shd w:val="clear" w:color="auto" w:fill="auto"/>
          </w:tcPr>
          <w:p w14:paraId="34D449BD" w14:textId="37179503" w:rsidR="00286EF4" w:rsidRPr="003B533B" w:rsidRDefault="00286EF4" w:rsidP="0014095B">
            <w:pPr>
              <w:keepNext/>
              <w:keepLines/>
              <w:rPr>
                <w:sz w:val="19"/>
                <w:szCs w:val="19"/>
                <w:lang w:val="en-CA" w:eastAsia="en-CA"/>
              </w:rPr>
            </w:pPr>
            <w:r w:rsidRPr="003B533B">
              <w:rPr>
                <w:sz w:val="19"/>
                <w:szCs w:val="19"/>
                <w:lang w:val="en-CA" w:eastAsia="en-CA"/>
              </w:rPr>
              <w:t>Lack of verification report</w:t>
            </w:r>
          </w:p>
        </w:tc>
        <w:tc>
          <w:tcPr>
            <w:tcW w:w="5812" w:type="dxa"/>
            <w:vMerge/>
            <w:shd w:val="clear" w:color="auto" w:fill="auto"/>
          </w:tcPr>
          <w:p w14:paraId="4F1DAA28" w14:textId="77777777" w:rsidR="00286EF4" w:rsidRPr="003B533B" w:rsidRDefault="00286EF4" w:rsidP="0014095B">
            <w:pPr>
              <w:rPr>
                <w:sz w:val="19"/>
                <w:szCs w:val="19"/>
                <w:lang w:val="en-CA"/>
              </w:rPr>
            </w:pPr>
          </w:p>
        </w:tc>
      </w:tr>
      <w:tr w:rsidR="00286EF4" w:rsidRPr="003B533B" w14:paraId="6CC367AC" w14:textId="77777777" w:rsidTr="00807919">
        <w:trPr>
          <w:trHeight w:val="71"/>
        </w:trPr>
        <w:tc>
          <w:tcPr>
            <w:tcW w:w="1560" w:type="dxa"/>
            <w:vMerge w:val="restart"/>
            <w:shd w:val="clear" w:color="auto" w:fill="auto"/>
          </w:tcPr>
          <w:p w14:paraId="6FE79048" w14:textId="23A9F6DA" w:rsidR="00286EF4" w:rsidRPr="003B533B" w:rsidRDefault="00286EF4" w:rsidP="0014095B">
            <w:pPr>
              <w:jc w:val="left"/>
              <w:rPr>
                <w:sz w:val="19"/>
                <w:szCs w:val="19"/>
                <w:lang w:val="en-CA" w:eastAsia="en-CA"/>
              </w:rPr>
            </w:pPr>
            <w:r w:rsidRPr="003B533B">
              <w:rPr>
                <w:sz w:val="19"/>
                <w:szCs w:val="19"/>
                <w:lang w:val="en-CA" w:eastAsia="en-CA"/>
              </w:rPr>
              <w:t>Iran (Islamic Republic of)</w:t>
            </w:r>
          </w:p>
          <w:p w14:paraId="2D8A4AE6" w14:textId="168FC9EE" w:rsidR="00286EF4" w:rsidRPr="003B533B" w:rsidRDefault="00286EF4" w:rsidP="0014095B">
            <w:pPr>
              <w:jc w:val="left"/>
              <w:rPr>
                <w:sz w:val="19"/>
                <w:szCs w:val="19"/>
                <w:lang w:val="en-CA" w:eastAsia="en-CA"/>
              </w:rPr>
            </w:pPr>
            <w:r w:rsidRPr="003B533B">
              <w:rPr>
                <w:sz w:val="19"/>
                <w:szCs w:val="19"/>
                <w:lang w:val="en-CA" w:eastAsia="en-CA"/>
              </w:rPr>
              <w:t>(Stage II)</w:t>
            </w:r>
          </w:p>
        </w:tc>
        <w:tc>
          <w:tcPr>
            <w:tcW w:w="1276" w:type="dxa"/>
            <w:shd w:val="clear" w:color="auto" w:fill="auto"/>
          </w:tcPr>
          <w:p w14:paraId="2D681F3D" w14:textId="22BE5BB9" w:rsidR="00286EF4" w:rsidRPr="003B533B" w:rsidRDefault="00286EF4" w:rsidP="0014095B">
            <w:pPr>
              <w:keepNext/>
              <w:keepLines/>
              <w:jc w:val="left"/>
              <w:rPr>
                <w:sz w:val="19"/>
                <w:szCs w:val="19"/>
                <w:lang w:val="en-CA" w:eastAsia="en-CA"/>
              </w:rPr>
            </w:pPr>
            <w:r w:rsidRPr="003B533B">
              <w:rPr>
                <w:sz w:val="19"/>
                <w:szCs w:val="19"/>
                <w:lang w:val="en-CA" w:eastAsia="en-CA"/>
              </w:rPr>
              <w:t>Germany</w:t>
            </w:r>
          </w:p>
        </w:tc>
        <w:tc>
          <w:tcPr>
            <w:tcW w:w="879" w:type="dxa"/>
            <w:shd w:val="clear" w:color="auto" w:fill="auto"/>
          </w:tcPr>
          <w:p w14:paraId="0E833E28" w14:textId="352B9C20" w:rsidR="00286EF4" w:rsidRPr="003B533B" w:rsidRDefault="00286EF4" w:rsidP="0014095B">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5BF43396" w14:textId="651138BC" w:rsidR="00286EF4" w:rsidRPr="003B533B" w:rsidRDefault="00286EF4" w:rsidP="0014095B">
            <w:pPr>
              <w:keepNext/>
              <w:keepLines/>
              <w:jc w:val="right"/>
              <w:rPr>
                <w:sz w:val="19"/>
                <w:szCs w:val="19"/>
                <w:lang w:val="en-CA" w:eastAsia="en-CA"/>
              </w:rPr>
            </w:pPr>
            <w:r w:rsidRPr="003B533B">
              <w:rPr>
                <w:sz w:val="19"/>
                <w:szCs w:val="19"/>
                <w:lang w:val="en-CA" w:eastAsia="en-CA"/>
              </w:rPr>
              <w:t>1,166,127</w:t>
            </w:r>
          </w:p>
        </w:tc>
        <w:tc>
          <w:tcPr>
            <w:tcW w:w="3373" w:type="dxa"/>
            <w:shd w:val="clear" w:color="auto" w:fill="auto"/>
          </w:tcPr>
          <w:p w14:paraId="426BDE07" w14:textId="4AD640DF" w:rsidR="00286EF4" w:rsidRPr="003B533B" w:rsidRDefault="00286EF4" w:rsidP="0014095B">
            <w:pPr>
              <w:keepNext/>
              <w:keepLines/>
              <w:rPr>
                <w:sz w:val="19"/>
                <w:szCs w:val="19"/>
                <w:lang w:val="en-CA" w:eastAsia="en-CA"/>
              </w:rPr>
            </w:pPr>
            <w:r w:rsidRPr="003B533B">
              <w:rPr>
                <w:sz w:val="19"/>
                <w:szCs w:val="19"/>
                <w:lang w:val="en-CA" w:eastAsia="en-CA"/>
              </w:rPr>
              <w:t>20 per cent disbursement threshold</w:t>
            </w:r>
          </w:p>
        </w:tc>
        <w:tc>
          <w:tcPr>
            <w:tcW w:w="5812" w:type="dxa"/>
            <w:vMerge w:val="restart"/>
            <w:shd w:val="clear" w:color="auto" w:fill="auto"/>
          </w:tcPr>
          <w:p w14:paraId="3F3198E5" w14:textId="1DD85DA4" w:rsidR="00286EF4" w:rsidRPr="003B533B" w:rsidRDefault="00286EF4" w:rsidP="00314E77">
            <w:pPr>
              <w:rPr>
                <w:sz w:val="19"/>
                <w:szCs w:val="19"/>
                <w:lang w:val="en-CA"/>
              </w:rPr>
            </w:pPr>
            <w:r w:rsidRPr="003B533B">
              <w:rPr>
                <w:sz w:val="19"/>
                <w:szCs w:val="19"/>
                <w:lang w:val="en-CA"/>
              </w:rPr>
              <w:t xml:space="preserve">Noting that the overall disbursement rate of the first (2016) tranche of stage II of the HPMP was below the 20 per cent disbursement threshold and urging the Government of the Islamic Republic of Iran to work with the Governments of Germany and Italy, UNDP, UNEP and UNIDO to expedite implementation so that the second </w:t>
            </w:r>
            <w:r w:rsidRPr="003B533B">
              <w:rPr>
                <w:sz w:val="19"/>
                <w:szCs w:val="19"/>
                <w:lang w:val="en-CA"/>
              </w:rPr>
              <w:t xml:space="preserve">(2018) </w:t>
            </w:r>
            <w:r w:rsidRPr="003B533B">
              <w:rPr>
                <w:sz w:val="19"/>
                <w:szCs w:val="19"/>
                <w:lang w:val="en-CA"/>
              </w:rPr>
              <w:t>tranche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 on the understanding that the 20 per cent disbursement threshold for funding of the previous tranche had been achieved.</w:t>
            </w:r>
          </w:p>
        </w:tc>
      </w:tr>
      <w:tr w:rsidR="00286EF4" w:rsidRPr="003B533B" w14:paraId="4840E42A" w14:textId="77777777" w:rsidTr="00807919">
        <w:trPr>
          <w:trHeight w:val="71"/>
        </w:trPr>
        <w:tc>
          <w:tcPr>
            <w:tcW w:w="1560" w:type="dxa"/>
            <w:vMerge/>
            <w:shd w:val="clear" w:color="auto" w:fill="auto"/>
          </w:tcPr>
          <w:p w14:paraId="530AE3F9" w14:textId="77777777" w:rsidR="00286EF4" w:rsidRPr="003B533B" w:rsidRDefault="00286EF4" w:rsidP="0014095B">
            <w:pPr>
              <w:jc w:val="left"/>
              <w:rPr>
                <w:sz w:val="19"/>
                <w:szCs w:val="19"/>
                <w:lang w:val="en-CA" w:eastAsia="en-CA"/>
              </w:rPr>
            </w:pPr>
          </w:p>
        </w:tc>
        <w:tc>
          <w:tcPr>
            <w:tcW w:w="1276" w:type="dxa"/>
            <w:shd w:val="clear" w:color="auto" w:fill="auto"/>
          </w:tcPr>
          <w:p w14:paraId="63D89CA6" w14:textId="7BD19442" w:rsidR="00286EF4" w:rsidRPr="003B533B" w:rsidRDefault="00286EF4" w:rsidP="0014095B">
            <w:pPr>
              <w:keepNext/>
              <w:keepLines/>
              <w:jc w:val="left"/>
              <w:rPr>
                <w:sz w:val="19"/>
                <w:szCs w:val="19"/>
                <w:lang w:val="en-CA" w:eastAsia="en-CA"/>
              </w:rPr>
            </w:pPr>
            <w:r w:rsidRPr="003B533B">
              <w:rPr>
                <w:sz w:val="19"/>
                <w:szCs w:val="19"/>
                <w:lang w:val="en-CA" w:eastAsia="en-CA"/>
              </w:rPr>
              <w:t>Italy</w:t>
            </w:r>
          </w:p>
        </w:tc>
        <w:tc>
          <w:tcPr>
            <w:tcW w:w="879" w:type="dxa"/>
            <w:shd w:val="clear" w:color="auto" w:fill="auto"/>
          </w:tcPr>
          <w:p w14:paraId="07FE7A4E" w14:textId="60BA7E94" w:rsidR="00286EF4" w:rsidRPr="003B533B" w:rsidRDefault="00286EF4" w:rsidP="0014095B">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48A6A853" w14:textId="6D96DE63" w:rsidR="00286EF4" w:rsidRPr="003B533B" w:rsidRDefault="00286EF4" w:rsidP="0014095B">
            <w:pPr>
              <w:keepNext/>
              <w:keepLines/>
              <w:jc w:val="right"/>
              <w:rPr>
                <w:sz w:val="19"/>
                <w:szCs w:val="19"/>
                <w:lang w:val="en-CA" w:eastAsia="en-CA"/>
              </w:rPr>
            </w:pPr>
            <w:r w:rsidRPr="003B533B">
              <w:rPr>
                <w:sz w:val="19"/>
                <w:szCs w:val="19"/>
                <w:lang w:val="en-CA" w:eastAsia="en-CA"/>
              </w:rPr>
              <w:t>565,000</w:t>
            </w:r>
          </w:p>
        </w:tc>
        <w:tc>
          <w:tcPr>
            <w:tcW w:w="3373" w:type="dxa"/>
            <w:shd w:val="clear" w:color="auto" w:fill="auto"/>
          </w:tcPr>
          <w:p w14:paraId="3C945583" w14:textId="18839A6F" w:rsidR="00286EF4" w:rsidRPr="003B533B" w:rsidRDefault="00286EF4" w:rsidP="0014095B">
            <w:pPr>
              <w:keepNext/>
              <w:keepLines/>
              <w:rPr>
                <w:sz w:val="19"/>
                <w:szCs w:val="19"/>
                <w:lang w:val="en-CA" w:eastAsia="en-CA"/>
              </w:rPr>
            </w:pPr>
            <w:r w:rsidRPr="003B533B">
              <w:rPr>
                <w:sz w:val="19"/>
                <w:szCs w:val="19"/>
                <w:lang w:val="en-CA" w:eastAsia="en-CA"/>
              </w:rPr>
              <w:t>20 per cent disbursement threshold</w:t>
            </w:r>
          </w:p>
        </w:tc>
        <w:tc>
          <w:tcPr>
            <w:tcW w:w="5812" w:type="dxa"/>
            <w:vMerge/>
            <w:shd w:val="clear" w:color="auto" w:fill="auto"/>
          </w:tcPr>
          <w:p w14:paraId="21A168DE" w14:textId="77777777" w:rsidR="00286EF4" w:rsidRPr="003B533B" w:rsidRDefault="00286EF4" w:rsidP="0014095B">
            <w:pPr>
              <w:rPr>
                <w:sz w:val="19"/>
                <w:szCs w:val="19"/>
                <w:lang w:val="en-CA"/>
              </w:rPr>
            </w:pPr>
          </w:p>
        </w:tc>
      </w:tr>
      <w:tr w:rsidR="00286EF4" w:rsidRPr="003B533B" w14:paraId="6FACD05B" w14:textId="77777777" w:rsidTr="00E135A9">
        <w:trPr>
          <w:trHeight w:val="918"/>
        </w:trPr>
        <w:tc>
          <w:tcPr>
            <w:tcW w:w="1560" w:type="dxa"/>
            <w:vMerge/>
            <w:shd w:val="clear" w:color="auto" w:fill="auto"/>
          </w:tcPr>
          <w:p w14:paraId="7ABB84A8" w14:textId="77777777" w:rsidR="00286EF4" w:rsidRPr="003B533B" w:rsidRDefault="00286EF4" w:rsidP="0014095B">
            <w:pPr>
              <w:jc w:val="left"/>
              <w:rPr>
                <w:sz w:val="19"/>
                <w:szCs w:val="19"/>
                <w:lang w:val="en-CA" w:eastAsia="en-CA"/>
              </w:rPr>
            </w:pPr>
          </w:p>
        </w:tc>
        <w:tc>
          <w:tcPr>
            <w:tcW w:w="1276" w:type="dxa"/>
            <w:shd w:val="clear" w:color="auto" w:fill="auto"/>
          </w:tcPr>
          <w:p w14:paraId="06DD0810" w14:textId="32318FD4" w:rsidR="00286EF4" w:rsidRPr="003B533B" w:rsidRDefault="00286EF4" w:rsidP="0014095B">
            <w:pPr>
              <w:keepNext/>
              <w:keepLines/>
              <w:jc w:val="left"/>
              <w:rPr>
                <w:sz w:val="19"/>
                <w:szCs w:val="19"/>
                <w:lang w:val="en-CA" w:eastAsia="en-CA"/>
              </w:rPr>
            </w:pPr>
            <w:r w:rsidRPr="003B533B">
              <w:rPr>
                <w:sz w:val="19"/>
                <w:szCs w:val="19"/>
                <w:lang w:val="en-CA" w:eastAsia="en-CA"/>
              </w:rPr>
              <w:t>UNDP</w:t>
            </w:r>
          </w:p>
        </w:tc>
        <w:tc>
          <w:tcPr>
            <w:tcW w:w="879" w:type="dxa"/>
            <w:shd w:val="clear" w:color="auto" w:fill="auto"/>
          </w:tcPr>
          <w:p w14:paraId="688AF7FF" w14:textId="4FDE6803" w:rsidR="00286EF4" w:rsidRPr="003B533B" w:rsidRDefault="00286EF4" w:rsidP="0014095B">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3658D598" w14:textId="2249123C" w:rsidR="00286EF4" w:rsidRPr="003B533B" w:rsidRDefault="00286EF4" w:rsidP="0014095B">
            <w:pPr>
              <w:keepNext/>
              <w:keepLines/>
              <w:jc w:val="right"/>
              <w:rPr>
                <w:sz w:val="19"/>
                <w:szCs w:val="19"/>
                <w:lang w:val="en-CA" w:eastAsia="en-CA"/>
              </w:rPr>
            </w:pPr>
            <w:r w:rsidRPr="003B533B">
              <w:rPr>
                <w:sz w:val="19"/>
                <w:szCs w:val="19"/>
                <w:lang w:val="en-CA" w:eastAsia="en-CA"/>
              </w:rPr>
              <w:t>1,705,559</w:t>
            </w:r>
          </w:p>
        </w:tc>
        <w:tc>
          <w:tcPr>
            <w:tcW w:w="3373" w:type="dxa"/>
            <w:shd w:val="clear" w:color="auto" w:fill="auto"/>
          </w:tcPr>
          <w:p w14:paraId="0906E789" w14:textId="5CCD9B1B" w:rsidR="00286EF4" w:rsidRPr="003B533B" w:rsidRDefault="00286EF4" w:rsidP="0014095B">
            <w:pPr>
              <w:keepNext/>
              <w:keepLines/>
              <w:rPr>
                <w:sz w:val="19"/>
                <w:szCs w:val="19"/>
                <w:lang w:val="en-CA" w:eastAsia="en-CA"/>
              </w:rPr>
            </w:pPr>
            <w:r w:rsidRPr="003B533B">
              <w:rPr>
                <w:sz w:val="19"/>
                <w:szCs w:val="19"/>
                <w:lang w:val="en-CA" w:eastAsia="en-CA"/>
              </w:rPr>
              <w:t>Government decisions/endorsements/ changes in the NOU/structural change/ internal or external difficulties/20 per cent disbursement threshold</w:t>
            </w:r>
          </w:p>
        </w:tc>
        <w:tc>
          <w:tcPr>
            <w:tcW w:w="5812" w:type="dxa"/>
            <w:vMerge/>
            <w:shd w:val="clear" w:color="auto" w:fill="auto"/>
          </w:tcPr>
          <w:p w14:paraId="68ED38E6" w14:textId="77777777" w:rsidR="00286EF4" w:rsidRPr="003B533B" w:rsidRDefault="00286EF4" w:rsidP="0014095B">
            <w:pPr>
              <w:rPr>
                <w:sz w:val="19"/>
                <w:szCs w:val="19"/>
                <w:lang w:val="en-CA"/>
              </w:rPr>
            </w:pPr>
          </w:p>
        </w:tc>
      </w:tr>
      <w:tr w:rsidR="00286EF4" w:rsidRPr="003B533B" w14:paraId="5C1831EE" w14:textId="77777777" w:rsidTr="00E135A9">
        <w:trPr>
          <w:trHeight w:val="279"/>
        </w:trPr>
        <w:tc>
          <w:tcPr>
            <w:tcW w:w="1560" w:type="dxa"/>
            <w:vMerge/>
            <w:shd w:val="clear" w:color="auto" w:fill="auto"/>
          </w:tcPr>
          <w:p w14:paraId="5B3D4765" w14:textId="77777777" w:rsidR="00286EF4" w:rsidRPr="003B533B" w:rsidRDefault="00286EF4" w:rsidP="0014095B">
            <w:pPr>
              <w:jc w:val="left"/>
              <w:rPr>
                <w:sz w:val="19"/>
                <w:szCs w:val="19"/>
                <w:lang w:val="en-CA" w:eastAsia="en-CA"/>
              </w:rPr>
            </w:pPr>
          </w:p>
        </w:tc>
        <w:tc>
          <w:tcPr>
            <w:tcW w:w="1276" w:type="dxa"/>
            <w:shd w:val="clear" w:color="auto" w:fill="auto"/>
          </w:tcPr>
          <w:p w14:paraId="58E8C907" w14:textId="32678891" w:rsidR="00286EF4" w:rsidRPr="003B533B" w:rsidRDefault="00286EF4" w:rsidP="0014095B">
            <w:pPr>
              <w:keepNext/>
              <w:keepLines/>
              <w:jc w:val="left"/>
              <w:rPr>
                <w:sz w:val="19"/>
                <w:szCs w:val="19"/>
                <w:lang w:val="en-CA" w:eastAsia="en-CA"/>
              </w:rPr>
            </w:pPr>
            <w:r w:rsidRPr="003B533B">
              <w:rPr>
                <w:sz w:val="19"/>
                <w:szCs w:val="19"/>
                <w:lang w:val="en-CA" w:eastAsia="en-CA"/>
              </w:rPr>
              <w:t>UNEP</w:t>
            </w:r>
          </w:p>
        </w:tc>
        <w:tc>
          <w:tcPr>
            <w:tcW w:w="879" w:type="dxa"/>
            <w:shd w:val="clear" w:color="auto" w:fill="auto"/>
          </w:tcPr>
          <w:p w14:paraId="7574FB7D" w14:textId="684D44C9" w:rsidR="00286EF4" w:rsidRPr="003B533B" w:rsidRDefault="00286EF4" w:rsidP="0014095B">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23E0E478" w14:textId="7754CDAD" w:rsidR="00286EF4" w:rsidRPr="003B533B" w:rsidRDefault="00286EF4" w:rsidP="0014095B">
            <w:pPr>
              <w:keepNext/>
              <w:keepLines/>
              <w:jc w:val="right"/>
              <w:rPr>
                <w:sz w:val="19"/>
                <w:szCs w:val="19"/>
                <w:lang w:val="en-CA" w:eastAsia="en-CA"/>
              </w:rPr>
            </w:pPr>
            <w:r w:rsidRPr="003B533B">
              <w:rPr>
                <w:sz w:val="19"/>
                <w:szCs w:val="19"/>
                <w:lang w:val="en-CA" w:eastAsia="en-CA"/>
              </w:rPr>
              <w:t>213,614</w:t>
            </w:r>
          </w:p>
        </w:tc>
        <w:tc>
          <w:tcPr>
            <w:tcW w:w="3373" w:type="dxa"/>
            <w:shd w:val="clear" w:color="auto" w:fill="auto"/>
          </w:tcPr>
          <w:p w14:paraId="05A9A564" w14:textId="1E09EE8D" w:rsidR="00286EF4" w:rsidRPr="003B533B" w:rsidRDefault="00286EF4" w:rsidP="0014095B">
            <w:pPr>
              <w:keepNext/>
              <w:keepLines/>
              <w:rPr>
                <w:sz w:val="19"/>
                <w:szCs w:val="19"/>
                <w:lang w:val="en-CA" w:eastAsia="en-CA"/>
              </w:rPr>
            </w:pPr>
            <w:r w:rsidRPr="003B533B">
              <w:rPr>
                <w:sz w:val="19"/>
                <w:szCs w:val="19"/>
                <w:lang w:val="en-CA" w:eastAsia="en-CA"/>
              </w:rPr>
              <w:t>20 per cent disbursement threshold</w:t>
            </w:r>
          </w:p>
        </w:tc>
        <w:tc>
          <w:tcPr>
            <w:tcW w:w="5812" w:type="dxa"/>
            <w:vMerge/>
            <w:shd w:val="clear" w:color="auto" w:fill="auto"/>
          </w:tcPr>
          <w:p w14:paraId="583A9FFA" w14:textId="77777777" w:rsidR="00286EF4" w:rsidRPr="003B533B" w:rsidRDefault="00286EF4" w:rsidP="0014095B">
            <w:pPr>
              <w:rPr>
                <w:sz w:val="19"/>
                <w:szCs w:val="19"/>
                <w:lang w:val="en-CA"/>
              </w:rPr>
            </w:pPr>
          </w:p>
        </w:tc>
      </w:tr>
      <w:tr w:rsidR="00286EF4" w:rsidRPr="003B533B" w14:paraId="3A2947FE" w14:textId="77777777" w:rsidTr="00807919">
        <w:trPr>
          <w:trHeight w:val="71"/>
        </w:trPr>
        <w:tc>
          <w:tcPr>
            <w:tcW w:w="1560" w:type="dxa"/>
            <w:vMerge/>
            <w:shd w:val="clear" w:color="auto" w:fill="auto"/>
          </w:tcPr>
          <w:p w14:paraId="0BC783D6" w14:textId="77777777" w:rsidR="00286EF4" w:rsidRPr="003B533B" w:rsidRDefault="00286EF4" w:rsidP="0014095B">
            <w:pPr>
              <w:jc w:val="left"/>
              <w:rPr>
                <w:sz w:val="19"/>
                <w:szCs w:val="19"/>
                <w:lang w:val="en-CA" w:eastAsia="en-CA"/>
              </w:rPr>
            </w:pPr>
          </w:p>
        </w:tc>
        <w:tc>
          <w:tcPr>
            <w:tcW w:w="1276" w:type="dxa"/>
            <w:shd w:val="clear" w:color="auto" w:fill="auto"/>
          </w:tcPr>
          <w:p w14:paraId="00196D02" w14:textId="48EEE044" w:rsidR="00286EF4" w:rsidRPr="003B533B" w:rsidRDefault="00286EF4" w:rsidP="0014095B">
            <w:pPr>
              <w:keepNext/>
              <w:keepLines/>
              <w:jc w:val="left"/>
              <w:rPr>
                <w:sz w:val="19"/>
                <w:szCs w:val="19"/>
                <w:lang w:val="en-CA" w:eastAsia="en-CA"/>
              </w:rPr>
            </w:pPr>
            <w:r w:rsidRPr="003B533B">
              <w:rPr>
                <w:sz w:val="19"/>
                <w:szCs w:val="19"/>
                <w:lang w:val="en-CA" w:eastAsia="en-CA"/>
              </w:rPr>
              <w:t>UNIDO</w:t>
            </w:r>
          </w:p>
        </w:tc>
        <w:tc>
          <w:tcPr>
            <w:tcW w:w="879" w:type="dxa"/>
            <w:shd w:val="clear" w:color="auto" w:fill="auto"/>
          </w:tcPr>
          <w:p w14:paraId="6A77850B" w14:textId="0B634CF4" w:rsidR="00286EF4" w:rsidRPr="003B533B" w:rsidRDefault="00286EF4" w:rsidP="0014095B">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0637F45B" w14:textId="7B8BDDB7" w:rsidR="00286EF4" w:rsidRPr="003B533B" w:rsidRDefault="00286EF4" w:rsidP="0014095B">
            <w:pPr>
              <w:keepNext/>
              <w:keepLines/>
              <w:jc w:val="right"/>
              <w:rPr>
                <w:sz w:val="19"/>
                <w:szCs w:val="19"/>
                <w:lang w:val="en-CA" w:eastAsia="en-CA"/>
              </w:rPr>
            </w:pPr>
            <w:r w:rsidRPr="003B533B">
              <w:rPr>
                <w:sz w:val="19"/>
                <w:szCs w:val="19"/>
                <w:lang w:val="en-CA" w:eastAsia="en-CA"/>
              </w:rPr>
              <w:t>624,880</w:t>
            </w:r>
          </w:p>
        </w:tc>
        <w:tc>
          <w:tcPr>
            <w:tcW w:w="3373" w:type="dxa"/>
            <w:shd w:val="clear" w:color="auto" w:fill="auto"/>
          </w:tcPr>
          <w:p w14:paraId="2BA603C1" w14:textId="7E115E40" w:rsidR="00286EF4" w:rsidRPr="003B533B" w:rsidRDefault="00286EF4" w:rsidP="0014095B">
            <w:pPr>
              <w:keepNext/>
              <w:keepLines/>
              <w:rPr>
                <w:sz w:val="19"/>
                <w:szCs w:val="19"/>
                <w:lang w:val="en-CA" w:eastAsia="en-CA"/>
              </w:rPr>
            </w:pPr>
            <w:r w:rsidRPr="003B533B">
              <w:rPr>
                <w:sz w:val="19"/>
                <w:szCs w:val="19"/>
                <w:lang w:val="en-CA" w:eastAsia="en-CA"/>
              </w:rPr>
              <w:t>20 per cent disbursement threshold</w:t>
            </w:r>
          </w:p>
        </w:tc>
        <w:tc>
          <w:tcPr>
            <w:tcW w:w="5812" w:type="dxa"/>
            <w:vMerge/>
            <w:shd w:val="clear" w:color="auto" w:fill="auto"/>
          </w:tcPr>
          <w:p w14:paraId="1AEABB89" w14:textId="77777777" w:rsidR="00286EF4" w:rsidRPr="003B533B" w:rsidRDefault="00286EF4" w:rsidP="0014095B">
            <w:pPr>
              <w:rPr>
                <w:sz w:val="19"/>
                <w:szCs w:val="19"/>
                <w:lang w:val="en-CA"/>
              </w:rPr>
            </w:pPr>
          </w:p>
        </w:tc>
      </w:tr>
      <w:tr w:rsidR="00286EF4" w:rsidRPr="003B533B" w14:paraId="339CE781" w14:textId="77777777" w:rsidTr="00AF711F">
        <w:trPr>
          <w:trHeight w:val="874"/>
        </w:trPr>
        <w:tc>
          <w:tcPr>
            <w:tcW w:w="1560" w:type="dxa"/>
            <w:vMerge w:val="restart"/>
            <w:shd w:val="clear" w:color="auto" w:fill="auto"/>
          </w:tcPr>
          <w:p w14:paraId="33B37CAB" w14:textId="6C054D9D" w:rsidR="00286EF4" w:rsidRPr="003B533B" w:rsidRDefault="00286EF4" w:rsidP="0014095B">
            <w:pPr>
              <w:jc w:val="left"/>
              <w:rPr>
                <w:sz w:val="19"/>
                <w:szCs w:val="19"/>
                <w:lang w:val="en-CA" w:eastAsia="en-CA"/>
              </w:rPr>
            </w:pPr>
            <w:r w:rsidRPr="003B533B">
              <w:rPr>
                <w:sz w:val="19"/>
                <w:szCs w:val="19"/>
                <w:lang w:val="en-CA" w:eastAsia="en-CA"/>
              </w:rPr>
              <w:t>Iraq (Stage I)</w:t>
            </w:r>
          </w:p>
        </w:tc>
        <w:tc>
          <w:tcPr>
            <w:tcW w:w="1276" w:type="dxa"/>
            <w:shd w:val="clear" w:color="auto" w:fill="auto"/>
          </w:tcPr>
          <w:p w14:paraId="07C287C3" w14:textId="216485C0" w:rsidR="00286EF4" w:rsidRPr="003B533B" w:rsidRDefault="00286EF4" w:rsidP="0014095B">
            <w:pPr>
              <w:keepNext/>
              <w:keepLines/>
              <w:jc w:val="left"/>
              <w:rPr>
                <w:sz w:val="19"/>
                <w:szCs w:val="19"/>
                <w:lang w:val="en-CA" w:eastAsia="en-CA"/>
              </w:rPr>
            </w:pPr>
            <w:r w:rsidRPr="003B533B">
              <w:rPr>
                <w:sz w:val="19"/>
                <w:szCs w:val="19"/>
                <w:lang w:val="en-CA" w:eastAsia="en-CA"/>
              </w:rPr>
              <w:t>UNEP</w:t>
            </w:r>
          </w:p>
        </w:tc>
        <w:tc>
          <w:tcPr>
            <w:tcW w:w="879" w:type="dxa"/>
            <w:shd w:val="clear" w:color="auto" w:fill="auto"/>
          </w:tcPr>
          <w:p w14:paraId="4CDEFCEF" w14:textId="0BEB0ABA" w:rsidR="00286EF4" w:rsidRPr="003B533B" w:rsidRDefault="00286EF4" w:rsidP="0014095B">
            <w:pPr>
              <w:keepNext/>
              <w:keepLines/>
              <w:jc w:val="center"/>
              <w:rPr>
                <w:sz w:val="19"/>
                <w:szCs w:val="19"/>
                <w:lang w:val="en-CA" w:eastAsia="en-CA"/>
              </w:rPr>
            </w:pPr>
            <w:r w:rsidRPr="003B533B">
              <w:rPr>
                <w:sz w:val="19"/>
                <w:szCs w:val="19"/>
                <w:lang w:val="en-CA" w:eastAsia="en-CA"/>
              </w:rPr>
              <w:t>2017</w:t>
            </w:r>
          </w:p>
        </w:tc>
        <w:tc>
          <w:tcPr>
            <w:tcW w:w="1275" w:type="dxa"/>
            <w:shd w:val="clear" w:color="auto" w:fill="auto"/>
          </w:tcPr>
          <w:p w14:paraId="219A4666" w14:textId="53073D83" w:rsidR="00286EF4" w:rsidRPr="003B533B" w:rsidRDefault="00286EF4" w:rsidP="0014095B">
            <w:pPr>
              <w:keepNext/>
              <w:keepLines/>
              <w:jc w:val="right"/>
              <w:rPr>
                <w:sz w:val="19"/>
                <w:szCs w:val="19"/>
                <w:lang w:val="en-CA" w:eastAsia="en-CA"/>
              </w:rPr>
            </w:pPr>
            <w:r w:rsidRPr="003B533B">
              <w:rPr>
                <w:sz w:val="19"/>
                <w:szCs w:val="19"/>
                <w:lang w:val="en-CA" w:eastAsia="en-CA"/>
              </w:rPr>
              <w:t>247,634</w:t>
            </w:r>
          </w:p>
        </w:tc>
        <w:tc>
          <w:tcPr>
            <w:tcW w:w="3373" w:type="dxa"/>
            <w:shd w:val="clear" w:color="auto" w:fill="auto"/>
          </w:tcPr>
          <w:p w14:paraId="368B8E46" w14:textId="4FAE156D" w:rsidR="00286EF4" w:rsidRPr="003B533B" w:rsidRDefault="00286EF4" w:rsidP="0014095B">
            <w:pPr>
              <w:keepNext/>
              <w:keepLines/>
              <w:rPr>
                <w:sz w:val="19"/>
                <w:szCs w:val="19"/>
                <w:lang w:val="en-CA" w:eastAsia="en-CA"/>
              </w:rPr>
            </w:pPr>
            <w:r w:rsidRPr="003B533B">
              <w:rPr>
                <w:sz w:val="19"/>
                <w:szCs w:val="19"/>
                <w:lang w:val="en-CA" w:eastAsia="en-CA"/>
              </w:rPr>
              <w:t>Government decisions/endorsements/ changes in the NOU/structural change/ signing of agreement/project document</w:t>
            </w:r>
          </w:p>
        </w:tc>
        <w:tc>
          <w:tcPr>
            <w:tcW w:w="5812" w:type="dxa"/>
            <w:vMerge w:val="restart"/>
            <w:shd w:val="clear" w:color="auto" w:fill="auto"/>
          </w:tcPr>
          <w:p w14:paraId="22DDD764" w14:textId="0A99001B" w:rsidR="00286EF4" w:rsidRPr="003B533B" w:rsidRDefault="00286EF4" w:rsidP="0014095B">
            <w:pPr>
              <w:rPr>
                <w:sz w:val="19"/>
                <w:szCs w:val="19"/>
                <w:lang w:val="en-CA"/>
              </w:rPr>
            </w:pPr>
            <w:r w:rsidRPr="003B533B">
              <w:rPr>
                <w:sz w:val="19"/>
                <w:szCs w:val="19"/>
                <w:lang w:val="en-CA"/>
              </w:rPr>
              <w:t>Noting the delays due to structural changes within the Government and that the agreement had not been signed and urging the Government of Iraq to work with UNEP and UNIDO to expedite the signing of the agreement so that the third (2017) tranche of stage I of the HPMP could be submitted to the 83</w:t>
            </w:r>
            <w:r w:rsidRPr="003B533B">
              <w:rPr>
                <w:sz w:val="19"/>
                <w:szCs w:val="19"/>
                <w:vertAlign w:val="superscript"/>
                <w:lang w:val="en-CA"/>
              </w:rPr>
              <w:t>rd</w:t>
            </w:r>
            <w:r w:rsidRPr="003B533B">
              <w:rPr>
                <w:sz w:val="19"/>
                <w:szCs w:val="19"/>
                <w:lang w:val="en-CA"/>
              </w:rPr>
              <w:t xml:space="preserve"> meeting.</w:t>
            </w:r>
          </w:p>
        </w:tc>
      </w:tr>
      <w:tr w:rsidR="00286EF4" w:rsidRPr="003B533B" w14:paraId="203DB175" w14:textId="77777777" w:rsidTr="00AF711F">
        <w:trPr>
          <w:trHeight w:val="874"/>
        </w:trPr>
        <w:tc>
          <w:tcPr>
            <w:tcW w:w="1560" w:type="dxa"/>
            <w:vMerge/>
            <w:shd w:val="clear" w:color="auto" w:fill="auto"/>
          </w:tcPr>
          <w:p w14:paraId="7A40D069" w14:textId="77777777" w:rsidR="00286EF4" w:rsidRPr="003B533B" w:rsidRDefault="00286EF4" w:rsidP="0014095B">
            <w:pPr>
              <w:jc w:val="left"/>
              <w:rPr>
                <w:sz w:val="19"/>
                <w:szCs w:val="19"/>
                <w:lang w:val="en-CA" w:eastAsia="en-CA"/>
              </w:rPr>
            </w:pPr>
          </w:p>
        </w:tc>
        <w:tc>
          <w:tcPr>
            <w:tcW w:w="1276" w:type="dxa"/>
            <w:shd w:val="clear" w:color="auto" w:fill="auto"/>
          </w:tcPr>
          <w:p w14:paraId="238840E3" w14:textId="4DE01AB6" w:rsidR="00286EF4" w:rsidRPr="003B533B" w:rsidRDefault="00286EF4" w:rsidP="0014095B">
            <w:pPr>
              <w:keepNext/>
              <w:keepLines/>
              <w:jc w:val="left"/>
              <w:rPr>
                <w:sz w:val="19"/>
                <w:szCs w:val="19"/>
                <w:lang w:val="en-CA" w:eastAsia="en-CA"/>
              </w:rPr>
            </w:pPr>
            <w:r w:rsidRPr="003B533B">
              <w:rPr>
                <w:sz w:val="19"/>
                <w:szCs w:val="19"/>
                <w:lang w:val="en-CA" w:eastAsia="en-CA"/>
              </w:rPr>
              <w:t>UNIDO</w:t>
            </w:r>
          </w:p>
        </w:tc>
        <w:tc>
          <w:tcPr>
            <w:tcW w:w="879" w:type="dxa"/>
            <w:shd w:val="clear" w:color="auto" w:fill="auto"/>
          </w:tcPr>
          <w:p w14:paraId="3D2DF7F1" w14:textId="55AFCCF1" w:rsidR="00286EF4" w:rsidRPr="003B533B" w:rsidRDefault="00286EF4" w:rsidP="0014095B">
            <w:pPr>
              <w:keepNext/>
              <w:keepLines/>
              <w:jc w:val="center"/>
              <w:rPr>
                <w:sz w:val="19"/>
                <w:szCs w:val="19"/>
                <w:lang w:val="en-CA" w:eastAsia="en-CA"/>
              </w:rPr>
            </w:pPr>
            <w:r w:rsidRPr="003B533B">
              <w:rPr>
                <w:sz w:val="19"/>
                <w:szCs w:val="19"/>
                <w:lang w:val="en-CA" w:eastAsia="en-CA"/>
              </w:rPr>
              <w:t>2017</w:t>
            </w:r>
          </w:p>
        </w:tc>
        <w:tc>
          <w:tcPr>
            <w:tcW w:w="1275" w:type="dxa"/>
            <w:shd w:val="clear" w:color="auto" w:fill="auto"/>
          </w:tcPr>
          <w:p w14:paraId="278DAA39" w14:textId="54560BBF" w:rsidR="00286EF4" w:rsidRPr="003B533B" w:rsidRDefault="00286EF4" w:rsidP="0014095B">
            <w:pPr>
              <w:keepNext/>
              <w:keepLines/>
              <w:jc w:val="right"/>
              <w:rPr>
                <w:sz w:val="19"/>
                <w:szCs w:val="19"/>
                <w:lang w:val="en-CA" w:eastAsia="en-CA"/>
              </w:rPr>
            </w:pPr>
            <w:r w:rsidRPr="003B533B">
              <w:rPr>
                <w:sz w:val="19"/>
                <w:szCs w:val="19"/>
                <w:lang w:val="en-CA" w:eastAsia="en-CA"/>
              </w:rPr>
              <w:t>225,750</w:t>
            </w:r>
          </w:p>
        </w:tc>
        <w:tc>
          <w:tcPr>
            <w:tcW w:w="3373" w:type="dxa"/>
            <w:shd w:val="clear" w:color="auto" w:fill="auto"/>
          </w:tcPr>
          <w:p w14:paraId="00C8261A" w14:textId="01264508" w:rsidR="00286EF4" w:rsidRPr="003B533B" w:rsidRDefault="00286EF4" w:rsidP="0014095B">
            <w:pPr>
              <w:keepNext/>
              <w:keepLines/>
              <w:rPr>
                <w:sz w:val="19"/>
                <w:szCs w:val="19"/>
                <w:lang w:val="en-CA" w:eastAsia="en-CA"/>
              </w:rPr>
            </w:pPr>
            <w:r w:rsidRPr="003B533B">
              <w:rPr>
                <w:sz w:val="19"/>
                <w:szCs w:val="19"/>
                <w:lang w:val="en-CA" w:eastAsia="en-CA"/>
              </w:rPr>
              <w:t>Government decisions/endorsements/ changes in the NOU/structural change/ signing of agreement/project document/ 20 per cent disbursement threshold</w:t>
            </w:r>
          </w:p>
        </w:tc>
        <w:tc>
          <w:tcPr>
            <w:tcW w:w="5812" w:type="dxa"/>
            <w:vMerge/>
            <w:shd w:val="clear" w:color="auto" w:fill="auto"/>
          </w:tcPr>
          <w:p w14:paraId="196A5B4F" w14:textId="77777777" w:rsidR="00286EF4" w:rsidRPr="003B533B" w:rsidRDefault="00286EF4" w:rsidP="0014095B">
            <w:pPr>
              <w:rPr>
                <w:sz w:val="19"/>
                <w:szCs w:val="19"/>
                <w:lang w:val="en-CA"/>
              </w:rPr>
            </w:pPr>
          </w:p>
        </w:tc>
      </w:tr>
      <w:tr w:rsidR="00286EF4" w:rsidRPr="003B533B" w14:paraId="24EC793B" w14:textId="77777777" w:rsidTr="00AF711F">
        <w:trPr>
          <w:trHeight w:val="869"/>
        </w:trPr>
        <w:tc>
          <w:tcPr>
            <w:tcW w:w="1560" w:type="dxa"/>
            <w:vMerge w:val="restart"/>
            <w:shd w:val="clear" w:color="auto" w:fill="auto"/>
          </w:tcPr>
          <w:p w14:paraId="6C10084F" w14:textId="26B6C45C" w:rsidR="00286EF4" w:rsidRPr="003B533B" w:rsidRDefault="00286EF4" w:rsidP="00FC00F0">
            <w:pPr>
              <w:keepNext/>
              <w:keepLines/>
              <w:jc w:val="left"/>
              <w:rPr>
                <w:sz w:val="19"/>
                <w:szCs w:val="19"/>
                <w:lang w:val="en-CA" w:eastAsia="en-CA"/>
              </w:rPr>
            </w:pPr>
            <w:r w:rsidRPr="003B533B">
              <w:rPr>
                <w:sz w:val="19"/>
                <w:szCs w:val="19"/>
                <w:lang w:val="en-CA" w:eastAsia="en-CA"/>
              </w:rPr>
              <w:t>Jordan (Stage II)</w:t>
            </w:r>
          </w:p>
        </w:tc>
        <w:tc>
          <w:tcPr>
            <w:tcW w:w="1276" w:type="dxa"/>
            <w:shd w:val="clear" w:color="auto" w:fill="auto"/>
          </w:tcPr>
          <w:p w14:paraId="3E1B9C96" w14:textId="6C67E9C6" w:rsidR="00286EF4" w:rsidRPr="003B533B" w:rsidRDefault="00286EF4" w:rsidP="00FC00F0">
            <w:pPr>
              <w:keepNext/>
              <w:keepLines/>
              <w:jc w:val="left"/>
              <w:rPr>
                <w:sz w:val="19"/>
                <w:szCs w:val="19"/>
                <w:lang w:val="en-CA" w:eastAsia="en-CA"/>
              </w:rPr>
            </w:pPr>
            <w:r w:rsidRPr="003B533B">
              <w:rPr>
                <w:sz w:val="19"/>
                <w:szCs w:val="19"/>
                <w:lang w:val="en-CA" w:eastAsia="en-CA"/>
              </w:rPr>
              <w:t>World Bank</w:t>
            </w:r>
          </w:p>
        </w:tc>
        <w:tc>
          <w:tcPr>
            <w:tcW w:w="879" w:type="dxa"/>
            <w:shd w:val="clear" w:color="auto" w:fill="auto"/>
          </w:tcPr>
          <w:p w14:paraId="4452F0E5" w14:textId="1E865D40" w:rsidR="00286EF4" w:rsidRPr="003B533B" w:rsidRDefault="00286EF4" w:rsidP="00FC00F0">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3CF06931" w14:textId="23B42A35" w:rsidR="00286EF4" w:rsidRPr="003B533B" w:rsidRDefault="00286EF4" w:rsidP="00FC00F0">
            <w:pPr>
              <w:keepNext/>
              <w:keepLines/>
              <w:jc w:val="right"/>
              <w:rPr>
                <w:sz w:val="19"/>
                <w:szCs w:val="19"/>
                <w:lang w:val="en-CA" w:eastAsia="en-CA"/>
              </w:rPr>
            </w:pPr>
            <w:r w:rsidRPr="003B533B">
              <w:rPr>
                <w:sz w:val="19"/>
                <w:szCs w:val="19"/>
                <w:lang w:val="en-CA" w:eastAsia="en-CA"/>
              </w:rPr>
              <w:t>1,084,503</w:t>
            </w:r>
          </w:p>
        </w:tc>
        <w:tc>
          <w:tcPr>
            <w:tcW w:w="3373" w:type="dxa"/>
            <w:shd w:val="clear" w:color="auto" w:fill="auto"/>
          </w:tcPr>
          <w:p w14:paraId="6E005B22" w14:textId="5147801E" w:rsidR="00286EF4" w:rsidRPr="003B533B" w:rsidRDefault="00286EF4" w:rsidP="00FC00F0">
            <w:pPr>
              <w:keepNext/>
              <w:keepLines/>
              <w:rPr>
                <w:sz w:val="19"/>
                <w:szCs w:val="19"/>
                <w:lang w:val="en-CA" w:eastAsia="en-CA"/>
              </w:rPr>
            </w:pPr>
            <w:r w:rsidRPr="003B533B">
              <w:rPr>
                <w:sz w:val="19"/>
                <w:szCs w:val="19"/>
                <w:lang w:val="en-CA" w:eastAsia="en-CA"/>
              </w:rPr>
              <w:t>Investment component implementation/ 20 per cent disbursement threshold</w:t>
            </w:r>
          </w:p>
        </w:tc>
        <w:tc>
          <w:tcPr>
            <w:tcW w:w="5812" w:type="dxa"/>
            <w:vMerge w:val="restart"/>
            <w:shd w:val="clear" w:color="auto" w:fill="auto"/>
          </w:tcPr>
          <w:p w14:paraId="1EB51B7E" w14:textId="44AD98AA" w:rsidR="00286EF4" w:rsidRPr="003B533B" w:rsidRDefault="00286EF4" w:rsidP="00FC00F0">
            <w:pPr>
              <w:keepNext/>
              <w:keepLines/>
              <w:rPr>
                <w:sz w:val="19"/>
                <w:szCs w:val="19"/>
                <w:lang w:val="en-CA"/>
              </w:rPr>
            </w:pPr>
            <w:r w:rsidRPr="003B533B">
              <w:rPr>
                <w:sz w:val="19"/>
                <w:szCs w:val="19"/>
                <w:lang w:val="en-CA"/>
              </w:rPr>
              <w:t xml:space="preserve">Noting that the overall disbursement rate of the first (2016) tranche of stage II of the HPMP was below the 20 per cent disbursement threshold </w:t>
            </w:r>
            <w:r w:rsidRPr="003B533B">
              <w:rPr>
                <w:sz w:val="19"/>
                <w:szCs w:val="19"/>
                <w:lang w:val="en-CA"/>
              </w:rPr>
              <w:lastRenderedPageBreak/>
              <w:t>and urging the Government of Jordan to work with UNIDO and the World</w:t>
            </w:r>
            <w:r w:rsidR="007C3BB0">
              <w:rPr>
                <w:sz w:val="19"/>
                <w:szCs w:val="19"/>
                <w:lang w:val="en-CA"/>
              </w:rPr>
              <w:t> </w:t>
            </w:r>
            <w:r w:rsidRPr="003B533B">
              <w:rPr>
                <w:sz w:val="19"/>
                <w:szCs w:val="19"/>
                <w:lang w:val="en-CA"/>
              </w:rPr>
              <w:t xml:space="preserve">Bank to expedite implementation so that the second </w:t>
            </w:r>
            <w:r w:rsidRPr="003B533B">
              <w:rPr>
                <w:sz w:val="19"/>
                <w:szCs w:val="19"/>
                <w:lang w:val="en-CA"/>
              </w:rPr>
              <w:t xml:space="preserve">(2018) </w:t>
            </w:r>
            <w:r w:rsidRPr="003B533B">
              <w:rPr>
                <w:sz w:val="19"/>
                <w:szCs w:val="19"/>
                <w:lang w:val="en-CA"/>
              </w:rPr>
              <w:t>tranche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 on the understanding that the 20 per cent disbursement threshold for funding of the previous tranche had been achieved.</w:t>
            </w:r>
          </w:p>
        </w:tc>
      </w:tr>
      <w:tr w:rsidR="00286EF4" w:rsidRPr="003B533B" w14:paraId="799E6054" w14:textId="77777777" w:rsidTr="00AF711F">
        <w:trPr>
          <w:trHeight w:val="869"/>
        </w:trPr>
        <w:tc>
          <w:tcPr>
            <w:tcW w:w="1560" w:type="dxa"/>
            <w:vMerge/>
            <w:shd w:val="clear" w:color="auto" w:fill="auto"/>
          </w:tcPr>
          <w:p w14:paraId="7D72AB00" w14:textId="77777777" w:rsidR="00286EF4" w:rsidRPr="003B533B" w:rsidRDefault="00286EF4" w:rsidP="0014095B">
            <w:pPr>
              <w:jc w:val="left"/>
              <w:rPr>
                <w:sz w:val="19"/>
                <w:szCs w:val="19"/>
                <w:lang w:val="en-CA" w:eastAsia="en-CA"/>
              </w:rPr>
            </w:pPr>
          </w:p>
        </w:tc>
        <w:tc>
          <w:tcPr>
            <w:tcW w:w="1276" w:type="dxa"/>
            <w:shd w:val="clear" w:color="auto" w:fill="auto"/>
          </w:tcPr>
          <w:p w14:paraId="33170820" w14:textId="09BF56D2" w:rsidR="00286EF4" w:rsidRPr="003B533B" w:rsidRDefault="00286EF4" w:rsidP="0014095B">
            <w:pPr>
              <w:keepNext/>
              <w:keepLines/>
              <w:jc w:val="left"/>
              <w:rPr>
                <w:sz w:val="19"/>
                <w:szCs w:val="19"/>
                <w:lang w:val="en-CA" w:eastAsia="en-CA"/>
              </w:rPr>
            </w:pPr>
            <w:r w:rsidRPr="003B533B">
              <w:rPr>
                <w:sz w:val="19"/>
                <w:szCs w:val="19"/>
                <w:lang w:val="en-CA" w:eastAsia="en-CA"/>
              </w:rPr>
              <w:t>UNIDO</w:t>
            </w:r>
          </w:p>
        </w:tc>
        <w:tc>
          <w:tcPr>
            <w:tcW w:w="879" w:type="dxa"/>
            <w:shd w:val="clear" w:color="auto" w:fill="auto"/>
          </w:tcPr>
          <w:p w14:paraId="159F8779" w14:textId="51C3F172" w:rsidR="00286EF4" w:rsidRPr="003B533B" w:rsidRDefault="00286EF4" w:rsidP="0014095B">
            <w:pPr>
              <w:keepNext/>
              <w:keepLines/>
              <w:jc w:val="center"/>
              <w:rPr>
                <w:sz w:val="19"/>
                <w:szCs w:val="19"/>
                <w:lang w:val="en-CA" w:eastAsia="en-CA"/>
              </w:rPr>
            </w:pPr>
            <w:r w:rsidRPr="003B533B">
              <w:rPr>
                <w:sz w:val="19"/>
                <w:szCs w:val="19"/>
                <w:lang w:val="en-CA" w:eastAsia="en-CA"/>
              </w:rPr>
              <w:t>2018</w:t>
            </w:r>
          </w:p>
        </w:tc>
        <w:tc>
          <w:tcPr>
            <w:tcW w:w="1275" w:type="dxa"/>
            <w:shd w:val="clear" w:color="auto" w:fill="auto"/>
          </w:tcPr>
          <w:p w14:paraId="241CEA40" w14:textId="6512731C" w:rsidR="00286EF4" w:rsidRPr="003B533B" w:rsidRDefault="00286EF4" w:rsidP="0014095B">
            <w:pPr>
              <w:keepNext/>
              <w:keepLines/>
              <w:jc w:val="right"/>
              <w:rPr>
                <w:sz w:val="19"/>
                <w:szCs w:val="19"/>
                <w:lang w:val="en-CA" w:eastAsia="en-CA"/>
              </w:rPr>
            </w:pPr>
            <w:r w:rsidRPr="003B533B">
              <w:rPr>
                <w:sz w:val="19"/>
                <w:szCs w:val="19"/>
                <w:lang w:val="en-CA" w:eastAsia="en-CA"/>
              </w:rPr>
              <w:t>578,708</w:t>
            </w:r>
          </w:p>
        </w:tc>
        <w:tc>
          <w:tcPr>
            <w:tcW w:w="3373" w:type="dxa"/>
            <w:shd w:val="clear" w:color="auto" w:fill="auto"/>
          </w:tcPr>
          <w:p w14:paraId="0453630F" w14:textId="34894831" w:rsidR="00286EF4" w:rsidRPr="003B533B" w:rsidRDefault="00286EF4" w:rsidP="0014095B">
            <w:pPr>
              <w:keepNext/>
              <w:keepLines/>
              <w:rPr>
                <w:sz w:val="19"/>
                <w:szCs w:val="19"/>
                <w:lang w:val="en-CA" w:eastAsia="en-CA"/>
              </w:rPr>
            </w:pPr>
            <w:r w:rsidRPr="003B533B">
              <w:rPr>
                <w:sz w:val="19"/>
                <w:szCs w:val="19"/>
                <w:lang w:val="en-CA" w:eastAsia="en-CA"/>
              </w:rPr>
              <w:t>20 per cent disbursement threshold</w:t>
            </w:r>
          </w:p>
        </w:tc>
        <w:tc>
          <w:tcPr>
            <w:tcW w:w="5812" w:type="dxa"/>
            <w:vMerge/>
            <w:shd w:val="clear" w:color="auto" w:fill="auto"/>
          </w:tcPr>
          <w:p w14:paraId="0E0BE6B5" w14:textId="77777777" w:rsidR="00286EF4" w:rsidRPr="003B533B" w:rsidRDefault="00286EF4" w:rsidP="0014095B">
            <w:pPr>
              <w:rPr>
                <w:sz w:val="19"/>
                <w:szCs w:val="19"/>
                <w:lang w:val="en-CA"/>
              </w:rPr>
            </w:pPr>
          </w:p>
        </w:tc>
      </w:tr>
      <w:tr w:rsidR="00286EF4" w:rsidRPr="003B533B" w14:paraId="725E98BE" w14:textId="77777777" w:rsidTr="00AF711F">
        <w:trPr>
          <w:trHeight w:val="1092"/>
        </w:trPr>
        <w:tc>
          <w:tcPr>
            <w:tcW w:w="1560" w:type="dxa"/>
            <w:vMerge w:val="restart"/>
            <w:shd w:val="clear" w:color="auto" w:fill="auto"/>
          </w:tcPr>
          <w:p w14:paraId="6075A2D3" w14:textId="1C3E1EFF" w:rsidR="00286EF4" w:rsidRPr="003B533B" w:rsidRDefault="00286EF4" w:rsidP="0014095B">
            <w:pPr>
              <w:jc w:val="left"/>
              <w:rPr>
                <w:sz w:val="19"/>
                <w:szCs w:val="19"/>
                <w:lang w:val="en-CA" w:eastAsia="en-CA"/>
              </w:rPr>
            </w:pPr>
            <w:r w:rsidRPr="003B533B">
              <w:rPr>
                <w:sz w:val="19"/>
                <w:szCs w:val="19"/>
                <w:lang w:val="en-CA" w:eastAsia="en-CA"/>
              </w:rPr>
              <w:t>Kuwait (Stage I)</w:t>
            </w:r>
          </w:p>
        </w:tc>
        <w:tc>
          <w:tcPr>
            <w:tcW w:w="1276" w:type="dxa"/>
            <w:shd w:val="clear" w:color="auto" w:fill="auto"/>
          </w:tcPr>
          <w:p w14:paraId="1BF4526B" w14:textId="63D992C8" w:rsidR="00286EF4" w:rsidRPr="003B533B" w:rsidRDefault="00286EF4" w:rsidP="0014095B">
            <w:pPr>
              <w:keepNext/>
              <w:keepLines/>
              <w:jc w:val="left"/>
              <w:rPr>
                <w:sz w:val="19"/>
                <w:szCs w:val="19"/>
                <w:lang w:val="en-CA" w:eastAsia="en-CA"/>
              </w:rPr>
            </w:pPr>
            <w:r w:rsidRPr="003B533B">
              <w:rPr>
                <w:sz w:val="19"/>
                <w:szCs w:val="19"/>
                <w:lang w:val="en-CA" w:eastAsia="en-CA"/>
              </w:rPr>
              <w:t>UNEP</w:t>
            </w:r>
          </w:p>
        </w:tc>
        <w:tc>
          <w:tcPr>
            <w:tcW w:w="879" w:type="dxa"/>
            <w:shd w:val="clear" w:color="auto" w:fill="auto"/>
          </w:tcPr>
          <w:p w14:paraId="070A9D94" w14:textId="474884F2" w:rsidR="00286EF4" w:rsidRPr="003B533B" w:rsidRDefault="00286EF4" w:rsidP="0014095B">
            <w:pPr>
              <w:keepNext/>
              <w:keepLines/>
              <w:jc w:val="center"/>
              <w:rPr>
                <w:sz w:val="19"/>
                <w:szCs w:val="19"/>
                <w:lang w:val="en-CA" w:eastAsia="en-CA"/>
              </w:rPr>
            </w:pPr>
            <w:r w:rsidRPr="003B533B">
              <w:rPr>
                <w:sz w:val="19"/>
                <w:szCs w:val="19"/>
                <w:lang w:val="en-CA" w:eastAsia="en-CA"/>
              </w:rPr>
              <w:t>2016</w:t>
            </w:r>
          </w:p>
        </w:tc>
        <w:tc>
          <w:tcPr>
            <w:tcW w:w="1275" w:type="dxa"/>
            <w:shd w:val="clear" w:color="auto" w:fill="auto"/>
          </w:tcPr>
          <w:p w14:paraId="3D4BEDEA" w14:textId="442109A9" w:rsidR="00286EF4" w:rsidRPr="003B533B" w:rsidRDefault="00286EF4" w:rsidP="0014095B">
            <w:pPr>
              <w:keepNext/>
              <w:keepLines/>
              <w:jc w:val="right"/>
              <w:rPr>
                <w:sz w:val="19"/>
                <w:szCs w:val="19"/>
                <w:lang w:val="en-CA" w:eastAsia="en-CA"/>
              </w:rPr>
            </w:pPr>
            <w:r w:rsidRPr="003B533B">
              <w:rPr>
                <w:sz w:val="19"/>
                <w:szCs w:val="19"/>
                <w:lang w:val="en-CA" w:eastAsia="en-CA"/>
              </w:rPr>
              <w:t>371,703</w:t>
            </w:r>
          </w:p>
        </w:tc>
        <w:tc>
          <w:tcPr>
            <w:tcW w:w="3373" w:type="dxa"/>
            <w:shd w:val="clear" w:color="auto" w:fill="auto"/>
          </w:tcPr>
          <w:p w14:paraId="24F2F7DC" w14:textId="445DB547" w:rsidR="00286EF4" w:rsidRPr="003B533B" w:rsidRDefault="00286EF4" w:rsidP="0014095B">
            <w:pPr>
              <w:keepNext/>
              <w:keepLines/>
              <w:rPr>
                <w:sz w:val="19"/>
                <w:szCs w:val="19"/>
                <w:lang w:val="en-CA" w:eastAsia="en-CA"/>
              </w:rPr>
            </w:pPr>
            <w:r w:rsidRPr="003B533B">
              <w:rPr>
                <w:sz w:val="19"/>
                <w:szCs w:val="19"/>
                <w:lang w:val="en-CA" w:eastAsia="en-CA"/>
              </w:rPr>
              <w:t>Submission of progress and financial reports/20 per cent disbursement threshold</w:t>
            </w:r>
          </w:p>
        </w:tc>
        <w:tc>
          <w:tcPr>
            <w:tcW w:w="5812" w:type="dxa"/>
            <w:vMerge w:val="restart"/>
            <w:shd w:val="clear" w:color="auto" w:fill="auto"/>
          </w:tcPr>
          <w:p w14:paraId="181B8233" w14:textId="0FC1BC9B" w:rsidR="00286EF4" w:rsidRPr="003B533B" w:rsidRDefault="0094629C" w:rsidP="00314E77">
            <w:pPr>
              <w:rPr>
                <w:sz w:val="19"/>
                <w:szCs w:val="19"/>
                <w:lang w:val="en-CA"/>
              </w:rPr>
            </w:pPr>
            <w:r w:rsidRPr="003B533B">
              <w:rPr>
                <w:sz w:val="19"/>
                <w:szCs w:val="19"/>
                <w:lang w:val="en-CA"/>
              </w:rPr>
              <w:t>Noting the non-</w:t>
            </w:r>
            <w:r w:rsidR="00286EF4" w:rsidRPr="003B533B">
              <w:rPr>
                <w:sz w:val="19"/>
                <w:szCs w:val="19"/>
                <w:lang w:val="en-CA"/>
              </w:rPr>
              <w:t xml:space="preserve">submission of the progress and financial reports and that the overall disbursement rate of the second (2014) tranche of the HPMP was below the 20 per cent disbursement threshold and urging the Government of Kuwait to submit the required progress and financial reports and to work with </w:t>
            </w:r>
            <w:r w:rsidR="00286EF4" w:rsidRPr="003B533B">
              <w:rPr>
                <w:sz w:val="19"/>
                <w:szCs w:val="19"/>
                <w:lang w:val="en-CA" w:eastAsia="en-CA"/>
              </w:rPr>
              <w:t>UNEP and UNIDO</w:t>
            </w:r>
            <w:r w:rsidR="00286EF4" w:rsidRPr="003B533B">
              <w:rPr>
                <w:sz w:val="19"/>
                <w:szCs w:val="19"/>
                <w:lang w:val="en-CA"/>
              </w:rPr>
              <w:t xml:space="preserve"> so that the third (2016) tranche of stage I of the HPMP could be submitted to the 83</w:t>
            </w:r>
            <w:r w:rsidR="00286EF4" w:rsidRPr="003B533B">
              <w:rPr>
                <w:sz w:val="19"/>
                <w:szCs w:val="19"/>
                <w:vertAlign w:val="superscript"/>
                <w:lang w:val="en-CA"/>
              </w:rPr>
              <w:t>rd</w:t>
            </w:r>
            <w:r w:rsidR="00286EF4" w:rsidRPr="003B533B">
              <w:rPr>
                <w:sz w:val="19"/>
                <w:szCs w:val="19"/>
                <w:lang w:val="en-CA"/>
              </w:rPr>
              <w:t xml:space="preserve"> meeting with a revised plan of action to take into account the reallocation of the 2016</w:t>
            </w:r>
            <w:r w:rsidR="0014095B" w:rsidRPr="003B533B">
              <w:rPr>
                <w:sz w:val="19"/>
                <w:szCs w:val="19"/>
                <w:lang w:val="en-CA"/>
              </w:rPr>
              <w:t xml:space="preserve"> </w:t>
            </w:r>
            <w:r w:rsidR="00286EF4" w:rsidRPr="003B533B">
              <w:rPr>
                <w:sz w:val="19"/>
                <w:szCs w:val="19"/>
                <w:lang w:val="en-CA"/>
              </w:rPr>
              <w:t>and subsequent tranches, on the understanding that the 20 per cent disbursement threshold for funding of the previous tranche had been achieved.</w:t>
            </w:r>
          </w:p>
        </w:tc>
      </w:tr>
      <w:tr w:rsidR="00286EF4" w:rsidRPr="003B533B" w14:paraId="06310F6D" w14:textId="77777777" w:rsidTr="00AF711F">
        <w:trPr>
          <w:trHeight w:val="1092"/>
        </w:trPr>
        <w:tc>
          <w:tcPr>
            <w:tcW w:w="1560" w:type="dxa"/>
            <w:vMerge/>
            <w:shd w:val="clear" w:color="auto" w:fill="auto"/>
          </w:tcPr>
          <w:p w14:paraId="4A96DEF5" w14:textId="77777777" w:rsidR="00286EF4" w:rsidRPr="003B533B" w:rsidRDefault="00286EF4" w:rsidP="0014095B">
            <w:pPr>
              <w:jc w:val="left"/>
              <w:rPr>
                <w:sz w:val="19"/>
                <w:szCs w:val="19"/>
                <w:lang w:val="en-CA" w:eastAsia="en-CA"/>
              </w:rPr>
            </w:pPr>
          </w:p>
        </w:tc>
        <w:tc>
          <w:tcPr>
            <w:tcW w:w="1276" w:type="dxa"/>
            <w:shd w:val="clear" w:color="auto" w:fill="auto"/>
          </w:tcPr>
          <w:p w14:paraId="18F430C7" w14:textId="2CE0F3CD" w:rsidR="00286EF4" w:rsidRPr="003B533B" w:rsidRDefault="00286EF4" w:rsidP="0014095B">
            <w:pPr>
              <w:keepNext/>
              <w:keepLines/>
              <w:jc w:val="left"/>
              <w:rPr>
                <w:sz w:val="19"/>
                <w:szCs w:val="19"/>
                <w:lang w:val="en-CA" w:eastAsia="en-CA"/>
              </w:rPr>
            </w:pPr>
            <w:r w:rsidRPr="003B533B">
              <w:rPr>
                <w:sz w:val="19"/>
                <w:szCs w:val="19"/>
                <w:lang w:val="en-CA" w:eastAsia="en-CA"/>
              </w:rPr>
              <w:t>UNIDO</w:t>
            </w:r>
          </w:p>
        </w:tc>
        <w:tc>
          <w:tcPr>
            <w:tcW w:w="879" w:type="dxa"/>
            <w:shd w:val="clear" w:color="auto" w:fill="auto"/>
          </w:tcPr>
          <w:p w14:paraId="6AFFF89D" w14:textId="427C78C1" w:rsidR="00286EF4" w:rsidRPr="003B533B" w:rsidRDefault="00286EF4" w:rsidP="0014095B">
            <w:pPr>
              <w:keepNext/>
              <w:keepLines/>
              <w:jc w:val="center"/>
              <w:rPr>
                <w:sz w:val="19"/>
                <w:szCs w:val="19"/>
                <w:lang w:val="en-CA" w:eastAsia="en-CA"/>
              </w:rPr>
            </w:pPr>
            <w:r w:rsidRPr="003B533B">
              <w:rPr>
                <w:sz w:val="19"/>
                <w:szCs w:val="19"/>
                <w:lang w:val="en-CA" w:eastAsia="en-CA"/>
              </w:rPr>
              <w:t>2016</w:t>
            </w:r>
          </w:p>
        </w:tc>
        <w:tc>
          <w:tcPr>
            <w:tcW w:w="1275" w:type="dxa"/>
            <w:shd w:val="clear" w:color="auto" w:fill="auto"/>
          </w:tcPr>
          <w:p w14:paraId="78F19352" w14:textId="3C314E38" w:rsidR="00286EF4" w:rsidRPr="003B533B" w:rsidRDefault="00286EF4" w:rsidP="0014095B">
            <w:pPr>
              <w:keepNext/>
              <w:keepLines/>
              <w:jc w:val="right"/>
              <w:rPr>
                <w:sz w:val="19"/>
                <w:szCs w:val="19"/>
                <w:lang w:val="en-CA" w:eastAsia="en-CA"/>
              </w:rPr>
            </w:pPr>
            <w:r w:rsidRPr="003B533B">
              <w:rPr>
                <w:sz w:val="19"/>
                <w:szCs w:val="19"/>
                <w:lang w:val="en-CA" w:eastAsia="en-CA"/>
              </w:rPr>
              <w:t>1,128,684</w:t>
            </w:r>
          </w:p>
        </w:tc>
        <w:tc>
          <w:tcPr>
            <w:tcW w:w="3373" w:type="dxa"/>
            <w:shd w:val="clear" w:color="auto" w:fill="auto"/>
          </w:tcPr>
          <w:p w14:paraId="66ADAD65" w14:textId="6261CEEF" w:rsidR="00286EF4" w:rsidRPr="003B533B" w:rsidRDefault="00286EF4" w:rsidP="0014095B">
            <w:pPr>
              <w:keepNext/>
              <w:keepLines/>
              <w:rPr>
                <w:sz w:val="19"/>
                <w:szCs w:val="19"/>
                <w:lang w:val="en-CA" w:eastAsia="en-CA"/>
              </w:rPr>
            </w:pPr>
            <w:r w:rsidRPr="003B533B">
              <w:rPr>
                <w:sz w:val="19"/>
                <w:szCs w:val="19"/>
                <w:lang w:val="en-CA" w:eastAsia="en-CA"/>
              </w:rPr>
              <w:t>Government decisions/endorsements/ changes in the NOU/structural change/ submission of progress and financial reports/20 per cent disbursement threshold</w:t>
            </w:r>
          </w:p>
        </w:tc>
        <w:tc>
          <w:tcPr>
            <w:tcW w:w="5812" w:type="dxa"/>
            <w:vMerge/>
            <w:shd w:val="clear" w:color="auto" w:fill="auto"/>
          </w:tcPr>
          <w:p w14:paraId="2FE1D83B" w14:textId="77777777" w:rsidR="00286EF4" w:rsidRPr="003B533B" w:rsidRDefault="00286EF4" w:rsidP="0014095B">
            <w:pPr>
              <w:rPr>
                <w:sz w:val="19"/>
                <w:szCs w:val="19"/>
                <w:lang w:val="en-CA"/>
              </w:rPr>
            </w:pPr>
          </w:p>
        </w:tc>
      </w:tr>
      <w:tr w:rsidR="00286EF4" w:rsidRPr="003B533B" w14:paraId="5C3B1690" w14:textId="77777777" w:rsidTr="002C6635">
        <w:trPr>
          <w:trHeight w:val="1028"/>
        </w:trPr>
        <w:tc>
          <w:tcPr>
            <w:tcW w:w="1560" w:type="dxa"/>
            <w:shd w:val="clear" w:color="auto" w:fill="auto"/>
          </w:tcPr>
          <w:p w14:paraId="0E97D36F" w14:textId="77777777" w:rsidR="00286EF4" w:rsidRPr="003B533B" w:rsidRDefault="00286EF4" w:rsidP="0014095B">
            <w:pPr>
              <w:jc w:val="left"/>
              <w:rPr>
                <w:sz w:val="19"/>
                <w:szCs w:val="19"/>
                <w:lang w:val="en-CA" w:eastAsia="en-CA"/>
              </w:rPr>
            </w:pPr>
            <w:r w:rsidRPr="003B533B">
              <w:rPr>
                <w:sz w:val="19"/>
                <w:szCs w:val="19"/>
                <w:lang w:val="en-CA" w:eastAsia="en-CA"/>
              </w:rPr>
              <w:t>Mali (Stage I)</w:t>
            </w:r>
          </w:p>
        </w:tc>
        <w:tc>
          <w:tcPr>
            <w:tcW w:w="1276" w:type="dxa"/>
            <w:shd w:val="clear" w:color="auto" w:fill="auto"/>
          </w:tcPr>
          <w:p w14:paraId="7196F18F"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shd w:val="clear" w:color="auto" w:fill="auto"/>
          </w:tcPr>
          <w:p w14:paraId="46BDE98B" w14:textId="77777777"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shd w:val="clear" w:color="auto" w:fill="auto"/>
          </w:tcPr>
          <w:p w14:paraId="7EB5573A" w14:textId="77777777" w:rsidR="00286EF4" w:rsidRPr="003B533B" w:rsidRDefault="00286EF4" w:rsidP="0014095B">
            <w:pPr>
              <w:jc w:val="right"/>
              <w:rPr>
                <w:sz w:val="19"/>
                <w:szCs w:val="19"/>
                <w:lang w:val="en-CA" w:eastAsia="en-CA"/>
              </w:rPr>
            </w:pPr>
            <w:r w:rsidRPr="003B533B">
              <w:rPr>
                <w:sz w:val="19"/>
                <w:szCs w:val="19"/>
                <w:lang w:val="en-CA" w:eastAsia="en-CA"/>
              </w:rPr>
              <w:t>58,760</w:t>
            </w:r>
          </w:p>
        </w:tc>
        <w:tc>
          <w:tcPr>
            <w:tcW w:w="3373" w:type="dxa"/>
            <w:shd w:val="clear" w:color="auto" w:fill="auto"/>
          </w:tcPr>
          <w:p w14:paraId="0DE05531" w14:textId="6926B02A" w:rsidR="00286EF4" w:rsidRPr="003B533B" w:rsidRDefault="00286EF4" w:rsidP="0014095B">
            <w:pPr>
              <w:rPr>
                <w:sz w:val="19"/>
                <w:szCs w:val="19"/>
                <w:lang w:val="en-CA" w:eastAsia="en-CA"/>
              </w:rPr>
            </w:pPr>
            <w:r w:rsidRPr="003B533B">
              <w:rPr>
                <w:sz w:val="19"/>
                <w:szCs w:val="19"/>
                <w:lang w:val="en-CA" w:eastAsia="en-CA"/>
              </w:rPr>
              <w:t>Sufficient funds from previous tranche approved/submission of progress and financial reports</w:t>
            </w:r>
          </w:p>
        </w:tc>
        <w:tc>
          <w:tcPr>
            <w:tcW w:w="5812" w:type="dxa"/>
            <w:shd w:val="clear" w:color="auto" w:fill="auto"/>
          </w:tcPr>
          <w:p w14:paraId="7230FBDC" w14:textId="4977C5DB" w:rsidR="00286EF4" w:rsidRPr="003B533B" w:rsidRDefault="00286EF4" w:rsidP="00314E77">
            <w:pPr>
              <w:rPr>
                <w:sz w:val="19"/>
                <w:szCs w:val="19"/>
                <w:lang w:val="en-CA"/>
              </w:rPr>
            </w:pPr>
            <w:r w:rsidRPr="003B533B">
              <w:rPr>
                <w:sz w:val="19"/>
                <w:szCs w:val="19"/>
                <w:lang w:val="en-CA"/>
              </w:rPr>
              <w:t>Not</w:t>
            </w:r>
            <w:r w:rsidR="0094629C" w:rsidRPr="003B533B">
              <w:rPr>
                <w:sz w:val="19"/>
                <w:szCs w:val="19"/>
                <w:lang w:val="en-CA"/>
              </w:rPr>
              <w:t>ing the non-</w:t>
            </w:r>
            <w:r w:rsidRPr="003B533B">
              <w:rPr>
                <w:sz w:val="19"/>
                <w:szCs w:val="19"/>
                <w:lang w:val="en-CA"/>
              </w:rPr>
              <w:t xml:space="preserve">submission of the progress and financial reports and urging the Government of Mali to submit the required progress and financial reports and to work with </w:t>
            </w:r>
            <w:r w:rsidRPr="003B533B">
              <w:rPr>
                <w:sz w:val="19"/>
                <w:szCs w:val="19"/>
                <w:lang w:val="en-CA" w:eastAsia="en-CA"/>
              </w:rPr>
              <w:t xml:space="preserve">UNEP </w:t>
            </w:r>
            <w:r w:rsidRPr="003B533B">
              <w:rPr>
                <w:sz w:val="19"/>
                <w:szCs w:val="19"/>
                <w:lang w:val="en-CA"/>
              </w:rPr>
              <w:t>so that the fourth (2018) tranche of stage</w:t>
            </w:r>
            <w:r w:rsidR="00FC00F0" w:rsidRPr="003B533B">
              <w:rPr>
                <w:sz w:val="19"/>
                <w:szCs w:val="19"/>
                <w:lang w:val="en-CA"/>
              </w:rPr>
              <w:t> </w:t>
            </w:r>
            <w:r w:rsidRPr="003B533B">
              <w:rPr>
                <w:sz w:val="19"/>
                <w:szCs w:val="19"/>
                <w:lang w:val="en-CA"/>
              </w:rPr>
              <w:t>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w:t>
            </w:r>
          </w:p>
        </w:tc>
      </w:tr>
      <w:tr w:rsidR="00286EF4" w:rsidRPr="003B533B" w14:paraId="0F458F5E" w14:textId="77777777" w:rsidTr="00807919">
        <w:trPr>
          <w:trHeight w:val="71"/>
        </w:trPr>
        <w:tc>
          <w:tcPr>
            <w:tcW w:w="1560" w:type="dxa"/>
            <w:shd w:val="clear" w:color="auto" w:fill="auto"/>
          </w:tcPr>
          <w:p w14:paraId="24902747" w14:textId="77777777" w:rsidR="00286EF4" w:rsidRPr="003B533B" w:rsidRDefault="00286EF4" w:rsidP="0014095B">
            <w:pPr>
              <w:jc w:val="left"/>
              <w:rPr>
                <w:sz w:val="19"/>
                <w:szCs w:val="19"/>
                <w:lang w:val="en-CA" w:eastAsia="en-CA"/>
              </w:rPr>
            </w:pPr>
            <w:r w:rsidRPr="003B533B">
              <w:rPr>
                <w:sz w:val="19"/>
                <w:szCs w:val="19"/>
                <w:lang w:val="en-CA" w:eastAsia="en-CA"/>
              </w:rPr>
              <w:t xml:space="preserve">Morocco </w:t>
            </w:r>
          </w:p>
          <w:p w14:paraId="422B4EE7" w14:textId="3AD1FAD2" w:rsidR="00286EF4" w:rsidRPr="003B533B" w:rsidRDefault="00286EF4" w:rsidP="0014095B">
            <w:pPr>
              <w:jc w:val="left"/>
              <w:rPr>
                <w:sz w:val="19"/>
                <w:szCs w:val="19"/>
                <w:lang w:val="en-CA" w:eastAsia="en-CA"/>
              </w:rPr>
            </w:pPr>
            <w:r w:rsidRPr="003B533B">
              <w:rPr>
                <w:sz w:val="19"/>
                <w:szCs w:val="19"/>
                <w:lang w:val="en-CA" w:eastAsia="en-CA"/>
              </w:rPr>
              <w:t>(Stage I)</w:t>
            </w:r>
          </w:p>
        </w:tc>
        <w:tc>
          <w:tcPr>
            <w:tcW w:w="1276" w:type="dxa"/>
            <w:shd w:val="clear" w:color="auto" w:fill="auto"/>
          </w:tcPr>
          <w:p w14:paraId="127ED3AE" w14:textId="46AC83D4" w:rsidR="00286EF4" w:rsidRPr="003B533B" w:rsidRDefault="00286EF4" w:rsidP="0014095B">
            <w:pPr>
              <w:jc w:val="left"/>
              <w:rPr>
                <w:sz w:val="19"/>
                <w:szCs w:val="19"/>
                <w:lang w:val="en-CA" w:eastAsia="en-CA"/>
              </w:rPr>
            </w:pPr>
            <w:r w:rsidRPr="003B533B">
              <w:rPr>
                <w:sz w:val="19"/>
                <w:szCs w:val="19"/>
                <w:lang w:val="en-CA" w:eastAsia="en-CA"/>
              </w:rPr>
              <w:t>UNIDO</w:t>
            </w:r>
          </w:p>
        </w:tc>
        <w:tc>
          <w:tcPr>
            <w:tcW w:w="879" w:type="dxa"/>
            <w:shd w:val="clear" w:color="auto" w:fill="auto"/>
          </w:tcPr>
          <w:p w14:paraId="268B72EF" w14:textId="09D1E05C" w:rsidR="00286EF4" w:rsidRPr="003B533B" w:rsidRDefault="00286EF4" w:rsidP="0014095B">
            <w:pPr>
              <w:jc w:val="center"/>
              <w:rPr>
                <w:sz w:val="19"/>
                <w:szCs w:val="19"/>
                <w:lang w:val="en-CA" w:eastAsia="en-CA"/>
              </w:rPr>
            </w:pPr>
            <w:r w:rsidRPr="003B533B">
              <w:rPr>
                <w:sz w:val="19"/>
                <w:szCs w:val="19"/>
                <w:lang w:val="en-CA" w:eastAsia="en-CA"/>
              </w:rPr>
              <w:t>2017</w:t>
            </w:r>
          </w:p>
        </w:tc>
        <w:tc>
          <w:tcPr>
            <w:tcW w:w="1275" w:type="dxa"/>
            <w:shd w:val="clear" w:color="auto" w:fill="auto"/>
          </w:tcPr>
          <w:p w14:paraId="4EC5018E" w14:textId="5398D661" w:rsidR="00286EF4" w:rsidRPr="003B533B" w:rsidRDefault="00286EF4" w:rsidP="0014095B">
            <w:pPr>
              <w:jc w:val="right"/>
              <w:rPr>
                <w:sz w:val="19"/>
                <w:szCs w:val="19"/>
                <w:lang w:val="en-CA" w:eastAsia="en-CA"/>
              </w:rPr>
            </w:pPr>
            <w:r w:rsidRPr="003B533B">
              <w:rPr>
                <w:sz w:val="19"/>
                <w:szCs w:val="19"/>
                <w:lang w:val="en-CA" w:eastAsia="en-CA"/>
              </w:rPr>
              <w:t>37,625</w:t>
            </w:r>
          </w:p>
        </w:tc>
        <w:tc>
          <w:tcPr>
            <w:tcW w:w="3373" w:type="dxa"/>
            <w:shd w:val="clear" w:color="auto" w:fill="auto"/>
          </w:tcPr>
          <w:p w14:paraId="76D99068" w14:textId="34F4D7DD" w:rsidR="00286EF4" w:rsidRPr="003B533B" w:rsidRDefault="00286EF4" w:rsidP="0014095B">
            <w:pPr>
              <w:rPr>
                <w:sz w:val="19"/>
                <w:szCs w:val="19"/>
                <w:lang w:val="en-CA" w:eastAsia="en-CA"/>
              </w:rPr>
            </w:pPr>
            <w:r w:rsidRPr="003B533B">
              <w:rPr>
                <w:sz w:val="19"/>
                <w:szCs w:val="19"/>
                <w:lang w:val="en-CA" w:eastAsia="en-CA"/>
              </w:rPr>
              <w:t>20 per cent disbursement threshold</w:t>
            </w:r>
          </w:p>
        </w:tc>
        <w:tc>
          <w:tcPr>
            <w:tcW w:w="5812" w:type="dxa"/>
            <w:shd w:val="clear" w:color="auto" w:fill="auto"/>
          </w:tcPr>
          <w:p w14:paraId="1385CE3C" w14:textId="75D056E4" w:rsidR="00286EF4" w:rsidRPr="003B533B" w:rsidRDefault="004B72B2" w:rsidP="007C2AED">
            <w:pPr>
              <w:rPr>
                <w:sz w:val="19"/>
                <w:szCs w:val="19"/>
                <w:lang w:val="en-CA"/>
              </w:rPr>
            </w:pPr>
            <w:r w:rsidRPr="003B533B">
              <w:rPr>
                <w:sz w:val="19"/>
                <w:szCs w:val="19"/>
              </w:rPr>
              <w:t>Noting that the third (2017) tranche of stage I of the HPMP submitted to the 82</w:t>
            </w:r>
            <w:r w:rsidRPr="003B533B">
              <w:rPr>
                <w:sz w:val="19"/>
                <w:szCs w:val="19"/>
                <w:vertAlign w:val="superscript"/>
              </w:rPr>
              <w:t>nd</w:t>
            </w:r>
            <w:r w:rsidRPr="003B533B">
              <w:rPr>
                <w:sz w:val="19"/>
                <w:szCs w:val="19"/>
              </w:rPr>
              <w:t xml:space="preserve"> meeting had been withdrawn, and urging the Government of Morocco to work with UNIDO so that the third (2017) tranche of stage I of the HPMP could be submitted to the 83</w:t>
            </w:r>
            <w:r w:rsidRPr="003B533B">
              <w:rPr>
                <w:sz w:val="19"/>
                <w:szCs w:val="19"/>
                <w:vertAlign w:val="superscript"/>
              </w:rPr>
              <w:t>rd</w:t>
            </w:r>
            <w:r w:rsidRPr="003B533B">
              <w:rPr>
                <w:sz w:val="19"/>
                <w:szCs w:val="19"/>
              </w:rPr>
              <w:t xml:space="preserve"> meeting, on the understanding that </w:t>
            </w:r>
            <w:r w:rsidRPr="003B533B">
              <w:rPr>
                <w:color w:val="000000"/>
                <w:sz w:val="19"/>
                <w:szCs w:val="19"/>
              </w:rPr>
              <w:t xml:space="preserve">the Agreement </w:t>
            </w:r>
            <w:r w:rsidRPr="003B533B">
              <w:rPr>
                <w:sz w:val="19"/>
                <w:szCs w:val="19"/>
              </w:rPr>
              <w:t xml:space="preserve">between the Government and the Executive Committee would be revised to reflect the change of the baseline from </w:t>
            </w:r>
            <w:r w:rsidRPr="003B533B">
              <w:rPr>
                <w:color w:val="000000"/>
                <w:sz w:val="19"/>
                <w:szCs w:val="19"/>
              </w:rPr>
              <w:t xml:space="preserve">59.67 ODP tonnes to 51.35 ODP tonnes, </w:t>
            </w:r>
            <w:r w:rsidRPr="003B533B">
              <w:rPr>
                <w:sz w:val="19"/>
                <w:szCs w:val="19"/>
              </w:rPr>
              <w:t xml:space="preserve">the starting point and the maximum allowable level of consumption; the action plan would be revised </w:t>
            </w:r>
            <w:r w:rsidR="004D1192" w:rsidRPr="003B533B">
              <w:rPr>
                <w:sz w:val="19"/>
                <w:szCs w:val="19"/>
              </w:rPr>
              <w:t xml:space="preserve">taking into account the </w:t>
            </w:r>
            <w:r w:rsidRPr="003B533B">
              <w:rPr>
                <w:sz w:val="19"/>
                <w:szCs w:val="19"/>
              </w:rPr>
              <w:t xml:space="preserve">zero HCFC-141b consumption </w:t>
            </w:r>
            <w:r w:rsidR="004D1192" w:rsidRPr="003B533B">
              <w:rPr>
                <w:sz w:val="19"/>
                <w:szCs w:val="19"/>
              </w:rPr>
              <w:t xml:space="preserve">in the country </w:t>
            </w:r>
            <w:r w:rsidRPr="003B533B">
              <w:rPr>
                <w:sz w:val="19"/>
                <w:szCs w:val="19"/>
              </w:rPr>
              <w:t xml:space="preserve">since </w:t>
            </w:r>
            <w:r w:rsidR="007C2AED" w:rsidRPr="003B533B">
              <w:rPr>
                <w:sz w:val="19"/>
                <w:szCs w:val="19"/>
              </w:rPr>
              <w:t>2014</w:t>
            </w:r>
            <w:r w:rsidR="00314E77" w:rsidRPr="003B533B">
              <w:rPr>
                <w:sz w:val="19"/>
                <w:szCs w:val="19"/>
              </w:rPr>
              <w:t xml:space="preserve"> and that </w:t>
            </w:r>
            <w:r w:rsidRPr="003B533B">
              <w:rPr>
                <w:sz w:val="19"/>
                <w:szCs w:val="19"/>
              </w:rPr>
              <w:t>the import ban on</w:t>
            </w:r>
            <w:r w:rsidR="00FD2621" w:rsidRPr="003B533B">
              <w:rPr>
                <w:sz w:val="19"/>
                <w:szCs w:val="19"/>
              </w:rPr>
              <w:t xml:space="preserve"> pure HCFC-141b</w:t>
            </w:r>
            <w:r w:rsidRPr="003B533B">
              <w:rPr>
                <w:sz w:val="19"/>
                <w:szCs w:val="19"/>
              </w:rPr>
              <w:t xml:space="preserve"> </w:t>
            </w:r>
            <w:r w:rsidR="00314E77" w:rsidRPr="003B533B">
              <w:rPr>
                <w:sz w:val="19"/>
                <w:szCs w:val="19"/>
              </w:rPr>
              <w:t xml:space="preserve">enter into force </w:t>
            </w:r>
            <w:r w:rsidR="00FD2621" w:rsidRPr="003B533B">
              <w:rPr>
                <w:sz w:val="19"/>
                <w:szCs w:val="19"/>
              </w:rPr>
              <w:t xml:space="preserve">on </w:t>
            </w:r>
            <w:r w:rsidRPr="003B533B">
              <w:rPr>
                <w:sz w:val="19"/>
                <w:szCs w:val="19"/>
              </w:rPr>
              <w:t>1 January 2015; and the 20 per cent disbursement threshold for funding of the previous tranche had been achieved.</w:t>
            </w:r>
          </w:p>
        </w:tc>
      </w:tr>
      <w:tr w:rsidR="00286EF4" w:rsidRPr="003B533B" w14:paraId="4E97A1D6" w14:textId="77777777" w:rsidTr="00E776FD">
        <w:trPr>
          <w:trHeight w:val="983"/>
        </w:trPr>
        <w:tc>
          <w:tcPr>
            <w:tcW w:w="1560" w:type="dxa"/>
            <w:vMerge w:val="restart"/>
            <w:hideMark/>
          </w:tcPr>
          <w:p w14:paraId="61DD8507" w14:textId="77777777" w:rsidR="00286EF4" w:rsidRPr="003B533B" w:rsidRDefault="00286EF4" w:rsidP="0014095B">
            <w:pPr>
              <w:jc w:val="left"/>
              <w:rPr>
                <w:sz w:val="19"/>
                <w:szCs w:val="19"/>
                <w:lang w:val="en-CA" w:eastAsia="en-CA"/>
              </w:rPr>
            </w:pPr>
            <w:r w:rsidRPr="003B533B">
              <w:rPr>
                <w:sz w:val="19"/>
                <w:szCs w:val="19"/>
                <w:lang w:val="en-CA" w:eastAsia="en-CA"/>
              </w:rPr>
              <w:lastRenderedPageBreak/>
              <w:t>Mozambique (Stage I)</w:t>
            </w:r>
          </w:p>
          <w:p w14:paraId="0A453AE8" w14:textId="77777777" w:rsidR="00286EF4" w:rsidRPr="003B533B" w:rsidRDefault="00286EF4" w:rsidP="0014095B">
            <w:pPr>
              <w:jc w:val="left"/>
              <w:rPr>
                <w:sz w:val="19"/>
                <w:szCs w:val="19"/>
                <w:lang w:val="en-CA" w:eastAsia="en-CA"/>
              </w:rPr>
            </w:pPr>
          </w:p>
        </w:tc>
        <w:tc>
          <w:tcPr>
            <w:tcW w:w="1276" w:type="dxa"/>
            <w:hideMark/>
          </w:tcPr>
          <w:p w14:paraId="1CF19633"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hideMark/>
          </w:tcPr>
          <w:p w14:paraId="7B1BD3AD" w14:textId="77777777"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hideMark/>
          </w:tcPr>
          <w:p w14:paraId="75949A0B" w14:textId="77777777" w:rsidR="00286EF4" w:rsidRPr="003B533B" w:rsidRDefault="00286EF4" w:rsidP="0014095B">
            <w:pPr>
              <w:jc w:val="right"/>
              <w:rPr>
                <w:sz w:val="19"/>
                <w:szCs w:val="19"/>
                <w:lang w:val="en-CA" w:eastAsia="en-CA"/>
              </w:rPr>
            </w:pPr>
            <w:r w:rsidRPr="003B533B">
              <w:rPr>
                <w:sz w:val="19"/>
                <w:szCs w:val="19"/>
                <w:lang w:val="en-CA" w:eastAsia="en-CA"/>
              </w:rPr>
              <w:t>33,900</w:t>
            </w:r>
          </w:p>
        </w:tc>
        <w:tc>
          <w:tcPr>
            <w:tcW w:w="3373" w:type="dxa"/>
            <w:hideMark/>
          </w:tcPr>
          <w:p w14:paraId="60E67E1F" w14:textId="095198AC" w:rsidR="00286EF4" w:rsidRPr="003B533B" w:rsidRDefault="00286EF4" w:rsidP="0014095B">
            <w:pPr>
              <w:rPr>
                <w:sz w:val="19"/>
                <w:szCs w:val="19"/>
                <w:lang w:val="en-CA" w:eastAsia="en-CA"/>
              </w:rPr>
            </w:pPr>
            <w:r w:rsidRPr="003B533B">
              <w:rPr>
                <w:sz w:val="19"/>
                <w:szCs w:val="19"/>
                <w:lang w:val="en-CA" w:eastAsia="en-CA"/>
              </w:rPr>
              <w:t>Investment component implementation</w:t>
            </w:r>
          </w:p>
        </w:tc>
        <w:tc>
          <w:tcPr>
            <w:tcW w:w="5812" w:type="dxa"/>
            <w:vMerge w:val="restart"/>
          </w:tcPr>
          <w:p w14:paraId="05815B49" w14:textId="7B36A487" w:rsidR="00286EF4" w:rsidRPr="003B533B" w:rsidRDefault="00286EF4" w:rsidP="0014095B">
            <w:pPr>
              <w:rPr>
                <w:sz w:val="19"/>
                <w:szCs w:val="19"/>
                <w:lang w:val="en-CA" w:eastAsia="en-CA"/>
              </w:rPr>
            </w:pPr>
            <w:r w:rsidRPr="003B533B">
              <w:rPr>
                <w:sz w:val="19"/>
                <w:szCs w:val="19"/>
                <w:lang w:val="en-CA"/>
              </w:rPr>
              <w:t>Noting the delays due to implementation of the investment component of the second (2014) tranche of stage I of the HPMP and the request from the Government of Mozambique to transfer UNIDO’s component of stage I of the HPMP to UNDP, and urging the Government of Mozambique to work with UNEP and UNIDO to expedite the transfer to UNDP, so that the third (2016) tranche of stage I of the HPMP could be submitted to the 83</w:t>
            </w:r>
            <w:r w:rsidRPr="003B533B">
              <w:rPr>
                <w:sz w:val="19"/>
                <w:szCs w:val="19"/>
                <w:vertAlign w:val="superscript"/>
                <w:lang w:val="en-CA"/>
              </w:rPr>
              <w:t>rd</w:t>
            </w:r>
            <w:r w:rsidRPr="003B533B">
              <w:rPr>
                <w:sz w:val="19"/>
                <w:szCs w:val="19"/>
                <w:lang w:val="en-CA"/>
              </w:rPr>
              <w:t> meeting with a revised plan of action to take into account the reallocation of the 2016 and subsequent tranches</w:t>
            </w:r>
            <w:r w:rsidR="00314E77" w:rsidRPr="003B533B">
              <w:rPr>
                <w:sz w:val="19"/>
                <w:szCs w:val="19"/>
                <w:lang w:val="en-CA"/>
              </w:rPr>
              <w:t xml:space="preserve"> and the change of implementing agencies</w:t>
            </w:r>
            <w:r w:rsidRPr="003B533B">
              <w:rPr>
                <w:sz w:val="19"/>
                <w:szCs w:val="19"/>
                <w:lang w:val="en-CA"/>
              </w:rPr>
              <w:t xml:space="preserve">. </w:t>
            </w:r>
          </w:p>
        </w:tc>
      </w:tr>
      <w:tr w:rsidR="00286EF4" w:rsidRPr="003B533B" w14:paraId="3FAB9807" w14:textId="77777777" w:rsidTr="00E776FD">
        <w:trPr>
          <w:trHeight w:val="839"/>
        </w:trPr>
        <w:tc>
          <w:tcPr>
            <w:tcW w:w="1560" w:type="dxa"/>
            <w:vMerge/>
            <w:hideMark/>
          </w:tcPr>
          <w:p w14:paraId="2A286FED" w14:textId="77777777" w:rsidR="00286EF4" w:rsidRPr="003B533B" w:rsidRDefault="00286EF4" w:rsidP="0014095B">
            <w:pPr>
              <w:jc w:val="left"/>
              <w:rPr>
                <w:sz w:val="19"/>
                <w:szCs w:val="19"/>
                <w:lang w:val="en-CA" w:eastAsia="en-CA"/>
              </w:rPr>
            </w:pPr>
          </w:p>
        </w:tc>
        <w:tc>
          <w:tcPr>
            <w:tcW w:w="1276" w:type="dxa"/>
            <w:hideMark/>
          </w:tcPr>
          <w:p w14:paraId="6C5AA120" w14:textId="77777777" w:rsidR="00286EF4" w:rsidRPr="003B533B" w:rsidRDefault="00286EF4" w:rsidP="0014095B">
            <w:pPr>
              <w:jc w:val="left"/>
              <w:rPr>
                <w:sz w:val="19"/>
                <w:szCs w:val="19"/>
                <w:lang w:val="en-CA" w:eastAsia="en-CA"/>
              </w:rPr>
            </w:pPr>
            <w:r w:rsidRPr="003B533B">
              <w:rPr>
                <w:sz w:val="19"/>
                <w:szCs w:val="19"/>
                <w:lang w:val="en-CA" w:eastAsia="en-CA"/>
              </w:rPr>
              <w:t>UNIDO</w:t>
            </w:r>
          </w:p>
        </w:tc>
        <w:tc>
          <w:tcPr>
            <w:tcW w:w="879" w:type="dxa"/>
            <w:hideMark/>
          </w:tcPr>
          <w:p w14:paraId="6BE43425" w14:textId="77777777"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hideMark/>
          </w:tcPr>
          <w:p w14:paraId="2CB16275" w14:textId="77777777" w:rsidR="00286EF4" w:rsidRPr="003B533B" w:rsidRDefault="00286EF4" w:rsidP="0014095B">
            <w:pPr>
              <w:jc w:val="right"/>
              <w:rPr>
                <w:sz w:val="19"/>
                <w:szCs w:val="19"/>
                <w:lang w:val="en-CA" w:eastAsia="en-CA"/>
              </w:rPr>
            </w:pPr>
            <w:r w:rsidRPr="003B533B">
              <w:rPr>
                <w:sz w:val="19"/>
                <w:szCs w:val="19"/>
                <w:lang w:val="en-CA" w:eastAsia="en-CA"/>
              </w:rPr>
              <w:t>81,750</w:t>
            </w:r>
          </w:p>
        </w:tc>
        <w:tc>
          <w:tcPr>
            <w:tcW w:w="3373" w:type="dxa"/>
            <w:hideMark/>
          </w:tcPr>
          <w:p w14:paraId="2C1AF573" w14:textId="1751548B" w:rsidR="00286EF4" w:rsidRPr="003B533B" w:rsidRDefault="00286EF4" w:rsidP="0014095B">
            <w:pPr>
              <w:rPr>
                <w:sz w:val="19"/>
                <w:szCs w:val="19"/>
                <w:lang w:val="en-CA" w:eastAsia="en-CA"/>
              </w:rPr>
            </w:pPr>
            <w:r w:rsidRPr="003B533B">
              <w:rPr>
                <w:sz w:val="19"/>
                <w:szCs w:val="19"/>
                <w:lang w:val="en-CA" w:eastAsia="en-CA"/>
              </w:rPr>
              <w:t>Investment component implementation/ 20 per cent disbursement threshold</w:t>
            </w:r>
          </w:p>
        </w:tc>
        <w:tc>
          <w:tcPr>
            <w:tcW w:w="5812" w:type="dxa"/>
            <w:vMerge/>
          </w:tcPr>
          <w:p w14:paraId="2147198A" w14:textId="77777777" w:rsidR="00286EF4" w:rsidRPr="003B533B" w:rsidRDefault="00286EF4" w:rsidP="0014095B">
            <w:pPr>
              <w:rPr>
                <w:sz w:val="19"/>
                <w:szCs w:val="19"/>
                <w:lang w:val="en-CA" w:eastAsia="en-CA"/>
              </w:rPr>
            </w:pPr>
          </w:p>
        </w:tc>
      </w:tr>
      <w:tr w:rsidR="00286EF4" w:rsidRPr="003B533B" w14:paraId="0BEA4FE9" w14:textId="77777777" w:rsidTr="00E776FD">
        <w:trPr>
          <w:trHeight w:val="981"/>
        </w:trPr>
        <w:tc>
          <w:tcPr>
            <w:tcW w:w="1560" w:type="dxa"/>
            <w:vMerge w:val="restart"/>
          </w:tcPr>
          <w:p w14:paraId="34F416AA" w14:textId="77777777" w:rsidR="00286EF4" w:rsidRPr="003B533B" w:rsidRDefault="00286EF4" w:rsidP="0014095B">
            <w:pPr>
              <w:jc w:val="left"/>
              <w:rPr>
                <w:sz w:val="19"/>
                <w:szCs w:val="19"/>
                <w:lang w:val="en-CA" w:eastAsia="en-CA"/>
              </w:rPr>
            </w:pPr>
            <w:r w:rsidRPr="003B533B">
              <w:rPr>
                <w:sz w:val="19"/>
                <w:szCs w:val="19"/>
                <w:lang w:val="en-CA" w:eastAsia="en-CA"/>
              </w:rPr>
              <w:t>Niger (the) (Stage I)</w:t>
            </w:r>
          </w:p>
        </w:tc>
        <w:tc>
          <w:tcPr>
            <w:tcW w:w="1276" w:type="dxa"/>
          </w:tcPr>
          <w:p w14:paraId="13165499"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tcPr>
          <w:p w14:paraId="5AB82714" w14:textId="77777777"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tcPr>
          <w:p w14:paraId="65C01EA1" w14:textId="77777777" w:rsidR="00286EF4" w:rsidRPr="003B533B" w:rsidRDefault="00286EF4" w:rsidP="0014095B">
            <w:pPr>
              <w:jc w:val="right"/>
              <w:rPr>
                <w:sz w:val="19"/>
                <w:szCs w:val="19"/>
                <w:lang w:val="en-CA" w:eastAsia="en-CA"/>
              </w:rPr>
            </w:pPr>
            <w:r w:rsidRPr="003B533B">
              <w:rPr>
                <w:sz w:val="19"/>
                <w:szCs w:val="19"/>
                <w:lang w:val="en-CA" w:eastAsia="en-CA"/>
              </w:rPr>
              <w:t>141,250</w:t>
            </w:r>
          </w:p>
        </w:tc>
        <w:tc>
          <w:tcPr>
            <w:tcW w:w="3373" w:type="dxa"/>
          </w:tcPr>
          <w:p w14:paraId="1663E3B4" w14:textId="77777777" w:rsidR="00286EF4" w:rsidRPr="003B533B" w:rsidRDefault="00286EF4" w:rsidP="0014095B">
            <w:pPr>
              <w:rPr>
                <w:sz w:val="19"/>
                <w:szCs w:val="19"/>
                <w:lang w:val="en-CA" w:eastAsia="en-CA"/>
              </w:rPr>
            </w:pPr>
            <w:r w:rsidRPr="003B533B">
              <w:rPr>
                <w:sz w:val="19"/>
                <w:szCs w:val="19"/>
                <w:lang w:val="en-CA" w:eastAsia="en-CA"/>
              </w:rPr>
              <w:t>Lack of an operational licensing and quota system</w:t>
            </w:r>
          </w:p>
        </w:tc>
        <w:tc>
          <w:tcPr>
            <w:tcW w:w="5812" w:type="dxa"/>
            <w:vMerge w:val="restart"/>
          </w:tcPr>
          <w:p w14:paraId="1123225F" w14:textId="18404D52" w:rsidR="00286EF4" w:rsidRPr="003B533B" w:rsidRDefault="00286EF4" w:rsidP="0014095B">
            <w:pPr>
              <w:rPr>
                <w:sz w:val="19"/>
                <w:szCs w:val="19"/>
                <w:lang w:val="en-CA"/>
              </w:rPr>
            </w:pPr>
            <w:r w:rsidRPr="003B533B">
              <w:rPr>
                <w:sz w:val="19"/>
                <w:szCs w:val="19"/>
                <w:lang w:val="en-CA"/>
              </w:rPr>
              <w:t xml:space="preserve">Noting the delays due to the lack of an operational licensing and quota system, and urging the Government </w:t>
            </w:r>
            <w:r w:rsidRPr="003B533B">
              <w:rPr>
                <w:sz w:val="19"/>
                <w:szCs w:val="19"/>
              </w:rPr>
              <w:t xml:space="preserve">of the Niger </w:t>
            </w:r>
            <w:r w:rsidRPr="003B533B">
              <w:rPr>
                <w:sz w:val="19"/>
                <w:szCs w:val="19"/>
                <w:lang w:val="en-CA"/>
              </w:rPr>
              <w:t>to work with UNEP</w:t>
            </w:r>
            <w:r w:rsidRPr="003B533B">
              <w:rPr>
                <w:sz w:val="19"/>
                <w:szCs w:val="19"/>
              </w:rPr>
              <w:t xml:space="preserve"> and UNIDO</w:t>
            </w:r>
            <w:r w:rsidRPr="003B533B">
              <w:rPr>
                <w:sz w:val="19"/>
                <w:szCs w:val="19"/>
                <w:lang w:val="en-CA"/>
              </w:rPr>
              <w:t xml:space="preserve"> so that the second (2016) tranche of stage I of the HPMP could be submitted to the 83</w:t>
            </w:r>
            <w:r w:rsidRPr="003B533B">
              <w:rPr>
                <w:sz w:val="19"/>
                <w:szCs w:val="19"/>
                <w:vertAlign w:val="superscript"/>
                <w:lang w:val="en-CA"/>
              </w:rPr>
              <w:t>rd</w:t>
            </w:r>
            <w:r w:rsidRPr="003B533B">
              <w:rPr>
                <w:sz w:val="19"/>
                <w:szCs w:val="19"/>
                <w:lang w:val="en-CA"/>
              </w:rPr>
              <w:t xml:space="preserve"> meeting</w:t>
            </w:r>
            <w:r w:rsidRPr="003B533B">
              <w:rPr>
                <w:sz w:val="19"/>
                <w:szCs w:val="19"/>
              </w:rPr>
              <w:t xml:space="preserve"> </w:t>
            </w:r>
            <w:r w:rsidRPr="003B533B">
              <w:rPr>
                <w:sz w:val="19"/>
                <w:szCs w:val="19"/>
                <w:lang w:val="en-CA"/>
              </w:rPr>
              <w:t xml:space="preserve">with a revised plan of action to take into account the reallocation of the 2016 and subsequent tranches, </w:t>
            </w:r>
            <w:r w:rsidRPr="003B533B">
              <w:rPr>
                <w:sz w:val="19"/>
                <w:szCs w:val="19"/>
              </w:rPr>
              <w:t>with an adjusted starting point for aggregate reductions in HCFC consumption that takes into account the actual HCFC consumption in the country, and on the understanding that the Government of the Niger confirms that the licensing system has been stabilized and the quota system is functional.</w:t>
            </w:r>
          </w:p>
        </w:tc>
      </w:tr>
      <w:tr w:rsidR="00286EF4" w:rsidRPr="003B533B" w14:paraId="2AE082DE" w14:textId="77777777" w:rsidTr="00E776FD">
        <w:trPr>
          <w:trHeight w:val="996"/>
        </w:trPr>
        <w:tc>
          <w:tcPr>
            <w:tcW w:w="1560" w:type="dxa"/>
            <w:vMerge/>
          </w:tcPr>
          <w:p w14:paraId="3708565E" w14:textId="77777777" w:rsidR="00286EF4" w:rsidRPr="003B533B" w:rsidRDefault="00286EF4" w:rsidP="0014095B">
            <w:pPr>
              <w:jc w:val="left"/>
              <w:rPr>
                <w:sz w:val="19"/>
                <w:szCs w:val="19"/>
                <w:lang w:val="en-CA" w:eastAsia="en-CA"/>
              </w:rPr>
            </w:pPr>
          </w:p>
        </w:tc>
        <w:tc>
          <w:tcPr>
            <w:tcW w:w="1276" w:type="dxa"/>
          </w:tcPr>
          <w:p w14:paraId="55E61AE1" w14:textId="77777777" w:rsidR="00286EF4" w:rsidRPr="003B533B" w:rsidRDefault="00286EF4" w:rsidP="0014095B">
            <w:pPr>
              <w:jc w:val="left"/>
              <w:rPr>
                <w:sz w:val="19"/>
                <w:szCs w:val="19"/>
                <w:lang w:val="en-CA" w:eastAsia="en-CA"/>
              </w:rPr>
            </w:pPr>
            <w:r w:rsidRPr="003B533B">
              <w:rPr>
                <w:sz w:val="19"/>
                <w:szCs w:val="19"/>
                <w:lang w:val="en-CA" w:eastAsia="en-CA"/>
              </w:rPr>
              <w:t>UNIDO</w:t>
            </w:r>
          </w:p>
        </w:tc>
        <w:tc>
          <w:tcPr>
            <w:tcW w:w="879" w:type="dxa"/>
          </w:tcPr>
          <w:p w14:paraId="77A2158F" w14:textId="77777777"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tcPr>
          <w:p w14:paraId="2021F767" w14:textId="77777777" w:rsidR="00286EF4" w:rsidRPr="003B533B" w:rsidRDefault="00286EF4" w:rsidP="0014095B">
            <w:pPr>
              <w:jc w:val="right"/>
              <w:rPr>
                <w:sz w:val="19"/>
                <w:szCs w:val="19"/>
                <w:lang w:val="en-CA" w:eastAsia="en-CA"/>
              </w:rPr>
            </w:pPr>
            <w:r w:rsidRPr="003B533B">
              <w:rPr>
                <w:sz w:val="19"/>
                <w:szCs w:val="19"/>
                <w:lang w:val="en-CA" w:eastAsia="en-CA"/>
              </w:rPr>
              <w:t>96,750</w:t>
            </w:r>
          </w:p>
        </w:tc>
        <w:tc>
          <w:tcPr>
            <w:tcW w:w="3373" w:type="dxa"/>
          </w:tcPr>
          <w:p w14:paraId="521CE5FC" w14:textId="77777777" w:rsidR="00286EF4" w:rsidRPr="003B533B" w:rsidRDefault="00286EF4" w:rsidP="0014095B">
            <w:pPr>
              <w:rPr>
                <w:sz w:val="19"/>
                <w:szCs w:val="19"/>
                <w:lang w:val="en-CA" w:eastAsia="en-CA"/>
              </w:rPr>
            </w:pPr>
            <w:r w:rsidRPr="003B533B">
              <w:rPr>
                <w:sz w:val="19"/>
                <w:szCs w:val="19"/>
                <w:lang w:val="en-CA" w:eastAsia="en-CA"/>
              </w:rPr>
              <w:t>Lack of an operational licensing and quota system</w:t>
            </w:r>
          </w:p>
        </w:tc>
        <w:tc>
          <w:tcPr>
            <w:tcW w:w="5812" w:type="dxa"/>
            <w:vMerge/>
          </w:tcPr>
          <w:p w14:paraId="39AFDDE6" w14:textId="77777777" w:rsidR="00286EF4" w:rsidRPr="003B533B" w:rsidRDefault="00286EF4" w:rsidP="0014095B">
            <w:pPr>
              <w:rPr>
                <w:sz w:val="19"/>
                <w:szCs w:val="19"/>
                <w:lang w:val="en-CA"/>
              </w:rPr>
            </w:pPr>
          </w:p>
        </w:tc>
      </w:tr>
      <w:tr w:rsidR="00286EF4" w:rsidRPr="003B533B" w14:paraId="3B961EFE" w14:textId="77777777" w:rsidTr="00AF711F">
        <w:trPr>
          <w:trHeight w:val="978"/>
        </w:trPr>
        <w:tc>
          <w:tcPr>
            <w:tcW w:w="1560" w:type="dxa"/>
            <w:vMerge w:val="restart"/>
            <w:hideMark/>
          </w:tcPr>
          <w:p w14:paraId="02094EFA" w14:textId="77777777" w:rsidR="00286EF4" w:rsidRPr="003B533B" w:rsidRDefault="00286EF4" w:rsidP="0014095B">
            <w:pPr>
              <w:jc w:val="left"/>
              <w:rPr>
                <w:sz w:val="19"/>
                <w:szCs w:val="19"/>
                <w:lang w:val="en-CA" w:eastAsia="en-CA"/>
              </w:rPr>
            </w:pPr>
            <w:r w:rsidRPr="003B533B">
              <w:rPr>
                <w:sz w:val="19"/>
                <w:szCs w:val="19"/>
                <w:lang w:val="en-CA" w:eastAsia="en-CA"/>
              </w:rPr>
              <w:t xml:space="preserve">Pakistan </w:t>
            </w:r>
          </w:p>
          <w:p w14:paraId="3A277582" w14:textId="77777777" w:rsidR="00286EF4" w:rsidRPr="003B533B" w:rsidRDefault="00286EF4" w:rsidP="0014095B">
            <w:pPr>
              <w:jc w:val="left"/>
              <w:rPr>
                <w:sz w:val="19"/>
                <w:szCs w:val="19"/>
                <w:lang w:val="en-CA" w:eastAsia="en-CA"/>
              </w:rPr>
            </w:pPr>
            <w:r w:rsidRPr="003B533B">
              <w:rPr>
                <w:sz w:val="19"/>
                <w:szCs w:val="19"/>
                <w:lang w:val="en-CA" w:eastAsia="en-CA"/>
              </w:rPr>
              <w:t>(Stage II)</w:t>
            </w:r>
          </w:p>
          <w:p w14:paraId="16D3C7E9" w14:textId="77777777" w:rsidR="00286EF4" w:rsidRPr="003B533B" w:rsidRDefault="00286EF4" w:rsidP="0014095B">
            <w:pPr>
              <w:jc w:val="left"/>
              <w:rPr>
                <w:sz w:val="19"/>
                <w:szCs w:val="19"/>
                <w:lang w:val="en-CA" w:eastAsia="en-CA"/>
              </w:rPr>
            </w:pPr>
          </w:p>
        </w:tc>
        <w:tc>
          <w:tcPr>
            <w:tcW w:w="1276" w:type="dxa"/>
            <w:hideMark/>
          </w:tcPr>
          <w:p w14:paraId="55A8EB4B"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hideMark/>
          </w:tcPr>
          <w:p w14:paraId="4C57782F" w14:textId="77777777" w:rsidR="00286EF4" w:rsidRPr="003B533B" w:rsidRDefault="00286EF4" w:rsidP="0014095B">
            <w:pPr>
              <w:jc w:val="center"/>
            </w:pPr>
            <w:r w:rsidRPr="003B533B">
              <w:rPr>
                <w:sz w:val="19"/>
                <w:szCs w:val="19"/>
                <w:lang w:val="en-CA" w:eastAsia="en-CA"/>
              </w:rPr>
              <w:t>2018</w:t>
            </w:r>
          </w:p>
        </w:tc>
        <w:tc>
          <w:tcPr>
            <w:tcW w:w="1275" w:type="dxa"/>
            <w:hideMark/>
          </w:tcPr>
          <w:p w14:paraId="52AA780B" w14:textId="77777777" w:rsidR="00286EF4" w:rsidRPr="003B533B" w:rsidRDefault="00286EF4" w:rsidP="0014095B">
            <w:pPr>
              <w:jc w:val="right"/>
              <w:rPr>
                <w:sz w:val="19"/>
                <w:szCs w:val="19"/>
                <w:lang w:val="en-CA" w:eastAsia="en-CA"/>
              </w:rPr>
            </w:pPr>
            <w:r w:rsidRPr="003B533B">
              <w:rPr>
                <w:sz w:val="19"/>
                <w:szCs w:val="19"/>
                <w:lang w:val="en-CA" w:eastAsia="en-CA"/>
              </w:rPr>
              <w:t>225,976</w:t>
            </w:r>
          </w:p>
        </w:tc>
        <w:tc>
          <w:tcPr>
            <w:tcW w:w="3373" w:type="dxa"/>
            <w:hideMark/>
          </w:tcPr>
          <w:p w14:paraId="70CC1715" w14:textId="2B591EE8" w:rsidR="00286EF4" w:rsidRPr="003B533B" w:rsidRDefault="00286EF4" w:rsidP="0014095B">
            <w:pPr>
              <w:rPr>
                <w:sz w:val="19"/>
                <w:szCs w:val="19"/>
                <w:lang w:val="en-CA" w:eastAsia="en-CA"/>
              </w:rPr>
            </w:pPr>
            <w:r w:rsidRPr="003B533B">
              <w:rPr>
                <w:sz w:val="19"/>
                <w:szCs w:val="19"/>
                <w:lang w:val="en-CA" w:eastAsia="en-CA"/>
              </w:rPr>
              <w:t>Investment component implementation</w:t>
            </w:r>
          </w:p>
        </w:tc>
        <w:tc>
          <w:tcPr>
            <w:tcW w:w="5812" w:type="dxa"/>
            <w:vMerge w:val="restart"/>
          </w:tcPr>
          <w:p w14:paraId="609E7FB5" w14:textId="64BDF5E2" w:rsidR="00286EF4" w:rsidRPr="003B533B" w:rsidRDefault="00286EF4" w:rsidP="0014095B">
            <w:pPr>
              <w:rPr>
                <w:sz w:val="19"/>
                <w:szCs w:val="19"/>
                <w:lang w:val="en-CA" w:eastAsia="en-CA"/>
              </w:rPr>
            </w:pPr>
            <w:r w:rsidRPr="003B533B">
              <w:rPr>
                <w:sz w:val="19"/>
                <w:szCs w:val="19"/>
                <w:lang w:val="en-CA"/>
              </w:rPr>
              <w:t>Noting the delays due to implementation of the investment component and</w:t>
            </w:r>
            <w:r w:rsidR="0014095B" w:rsidRPr="003B533B">
              <w:rPr>
                <w:sz w:val="19"/>
                <w:szCs w:val="19"/>
                <w:lang w:val="en-CA"/>
              </w:rPr>
              <w:t xml:space="preserve"> </w:t>
            </w:r>
            <w:r w:rsidRPr="003B533B">
              <w:rPr>
                <w:sz w:val="19"/>
                <w:szCs w:val="19"/>
                <w:lang w:val="en-CA"/>
              </w:rPr>
              <w:t>that the overall disbursement rate of the first tranche of stage II of the HPMP was below the 20 per cent disbursement threshold and urging the Government of Pakistan to work with UNEP and UNIDO so that the second (2018) tranche of stage II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 on the understanding that the 20 per cent disbursement threshold for funding of the previous tranche had been achieved.</w:t>
            </w:r>
          </w:p>
        </w:tc>
      </w:tr>
      <w:tr w:rsidR="00286EF4" w:rsidRPr="003B533B" w14:paraId="16090B6B" w14:textId="77777777" w:rsidTr="00AF711F">
        <w:trPr>
          <w:trHeight w:val="978"/>
        </w:trPr>
        <w:tc>
          <w:tcPr>
            <w:tcW w:w="1560" w:type="dxa"/>
            <w:vMerge/>
            <w:hideMark/>
          </w:tcPr>
          <w:p w14:paraId="092FC0C1" w14:textId="77777777" w:rsidR="00286EF4" w:rsidRPr="003B533B" w:rsidRDefault="00286EF4" w:rsidP="0014095B">
            <w:pPr>
              <w:jc w:val="left"/>
              <w:rPr>
                <w:sz w:val="19"/>
                <w:szCs w:val="19"/>
                <w:lang w:val="en-CA" w:eastAsia="en-CA"/>
              </w:rPr>
            </w:pPr>
          </w:p>
        </w:tc>
        <w:tc>
          <w:tcPr>
            <w:tcW w:w="1276" w:type="dxa"/>
            <w:hideMark/>
          </w:tcPr>
          <w:p w14:paraId="080274B9" w14:textId="77777777" w:rsidR="00286EF4" w:rsidRPr="003B533B" w:rsidRDefault="00286EF4" w:rsidP="0014095B">
            <w:pPr>
              <w:jc w:val="left"/>
              <w:rPr>
                <w:sz w:val="19"/>
                <w:szCs w:val="19"/>
                <w:lang w:val="en-CA" w:eastAsia="en-CA"/>
              </w:rPr>
            </w:pPr>
            <w:r w:rsidRPr="003B533B">
              <w:rPr>
                <w:sz w:val="19"/>
                <w:szCs w:val="19"/>
                <w:lang w:val="en-CA" w:eastAsia="en-CA"/>
              </w:rPr>
              <w:t>UNIDO</w:t>
            </w:r>
          </w:p>
        </w:tc>
        <w:tc>
          <w:tcPr>
            <w:tcW w:w="879" w:type="dxa"/>
            <w:hideMark/>
          </w:tcPr>
          <w:p w14:paraId="6144910E" w14:textId="77777777" w:rsidR="00286EF4" w:rsidRPr="003B533B" w:rsidRDefault="00286EF4" w:rsidP="0014095B">
            <w:pPr>
              <w:jc w:val="center"/>
            </w:pPr>
            <w:r w:rsidRPr="003B533B">
              <w:rPr>
                <w:sz w:val="19"/>
                <w:szCs w:val="19"/>
                <w:lang w:val="en-CA" w:eastAsia="en-CA"/>
              </w:rPr>
              <w:t>2018</w:t>
            </w:r>
          </w:p>
        </w:tc>
        <w:tc>
          <w:tcPr>
            <w:tcW w:w="1275" w:type="dxa"/>
            <w:hideMark/>
          </w:tcPr>
          <w:p w14:paraId="1E7DBA9A" w14:textId="77777777" w:rsidR="00286EF4" w:rsidRPr="003B533B" w:rsidRDefault="00286EF4" w:rsidP="0014095B">
            <w:pPr>
              <w:keepNext/>
              <w:keepLines/>
              <w:jc w:val="right"/>
              <w:rPr>
                <w:sz w:val="19"/>
                <w:szCs w:val="19"/>
                <w:lang w:val="en-CA" w:eastAsia="en-CA"/>
              </w:rPr>
            </w:pPr>
            <w:r w:rsidRPr="003B533B">
              <w:rPr>
                <w:sz w:val="19"/>
                <w:szCs w:val="19"/>
                <w:lang w:val="en-CA" w:eastAsia="en-CA"/>
              </w:rPr>
              <w:t>2,118,442</w:t>
            </w:r>
          </w:p>
        </w:tc>
        <w:tc>
          <w:tcPr>
            <w:tcW w:w="3373" w:type="dxa"/>
            <w:hideMark/>
          </w:tcPr>
          <w:p w14:paraId="586C6ABA" w14:textId="76E0AA82" w:rsidR="00286EF4" w:rsidRPr="003B533B" w:rsidRDefault="00286EF4" w:rsidP="0014095B">
            <w:pPr>
              <w:rPr>
                <w:b/>
                <w:sz w:val="19"/>
                <w:szCs w:val="19"/>
                <w:lang w:val="en-CA" w:eastAsia="en-CA"/>
              </w:rPr>
            </w:pPr>
            <w:r w:rsidRPr="003B533B">
              <w:rPr>
                <w:sz w:val="19"/>
                <w:szCs w:val="19"/>
                <w:lang w:val="en-CA" w:eastAsia="en-CA"/>
              </w:rPr>
              <w:t>Government decisions/endorsements/ changes in the NOU/structural change/ internal or external difficulties/20 per cent disbursement threshold</w:t>
            </w:r>
          </w:p>
        </w:tc>
        <w:tc>
          <w:tcPr>
            <w:tcW w:w="5812" w:type="dxa"/>
            <w:vMerge/>
          </w:tcPr>
          <w:p w14:paraId="52475808" w14:textId="77777777" w:rsidR="00286EF4" w:rsidRPr="003B533B" w:rsidRDefault="00286EF4" w:rsidP="0014095B">
            <w:pPr>
              <w:rPr>
                <w:sz w:val="19"/>
                <w:szCs w:val="19"/>
                <w:lang w:val="en-CA" w:eastAsia="en-CA"/>
              </w:rPr>
            </w:pPr>
          </w:p>
        </w:tc>
      </w:tr>
      <w:tr w:rsidR="00286EF4" w:rsidRPr="003B533B" w14:paraId="0801664C" w14:textId="77777777" w:rsidTr="00AF711F">
        <w:trPr>
          <w:trHeight w:val="650"/>
        </w:trPr>
        <w:tc>
          <w:tcPr>
            <w:tcW w:w="1560" w:type="dxa"/>
            <w:vMerge w:val="restart"/>
            <w:shd w:val="clear" w:color="auto" w:fill="auto"/>
          </w:tcPr>
          <w:p w14:paraId="7DABFB5C" w14:textId="77777777" w:rsidR="00286EF4" w:rsidRPr="003B533B" w:rsidRDefault="00286EF4" w:rsidP="00397C40">
            <w:pPr>
              <w:jc w:val="left"/>
              <w:rPr>
                <w:sz w:val="19"/>
                <w:szCs w:val="19"/>
                <w:lang w:val="en-CA" w:eastAsia="en-CA"/>
              </w:rPr>
            </w:pPr>
            <w:r w:rsidRPr="003B533B">
              <w:rPr>
                <w:sz w:val="19"/>
                <w:szCs w:val="19"/>
                <w:lang w:val="en-CA" w:eastAsia="en-CA"/>
              </w:rPr>
              <w:t>Qatar (Stage I)</w:t>
            </w:r>
          </w:p>
          <w:p w14:paraId="49D6E30B" w14:textId="77777777" w:rsidR="00286EF4" w:rsidRPr="003B533B" w:rsidRDefault="00286EF4" w:rsidP="00397C40">
            <w:pPr>
              <w:jc w:val="left"/>
              <w:rPr>
                <w:sz w:val="19"/>
                <w:szCs w:val="19"/>
                <w:lang w:val="en-CA" w:eastAsia="en-CA"/>
              </w:rPr>
            </w:pPr>
          </w:p>
        </w:tc>
        <w:tc>
          <w:tcPr>
            <w:tcW w:w="1276" w:type="dxa"/>
            <w:shd w:val="clear" w:color="auto" w:fill="auto"/>
          </w:tcPr>
          <w:p w14:paraId="53D1091E" w14:textId="77777777" w:rsidR="00286EF4" w:rsidRPr="003B533B" w:rsidRDefault="00286EF4" w:rsidP="00397C40">
            <w:pPr>
              <w:jc w:val="left"/>
              <w:rPr>
                <w:sz w:val="19"/>
                <w:szCs w:val="19"/>
                <w:lang w:val="en-CA" w:eastAsia="en-CA"/>
              </w:rPr>
            </w:pPr>
            <w:r w:rsidRPr="003B533B">
              <w:rPr>
                <w:sz w:val="19"/>
                <w:szCs w:val="19"/>
                <w:lang w:val="en-CA" w:eastAsia="en-CA"/>
              </w:rPr>
              <w:t>UNEP</w:t>
            </w:r>
          </w:p>
        </w:tc>
        <w:tc>
          <w:tcPr>
            <w:tcW w:w="879" w:type="dxa"/>
            <w:shd w:val="clear" w:color="auto" w:fill="auto"/>
          </w:tcPr>
          <w:p w14:paraId="1557A1DD" w14:textId="77777777" w:rsidR="00286EF4" w:rsidRPr="003B533B" w:rsidRDefault="00286EF4" w:rsidP="00397C40">
            <w:pPr>
              <w:ind w:right="113"/>
              <w:jc w:val="center"/>
              <w:rPr>
                <w:sz w:val="19"/>
                <w:szCs w:val="19"/>
                <w:lang w:val="en-CA" w:eastAsia="en-CA"/>
              </w:rPr>
            </w:pPr>
            <w:r w:rsidRPr="003B533B">
              <w:rPr>
                <w:sz w:val="19"/>
                <w:szCs w:val="19"/>
                <w:lang w:val="en-CA" w:eastAsia="en-CA"/>
              </w:rPr>
              <w:t xml:space="preserve">2013 </w:t>
            </w:r>
          </w:p>
        </w:tc>
        <w:tc>
          <w:tcPr>
            <w:tcW w:w="1275" w:type="dxa"/>
            <w:shd w:val="clear" w:color="auto" w:fill="auto"/>
          </w:tcPr>
          <w:p w14:paraId="5DE94638" w14:textId="77777777" w:rsidR="00286EF4" w:rsidRPr="003B533B" w:rsidRDefault="00286EF4" w:rsidP="00397C40">
            <w:pPr>
              <w:jc w:val="right"/>
              <w:rPr>
                <w:sz w:val="19"/>
                <w:szCs w:val="19"/>
                <w:lang w:val="en-CA" w:eastAsia="en-CA"/>
              </w:rPr>
            </w:pPr>
            <w:r w:rsidRPr="003B533B">
              <w:rPr>
                <w:sz w:val="19"/>
                <w:szCs w:val="19"/>
                <w:lang w:val="en-CA" w:eastAsia="en-CA"/>
              </w:rPr>
              <w:t>169,500</w:t>
            </w:r>
          </w:p>
        </w:tc>
        <w:tc>
          <w:tcPr>
            <w:tcW w:w="3373" w:type="dxa"/>
          </w:tcPr>
          <w:p w14:paraId="5937AF41" w14:textId="2AB9DD77" w:rsidR="00286EF4" w:rsidRPr="003B533B" w:rsidRDefault="00286EF4" w:rsidP="00397C40">
            <w:pPr>
              <w:rPr>
                <w:sz w:val="19"/>
                <w:szCs w:val="19"/>
                <w:lang w:val="en-CA" w:eastAsia="en-CA"/>
              </w:rPr>
            </w:pPr>
            <w:r w:rsidRPr="003B533B">
              <w:rPr>
                <w:sz w:val="19"/>
                <w:szCs w:val="19"/>
                <w:lang w:val="en-CA" w:eastAsia="en-CA"/>
              </w:rPr>
              <w:t>Signing of agreement/project document</w:t>
            </w:r>
          </w:p>
        </w:tc>
        <w:tc>
          <w:tcPr>
            <w:tcW w:w="5812" w:type="dxa"/>
            <w:vMerge w:val="restart"/>
          </w:tcPr>
          <w:p w14:paraId="484B3372" w14:textId="638A9300" w:rsidR="00286EF4" w:rsidRPr="003B533B" w:rsidRDefault="00286EF4" w:rsidP="00397C40">
            <w:pPr>
              <w:rPr>
                <w:sz w:val="19"/>
                <w:szCs w:val="19"/>
                <w:lang w:val="en-CA"/>
              </w:rPr>
            </w:pPr>
            <w:r w:rsidRPr="003B533B">
              <w:rPr>
                <w:sz w:val="19"/>
                <w:szCs w:val="19"/>
                <w:lang w:val="en-CA"/>
              </w:rPr>
              <w:t xml:space="preserve">Noting with appreciation the efforts undertaken by the implementing agencies to provide assistance to Qatar and urging the Government of Qatar to work with UNEP and UNIDO to complete stage I of the HPMP by June 2019 and </w:t>
            </w:r>
            <w:r w:rsidR="0094629C" w:rsidRPr="003B533B">
              <w:rPr>
                <w:sz w:val="19"/>
                <w:szCs w:val="19"/>
                <w:lang w:val="en-CA"/>
              </w:rPr>
              <w:t>to return the outstanding balances</w:t>
            </w:r>
            <w:r w:rsidRPr="003B533B">
              <w:rPr>
                <w:sz w:val="19"/>
                <w:szCs w:val="19"/>
                <w:lang w:val="en-CA"/>
              </w:rPr>
              <w:t xml:space="preserve"> to the 84</w:t>
            </w:r>
            <w:r w:rsidRPr="003B533B">
              <w:rPr>
                <w:sz w:val="19"/>
                <w:szCs w:val="19"/>
                <w:vertAlign w:val="superscript"/>
                <w:lang w:val="en-CA"/>
              </w:rPr>
              <w:t>th</w:t>
            </w:r>
            <w:r w:rsidRPr="003B533B">
              <w:rPr>
                <w:sz w:val="19"/>
                <w:szCs w:val="19"/>
                <w:lang w:val="en-CA"/>
              </w:rPr>
              <w:t xml:space="preserve"> meeting, noting that stage II of the HPMP was scheduled to be submitted to </w:t>
            </w:r>
            <w:r w:rsidR="00863A35" w:rsidRPr="003B533B">
              <w:rPr>
                <w:sz w:val="19"/>
                <w:szCs w:val="19"/>
                <w:lang w:val="en-CA"/>
              </w:rPr>
              <w:t xml:space="preserve">the </w:t>
            </w:r>
            <w:r w:rsidRPr="003B533B">
              <w:rPr>
                <w:sz w:val="19"/>
                <w:szCs w:val="19"/>
                <w:lang w:val="en-CA"/>
              </w:rPr>
              <w:t>83</w:t>
            </w:r>
            <w:r w:rsidRPr="003B533B">
              <w:rPr>
                <w:sz w:val="19"/>
                <w:szCs w:val="19"/>
                <w:vertAlign w:val="superscript"/>
                <w:lang w:val="en-CA"/>
              </w:rPr>
              <w:t>rd</w:t>
            </w:r>
            <w:r w:rsidR="0094629C" w:rsidRPr="003B533B">
              <w:rPr>
                <w:sz w:val="19"/>
                <w:szCs w:val="19"/>
                <w:lang w:val="en-CA"/>
              </w:rPr>
              <w:t> </w:t>
            </w:r>
            <w:r w:rsidRPr="003B533B">
              <w:rPr>
                <w:sz w:val="19"/>
                <w:szCs w:val="19"/>
                <w:lang w:val="en-CA"/>
              </w:rPr>
              <w:t xml:space="preserve">meeting. </w:t>
            </w:r>
          </w:p>
        </w:tc>
      </w:tr>
      <w:tr w:rsidR="00286EF4" w:rsidRPr="003B533B" w14:paraId="0E4E5F66" w14:textId="77777777" w:rsidTr="00AF711F">
        <w:trPr>
          <w:trHeight w:val="651"/>
        </w:trPr>
        <w:tc>
          <w:tcPr>
            <w:tcW w:w="1560" w:type="dxa"/>
            <w:vMerge/>
            <w:shd w:val="clear" w:color="auto" w:fill="auto"/>
          </w:tcPr>
          <w:p w14:paraId="38BE28D5" w14:textId="77777777" w:rsidR="00286EF4" w:rsidRPr="003B533B" w:rsidRDefault="00286EF4" w:rsidP="00397C40">
            <w:pPr>
              <w:jc w:val="left"/>
              <w:rPr>
                <w:sz w:val="19"/>
                <w:szCs w:val="19"/>
                <w:lang w:val="en-CA" w:eastAsia="en-CA"/>
              </w:rPr>
            </w:pPr>
          </w:p>
        </w:tc>
        <w:tc>
          <w:tcPr>
            <w:tcW w:w="1276" w:type="dxa"/>
            <w:shd w:val="clear" w:color="auto" w:fill="auto"/>
          </w:tcPr>
          <w:p w14:paraId="72314832" w14:textId="77777777" w:rsidR="00286EF4" w:rsidRPr="003B533B" w:rsidRDefault="00286EF4" w:rsidP="00397C40">
            <w:pPr>
              <w:jc w:val="left"/>
              <w:rPr>
                <w:sz w:val="19"/>
                <w:szCs w:val="19"/>
                <w:lang w:val="en-CA" w:eastAsia="en-CA"/>
              </w:rPr>
            </w:pPr>
            <w:r w:rsidRPr="003B533B">
              <w:rPr>
                <w:sz w:val="19"/>
                <w:szCs w:val="19"/>
                <w:lang w:val="en-CA" w:eastAsia="en-CA"/>
              </w:rPr>
              <w:t>UNIDO</w:t>
            </w:r>
          </w:p>
        </w:tc>
        <w:tc>
          <w:tcPr>
            <w:tcW w:w="879" w:type="dxa"/>
            <w:shd w:val="clear" w:color="auto" w:fill="auto"/>
          </w:tcPr>
          <w:p w14:paraId="67AB97AE" w14:textId="77777777" w:rsidR="00286EF4" w:rsidRPr="003B533B" w:rsidRDefault="00286EF4" w:rsidP="00397C40">
            <w:pPr>
              <w:ind w:right="113"/>
              <w:jc w:val="center"/>
              <w:rPr>
                <w:sz w:val="19"/>
                <w:szCs w:val="19"/>
                <w:lang w:val="en-CA" w:eastAsia="en-CA"/>
              </w:rPr>
            </w:pPr>
            <w:r w:rsidRPr="003B533B">
              <w:rPr>
                <w:sz w:val="19"/>
                <w:szCs w:val="19"/>
                <w:lang w:val="en-CA" w:eastAsia="en-CA"/>
              </w:rPr>
              <w:t xml:space="preserve">2013 </w:t>
            </w:r>
          </w:p>
        </w:tc>
        <w:tc>
          <w:tcPr>
            <w:tcW w:w="1275" w:type="dxa"/>
            <w:shd w:val="clear" w:color="auto" w:fill="auto"/>
          </w:tcPr>
          <w:p w14:paraId="3CE6CF3E" w14:textId="77777777" w:rsidR="00286EF4" w:rsidRPr="003B533B" w:rsidRDefault="00286EF4" w:rsidP="00397C40">
            <w:pPr>
              <w:jc w:val="right"/>
              <w:rPr>
                <w:sz w:val="19"/>
                <w:szCs w:val="19"/>
                <w:lang w:val="en-CA" w:eastAsia="en-CA"/>
              </w:rPr>
            </w:pPr>
            <w:r w:rsidRPr="003B533B">
              <w:rPr>
                <w:sz w:val="19"/>
                <w:szCs w:val="19"/>
                <w:lang w:val="en-CA" w:eastAsia="en-CA"/>
              </w:rPr>
              <w:t>571,935</w:t>
            </w:r>
          </w:p>
        </w:tc>
        <w:tc>
          <w:tcPr>
            <w:tcW w:w="3373" w:type="dxa"/>
          </w:tcPr>
          <w:p w14:paraId="7DA95FFA" w14:textId="6B0A9265" w:rsidR="00286EF4" w:rsidRPr="003B533B" w:rsidRDefault="00286EF4" w:rsidP="00397C40">
            <w:pPr>
              <w:rPr>
                <w:sz w:val="19"/>
                <w:szCs w:val="19"/>
                <w:lang w:val="en-CA" w:eastAsia="en-CA"/>
              </w:rPr>
            </w:pPr>
            <w:r w:rsidRPr="003B533B">
              <w:rPr>
                <w:sz w:val="19"/>
                <w:szCs w:val="19"/>
                <w:lang w:val="en-CA" w:eastAsia="en-CA"/>
              </w:rPr>
              <w:t>Internal or external difficulties</w:t>
            </w:r>
          </w:p>
        </w:tc>
        <w:tc>
          <w:tcPr>
            <w:tcW w:w="5812" w:type="dxa"/>
            <w:vMerge/>
          </w:tcPr>
          <w:p w14:paraId="65D3ED95" w14:textId="77777777" w:rsidR="00286EF4" w:rsidRPr="003B533B" w:rsidRDefault="00286EF4" w:rsidP="00397C40">
            <w:pPr>
              <w:rPr>
                <w:sz w:val="19"/>
                <w:szCs w:val="19"/>
                <w:lang w:val="en-CA" w:eastAsia="en-CA"/>
              </w:rPr>
            </w:pPr>
          </w:p>
        </w:tc>
      </w:tr>
      <w:tr w:rsidR="00286EF4" w:rsidRPr="003B533B" w14:paraId="18004854" w14:textId="77777777" w:rsidTr="009F168D">
        <w:trPr>
          <w:trHeight w:val="206"/>
        </w:trPr>
        <w:tc>
          <w:tcPr>
            <w:tcW w:w="1560" w:type="dxa"/>
          </w:tcPr>
          <w:p w14:paraId="0AFE7360" w14:textId="77777777" w:rsidR="00286EF4" w:rsidRPr="003B533B" w:rsidRDefault="00286EF4" w:rsidP="00397C40">
            <w:pPr>
              <w:keepNext/>
              <w:jc w:val="left"/>
              <w:rPr>
                <w:sz w:val="19"/>
                <w:szCs w:val="19"/>
                <w:lang w:val="en-CA" w:eastAsia="en-CA"/>
              </w:rPr>
            </w:pPr>
            <w:r w:rsidRPr="003B533B">
              <w:rPr>
                <w:sz w:val="19"/>
                <w:szCs w:val="19"/>
                <w:lang w:val="en-CA" w:eastAsia="en-CA"/>
              </w:rPr>
              <w:t>Republic of Moldova (the) (Stage II)</w:t>
            </w:r>
          </w:p>
        </w:tc>
        <w:tc>
          <w:tcPr>
            <w:tcW w:w="1276" w:type="dxa"/>
          </w:tcPr>
          <w:p w14:paraId="5E9CD089" w14:textId="77777777" w:rsidR="00286EF4" w:rsidRPr="003B533B" w:rsidRDefault="00286EF4" w:rsidP="00397C40">
            <w:pPr>
              <w:keepNext/>
              <w:jc w:val="left"/>
              <w:rPr>
                <w:sz w:val="19"/>
                <w:szCs w:val="19"/>
                <w:lang w:val="en-CA" w:eastAsia="en-CA"/>
              </w:rPr>
            </w:pPr>
            <w:r w:rsidRPr="003B533B">
              <w:rPr>
                <w:sz w:val="19"/>
                <w:szCs w:val="19"/>
                <w:lang w:val="en-CA" w:eastAsia="en-CA"/>
              </w:rPr>
              <w:t>UNEP</w:t>
            </w:r>
          </w:p>
        </w:tc>
        <w:tc>
          <w:tcPr>
            <w:tcW w:w="879" w:type="dxa"/>
          </w:tcPr>
          <w:p w14:paraId="40F90D7B" w14:textId="77777777" w:rsidR="00286EF4" w:rsidRPr="003B533B" w:rsidRDefault="00286EF4" w:rsidP="00397C40">
            <w:pPr>
              <w:keepNext/>
              <w:jc w:val="center"/>
              <w:rPr>
                <w:sz w:val="19"/>
                <w:szCs w:val="19"/>
                <w:lang w:val="en-CA" w:eastAsia="en-CA"/>
              </w:rPr>
            </w:pPr>
            <w:r w:rsidRPr="003B533B">
              <w:rPr>
                <w:sz w:val="19"/>
                <w:szCs w:val="19"/>
                <w:lang w:val="en-CA" w:eastAsia="en-CA"/>
              </w:rPr>
              <w:t>2018</w:t>
            </w:r>
          </w:p>
        </w:tc>
        <w:tc>
          <w:tcPr>
            <w:tcW w:w="1275" w:type="dxa"/>
          </w:tcPr>
          <w:p w14:paraId="2D870F3C" w14:textId="77777777" w:rsidR="00286EF4" w:rsidRPr="003B533B" w:rsidRDefault="00286EF4" w:rsidP="00397C40">
            <w:pPr>
              <w:keepNext/>
              <w:jc w:val="right"/>
              <w:rPr>
                <w:sz w:val="19"/>
                <w:szCs w:val="19"/>
                <w:lang w:val="en-CA" w:eastAsia="en-CA"/>
              </w:rPr>
            </w:pPr>
            <w:r w:rsidRPr="003B533B">
              <w:rPr>
                <w:sz w:val="19"/>
                <w:szCs w:val="19"/>
                <w:lang w:val="en-CA" w:eastAsia="en-CA"/>
              </w:rPr>
              <w:t>29,493</w:t>
            </w:r>
          </w:p>
        </w:tc>
        <w:tc>
          <w:tcPr>
            <w:tcW w:w="3373" w:type="dxa"/>
          </w:tcPr>
          <w:p w14:paraId="31604BB0" w14:textId="77777777" w:rsidR="00286EF4" w:rsidRPr="003B533B" w:rsidRDefault="00286EF4" w:rsidP="00397C40">
            <w:pPr>
              <w:keepNext/>
              <w:rPr>
                <w:sz w:val="19"/>
                <w:szCs w:val="19"/>
                <w:lang w:val="en-CA" w:eastAsia="en-CA"/>
              </w:rPr>
            </w:pPr>
            <w:r w:rsidRPr="003B533B">
              <w:rPr>
                <w:sz w:val="19"/>
                <w:szCs w:val="19"/>
                <w:lang w:val="en-CA" w:eastAsia="en-CA"/>
              </w:rPr>
              <w:t>Sufficient funds from previous tranche approved/20 per cent disbursement threshold</w:t>
            </w:r>
          </w:p>
        </w:tc>
        <w:tc>
          <w:tcPr>
            <w:tcW w:w="5812" w:type="dxa"/>
          </w:tcPr>
          <w:p w14:paraId="56445F13" w14:textId="1316C9F8" w:rsidR="00286EF4" w:rsidRPr="003B533B" w:rsidRDefault="00286EF4" w:rsidP="00397C40">
            <w:pPr>
              <w:keepNext/>
              <w:rPr>
                <w:sz w:val="19"/>
                <w:szCs w:val="19"/>
                <w:lang w:val="en-CA"/>
              </w:rPr>
            </w:pPr>
            <w:r w:rsidRPr="003B533B">
              <w:rPr>
                <w:sz w:val="19"/>
                <w:szCs w:val="19"/>
                <w:lang w:val="en-CA"/>
              </w:rPr>
              <w:t xml:space="preserve">Noting that the overall disbursement rate of the first (2016) tranche of stage II of the HPMP was below the 20 per cent disbursement threshold and urging the Government of the Republic of Moldova to work with </w:t>
            </w:r>
            <w:r w:rsidRPr="003B533B">
              <w:rPr>
                <w:sz w:val="19"/>
                <w:szCs w:val="19"/>
                <w:lang w:val="en-CA" w:eastAsia="en-CA"/>
              </w:rPr>
              <w:t xml:space="preserve">UNEP </w:t>
            </w:r>
            <w:r w:rsidRPr="003B533B">
              <w:rPr>
                <w:sz w:val="19"/>
                <w:szCs w:val="19"/>
                <w:lang w:val="en-CA"/>
              </w:rPr>
              <w:t>so that the second (2018) tranche could be submitted to the 83</w:t>
            </w:r>
            <w:r w:rsidRPr="003B533B">
              <w:rPr>
                <w:sz w:val="19"/>
                <w:szCs w:val="19"/>
                <w:vertAlign w:val="superscript"/>
                <w:lang w:val="en-CA"/>
              </w:rPr>
              <w:t>rd</w:t>
            </w:r>
            <w:r w:rsidR="004E7467" w:rsidRPr="003B533B">
              <w:rPr>
                <w:sz w:val="19"/>
                <w:szCs w:val="19"/>
                <w:lang w:val="en-CA"/>
              </w:rPr>
              <w:t> </w:t>
            </w:r>
            <w:r w:rsidRPr="003B533B">
              <w:rPr>
                <w:sz w:val="19"/>
                <w:szCs w:val="19"/>
                <w:lang w:val="en-CA"/>
              </w:rPr>
              <w:t>meeting with a revised plan of action to take into account the reallocation of the 2018 and subsequent tranches, on the understanding that the 20 per cent disbursement threshold for funding of the previous tranche had been achieved.</w:t>
            </w:r>
          </w:p>
        </w:tc>
      </w:tr>
      <w:tr w:rsidR="00286EF4" w:rsidRPr="003B533B" w14:paraId="44E9CA5F" w14:textId="77777777" w:rsidTr="00807919">
        <w:trPr>
          <w:trHeight w:val="79"/>
        </w:trPr>
        <w:tc>
          <w:tcPr>
            <w:tcW w:w="1560" w:type="dxa"/>
          </w:tcPr>
          <w:p w14:paraId="5540219D" w14:textId="77777777" w:rsidR="00286EF4" w:rsidRPr="003B533B" w:rsidRDefault="00286EF4" w:rsidP="00397C40">
            <w:pPr>
              <w:keepNext/>
              <w:jc w:val="left"/>
              <w:rPr>
                <w:sz w:val="19"/>
                <w:szCs w:val="19"/>
                <w:lang w:val="en-CA" w:eastAsia="en-CA"/>
              </w:rPr>
            </w:pPr>
            <w:r w:rsidRPr="003B533B">
              <w:rPr>
                <w:sz w:val="19"/>
                <w:szCs w:val="19"/>
                <w:lang w:val="en-CA" w:eastAsia="en-CA"/>
              </w:rPr>
              <w:t>Saudi Arabia</w:t>
            </w:r>
          </w:p>
          <w:p w14:paraId="185663DF" w14:textId="77777777" w:rsidR="00286EF4" w:rsidRPr="003B533B" w:rsidRDefault="00286EF4" w:rsidP="00397C40">
            <w:pPr>
              <w:keepNext/>
              <w:jc w:val="left"/>
              <w:rPr>
                <w:sz w:val="19"/>
                <w:szCs w:val="19"/>
                <w:lang w:val="en-CA" w:eastAsia="en-CA"/>
              </w:rPr>
            </w:pPr>
            <w:r w:rsidRPr="003B533B">
              <w:rPr>
                <w:sz w:val="19"/>
                <w:szCs w:val="19"/>
                <w:lang w:val="en-CA" w:eastAsia="en-CA"/>
              </w:rPr>
              <w:t>(Stage I)</w:t>
            </w:r>
          </w:p>
          <w:p w14:paraId="454221B3" w14:textId="77777777" w:rsidR="00286EF4" w:rsidRPr="003B533B" w:rsidRDefault="00286EF4" w:rsidP="00397C40">
            <w:pPr>
              <w:keepNext/>
              <w:jc w:val="left"/>
              <w:rPr>
                <w:sz w:val="19"/>
                <w:szCs w:val="19"/>
                <w:lang w:val="en-CA" w:eastAsia="en-CA"/>
              </w:rPr>
            </w:pPr>
          </w:p>
        </w:tc>
        <w:tc>
          <w:tcPr>
            <w:tcW w:w="1276" w:type="dxa"/>
          </w:tcPr>
          <w:p w14:paraId="1513B901" w14:textId="77777777" w:rsidR="00286EF4" w:rsidRPr="003B533B" w:rsidRDefault="00286EF4" w:rsidP="00397C40">
            <w:pPr>
              <w:keepNext/>
              <w:jc w:val="left"/>
              <w:rPr>
                <w:sz w:val="19"/>
                <w:szCs w:val="19"/>
                <w:lang w:val="en-CA" w:eastAsia="en-CA"/>
              </w:rPr>
            </w:pPr>
            <w:r w:rsidRPr="003B533B">
              <w:rPr>
                <w:sz w:val="19"/>
                <w:szCs w:val="19"/>
                <w:lang w:val="en-CA" w:eastAsia="en-CA"/>
              </w:rPr>
              <w:t>UNIDO</w:t>
            </w:r>
          </w:p>
        </w:tc>
        <w:tc>
          <w:tcPr>
            <w:tcW w:w="879" w:type="dxa"/>
          </w:tcPr>
          <w:p w14:paraId="30AD2133" w14:textId="77777777" w:rsidR="00286EF4" w:rsidRPr="003B533B" w:rsidRDefault="00286EF4" w:rsidP="00397C40">
            <w:pPr>
              <w:keepNext/>
              <w:jc w:val="center"/>
              <w:rPr>
                <w:sz w:val="19"/>
                <w:szCs w:val="19"/>
                <w:lang w:val="en-CA" w:eastAsia="en-CA"/>
              </w:rPr>
            </w:pPr>
            <w:r w:rsidRPr="003B533B">
              <w:rPr>
                <w:sz w:val="19"/>
                <w:szCs w:val="19"/>
                <w:lang w:val="en-CA" w:eastAsia="en-CA"/>
              </w:rPr>
              <w:t>2016</w:t>
            </w:r>
          </w:p>
        </w:tc>
        <w:tc>
          <w:tcPr>
            <w:tcW w:w="1275" w:type="dxa"/>
          </w:tcPr>
          <w:p w14:paraId="7CDF6017" w14:textId="77777777" w:rsidR="00286EF4" w:rsidRPr="003B533B" w:rsidRDefault="00286EF4" w:rsidP="00397C40">
            <w:pPr>
              <w:keepNext/>
              <w:jc w:val="right"/>
              <w:rPr>
                <w:sz w:val="19"/>
                <w:szCs w:val="19"/>
                <w:lang w:val="en-CA" w:eastAsia="en-CA"/>
              </w:rPr>
            </w:pPr>
            <w:r w:rsidRPr="003B533B">
              <w:rPr>
                <w:sz w:val="19"/>
                <w:szCs w:val="19"/>
                <w:lang w:val="en-CA" w:eastAsia="en-CA"/>
              </w:rPr>
              <w:t>909,500</w:t>
            </w:r>
          </w:p>
        </w:tc>
        <w:tc>
          <w:tcPr>
            <w:tcW w:w="3373" w:type="dxa"/>
          </w:tcPr>
          <w:p w14:paraId="207645E6" w14:textId="0E8A983D" w:rsidR="00286EF4" w:rsidRPr="003B533B" w:rsidRDefault="00286EF4" w:rsidP="00397C40">
            <w:pPr>
              <w:keepNext/>
              <w:rPr>
                <w:sz w:val="19"/>
                <w:szCs w:val="19"/>
                <w:lang w:val="en-CA" w:eastAsia="en-CA"/>
              </w:rPr>
            </w:pPr>
            <w:r w:rsidRPr="003B533B">
              <w:rPr>
                <w:sz w:val="19"/>
                <w:szCs w:val="19"/>
                <w:lang w:val="en-CA" w:eastAsia="en-CA"/>
              </w:rPr>
              <w:t>Government decisions/endorsements/ changes in the NOU/structural change/ lack of verification report/20 per cent disbursement threshold</w:t>
            </w:r>
          </w:p>
        </w:tc>
        <w:tc>
          <w:tcPr>
            <w:tcW w:w="5812" w:type="dxa"/>
          </w:tcPr>
          <w:p w14:paraId="74643FA0" w14:textId="402F5934" w:rsidR="00286EF4" w:rsidRPr="003B533B" w:rsidRDefault="00286EF4" w:rsidP="00397C40">
            <w:pPr>
              <w:keepNext/>
              <w:rPr>
                <w:sz w:val="19"/>
                <w:szCs w:val="19"/>
                <w:lang w:val="en-CA"/>
              </w:rPr>
            </w:pPr>
            <w:r w:rsidRPr="003B533B">
              <w:rPr>
                <w:sz w:val="19"/>
                <w:szCs w:val="19"/>
                <w:lang w:val="en-CA"/>
              </w:rPr>
              <w:t xml:space="preserve">Noting that the mandatory verification of HCFC consumption targets has not been completed and that the overall disbursement rate of the fourth (2015) tranche of stage I of the HPMP was below the 20 per cent disbursement threshold and urging the Government of Saudi Arabia to work with </w:t>
            </w:r>
            <w:r w:rsidRPr="003B533B">
              <w:rPr>
                <w:sz w:val="19"/>
                <w:szCs w:val="19"/>
                <w:lang w:val="en-CA" w:eastAsia="en-CA"/>
              </w:rPr>
              <w:t>UNIDO</w:t>
            </w:r>
            <w:r w:rsidRPr="003B533B">
              <w:rPr>
                <w:sz w:val="19"/>
                <w:szCs w:val="19"/>
                <w:lang w:val="en-CA"/>
              </w:rPr>
              <w:t xml:space="preserve"> to complete the verification so that the fifth (2016) tranche of stage I of the HPMP could be submitted to the 83</w:t>
            </w:r>
            <w:r w:rsidRPr="003B533B">
              <w:rPr>
                <w:sz w:val="19"/>
                <w:szCs w:val="19"/>
                <w:vertAlign w:val="superscript"/>
                <w:lang w:val="en-CA"/>
              </w:rPr>
              <w:t>rd</w:t>
            </w:r>
            <w:r w:rsidRPr="003B533B">
              <w:rPr>
                <w:sz w:val="19"/>
                <w:szCs w:val="19"/>
                <w:lang w:val="en-CA"/>
              </w:rPr>
              <w:t xml:space="preserve"> or 84</w:t>
            </w:r>
            <w:r w:rsidRPr="003B533B">
              <w:rPr>
                <w:sz w:val="19"/>
                <w:szCs w:val="19"/>
                <w:vertAlign w:val="superscript"/>
                <w:lang w:val="en-CA"/>
              </w:rPr>
              <w:t>th</w:t>
            </w:r>
            <w:r w:rsidRPr="003B533B">
              <w:rPr>
                <w:sz w:val="19"/>
                <w:szCs w:val="19"/>
                <w:lang w:val="en-CA"/>
              </w:rPr>
              <w:t xml:space="preserve"> meeting with a revised plan of action to take into account </w:t>
            </w:r>
            <w:r w:rsidR="00314E77" w:rsidRPr="003B533B">
              <w:rPr>
                <w:sz w:val="19"/>
                <w:szCs w:val="19"/>
                <w:lang w:val="en-CA"/>
              </w:rPr>
              <w:t xml:space="preserve">the potential risk of non-compliance with its obligation under the Montreal Protocol </w:t>
            </w:r>
            <w:r w:rsidR="00314E77" w:rsidRPr="003B533B">
              <w:rPr>
                <w:sz w:val="19"/>
                <w:szCs w:val="19"/>
                <w:lang w:val="en-CA"/>
              </w:rPr>
              <w:t xml:space="preserve">and the </w:t>
            </w:r>
            <w:r w:rsidRPr="003B533B">
              <w:rPr>
                <w:sz w:val="19"/>
                <w:szCs w:val="19"/>
                <w:lang w:val="en-CA"/>
              </w:rPr>
              <w:t>reallocation of the 2016 and subsequent tranches, on the understanding that the 20 per cent disbursement threshold for funding of the previous tranche had been achieved.</w:t>
            </w:r>
          </w:p>
        </w:tc>
      </w:tr>
      <w:tr w:rsidR="00286EF4" w:rsidRPr="003B533B" w14:paraId="1F71EDB1" w14:textId="77777777" w:rsidTr="00AF711F">
        <w:trPr>
          <w:trHeight w:val="650"/>
        </w:trPr>
        <w:tc>
          <w:tcPr>
            <w:tcW w:w="1560" w:type="dxa"/>
            <w:vMerge w:val="restart"/>
          </w:tcPr>
          <w:p w14:paraId="3BEBBDFC" w14:textId="5744FF77" w:rsidR="00286EF4" w:rsidRPr="003B533B" w:rsidRDefault="00286EF4" w:rsidP="0014095B">
            <w:pPr>
              <w:jc w:val="left"/>
              <w:rPr>
                <w:sz w:val="19"/>
                <w:szCs w:val="19"/>
                <w:lang w:val="en-CA" w:eastAsia="en-CA"/>
              </w:rPr>
            </w:pPr>
            <w:r w:rsidRPr="003B533B">
              <w:rPr>
                <w:sz w:val="19"/>
                <w:szCs w:val="19"/>
                <w:lang w:val="en-CA" w:eastAsia="en-CA"/>
              </w:rPr>
              <w:t>Senegal (Stage I)</w:t>
            </w:r>
          </w:p>
        </w:tc>
        <w:tc>
          <w:tcPr>
            <w:tcW w:w="1276" w:type="dxa"/>
          </w:tcPr>
          <w:p w14:paraId="5DE42E55" w14:textId="2AA9F791"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tcPr>
          <w:p w14:paraId="15D25F27" w14:textId="7881E98D"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429920B4" w14:textId="2AE9B9C4" w:rsidR="00286EF4" w:rsidRPr="003B533B" w:rsidRDefault="00286EF4" w:rsidP="0014095B">
            <w:pPr>
              <w:jc w:val="right"/>
              <w:rPr>
                <w:sz w:val="19"/>
                <w:szCs w:val="19"/>
                <w:lang w:val="en-CA" w:eastAsia="en-CA"/>
              </w:rPr>
            </w:pPr>
            <w:r w:rsidRPr="003B533B">
              <w:rPr>
                <w:sz w:val="19"/>
                <w:szCs w:val="19"/>
                <w:lang w:val="en-CA" w:eastAsia="en-CA"/>
              </w:rPr>
              <w:t>90,400</w:t>
            </w:r>
          </w:p>
        </w:tc>
        <w:tc>
          <w:tcPr>
            <w:tcW w:w="3373" w:type="dxa"/>
          </w:tcPr>
          <w:p w14:paraId="07886273" w14:textId="15D258A7" w:rsidR="00286EF4" w:rsidRPr="003B533B" w:rsidRDefault="00286EF4" w:rsidP="0014095B">
            <w:pPr>
              <w:rPr>
                <w:sz w:val="19"/>
                <w:szCs w:val="19"/>
                <w:lang w:val="en-CA" w:eastAsia="en-CA"/>
              </w:rPr>
            </w:pPr>
            <w:r w:rsidRPr="003B533B">
              <w:rPr>
                <w:sz w:val="19"/>
                <w:szCs w:val="19"/>
                <w:lang w:val="en-CA" w:eastAsia="en-CA"/>
              </w:rPr>
              <w:t>Revision of agreement</w:t>
            </w:r>
          </w:p>
        </w:tc>
        <w:tc>
          <w:tcPr>
            <w:tcW w:w="5812" w:type="dxa"/>
            <w:vMerge w:val="restart"/>
          </w:tcPr>
          <w:p w14:paraId="16358D14" w14:textId="514273BD" w:rsidR="00286EF4" w:rsidRPr="003B533B" w:rsidRDefault="00286EF4" w:rsidP="0014095B">
            <w:pPr>
              <w:rPr>
                <w:sz w:val="19"/>
                <w:szCs w:val="19"/>
                <w:lang w:val="en-CA"/>
              </w:rPr>
            </w:pPr>
            <w:r w:rsidRPr="003B533B">
              <w:rPr>
                <w:sz w:val="19"/>
                <w:szCs w:val="19"/>
                <w:lang w:val="en-CA"/>
              </w:rPr>
              <w:t>Noting the delays due to the revision of the agreement and new action plan and urging the Government of Senegal to work with UNEP and UNIDO to complete the revised agreement so that the third (2018)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w:t>
            </w:r>
          </w:p>
        </w:tc>
      </w:tr>
      <w:tr w:rsidR="00286EF4" w:rsidRPr="003B533B" w14:paraId="4A4C0728" w14:textId="77777777" w:rsidTr="00AF711F">
        <w:trPr>
          <w:trHeight w:val="651"/>
        </w:trPr>
        <w:tc>
          <w:tcPr>
            <w:tcW w:w="1560" w:type="dxa"/>
            <w:vMerge/>
          </w:tcPr>
          <w:p w14:paraId="27D7352D" w14:textId="77777777" w:rsidR="00286EF4" w:rsidRPr="003B533B" w:rsidRDefault="00286EF4" w:rsidP="0014095B">
            <w:pPr>
              <w:jc w:val="left"/>
              <w:rPr>
                <w:sz w:val="19"/>
                <w:szCs w:val="19"/>
                <w:lang w:val="en-CA" w:eastAsia="en-CA"/>
              </w:rPr>
            </w:pPr>
          </w:p>
        </w:tc>
        <w:tc>
          <w:tcPr>
            <w:tcW w:w="1276" w:type="dxa"/>
          </w:tcPr>
          <w:p w14:paraId="061FC70F" w14:textId="558B3CDB" w:rsidR="00286EF4" w:rsidRPr="003B533B" w:rsidRDefault="00286EF4" w:rsidP="0014095B">
            <w:pPr>
              <w:jc w:val="left"/>
              <w:rPr>
                <w:sz w:val="19"/>
                <w:szCs w:val="19"/>
                <w:lang w:val="en-CA" w:eastAsia="en-CA"/>
              </w:rPr>
            </w:pPr>
            <w:r w:rsidRPr="003B533B">
              <w:rPr>
                <w:sz w:val="19"/>
                <w:szCs w:val="19"/>
                <w:lang w:val="en-CA" w:eastAsia="en-CA"/>
              </w:rPr>
              <w:t>UNIDO</w:t>
            </w:r>
          </w:p>
        </w:tc>
        <w:tc>
          <w:tcPr>
            <w:tcW w:w="879" w:type="dxa"/>
          </w:tcPr>
          <w:p w14:paraId="0C243769" w14:textId="63884B46"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646E6A05" w14:textId="7EBCA9AC" w:rsidR="00286EF4" w:rsidRPr="003B533B" w:rsidRDefault="00286EF4" w:rsidP="0014095B">
            <w:pPr>
              <w:jc w:val="right"/>
              <w:rPr>
                <w:sz w:val="19"/>
                <w:szCs w:val="19"/>
                <w:lang w:val="en-CA" w:eastAsia="en-CA"/>
              </w:rPr>
            </w:pPr>
            <w:r w:rsidRPr="003B533B">
              <w:rPr>
                <w:sz w:val="19"/>
                <w:szCs w:val="19"/>
                <w:lang w:val="en-CA" w:eastAsia="en-CA"/>
              </w:rPr>
              <w:t>21,500</w:t>
            </w:r>
          </w:p>
        </w:tc>
        <w:tc>
          <w:tcPr>
            <w:tcW w:w="3373" w:type="dxa"/>
          </w:tcPr>
          <w:p w14:paraId="7AE62877" w14:textId="419FBA16" w:rsidR="00286EF4" w:rsidRPr="003B533B" w:rsidRDefault="00286EF4" w:rsidP="0014095B">
            <w:pPr>
              <w:rPr>
                <w:sz w:val="19"/>
                <w:szCs w:val="19"/>
                <w:lang w:val="en-CA" w:eastAsia="en-CA"/>
              </w:rPr>
            </w:pPr>
            <w:r w:rsidRPr="003B533B">
              <w:rPr>
                <w:sz w:val="19"/>
                <w:szCs w:val="19"/>
                <w:lang w:val="en-CA" w:eastAsia="en-CA"/>
              </w:rPr>
              <w:t>Revision of agreement</w:t>
            </w:r>
          </w:p>
        </w:tc>
        <w:tc>
          <w:tcPr>
            <w:tcW w:w="5812" w:type="dxa"/>
            <w:vMerge/>
          </w:tcPr>
          <w:p w14:paraId="6AAB5796" w14:textId="77777777" w:rsidR="00286EF4" w:rsidRPr="003B533B" w:rsidRDefault="00286EF4" w:rsidP="0014095B">
            <w:pPr>
              <w:rPr>
                <w:sz w:val="19"/>
                <w:szCs w:val="19"/>
                <w:lang w:val="en-CA"/>
              </w:rPr>
            </w:pPr>
          </w:p>
        </w:tc>
      </w:tr>
      <w:tr w:rsidR="00286EF4" w:rsidRPr="003B533B" w14:paraId="1217DC10" w14:textId="77777777" w:rsidTr="00807919">
        <w:trPr>
          <w:trHeight w:val="860"/>
        </w:trPr>
        <w:tc>
          <w:tcPr>
            <w:tcW w:w="1560" w:type="dxa"/>
          </w:tcPr>
          <w:p w14:paraId="5805720E" w14:textId="77777777" w:rsidR="00286EF4" w:rsidRPr="003B533B" w:rsidRDefault="00286EF4" w:rsidP="0014095B">
            <w:pPr>
              <w:jc w:val="left"/>
              <w:rPr>
                <w:sz w:val="19"/>
                <w:szCs w:val="19"/>
                <w:lang w:val="en-CA" w:eastAsia="en-CA"/>
              </w:rPr>
            </w:pPr>
            <w:r w:rsidRPr="003B533B">
              <w:rPr>
                <w:sz w:val="19"/>
                <w:szCs w:val="19"/>
                <w:lang w:val="en-CA" w:eastAsia="en-CA"/>
              </w:rPr>
              <w:t>Sierra Leone (Stage I)</w:t>
            </w:r>
          </w:p>
        </w:tc>
        <w:tc>
          <w:tcPr>
            <w:tcW w:w="1276" w:type="dxa"/>
          </w:tcPr>
          <w:p w14:paraId="63F5713B" w14:textId="77777777" w:rsidR="00286EF4" w:rsidRPr="003B533B" w:rsidRDefault="00286EF4" w:rsidP="0014095B">
            <w:r w:rsidRPr="003B533B">
              <w:rPr>
                <w:sz w:val="19"/>
                <w:szCs w:val="19"/>
                <w:lang w:val="en-CA" w:eastAsia="en-CA"/>
              </w:rPr>
              <w:t>UNEP</w:t>
            </w:r>
          </w:p>
        </w:tc>
        <w:tc>
          <w:tcPr>
            <w:tcW w:w="879" w:type="dxa"/>
          </w:tcPr>
          <w:p w14:paraId="5A05BEB9" w14:textId="77777777"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29729454" w14:textId="77777777" w:rsidR="00286EF4" w:rsidRPr="003B533B" w:rsidRDefault="00286EF4" w:rsidP="0014095B">
            <w:pPr>
              <w:jc w:val="right"/>
              <w:rPr>
                <w:sz w:val="19"/>
                <w:szCs w:val="19"/>
                <w:lang w:val="en-CA" w:eastAsia="en-CA"/>
              </w:rPr>
            </w:pPr>
            <w:r w:rsidRPr="003B533B">
              <w:rPr>
                <w:sz w:val="19"/>
                <w:szCs w:val="19"/>
                <w:lang w:val="en-CA" w:eastAsia="en-CA"/>
              </w:rPr>
              <w:t>23,730</w:t>
            </w:r>
          </w:p>
        </w:tc>
        <w:tc>
          <w:tcPr>
            <w:tcW w:w="3373" w:type="dxa"/>
          </w:tcPr>
          <w:p w14:paraId="2BB11B2E" w14:textId="2D8D6BF6" w:rsidR="00286EF4" w:rsidRPr="003B533B" w:rsidRDefault="00286EF4" w:rsidP="0014095B">
            <w:pPr>
              <w:rPr>
                <w:sz w:val="19"/>
                <w:szCs w:val="19"/>
                <w:lang w:val="en-CA" w:eastAsia="en-CA"/>
              </w:rPr>
            </w:pPr>
            <w:r w:rsidRPr="003B533B">
              <w:rPr>
                <w:sz w:val="19"/>
                <w:szCs w:val="19"/>
                <w:lang w:val="en-CA" w:eastAsia="en-CA"/>
              </w:rPr>
              <w:t>Sufficient funds from previous tranche approved</w:t>
            </w:r>
          </w:p>
        </w:tc>
        <w:tc>
          <w:tcPr>
            <w:tcW w:w="5812" w:type="dxa"/>
          </w:tcPr>
          <w:p w14:paraId="446C842F" w14:textId="2ADADB41" w:rsidR="00286EF4" w:rsidRPr="003B533B" w:rsidRDefault="00286EF4" w:rsidP="00314E77">
            <w:pPr>
              <w:rPr>
                <w:sz w:val="19"/>
                <w:szCs w:val="19"/>
                <w:lang w:val="en-CA"/>
              </w:rPr>
            </w:pPr>
            <w:r w:rsidRPr="003B533B">
              <w:rPr>
                <w:sz w:val="19"/>
                <w:szCs w:val="19"/>
                <w:lang w:val="en-CA"/>
              </w:rPr>
              <w:t>Noting that the fourth (2018) tranche of stage I of the HPMP submitted to the 82</w:t>
            </w:r>
            <w:r w:rsidRPr="003B533B">
              <w:rPr>
                <w:sz w:val="19"/>
                <w:szCs w:val="19"/>
                <w:vertAlign w:val="superscript"/>
                <w:lang w:val="en-CA"/>
              </w:rPr>
              <w:t>nd</w:t>
            </w:r>
            <w:r w:rsidRPr="003B533B">
              <w:rPr>
                <w:sz w:val="19"/>
                <w:szCs w:val="19"/>
                <w:lang w:val="en-CA"/>
              </w:rPr>
              <w:t xml:space="preserve"> meeting had been withdrawn and urging the Government of Sierra Leone to work with UNEP</w:t>
            </w:r>
            <w:r w:rsidR="00745342" w:rsidRPr="003B533B">
              <w:rPr>
                <w:sz w:val="19"/>
                <w:szCs w:val="19"/>
                <w:lang w:val="en-CA"/>
              </w:rPr>
              <w:t xml:space="preserve"> to expedite implementation of the third (2016) tranche</w:t>
            </w:r>
            <w:r w:rsidRPr="003B533B">
              <w:rPr>
                <w:sz w:val="19"/>
                <w:szCs w:val="19"/>
                <w:lang w:val="en-CA"/>
              </w:rPr>
              <w:t xml:space="preserve"> so that the fourth tranche could be submitted to the 83</w:t>
            </w:r>
            <w:r w:rsidRPr="003B533B">
              <w:rPr>
                <w:sz w:val="19"/>
                <w:szCs w:val="19"/>
                <w:vertAlign w:val="superscript"/>
                <w:lang w:val="en-CA"/>
              </w:rPr>
              <w:t>rd</w:t>
            </w:r>
            <w:r w:rsidR="004E7467" w:rsidRPr="003B533B">
              <w:rPr>
                <w:sz w:val="19"/>
                <w:szCs w:val="19"/>
                <w:lang w:val="en-CA"/>
              </w:rPr>
              <w:t> </w:t>
            </w:r>
            <w:r w:rsidRPr="003B533B">
              <w:rPr>
                <w:sz w:val="19"/>
                <w:szCs w:val="19"/>
                <w:lang w:val="en-CA"/>
              </w:rPr>
              <w:t>meeting with a revised plan of action to take into account the reallocation of the 2018 and subsequent tranches.</w:t>
            </w:r>
          </w:p>
        </w:tc>
      </w:tr>
      <w:tr w:rsidR="00286EF4" w:rsidRPr="003B533B" w14:paraId="252C8303" w14:textId="77777777" w:rsidTr="00807919">
        <w:trPr>
          <w:trHeight w:val="860"/>
        </w:trPr>
        <w:tc>
          <w:tcPr>
            <w:tcW w:w="1560" w:type="dxa"/>
          </w:tcPr>
          <w:p w14:paraId="22726E12" w14:textId="637BE606" w:rsidR="00286EF4" w:rsidRPr="003B533B" w:rsidRDefault="00286EF4" w:rsidP="0014095B">
            <w:pPr>
              <w:jc w:val="left"/>
              <w:rPr>
                <w:sz w:val="19"/>
                <w:szCs w:val="19"/>
                <w:lang w:val="en-CA" w:eastAsia="en-CA"/>
              </w:rPr>
            </w:pPr>
            <w:r w:rsidRPr="003B533B">
              <w:rPr>
                <w:sz w:val="19"/>
                <w:szCs w:val="19"/>
                <w:lang w:val="en-CA" w:eastAsia="en-CA"/>
              </w:rPr>
              <w:t>South Africa (Stage I)</w:t>
            </w:r>
          </w:p>
        </w:tc>
        <w:tc>
          <w:tcPr>
            <w:tcW w:w="1276" w:type="dxa"/>
          </w:tcPr>
          <w:p w14:paraId="1AF56156" w14:textId="33C94440" w:rsidR="00286EF4" w:rsidRPr="003B533B" w:rsidRDefault="00286EF4" w:rsidP="0014095B">
            <w:pPr>
              <w:rPr>
                <w:sz w:val="19"/>
                <w:szCs w:val="19"/>
                <w:lang w:val="en-CA" w:eastAsia="en-CA"/>
              </w:rPr>
            </w:pPr>
            <w:r w:rsidRPr="003B533B">
              <w:rPr>
                <w:sz w:val="19"/>
                <w:szCs w:val="19"/>
                <w:lang w:val="en-CA" w:eastAsia="en-CA"/>
              </w:rPr>
              <w:t>UNIDO</w:t>
            </w:r>
          </w:p>
        </w:tc>
        <w:tc>
          <w:tcPr>
            <w:tcW w:w="879" w:type="dxa"/>
          </w:tcPr>
          <w:p w14:paraId="52A3EDF1" w14:textId="191E3A9D"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tcPr>
          <w:p w14:paraId="75EC1E40" w14:textId="37BB4A57" w:rsidR="00286EF4" w:rsidRPr="003B533B" w:rsidRDefault="00286EF4" w:rsidP="0014095B">
            <w:pPr>
              <w:jc w:val="right"/>
              <w:rPr>
                <w:sz w:val="19"/>
                <w:szCs w:val="19"/>
                <w:lang w:val="en-CA" w:eastAsia="en-CA"/>
              </w:rPr>
            </w:pPr>
            <w:r w:rsidRPr="003B533B">
              <w:rPr>
                <w:sz w:val="19"/>
                <w:szCs w:val="19"/>
                <w:lang w:val="en-CA" w:eastAsia="en-CA"/>
              </w:rPr>
              <w:t>534,585</w:t>
            </w:r>
          </w:p>
        </w:tc>
        <w:tc>
          <w:tcPr>
            <w:tcW w:w="3373" w:type="dxa"/>
          </w:tcPr>
          <w:p w14:paraId="7E516612" w14:textId="4877B529" w:rsidR="00286EF4" w:rsidRPr="003B533B" w:rsidRDefault="00286EF4" w:rsidP="0014095B">
            <w:pPr>
              <w:rPr>
                <w:sz w:val="19"/>
                <w:szCs w:val="19"/>
                <w:lang w:val="en-CA" w:eastAsia="en-CA"/>
              </w:rPr>
            </w:pPr>
            <w:r w:rsidRPr="003B533B">
              <w:rPr>
                <w:sz w:val="19"/>
                <w:szCs w:val="19"/>
                <w:lang w:val="en-CA" w:eastAsia="en-CA"/>
              </w:rPr>
              <w:t>Government decisions/endorsements/ changes in the NOU/structural change/ lack of verification report</w:t>
            </w:r>
          </w:p>
        </w:tc>
        <w:tc>
          <w:tcPr>
            <w:tcW w:w="5812" w:type="dxa"/>
          </w:tcPr>
          <w:p w14:paraId="13C5C53D" w14:textId="38EAE2F5" w:rsidR="00286EF4" w:rsidRPr="003B533B" w:rsidRDefault="00286EF4" w:rsidP="0014095B">
            <w:pPr>
              <w:rPr>
                <w:sz w:val="19"/>
                <w:szCs w:val="19"/>
                <w:lang w:val="en-CA"/>
              </w:rPr>
            </w:pPr>
            <w:r w:rsidRPr="003B533B">
              <w:rPr>
                <w:sz w:val="19"/>
                <w:szCs w:val="19"/>
                <w:lang w:val="en-CA"/>
              </w:rPr>
              <w:t xml:space="preserve">Noting that the mandatory verification on HCFC consumption targets had not been completed and urging the Government of South Africa to work with </w:t>
            </w:r>
            <w:r w:rsidRPr="003B533B">
              <w:rPr>
                <w:sz w:val="19"/>
                <w:szCs w:val="19"/>
                <w:lang w:val="en-CA" w:eastAsia="en-CA"/>
              </w:rPr>
              <w:t>UNIDO</w:t>
            </w:r>
            <w:r w:rsidRPr="003B533B">
              <w:rPr>
                <w:sz w:val="19"/>
                <w:szCs w:val="19"/>
                <w:lang w:val="en-CA"/>
              </w:rPr>
              <w:t xml:space="preserve"> to complete the verification so that the fourth (2016)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2016 and subsequent tranches.</w:t>
            </w:r>
          </w:p>
        </w:tc>
      </w:tr>
      <w:tr w:rsidR="00286EF4" w:rsidRPr="003B533B" w14:paraId="10B62B96" w14:textId="77777777" w:rsidTr="00807919">
        <w:trPr>
          <w:trHeight w:val="860"/>
        </w:trPr>
        <w:tc>
          <w:tcPr>
            <w:tcW w:w="1560" w:type="dxa"/>
            <w:vMerge w:val="restart"/>
          </w:tcPr>
          <w:p w14:paraId="14DA3AA6" w14:textId="2CF69FF1" w:rsidR="00286EF4" w:rsidRPr="003B533B" w:rsidRDefault="00286EF4" w:rsidP="0014095B">
            <w:pPr>
              <w:keepNext/>
              <w:keepLines/>
              <w:jc w:val="left"/>
              <w:rPr>
                <w:sz w:val="19"/>
                <w:szCs w:val="19"/>
                <w:lang w:val="en-CA" w:eastAsia="en-CA"/>
              </w:rPr>
            </w:pPr>
            <w:r w:rsidRPr="003B533B">
              <w:rPr>
                <w:sz w:val="19"/>
                <w:szCs w:val="19"/>
                <w:lang w:val="en-CA" w:eastAsia="en-CA"/>
              </w:rPr>
              <w:lastRenderedPageBreak/>
              <w:t>South Sudan (Stage I)</w:t>
            </w:r>
          </w:p>
        </w:tc>
        <w:tc>
          <w:tcPr>
            <w:tcW w:w="1276" w:type="dxa"/>
          </w:tcPr>
          <w:p w14:paraId="1308B8AA" w14:textId="1BF7B534" w:rsidR="00286EF4" w:rsidRPr="003B533B" w:rsidRDefault="00286EF4" w:rsidP="0014095B">
            <w:pPr>
              <w:rPr>
                <w:sz w:val="19"/>
                <w:szCs w:val="19"/>
                <w:lang w:val="en-CA" w:eastAsia="en-CA"/>
              </w:rPr>
            </w:pPr>
            <w:r w:rsidRPr="003B533B">
              <w:rPr>
                <w:sz w:val="19"/>
                <w:szCs w:val="19"/>
                <w:lang w:val="en-CA" w:eastAsia="en-CA"/>
              </w:rPr>
              <w:t>UNDP</w:t>
            </w:r>
          </w:p>
        </w:tc>
        <w:tc>
          <w:tcPr>
            <w:tcW w:w="879" w:type="dxa"/>
          </w:tcPr>
          <w:p w14:paraId="50A11ABD" w14:textId="34B3C663"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4F8B9B5A" w14:textId="6FCEA4FF" w:rsidR="00286EF4" w:rsidRPr="003B533B" w:rsidRDefault="00286EF4" w:rsidP="0014095B">
            <w:pPr>
              <w:jc w:val="right"/>
              <w:rPr>
                <w:sz w:val="19"/>
                <w:szCs w:val="19"/>
                <w:lang w:val="en-CA" w:eastAsia="en-CA"/>
              </w:rPr>
            </w:pPr>
            <w:r w:rsidRPr="003B533B">
              <w:rPr>
                <w:sz w:val="19"/>
                <w:szCs w:val="19"/>
                <w:lang w:val="en-CA" w:eastAsia="en-CA"/>
              </w:rPr>
              <w:t>54,500</w:t>
            </w:r>
          </w:p>
        </w:tc>
        <w:tc>
          <w:tcPr>
            <w:tcW w:w="3373" w:type="dxa"/>
          </w:tcPr>
          <w:p w14:paraId="39D3AB9B" w14:textId="2CF93D12" w:rsidR="00286EF4" w:rsidRPr="003B533B" w:rsidRDefault="00286EF4" w:rsidP="0014095B">
            <w:pPr>
              <w:keepNext/>
              <w:keepLines/>
              <w:rPr>
                <w:sz w:val="19"/>
                <w:szCs w:val="19"/>
                <w:lang w:val="en-CA" w:eastAsia="en-CA"/>
              </w:rPr>
            </w:pPr>
            <w:r w:rsidRPr="003B533B">
              <w:rPr>
                <w:sz w:val="19"/>
                <w:szCs w:val="19"/>
                <w:lang w:val="en-CA" w:eastAsia="en-CA"/>
              </w:rPr>
              <w:t>Government decisions/endorsements/ changes in the NOU/structural change/ internal or external difficulties/20 per cent disbursement threshold</w:t>
            </w:r>
          </w:p>
        </w:tc>
        <w:tc>
          <w:tcPr>
            <w:tcW w:w="5812" w:type="dxa"/>
            <w:vMerge w:val="restart"/>
          </w:tcPr>
          <w:p w14:paraId="086B1FF8" w14:textId="7B365753" w:rsidR="00286EF4" w:rsidRPr="003B533B" w:rsidRDefault="00286EF4" w:rsidP="00314E77">
            <w:pPr>
              <w:rPr>
                <w:sz w:val="19"/>
                <w:szCs w:val="19"/>
                <w:lang w:val="en-CA"/>
              </w:rPr>
            </w:pPr>
            <w:r w:rsidRPr="003B533B">
              <w:rPr>
                <w:sz w:val="19"/>
                <w:szCs w:val="19"/>
                <w:lang w:val="en-CA"/>
              </w:rPr>
              <w:t>Noting the structural change</w:t>
            </w:r>
            <w:r w:rsidRPr="003B533B">
              <w:t xml:space="preserve"> </w:t>
            </w:r>
            <w:r w:rsidRPr="003B533B">
              <w:rPr>
                <w:sz w:val="19"/>
                <w:szCs w:val="19"/>
                <w:lang w:val="en-CA"/>
              </w:rPr>
              <w:t>in the country and urging the Government of South Sudan to work with UNDP and UNEP so that the second (2018)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 on the understanding that the 20 per cent disbursement threshold for funding of the previous tranche had been achieved.</w:t>
            </w:r>
          </w:p>
        </w:tc>
      </w:tr>
      <w:tr w:rsidR="00286EF4" w:rsidRPr="003B533B" w14:paraId="6A5A3AC8" w14:textId="77777777" w:rsidTr="006E6862">
        <w:trPr>
          <w:trHeight w:val="649"/>
        </w:trPr>
        <w:tc>
          <w:tcPr>
            <w:tcW w:w="1560" w:type="dxa"/>
            <w:vMerge/>
          </w:tcPr>
          <w:p w14:paraId="22B663CD" w14:textId="77777777" w:rsidR="00286EF4" w:rsidRPr="003B533B" w:rsidRDefault="00286EF4" w:rsidP="0014095B">
            <w:pPr>
              <w:keepNext/>
              <w:keepLines/>
              <w:jc w:val="left"/>
              <w:rPr>
                <w:sz w:val="19"/>
                <w:szCs w:val="19"/>
                <w:lang w:val="en-CA" w:eastAsia="en-CA"/>
              </w:rPr>
            </w:pPr>
          </w:p>
        </w:tc>
        <w:tc>
          <w:tcPr>
            <w:tcW w:w="1276" w:type="dxa"/>
          </w:tcPr>
          <w:p w14:paraId="4A1F6FE9" w14:textId="08EF4776" w:rsidR="00286EF4" w:rsidRPr="003B533B" w:rsidRDefault="00286EF4" w:rsidP="0014095B">
            <w:pPr>
              <w:rPr>
                <w:sz w:val="19"/>
                <w:szCs w:val="19"/>
                <w:lang w:val="en-CA" w:eastAsia="en-CA"/>
              </w:rPr>
            </w:pPr>
            <w:r w:rsidRPr="003B533B">
              <w:rPr>
                <w:sz w:val="19"/>
                <w:szCs w:val="19"/>
                <w:lang w:val="en-CA" w:eastAsia="en-CA"/>
              </w:rPr>
              <w:t>UNEP</w:t>
            </w:r>
          </w:p>
        </w:tc>
        <w:tc>
          <w:tcPr>
            <w:tcW w:w="879" w:type="dxa"/>
          </w:tcPr>
          <w:p w14:paraId="33151F94" w14:textId="659CAD17"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4C6933C0" w14:textId="46A93F45" w:rsidR="00286EF4" w:rsidRPr="003B533B" w:rsidRDefault="00286EF4" w:rsidP="0014095B">
            <w:pPr>
              <w:jc w:val="right"/>
              <w:rPr>
                <w:sz w:val="19"/>
                <w:szCs w:val="19"/>
                <w:lang w:val="en-CA" w:eastAsia="en-CA"/>
              </w:rPr>
            </w:pPr>
            <w:r w:rsidRPr="003B533B">
              <w:rPr>
                <w:sz w:val="19"/>
                <w:szCs w:val="19"/>
                <w:lang w:val="en-CA" w:eastAsia="en-CA"/>
              </w:rPr>
              <w:t>79,665</w:t>
            </w:r>
          </w:p>
        </w:tc>
        <w:tc>
          <w:tcPr>
            <w:tcW w:w="3373" w:type="dxa"/>
          </w:tcPr>
          <w:p w14:paraId="7AF3356C" w14:textId="561A2EEB" w:rsidR="00286EF4" w:rsidRPr="003B533B" w:rsidRDefault="00286EF4" w:rsidP="0014095B">
            <w:pPr>
              <w:keepNext/>
              <w:keepLines/>
              <w:rPr>
                <w:sz w:val="19"/>
                <w:szCs w:val="19"/>
                <w:lang w:val="en-CA" w:eastAsia="en-CA"/>
              </w:rPr>
            </w:pPr>
            <w:r w:rsidRPr="003B533B">
              <w:rPr>
                <w:sz w:val="19"/>
                <w:szCs w:val="19"/>
                <w:lang w:val="en-CA" w:eastAsia="en-CA"/>
              </w:rPr>
              <w:t>Government decisions/endorsements/ changes in the NOU/structural change/ 20 per cent disbursement threshold</w:t>
            </w:r>
          </w:p>
        </w:tc>
        <w:tc>
          <w:tcPr>
            <w:tcW w:w="5812" w:type="dxa"/>
            <w:vMerge/>
          </w:tcPr>
          <w:p w14:paraId="5F5566EB" w14:textId="77777777" w:rsidR="00286EF4" w:rsidRPr="003B533B" w:rsidRDefault="00286EF4" w:rsidP="0014095B">
            <w:pPr>
              <w:rPr>
                <w:sz w:val="19"/>
                <w:szCs w:val="19"/>
                <w:lang w:val="en-CA"/>
              </w:rPr>
            </w:pPr>
          </w:p>
        </w:tc>
      </w:tr>
      <w:tr w:rsidR="00286EF4" w:rsidRPr="003B533B" w14:paraId="71678D5E" w14:textId="77777777" w:rsidTr="00807919">
        <w:trPr>
          <w:trHeight w:val="816"/>
        </w:trPr>
        <w:tc>
          <w:tcPr>
            <w:tcW w:w="1560" w:type="dxa"/>
          </w:tcPr>
          <w:p w14:paraId="38621540" w14:textId="77777777" w:rsidR="00286EF4" w:rsidRPr="003B533B" w:rsidRDefault="00286EF4" w:rsidP="0014095B">
            <w:pPr>
              <w:keepNext/>
              <w:keepLines/>
              <w:jc w:val="left"/>
              <w:rPr>
                <w:sz w:val="19"/>
                <w:szCs w:val="19"/>
                <w:lang w:val="en-CA" w:eastAsia="en-CA"/>
              </w:rPr>
            </w:pPr>
            <w:r w:rsidRPr="003B533B">
              <w:rPr>
                <w:sz w:val="19"/>
                <w:szCs w:val="19"/>
                <w:lang w:val="en-CA" w:eastAsia="en-CA"/>
              </w:rPr>
              <w:t>Togo (Stage I)</w:t>
            </w:r>
          </w:p>
        </w:tc>
        <w:tc>
          <w:tcPr>
            <w:tcW w:w="1276" w:type="dxa"/>
          </w:tcPr>
          <w:p w14:paraId="25D5FE03" w14:textId="77777777" w:rsidR="00286EF4" w:rsidRPr="003B533B" w:rsidRDefault="00286EF4" w:rsidP="0014095B">
            <w:r w:rsidRPr="003B533B">
              <w:rPr>
                <w:sz w:val="19"/>
                <w:szCs w:val="19"/>
                <w:lang w:val="en-CA" w:eastAsia="en-CA"/>
              </w:rPr>
              <w:t>UNEP</w:t>
            </w:r>
          </w:p>
        </w:tc>
        <w:tc>
          <w:tcPr>
            <w:tcW w:w="879" w:type="dxa"/>
          </w:tcPr>
          <w:p w14:paraId="1D7E70B0" w14:textId="77777777" w:rsidR="00286EF4" w:rsidRPr="003B533B" w:rsidRDefault="00286EF4" w:rsidP="0014095B">
            <w:pPr>
              <w:jc w:val="center"/>
              <w:rPr>
                <w:sz w:val="19"/>
                <w:szCs w:val="19"/>
                <w:lang w:val="en-CA" w:eastAsia="en-CA"/>
              </w:rPr>
            </w:pPr>
            <w:r w:rsidRPr="003B533B">
              <w:rPr>
                <w:sz w:val="19"/>
                <w:szCs w:val="19"/>
                <w:lang w:val="en-CA" w:eastAsia="en-CA"/>
              </w:rPr>
              <w:t>2018</w:t>
            </w:r>
          </w:p>
        </w:tc>
        <w:tc>
          <w:tcPr>
            <w:tcW w:w="1275" w:type="dxa"/>
          </w:tcPr>
          <w:p w14:paraId="16B5E13D" w14:textId="6C5EB160" w:rsidR="00286EF4" w:rsidRPr="003B533B" w:rsidRDefault="00286EF4" w:rsidP="0014095B">
            <w:pPr>
              <w:jc w:val="right"/>
              <w:rPr>
                <w:sz w:val="19"/>
                <w:szCs w:val="19"/>
                <w:lang w:val="en-CA" w:eastAsia="en-CA"/>
              </w:rPr>
            </w:pPr>
            <w:r w:rsidRPr="003B533B">
              <w:rPr>
                <w:sz w:val="19"/>
                <w:szCs w:val="19"/>
                <w:lang w:val="en-CA" w:eastAsia="en-CA"/>
              </w:rPr>
              <w:t>45,200</w:t>
            </w:r>
          </w:p>
        </w:tc>
        <w:tc>
          <w:tcPr>
            <w:tcW w:w="3373" w:type="dxa"/>
          </w:tcPr>
          <w:p w14:paraId="5A8E97B5" w14:textId="3CB41839" w:rsidR="00286EF4" w:rsidRPr="003B533B" w:rsidRDefault="00286EF4" w:rsidP="0014095B">
            <w:pPr>
              <w:keepNext/>
              <w:keepLines/>
              <w:rPr>
                <w:sz w:val="19"/>
                <w:szCs w:val="19"/>
                <w:lang w:val="en-CA" w:eastAsia="en-CA"/>
              </w:rPr>
            </w:pPr>
            <w:r w:rsidRPr="003B533B">
              <w:rPr>
                <w:sz w:val="19"/>
                <w:szCs w:val="19"/>
                <w:lang w:val="en-CA" w:eastAsia="en-CA"/>
              </w:rPr>
              <w:t>Lack of verification report</w:t>
            </w:r>
          </w:p>
        </w:tc>
        <w:tc>
          <w:tcPr>
            <w:tcW w:w="5812" w:type="dxa"/>
          </w:tcPr>
          <w:p w14:paraId="2B5EDD96" w14:textId="31FEB516" w:rsidR="00286EF4" w:rsidRPr="003B533B" w:rsidRDefault="00286EF4" w:rsidP="0014095B">
            <w:pPr>
              <w:rPr>
                <w:sz w:val="19"/>
                <w:szCs w:val="19"/>
                <w:lang w:val="en-CA"/>
              </w:rPr>
            </w:pPr>
            <w:r w:rsidRPr="003B533B">
              <w:rPr>
                <w:sz w:val="19"/>
                <w:szCs w:val="19"/>
                <w:lang w:val="en-CA"/>
              </w:rPr>
              <w:t xml:space="preserve">Noting that the mandatory verification on HCFC consumption targets had not been completed and urging the Government of Togo to work with </w:t>
            </w:r>
            <w:r w:rsidRPr="003B533B">
              <w:rPr>
                <w:sz w:val="19"/>
                <w:szCs w:val="19"/>
                <w:lang w:val="en-CA" w:eastAsia="en-CA"/>
              </w:rPr>
              <w:t xml:space="preserve">UNEP </w:t>
            </w:r>
            <w:r w:rsidRPr="003B533B">
              <w:rPr>
                <w:sz w:val="19"/>
                <w:szCs w:val="19"/>
                <w:lang w:val="en-CA"/>
              </w:rPr>
              <w:t>to complete the verification so that the fourth (2018)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2018 and subsequent tranches.</w:t>
            </w:r>
          </w:p>
        </w:tc>
      </w:tr>
      <w:tr w:rsidR="00286EF4" w:rsidRPr="003B533B" w14:paraId="3CD8B2AA" w14:textId="77777777" w:rsidTr="00994A20">
        <w:trPr>
          <w:trHeight w:val="449"/>
        </w:trPr>
        <w:tc>
          <w:tcPr>
            <w:tcW w:w="1560" w:type="dxa"/>
            <w:vMerge w:val="restart"/>
          </w:tcPr>
          <w:p w14:paraId="2CA75319" w14:textId="77777777" w:rsidR="00286EF4" w:rsidRPr="003B533B" w:rsidRDefault="00286EF4" w:rsidP="0014095B">
            <w:pPr>
              <w:jc w:val="left"/>
              <w:rPr>
                <w:sz w:val="19"/>
                <w:szCs w:val="19"/>
                <w:lang w:val="en-CA" w:eastAsia="en-CA"/>
              </w:rPr>
            </w:pPr>
            <w:r w:rsidRPr="003B533B">
              <w:rPr>
                <w:sz w:val="19"/>
                <w:szCs w:val="19"/>
                <w:lang w:val="en-CA" w:eastAsia="en-CA"/>
              </w:rPr>
              <w:t>Tunisia (Stage I)</w:t>
            </w:r>
          </w:p>
        </w:tc>
        <w:tc>
          <w:tcPr>
            <w:tcW w:w="1276" w:type="dxa"/>
          </w:tcPr>
          <w:p w14:paraId="2A2BBAFA" w14:textId="77777777" w:rsidR="00286EF4" w:rsidRPr="003B533B" w:rsidRDefault="00286EF4" w:rsidP="0014095B">
            <w:pPr>
              <w:rPr>
                <w:sz w:val="19"/>
                <w:szCs w:val="19"/>
                <w:lang w:val="en-CA" w:eastAsia="en-CA"/>
              </w:rPr>
            </w:pPr>
            <w:r w:rsidRPr="003B533B">
              <w:rPr>
                <w:sz w:val="19"/>
                <w:szCs w:val="19"/>
                <w:lang w:val="en-CA" w:eastAsia="en-CA"/>
              </w:rPr>
              <w:t>France</w:t>
            </w:r>
          </w:p>
        </w:tc>
        <w:tc>
          <w:tcPr>
            <w:tcW w:w="879" w:type="dxa"/>
          </w:tcPr>
          <w:p w14:paraId="6AB0DAF0" w14:textId="77777777" w:rsidR="00286EF4" w:rsidRPr="003B533B" w:rsidRDefault="00286EF4" w:rsidP="0014095B">
            <w:pPr>
              <w:jc w:val="center"/>
              <w:rPr>
                <w:sz w:val="19"/>
                <w:szCs w:val="19"/>
                <w:lang w:val="en-CA" w:eastAsia="en-CA"/>
              </w:rPr>
            </w:pPr>
            <w:r w:rsidRPr="003B533B">
              <w:rPr>
                <w:sz w:val="19"/>
                <w:szCs w:val="19"/>
                <w:lang w:val="en-CA" w:eastAsia="en-CA"/>
              </w:rPr>
              <w:t>2017</w:t>
            </w:r>
          </w:p>
        </w:tc>
        <w:tc>
          <w:tcPr>
            <w:tcW w:w="1275" w:type="dxa"/>
          </w:tcPr>
          <w:p w14:paraId="1DCC2C64" w14:textId="77777777" w:rsidR="00286EF4" w:rsidRPr="003B533B" w:rsidRDefault="00286EF4" w:rsidP="0014095B">
            <w:pPr>
              <w:jc w:val="right"/>
              <w:rPr>
                <w:sz w:val="19"/>
                <w:szCs w:val="19"/>
                <w:lang w:val="en-CA" w:eastAsia="en-CA"/>
              </w:rPr>
            </w:pPr>
            <w:r w:rsidRPr="003B533B">
              <w:rPr>
                <w:sz w:val="19"/>
                <w:szCs w:val="19"/>
                <w:lang w:val="en-CA" w:eastAsia="en-CA"/>
              </w:rPr>
              <w:t>78,769</w:t>
            </w:r>
          </w:p>
        </w:tc>
        <w:tc>
          <w:tcPr>
            <w:tcW w:w="3373" w:type="dxa"/>
          </w:tcPr>
          <w:p w14:paraId="3CCFADD4" w14:textId="72192CB6" w:rsidR="00286EF4" w:rsidRPr="003B533B" w:rsidRDefault="00286EF4" w:rsidP="0014095B">
            <w:pPr>
              <w:keepNext/>
              <w:keepLines/>
              <w:rPr>
                <w:sz w:val="19"/>
                <w:szCs w:val="19"/>
                <w:lang w:val="en-CA" w:eastAsia="en-CA"/>
              </w:rPr>
            </w:pPr>
            <w:r w:rsidRPr="003B533B">
              <w:rPr>
                <w:sz w:val="19"/>
                <w:szCs w:val="19"/>
                <w:lang w:val="en-CA" w:eastAsia="en-CA"/>
              </w:rPr>
              <w:t>Not Provided</w:t>
            </w:r>
          </w:p>
        </w:tc>
        <w:tc>
          <w:tcPr>
            <w:tcW w:w="5812" w:type="dxa"/>
            <w:vMerge w:val="restart"/>
          </w:tcPr>
          <w:p w14:paraId="064C6C05" w14:textId="6EC11159" w:rsidR="00286EF4" w:rsidRPr="003B533B" w:rsidRDefault="00286EF4" w:rsidP="00314E77">
            <w:pPr>
              <w:rPr>
                <w:sz w:val="19"/>
                <w:szCs w:val="19"/>
                <w:lang w:val="en-CA"/>
              </w:rPr>
            </w:pPr>
            <w:r w:rsidRPr="003B533B">
              <w:rPr>
                <w:sz w:val="19"/>
                <w:szCs w:val="19"/>
                <w:lang w:val="en-CA"/>
              </w:rPr>
              <w:t xml:space="preserve">Noting that there had been delays in the implementation of the refrigeration and air-conditioning sector component of stage I of the HPMP and urging the Government of Tunisia to work with the Government of France, UNEP and </w:t>
            </w:r>
            <w:r w:rsidRPr="003B533B">
              <w:rPr>
                <w:sz w:val="19"/>
                <w:szCs w:val="19"/>
                <w:lang w:val="en-CA" w:eastAsia="en-CA"/>
              </w:rPr>
              <w:t>UNIDO</w:t>
            </w:r>
            <w:r w:rsidRPr="003B533B">
              <w:rPr>
                <w:sz w:val="19"/>
                <w:szCs w:val="19"/>
                <w:lang w:val="en-CA"/>
              </w:rPr>
              <w:t xml:space="preserve"> so that the third (2017) tranche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2017 tranche.</w:t>
            </w:r>
          </w:p>
        </w:tc>
      </w:tr>
      <w:tr w:rsidR="00286EF4" w:rsidRPr="003B533B" w14:paraId="1010191A" w14:textId="77777777" w:rsidTr="00994A20">
        <w:trPr>
          <w:trHeight w:val="449"/>
        </w:trPr>
        <w:tc>
          <w:tcPr>
            <w:tcW w:w="1560" w:type="dxa"/>
            <w:vMerge/>
          </w:tcPr>
          <w:p w14:paraId="604AFC19" w14:textId="77777777" w:rsidR="00286EF4" w:rsidRPr="003B533B" w:rsidRDefault="00286EF4" w:rsidP="0014095B">
            <w:pPr>
              <w:jc w:val="left"/>
              <w:rPr>
                <w:sz w:val="19"/>
                <w:szCs w:val="19"/>
                <w:lang w:val="en-CA" w:eastAsia="en-CA"/>
              </w:rPr>
            </w:pPr>
          </w:p>
        </w:tc>
        <w:tc>
          <w:tcPr>
            <w:tcW w:w="1276" w:type="dxa"/>
          </w:tcPr>
          <w:p w14:paraId="37B62AD7" w14:textId="77777777" w:rsidR="00286EF4" w:rsidRPr="003B533B" w:rsidRDefault="00286EF4" w:rsidP="0014095B">
            <w:pPr>
              <w:rPr>
                <w:sz w:val="19"/>
                <w:szCs w:val="19"/>
                <w:lang w:val="en-CA" w:eastAsia="en-CA"/>
              </w:rPr>
            </w:pPr>
            <w:r w:rsidRPr="003B533B">
              <w:rPr>
                <w:sz w:val="19"/>
                <w:szCs w:val="19"/>
                <w:lang w:val="en-CA" w:eastAsia="en-CA"/>
              </w:rPr>
              <w:t>UNEP</w:t>
            </w:r>
          </w:p>
        </w:tc>
        <w:tc>
          <w:tcPr>
            <w:tcW w:w="879" w:type="dxa"/>
          </w:tcPr>
          <w:p w14:paraId="62965930" w14:textId="77777777" w:rsidR="00286EF4" w:rsidRPr="003B533B" w:rsidRDefault="00286EF4" w:rsidP="0014095B">
            <w:pPr>
              <w:jc w:val="center"/>
              <w:rPr>
                <w:sz w:val="19"/>
                <w:szCs w:val="19"/>
                <w:lang w:val="en-CA" w:eastAsia="en-CA"/>
              </w:rPr>
            </w:pPr>
            <w:r w:rsidRPr="003B533B">
              <w:rPr>
                <w:sz w:val="19"/>
                <w:szCs w:val="19"/>
                <w:lang w:val="en-CA" w:eastAsia="en-CA"/>
              </w:rPr>
              <w:t>2017</w:t>
            </w:r>
          </w:p>
        </w:tc>
        <w:tc>
          <w:tcPr>
            <w:tcW w:w="1275" w:type="dxa"/>
          </w:tcPr>
          <w:p w14:paraId="3CE87389" w14:textId="77777777" w:rsidR="00286EF4" w:rsidRPr="003B533B" w:rsidRDefault="00286EF4" w:rsidP="0014095B">
            <w:pPr>
              <w:jc w:val="right"/>
              <w:rPr>
                <w:sz w:val="19"/>
                <w:szCs w:val="19"/>
                <w:lang w:val="en-CA" w:eastAsia="en-CA"/>
              </w:rPr>
            </w:pPr>
            <w:r w:rsidRPr="003B533B">
              <w:rPr>
                <w:sz w:val="19"/>
                <w:szCs w:val="19"/>
                <w:lang w:val="en-CA" w:eastAsia="en-CA"/>
              </w:rPr>
              <w:t>16,950</w:t>
            </w:r>
          </w:p>
        </w:tc>
        <w:tc>
          <w:tcPr>
            <w:tcW w:w="3373" w:type="dxa"/>
          </w:tcPr>
          <w:p w14:paraId="3CA5143B" w14:textId="6EB7DFA4" w:rsidR="00286EF4" w:rsidRPr="003B533B" w:rsidRDefault="00286EF4" w:rsidP="0014095B">
            <w:pPr>
              <w:keepNext/>
              <w:keepLines/>
              <w:rPr>
                <w:sz w:val="19"/>
                <w:szCs w:val="19"/>
                <w:lang w:val="en-CA" w:eastAsia="en-CA"/>
              </w:rPr>
            </w:pPr>
            <w:r w:rsidRPr="003B533B">
              <w:rPr>
                <w:sz w:val="19"/>
                <w:szCs w:val="19"/>
                <w:lang w:val="en-CA" w:eastAsia="en-CA"/>
              </w:rPr>
              <w:t>Investment component implementation</w:t>
            </w:r>
          </w:p>
        </w:tc>
        <w:tc>
          <w:tcPr>
            <w:tcW w:w="5812" w:type="dxa"/>
            <w:vMerge/>
          </w:tcPr>
          <w:p w14:paraId="2405DD86" w14:textId="77777777" w:rsidR="00286EF4" w:rsidRPr="003B533B" w:rsidRDefault="00286EF4" w:rsidP="0014095B">
            <w:pPr>
              <w:rPr>
                <w:sz w:val="19"/>
                <w:szCs w:val="19"/>
                <w:lang w:val="en-CA"/>
              </w:rPr>
            </w:pPr>
          </w:p>
        </w:tc>
      </w:tr>
      <w:tr w:rsidR="00286EF4" w:rsidRPr="003B533B" w14:paraId="310A878A" w14:textId="77777777" w:rsidTr="00994A20">
        <w:trPr>
          <w:trHeight w:val="449"/>
        </w:trPr>
        <w:tc>
          <w:tcPr>
            <w:tcW w:w="1560" w:type="dxa"/>
            <w:vMerge/>
          </w:tcPr>
          <w:p w14:paraId="549FAF7E" w14:textId="77777777" w:rsidR="00286EF4" w:rsidRPr="003B533B" w:rsidRDefault="00286EF4" w:rsidP="0014095B">
            <w:pPr>
              <w:jc w:val="left"/>
              <w:rPr>
                <w:sz w:val="19"/>
                <w:szCs w:val="19"/>
                <w:lang w:val="en-CA" w:eastAsia="en-CA"/>
              </w:rPr>
            </w:pPr>
          </w:p>
        </w:tc>
        <w:tc>
          <w:tcPr>
            <w:tcW w:w="1276" w:type="dxa"/>
          </w:tcPr>
          <w:p w14:paraId="0D1C65B2" w14:textId="77777777" w:rsidR="00286EF4" w:rsidRPr="003B533B" w:rsidRDefault="00286EF4" w:rsidP="0014095B">
            <w:pPr>
              <w:rPr>
                <w:sz w:val="19"/>
                <w:szCs w:val="19"/>
                <w:lang w:val="en-CA" w:eastAsia="en-CA"/>
              </w:rPr>
            </w:pPr>
            <w:r w:rsidRPr="003B533B">
              <w:rPr>
                <w:sz w:val="19"/>
                <w:szCs w:val="19"/>
                <w:lang w:val="en-CA" w:eastAsia="en-CA"/>
              </w:rPr>
              <w:t>UNIDO</w:t>
            </w:r>
          </w:p>
        </w:tc>
        <w:tc>
          <w:tcPr>
            <w:tcW w:w="879" w:type="dxa"/>
          </w:tcPr>
          <w:p w14:paraId="157606E1" w14:textId="77777777" w:rsidR="00286EF4" w:rsidRPr="003B533B" w:rsidRDefault="00286EF4" w:rsidP="0014095B">
            <w:pPr>
              <w:jc w:val="center"/>
              <w:rPr>
                <w:sz w:val="19"/>
                <w:szCs w:val="19"/>
                <w:lang w:val="en-CA" w:eastAsia="en-CA"/>
              </w:rPr>
            </w:pPr>
            <w:r w:rsidRPr="003B533B">
              <w:rPr>
                <w:sz w:val="19"/>
                <w:szCs w:val="19"/>
                <w:lang w:val="en-CA" w:eastAsia="en-CA"/>
              </w:rPr>
              <w:t>2017</w:t>
            </w:r>
          </w:p>
        </w:tc>
        <w:tc>
          <w:tcPr>
            <w:tcW w:w="1275" w:type="dxa"/>
          </w:tcPr>
          <w:p w14:paraId="6BF29577" w14:textId="77777777" w:rsidR="00286EF4" w:rsidRPr="003B533B" w:rsidRDefault="00286EF4" w:rsidP="0014095B">
            <w:pPr>
              <w:jc w:val="right"/>
              <w:rPr>
                <w:sz w:val="19"/>
                <w:szCs w:val="19"/>
                <w:lang w:val="en-CA" w:eastAsia="en-CA"/>
              </w:rPr>
            </w:pPr>
            <w:r w:rsidRPr="003B533B">
              <w:rPr>
                <w:sz w:val="19"/>
                <w:szCs w:val="19"/>
                <w:lang w:val="en-CA" w:eastAsia="en-CA"/>
              </w:rPr>
              <w:t>116,003</w:t>
            </w:r>
          </w:p>
        </w:tc>
        <w:tc>
          <w:tcPr>
            <w:tcW w:w="3373" w:type="dxa"/>
          </w:tcPr>
          <w:p w14:paraId="545CEB1E" w14:textId="1668993D" w:rsidR="00286EF4" w:rsidRPr="003B533B" w:rsidRDefault="00286EF4" w:rsidP="0014095B">
            <w:pPr>
              <w:keepNext/>
              <w:keepLines/>
              <w:rPr>
                <w:sz w:val="19"/>
                <w:szCs w:val="19"/>
                <w:lang w:val="en-CA" w:eastAsia="en-CA"/>
              </w:rPr>
            </w:pPr>
            <w:r w:rsidRPr="003B533B">
              <w:rPr>
                <w:sz w:val="19"/>
                <w:szCs w:val="19"/>
                <w:lang w:val="en-CA" w:eastAsia="en-CA"/>
              </w:rPr>
              <w:t>Internal or external difficulties</w:t>
            </w:r>
          </w:p>
        </w:tc>
        <w:tc>
          <w:tcPr>
            <w:tcW w:w="5812" w:type="dxa"/>
            <w:vMerge/>
          </w:tcPr>
          <w:p w14:paraId="0BB4C587" w14:textId="77777777" w:rsidR="00286EF4" w:rsidRPr="003B533B" w:rsidRDefault="00286EF4" w:rsidP="0014095B">
            <w:pPr>
              <w:rPr>
                <w:sz w:val="19"/>
                <w:szCs w:val="19"/>
                <w:lang w:val="en-CA"/>
              </w:rPr>
            </w:pPr>
          </w:p>
        </w:tc>
      </w:tr>
      <w:tr w:rsidR="00286EF4" w:rsidRPr="003B533B" w14:paraId="0F80454B" w14:textId="77777777" w:rsidTr="00807919">
        <w:trPr>
          <w:trHeight w:val="410"/>
        </w:trPr>
        <w:tc>
          <w:tcPr>
            <w:tcW w:w="1560" w:type="dxa"/>
            <w:hideMark/>
          </w:tcPr>
          <w:p w14:paraId="7BFE7526" w14:textId="77777777" w:rsidR="00286EF4" w:rsidRPr="003B533B" w:rsidRDefault="00286EF4" w:rsidP="0014095B">
            <w:pPr>
              <w:jc w:val="left"/>
              <w:rPr>
                <w:sz w:val="19"/>
                <w:szCs w:val="19"/>
                <w:lang w:val="en-CA" w:eastAsia="en-CA"/>
              </w:rPr>
            </w:pPr>
            <w:r w:rsidRPr="003B533B">
              <w:rPr>
                <w:sz w:val="19"/>
                <w:szCs w:val="19"/>
                <w:lang w:val="en-CA" w:eastAsia="en-CA"/>
              </w:rPr>
              <w:t>Turkey (Stage I)</w:t>
            </w:r>
          </w:p>
        </w:tc>
        <w:tc>
          <w:tcPr>
            <w:tcW w:w="1276" w:type="dxa"/>
            <w:hideMark/>
          </w:tcPr>
          <w:p w14:paraId="6BE11F99" w14:textId="77777777" w:rsidR="00286EF4" w:rsidRPr="003B533B" w:rsidRDefault="00286EF4" w:rsidP="0014095B">
            <w:pPr>
              <w:jc w:val="left"/>
              <w:rPr>
                <w:sz w:val="19"/>
                <w:szCs w:val="19"/>
                <w:lang w:val="en-CA" w:eastAsia="en-CA"/>
              </w:rPr>
            </w:pPr>
            <w:r w:rsidRPr="003B533B">
              <w:rPr>
                <w:sz w:val="19"/>
                <w:szCs w:val="19"/>
                <w:lang w:val="en-CA" w:eastAsia="en-CA"/>
              </w:rPr>
              <w:t>UNIDO</w:t>
            </w:r>
          </w:p>
        </w:tc>
        <w:tc>
          <w:tcPr>
            <w:tcW w:w="879" w:type="dxa"/>
            <w:hideMark/>
          </w:tcPr>
          <w:p w14:paraId="368626E5" w14:textId="77777777" w:rsidR="00286EF4" w:rsidRPr="003B533B" w:rsidRDefault="00286EF4" w:rsidP="0014095B">
            <w:pPr>
              <w:jc w:val="center"/>
              <w:rPr>
                <w:sz w:val="19"/>
                <w:szCs w:val="19"/>
                <w:lang w:val="en-CA" w:eastAsia="en-CA"/>
              </w:rPr>
            </w:pPr>
            <w:r w:rsidRPr="003B533B">
              <w:rPr>
                <w:sz w:val="19"/>
                <w:szCs w:val="19"/>
                <w:lang w:val="en-CA" w:eastAsia="en-CA"/>
              </w:rPr>
              <w:t>2016</w:t>
            </w:r>
          </w:p>
        </w:tc>
        <w:tc>
          <w:tcPr>
            <w:tcW w:w="1275" w:type="dxa"/>
            <w:hideMark/>
          </w:tcPr>
          <w:p w14:paraId="538EF1D6" w14:textId="77777777" w:rsidR="00286EF4" w:rsidRPr="003B533B" w:rsidRDefault="00286EF4" w:rsidP="0014095B">
            <w:pPr>
              <w:jc w:val="right"/>
              <w:rPr>
                <w:sz w:val="19"/>
                <w:szCs w:val="19"/>
                <w:lang w:val="en-CA" w:eastAsia="en-CA"/>
              </w:rPr>
            </w:pPr>
            <w:r w:rsidRPr="003B533B">
              <w:rPr>
                <w:sz w:val="19"/>
                <w:szCs w:val="19"/>
                <w:lang w:val="en-CA" w:eastAsia="en-CA"/>
              </w:rPr>
              <w:t>1,710,770</w:t>
            </w:r>
          </w:p>
        </w:tc>
        <w:tc>
          <w:tcPr>
            <w:tcW w:w="3373" w:type="dxa"/>
            <w:hideMark/>
          </w:tcPr>
          <w:p w14:paraId="5C89FF3A" w14:textId="77777777" w:rsidR="00286EF4" w:rsidRPr="003B533B" w:rsidRDefault="00286EF4" w:rsidP="0014095B">
            <w:pPr>
              <w:rPr>
                <w:sz w:val="19"/>
                <w:szCs w:val="19"/>
                <w:lang w:val="en-CA" w:eastAsia="en-CA"/>
              </w:rPr>
            </w:pPr>
            <w:r w:rsidRPr="003B533B">
              <w:rPr>
                <w:sz w:val="19"/>
                <w:szCs w:val="19"/>
                <w:lang w:val="en-CA" w:eastAsia="en-CA"/>
              </w:rPr>
              <w:t>Sufficient funds from previous tranche approved/20 per cent disbursement threshold</w:t>
            </w:r>
          </w:p>
          <w:p w14:paraId="2DE085FF" w14:textId="19FD0FCC" w:rsidR="00286EF4" w:rsidRPr="003B533B" w:rsidRDefault="00286EF4" w:rsidP="0014095B">
            <w:pPr>
              <w:rPr>
                <w:sz w:val="19"/>
                <w:szCs w:val="19"/>
                <w:lang w:val="en-CA" w:eastAsia="en-CA"/>
              </w:rPr>
            </w:pPr>
          </w:p>
        </w:tc>
        <w:tc>
          <w:tcPr>
            <w:tcW w:w="5812" w:type="dxa"/>
          </w:tcPr>
          <w:p w14:paraId="198146A7" w14:textId="22BDADAA" w:rsidR="00286EF4" w:rsidRPr="003B533B" w:rsidRDefault="00286EF4" w:rsidP="0014095B">
            <w:pPr>
              <w:rPr>
                <w:sz w:val="19"/>
                <w:szCs w:val="19"/>
                <w:lang w:val="en-CA" w:eastAsia="en-CA"/>
              </w:rPr>
            </w:pPr>
            <w:r w:rsidRPr="003B533B">
              <w:rPr>
                <w:sz w:val="19"/>
                <w:szCs w:val="19"/>
                <w:lang w:val="en-CA"/>
              </w:rPr>
              <w:t>Noting that the overall disbursement rate of the second (2015) tranche of the HPMP was below the 20 per cent disbursement threshold and urging the Government of Turkey to work with UNIDO to expedite implementation so that the third (2016) tranche of stage 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2016 and subsequent tranches, on the understanding that the 20 per cent disbursement threshold for funding of the previous tranche had been achieved.</w:t>
            </w:r>
          </w:p>
        </w:tc>
      </w:tr>
      <w:tr w:rsidR="00286EF4" w:rsidRPr="003B533B" w14:paraId="32CFD4F1" w14:textId="77777777" w:rsidTr="00994A20">
        <w:trPr>
          <w:trHeight w:val="766"/>
        </w:trPr>
        <w:tc>
          <w:tcPr>
            <w:tcW w:w="1560" w:type="dxa"/>
            <w:vMerge w:val="restart"/>
          </w:tcPr>
          <w:p w14:paraId="46EF12CE" w14:textId="77777777" w:rsidR="00286EF4" w:rsidRPr="003B533B" w:rsidRDefault="00286EF4" w:rsidP="003B533B">
            <w:pPr>
              <w:jc w:val="left"/>
              <w:rPr>
                <w:sz w:val="19"/>
                <w:szCs w:val="19"/>
                <w:lang w:val="en-CA" w:eastAsia="en-CA"/>
              </w:rPr>
            </w:pPr>
            <w:r w:rsidRPr="003B533B">
              <w:rPr>
                <w:sz w:val="19"/>
                <w:szCs w:val="19"/>
                <w:lang w:val="en-CA" w:eastAsia="en-CA"/>
              </w:rPr>
              <w:t xml:space="preserve">Venezuela (Bolivarian Republic of) </w:t>
            </w:r>
          </w:p>
          <w:p w14:paraId="5CB14A64" w14:textId="77777777" w:rsidR="00286EF4" w:rsidRPr="003B533B" w:rsidRDefault="00286EF4" w:rsidP="003B533B">
            <w:pPr>
              <w:jc w:val="left"/>
              <w:rPr>
                <w:sz w:val="19"/>
                <w:szCs w:val="19"/>
                <w:lang w:val="en-CA" w:eastAsia="en-CA"/>
              </w:rPr>
            </w:pPr>
            <w:r w:rsidRPr="003B533B">
              <w:rPr>
                <w:sz w:val="19"/>
                <w:szCs w:val="19"/>
                <w:lang w:val="en-CA" w:eastAsia="en-CA"/>
              </w:rPr>
              <w:t>(Stage II)</w:t>
            </w:r>
          </w:p>
        </w:tc>
        <w:tc>
          <w:tcPr>
            <w:tcW w:w="1276" w:type="dxa"/>
          </w:tcPr>
          <w:p w14:paraId="187FCB34" w14:textId="77777777" w:rsidR="00286EF4" w:rsidRPr="003B533B" w:rsidRDefault="00286EF4" w:rsidP="003B533B">
            <w:pPr>
              <w:jc w:val="left"/>
              <w:rPr>
                <w:sz w:val="19"/>
                <w:szCs w:val="19"/>
                <w:lang w:val="en-CA" w:eastAsia="en-CA"/>
              </w:rPr>
            </w:pPr>
            <w:r w:rsidRPr="003B533B">
              <w:rPr>
                <w:sz w:val="19"/>
                <w:szCs w:val="19"/>
                <w:lang w:val="en-CA" w:eastAsia="en-CA"/>
              </w:rPr>
              <w:t>UNDP</w:t>
            </w:r>
          </w:p>
        </w:tc>
        <w:tc>
          <w:tcPr>
            <w:tcW w:w="879" w:type="dxa"/>
          </w:tcPr>
          <w:p w14:paraId="79A33A71" w14:textId="77777777" w:rsidR="00286EF4" w:rsidRPr="003B533B" w:rsidRDefault="00286EF4" w:rsidP="003B533B">
            <w:pPr>
              <w:jc w:val="center"/>
              <w:rPr>
                <w:sz w:val="19"/>
                <w:szCs w:val="19"/>
                <w:lang w:val="en-CA" w:eastAsia="en-CA"/>
              </w:rPr>
            </w:pPr>
            <w:r w:rsidRPr="003B533B">
              <w:rPr>
                <w:sz w:val="19"/>
                <w:szCs w:val="19"/>
                <w:lang w:val="en-CA" w:eastAsia="en-CA"/>
              </w:rPr>
              <w:t>2017</w:t>
            </w:r>
          </w:p>
        </w:tc>
        <w:tc>
          <w:tcPr>
            <w:tcW w:w="1275" w:type="dxa"/>
          </w:tcPr>
          <w:p w14:paraId="0605F5DE" w14:textId="77777777" w:rsidR="00286EF4" w:rsidRPr="003B533B" w:rsidRDefault="00286EF4" w:rsidP="003B533B">
            <w:pPr>
              <w:jc w:val="right"/>
              <w:rPr>
                <w:sz w:val="19"/>
                <w:szCs w:val="19"/>
                <w:lang w:val="en-CA" w:eastAsia="en-CA"/>
              </w:rPr>
            </w:pPr>
            <w:r w:rsidRPr="003B533B">
              <w:rPr>
                <w:sz w:val="19"/>
                <w:szCs w:val="19"/>
                <w:lang w:val="en-CA" w:eastAsia="en-CA"/>
              </w:rPr>
              <w:t>214,000</w:t>
            </w:r>
          </w:p>
        </w:tc>
        <w:tc>
          <w:tcPr>
            <w:tcW w:w="3373" w:type="dxa"/>
          </w:tcPr>
          <w:p w14:paraId="2DB60005" w14:textId="0AFBFB11" w:rsidR="00286EF4" w:rsidRPr="003B533B" w:rsidRDefault="00286EF4" w:rsidP="003B533B">
            <w:pPr>
              <w:rPr>
                <w:sz w:val="19"/>
                <w:szCs w:val="19"/>
                <w:lang w:val="en-CA" w:eastAsia="en-CA"/>
              </w:rPr>
            </w:pPr>
            <w:r w:rsidRPr="003B533B">
              <w:rPr>
                <w:sz w:val="19"/>
                <w:szCs w:val="19"/>
                <w:lang w:val="en-CA" w:eastAsia="en-CA"/>
              </w:rPr>
              <w:t>Government decisions/endorsements/ changes in the NOU/structural change/ 20 per cent disbursement threshold</w:t>
            </w:r>
          </w:p>
        </w:tc>
        <w:tc>
          <w:tcPr>
            <w:tcW w:w="5812" w:type="dxa"/>
            <w:vMerge w:val="restart"/>
          </w:tcPr>
          <w:p w14:paraId="3A2B8666" w14:textId="3A9414F3" w:rsidR="00286EF4" w:rsidRPr="003B533B" w:rsidRDefault="00286EF4" w:rsidP="003B533B">
            <w:pPr>
              <w:rPr>
                <w:sz w:val="19"/>
                <w:szCs w:val="19"/>
                <w:lang w:val="en-CA"/>
              </w:rPr>
            </w:pPr>
            <w:r w:rsidRPr="003B533B">
              <w:rPr>
                <w:sz w:val="19"/>
                <w:szCs w:val="19"/>
                <w:lang w:val="en-CA"/>
              </w:rPr>
              <w:t xml:space="preserve">Noting the request for cancellation of the foam sector plan implemented by UNDP and urging the Government of the </w:t>
            </w:r>
            <w:r w:rsidRPr="003B533B">
              <w:rPr>
                <w:sz w:val="19"/>
                <w:szCs w:val="19"/>
                <w:lang w:val="en-CA" w:eastAsia="en-CA"/>
              </w:rPr>
              <w:t xml:space="preserve">Bolivarian Republic of Venezuela </w:t>
            </w:r>
            <w:r w:rsidRPr="003B533B">
              <w:rPr>
                <w:sz w:val="19"/>
                <w:szCs w:val="19"/>
                <w:lang w:val="en-CA"/>
              </w:rPr>
              <w:t xml:space="preserve">to work with </w:t>
            </w:r>
            <w:r w:rsidRPr="003B533B">
              <w:rPr>
                <w:sz w:val="19"/>
                <w:szCs w:val="19"/>
                <w:lang w:val="en-CA" w:eastAsia="en-CA"/>
              </w:rPr>
              <w:t>UNIDO</w:t>
            </w:r>
            <w:r w:rsidRPr="003B533B">
              <w:rPr>
                <w:sz w:val="19"/>
                <w:szCs w:val="19"/>
                <w:lang w:val="en-CA"/>
              </w:rPr>
              <w:t xml:space="preserve"> to expedite the implementation of the first (2016) tranche so that the second (2017) tranche of stage II of the HPMP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2017 tranche and subsequent tranches.</w:t>
            </w:r>
          </w:p>
        </w:tc>
      </w:tr>
      <w:tr w:rsidR="00286EF4" w:rsidRPr="003B533B" w14:paraId="1B41751E" w14:textId="77777777" w:rsidTr="00994A20">
        <w:trPr>
          <w:trHeight w:val="766"/>
        </w:trPr>
        <w:tc>
          <w:tcPr>
            <w:tcW w:w="1560" w:type="dxa"/>
            <w:vMerge/>
          </w:tcPr>
          <w:p w14:paraId="6A28EBE1" w14:textId="77777777" w:rsidR="00286EF4" w:rsidRPr="003B533B" w:rsidRDefault="00286EF4" w:rsidP="003B533B">
            <w:pPr>
              <w:jc w:val="left"/>
              <w:rPr>
                <w:sz w:val="19"/>
                <w:szCs w:val="19"/>
                <w:lang w:val="en-CA" w:eastAsia="en-CA"/>
              </w:rPr>
            </w:pPr>
          </w:p>
        </w:tc>
        <w:tc>
          <w:tcPr>
            <w:tcW w:w="1276" w:type="dxa"/>
          </w:tcPr>
          <w:p w14:paraId="3EEDF7C5" w14:textId="77777777" w:rsidR="00286EF4" w:rsidRPr="003B533B" w:rsidRDefault="00286EF4" w:rsidP="003B533B">
            <w:pPr>
              <w:jc w:val="left"/>
              <w:rPr>
                <w:sz w:val="19"/>
                <w:szCs w:val="19"/>
                <w:lang w:val="en-CA" w:eastAsia="en-CA"/>
              </w:rPr>
            </w:pPr>
            <w:r w:rsidRPr="003B533B">
              <w:rPr>
                <w:sz w:val="19"/>
                <w:szCs w:val="19"/>
                <w:lang w:val="en-CA" w:eastAsia="en-CA"/>
              </w:rPr>
              <w:t>UNIDO</w:t>
            </w:r>
          </w:p>
        </w:tc>
        <w:tc>
          <w:tcPr>
            <w:tcW w:w="879" w:type="dxa"/>
          </w:tcPr>
          <w:p w14:paraId="4A472306" w14:textId="77777777" w:rsidR="00286EF4" w:rsidRPr="003B533B" w:rsidRDefault="00286EF4" w:rsidP="003B533B">
            <w:pPr>
              <w:jc w:val="center"/>
              <w:rPr>
                <w:sz w:val="19"/>
                <w:szCs w:val="19"/>
                <w:lang w:val="en-CA" w:eastAsia="en-CA"/>
              </w:rPr>
            </w:pPr>
            <w:r w:rsidRPr="003B533B">
              <w:rPr>
                <w:sz w:val="19"/>
                <w:szCs w:val="19"/>
                <w:lang w:val="en-CA" w:eastAsia="en-CA"/>
              </w:rPr>
              <w:t>2017</w:t>
            </w:r>
          </w:p>
        </w:tc>
        <w:tc>
          <w:tcPr>
            <w:tcW w:w="1275" w:type="dxa"/>
          </w:tcPr>
          <w:p w14:paraId="26176A95" w14:textId="77777777" w:rsidR="00286EF4" w:rsidRPr="003B533B" w:rsidRDefault="00286EF4" w:rsidP="003B533B">
            <w:pPr>
              <w:jc w:val="right"/>
              <w:rPr>
                <w:sz w:val="19"/>
                <w:szCs w:val="19"/>
                <w:lang w:val="en-CA" w:eastAsia="en-CA"/>
              </w:rPr>
            </w:pPr>
            <w:r w:rsidRPr="003B533B">
              <w:rPr>
                <w:sz w:val="19"/>
                <w:szCs w:val="19"/>
                <w:lang w:val="en-CA" w:eastAsia="en-CA"/>
              </w:rPr>
              <w:t>615,250</w:t>
            </w:r>
          </w:p>
        </w:tc>
        <w:tc>
          <w:tcPr>
            <w:tcW w:w="3373" w:type="dxa"/>
          </w:tcPr>
          <w:p w14:paraId="6B60A1F4" w14:textId="3375D611" w:rsidR="00286EF4" w:rsidRPr="003B533B" w:rsidRDefault="00286EF4" w:rsidP="003B533B">
            <w:pPr>
              <w:rPr>
                <w:sz w:val="19"/>
                <w:szCs w:val="19"/>
                <w:lang w:val="en-CA" w:eastAsia="en-CA"/>
              </w:rPr>
            </w:pPr>
            <w:r w:rsidRPr="003B533B">
              <w:rPr>
                <w:sz w:val="19"/>
                <w:szCs w:val="19"/>
                <w:lang w:val="en-CA" w:eastAsia="en-CA"/>
              </w:rPr>
              <w:t>Cooperating agency not ready for submission</w:t>
            </w:r>
          </w:p>
        </w:tc>
        <w:tc>
          <w:tcPr>
            <w:tcW w:w="5812" w:type="dxa"/>
            <w:vMerge/>
          </w:tcPr>
          <w:p w14:paraId="753206F2" w14:textId="77777777" w:rsidR="00286EF4" w:rsidRPr="003B533B" w:rsidRDefault="00286EF4" w:rsidP="003B533B">
            <w:pPr>
              <w:rPr>
                <w:sz w:val="19"/>
                <w:szCs w:val="19"/>
                <w:lang w:val="en-CA"/>
              </w:rPr>
            </w:pPr>
          </w:p>
        </w:tc>
      </w:tr>
      <w:tr w:rsidR="00286EF4" w:rsidRPr="003B533B" w14:paraId="519B4C82" w14:textId="77777777" w:rsidTr="00994A20">
        <w:trPr>
          <w:trHeight w:val="981"/>
        </w:trPr>
        <w:tc>
          <w:tcPr>
            <w:tcW w:w="1560" w:type="dxa"/>
            <w:vMerge w:val="restart"/>
          </w:tcPr>
          <w:p w14:paraId="570977D4" w14:textId="77777777" w:rsidR="00286EF4" w:rsidRPr="003B533B" w:rsidRDefault="00286EF4" w:rsidP="003B533B">
            <w:pPr>
              <w:jc w:val="left"/>
              <w:rPr>
                <w:sz w:val="19"/>
                <w:szCs w:val="19"/>
                <w:lang w:val="en-CA" w:eastAsia="en-CA"/>
              </w:rPr>
            </w:pPr>
            <w:r w:rsidRPr="003B533B">
              <w:rPr>
                <w:sz w:val="19"/>
                <w:szCs w:val="19"/>
                <w:lang w:val="en-CA" w:eastAsia="en-CA"/>
              </w:rPr>
              <w:t xml:space="preserve">Viet Nam </w:t>
            </w:r>
          </w:p>
          <w:p w14:paraId="361D40FC" w14:textId="2B723289" w:rsidR="00286EF4" w:rsidRPr="003B533B" w:rsidRDefault="00286EF4" w:rsidP="003B533B">
            <w:pPr>
              <w:jc w:val="left"/>
              <w:rPr>
                <w:sz w:val="19"/>
                <w:szCs w:val="19"/>
                <w:lang w:val="en-CA" w:eastAsia="en-CA"/>
              </w:rPr>
            </w:pPr>
            <w:r w:rsidRPr="003B533B">
              <w:rPr>
                <w:sz w:val="19"/>
                <w:szCs w:val="19"/>
                <w:lang w:val="en-CA" w:eastAsia="en-CA"/>
              </w:rPr>
              <w:t>(Stage II)</w:t>
            </w:r>
          </w:p>
        </w:tc>
        <w:tc>
          <w:tcPr>
            <w:tcW w:w="1276" w:type="dxa"/>
          </w:tcPr>
          <w:p w14:paraId="1B52D4B2" w14:textId="06C389B4" w:rsidR="00286EF4" w:rsidRPr="003B533B" w:rsidRDefault="00286EF4" w:rsidP="003B533B">
            <w:pPr>
              <w:jc w:val="left"/>
              <w:rPr>
                <w:sz w:val="19"/>
                <w:szCs w:val="19"/>
                <w:lang w:val="en-CA" w:eastAsia="en-CA"/>
              </w:rPr>
            </w:pPr>
            <w:r w:rsidRPr="003B533B">
              <w:rPr>
                <w:sz w:val="19"/>
                <w:szCs w:val="19"/>
                <w:lang w:val="en-CA" w:eastAsia="en-CA"/>
              </w:rPr>
              <w:t>World Bank</w:t>
            </w:r>
          </w:p>
        </w:tc>
        <w:tc>
          <w:tcPr>
            <w:tcW w:w="879" w:type="dxa"/>
          </w:tcPr>
          <w:p w14:paraId="53B67FA3" w14:textId="2B96D425" w:rsidR="00286EF4" w:rsidRPr="003B533B" w:rsidRDefault="00286EF4" w:rsidP="003B533B">
            <w:pPr>
              <w:jc w:val="center"/>
              <w:rPr>
                <w:sz w:val="19"/>
                <w:szCs w:val="19"/>
                <w:lang w:val="en-CA" w:eastAsia="en-CA"/>
              </w:rPr>
            </w:pPr>
            <w:r w:rsidRPr="003B533B">
              <w:rPr>
                <w:sz w:val="19"/>
                <w:szCs w:val="19"/>
                <w:lang w:val="en-CA" w:eastAsia="en-CA"/>
              </w:rPr>
              <w:t>2017</w:t>
            </w:r>
          </w:p>
        </w:tc>
        <w:tc>
          <w:tcPr>
            <w:tcW w:w="1275" w:type="dxa"/>
          </w:tcPr>
          <w:p w14:paraId="1B4B7B4A" w14:textId="54554E3B" w:rsidR="00286EF4" w:rsidRPr="003B533B" w:rsidRDefault="00286EF4" w:rsidP="003B533B">
            <w:pPr>
              <w:jc w:val="right"/>
              <w:rPr>
                <w:sz w:val="19"/>
                <w:szCs w:val="19"/>
                <w:lang w:val="en-CA" w:eastAsia="en-CA"/>
              </w:rPr>
            </w:pPr>
            <w:r w:rsidRPr="003B533B">
              <w:rPr>
                <w:sz w:val="19"/>
                <w:szCs w:val="19"/>
                <w:lang w:val="en-CA" w:eastAsia="en-CA"/>
              </w:rPr>
              <w:t>2,331,737</w:t>
            </w:r>
          </w:p>
        </w:tc>
        <w:tc>
          <w:tcPr>
            <w:tcW w:w="3373" w:type="dxa"/>
          </w:tcPr>
          <w:p w14:paraId="39C58F03" w14:textId="78F9A969" w:rsidR="00286EF4" w:rsidRPr="003B533B" w:rsidRDefault="00286EF4" w:rsidP="003B533B">
            <w:pPr>
              <w:rPr>
                <w:sz w:val="19"/>
                <w:szCs w:val="19"/>
                <w:lang w:val="en-CA" w:eastAsia="en-CA"/>
              </w:rPr>
            </w:pPr>
            <w:r w:rsidRPr="003B533B">
              <w:rPr>
                <w:sz w:val="19"/>
                <w:szCs w:val="19"/>
                <w:lang w:val="en-CA" w:eastAsia="en-CA"/>
              </w:rPr>
              <w:t>Signing of agreement/project document/ 20 per cent disburse</w:t>
            </w:r>
            <w:bookmarkStart w:id="0" w:name="_GoBack"/>
            <w:bookmarkEnd w:id="0"/>
            <w:r w:rsidRPr="003B533B">
              <w:rPr>
                <w:sz w:val="19"/>
                <w:szCs w:val="19"/>
                <w:lang w:val="en-CA" w:eastAsia="en-CA"/>
              </w:rPr>
              <w:t>ment threshold</w:t>
            </w:r>
          </w:p>
        </w:tc>
        <w:tc>
          <w:tcPr>
            <w:tcW w:w="5812" w:type="dxa"/>
            <w:vMerge w:val="restart"/>
          </w:tcPr>
          <w:p w14:paraId="6B0C4AB7" w14:textId="1A3D3078" w:rsidR="00286EF4" w:rsidRPr="003B533B" w:rsidRDefault="00286EF4" w:rsidP="003B533B">
            <w:pPr>
              <w:rPr>
                <w:sz w:val="19"/>
                <w:szCs w:val="19"/>
                <w:lang w:val="en-CA" w:eastAsia="en-CA"/>
              </w:rPr>
            </w:pPr>
            <w:r w:rsidRPr="003B533B">
              <w:rPr>
                <w:sz w:val="19"/>
                <w:szCs w:val="19"/>
                <w:lang w:val="en-CA"/>
              </w:rPr>
              <w:t xml:space="preserve">Noting that the agreement had not been signed and the overall disbursement rate of the </w:t>
            </w:r>
            <w:r w:rsidR="002D0E12" w:rsidRPr="003B533B">
              <w:rPr>
                <w:sz w:val="19"/>
                <w:szCs w:val="19"/>
                <w:lang w:val="en-CA"/>
              </w:rPr>
              <w:t>first</w:t>
            </w:r>
            <w:r w:rsidRPr="003B533B">
              <w:rPr>
                <w:sz w:val="19"/>
                <w:szCs w:val="19"/>
                <w:lang w:val="en-CA"/>
              </w:rPr>
              <w:t xml:space="preserve"> </w:t>
            </w:r>
            <w:r w:rsidR="00314E77" w:rsidRPr="003B533B">
              <w:rPr>
                <w:sz w:val="19"/>
                <w:szCs w:val="19"/>
                <w:lang w:val="en-CA"/>
              </w:rPr>
              <w:t>(201</w:t>
            </w:r>
            <w:r w:rsidR="002D0E12" w:rsidRPr="003B533B">
              <w:rPr>
                <w:sz w:val="19"/>
                <w:szCs w:val="19"/>
                <w:lang w:val="en-CA"/>
              </w:rPr>
              <w:t>6</w:t>
            </w:r>
            <w:r w:rsidR="00314E77" w:rsidRPr="003B533B">
              <w:rPr>
                <w:sz w:val="19"/>
                <w:szCs w:val="19"/>
                <w:lang w:val="en-CA"/>
              </w:rPr>
              <w:t xml:space="preserve">) </w:t>
            </w:r>
            <w:r w:rsidRPr="003B533B">
              <w:rPr>
                <w:sz w:val="19"/>
                <w:szCs w:val="19"/>
                <w:lang w:val="en-CA"/>
              </w:rPr>
              <w:t xml:space="preserve">tranche of the HPMP was below the 20 per cent disbursement threshold, and urging the Government of Viet Nam to work with the Government of Japan and the World Bank to expedite the signing of the agreement so that the second </w:t>
            </w:r>
            <w:r w:rsidRPr="003B533B">
              <w:rPr>
                <w:sz w:val="19"/>
                <w:szCs w:val="19"/>
                <w:lang w:val="en-CA"/>
              </w:rPr>
              <w:t xml:space="preserve">(2017) </w:t>
            </w:r>
            <w:r w:rsidRPr="003B533B">
              <w:rPr>
                <w:sz w:val="19"/>
                <w:szCs w:val="19"/>
                <w:lang w:val="en-CA"/>
              </w:rPr>
              <w:t>tranche could be submitted to the 83</w:t>
            </w:r>
            <w:r w:rsidRPr="003B533B">
              <w:rPr>
                <w:sz w:val="19"/>
                <w:szCs w:val="19"/>
                <w:vertAlign w:val="superscript"/>
                <w:lang w:val="en-CA"/>
              </w:rPr>
              <w:t>rd</w:t>
            </w:r>
            <w:r w:rsidRPr="003B533B">
              <w:rPr>
                <w:sz w:val="19"/>
                <w:szCs w:val="19"/>
                <w:lang w:val="en-CA"/>
              </w:rPr>
              <w:t xml:space="preserve"> meeting with a revised plan of action to take into account the reallocation of the 2017 and subsequent tranches, on the understanding that the 20 per cent disbursement threshold for funding of the previous tranche had been achieved.</w:t>
            </w:r>
          </w:p>
        </w:tc>
      </w:tr>
      <w:tr w:rsidR="00286EF4" w:rsidRPr="003B533B" w14:paraId="22A9656E" w14:textId="77777777" w:rsidTr="00994A20">
        <w:trPr>
          <w:trHeight w:val="981"/>
        </w:trPr>
        <w:tc>
          <w:tcPr>
            <w:tcW w:w="1560" w:type="dxa"/>
            <w:vMerge/>
          </w:tcPr>
          <w:p w14:paraId="64D6DFBF" w14:textId="77777777" w:rsidR="00286EF4" w:rsidRPr="003B533B" w:rsidRDefault="00286EF4" w:rsidP="0014095B">
            <w:pPr>
              <w:jc w:val="left"/>
              <w:rPr>
                <w:sz w:val="19"/>
                <w:szCs w:val="19"/>
                <w:lang w:val="en-CA" w:eastAsia="en-CA"/>
              </w:rPr>
            </w:pPr>
          </w:p>
        </w:tc>
        <w:tc>
          <w:tcPr>
            <w:tcW w:w="1276" w:type="dxa"/>
          </w:tcPr>
          <w:p w14:paraId="22528BAA" w14:textId="5F4FF259" w:rsidR="00286EF4" w:rsidRPr="003B533B" w:rsidRDefault="00286EF4" w:rsidP="0014095B">
            <w:pPr>
              <w:jc w:val="left"/>
              <w:rPr>
                <w:sz w:val="19"/>
                <w:szCs w:val="19"/>
                <w:lang w:val="en-CA" w:eastAsia="en-CA"/>
              </w:rPr>
            </w:pPr>
            <w:r w:rsidRPr="003B533B">
              <w:rPr>
                <w:sz w:val="19"/>
                <w:szCs w:val="19"/>
                <w:lang w:val="en-CA" w:eastAsia="en-CA"/>
              </w:rPr>
              <w:t>Japan</w:t>
            </w:r>
          </w:p>
        </w:tc>
        <w:tc>
          <w:tcPr>
            <w:tcW w:w="879" w:type="dxa"/>
          </w:tcPr>
          <w:p w14:paraId="53C4B41A" w14:textId="67A70F83" w:rsidR="00286EF4" w:rsidRPr="003B533B" w:rsidRDefault="00286EF4" w:rsidP="0014095B">
            <w:pPr>
              <w:jc w:val="center"/>
              <w:rPr>
                <w:sz w:val="19"/>
                <w:szCs w:val="19"/>
                <w:lang w:val="en-CA" w:eastAsia="en-CA"/>
              </w:rPr>
            </w:pPr>
            <w:r w:rsidRPr="003B533B">
              <w:rPr>
                <w:sz w:val="19"/>
                <w:szCs w:val="19"/>
                <w:lang w:val="en-CA" w:eastAsia="en-CA"/>
              </w:rPr>
              <w:t>2017</w:t>
            </w:r>
          </w:p>
        </w:tc>
        <w:tc>
          <w:tcPr>
            <w:tcW w:w="1275" w:type="dxa"/>
          </w:tcPr>
          <w:p w14:paraId="3C3E1DE4" w14:textId="0F0B0BE1" w:rsidR="00286EF4" w:rsidRPr="003B533B" w:rsidRDefault="00286EF4" w:rsidP="0014095B">
            <w:pPr>
              <w:jc w:val="right"/>
              <w:rPr>
                <w:sz w:val="19"/>
                <w:szCs w:val="19"/>
                <w:lang w:val="en-CA" w:eastAsia="en-CA"/>
              </w:rPr>
            </w:pPr>
            <w:r w:rsidRPr="003B533B">
              <w:rPr>
                <w:sz w:val="19"/>
                <w:szCs w:val="19"/>
                <w:lang w:val="en-CA" w:eastAsia="en-CA"/>
              </w:rPr>
              <w:t>185,297</w:t>
            </w:r>
          </w:p>
        </w:tc>
        <w:tc>
          <w:tcPr>
            <w:tcW w:w="3373" w:type="dxa"/>
          </w:tcPr>
          <w:p w14:paraId="360D8281" w14:textId="7BB89F74" w:rsidR="00286EF4" w:rsidRPr="003B533B" w:rsidRDefault="00286EF4" w:rsidP="0014095B">
            <w:pPr>
              <w:rPr>
                <w:sz w:val="19"/>
                <w:szCs w:val="19"/>
                <w:lang w:val="en-CA" w:eastAsia="en-CA"/>
              </w:rPr>
            </w:pPr>
            <w:r w:rsidRPr="003B533B">
              <w:rPr>
                <w:sz w:val="19"/>
                <w:szCs w:val="19"/>
                <w:lang w:val="en-CA" w:eastAsia="en-CA"/>
              </w:rPr>
              <w:t>Signing of agreement/project document/ 20 per cent disbursement threshold</w:t>
            </w:r>
          </w:p>
        </w:tc>
        <w:tc>
          <w:tcPr>
            <w:tcW w:w="5812" w:type="dxa"/>
            <w:vMerge/>
          </w:tcPr>
          <w:p w14:paraId="3F545E10" w14:textId="77777777" w:rsidR="00286EF4" w:rsidRPr="003B533B" w:rsidRDefault="00286EF4" w:rsidP="0014095B">
            <w:pPr>
              <w:rPr>
                <w:sz w:val="19"/>
                <w:szCs w:val="19"/>
                <w:lang w:val="en-CA" w:eastAsia="en-CA"/>
              </w:rPr>
            </w:pPr>
          </w:p>
        </w:tc>
      </w:tr>
      <w:tr w:rsidR="00286EF4" w:rsidRPr="003B533B" w14:paraId="197E8D62" w14:textId="77777777" w:rsidTr="00807919">
        <w:trPr>
          <w:trHeight w:val="287"/>
        </w:trPr>
        <w:tc>
          <w:tcPr>
            <w:tcW w:w="1560" w:type="dxa"/>
            <w:hideMark/>
          </w:tcPr>
          <w:p w14:paraId="3936B579" w14:textId="77777777" w:rsidR="00286EF4" w:rsidRPr="003B533B" w:rsidRDefault="00286EF4" w:rsidP="0014095B">
            <w:pPr>
              <w:jc w:val="left"/>
              <w:rPr>
                <w:b/>
                <w:sz w:val="19"/>
                <w:szCs w:val="19"/>
                <w:lang w:val="en-CA" w:eastAsia="en-CA"/>
              </w:rPr>
            </w:pPr>
            <w:r w:rsidRPr="003B533B">
              <w:rPr>
                <w:b/>
                <w:sz w:val="19"/>
                <w:szCs w:val="19"/>
                <w:lang w:val="en-CA" w:eastAsia="en-CA"/>
              </w:rPr>
              <w:t>Total</w:t>
            </w:r>
          </w:p>
        </w:tc>
        <w:tc>
          <w:tcPr>
            <w:tcW w:w="1276" w:type="dxa"/>
          </w:tcPr>
          <w:p w14:paraId="02DCB7EE" w14:textId="77777777" w:rsidR="00286EF4" w:rsidRPr="003B533B" w:rsidRDefault="00286EF4" w:rsidP="0014095B">
            <w:pPr>
              <w:jc w:val="center"/>
              <w:rPr>
                <w:b/>
                <w:sz w:val="19"/>
                <w:szCs w:val="19"/>
                <w:lang w:val="en-CA" w:eastAsia="en-CA"/>
              </w:rPr>
            </w:pPr>
          </w:p>
        </w:tc>
        <w:tc>
          <w:tcPr>
            <w:tcW w:w="879" w:type="dxa"/>
          </w:tcPr>
          <w:p w14:paraId="6888D82F" w14:textId="77777777" w:rsidR="00286EF4" w:rsidRPr="003B533B" w:rsidRDefault="00286EF4" w:rsidP="0014095B">
            <w:pPr>
              <w:jc w:val="center"/>
              <w:rPr>
                <w:b/>
                <w:sz w:val="19"/>
                <w:szCs w:val="19"/>
                <w:lang w:val="en-CA" w:eastAsia="en-CA"/>
              </w:rPr>
            </w:pPr>
          </w:p>
        </w:tc>
        <w:tc>
          <w:tcPr>
            <w:tcW w:w="1275" w:type="dxa"/>
            <w:hideMark/>
          </w:tcPr>
          <w:p w14:paraId="64DA8227" w14:textId="2CB1E72A" w:rsidR="00286EF4" w:rsidRPr="003B533B" w:rsidRDefault="00286EF4" w:rsidP="0014095B">
            <w:pPr>
              <w:jc w:val="right"/>
              <w:rPr>
                <w:b/>
                <w:sz w:val="19"/>
                <w:szCs w:val="19"/>
                <w:lang w:val="en-CA" w:eastAsia="en-CA"/>
              </w:rPr>
            </w:pPr>
            <w:r w:rsidRPr="003B533B">
              <w:rPr>
                <w:b/>
                <w:sz w:val="19"/>
                <w:szCs w:val="19"/>
                <w:lang w:val="en-CA" w:eastAsia="en-CA"/>
              </w:rPr>
              <w:t>31,659,144*</w:t>
            </w:r>
          </w:p>
        </w:tc>
        <w:tc>
          <w:tcPr>
            <w:tcW w:w="3373" w:type="dxa"/>
          </w:tcPr>
          <w:p w14:paraId="2DC00569" w14:textId="77777777" w:rsidR="00286EF4" w:rsidRPr="003B533B" w:rsidRDefault="00286EF4" w:rsidP="0014095B">
            <w:pPr>
              <w:rPr>
                <w:b/>
                <w:sz w:val="19"/>
                <w:szCs w:val="19"/>
                <w:lang w:val="en-CA" w:eastAsia="en-CA"/>
              </w:rPr>
            </w:pPr>
          </w:p>
        </w:tc>
        <w:tc>
          <w:tcPr>
            <w:tcW w:w="5812" w:type="dxa"/>
          </w:tcPr>
          <w:p w14:paraId="3A9C4E8F" w14:textId="77777777" w:rsidR="00286EF4" w:rsidRPr="003B533B" w:rsidRDefault="00286EF4" w:rsidP="0014095B">
            <w:pPr>
              <w:rPr>
                <w:b/>
                <w:sz w:val="19"/>
                <w:szCs w:val="19"/>
                <w:lang w:val="en-CA" w:eastAsia="en-CA"/>
              </w:rPr>
            </w:pPr>
          </w:p>
        </w:tc>
      </w:tr>
    </w:tbl>
    <w:p w14:paraId="27029C61" w14:textId="7C837CCA" w:rsidR="001B20F4" w:rsidRPr="00B41072" w:rsidRDefault="001B20F4" w:rsidP="0014095B">
      <w:pPr>
        <w:tabs>
          <w:tab w:val="left" w:pos="426"/>
          <w:tab w:val="left" w:pos="2185"/>
          <w:tab w:val="left" w:pos="2742"/>
          <w:tab w:val="left" w:pos="3829"/>
          <w:tab w:val="left" w:pos="6671"/>
          <w:tab w:val="left" w:pos="7624"/>
          <w:tab w:val="left" w:pos="8384"/>
        </w:tabs>
        <w:ind w:left="426"/>
        <w:rPr>
          <w:bCs/>
          <w:caps/>
          <w:color w:val="000000"/>
          <w:sz w:val="19"/>
          <w:szCs w:val="19"/>
          <w:lang w:val="en-CA"/>
        </w:rPr>
      </w:pPr>
      <w:r w:rsidRPr="003B533B">
        <w:rPr>
          <w:bCs/>
          <w:caps/>
          <w:color w:val="000000"/>
          <w:sz w:val="19"/>
          <w:szCs w:val="19"/>
          <w:lang w:val="en-CA"/>
        </w:rPr>
        <w:t>*</w:t>
      </w:r>
      <w:r w:rsidRPr="003B533B">
        <w:rPr>
          <w:bCs/>
          <w:color w:val="000000"/>
          <w:sz w:val="19"/>
          <w:szCs w:val="19"/>
          <w:lang w:val="en-CA"/>
        </w:rPr>
        <w:t xml:space="preserve">Excluding </w:t>
      </w:r>
      <w:r w:rsidR="00E52FAA" w:rsidRPr="003B533B">
        <w:rPr>
          <w:bCs/>
          <w:color w:val="000000"/>
          <w:sz w:val="19"/>
          <w:szCs w:val="19"/>
          <w:lang w:val="en-CA"/>
        </w:rPr>
        <w:t xml:space="preserve">Barbados, </w:t>
      </w:r>
      <w:r w:rsidR="002E2F8A" w:rsidRPr="003B533B">
        <w:rPr>
          <w:bCs/>
          <w:color w:val="000000"/>
          <w:sz w:val="19"/>
          <w:szCs w:val="19"/>
          <w:lang w:val="en-CA"/>
        </w:rPr>
        <w:t xml:space="preserve">Haiti and Saint Vincent and the Grenadines </w:t>
      </w:r>
      <w:r w:rsidRPr="003B533B">
        <w:rPr>
          <w:bCs/>
          <w:color w:val="000000"/>
          <w:sz w:val="19"/>
          <w:szCs w:val="19"/>
          <w:lang w:val="en-CA"/>
        </w:rPr>
        <w:t>for which the tranche could be submitted to the 82</w:t>
      </w:r>
      <w:r w:rsidRPr="003B533B">
        <w:rPr>
          <w:bCs/>
          <w:color w:val="000000"/>
          <w:sz w:val="19"/>
          <w:szCs w:val="19"/>
          <w:vertAlign w:val="superscript"/>
          <w:lang w:val="en-CA"/>
        </w:rPr>
        <w:t>nd</w:t>
      </w:r>
      <w:r w:rsidRPr="003B533B">
        <w:rPr>
          <w:bCs/>
          <w:color w:val="000000"/>
          <w:sz w:val="19"/>
          <w:szCs w:val="19"/>
          <w:lang w:val="en-CA"/>
        </w:rPr>
        <w:t xml:space="preserve"> </w:t>
      </w:r>
      <w:r w:rsidR="002E2F8A" w:rsidRPr="003B533B">
        <w:rPr>
          <w:bCs/>
          <w:color w:val="000000"/>
          <w:sz w:val="19"/>
          <w:szCs w:val="19"/>
          <w:lang w:val="en-CA"/>
        </w:rPr>
        <w:t>or 83</w:t>
      </w:r>
      <w:r w:rsidR="002E2F8A" w:rsidRPr="003B533B">
        <w:rPr>
          <w:bCs/>
          <w:color w:val="000000"/>
          <w:sz w:val="19"/>
          <w:szCs w:val="19"/>
          <w:vertAlign w:val="superscript"/>
          <w:lang w:val="en-CA"/>
        </w:rPr>
        <w:t>rd</w:t>
      </w:r>
      <w:r w:rsidR="002E2F8A" w:rsidRPr="003B533B">
        <w:rPr>
          <w:bCs/>
          <w:color w:val="000000"/>
          <w:sz w:val="19"/>
          <w:szCs w:val="19"/>
          <w:lang w:val="en-CA"/>
        </w:rPr>
        <w:t xml:space="preserve"> </w:t>
      </w:r>
      <w:r w:rsidRPr="003B533B">
        <w:rPr>
          <w:bCs/>
          <w:color w:val="000000"/>
          <w:sz w:val="19"/>
          <w:szCs w:val="19"/>
          <w:lang w:val="en-CA"/>
        </w:rPr>
        <w:t>meeting</w:t>
      </w:r>
      <w:r w:rsidR="00277ADD" w:rsidRPr="003B533B">
        <w:rPr>
          <w:bCs/>
          <w:color w:val="000000"/>
          <w:sz w:val="19"/>
          <w:szCs w:val="19"/>
          <w:lang w:val="en-CA"/>
        </w:rPr>
        <w:t xml:space="preserve"> (decision </w:t>
      </w:r>
      <w:r w:rsidR="00286EF4" w:rsidRPr="003B533B">
        <w:rPr>
          <w:bCs/>
          <w:color w:val="000000"/>
          <w:sz w:val="19"/>
          <w:szCs w:val="19"/>
          <w:lang w:val="en-CA"/>
        </w:rPr>
        <w:t>8</w:t>
      </w:r>
      <w:r w:rsidR="00277ADD" w:rsidRPr="003B533B">
        <w:rPr>
          <w:bCs/>
          <w:color w:val="000000"/>
          <w:sz w:val="19"/>
          <w:szCs w:val="19"/>
          <w:lang w:val="en-CA"/>
        </w:rPr>
        <w:t>1/27(b))</w:t>
      </w:r>
      <w:r w:rsidRPr="003B533B">
        <w:rPr>
          <w:bCs/>
          <w:color w:val="000000"/>
          <w:sz w:val="19"/>
          <w:szCs w:val="19"/>
          <w:lang w:val="en-CA"/>
        </w:rPr>
        <w:t>.</w:t>
      </w:r>
      <w:r>
        <w:rPr>
          <w:bCs/>
          <w:color w:val="000000"/>
          <w:sz w:val="19"/>
          <w:szCs w:val="19"/>
          <w:lang w:val="en-CA"/>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14:paraId="458FDABD" w14:textId="77777777" w:rsidTr="000D3556">
        <w:trPr>
          <w:jc w:val="center"/>
        </w:trPr>
        <w:tc>
          <w:tcPr>
            <w:tcW w:w="1871" w:type="dxa"/>
          </w:tcPr>
          <w:p w14:paraId="74218423" w14:textId="77777777" w:rsidR="00E85409" w:rsidRDefault="00E85409" w:rsidP="0014095B"/>
        </w:tc>
        <w:tc>
          <w:tcPr>
            <w:tcW w:w="1872" w:type="dxa"/>
          </w:tcPr>
          <w:p w14:paraId="44D728CD" w14:textId="77777777" w:rsidR="00E85409" w:rsidRDefault="00E85409" w:rsidP="0014095B"/>
        </w:tc>
        <w:tc>
          <w:tcPr>
            <w:tcW w:w="1872" w:type="dxa"/>
            <w:tcBorders>
              <w:bottom w:val="single" w:sz="4" w:space="0" w:color="auto"/>
            </w:tcBorders>
          </w:tcPr>
          <w:p w14:paraId="0D452481" w14:textId="77777777" w:rsidR="00E85409" w:rsidRDefault="00E85409" w:rsidP="0014095B"/>
        </w:tc>
        <w:tc>
          <w:tcPr>
            <w:tcW w:w="1872" w:type="dxa"/>
          </w:tcPr>
          <w:p w14:paraId="30962F26" w14:textId="77777777" w:rsidR="00E85409" w:rsidRDefault="00E85409" w:rsidP="0014095B"/>
        </w:tc>
        <w:tc>
          <w:tcPr>
            <w:tcW w:w="1873" w:type="dxa"/>
          </w:tcPr>
          <w:p w14:paraId="0C9B86D2" w14:textId="77777777" w:rsidR="00E85409" w:rsidRDefault="00E85409" w:rsidP="0014095B"/>
        </w:tc>
      </w:tr>
    </w:tbl>
    <w:p w14:paraId="3AC76432" w14:textId="77777777" w:rsidR="00E85409" w:rsidRPr="00B04161" w:rsidRDefault="00E85409" w:rsidP="0014095B">
      <w:pPr>
        <w:rPr>
          <w:lang w:val="en-CA"/>
        </w:rPr>
      </w:pPr>
    </w:p>
    <w:sectPr w:rsidR="00E85409" w:rsidRPr="00B04161" w:rsidSect="001B20F4">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4B7C" w14:textId="77777777" w:rsidR="001B13C2" w:rsidRDefault="001B13C2" w:rsidP="004A504B">
      <w:r>
        <w:separator/>
      </w:r>
    </w:p>
  </w:endnote>
  <w:endnote w:type="continuationSeparator" w:id="0">
    <w:p w14:paraId="5966849B" w14:textId="77777777" w:rsidR="001B13C2" w:rsidRDefault="001B13C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174603"/>
      <w:docPartObj>
        <w:docPartGallery w:val="Page Numbers (Bottom of Page)"/>
        <w:docPartUnique/>
      </w:docPartObj>
    </w:sdtPr>
    <w:sdtEndPr>
      <w:rPr>
        <w:noProof/>
      </w:rPr>
    </w:sdtEndPr>
    <w:sdtContent>
      <w:p w14:paraId="14F35167" w14:textId="2D2CC57B" w:rsidR="001B13C2" w:rsidRDefault="001B13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6AB17" w14:textId="77777777" w:rsidR="001B13C2" w:rsidRDefault="001B13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BEFD" w14:textId="7FE1B5D4" w:rsidR="001B13C2" w:rsidRDefault="001B13C2">
    <w:pPr>
      <w:jc w:val="center"/>
      <w:rPr>
        <w:noProof/>
      </w:rPr>
    </w:pPr>
    <w:r>
      <w:fldChar w:fldCharType="begin"/>
    </w:r>
    <w:r>
      <w:instrText xml:space="preserve"> PAGE </w:instrText>
    </w:r>
    <w:r>
      <w:fldChar w:fldCharType="separate"/>
    </w:r>
    <w:r>
      <w:rPr>
        <w:noProof/>
      </w:rPr>
      <w:t>3</w:t>
    </w:r>
    <w:r>
      <w:rPr>
        <w:noProof/>
      </w:rPr>
      <w:fldChar w:fldCharType="end"/>
    </w:r>
  </w:p>
  <w:p w14:paraId="252DACAE" w14:textId="77777777" w:rsidR="001B13C2" w:rsidRPr="0033525D" w:rsidRDefault="001B13C2">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370B" w14:textId="77777777" w:rsidR="001B13C2" w:rsidRDefault="001B13C2"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F469DAE" w14:textId="77777777" w:rsidR="001B13C2" w:rsidRDefault="001B13C2"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8CAC" w14:textId="086D39FE" w:rsidR="001B13C2" w:rsidRPr="0033525D" w:rsidRDefault="001B13C2">
    <w:pPr>
      <w:jc w:val="center"/>
    </w:pPr>
    <w:r>
      <w:fldChar w:fldCharType="begin"/>
    </w:r>
    <w:r>
      <w:instrText xml:space="preserve"> PAGE </w:instrText>
    </w:r>
    <w:r>
      <w:fldChar w:fldCharType="separate"/>
    </w:r>
    <w:r>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7D87" w14:textId="54BFE78D" w:rsidR="001B13C2" w:rsidRPr="0033525D" w:rsidRDefault="001B13C2">
    <w:pPr>
      <w:jc w:val="center"/>
    </w:pPr>
    <w:r>
      <w:fldChar w:fldCharType="begin"/>
    </w:r>
    <w:r>
      <w:instrText xml:space="preserve"> PAGE </w:instrText>
    </w:r>
    <w:r>
      <w:fldChar w:fldCharType="separate"/>
    </w:r>
    <w:r>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127427"/>
      <w:docPartObj>
        <w:docPartGallery w:val="Page Numbers (Bottom of Page)"/>
        <w:docPartUnique/>
      </w:docPartObj>
    </w:sdtPr>
    <w:sdtEndPr>
      <w:rPr>
        <w:noProof/>
      </w:rPr>
    </w:sdtEndPr>
    <w:sdtContent>
      <w:p w14:paraId="4B250FAF" w14:textId="1B4155CB" w:rsidR="001B13C2" w:rsidRDefault="001B13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D7836A" w14:textId="77777777" w:rsidR="001B13C2" w:rsidRPr="001B20F4" w:rsidRDefault="001B13C2" w:rsidP="001B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1953" w14:textId="77777777" w:rsidR="001B13C2" w:rsidRDefault="001B13C2" w:rsidP="004A504B">
      <w:r>
        <w:separator/>
      </w:r>
    </w:p>
  </w:footnote>
  <w:footnote w:type="continuationSeparator" w:id="0">
    <w:p w14:paraId="0B8E4632" w14:textId="77777777" w:rsidR="001B13C2" w:rsidRDefault="001B13C2" w:rsidP="004A504B">
      <w:r>
        <w:continuationSeparator/>
      </w:r>
    </w:p>
  </w:footnote>
  <w:footnote w:id="1">
    <w:p w14:paraId="7BD7238E" w14:textId="77777777" w:rsidR="001B13C2" w:rsidRPr="00C96003" w:rsidRDefault="001B13C2" w:rsidP="001B20F4">
      <w:pPr>
        <w:pStyle w:val="FootnoteText"/>
        <w:rPr>
          <w:lang w:val="en-CA"/>
        </w:rPr>
      </w:pPr>
      <w:r w:rsidRPr="00C96003">
        <w:rPr>
          <w:rStyle w:val="FootnoteReference"/>
        </w:rPr>
        <w:footnoteRef/>
      </w:r>
      <w:r w:rsidRPr="00C96003">
        <w:t xml:space="preserve"> </w:t>
      </w:r>
      <w:r w:rsidRPr="00C96003">
        <w:rPr>
          <w:lang w:val="en-CA"/>
        </w:rPr>
        <w:t xml:space="preserve">The Executive Committee decided that a separate sub-agenda item on delays in the submission of annual tranches and disbursement of funds for tranches and obligations should be included for future meetings. </w:t>
      </w:r>
    </w:p>
  </w:footnote>
  <w:footnote w:id="2">
    <w:p w14:paraId="43EC4F11" w14:textId="732A50A3" w:rsidR="001B13C2" w:rsidRPr="00C96003" w:rsidRDefault="001B13C2" w:rsidP="001B20F4">
      <w:pPr>
        <w:pStyle w:val="FootnoteText"/>
      </w:pPr>
      <w:r w:rsidRPr="00C96003">
        <w:rPr>
          <w:rStyle w:val="FootnoteReference"/>
        </w:rPr>
        <w:footnoteRef/>
      </w:r>
      <w:r w:rsidRPr="00C96003">
        <w:t xml:space="preserve"> UNEP/OzL.Pro/ExCom/82/39</w:t>
      </w:r>
    </w:p>
  </w:footnote>
  <w:footnote w:id="3">
    <w:p w14:paraId="5BA22574" w14:textId="777FA53B" w:rsidR="001B13C2" w:rsidRPr="00C96003" w:rsidRDefault="001B13C2" w:rsidP="001B20F4">
      <w:pPr>
        <w:pStyle w:val="FootnoteText"/>
        <w:tabs>
          <w:tab w:val="right" w:pos="9360"/>
        </w:tabs>
      </w:pPr>
      <w:r w:rsidRPr="00C96003">
        <w:rPr>
          <w:rStyle w:val="FootnoteReference"/>
        </w:rPr>
        <w:footnoteRef/>
      </w:r>
      <w:r w:rsidRPr="00C96003">
        <w:t xml:space="preserve"> UNEP/OzL.Pro/ExCom/82/41</w:t>
      </w:r>
    </w:p>
  </w:footnote>
  <w:footnote w:id="4">
    <w:p w14:paraId="7683AAA7" w14:textId="53BDD9D2" w:rsidR="001B13C2" w:rsidRPr="00C96003" w:rsidRDefault="001B13C2" w:rsidP="001B20F4">
      <w:pPr>
        <w:pStyle w:val="FootnoteText"/>
      </w:pPr>
      <w:r w:rsidRPr="00C96003">
        <w:rPr>
          <w:rStyle w:val="FootnoteReference"/>
        </w:rPr>
        <w:footnoteRef/>
      </w:r>
      <w:r w:rsidRPr="00C96003">
        <w:t xml:space="preserve"> UNEP/OzL.Pro/ExCom/82/42</w:t>
      </w:r>
    </w:p>
  </w:footnote>
  <w:footnote w:id="5">
    <w:p w14:paraId="35AADA6A" w14:textId="441C5BBF" w:rsidR="001B13C2" w:rsidRPr="00C96003" w:rsidRDefault="001B13C2" w:rsidP="001B20F4">
      <w:pPr>
        <w:pStyle w:val="FootnoteText"/>
      </w:pPr>
      <w:r w:rsidRPr="00C96003">
        <w:rPr>
          <w:rStyle w:val="FootnoteReference"/>
        </w:rPr>
        <w:footnoteRef/>
      </w:r>
      <w:r w:rsidRPr="00C96003">
        <w:t xml:space="preserve"> UNEP/OzL.Pro/ExCom/82/44</w:t>
      </w:r>
    </w:p>
  </w:footnote>
  <w:footnote w:id="6">
    <w:p w14:paraId="05658F2E" w14:textId="33764422" w:rsidR="001B13C2" w:rsidRPr="00C96003" w:rsidRDefault="001B13C2">
      <w:pPr>
        <w:pStyle w:val="FootnoteText"/>
      </w:pPr>
      <w:r w:rsidRPr="00C96003">
        <w:rPr>
          <w:rStyle w:val="FootnoteReference"/>
        </w:rPr>
        <w:footnoteRef/>
      </w:r>
      <w:r w:rsidRPr="00C96003">
        <w:t xml:space="preserve"> UNEP/OzL.Pro/ExCom/82/46</w:t>
      </w:r>
    </w:p>
  </w:footnote>
  <w:footnote w:id="7">
    <w:p w14:paraId="433A94CA" w14:textId="5F9A31C5" w:rsidR="001B13C2" w:rsidRPr="00C96003" w:rsidRDefault="001B13C2">
      <w:pPr>
        <w:pStyle w:val="FootnoteText"/>
      </w:pPr>
      <w:r w:rsidRPr="00C96003">
        <w:rPr>
          <w:rStyle w:val="FootnoteReference"/>
        </w:rPr>
        <w:footnoteRef/>
      </w:r>
      <w:r w:rsidRPr="00C96003">
        <w:t xml:space="preserve"> UNEP/OzL.Pro/ExCom/82/50</w:t>
      </w:r>
    </w:p>
  </w:footnote>
  <w:footnote w:id="8">
    <w:p w14:paraId="59F01014" w14:textId="72C0C223" w:rsidR="001B13C2" w:rsidRPr="00C96003" w:rsidRDefault="001B13C2">
      <w:pPr>
        <w:pStyle w:val="FootnoteText"/>
      </w:pPr>
      <w:r w:rsidRPr="00C96003">
        <w:rPr>
          <w:rStyle w:val="FootnoteReference"/>
        </w:rPr>
        <w:footnoteRef/>
      </w:r>
      <w:r w:rsidRPr="00C96003">
        <w:t xml:space="preserve"> UNEP/OzL.Pro/ExCom/82/55</w:t>
      </w:r>
    </w:p>
  </w:footnote>
  <w:footnote w:id="9">
    <w:p w14:paraId="0F2F08FB" w14:textId="696C24FE" w:rsidR="001B13C2" w:rsidRPr="00C96003" w:rsidRDefault="001B13C2">
      <w:pPr>
        <w:pStyle w:val="FootnoteText"/>
      </w:pPr>
      <w:r w:rsidRPr="00C96003">
        <w:rPr>
          <w:rStyle w:val="FootnoteReference"/>
        </w:rPr>
        <w:footnoteRef/>
      </w:r>
      <w:r w:rsidRPr="00C96003">
        <w:t xml:space="preserve"> UNEP/OzL.Pro/ExCom/82/56</w:t>
      </w:r>
    </w:p>
  </w:footnote>
  <w:footnote w:id="10">
    <w:p w14:paraId="1A783238" w14:textId="288A6584" w:rsidR="001B13C2" w:rsidRPr="00C96003" w:rsidRDefault="001B13C2">
      <w:pPr>
        <w:pStyle w:val="FootnoteText"/>
      </w:pPr>
      <w:r w:rsidRPr="00C96003">
        <w:rPr>
          <w:rStyle w:val="FootnoteReference"/>
        </w:rPr>
        <w:footnoteRef/>
      </w:r>
      <w:r w:rsidRPr="00C96003">
        <w:t xml:space="preserve"> UNEP/OzL.Pro/ExCom/82/57</w:t>
      </w:r>
    </w:p>
  </w:footnote>
  <w:footnote w:id="11">
    <w:p w14:paraId="0437A09E" w14:textId="3C8351E8" w:rsidR="001B13C2" w:rsidRPr="00C96003" w:rsidRDefault="001B13C2">
      <w:pPr>
        <w:pStyle w:val="FootnoteText"/>
        <w:rPr>
          <w:lang w:val="en-CA"/>
        </w:rPr>
      </w:pPr>
      <w:r w:rsidRPr="00C96003">
        <w:rPr>
          <w:rStyle w:val="FootnoteReference"/>
        </w:rPr>
        <w:footnoteRef/>
      </w:r>
      <w:r w:rsidRPr="00C96003">
        <w:t xml:space="preserve"> As per decision 81/27(b), Barbados could submit to the 82</w:t>
      </w:r>
      <w:r w:rsidRPr="00C96003">
        <w:rPr>
          <w:vertAlign w:val="superscript"/>
        </w:rPr>
        <w:t>nd</w:t>
      </w:r>
      <w:r w:rsidRPr="00C96003">
        <w:t xml:space="preserve"> or 83</w:t>
      </w:r>
      <w:r w:rsidRPr="00C96003">
        <w:rPr>
          <w:vertAlign w:val="superscript"/>
        </w:rPr>
        <w:t>rd</w:t>
      </w:r>
      <w:r w:rsidRPr="00C96003">
        <w:t xml:space="preserve"> meeting.</w:t>
      </w:r>
    </w:p>
  </w:footnote>
  <w:footnote w:id="12">
    <w:p w14:paraId="4B4042D8" w14:textId="694D9448" w:rsidR="001B13C2" w:rsidRPr="00C96003" w:rsidRDefault="001B13C2">
      <w:pPr>
        <w:pStyle w:val="FootnoteText"/>
      </w:pPr>
      <w:r w:rsidRPr="00C96003">
        <w:rPr>
          <w:rStyle w:val="FootnoteReference"/>
        </w:rPr>
        <w:footnoteRef/>
      </w:r>
      <w:r w:rsidRPr="00C96003">
        <w:t xml:space="preserve"> Submitted but subsequently withdrawn.</w:t>
      </w:r>
    </w:p>
  </w:footnote>
  <w:footnote w:id="13">
    <w:p w14:paraId="156FFE92" w14:textId="54231D5E" w:rsidR="001B13C2" w:rsidRPr="00C96003" w:rsidRDefault="001B13C2">
      <w:pPr>
        <w:pStyle w:val="FootnoteText"/>
        <w:rPr>
          <w:lang w:val="en-CA"/>
        </w:rPr>
      </w:pPr>
      <w:r w:rsidRPr="00C96003">
        <w:rPr>
          <w:rStyle w:val="FootnoteReference"/>
        </w:rPr>
        <w:footnoteRef/>
      </w:r>
      <w:r w:rsidRPr="00C96003">
        <w:t xml:space="preserve"> As per decision 81/27(b), Haiti could submit to the 82</w:t>
      </w:r>
      <w:r w:rsidRPr="00C96003">
        <w:rPr>
          <w:vertAlign w:val="superscript"/>
        </w:rPr>
        <w:t>nd</w:t>
      </w:r>
      <w:r w:rsidRPr="00C96003">
        <w:t xml:space="preserve"> or 83</w:t>
      </w:r>
      <w:r w:rsidRPr="00C96003">
        <w:rPr>
          <w:vertAlign w:val="superscript"/>
        </w:rPr>
        <w:t>rd</w:t>
      </w:r>
      <w:r w:rsidRPr="00C96003">
        <w:t xml:space="preserve"> meeting.</w:t>
      </w:r>
    </w:p>
  </w:footnote>
  <w:footnote w:id="14">
    <w:p w14:paraId="532F6E6B" w14:textId="0C8F40F9" w:rsidR="001B13C2" w:rsidRPr="00C96003" w:rsidRDefault="001B13C2">
      <w:pPr>
        <w:pStyle w:val="FootnoteText"/>
        <w:rPr>
          <w:lang w:val="en-CA"/>
        </w:rPr>
      </w:pPr>
      <w:r w:rsidRPr="00C96003">
        <w:rPr>
          <w:rStyle w:val="FootnoteReference"/>
        </w:rPr>
        <w:footnoteRef/>
      </w:r>
      <w:r w:rsidRPr="00C96003">
        <w:t xml:space="preserve"> As per decision 81/27(b), Saint Vincent and the Grenadines could submit to the 82</w:t>
      </w:r>
      <w:r w:rsidRPr="00C96003">
        <w:rPr>
          <w:vertAlign w:val="superscript"/>
        </w:rPr>
        <w:t>nd</w:t>
      </w:r>
      <w:r w:rsidRPr="00C96003">
        <w:t xml:space="preserve"> or 83</w:t>
      </w:r>
      <w:r w:rsidRPr="00C96003">
        <w:rPr>
          <w:vertAlign w:val="superscript"/>
        </w:rPr>
        <w:t>rd</w:t>
      </w:r>
      <w:r w:rsidRPr="00C96003">
        <w:t xml:space="preserve"> meeting</w:t>
      </w:r>
    </w:p>
  </w:footnote>
  <w:footnote w:id="15">
    <w:p w14:paraId="383C37F0" w14:textId="71EBB98A" w:rsidR="001B13C2" w:rsidRPr="00C96003" w:rsidRDefault="001B13C2">
      <w:pPr>
        <w:pStyle w:val="FootnoteText"/>
      </w:pPr>
      <w:r w:rsidRPr="00C96003">
        <w:rPr>
          <w:rStyle w:val="FootnoteReference"/>
        </w:rPr>
        <w:footnoteRef/>
      </w:r>
      <w:r w:rsidRPr="00C96003">
        <w:t xml:space="preserve"> Submitted but subsequently withdrawn.</w:t>
      </w:r>
    </w:p>
  </w:footnote>
  <w:footnote w:id="16">
    <w:p w14:paraId="1D18EC8B" w14:textId="419A8700" w:rsidR="001B13C2" w:rsidRDefault="001B13C2" w:rsidP="001B20F4">
      <w:pPr>
        <w:pStyle w:val="FootnoteText"/>
        <w:rPr>
          <w:lang w:val="en-CA"/>
        </w:rPr>
      </w:pPr>
      <w:r w:rsidRPr="00C96003">
        <w:rPr>
          <w:rStyle w:val="FootnoteReference"/>
        </w:rPr>
        <w:footnoteRef/>
      </w:r>
      <w:r w:rsidRPr="00C96003">
        <w:t xml:space="preserve"> For comparison, at the 81</w:t>
      </w:r>
      <w:r w:rsidRPr="00C96003">
        <w:rPr>
          <w:vertAlign w:val="superscript"/>
        </w:rPr>
        <w:t>st</w:t>
      </w:r>
      <w:r w:rsidRPr="00C96003">
        <w:t xml:space="preserve"> meeting, 43 tranches for 32 countries that were due were not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B9CC" w14:textId="346A3D2B" w:rsidR="001B13C2" w:rsidRPr="0033525D" w:rsidRDefault="001B13C2" w:rsidP="00807919">
    <w:pPr>
      <w:jc w:val="left"/>
    </w:pPr>
    <w:fldSimple w:instr=" DOCPROPERTY &quot;Document number&quot;  \* MERGEFORMAT ">
      <w:r>
        <w:t>UNEP/OzL.Pro/ExCom/82/24</w:t>
      </w:r>
    </w:fldSimple>
  </w:p>
  <w:p w14:paraId="4B9D7604" w14:textId="77777777" w:rsidR="001B13C2" w:rsidRPr="0033525D" w:rsidRDefault="001B13C2" w:rsidP="00807919"/>
  <w:p w14:paraId="72C5460D" w14:textId="77777777" w:rsidR="001B13C2" w:rsidRDefault="001B1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B42A" w14:textId="673FC9D7" w:rsidR="001B13C2" w:rsidRPr="0033525D" w:rsidRDefault="001B13C2" w:rsidP="00807919">
    <w:pPr>
      <w:jc w:val="right"/>
    </w:pPr>
    <w:fldSimple w:instr=" DOCPROPERTY &quot;Document number&quot;  \* MERGEFORMAT ">
      <w:r>
        <w:t>UNEP/OzL.Pro/ExCom/82/24</w:t>
      </w:r>
    </w:fldSimple>
  </w:p>
  <w:p w14:paraId="51A46BA6" w14:textId="77777777" w:rsidR="001B13C2" w:rsidRPr="0033525D" w:rsidRDefault="001B13C2"/>
  <w:p w14:paraId="2BC2A895" w14:textId="77777777" w:rsidR="001B13C2" w:rsidRPr="0033525D" w:rsidRDefault="001B1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540F" w14:textId="4CD1D997" w:rsidR="001B13C2" w:rsidRPr="0033525D" w:rsidRDefault="001B13C2" w:rsidP="001B20F4">
    <w:pPr>
      <w:jc w:val="left"/>
    </w:pPr>
    <w:fldSimple w:instr=" DOCPROPERTY &quot;Document number&quot;  \* MERGEFORMAT ">
      <w:r>
        <w:t>UNEP/OzL.Pro/ExCom/82/24</w:t>
      </w:r>
    </w:fldSimple>
  </w:p>
  <w:p w14:paraId="46848037" w14:textId="77777777" w:rsidR="001B13C2" w:rsidRDefault="001B13C2" w:rsidP="001B20F4">
    <w:pPr>
      <w:pStyle w:val="Header"/>
      <w:jc w:val="left"/>
    </w:pPr>
    <w:r>
      <w:t>Annex I</w:t>
    </w:r>
  </w:p>
  <w:p w14:paraId="6437A3BB" w14:textId="77777777" w:rsidR="001B13C2" w:rsidRPr="0033525D" w:rsidRDefault="001B13C2"/>
  <w:p w14:paraId="45913066" w14:textId="77777777" w:rsidR="001B13C2" w:rsidRPr="0033525D" w:rsidRDefault="001B13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12F1" w14:textId="6266B715" w:rsidR="001B13C2" w:rsidRPr="0033525D" w:rsidRDefault="001B13C2" w:rsidP="001B20F4">
    <w:pPr>
      <w:jc w:val="right"/>
    </w:pPr>
    <w:fldSimple w:instr=" DOCPROPERTY &quot;Document number&quot;  \* MERGEFORMAT ">
      <w:r>
        <w:t>UNEP/OzL.Pro/ExCom/82/24</w:t>
      </w:r>
    </w:fldSimple>
  </w:p>
  <w:p w14:paraId="00F282E4" w14:textId="77777777" w:rsidR="001B13C2" w:rsidRDefault="001B13C2" w:rsidP="001B20F4">
    <w:pPr>
      <w:pStyle w:val="Header"/>
      <w:jc w:val="right"/>
    </w:pPr>
    <w:r>
      <w:t>Annex I</w:t>
    </w:r>
  </w:p>
  <w:p w14:paraId="72942869" w14:textId="77777777" w:rsidR="001B13C2" w:rsidRPr="0033525D" w:rsidRDefault="001B13C2"/>
  <w:p w14:paraId="38DF3E34" w14:textId="77777777" w:rsidR="001B13C2" w:rsidRPr="0033525D" w:rsidRDefault="001B13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FAC4" w14:textId="7194733C" w:rsidR="001B13C2" w:rsidRPr="0033525D" w:rsidRDefault="001B13C2" w:rsidP="001B20F4">
    <w:pPr>
      <w:jc w:val="right"/>
    </w:pPr>
    <w:fldSimple w:instr=" DOCPROPERTY &quot;Document number&quot;  \* MERGEFORMAT ">
      <w:r>
        <w:t>UNEP/OzL.Pro/ExCom/82/24</w:t>
      </w:r>
    </w:fldSimple>
  </w:p>
  <w:p w14:paraId="526333F4" w14:textId="77777777" w:rsidR="001B13C2" w:rsidRDefault="001B13C2" w:rsidP="001B20F4">
    <w:pPr>
      <w:pStyle w:val="Header"/>
      <w:jc w:val="right"/>
    </w:pPr>
    <w:r>
      <w:t>Annex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1B20F4"/>
    <w:rsid w:val="00000FED"/>
    <w:rsid w:val="00002BDB"/>
    <w:rsid w:val="0000434E"/>
    <w:rsid w:val="00020E44"/>
    <w:rsid w:val="000211A9"/>
    <w:rsid w:val="00023D97"/>
    <w:rsid w:val="00031260"/>
    <w:rsid w:val="000321F0"/>
    <w:rsid w:val="00032E50"/>
    <w:rsid w:val="0003681A"/>
    <w:rsid w:val="0004788D"/>
    <w:rsid w:val="00053860"/>
    <w:rsid w:val="00061EC2"/>
    <w:rsid w:val="00067A26"/>
    <w:rsid w:val="00070D30"/>
    <w:rsid w:val="00080C42"/>
    <w:rsid w:val="00080ED0"/>
    <w:rsid w:val="00085B8F"/>
    <w:rsid w:val="000876BE"/>
    <w:rsid w:val="00090481"/>
    <w:rsid w:val="00090DB4"/>
    <w:rsid w:val="000975D0"/>
    <w:rsid w:val="000976E8"/>
    <w:rsid w:val="000A2DC6"/>
    <w:rsid w:val="000A6C26"/>
    <w:rsid w:val="000D3556"/>
    <w:rsid w:val="000D52A4"/>
    <w:rsid w:val="000D6D06"/>
    <w:rsid w:val="000E07BC"/>
    <w:rsid w:val="000F1CD4"/>
    <w:rsid w:val="000F4103"/>
    <w:rsid w:val="000F70A7"/>
    <w:rsid w:val="00105C8C"/>
    <w:rsid w:val="001128A7"/>
    <w:rsid w:val="001130E1"/>
    <w:rsid w:val="00113CCA"/>
    <w:rsid w:val="00120186"/>
    <w:rsid w:val="00122F25"/>
    <w:rsid w:val="00134616"/>
    <w:rsid w:val="00135980"/>
    <w:rsid w:val="00137DFB"/>
    <w:rsid w:val="0014095B"/>
    <w:rsid w:val="0016165F"/>
    <w:rsid w:val="0016272C"/>
    <w:rsid w:val="001640AF"/>
    <w:rsid w:val="00164719"/>
    <w:rsid w:val="00166FC4"/>
    <w:rsid w:val="001677AC"/>
    <w:rsid w:val="00170C2B"/>
    <w:rsid w:val="00175564"/>
    <w:rsid w:val="001804EA"/>
    <w:rsid w:val="00184183"/>
    <w:rsid w:val="00190A61"/>
    <w:rsid w:val="0019213D"/>
    <w:rsid w:val="001A2C28"/>
    <w:rsid w:val="001A3342"/>
    <w:rsid w:val="001A3E3D"/>
    <w:rsid w:val="001A7049"/>
    <w:rsid w:val="001B13C2"/>
    <w:rsid w:val="001B1E40"/>
    <w:rsid w:val="001B20F4"/>
    <w:rsid w:val="001B318F"/>
    <w:rsid w:val="001B31C9"/>
    <w:rsid w:val="001B741F"/>
    <w:rsid w:val="001C764E"/>
    <w:rsid w:val="001E1052"/>
    <w:rsid w:val="001E15A5"/>
    <w:rsid w:val="001E21B1"/>
    <w:rsid w:val="001E2F93"/>
    <w:rsid w:val="001E3DFC"/>
    <w:rsid w:val="001E4234"/>
    <w:rsid w:val="001E61E5"/>
    <w:rsid w:val="001F2159"/>
    <w:rsid w:val="001F49B5"/>
    <w:rsid w:val="00214863"/>
    <w:rsid w:val="002156B4"/>
    <w:rsid w:val="00215D63"/>
    <w:rsid w:val="002229B4"/>
    <w:rsid w:val="00224629"/>
    <w:rsid w:val="00251043"/>
    <w:rsid w:val="00253048"/>
    <w:rsid w:val="00253222"/>
    <w:rsid w:val="00261F30"/>
    <w:rsid w:val="00262847"/>
    <w:rsid w:val="00263C6E"/>
    <w:rsid w:val="00267A71"/>
    <w:rsid w:val="00267A7F"/>
    <w:rsid w:val="00277ADD"/>
    <w:rsid w:val="00281BB2"/>
    <w:rsid w:val="00286EF4"/>
    <w:rsid w:val="002906E2"/>
    <w:rsid w:val="002942CE"/>
    <w:rsid w:val="002A4DBA"/>
    <w:rsid w:val="002B34B1"/>
    <w:rsid w:val="002B564A"/>
    <w:rsid w:val="002B72E9"/>
    <w:rsid w:val="002C6635"/>
    <w:rsid w:val="002C7998"/>
    <w:rsid w:val="002D0E12"/>
    <w:rsid w:val="002E2F8A"/>
    <w:rsid w:val="002F1E53"/>
    <w:rsid w:val="002F2CAA"/>
    <w:rsid w:val="0030052C"/>
    <w:rsid w:val="00311585"/>
    <w:rsid w:val="00314E77"/>
    <w:rsid w:val="0032078D"/>
    <w:rsid w:val="00322DC6"/>
    <w:rsid w:val="003306E1"/>
    <w:rsid w:val="003309F4"/>
    <w:rsid w:val="00330EAB"/>
    <w:rsid w:val="003320E4"/>
    <w:rsid w:val="0033525D"/>
    <w:rsid w:val="00335D29"/>
    <w:rsid w:val="003414F3"/>
    <w:rsid w:val="0035613E"/>
    <w:rsid w:val="00363EE9"/>
    <w:rsid w:val="003709FB"/>
    <w:rsid w:val="00376128"/>
    <w:rsid w:val="00376B38"/>
    <w:rsid w:val="00376ED5"/>
    <w:rsid w:val="0037742E"/>
    <w:rsid w:val="003813FF"/>
    <w:rsid w:val="0038245A"/>
    <w:rsid w:val="00385CFC"/>
    <w:rsid w:val="0039337A"/>
    <w:rsid w:val="00397C40"/>
    <w:rsid w:val="003A2203"/>
    <w:rsid w:val="003A3189"/>
    <w:rsid w:val="003A5431"/>
    <w:rsid w:val="003B1FDE"/>
    <w:rsid w:val="003B33BD"/>
    <w:rsid w:val="003B533B"/>
    <w:rsid w:val="003B569D"/>
    <w:rsid w:val="003C0820"/>
    <w:rsid w:val="003C3C0E"/>
    <w:rsid w:val="003C765C"/>
    <w:rsid w:val="003D4E49"/>
    <w:rsid w:val="003D4FAC"/>
    <w:rsid w:val="003E60A3"/>
    <w:rsid w:val="003E7906"/>
    <w:rsid w:val="003F0D57"/>
    <w:rsid w:val="003F2EE3"/>
    <w:rsid w:val="003F319E"/>
    <w:rsid w:val="003F31E7"/>
    <w:rsid w:val="003F3C50"/>
    <w:rsid w:val="003F661D"/>
    <w:rsid w:val="00406A6A"/>
    <w:rsid w:val="00406B22"/>
    <w:rsid w:val="00423233"/>
    <w:rsid w:val="00427FDA"/>
    <w:rsid w:val="004328A7"/>
    <w:rsid w:val="00434C74"/>
    <w:rsid w:val="00444A8A"/>
    <w:rsid w:val="00453A87"/>
    <w:rsid w:val="00456EB4"/>
    <w:rsid w:val="004572A6"/>
    <w:rsid w:val="004718F3"/>
    <w:rsid w:val="00471C03"/>
    <w:rsid w:val="00475040"/>
    <w:rsid w:val="0047631C"/>
    <w:rsid w:val="00476ACE"/>
    <w:rsid w:val="00493D40"/>
    <w:rsid w:val="004967B6"/>
    <w:rsid w:val="004A504B"/>
    <w:rsid w:val="004A6911"/>
    <w:rsid w:val="004A7014"/>
    <w:rsid w:val="004B4027"/>
    <w:rsid w:val="004B47DB"/>
    <w:rsid w:val="004B54E0"/>
    <w:rsid w:val="004B72B2"/>
    <w:rsid w:val="004B7384"/>
    <w:rsid w:val="004C1447"/>
    <w:rsid w:val="004C31EE"/>
    <w:rsid w:val="004C3AB0"/>
    <w:rsid w:val="004C4269"/>
    <w:rsid w:val="004D1192"/>
    <w:rsid w:val="004D6236"/>
    <w:rsid w:val="004D7F90"/>
    <w:rsid w:val="004E4DBB"/>
    <w:rsid w:val="004E4E41"/>
    <w:rsid w:val="004E7467"/>
    <w:rsid w:val="004E7F9C"/>
    <w:rsid w:val="004F28F3"/>
    <w:rsid w:val="004F3493"/>
    <w:rsid w:val="004F5143"/>
    <w:rsid w:val="00512B09"/>
    <w:rsid w:val="00533796"/>
    <w:rsid w:val="00533CF2"/>
    <w:rsid w:val="0054232A"/>
    <w:rsid w:val="005424F6"/>
    <w:rsid w:val="00555D75"/>
    <w:rsid w:val="00557A37"/>
    <w:rsid w:val="0056020F"/>
    <w:rsid w:val="00560AB2"/>
    <w:rsid w:val="00560DF0"/>
    <w:rsid w:val="0056759C"/>
    <w:rsid w:val="00583B5B"/>
    <w:rsid w:val="0059513E"/>
    <w:rsid w:val="0059569C"/>
    <w:rsid w:val="005B48FF"/>
    <w:rsid w:val="005B54BB"/>
    <w:rsid w:val="005E5498"/>
    <w:rsid w:val="005E5A10"/>
    <w:rsid w:val="00604703"/>
    <w:rsid w:val="00604C15"/>
    <w:rsid w:val="00611543"/>
    <w:rsid w:val="00615554"/>
    <w:rsid w:val="006158D5"/>
    <w:rsid w:val="00624D1F"/>
    <w:rsid w:val="006254B1"/>
    <w:rsid w:val="00625D83"/>
    <w:rsid w:val="0062692E"/>
    <w:rsid w:val="00632125"/>
    <w:rsid w:val="00643A0B"/>
    <w:rsid w:val="0065733B"/>
    <w:rsid w:val="006623E7"/>
    <w:rsid w:val="00662B80"/>
    <w:rsid w:val="00664D09"/>
    <w:rsid w:val="00670F6C"/>
    <w:rsid w:val="00671773"/>
    <w:rsid w:val="006852C7"/>
    <w:rsid w:val="006870F1"/>
    <w:rsid w:val="006919A5"/>
    <w:rsid w:val="00696AB6"/>
    <w:rsid w:val="006C1727"/>
    <w:rsid w:val="006C1E7D"/>
    <w:rsid w:val="006C32FD"/>
    <w:rsid w:val="006C39CE"/>
    <w:rsid w:val="006D0FCC"/>
    <w:rsid w:val="006D52D7"/>
    <w:rsid w:val="006D77B5"/>
    <w:rsid w:val="006E1FC3"/>
    <w:rsid w:val="006E6862"/>
    <w:rsid w:val="006F15C5"/>
    <w:rsid w:val="006F299E"/>
    <w:rsid w:val="0070616B"/>
    <w:rsid w:val="00706FDA"/>
    <w:rsid w:val="00711F9A"/>
    <w:rsid w:val="00713810"/>
    <w:rsid w:val="0072409E"/>
    <w:rsid w:val="007303A5"/>
    <w:rsid w:val="00730B3E"/>
    <w:rsid w:val="0073420B"/>
    <w:rsid w:val="007427F9"/>
    <w:rsid w:val="00744C1C"/>
    <w:rsid w:val="00745342"/>
    <w:rsid w:val="0074760E"/>
    <w:rsid w:val="00747C4D"/>
    <w:rsid w:val="00754A0B"/>
    <w:rsid w:val="00754ABA"/>
    <w:rsid w:val="0075713E"/>
    <w:rsid w:val="007628DD"/>
    <w:rsid w:val="00777576"/>
    <w:rsid w:val="00793AA7"/>
    <w:rsid w:val="007A1546"/>
    <w:rsid w:val="007A228C"/>
    <w:rsid w:val="007A368E"/>
    <w:rsid w:val="007A44F1"/>
    <w:rsid w:val="007A5868"/>
    <w:rsid w:val="007B04CE"/>
    <w:rsid w:val="007B27B8"/>
    <w:rsid w:val="007B401A"/>
    <w:rsid w:val="007B6871"/>
    <w:rsid w:val="007B7A2F"/>
    <w:rsid w:val="007C00B1"/>
    <w:rsid w:val="007C2AED"/>
    <w:rsid w:val="007C3BB0"/>
    <w:rsid w:val="007C3D33"/>
    <w:rsid w:val="007C6041"/>
    <w:rsid w:val="007D294A"/>
    <w:rsid w:val="007D47D2"/>
    <w:rsid w:val="007D6EC0"/>
    <w:rsid w:val="007D7E1D"/>
    <w:rsid w:val="007E66C5"/>
    <w:rsid w:val="007E6BEA"/>
    <w:rsid w:val="0080628E"/>
    <w:rsid w:val="00807919"/>
    <w:rsid w:val="00813E1C"/>
    <w:rsid w:val="00817263"/>
    <w:rsid w:val="008203B3"/>
    <w:rsid w:val="00823534"/>
    <w:rsid w:val="00831979"/>
    <w:rsid w:val="0084380D"/>
    <w:rsid w:val="00851352"/>
    <w:rsid w:val="00852F81"/>
    <w:rsid w:val="00861447"/>
    <w:rsid w:val="00862C41"/>
    <w:rsid w:val="00863230"/>
    <w:rsid w:val="00863A35"/>
    <w:rsid w:val="00866CB8"/>
    <w:rsid w:val="008717D8"/>
    <w:rsid w:val="0087215C"/>
    <w:rsid w:val="008745A6"/>
    <w:rsid w:val="00880E35"/>
    <w:rsid w:val="00884C4F"/>
    <w:rsid w:val="008875FE"/>
    <w:rsid w:val="00887F8E"/>
    <w:rsid w:val="0089120C"/>
    <w:rsid w:val="00896234"/>
    <w:rsid w:val="00897E43"/>
    <w:rsid w:val="008A47B2"/>
    <w:rsid w:val="008B3012"/>
    <w:rsid w:val="008C2A88"/>
    <w:rsid w:val="008C5738"/>
    <w:rsid w:val="008C7B10"/>
    <w:rsid w:val="008C7EAD"/>
    <w:rsid w:val="008D0CFE"/>
    <w:rsid w:val="008D4946"/>
    <w:rsid w:val="008D6152"/>
    <w:rsid w:val="008E45DB"/>
    <w:rsid w:val="008F0F81"/>
    <w:rsid w:val="008F27BF"/>
    <w:rsid w:val="008F6EAA"/>
    <w:rsid w:val="00913A5B"/>
    <w:rsid w:val="009142EC"/>
    <w:rsid w:val="009154C3"/>
    <w:rsid w:val="00921A49"/>
    <w:rsid w:val="00922DF4"/>
    <w:rsid w:val="00923540"/>
    <w:rsid w:val="00926767"/>
    <w:rsid w:val="009361D5"/>
    <w:rsid w:val="00941BA9"/>
    <w:rsid w:val="009428A4"/>
    <w:rsid w:val="0094629C"/>
    <w:rsid w:val="009513C5"/>
    <w:rsid w:val="00954828"/>
    <w:rsid w:val="009659F4"/>
    <w:rsid w:val="00965C5B"/>
    <w:rsid w:val="00970D60"/>
    <w:rsid w:val="009726FE"/>
    <w:rsid w:val="009832A2"/>
    <w:rsid w:val="009943C1"/>
    <w:rsid w:val="00994A20"/>
    <w:rsid w:val="009960E5"/>
    <w:rsid w:val="00997B14"/>
    <w:rsid w:val="009A32F1"/>
    <w:rsid w:val="009A7ADC"/>
    <w:rsid w:val="009B4532"/>
    <w:rsid w:val="009B675C"/>
    <w:rsid w:val="009C19B7"/>
    <w:rsid w:val="009D0A6D"/>
    <w:rsid w:val="009D7C51"/>
    <w:rsid w:val="009E196C"/>
    <w:rsid w:val="009F168D"/>
    <w:rsid w:val="009F36BF"/>
    <w:rsid w:val="00A111B6"/>
    <w:rsid w:val="00A1327D"/>
    <w:rsid w:val="00A26D27"/>
    <w:rsid w:val="00A27BE0"/>
    <w:rsid w:val="00A36532"/>
    <w:rsid w:val="00A3681A"/>
    <w:rsid w:val="00A3727A"/>
    <w:rsid w:val="00A376EE"/>
    <w:rsid w:val="00A37E27"/>
    <w:rsid w:val="00A42A99"/>
    <w:rsid w:val="00A5151A"/>
    <w:rsid w:val="00A57E0A"/>
    <w:rsid w:val="00A611FC"/>
    <w:rsid w:val="00A66513"/>
    <w:rsid w:val="00A73B90"/>
    <w:rsid w:val="00A7477F"/>
    <w:rsid w:val="00A823F6"/>
    <w:rsid w:val="00A84A81"/>
    <w:rsid w:val="00A85CB3"/>
    <w:rsid w:val="00AA0A89"/>
    <w:rsid w:val="00AA6429"/>
    <w:rsid w:val="00AB3E9A"/>
    <w:rsid w:val="00AB5320"/>
    <w:rsid w:val="00AC01AA"/>
    <w:rsid w:val="00AC4F72"/>
    <w:rsid w:val="00AC777F"/>
    <w:rsid w:val="00AE15F4"/>
    <w:rsid w:val="00AE3C74"/>
    <w:rsid w:val="00AF249C"/>
    <w:rsid w:val="00AF4D70"/>
    <w:rsid w:val="00AF711F"/>
    <w:rsid w:val="00AF741A"/>
    <w:rsid w:val="00B01ADB"/>
    <w:rsid w:val="00B04161"/>
    <w:rsid w:val="00B056F9"/>
    <w:rsid w:val="00B06782"/>
    <w:rsid w:val="00B11E3D"/>
    <w:rsid w:val="00B15B20"/>
    <w:rsid w:val="00B15D2B"/>
    <w:rsid w:val="00B17E82"/>
    <w:rsid w:val="00B241F1"/>
    <w:rsid w:val="00B370DC"/>
    <w:rsid w:val="00B4575A"/>
    <w:rsid w:val="00B47933"/>
    <w:rsid w:val="00B575BA"/>
    <w:rsid w:val="00B62F5C"/>
    <w:rsid w:val="00B65F98"/>
    <w:rsid w:val="00B73D16"/>
    <w:rsid w:val="00B76429"/>
    <w:rsid w:val="00B91817"/>
    <w:rsid w:val="00B956D4"/>
    <w:rsid w:val="00B97446"/>
    <w:rsid w:val="00BA4A8D"/>
    <w:rsid w:val="00BA7432"/>
    <w:rsid w:val="00BB26B7"/>
    <w:rsid w:val="00BB2CE8"/>
    <w:rsid w:val="00BB3B5C"/>
    <w:rsid w:val="00BC1AA0"/>
    <w:rsid w:val="00BC2495"/>
    <w:rsid w:val="00BC7EB9"/>
    <w:rsid w:val="00BD2643"/>
    <w:rsid w:val="00BD56B1"/>
    <w:rsid w:val="00BD57FF"/>
    <w:rsid w:val="00BD6558"/>
    <w:rsid w:val="00BD7DCD"/>
    <w:rsid w:val="00BF3022"/>
    <w:rsid w:val="00BF3214"/>
    <w:rsid w:val="00BF5573"/>
    <w:rsid w:val="00BF6BDF"/>
    <w:rsid w:val="00C03313"/>
    <w:rsid w:val="00C15867"/>
    <w:rsid w:val="00C165F2"/>
    <w:rsid w:val="00C2296D"/>
    <w:rsid w:val="00C23155"/>
    <w:rsid w:val="00C242B5"/>
    <w:rsid w:val="00C30084"/>
    <w:rsid w:val="00C37B0F"/>
    <w:rsid w:val="00C40C41"/>
    <w:rsid w:val="00C45885"/>
    <w:rsid w:val="00C50F22"/>
    <w:rsid w:val="00C524FC"/>
    <w:rsid w:val="00C57971"/>
    <w:rsid w:val="00C616A5"/>
    <w:rsid w:val="00C65BD7"/>
    <w:rsid w:val="00C67CAE"/>
    <w:rsid w:val="00C76BA4"/>
    <w:rsid w:val="00C83A48"/>
    <w:rsid w:val="00C84C7F"/>
    <w:rsid w:val="00C85865"/>
    <w:rsid w:val="00C85E85"/>
    <w:rsid w:val="00C878DD"/>
    <w:rsid w:val="00C96003"/>
    <w:rsid w:val="00CA071C"/>
    <w:rsid w:val="00CA2EAE"/>
    <w:rsid w:val="00CA4AC1"/>
    <w:rsid w:val="00CA5E22"/>
    <w:rsid w:val="00CB0316"/>
    <w:rsid w:val="00CB0856"/>
    <w:rsid w:val="00CB0B11"/>
    <w:rsid w:val="00CB517B"/>
    <w:rsid w:val="00CB517C"/>
    <w:rsid w:val="00CB5354"/>
    <w:rsid w:val="00CC6A14"/>
    <w:rsid w:val="00CC70A3"/>
    <w:rsid w:val="00CD2BD3"/>
    <w:rsid w:val="00CD4442"/>
    <w:rsid w:val="00CD53C3"/>
    <w:rsid w:val="00CD574E"/>
    <w:rsid w:val="00CE4C22"/>
    <w:rsid w:val="00CF41EC"/>
    <w:rsid w:val="00CF5010"/>
    <w:rsid w:val="00CF539F"/>
    <w:rsid w:val="00CF5D04"/>
    <w:rsid w:val="00CF664E"/>
    <w:rsid w:val="00D02D5C"/>
    <w:rsid w:val="00D04DE4"/>
    <w:rsid w:val="00D063F1"/>
    <w:rsid w:val="00D07141"/>
    <w:rsid w:val="00D14F22"/>
    <w:rsid w:val="00D464B4"/>
    <w:rsid w:val="00D4741C"/>
    <w:rsid w:val="00D57918"/>
    <w:rsid w:val="00D70E8F"/>
    <w:rsid w:val="00D73DC6"/>
    <w:rsid w:val="00D74C1A"/>
    <w:rsid w:val="00D754C1"/>
    <w:rsid w:val="00D75F60"/>
    <w:rsid w:val="00D77393"/>
    <w:rsid w:val="00D77A35"/>
    <w:rsid w:val="00D81B3E"/>
    <w:rsid w:val="00D87E73"/>
    <w:rsid w:val="00D90C70"/>
    <w:rsid w:val="00D90E49"/>
    <w:rsid w:val="00D9246C"/>
    <w:rsid w:val="00D96ADE"/>
    <w:rsid w:val="00DA080E"/>
    <w:rsid w:val="00DA0CE2"/>
    <w:rsid w:val="00DA1144"/>
    <w:rsid w:val="00DA44FF"/>
    <w:rsid w:val="00DB03A9"/>
    <w:rsid w:val="00DB0927"/>
    <w:rsid w:val="00DB0C97"/>
    <w:rsid w:val="00DB269F"/>
    <w:rsid w:val="00DB7665"/>
    <w:rsid w:val="00DC6A10"/>
    <w:rsid w:val="00DE3C93"/>
    <w:rsid w:val="00DE657E"/>
    <w:rsid w:val="00DF43C2"/>
    <w:rsid w:val="00DF4704"/>
    <w:rsid w:val="00E00C7C"/>
    <w:rsid w:val="00E024AA"/>
    <w:rsid w:val="00E135A9"/>
    <w:rsid w:val="00E13836"/>
    <w:rsid w:val="00E250F1"/>
    <w:rsid w:val="00E26705"/>
    <w:rsid w:val="00E324AF"/>
    <w:rsid w:val="00E34713"/>
    <w:rsid w:val="00E3550D"/>
    <w:rsid w:val="00E5023E"/>
    <w:rsid w:val="00E52FAA"/>
    <w:rsid w:val="00E606B9"/>
    <w:rsid w:val="00E614E0"/>
    <w:rsid w:val="00E634C9"/>
    <w:rsid w:val="00E73F7F"/>
    <w:rsid w:val="00E776FD"/>
    <w:rsid w:val="00E8248D"/>
    <w:rsid w:val="00E827AB"/>
    <w:rsid w:val="00E85409"/>
    <w:rsid w:val="00E910C0"/>
    <w:rsid w:val="00EA429F"/>
    <w:rsid w:val="00EA4F9E"/>
    <w:rsid w:val="00EA63CA"/>
    <w:rsid w:val="00EA6D3B"/>
    <w:rsid w:val="00EB00AD"/>
    <w:rsid w:val="00EB136C"/>
    <w:rsid w:val="00EB2B41"/>
    <w:rsid w:val="00EB480E"/>
    <w:rsid w:val="00EB5EC6"/>
    <w:rsid w:val="00EB7FC9"/>
    <w:rsid w:val="00EC2AC6"/>
    <w:rsid w:val="00EC640D"/>
    <w:rsid w:val="00ED23B4"/>
    <w:rsid w:val="00ED23C5"/>
    <w:rsid w:val="00ED27E8"/>
    <w:rsid w:val="00ED7137"/>
    <w:rsid w:val="00ED74B8"/>
    <w:rsid w:val="00EE6ED6"/>
    <w:rsid w:val="00EF7DF1"/>
    <w:rsid w:val="00F02FE7"/>
    <w:rsid w:val="00F058FA"/>
    <w:rsid w:val="00F21088"/>
    <w:rsid w:val="00F327E7"/>
    <w:rsid w:val="00F35746"/>
    <w:rsid w:val="00F43510"/>
    <w:rsid w:val="00F447C7"/>
    <w:rsid w:val="00F44908"/>
    <w:rsid w:val="00F5211B"/>
    <w:rsid w:val="00F554A9"/>
    <w:rsid w:val="00F56C71"/>
    <w:rsid w:val="00F63439"/>
    <w:rsid w:val="00F716FD"/>
    <w:rsid w:val="00F80355"/>
    <w:rsid w:val="00F8520C"/>
    <w:rsid w:val="00F86AE0"/>
    <w:rsid w:val="00F87C43"/>
    <w:rsid w:val="00FB0C81"/>
    <w:rsid w:val="00FB0F0C"/>
    <w:rsid w:val="00FC00F0"/>
    <w:rsid w:val="00FC2200"/>
    <w:rsid w:val="00FC2540"/>
    <w:rsid w:val="00FC26EA"/>
    <w:rsid w:val="00FC57F8"/>
    <w:rsid w:val="00FD0019"/>
    <w:rsid w:val="00FD2621"/>
    <w:rsid w:val="00FF0204"/>
    <w:rsid w:val="00FF3AED"/>
    <w:rsid w:val="00FF514C"/>
    <w:rsid w:val="00FF5A4B"/>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570F46"/>
  <w15:docId w15:val="{3EFC0F69-2260-4F35-8871-FA39EF99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semiHidden/>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B20F4"/>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1B20F4"/>
    <w:rPr>
      <w:sz w:val="22"/>
      <w:szCs w:val="22"/>
      <w:lang w:val="en-GB"/>
    </w:rPr>
  </w:style>
  <w:style w:type="paragraph" w:styleId="FootnoteText">
    <w:name w:val="footnote text"/>
    <w:basedOn w:val="Normal"/>
    <w:link w:val="FootnoteTextChar"/>
    <w:uiPriority w:val="99"/>
    <w:semiHidden/>
    <w:unhideWhenUsed/>
    <w:rsid w:val="001B20F4"/>
    <w:rPr>
      <w:sz w:val="20"/>
      <w:szCs w:val="20"/>
    </w:rPr>
  </w:style>
  <w:style w:type="character" w:customStyle="1" w:styleId="FootnoteTextChar">
    <w:name w:val="Footnote Text Char"/>
    <w:basedOn w:val="DefaultParagraphFont"/>
    <w:link w:val="FootnoteText"/>
    <w:uiPriority w:val="99"/>
    <w:semiHidden/>
    <w:rsid w:val="001B20F4"/>
    <w:rPr>
      <w:lang w:val="en-GB"/>
    </w:rPr>
  </w:style>
  <w:style w:type="character" w:styleId="FootnoteReference">
    <w:name w:val="footnote reference"/>
    <w:uiPriority w:val="99"/>
    <w:semiHidden/>
    <w:unhideWhenUsed/>
    <w:rsid w:val="001B20F4"/>
    <w:rPr>
      <w:vertAlign w:val="superscript"/>
    </w:rPr>
  </w:style>
  <w:style w:type="character" w:customStyle="1" w:styleId="FooterChar">
    <w:name w:val="Footer Char"/>
    <w:basedOn w:val="DefaultParagraphFont"/>
    <w:link w:val="Footer"/>
    <w:uiPriority w:val="99"/>
    <w:rsid w:val="001B20F4"/>
    <w:rPr>
      <w:sz w:val="22"/>
      <w:szCs w:val="22"/>
      <w:lang w:val="en-GB"/>
    </w:rPr>
  </w:style>
  <w:style w:type="paragraph" w:styleId="ListParagraph">
    <w:name w:val="List Paragraph"/>
    <w:basedOn w:val="Normal"/>
    <w:uiPriority w:val="34"/>
    <w:qFormat/>
    <w:rsid w:val="001B20F4"/>
    <w:pPr>
      <w:ind w:left="720"/>
      <w:contextualSpacing/>
    </w:pPr>
    <w:rPr>
      <w:rFonts w:eastAsiaTheme="minorHAnsi"/>
      <w:lang w:val="en-CA" w:eastAsia="en-CA"/>
    </w:rPr>
  </w:style>
  <w:style w:type="paragraph" w:styleId="Revision">
    <w:name w:val="Revision"/>
    <w:hidden/>
    <w:uiPriority w:val="99"/>
    <w:semiHidden/>
    <w:rsid w:val="006F15C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836">
      <w:bodyDiv w:val="1"/>
      <w:marLeft w:val="0"/>
      <w:marRight w:val="0"/>
      <w:marTop w:val="0"/>
      <w:marBottom w:val="0"/>
      <w:divBdr>
        <w:top w:val="none" w:sz="0" w:space="0" w:color="auto"/>
        <w:left w:val="none" w:sz="0" w:space="0" w:color="auto"/>
        <w:bottom w:val="none" w:sz="0" w:space="0" w:color="auto"/>
        <w:right w:val="none" w:sz="0" w:space="0" w:color="auto"/>
      </w:divBdr>
    </w:div>
    <w:div w:id="279580169">
      <w:bodyDiv w:val="1"/>
      <w:marLeft w:val="0"/>
      <w:marRight w:val="0"/>
      <w:marTop w:val="0"/>
      <w:marBottom w:val="0"/>
      <w:divBdr>
        <w:top w:val="none" w:sz="0" w:space="0" w:color="auto"/>
        <w:left w:val="none" w:sz="0" w:space="0" w:color="auto"/>
        <w:bottom w:val="none" w:sz="0" w:space="0" w:color="auto"/>
        <w:right w:val="none" w:sz="0" w:space="0" w:color="auto"/>
      </w:divBdr>
    </w:div>
    <w:div w:id="65656848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UNEP/OzL.Pro/ExCom/82/24</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CA309EAA-6CD5-4DF1-95B9-AEC1AADF3AF0}"/>
</file>

<file path=customXml/itemProps2.xml><?xml version="1.0" encoding="utf-8"?>
<ds:datastoreItem xmlns:ds="http://schemas.openxmlformats.org/officeDocument/2006/customXml" ds:itemID="{FBFCBD54-5D47-415A-8F9A-DA688EF2E5BE}"/>
</file>

<file path=customXml/itemProps3.xml><?xml version="1.0" encoding="utf-8"?>
<ds:datastoreItem xmlns:ds="http://schemas.openxmlformats.org/officeDocument/2006/customXml" ds:itemID="{785F81E1-1C95-47C4-B6E0-AFF20FA983B1}"/>
</file>

<file path=customXml/itemProps4.xml><?xml version="1.0" encoding="utf-8"?>
<ds:datastoreItem xmlns:ds="http://schemas.openxmlformats.org/officeDocument/2006/customXml" ds:itemID="{56C9A59C-460A-4BA9-A74A-DB9CCFEC729F}"/>
</file>

<file path=docProps/app.xml><?xml version="1.0" encoding="utf-8"?>
<Properties xmlns="http://schemas.openxmlformats.org/officeDocument/2006/extended-properties" xmlns:vt="http://schemas.openxmlformats.org/officeDocument/2006/docPropsVTypes">
  <Template>Eec82G</Template>
  <TotalTime>39</TotalTime>
  <Pages>12</Pages>
  <Words>4217</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Tranche submission delays</vt:lpstr>
    </vt:vector>
  </TitlesOfParts>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Tranche submission delays</dc:title>
  <dc:creator>Muriel Aguiar</dc:creator>
  <cp:lastModifiedBy>Muriel Aguiar</cp:lastModifiedBy>
  <cp:revision>15</cp:revision>
  <cp:lastPrinted>2018-11-06T21:21:00Z</cp:lastPrinted>
  <dcterms:created xsi:type="dcterms:W3CDTF">2018-11-06T21:19:00Z</dcterms:created>
  <dcterms:modified xsi:type="dcterms:W3CDTF">2018-11-06T21:54:00Z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UNEP/OzL.Pro/ExCom/82/24</vt:lpwstr>
  </property>
  <property fmtid="{D5CDD505-2E9C-101B-9397-08002B2CF9AE}" pid="3" name="Revision date">
    <vt:lpwstr>11/6/2018</vt:lpwstr>
  </property>
  <property fmtid="{D5CDD505-2E9C-101B-9397-08002B2CF9AE}" pid="4" name="ContentTypeId">
    <vt:lpwstr>0x010100E84C8415FE8D8F42AA10616BA921B3F7</vt:lpwstr>
  </property>
</Properties>
</file>