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Layout w:type="fixed"/>
        <w:tblLook w:val="0000" w:firstRow="0" w:lastRow="0" w:firstColumn="0" w:lastColumn="0" w:noHBand="0" w:noVBand="0"/>
      </w:tblPr>
      <w:tblGrid>
        <w:gridCol w:w="2070"/>
        <w:gridCol w:w="3420"/>
        <w:gridCol w:w="4590"/>
      </w:tblGrid>
      <w:tr w:rsidR="00C15867" w:rsidRPr="003B533B" w14:paraId="209C2466" w14:textId="77777777" w:rsidTr="00807919">
        <w:trPr>
          <w:trHeight w:val="720"/>
        </w:trPr>
        <w:tc>
          <w:tcPr>
            <w:tcW w:w="5490" w:type="dxa"/>
            <w:gridSpan w:val="2"/>
            <w:tcBorders>
              <w:bottom w:val="single" w:sz="18" w:space="0" w:color="auto"/>
            </w:tcBorders>
          </w:tcPr>
          <w:p w14:paraId="4A3FB84A" w14:textId="77777777" w:rsidR="00C15867" w:rsidRPr="003B533B" w:rsidRDefault="00C15867" w:rsidP="001409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3B533B">
              <w:rPr>
                <w:rFonts w:ascii="Univers" w:hAnsi="Univers"/>
                <w:b/>
                <w:sz w:val="28"/>
                <w:szCs w:val="28"/>
              </w:rPr>
              <w:t>UNITED</w:t>
            </w:r>
            <w:r w:rsidRPr="003B533B">
              <w:rPr>
                <w:rFonts w:ascii="Univers" w:hAnsi="Univers"/>
                <w:b/>
                <w:sz w:val="28"/>
                <w:szCs w:val="28"/>
              </w:rPr>
              <w:br/>
              <w:t>NATIONS</w:t>
            </w:r>
          </w:p>
        </w:tc>
        <w:tc>
          <w:tcPr>
            <w:tcW w:w="4590" w:type="dxa"/>
            <w:tcBorders>
              <w:bottom w:val="single" w:sz="18" w:space="0" w:color="auto"/>
            </w:tcBorders>
          </w:tcPr>
          <w:p w14:paraId="098DD11E" w14:textId="77777777" w:rsidR="00C15867" w:rsidRPr="003B533B" w:rsidRDefault="00C15867" w:rsidP="0014095B">
            <w:pPr>
              <w:jc w:val="right"/>
              <w:rPr>
                <w:sz w:val="52"/>
                <w:szCs w:val="52"/>
              </w:rPr>
            </w:pPr>
            <w:r w:rsidRPr="003B533B">
              <w:rPr>
                <w:rFonts w:ascii="Univers Bold" w:hAnsi="Univers Bold"/>
                <w:b/>
                <w:sz w:val="72"/>
              </w:rPr>
              <w:t>EP</w:t>
            </w:r>
          </w:p>
        </w:tc>
      </w:tr>
      <w:tr w:rsidR="00C15867" w:rsidRPr="003B533B" w14:paraId="74012098" w14:textId="77777777" w:rsidTr="00807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12D0EE2" w14:textId="77777777" w:rsidR="00C15867" w:rsidRPr="003B533B" w:rsidRDefault="00DA0CE2" w:rsidP="0014095B">
            <w:pPr>
              <w:spacing w:before="120"/>
            </w:pPr>
            <w:r w:rsidRPr="003B533B">
              <w:rPr>
                <w:noProof/>
                <w:lang w:val="en-CA" w:eastAsia="en-CA"/>
              </w:rPr>
              <w:drawing>
                <wp:anchor distT="0" distB="0" distL="114300" distR="114300" simplePos="0" relativeHeight="251659264" behindDoc="0" locked="0" layoutInCell="1" allowOverlap="1" wp14:anchorId="0E5B9C59" wp14:editId="6B89AF10">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3B533B">
              <w:rPr>
                <w:noProof/>
                <w:lang w:val="en-CA" w:eastAsia="en-CA"/>
              </w:rPr>
              <w:drawing>
                <wp:anchor distT="0" distB="0" distL="114300" distR="114300" simplePos="0" relativeHeight="251660288" behindDoc="1" locked="0" layoutInCell="0" allowOverlap="1" wp14:anchorId="1C0DE383" wp14:editId="5BDDE53D">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58A0C5EC" w14:textId="77777777" w:rsidR="00C15867" w:rsidRPr="003B533B" w:rsidRDefault="00C15867" w:rsidP="001409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3B533B">
              <w:rPr>
                <w:rFonts w:ascii="Univers" w:hAnsi="Univers"/>
                <w:b/>
                <w:sz w:val="32"/>
              </w:rPr>
              <w:t>United Nations</w:t>
            </w:r>
          </w:p>
          <w:p w14:paraId="2AD5D610" w14:textId="77777777" w:rsidR="00C15867" w:rsidRPr="003B533B" w:rsidRDefault="00C15867" w:rsidP="001409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3B533B">
              <w:rPr>
                <w:rFonts w:ascii="Univers" w:hAnsi="Univers"/>
                <w:b/>
                <w:sz w:val="32"/>
              </w:rPr>
              <w:t>Environment</w:t>
            </w:r>
          </w:p>
          <w:p w14:paraId="6881E9CB" w14:textId="77777777" w:rsidR="00C15867" w:rsidRPr="003B533B" w:rsidRDefault="00C15867" w:rsidP="001409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3B533B">
              <w:rPr>
                <w:rFonts w:ascii="Univers" w:hAnsi="Univers"/>
                <w:b/>
                <w:sz w:val="32"/>
              </w:rPr>
              <w:t>Programme</w:t>
            </w:r>
          </w:p>
          <w:p w14:paraId="5AF3039C" w14:textId="77777777" w:rsidR="00C15867" w:rsidRPr="003B533B" w:rsidRDefault="00C15867" w:rsidP="0014095B">
            <w:pPr>
              <w:spacing w:before="720"/>
              <w:ind w:left="158"/>
            </w:pPr>
          </w:p>
        </w:tc>
        <w:tc>
          <w:tcPr>
            <w:tcW w:w="4590" w:type="dxa"/>
            <w:tcBorders>
              <w:top w:val="nil"/>
              <w:left w:val="nil"/>
              <w:bottom w:val="single" w:sz="36" w:space="0" w:color="auto"/>
              <w:right w:val="nil"/>
            </w:tcBorders>
          </w:tcPr>
          <w:p w14:paraId="37DE62F8" w14:textId="77777777" w:rsidR="00C15867" w:rsidRPr="003B533B" w:rsidRDefault="00C15867" w:rsidP="0014095B">
            <w:r w:rsidRPr="003B533B">
              <w:t>Distr.</w:t>
            </w:r>
          </w:p>
          <w:p w14:paraId="6987A220" w14:textId="77777777" w:rsidR="00923540" w:rsidRPr="003B533B" w:rsidRDefault="00923540" w:rsidP="0014095B">
            <w:r w:rsidRPr="003B533B">
              <w:t>GENERAL</w:t>
            </w:r>
          </w:p>
          <w:p w14:paraId="1363A442" w14:textId="77777777" w:rsidR="00C15867" w:rsidRPr="003B533B" w:rsidRDefault="00C15867" w:rsidP="0014095B"/>
          <w:p w14:paraId="70A12A67" w14:textId="77777777" w:rsidR="00C15867" w:rsidRPr="003B533B" w:rsidRDefault="00C15867" w:rsidP="0014095B"/>
          <w:p w14:paraId="71E4949F" w14:textId="3950C08C" w:rsidR="00C15867" w:rsidRPr="003B533B" w:rsidRDefault="00140684" w:rsidP="0014095B">
            <w:r>
              <w:fldChar w:fldCharType="begin"/>
            </w:r>
            <w:r>
              <w:instrText xml:space="preserve"> DOCPROPERTY "Document number"  \* MERGEFORMAT </w:instrText>
            </w:r>
            <w:r>
              <w:fldChar w:fldCharType="separate"/>
            </w:r>
            <w:r w:rsidR="00CA4ACF">
              <w:t>UNEP/</w:t>
            </w:r>
            <w:proofErr w:type="spellStart"/>
            <w:r w:rsidR="00CA4ACF">
              <w:t>OzL.Pro</w:t>
            </w:r>
            <w:proofErr w:type="spellEnd"/>
            <w:r w:rsidR="00CA4ACF">
              <w:t>/ExCom/82/24/Corr.1</w:t>
            </w:r>
            <w:r>
              <w:fldChar w:fldCharType="end"/>
            </w:r>
          </w:p>
          <w:p w14:paraId="6926847B" w14:textId="15E3D5C1" w:rsidR="00C15867" w:rsidRPr="003B533B" w:rsidRDefault="00BC2495" w:rsidP="0014095B">
            <w:r w:rsidRPr="003B533B">
              <w:fldChar w:fldCharType="begin"/>
            </w:r>
            <w:r w:rsidR="00851352" w:rsidRPr="003B533B">
              <w:instrText xml:space="preserve"> DOCPROPERTY "Revision date" \@ "d MMMM YYYY"  \* MERGEFORMAT </w:instrText>
            </w:r>
            <w:r w:rsidRPr="003B533B">
              <w:fldChar w:fldCharType="separate"/>
            </w:r>
            <w:r w:rsidR="00CA4ACF">
              <w:t>30 November 2018</w:t>
            </w:r>
            <w:r w:rsidRPr="003B533B">
              <w:fldChar w:fldCharType="end"/>
            </w:r>
          </w:p>
          <w:p w14:paraId="05B5521B" w14:textId="77777777" w:rsidR="00C15867" w:rsidRPr="003B533B" w:rsidRDefault="00C15867" w:rsidP="0014095B">
            <w:pPr>
              <w:rPr>
                <w:caps/>
              </w:rPr>
            </w:pPr>
          </w:p>
          <w:p w14:paraId="181B8D1C" w14:textId="77777777" w:rsidR="00C15867" w:rsidRPr="003B533B" w:rsidRDefault="00C15867" w:rsidP="0014095B">
            <w:r w:rsidRPr="003B533B">
              <w:t>ORIGINAL: ENGLISH</w:t>
            </w:r>
          </w:p>
        </w:tc>
      </w:tr>
    </w:tbl>
    <w:p w14:paraId="6A4C549D" w14:textId="0361AB26" w:rsidR="009E196C" w:rsidRPr="003B533B" w:rsidRDefault="00C15867" w:rsidP="0014095B">
      <w:pPr>
        <w:jc w:val="left"/>
      </w:pPr>
      <w:r w:rsidRPr="003B533B">
        <w:t>EXECUTIVE COMMITTEE OF</w:t>
      </w:r>
      <w:r w:rsidRPr="003B533B">
        <w:br/>
      </w:r>
      <w:r w:rsidR="0014095B" w:rsidRPr="003B533B">
        <w:t xml:space="preserve"> </w:t>
      </w:r>
      <w:r w:rsidRPr="003B533B">
        <w:t>THE MULTILATERAL FUND FOR THE</w:t>
      </w:r>
      <w:r w:rsidRPr="003B533B">
        <w:br/>
      </w:r>
      <w:r w:rsidR="0014095B" w:rsidRPr="003B533B">
        <w:t xml:space="preserve"> </w:t>
      </w:r>
      <w:r w:rsidRPr="003B533B">
        <w:t>IMPLEMENTATION OF THE MONTREAL PROTOCOL</w:t>
      </w:r>
      <w:r w:rsidRPr="003B533B">
        <w:br/>
      </w:r>
      <w:r w:rsidR="009E196C" w:rsidRPr="003B533B">
        <w:rPr>
          <w:lang w:val="en-CA"/>
        </w:rPr>
        <w:t>Eighty-</w:t>
      </w:r>
      <w:r w:rsidR="00533796" w:rsidRPr="003B533B">
        <w:rPr>
          <w:lang w:val="en-CA"/>
        </w:rPr>
        <w:t>second</w:t>
      </w:r>
      <w:r w:rsidR="009E196C" w:rsidRPr="003B533B">
        <w:rPr>
          <w:lang w:val="en-CA"/>
        </w:rPr>
        <w:t xml:space="preserve"> </w:t>
      </w:r>
      <w:r w:rsidR="009E196C" w:rsidRPr="003B533B">
        <w:t>Meeting</w:t>
      </w:r>
    </w:p>
    <w:p w14:paraId="0D56EC5F" w14:textId="77777777" w:rsidR="009E196C" w:rsidRPr="003B533B" w:rsidRDefault="009E196C" w:rsidP="0014095B">
      <w:pPr>
        <w:jc w:val="left"/>
        <w:rPr>
          <w:lang w:val="en-CA"/>
        </w:rPr>
      </w:pPr>
      <w:r w:rsidRPr="003B533B">
        <w:rPr>
          <w:lang w:val="en-CA"/>
        </w:rPr>
        <w:t xml:space="preserve">Montreal, </w:t>
      </w:r>
      <w:r w:rsidR="00533796" w:rsidRPr="003B533B">
        <w:rPr>
          <w:lang w:val="en-CA"/>
        </w:rPr>
        <w:t>3</w:t>
      </w:r>
      <w:r w:rsidRPr="003B533B">
        <w:t>-</w:t>
      </w:r>
      <w:r w:rsidR="00533796" w:rsidRPr="003B533B">
        <w:t>7</w:t>
      </w:r>
      <w:r w:rsidRPr="003B533B">
        <w:t xml:space="preserve"> </w:t>
      </w:r>
      <w:r w:rsidR="00533796" w:rsidRPr="003B533B">
        <w:t>December</w:t>
      </w:r>
      <w:r w:rsidRPr="003B533B">
        <w:t xml:space="preserve"> 2018</w:t>
      </w:r>
    </w:p>
    <w:p w14:paraId="5AB6AA1D" w14:textId="77777777" w:rsidR="00C15867" w:rsidRPr="003B533B" w:rsidRDefault="00C15867" w:rsidP="0014095B">
      <w:pPr>
        <w:jc w:val="left"/>
        <w:rPr>
          <w:lang w:val="en-US"/>
        </w:rPr>
      </w:pPr>
    </w:p>
    <w:p w14:paraId="2CA8FDD1" w14:textId="77777777" w:rsidR="004E7F9C" w:rsidRPr="003B533B" w:rsidRDefault="004E7F9C" w:rsidP="0014095B">
      <w:pPr>
        <w:pStyle w:val="Title1"/>
      </w:pPr>
    </w:p>
    <w:p w14:paraId="5DE77BE6" w14:textId="77777777" w:rsidR="00140684" w:rsidRDefault="00140684" w:rsidP="00140684">
      <w:pPr>
        <w:pStyle w:val="Title1"/>
        <w:rPr>
          <w:caps w:val="0"/>
        </w:rPr>
      </w:pPr>
      <w:r>
        <w:rPr>
          <w:caps w:val="0"/>
        </w:rPr>
        <w:t>Corrigendum</w:t>
      </w:r>
    </w:p>
    <w:p w14:paraId="160BCDEB" w14:textId="77777777" w:rsidR="00140684" w:rsidRDefault="00140684" w:rsidP="0014095B">
      <w:pPr>
        <w:pStyle w:val="Title1"/>
        <w:rPr>
          <w:bCs/>
          <w:lang w:val="en-CA"/>
        </w:rPr>
      </w:pPr>
    </w:p>
    <w:p w14:paraId="6A1E0840" w14:textId="0CD9AE99" w:rsidR="001B20F4" w:rsidRDefault="001B20F4" w:rsidP="0014095B">
      <w:pPr>
        <w:pStyle w:val="Title1"/>
        <w:rPr>
          <w:bCs/>
          <w:lang w:val="en-CA"/>
        </w:rPr>
      </w:pPr>
      <w:r w:rsidRPr="003B533B">
        <w:rPr>
          <w:bCs/>
          <w:lang w:val="en-CA"/>
        </w:rPr>
        <w:t>TRANCHE SUBMISSION DELAYS</w:t>
      </w:r>
    </w:p>
    <w:p w14:paraId="72E3360E" w14:textId="119DBA97" w:rsidR="00140684" w:rsidRDefault="00140684" w:rsidP="0014095B">
      <w:pPr>
        <w:pStyle w:val="Title1"/>
        <w:rPr>
          <w:bCs/>
          <w:lang w:val="en-CA"/>
        </w:rPr>
      </w:pPr>
    </w:p>
    <w:p w14:paraId="414E2B09" w14:textId="6545D8CD" w:rsidR="00140684" w:rsidRDefault="00140684" w:rsidP="00140684">
      <w:pPr>
        <w:pStyle w:val="Heading1"/>
        <w:numPr>
          <w:ilvl w:val="0"/>
          <w:numId w:val="0"/>
        </w:numPr>
        <w:ind w:firstLine="720"/>
        <w:rPr>
          <w:lang w:val="en-CA"/>
        </w:rPr>
      </w:pPr>
      <w:r w:rsidRPr="00682ECC">
        <w:rPr>
          <w:lang w:val="en-CA"/>
        </w:rPr>
        <w:t xml:space="preserve">This </w:t>
      </w:r>
      <w:r>
        <w:rPr>
          <w:lang w:val="en-CA"/>
        </w:rPr>
        <w:t>corrigendum</w:t>
      </w:r>
      <w:r w:rsidRPr="00682ECC">
        <w:rPr>
          <w:lang w:val="en-CA"/>
        </w:rPr>
        <w:t xml:space="preserve"> </w:t>
      </w:r>
      <w:r>
        <w:rPr>
          <w:lang w:val="en-CA"/>
        </w:rPr>
        <w:t xml:space="preserve">is being issued </w:t>
      </w:r>
      <w:r w:rsidR="00CE3594" w:rsidRPr="00CE3594">
        <w:rPr>
          <w:lang w:val="en-CA"/>
        </w:rPr>
        <w:t xml:space="preserve">to standardize the recommendations in Annex I for Algeria, Antigua and Barbuda and </w:t>
      </w:r>
      <w:r w:rsidR="00CA4ACF">
        <w:rPr>
          <w:lang w:val="en-CA"/>
        </w:rPr>
        <w:t xml:space="preserve">the </w:t>
      </w:r>
      <w:r w:rsidR="00CE3594" w:rsidRPr="00CE3594">
        <w:rPr>
          <w:lang w:val="en-CA"/>
        </w:rPr>
        <w:t>Central African Republic to be consistent with the recommendations contained in relevant progress reports as at 31 December 2017</w:t>
      </w:r>
      <w:r w:rsidR="00CA4ACF">
        <w:rPr>
          <w:lang w:val="en-CA"/>
        </w:rPr>
        <w:t xml:space="preserve"> </w:t>
      </w:r>
      <w:r>
        <w:rPr>
          <w:lang w:val="en-CA"/>
        </w:rPr>
        <w:t>as follows:</w:t>
      </w:r>
    </w:p>
    <w:p w14:paraId="4E153B08" w14:textId="1F867468" w:rsidR="00CE3594" w:rsidRDefault="00CE3594" w:rsidP="00CE3594">
      <w:pPr>
        <w:rPr>
          <w:lang w:val="en-CA"/>
        </w:rPr>
      </w:pPr>
    </w:p>
    <w:p w14:paraId="042C6CBD" w14:textId="77777777" w:rsidR="00CE3594" w:rsidRPr="00CE3594" w:rsidRDefault="00CE3594" w:rsidP="00CE3594">
      <w:pPr>
        <w:rPr>
          <w:lang w:val="en-CA"/>
        </w:rPr>
      </w:pPr>
    </w:p>
    <w:p w14:paraId="6B0BDDF0" w14:textId="77777777" w:rsidR="00140684" w:rsidRPr="003B533B" w:rsidRDefault="00140684" w:rsidP="0014095B">
      <w:pPr>
        <w:pStyle w:val="Title1"/>
        <w:rPr>
          <w:bCs/>
          <w:lang w:val="en-CA"/>
        </w:rPr>
      </w:pPr>
    </w:p>
    <w:p w14:paraId="1D2F6A7A" w14:textId="77777777" w:rsidR="001B20F4" w:rsidRPr="003B533B" w:rsidRDefault="001B20F4" w:rsidP="0014095B">
      <w:pPr>
        <w:pStyle w:val="StyleHeader4Para4Left0Firstline0"/>
        <w:numPr>
          <w:ilvl w:val="0"/>
          <w:numId w:val="0"/>
        </w:numPr>
        <w:spacing w:after="0"/>
        <w:rPr>
          <w:sz w:val="22"/>
          <w:lang w:val="en-CA"/>
        </w:rPr>
      </w:pPr>
    </w:p>
    <w:p w14:paraId="72599F5E" w14:textId="77777777" w:rsidR="003813FF" w:rsidRPr="003B533B" w:rsidRDefault="003813FF" w:rsidP="0014095B">
      <w:pPr>
        <w:sectPr w:rsidR="003813FF" w:rsidRPr="003B533B" w:rsidSect="00807919">
          <w:headerReference w:type="even" r:id="rId10"/>
          <w:headerReference w:type="default" r:id="rId11"/>
          <w:footerReference w:type="even" r:id="rId12"/>
          <w:footerReference w:type="default" r:id="rId13"/>
          <w:footerReference w:type="first" r:id="rId14"/>
          <w:pgSz w:w="12240" w:h="15840" w:code="1"/>
          <w:pgMar w:top="720" w:right="1440" w:bottom="426" w:left="1440" w:header="720" w:footer="475" w:gutter="0"/>
          <w:pgNumType w:start="1"/>
          <w:cols w:space="720"/>
          <w:titlePg/>
        </w:sectPr>
      </w:pPr>
    </w:p>
    <w:p w14:paraId="4608AE26" w14:textId="77777777" w:rsidR="001B20F4" w:rsidRPr="003B533B" w:rsidRDefault="001B20F4" w:rsidP="0014095B">
      <w:pPr>
        <w:tabs>
          <w:tab w:val="left" w:pos="1384"/>
          <w:tab w:val="left" w:pos="2185"/>
          <w:tab w:val="left" w:pos="2742"/>
          <w:tab w:val="left" w:pos="3829"/>
          <w:tab w:val="left" w:pos="6671"/>
          <w:tab w:val="left" w:pos="7624"/>
          <w:tab w:val="left" w:pos="8384"/>
        </w:tabs>
        <w:ind w:left="1440" w:hanging="1440"/>
        <w:jc w:val="center"/>
        <w:rPr>
          <w:b/>
          <w:bCs/>
          <w:caps/>
          <w:color w:val="000000"/>
          <w:lang w:val="en-CA"/>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879"/>
        <w:gridCol w:w="1275"/>
        <w:gridCol w:w="3373"/>
        <w:gridCol w:w="5812"/>
      </w:tblGrid>
      <w:tr w:rsidR="001B20F4" w:rsidRPr="003B533B" w14:paraId="7FDAAB8D" w14:textId="77777777" w:rsidTr="00807919">
        <w:trPr>
          <w:trHeight w:val="692"/>
          <w:tblHeader/>
        </w:trPr>
        <w:tc>
          <w:tcPr>
            <w:tcW w:w="1560" w:type="dxa"/>
            <w:hideMark/>
          </w:tcPr>
          <w:p w14:paraId="560DBC2C" w14:textId="77777777" w:rsidR="001B20F4" w:rsidRPr="003B533B" w:rsidRDefault="001B20F4" w:rsidP="0014095B">
            <w:pPr>
              <w:ind w:left="-108" w:firstLine="108"/>
              <w:jc w:val="center"/>
              <w:rPr>
                <w:b/>
                <w:bCs/>
                <w:sz w:val="19"/>
                <w:szCs w:val="19"/>
                <w:lang w:val="en-CA" w:eastAsia="en-CA"/>
              </w:rPr>
            </w:pPr>
            <w:r w:rsidRPr="003B533B">
              <w:rPr>
                <w:b/>
                <w:bCs/>
                <w:sz w:val="19"/>
                <w:szCs w:val="19"/>
                <w:lang w:val="en-CA" w:eastAsia="en-CA"/>
              </w:rPr>
              <w:t>Country</w:t>
            </w:r>
          </w:p>
        </w:tc>
        <w:tc>
          <w:tcPr>
            <w:tcW w:w="1276" w:type="dxa"/>
            <w:hideMark/>
          </w:tcPr>
          <w:p w14:paraId="67F8D20D" w14:textId="77777777" w:rsidR="001B20F4" w:rsidRPr="003B533B" w:rsidRDefault="001B20F4" w:rsidP="0014095B">
            <w:pPr>
              <w:jc w:val="center"/>
              <w:rPr>
                <w:b/>
                <w:bCs/>
                <w:sz w:val="19"/>
                <w:szCs w:val="19"/>
                <w:lang w:val="en-CA" w:eastAsia="en-CA"/>
              </w:rPr>
            </w:pPr>
            <w:r w:rsidRPr="003B533B">
              <w:rPr>
                <w:b/>
                <w:bCs/>
                <w:sz w:val="19"/>
                <w:szCs w:val="19"/>
                <w:lang w:val="en-CA" w:eastAsia="en-CA"/>
              </w:rPr>
              <w:t>Agency</w:t>
            </w:r>
          </w:p>
        </w:tc>
        <w:tc>
          <w:tcPr>
            <w:tcW w:w="879" w:type="dxa"/>
            <w:hideMark/>
          </w:tcPr>
          <w:p w14:paraId="4F9F3668" w14:textId="77777777" w:rsidR="001B20F4" w:rsidRPr="003B533B" w:rsidRDefault="001B20F4" w:rsidP="0014095B">
            <w:pPr>
              <w:ind w:left="-108" w:right="-128"/>
              <w:jc w:val="center"/>
              <w:rPr>
                <w:b/>
                <w:bCs/>
                <w:sz w:val="19"/>
                <w:szCs w:val="19"/>
                <w:lang w:val="en-CA" w:eastAsia="en-CA"/>
              </w:rPr>
            </w:pPr>
            <w:r w:rsidRPr="003B533B">
              <w:rPr>
                <w:b/>
                <w:bCs/>
                <w:sz w:val="19"/>
                <w:szCs w:val="19"/>
                <w:lang w:val="en-CA" w:eastAsia="en-CA"/>
              </w:rPr>
              <w:t>Tranche</w:t>
            </w:r>
          </w:p>
        </w:tc>
        <w:tc>
          <w:tcPr>
            <w:tcW w:w="1275" w:type="dxa"/>
            <w:hideMark/>
          </w:tcPr>
          <w:p w14:paraId="29F70D06" w14:textId="77777777" w:rsidR="001B20F4" w:rsidRPr="003B533B" w:rsidRDefault="001B20F4" w:rsidP="0014095B">
            <w:pPr>
              <w:ind w:left="-108" w:right="-108"/>
              <w:jc w:val="center"/>
              <w:rPr>
                <w:b/>
                <w:bCs/>
                <w:sz w:val="19"/>
                <w:szCs w:val="19"/>
                <w:lang w:val="en-CA" w:eastAsia="en-CA"/>
              </w:rPr>
            </w:pPr>
            <w:r w:rsidRPr="003B533B">
              <w:rPr>
                <w:b/>
                <w:bCs/>
                <w:sz w:val="19"/>
                <w:szCs w:val="19"/>
                <w:lang w:val="en-CA" w:eastAsia="en-CA"/>
              </w:rPr>
              <w:t>Amount (with support costs)</w:t>
            </w:r>
          </w:p>
          <w:p w14:paraId="05BB5F79" w14:textId="77777777" w:rsidR="001B20F4" w:rsidRPr="003B533B" w:rsidRDefault="001B20F4" w:rsidP="0014095B">
            <w:pPr>
              <w:jc w:val="center"/>
              <w:rPr>
                <w:b/>
                <w:bCs/>
                <w:sz w:val="19"/>
                <w:szCs w:val="19"/>
                <w:lang w:val="en-CA" w:eastAsia="en-CA"/>
              </w:rPr>
            </w:pPr>
            <w:r w:rsidRPr="003B533B">
              <w:rPr>
                <w:b/>
                <w:bCs/>
                <w:sz w:val="19"/>
                <w:szCs w:val="19"/>
                <w:lang w:val="en-CA" w:eastAsia="en-CA"/>
              </w:rPr>
              <w:t>(US $)</w:t>
            </w:r>
          </w:p>
        </w:tc>
        <w:tc>
          <w:tcPr>
            <w:tcW w:w="3373" w:type="dxa"/>
            <w:hideMark/>
          </w:tcPr>
          <w:p w14:paraId="004A5298" w14:textId="77777777" w:rsidR="001B20F4" w:rsidRPr="003B533B" w:rsidRDefault="001B20F4" w:rsidP="0014095B">
            <w:pPr>
              <w:jc w:val="center"/>
              <w:rPr>
                <w:b/>
                <w:bCs/>
                <w:sz w:val="19"/>
                <w:szCs w:val="19"/>
                <w:lang w:val="en-CA" w:eastAsia="en-CA"/>
              </w:rPr>
            </w:pPr>
            <w:r w:rsidRPr="003B533B">
              <w:rPr>
                <w:b/>
                <w:bCs/>
                <w:sz w:val="19"/>
                <w:szCs w:val="19"/>
                <w:lang w:val="en-CA" w:eastAsia="en-CA"/>
              </w:rPr>
              <w:t>Reason for delay/withdrawal</w:t>
            </w:r>
          </w:p>
        </w:tc>
        <w:tc>
          <w:tcPr>
            <w:tcW w:w="5812" w:type="dxa"/>
          </w:tcPr>
          <w:p w14:paraId="3E4F3615" w14:textId="0D98E98A" w:rsidR="001B20F4" w:rsidRPr="003B533B" w:rsidRDefault="00EC640D" w:rsidP="0014095B">
            <w:pPr>
              <w:jc w:val="center"/>
              <w:rPr>
                <w:b/>
                <w:bCs/>
                <w:sz w:val="19"/>
                <w:szCs w:val="19"/>
                <w:lang w:val="en-CA" w:eastAsia="en-CA"/>
              </w:rPr>
            </w:pPr>
            <w:r w:rsidRPr="003B533B">
              <w:rPr>
                <w:b/>
                <w:sz w:val="19"/>
                <w:szCs w:val="19"/>
                <w:lang w:val="en-CA"/>
              </w:rPr>
              <w:t>Recommendations</w:t>
            </w:r>
          </w:p>
        </w:tc>
      </w:tr>
      <w:tr w:rsidR="001B318F" w:rsidRPr="003B533B" w14:paraId="3A093DC0" w14:textId="77777777" w:rsidTr="00807919">
        <w:trPr>
          <w:trHeight w:val="450"/>
        </w:trPr>
        <w:tc>
          <w:tcPr>
            <w:tcW w:w="1560" w:type="dxa"/>
            <w:hideMark/>
          </w:tcPr>
          <w:p w14:paraId="02F44C58" w14:textId="77777777" w:rsidR="001B20F4" w:rsidRPr="003B533B" w:rsidRDefault="001B20F4" w:rsidP="0014095B">
            <w:pPr>
              <w:jc w:val="left"/>
              <w:rPr>
                <w:sz w:val="19"/>
                <w:szCs w:val="19"/>
                <w:lang w:val="en-CA" w:eastAsia="en-CA"/>
              </w:rPr>
            </w:pPr>
            <w:r w:rsidRPr="003B533B">
              <w:rPr>
                <w:sz w:val="19"/>
                <w:szCs w:val="19"/>
                <w:lang w:val="en-CA" w:eastAsia="en-CA"/>
              </w:rPr>
              <w:t>Algeria (Stage I)</w:t>
            </w:r>
          </w:p>
        </w:tc>
        <w:tc>
          <w:tcPr>
            <w:tcW w:w="1276" w:type="dxa"/>
            <w:hideMark/>
          </w:tcPr>
          <w:p w14:paraId="712172DB" w14:textId="77777777" w:rsidR="001B20F4" w:rsidRPr="003B533B" w:rsidRDefault="001B20F4" w:rsidP="0014095B">
            <w:pPr>
              <w:jc w:val="left"/>
              <w:rPr>
                <w:sz w:val="19"/>
                <w:szCs w:val="19"/>
                <w:lang w:val="en-CA" w:eastAsia="en-CA"/>
              </w:rPr>
            </w:pPr>
            <w:r w:rsidRPr="003B533B">
              <w:rPr>
                <w:sz w:val="19"/>
                <w:szCs w:val="19"/>
                <w:lang w:val="en-CA" w:eastAsia="en-CA"/>
              </w:rPr>
              <w:t>UNIDO</w:t>
            </w:r>
          </w:p>
        </w:tc>
        <w:tc>
          <w:tcPr>
            <w:tcW w:w="879" w:type="dxa"/>
            <w:hideMark/>
          </w:tcPr>
          <w:p w14:paraId="2B401FD1" w14:textId="77777777" w:rsidR="001B20F4" w:rsidRPr="003B533B" w:rsidRDefault="001B20F4" w:rsidP="0014095B">
            <w:pPr>
              <w:jc w:val="center"/>
              <w:rPr>
                <w:sz w:val="19"/>
                <w:szCs w:val="19"/>
                <w:lang w:val="en-CA" w:eastAsia="en-CA"/>
              </w:rPr>
            </w:pPr>
            <w:r w:rsidRPr="003B533B">
              <w:rPr>
                <w:sz w:val="19"/>
                <w:szCs w:val="19"/>
                <w:lang w:val="en-CA" w:eastAsia="en-CA"/>
              </w:rPr>
              <w:t>2014</w:t>
            </w:r>
          </w:p>
        </w:tc>
        <w:tc>
          <w:tcPr>
            <w:tcW w:w="1275" w:type="dxa"/>
            <w:hideMark/>
          </w:tcPr>
          <w:p w14:paraId="561160D4" w14:textId="77777777" w:rsidR="001B20F4" w:rsidRPr="003B533B" w:rsidRDefault="001B20F4" w:rsidP="0014095B">
            <w:pPr>
              <w:jc w:val="right"/>
              <w:rPr>
                <w:sz w:val="19"/>
                <w:szCs w:val="19"/>
                <w:lang w:val="en-CA" w:eastAsia="en-CA"/>
              </w:rPr>
            </w:pPr>
            <w:r w:rsidRPr="003B533B">
              <w:rPr>
                <w:sz w:val="19"/>
                <w:szCs w:val="19"/>
                <w:lang w:val="en-CA" w:eastAsia="en-CA"/>
              </w:rPr>
              <w:t>154,800</w:t>
            </w:r>
          </w:p>
        </w:tc>
        <w:tc>
          <w:tcPr>
            <w:tcW w:w="3373" w:type="dxa"/>
            <w:hideMark/>
          </w:tcPr>
          <w:p w14:paraId="39273FCA" w14:textId="58FC92D3" w:rsidR="001B20F4" w:rsidRPr="003B533B" w:rsidRDefault="009513C5" w:rsidP="0014095B">
            <w:pPr>
              <w:rPr>
                <w:sz w:val="19"/>
                <w:szCs w:val="19"/>
                <w:lang w:val="en-CA" w:eastAsia="en-CA"/>
              </w:rPr>
            </w:pPr>
            <w:r w:rsidRPr="003B533B">
              <w:rPr>
                <w:sz w:val="19"/>
                <w:szCs w:val="19"/>
                <w:lang w:val="en-CA" w:eastAsia="en-CA"/>
              </w:rPr>
              <w:t>Government </w:t>
            </w:r>
            <w:r w:rsidR="001B20F4" w:rsidRPr="003B533B">
              <w:rPr>
                <w:sz w:val="19"/>
                <w:szCs w:val="19"/>
                <w:lang w:val="en-CA" w:eastAsia="en-CA"/>
              </w:rPr>
              <w:t>decisions/endorsements/ chang</w:t>
            </w:r>
            <w:r w:rsidR="00A37E27" w:rsidRPr="003B533B">
              <w:rPr>
                <w:sz w:val="19"/>
                <w:szCs w:val="19"/>
                <w:lang w:val="en-CA" w:eastAsia="en-CA"/>
              </w:rPr>
              <w:t>es in</w:t>
            </w:r>
            <w:bookmarkStart w:id="0" w:name="_GoBack"/>
            <w:bookmarkEnd w:id="0"/>
            <w:r w:rsidR="00A37E27" w:rsidRPr="003B533B">
              <w:rPr>
                <w:sz w:val="19"/>
                <w:szCs w:val="19"/>
                <w:lang w:val="en-CA" w:eastAsia="en-CA"/>
              </w:rPr>
              <w:t xml:space="preserve"> the </w:t>
            </w:r>
            <w:r w:rsidR="00A27BE0" w:rsidRPr="003B533B">
              <w:rPr>
                <w:sz w:val="19"/>
                <w:szCs w:val="19"/>
                <w:lang w:val="en-CA" w:eastAsia="en-CA"/>
              </w:rPr>
              <w:t>national ozone unit (</w:t>
            </w:r>
            <w:r w:rsidR="00A37E27" w:rsidRPr="003B533B">
              <w:rPr>
                <w:sz w:val="19"/>
                <w:szCs w:val="19"/>
                <w:lang w:val="en-CA" w:eastAsia="en-CA"/>
              </w:rPr>
              <w:t>NOU</w:t>
            </w:r>
            <w:r w:rsidR="00A27BE0" w:rsidRPr="003B533B">
              <w:rPr>
                <w:sz w:val="19"/>
                <w:szCs w:val="19"/>
                <w:lang w:val="en-CA" w:eastAsia="en-CA"/>
              </w:rPr>
              <w:t>)</w:t>
            </w:r>
            <w:r w:rsidR="00A37E27" w:rsidRPr="003B533B">
              <w:rPr>
                <w:sz w:val="19"/>
                <w:szCs w:val="19"/>
                <w:lang w:val="en-CA" w:eastAsia="en-CA"/>
              </w:rPr>
              <w:t>/structural change</w:t>
            </w:r>
          </w:p>
        </w:tc>
        <w:tc>
          <w:tcPr>
            <w:tcW w:w="5812" w:type="dxa"/>
          </w:tcPr>
          <w:p w14:paraId="31C6FDF4" w14:textId="494B74B3" w:rsidR="001B20F4" w:rsidRPr="003B533B" w:rsidRDefault="004A7014" w:rsidP="00CE3594">
            <w:pPr>
              <w:rPr>
                <w:sz w:val="19"/>
                <w:szCs w:val="19"/>
                <w:lang w:val="en-CA"/>
              </w:rPr>
            </w:pPr>
            <w:r w:rsidRPr="003B533B">
              <w:rPr>
                <w:sz w:val="19"/>
                <w:szCs w:val="19"/>
                <w:lang w:val="en-CA"/>
              </w:rPr>
              <w:t xml:space="preserve">Noting </w:t>
            </w:r>
            <w:r w:rsidR="002A4DBA" w:rsidRPr="003B533B">
              <w:rPr>
                <w:sz w:val="19"/>
                <w:szCs w:val="19"/>
                <w:lang w:val="en-CA"/>
              </w:rPr>
              <w:t xml:space="preserve">the </w:t>
            </w:r>
            <w:r w:rsidR="00CB0856" w:rsidRPr="003B533B">
              <w:rPr>
                <w:sz w:val="19"/>
                <w:szCs w:val="19"/>
                <w:lang w:val="en-CA"/>
              </w:rPr>
              <w:t xml:space="preserve">ongoing difficult </w:t>
            </w:r>
            <w:r w:rsidR="002A4DBA" w:rsidRPr="003B533B">
              <w:rPr>
                <w:sz w:val="19"/>
                <w:szCs w:val="19"/>
                <w:lang w:val="en-CA"/>
              </w:rPr>
              <w:t>circumstance</w:t>
            </w:r>
            <w:r w:rsidR="003A2203" w:rsidRPr="003B533B">
              <w:rPr>
                <w:sz w:val="19"/>
                <w:szCs w:val="19"/>
                <w:lang w:val="en-CA"/>
              </w:rPr>
              <w:t>s</w:t>
            </w:r>
            <w:r w:rsidR="002A4DBA" w:rsidRPr="003B533B">
              <w:rPr>
                <w:sz w:val="19"/>
                <w:szCs w:val="19"/>
                <w:lang w:val="en-CA"/>
              </w:rPr>
              <w:t xml:space="preserve"> </w:t>
            </w:r>
            <w:r w:rsidR="00CB0856" w:rsidRPr="003B533B">
              <w:rPr>
                <w:sz w:val="19"/>
                <w:szCs w:val="19"/>
                <w:lang w:val="en-CA"/>
              </w:rPr>
              <w:t xml:space="preserve">in </w:t>
            </w:r>
            <w:r w:rsidR="002A4DBA" w:rsidRPr="003B533B">
              <w:rPr>
                <w:sz w:val="19"/>
                <w:szCs w:val="19"/>
                <w:lang w:val="en-CA"/>
              </w:rPr>
              <w:t xml:space="preserve">the country </w:t>
            </w:r>
            <w:r w:rsidRPr="003B533B">
              <w:rPr>
                <w:sz w:val="19"/>
                <w:szCs w:val="19"/>
                <w:lang w:val="en-CA"/>
              </w:rPr>
              <w:t xml:space="preserve">and </w:t>
            </w:r>
            <w:r w:rsidR="00CE3594">
              <w:rPr>
                <w:sz w:val="19"/>
                <w:szCs w:val="19"/>
                <w:lang w:val="en-CA"/>
              </w:rPr>
              <w:t>t</w:t>
            </w:r>
            <w:r w:rsidR="00CE3594" w:rsidRPr="00CE3594">
              <w:rPr>
                <w:sz w:val="19"/>
                <w:szCs w:val="19"/>
                <w:lang w:val="en-CA"/>
              </w:rPr>
              <w:t>o request</w:t>
            </w:r>
            <w:r w:rsidR="00CE3594" w:rsidRPr="001E1F65">
              <w:rPr>
                <w:lang w:val="en-CA"/>
              </w:rPr>
              <w:t xml:space="preserve"> </w:t>
            </w:r>
            <w:r w:rsidR="00CE3594" w:rsidRPr="00CE3594">
              <w:rPr>
                <w:sz w:val="19"/>
                <w:szCs w:val="19"/>
                <w:lang w:val="en-CA"/>
              </w:rPr>
              <w:t xml:space="preserve">the Secretariat to send a letter to the Government of Algeria seeking its agreement to cancel </w:t>
            </w:r>
            <w:r w:rsidR="00CE3594">
              <w:rPr>
                <w:sz w:val="19"/>
                <w:szCs w:val="19"/>
                <w:lang w:val="en-CA"/>
              </w:rPr>
              <w:t xml:space="preserve">stage I of the HPMP </w:t>
            </w:r>
            <w:r w:rsidR="00CE3594" w:rsidRPr="00CE3594">
              <w:rPr>
                <w:sz w:val="19"/>
                <w:szCs w:val="19"/>
                <w:lang w:val="en-CA"/>
              </w:rPr>
              <w:t>at the 83</w:t>
            </w:r>
            <w:r w:rsidR="00CE3594" w:rsidRPr="00CE3594">
              <w:rPr>
                <w:sz w:val="19"/>
                <w:szCs w:val="19"/>
                <w:vertAlign w:val="superscript"/>
                <w:lang w:val="en-CA"/>
              </w:rPr>
              <w:t>rd</w:t>
            </w:r>
            <w:r w:rsidR="00CE3594">
              <w:rPr>
                <w:sz w:val="19"/>
                <w:szCs w:val="19"/>
                <w:lang w:val="en-CA"/>
              </w:rPr>
              <w:t xml:space="preserve"> </w:t>
            </w:r>
            <w:r w:rsidR="00CE3594" w:rsidRPr="00CE3594">
              <w:rPr>
                <w:sz w:val="19"/>
                <w:szCs w:val="19"/>
                <w:lang w:val="en-CA"/>
              </w:rPr>
              <w:t>meeting</w:t>
            </w:r>
            <w:r w:rsidRPr="003B533B">
              <w:rPr>
                <w:sz w:val="19"/>
                <w:szCs w:val="19"/>
                <w:lang w:val="en-CA"/>
              </w:rPr>
              <w:t xml:space="preserve"> and </w:t>
            </w:r>
            <w:r w:rsidR="00CA4ACF">
              <w:rPr>
                <w:sz w:val="19"/>
                <w:szCs w:val="19"/>
                <w:lang w:val="en-CA"/>
              </w:rPr>
              <w:t xml:space="preserve">to </w:t>
            </w:r>
            <w:r w:rsidR="00E978E4" w:rsidRPr="00E978E4">
              <w:rPr>
                <w:sz w:val="19"/>
                <w:szCs w:val="19"/>
                <w:lang w:val="en-CA"/>
              </w:rPr>
              <w:t>return the remaining</w:t>
            </w:r>
            <w:r w:rsidR="00E978E4">
              <w:rPr>
                <w:sz w:val="19"/>
                <w:szCs w:val="19"/>
                <w:lang w:val="en-CA"/>
              </w:rPr>
              <w:t xml:space="preserve"> balances</w:t>
            </w:r>
            <w:r w:rsidRPr="003B533B">
              <w:rPr>
                <w:sz w:val="19"/>
                <w:szCs w:val="19"/>
                <w:lang w:val="en-CA"/>
              </w:rPr>
              <w:t xml:space="preserve"> </w:t>
            </w:r>
            <w:r w:rsidR="001B31C9" w:rsidRPr="003B533B">
              <w:rPr>
                <w:sz w:val="19"/>
                <w:szCs w:val="19"/>
                <w:lang w:val="en-CA"/>
              </w:rPr>
              <w:t>to</w:t>
            </w:r>
            <w:r w:rsidRPr="003B533B">
              <w:rPr>
                <w:sz w:val="19"/>
                <w:szCs w:val="19"/>
                <w:lang w:val="en-CA"/>
              </w:rPr>
              <w:t xml:space="preserve"> the </w:t>
            </w:r>
            <w:r w:rsidR="001B31C9" w:rsidRPr="003B533B">
              <w:rPr>
                <w:sz w:val="19"/>
                <w:szCs w:val="19"/>
                <w:lang w:val="en-CA"/>
              </w:rPr>
              <w:t>84</w:t>
            </w:r>
            <w:r w:rsidR="001B31C9" w:rsidRPr="00CE3594">
              <w:rPr>
                <w:sz w:val="19"/>
                <w:szCs w:val="19"/>
                <w:vertAlign w:val="superscript"/>
                <w:lang w:val="en-CA"/>
              </w:rPr>
              <w:t>th</w:t>
            </w:r>
            <w:r w:rsidR="00CE3594">
              <w:rPr>
                <w:sz w:val="19"/>
                <w:szCs w:val="19"/>
                <w:lang w:val="en-CA"/>
              </w:rPr>
              <w:t xml:space="preserve"> </w:t>
            </w:r>
            <w:r w:rsidRPr="003B533B">
              <w:rPr>
                <w:sz w:val="19"/>
                <w:szCs w:val="19"/>
                <w:lang w:val="en-CA"/>
              </w:rPr>
              <w:t>meeting</w:t>
            </w:r>
            <w:r w:rsidR="008745A6" w:rsidRPr="003B533B">
              <w:rPr>
                <w:sz w:val="19"/>
                <w:szCs w:val="19"/>
                <w:lang w:val="en-CA"/>
              </w:rPr>
              <w:t xml:space="preserve"> so that a proposal for stage II of the HPMP could be submitted </w:t>
            </w:r>
            <w:r w:rsidR="002A4DBA" w:rsidRPr="003B533B">
              <w:rPr>
                <w:sz w:val="19"/>
                <w:szCs w:val="19"/>
                <w:lang w:val="en-CA"/>
              </w:rPr>
              <w:t>when condition</w:t>
            </w:r>
            <w:r w:rsidR="00B370DC" w:rsidRPr="003B533B">
              <w:rPr>
                <w:sz w:val="19"/>
                <w:szCs w:val="19"/>
                <w:lang w:val="en-CA"/>
              </w:rPr>
              <w:t>s</w:t>
            </w:r>
            <w:r w:rsidR="002A4DBA" w:rsidRPr="003B533B">
              <w:rPr>
                <w:sz w:val="19"/>
                <w:szCs w:val="19"/>
                <w:lang w:val="en-CA"/>
              </w:rPr>
              <w:t xml:space="preserve"> permit</w:t>
            </w:r>
            <w:r w:rsidRPr="003B533B">
              <w:rPr>
                <w:sz w:val="19"/>
                <w:szCs w:val="19"/>
                <w:lang w:val="en-CA"/>
              </w:rPr>
              <w:t>.</w:t>
            </w:r>
            <w:r w:rsidR="00B370DC" w:rsidRPr="003B533B">
              <w:rPr>
                <w:sz w:val="19"/>
                <w:szCs w:val="19"/>
                <w:lang w:val="en-CA"/>
              </w:rPr>
              <w:t xml:space="preserve"> </w:t>
            </w:r>
          </w:p>
        </w:tc>
      </w:tr>
      <w:tr w:rsidR="001B20F4" w:rsidRPr="003B533B" w14:paraId="663517CB" w14:textId="77777777" w:rsidTr="00807919">
        <w:trPr>
          <w:trHeight w:val="314"/>
        </w:trPr>
        <w:tc>
          <w:tcPr>
            <w:tcW w:w="1560" w:type="dxa"/>
            <w:hideMark/>
          </w:tcPr>
          <w:p w14:paraId="0F92CCDD" w14:textId="77777777" w:rsidR="001B20F4" w:rsidRPr="003B533B" w:rsidRDefault="001B20F4" w:rsidP="0014095B">
            <w:pPr>
              <w:jc w:val="left"/>
              <w:rPr>
                <w:sz w:val="19"/>
                <w:szCs w:val="19"/>
                <w:lang w:val="en-CA" w:eastAsia="en-CA"/>
              </w:rPr>
            </w:pPr>
            <w:r w:rsidRPr="003B533B">
              <w:rPr>
                <w:sz w:val="19"/>
                <w:szCs w:val="19"/>
                <w:lang w:val="en-CA" w:eastAsia="en-CA"/>
              </w:rPr>
              <w:t>Antigua and Barbuda (Stage I)</w:t>
            </w:r>
          </w:p>
        </w:tc>
        <w:tc>
          <w:tcPr>
            <w:tcW w:w="1276" w:type="dxa"/>
            <w:hideMark/>
          </w:tcPr>
          <w:p w14:paraId="0DC9F329" w14:textId="77777777" w:rsidR="001B20F4" w:rsidRPr="003B533B" w:rsidRDefault="001B20F4" w:rsidP="0014095B">
            <w:pPr>
              <w:jc w:val="left"/>
              <w:rPr>
                <w:sz w:val="19"/>
                <w:szCs w:val="19"/>
                <w:lang w:val="fr-FR" w:eastAsia="en-CA"/>
              </w:rPr>
            </w:pPr>
            <w:r w:rsidRPr="003B533B">
              <w:rPr>
                <w:sz w:val="19"/>
                <w:szCs w:val="19"/>
                <w:lang w:val="en-CA" w:eastAsia="en-CA"/>
              </w:rPr>
              <w:t>UNEP</w:t>
            </w:r>
          </w:p>
        </w:tc>
        <w:tc>
          <w:tcPr>
            <w:tcW w:w="879" w:type="dxa"/>
            <w:hideMark/>
          </w:tcPr>
          <w:p w14:paraId="17821A34" w14:textId="77777777" w:rsidR="001B20F4" w:rsidRPr="003B533B" w:rsidRDefault="001B20F4" w:rsidP="0014095B">
            <w:pPr>
              <w:jc w:val="center"/>
              <w:rPr>
                <w:sz w:val="19"/>
                <w:szCs w:val="19"/>
                <w:lang w:val="en-CA" w:eastAsia="en-CA"/>
              </w:rPr>
            </w:pPr>
            <w:r w:rsidRPr="003B533B">
              <w:rPr>
                <w:sz w:val="19"/>
                <w:szCs w:val="19"/>
                <w:lang w:val="en-CA" w:eastAsia="en-CA"/>
              </w:rPr>
              <w:t>2015</w:t>
            </w:r>
          </w:p>
        </w:tc>
        <w:tc>
          <w:tcPr>
            <w:tcW w:w="1275" w:type="dxa"/>
            <w:hideMark/>
          </w:tcPr>
          <w:p w14:paraId="7533FA1B" w14:textId="77777777" w:rsidR="001B20F4" w:rsidRPr="003B533B" w:rsidRDefault="001B20F4" w:rsidP="0014095B">
            <w:pPr>
              <w:jc w:val="right"/>
              <w:rPr>
                <w:sz w:val="19"/>
                <w:szCs w:val="19"/>
                <w:lang w:val="en-CA" w:eastAsia="en-CA"/>
              </w:rPr>
            </w:pPr>
            <w:r w:rsidRPr="003B533B">
              <w:rPr>
                <w:sz w:val="19"/>
                <w:szCs w:val="19"/>
                <w:lang w:val="en-CA" w:eastAsia="en-CA"/>
              </w:rPr>
              <w:t>6,610</w:t>
            </w:r>
          </w:p>
        </w:tc>
        <w:tc>
          <w:tcPr>
            <w:tcW w:w="3373" w:type="dxa"/>
            <w:hideMark/>
          </w:tcPr>
          <w:p w14:paraId="660EC702" w14:textId="2EC2B736" w:rsidR="001B20F4" w:rsidRPr="003B533B" w:rsidRDefault="007B27B8" w:rsidP="0014095B">
            <w:pPr>
              <w:rPr>
                <w:sz w:val="19"/>
                <w:szCs w:val="19"/>
                <w:lang w:val="en-CA" w:eastAsia="en-CA"/>
              </w:rPr>
            </w:pPr>
            <w:r w:rsidRPr="003B533B">
              <w:rPr>
                <w:sz w:val="19"/>
                <w:szCs w:val="19"/>
                <w:lang w:val="en-CA" w:eastAsia="en-CA"/>
              </w:rPr>
              <w:t>Government decisions/</w:t>
            </w:r>
            <w:r w:rsidR="001B20F4" w:rsidRPr="003B533B">
              <w:rPr>
                <w:sz w:val="19"/>
                <w:szCs w:val="19"/>
                <w:lang w:val="en-CA" w:eastAsia="en-CA"/>
              </w:rPr>
              <w:t>endorsements/ changes in the NOU/structural change/ submission of progress and financial reports/internal or external difficulties</w:t>
            </w:r>
          </w:p>
        </w:tc>
        <w:tc>
          <w:tcPr>
            <w:tcW w:w="5812" w:type="dxa"/>
          </w:tcPr>
          <w:p w14:paraId="5FF57277" w14:textId="6EC8C0FB" w:rsidR="001B20F4" w:rsidRPr="003B533B" w:rsidRDefault="001B31C9" w:rsidP="00CE3594">
            <w:pPr>
              <w:rPr>
                <w:sz w:val="19"/>
                <w:szCs w:val="19"/>
                <w:lang w:val="en-CA"/>
              </w:rPr>
            </w:pPr>
            <w:r w:rsidRPr="003B533B">
              <w:rPr>
                <w:sz w:val="19"/>
                <w:szCs w:val="19"/>
                <w:lang w:val="en-CA"/>
              </w:rPr>
              <w:t xml:space="preserve">Noting that the second (2015) tranche of stage I of the HPMP for Antigua and Barbuda had not been submitted due to structural changes within the Government and to </w:t>
            </w:r>
            <w:r w:rsidR="00CE3594" w:rsidRPr="00CE3594">
              <w:rPr>
                <w:sz w:val="19"/>
                <w:szCs w:val="19"/>
                <w:lang w:val="en-CA"/>
              </w:rPr>
              <w:t xml:space="preserve">cancel </w:t>
            </w:r>
            <w:r w:rsidR="00CE3594">
              <w:rPr>
                <w:sz w:val="19"/>
                <w:szCs w:val="19"/>
                <w:lang w:val="en-CA"/>
              </w:rPr>
              <w:t xml:space="preserve">stage I of the HPMP </w:t>
            </w:r>
            <w:r w:rsidR="00CE3594" w:rsidRPr="00CE3594">
              <w:rPr>
                <w:sz w:val="19"/>
                <w:szCs w:val="19"/>
                <w:lang w:val="en-CA"/>
              </w:rPr>
              <w:t>at the 82</w:t>
            </w:r>
            <w:r w:rsidR="00CE3594" w:rsidRPr="00CE3594">
              <w:rPr>
                <w:sz w:val="19"/>
                <w:szCs w:val="19"/>
                <w:vertAlign w:val="superscript"/>
                <w:lang w:val="en-CA"/>
              </w:rPr>
              <w:t>nd</w:t>
            </w:r>
            <w:r w:rsidR="00CE3594">
              <w:rPr>
                <w:sz w:val="19"/>
                <w:szCs w:val="19"/>
                <w:lang w:val="en-CA"/>
              </w:rPr>
              <w:t xml:space="preserve"> </w:t>
            </w:r>
            <w:r w:rsidR="00CE3594" w:rsidRPr="00CE3594">
              <w:rPr>
                <w:sz w:val="19"/>
                <w:szCs w:val="19"/>
                <w:lang w:val="en-CA"/>
              </w:rPr>
              <w:t>meeting and</w:t>
            </w:r>
            <w:r w:rsidR="00CA4ACF">
              <w:rPr>
                <w:sz w:val="19"/>
                <w:szCs w:val="19"/>
                <w:lang w:val="en-CA"/>
              </w:rPr>
              <w:t xml:space="preserve"> to </w:t>
            </w:r>
            <w:r w:rsidR="00E978E4" w:rsidRPr="00E978E4">
              <w:rPr>
                <w:sz w:val="19"/>
                <w:szCs w:val="19"/>
                <w:lang w:val="en-CA"/>
              </w:rPr>
              <w:t xml:space="preserve">return the remaining balances </w:t>
            </w:r>
            <w:r w:rsidR="00CE3594" w:rsidRPr="00CE3594">
              <w:rPr>
                <w:sz w:val="19"/>
                <w:szCs w:val="19"/>
                <w:lang w:val="en-CA"/>
              </w:rPr>
              <w:t>to the 83</w:t>
            </w:r>
            <w:r w:rsidR="00CE3594" w:rsidRPr="00CE3594">
              <w:rPr>
                <w:sz w:val="19"/>
                <w:szCs w:val="19"/>
                <w:vertAlign w:val="superscript"/>
                <w:lang w:val="en-CA"/>
              </w:rPr>
              <w:t>rd</w:t>
            </w:r>
            <w:r w:rsidR="00CE3594">
              <w:rPr>
                <w:sz w:val="19"/>
                <w:szCs w:val="19"/>
                <w:lang w:val="en-CA"/>
              </w:rPr>
              <w:t xml:space="preserve"> </w:t>
            </w:r>
            <w:r w:rsidR="00CE3594" w:rsidRPr="00CE3594">
              <w:rPr>
                <w:sz w:val="19"/>
                <w:szCs w:val="19"/>
                <w:lang w:val="en-CA"/>
              </w:rPr>
              <w:t>meeting</w:t>
            </w:r>
            <w:r w:rsidRPr="003B533B">
              <w:rPr>
                <w:sz w:val="19"/>
                <w:szCs w:val="19"/>
                <w:lang w:val="en-CA"/>
              </w:rPr>
              <w:t xml:space="preserve">, noting that stage II of the HPMP would take into consideration </w:t>
            </w:r>
            <w:r w:rsidR="0075713E" w:rsidRPr="003B533B">
              <w:rPr>
                <w:sz w:val="19"/>
                <w:szCs w:val="19"/>
                <w:lang w:val="en-CA"/>
              </w:rPr>
              <w:t>d</w:t>
            </w:r>
            <w:r w:rsidRPr="003B533B">
              <w:rPr>
                <w:sz w:val="19"/>
                <w:szCs w:val="19"/>
                <w:lang w:val="en-CA"/>
              </w:rPr>
              <w:t>ecision XXIX/19</w:t>
            </w:r>
            <w:r w:rsidR="00CB0856" w:rsidRPr="003B533B">
              <w:rPr>
                <w:sz w:val="19"/>
                <w:szCs w:val="19"/>
                <w:lang w:val="en-CA"/>
              </w:rPr>
              <w:t xml:space="preserve"> on special considerations for the Caribbean islands affected by hurricanes</w:t>
            </w:r>
            <w:r w:rsidRPr="003B533B">
              <w:rPr>
                <w:sz w:val="19"/>
                <w:szCs w:val="19"/>
                <w:lang w:val="en-CA"/>
              </w:rPr>
              <w:t>.</w:t>
            </w:r>
          </w:p>
        </w:tc>
      </w:tr>
      <w:tr w:rsidR="00286EF4" w:rsidRPr="003B533B" w14:paraId="4383A7CA" w14:textId="77777777" w:rsidTr="00807919">
        <w:trPr>
          <w:trHeight w:val="547"/>
        </w:trPr>
        <w:tc>
          <w:tcPr>
            <w:tcW w:w="1560" w:type="dxa"/>
          </w:tcPr>
          <w:p w14:paraId="032EAC83" w14:textId="77777777" w:rsidR="00286EF4" w:rsidRPr="003B533B" w:rsidRDefault="00286EF4" w:rsidP="0014095B">
            <w:pPr>
              <w:jc w:val="left"/>
              <w:rPr>
                <w:sz w:val="19"/>
                <w:szCs w:val="19"/>
                <w:lang w:val="en-CA" w:eastAsia="en-CA"/>
              </w:rPr>
            </w:pPr>
            <w:r w:rsidRPr="003B533B">
              <w:rPr>
                <w:sz w:val="19"/>
                <w:szCs w:val="19"/>
                <w:lang w:val="en-CA" w:eastAsia="en-CA"/>
              </w:rPr>
              <w:t>Central African Republic (the)</w:t>
            </w:r>
          </w:p>
          <w:p w14:paraId="017B2738" w14:textId="5CC16AE5" w:rsidR="00286EF4" w:rsidRPr="003B533B" w:rsidRDefault="00286EF4" w:rsidP="0014095B">
            <w:pPr>
              <w:jc w:val="left"/>
              <w:rPr>
                <w:sz w:val="19"/>
                <w:szCs w:val="19"/>
                <w:lang w:val="en-CA" w:eastAsia="en-CA"/>
              </w:rPr>
            </w:pPr>
            <w:r w:rsidRPr="003B533B">
              <w:rPr>
                <w:sz w:val="19"/>
                <w:szCs w:val="19"/>
                <w:lang w:val="en-CA" w:eastAsia="en-CA"/>
              </w:rPr>
              <w:t>(Stage I)</w:t>
            </w:r>
          </w:p>
        </w:tc>
        <w:tc>
          <w:tcPr>
            <w:tcW w:w="1276" w:type="dxa"/>
          </w:tcPr>
          <w:p w14:paraId="6C9C37A7" w14:textId="77777777" w:rsidR="00286EF4" w:rsidRPr="003B533B" w:rsidRDefault="00286EF4" w:rsidP="0014095B">
            <w:pPr>
              <w:jc w:val="left"/>
              <w:rPr>
                <w:sz w:val="19"/>
                <w:szCs w:val="19"/>
                <w:lang w:val="en-CA" w:eastAsia="en-CA"/>
              </w:rPr>
            </w:pPr>
            <w:r w:rsidRPr="003B533B">
              <w:rPr>
                <w:sz w:val="19"/>
                <w:szCs w:val="19"/>
                <w:lang w:val="en-CA" w:eastAsia="en-CA"/>
              </w:rPr>
              <w:t>UNEP</w:t>
            </w:r>
          </w:p>
        </w:tc>
        <w:tc>
          <w:tcPr>
            <w:tcW w:w="879" w:type="dxa"/>
          </w:tcPr>
          <w:p w14:paraId="400FF73B" w14:textId="77777777" w:rsidR="00286EF4" w:rsidRPr="003B533B" w:rsidRDefault="00286EF4" w:rsidP="0014095B">
            <w:pPr>
              <w:jc w:val="center"/>
              <w:rPr>
                <w:sz w:val="19"/>
                <w:szCs w:val="19"/>
                <w:lang w:val="en-CA" w:eastAsia="en-CA"/>
              </w:rPr>
            </w:pPr>
            <w:r w:rsidRPr="003B533B">
              <w:rPr>
                <w:sz w:val="19"/>
                <w:szCs w:val="19"/>
                <w:lang w:val="en-CA" w:eastAsia="en-CA"/>
              </w:rPr>
              <w:t>2013</w:t>
            </w:r>
          </w:p>
        </w:tc>
        <w:tc>
          <w:tcPr>
            <w:tcW w:w="1275" w:type="dxa"/>
          </w:tcPr>
          <w:p w14:paraId="3F8C77A9" w14:textId="77777777" w:rsidR="00286EF4" w:rsidRPr="003B533B" w:rsidRDefault="00286EF4" w:rsidP="0014095B">
            <w:pPr>
              <w:jc w:val="right"/>
              <w:rPr>
                <w:sz w:val="19"/>
                <w:szCs w:val="19"/>
                <w:lang w:val="en-CA" w:eastAsia="en-CA"/>
              </w:rPr>
            </w:pPr>
            <w:r w:rsidRPr="003B533B">
              <w:rPr>
                <w:sz w:val="19"/>
                <w:szCs w:val="19"/>
                <w:lang w:val="en-CA" w:eastAsia="en-CA"/>
              </w:rPr>
              <w:t>62,150</w:t>
            </w:r>
          </w:p>
        </w:tc>
        <w:tc>
          <w:tcPr>
            <w:tcW w:w="3373" w:type="dxa"/>
          </w:tcPr>
          <w:p w14:paraId="0AD77773" w14:textId="77777777" w:rsidR="00286EF4" w:rsidRPr="003B533B" w:rsidRDefault="00286EF4" w:rsidP="0014095B">
            <w:pPr>
              <w:rPr>
                <w:sz w:val="19"/>
                <w:szCs w:val="19"/>
                <w:lang w:val="en-CA" w:eastAsia="en-CA"/>
              </w:rPr>
            </w:pPr>
            <w:r w:rsidRPr="003B533B">
              <w:rPr>
                <w:sz w:val="19"/>
                <w:szCs w:val="19"/>
                <w:lang w:val="en-CA" w:eastAsia="en-CA"/>
              </w:rPr>
              <w:t>Internal or external difficulties/securities issues/20 per cent disbursement threshold</w:t>
            </w:r>
          </w:p>
        </w:tc>
        <w:tc>
          <w:tcPr>
            <w:tcW w:w="5812" w:type="dxa"/>
          </w:tcPr>
          <w:p w14:paraId="070E1D38" w14:textId="26A041BD" w:rsidR="00286EF4" w:rsidRPr="003B533B" w:rsidRDefault="00286EF4" w:rsidP="00E978E4">
            <w:pPr>
              <w:keepNext/>
              <w:rPr>
                <w:sz w:val="19"/>
                <w:szCs w:val="19"/>
                <w:lang w:val="en-CA" w:eastAsia="en-CA"/>
              </w:rPr>
            </w:pPr>
            <w:r w:rsidRPr="003B533B">
              <w:rPr>
                <w:sz w:val="19"/>
                <w:szCs w:val="19"/>
                <w:lang w:val="en-CA"/>
              </w:rPr>
              <w:t xml:space="preserve">Noting the ongoing difficult circumstances in the country and </w:t>
            </w:r>
            <w:r w:rsidR="00B36007">
              <w:rPr>
                <w:sz w:val="19"/>
                <w:szCs w:val="19"/>
                <w:lang w:val="en-CA"/>
              </w:rPr>
              <w:t>t</w:t>
            </w:r>
            <w:r w:rsidR="00B36007" w:rsidRPr="00B36007">
              <w:rPr>
                <w:sz w:val="19"/>
                <w:szCs w:val="19"/>
                <w:lang w:val="en-CA"/>
              </w:rPr>
              <w:t>o cancel stage</w:t>
            </w:r>
            <w:r w:rsidR="00CA4ACF">
              <w:rPr>
                <w:sz w:val="19"/>
                <w:szCs w:val="19"/>
                <w:lang w:val="en-CA"/>
              </w:rPr>
              <w:t> </w:t>
            </w:r>
            <w:r w:rsidR="00B36007" w:rsidRPr="00B36007">
              <w:rPr>
                <w:sz w:val="19"/>
                <w:szCs w:val="19"/>
                <w:lang w:val="en-CA"/>
              </w:rPr>
              <w:t>I of the HPMP for</w:t>
            </w:r>
            <w:r w:rsidR="00CA4ACF">
              <w:rPr>
                <w:sz w:val="19"/>
                <w:szCs w:val="19"/>
                <w:lang w:val="en-CA"/>
              </w:rPr>
              <w:t xml:space="preserve"> the</w:t>
            </w:r>
            <w:r w:rsidR="00B36007" w:rsidRPr="00B36007">
              <w:rPr>
                <w:sz w:val="19"/>
                <w:szCs w:val="19"/>
                <w:lang w:val="en-CA"/>
              </w:rPr>
              <w:t xml:space="preserve"> Central African Republic at the 82</w:t>
            </w:r>
            <w:r w:rsidR="00B36007" w:rsidRPr="00E978E4">
              <w:rPr>
                <w:sz w:val="19"/>
                <w:szCs w:val="19"/>
                <w:vertAlign w:val="superscript"/>
                <w:lang w:val="en-CA"/>
              </w:rPr>
              <w:t>nd</w:t>
            </w:r>
            <w:r w:rsidR="00E978E4">
              <w:rPr>
                <w:sz w:val="19"/>
                <w:szCs w:val="19"/>
                <w:lang w:val="en-CA"/>
              </w:rPr>
              <w:t xml:space="preserve"> </w:t>
            </w:r>
            <w:r w:rsidR="00B36007" w:rsidRPr="00B36007">
              <w:rPr>
                <w:sz w:val="19"/>
                <w:szCs w:val="19"/>
                <w:lang w:val="en-CA"/>
              </w:rPr>
              <w:t xml:space="preserve">meeting and </w:t>
            </w:r>
            <w:r w:rsidR="00CA4ACF">
              <w:rPr>
                <w:sz w:val="19"/>
                <w:szCs w:val="19"/>
                <w:lang w:val="en-CA"/>
              </w:rPr>
              <w:t xml:space="preserve">to </w:t>
            </w:r>
            <w:r w:rsidR="00E978E4" w:rsidRPr="00E978E4">
              <w:rPr>
                <w:sz w:val="19"/>
                <w:szCs w:val="19"/>
                <w:lang w:val="en-CA"/>
              </w:rPr>
              <w:t xml:space="preserve">return the remaining balances </w:t>
            </w:r>
            <w:r w:rsidR="00B36007" w:rsidRPr="00B36007">
              <w:rPr>
                <w:sz w:val="19"/>
                <w:szCs w:val="19"/>
                <w:lang w:val="en-CA"/>
              </w:rPr>
              <w:t>to the 83</w:t>
            </w:r>
            <w:r w:rsidR="00B36007" w:rsidRPr="00E978E4">
              <w:rPr>
                <w:sz w:val="19"/>
                <w:szCs w:val="19"/>
                <w:vertAlign w:val="superscript"/>
                <w:lang w:val="en-CA"/>
              </w:rPr>
              <w:t>rd</w:t>
            </w:r>
            <w:r w:rsidR="00E978E4">
              <w:rPr>
                <w:sz w:val="19"/>
                <w:szCs w:val="19"/>
                <w:lang w:val="en-CA"/>
              </w:rPr>
              <w:t xml:space="preserve"> </w:t>
            </w:r>
            <w:r w:rsidR="00B36007" w:rsidRPr="00B36007">
              <w:rPr>
                <w:sz w:val="19"/>
                <w:szCs w:val="19"/>
                <w:lang w:val="en-CA"/>
              </w:rPr>
              <w:t>meeting</w:t>
            </w:r>
            <w:r w:rsidR="00B36007" w:rsidRPr="003B533B">
              <w:rPr>
                <w:sz w:val="19"/>
                <w:szCs w:val="19"/>
                <w:lang w:val="en-CA"/>
              </w:rPr>
              <w:t xml:space="preserve"> </w:t>
            </w:r>
            <w:r w:rsidRPr="003B533B">
              <w:rPr>
                <w:sz w:val="19"/>
                <w:szCs w:val="19"/>
                <w:lang w:val="en-CA"/>
              </w:rPr>
              <w:t>so that a proposal for stage II of the HPMP could be submitted when conditions permit.</w:t>
            </w:r>
          </w:p>
        </w:tc>
      </w:tr>
    </w:tbl>
    <w:p w14:paraId="27029C61" w14:textId="7C60A941" w:rsidR="001B20F4" w:rsidRPr="00B41072" w:rsidRDefault="001B20F4" w:rsidP="0014095B">
      <w:pPr>
        <w:tabs>
          <w:tab w:val="left" w:pos="426"/>
          <w:tab w:val="left" w:pos="2185"/>
          <w:tab w:val="left" w:pos="2742"/>
          <w:tab w:val="left" w:pos="3829"/>
          <w:tab w:val="left" w:pos="6671"/>
          <w:tab w:val="left" w:pos="7624"/>
          <w:tab w:val="left" w:pos="8384"/>
        </w:tabs>
        <w:ind w:left="426"/>
        <w:rPr>
          <w:bCs/>
          <w:caps/>
          <w:color w:val="000000"/>
          <w:sz w:val="19"/>
          <w:szCs w:val="19"/>
          <w:lang w:val="en-CA"/>
        </w:rPr>
      </w:pPr>
      <w:r>
        <w:rPr>
          <w:bCs/>
          <w:color w:val="000000"/>
          <w:sz w:val="19"/>
          <w:szCs w:val="19"/>
          <w:lang w:val="en-CA"/>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14:paraId="458FDABD" w14:textId="77777777" w:rsidTr="000D3556">
        <w:trPr>
          <w:jc w:val="center"/>
        </w:trPr>
        <w:tc>
          <w:tcPr>
            <w:tcW w:w="1871" w:type="dxa"/>
          </w:tcPr>
          <w:p w14:paraId="74218423" w14:textId="77777777" w:rsidR="00E85409" w:rsidRDefault="00E85409" w:rsidP="0014095B"/>
        </w:tc>
        <w:tc>
          <w:tcPr>
            <w:tcW w:w="1872" w:type="dxa"/>
          </w:tcPr>
          <w:p w14:paraId="44D728CD" w14:textId="77777777" w:rsidR="00E85409" w:rsidRDefault="00E85409" w:rsidP="0014095B"/>
        </w:tc>
        <w:tc>
          <w:tcPr>
            <w:tcW w:w="1872" w:type="dxa"/>
            <w:tcBorders>
              <w:bottom w:val="single" w:sz="4" w:space="0" w:color="auto"/>
            </w:tcBorders>
          </w:tcPr>
          <w:p w14:paraId="0D452481" w14:textId="77777777" w:rsidR="00E85409" w:rsidRDefault="00E85409" w:rsidP="0014095B"/>
        </w:tc>
        <w:tc>
          <w:tcPr>
            <w:tcW w:w="1872" w:type="dxa"/>
          </w:tcPr>
          <w:p w14:paraId="30962F26" w14:textId="77777777" w:rsidR="00E85409" w:rsidRDefault="00E85409" w:rsidP="0014095B"/>
        </w:tc>
        <w:tc>
          <w:tcPr>
            <w:tcW w:w="1873" w:type="dxa"/>
          </w:tcPr>
          <w:p w14:paraId="0C9B86D2" w14:textId="77777777" w:rsidR="00E85409" w:rsidRDefault="00E85409" w:rsidP="0014095B"/>
        </w:tc>
      </w:tr>
    </w:tbl>
    <w:p w14:paraId="3AC76432" w14:textId="77777777" w:rsidR="00E85409" w:rsidRPr="00B04161" w:rsidRDefault="00E85409" w:rsidP="0014095B">
      <w:pPr>
        <w:rPr>
          <w:lang w:val="en-CA"/>
        </w:rPr>
      </w:pPr>
    </w:p>
    <w:sectPr w:rsidR="00E85409" w:rsidRPr="00B04161" w:rsidSect="00AF4F7C">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440" w:left="864"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4B7C" w14:textId="77777777" w:rsidR="001B13C2" w:rsidRDefault="001B13C2" w:rsidP="004A504B">
      <w:r>
        <w:separator/>
      </w:r>
    </w:p>
  </w:endnote>
  <w:endnote w:type="continuationSeparator" w:id="0">
    <w:p w14:paraId="5966849B" w14:textId="77777777" w:rsidR="001B13C2" w:rsidRDefault="001B13C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174603"/>
      <w:docPartObj>
        <w:docPartGallery w:val="Page Numbers (Bottom of Page)"/>
        <w:docPartUnique/>
      </w:docPartObj>
    </w:sdtPr>
    <w:sdtEndPr>
      <w:rPr>
        <w:noProof/>
      </w:rPr>
    </w:sdtEndPr>
    <w:sdtContent>
      <w:p w14:paraId="14F35167" w14:textId="463EF228" w:rsidR="001B13C2" w:rsidRDefault="001B13C2">
        <w:pPr>
          <w:pStyle w:val="Footer"/>
          <w:jc w:val="center"/>
        </w:pPr>
        <w:r>
          <w:fldChar w:fldCharType="begin"/>
        </w:r>
        <w:r>
          <w:instrText xml:space="preserve"> PAGE   \* MERGEFORMAT </w:instrText>
        </w:r>
        <w:r>
          <w:fldChar w:fldCharType="separate"/>
        </w:r>
        <w:r w:rsidR="00140684">
          <w:rPr>
            <w:noProof/>
          </w:rPr>
          <w:t>2</w:t>
        </w:r>
        <w:r>
          <w:rPr>
            <w:noProof/>
          </w:rPr>
          <w:fldChar w:fldCharType="end"/>
        </w:r>
      </w:p>
    </w:sdtContent>
  </w:sdt>
  <w:p w14:paraId="5586AB17" w14:textId="77777777" w:rsidR="001B13C2" w:rsidRDefault="001B13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BEFD" w14:textId="7FE1B5D4" w:rsidR="001B13C2" w:rsidRDefault="001B13C2">
    <w:pPr>
      <w:jc w:val="center"/>
      <w:rPr>
        <w:noProof/>
      </w:rPr>
    </w:pPr>
    <w:r>
      <w:fldChar w:fldCharType="begin"/>
    </w:r>
    <w:r>
      <w:instrText xml:space="preserve"> PAGE </w:instrText>
    </w:r>
    <w:r>
      <w:fldChar w:fldCharType="separate"/>
    </w:r>
    <w:r>
      <w:rPr>
        <w:noProof/>
      </w:rPr>
      <w:t>3</w:t>
    </w:r>
    <w:r>
      <w:rPr>
        <w:noProof/>
      </w:rPr>
      <w:fldChar w:fldCharType="end"/>
    </w:r>
  </w:p>
  <w:p w14:paraId="252DACAE" w14:textId="77777777" w:rsidR="001B13C2" w:rsidRPr="0033525D" w:rsidRDefault="001B13C2">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370B" w14:textId="77777777" w:rsidR="001B13C2" w:rsidRDefault="001B13C2"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1F469DAE" w14:textId="77777777" w:rsidR="001B13C2" w:rsidRDefault="001B13C2"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8CAC" w14:textId="3334BC49" w:rsidR="001B13C2" w:rsidRPr="0033525D" w:rsidRDefault="001B13C2">
    <w:pPr>
      <w:jc w:val="center"/>
    </w:pPr>
    <w:r>
      <w:fldChar w:fldCharType="begin"/>
    </w:r>
    <w:r>
      <w:instrText xml:space="preserve"> PAGE </w:instrText>
    </w:r>
    <w:r>
      <w:fldChar w:fldCharType="separate"/>
    </w:r>
    <w:r w:rsidR="00140684">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7D87" w14:textId="052B3754" w:rsidR="001B13C2" w:rsidRPr="0033525D" w:rsidRDefault="001B13C2">
    <w:pPr>
      <w:jc w:val="center"/>
    </w:pPr>
    <w:r>
      <w:fldChar w:fldCharType="begin"/>
    </w:r>
    <w:r>
      <w:instrText xml:space="preserve"> PAGE </w:instrText>
    </w:r>
    <w:r>
      <w:fldChar w:fldCharType="separate"/>
    </w:r>
    <w:r w:rsidR="00140684">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142749"/>
      <w:docPartObj>
        <w:docPartGallery w:val="Page Numbers (Bottom of Page)"/>
        <w:docPartUnique/>
      </w:docPartObj>
    </w:sdtPr>
    <w:sdtEndPr>
      <w:rPr>
        <w:noProof/>
      </w:rPr>
    </w:sdtEndPr>
    <w:sdtContent>
      <w:p w14:paraId="4B250FAF" w14:textId="7597D954" w:rsidR="001B13C2" w:rsidRDefault="001B13C2">
        <w:pPr>
          <w:pStyle w:val="Footer"/>
          <w:jc w:val="center"/>
        </w:pPr>
        <w:r>
          <w:fldChar w:fldCharType="begin"/>
        </w:r>
        <w:r>
          <w:instrText xml:space="preserve"> PAGE   \* MERGEFORMAT </w:instrText>
        </w:r>
        <w:r>
          <w:fldChar w:fldCharType="separate"/>
        </w:r>
        <w:r w:rsidR="00AD253D">
          <w:rPr>
            <w:noProof/>
          </w:rPr>
          <w:t>1</w:t>
        </w:r>
        <w:r>
          <w:rPr>
            <w:noProof/>
          </w:rPr>
          <w:fldChar w:fldCharType="end"/>
        </w:r>
      </w:p>
    </w:sdtContent>
  </w:sdt>
  <w:p w14:paraId="67D7836A" w14:textId="77777777" w:rsidR="001B13C2" w:rsidRPr="001B20F4" w:rsidRDefault="001B13C2" w:rsidP="001B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1953" w14:textId="77777777" w:rsidR="001B13C2" w:rsidRDefault="001B13C2" w:rsidP="004A504B">
      <w:r>
        <w:separator/>
      </w:r>
    </w:p>
  </w:footnote>
  <w:footnote w:type="continuationSeparator" w:id="0">
    <w:p w14:paraId="0B8E4632" w14:textId="77777777" w:rsidR="001B13C2" w:rsidRDefault="001B13C2" w:rsidP="004A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B9CC" w14:textId="346A3D2B" w:rsidR="001B13C2" w:rsidRPr="0033525D" w:rsidRDefault="00140684" w:rsidP="00807919">
    <w:pPr>
      <w:jc w:val="left"/>
    </w:pPr>
    <w:r>
      <w:fldChar w:fldCharType="begin"/>
    </w:r>
    <w:r>
      <w:instrText xml:space="preserve"> DOCPROPERTY "Document number"  \* MERGEFORMAT </w:instrText>
    </w:r>
    <w:r>
      <w:fldChar w:fldCharType="separate"/>
    </w:r>
    <w:r w:rsidR="001B13C2">
      <w:t>UNEP/</w:t>
    </w:r>
    <w:proofErr w:type="spellStart"/>
    <w:r w:rsidR="001B13C2">
      <w:t>OzL.Pro</w:t>
    </w:r>
    <w:proofErr w:type="spellEnd"/>
    <w:r w:rsidR="001B13C2">
      <w:t>/ExCom/82/24</w:t>
    </w:r>
    <w:r>
      <w:fldChar w:fldCharType="end"/>
    </w:r>
  </w:p>
  <w:p w14:paraId="4B9D7604" w14:textId="77777777" w:rsidR="001B13C2" w:rsidRPr="0033525D" w:rsidRDefault="001B13C2" w:rsidP="00807919"/>
  <w:p w14:paraId="72C5460D" w14:textId="77777777" w:rsidR="001B13C2" w:rsidRDefault="001B1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B42A" w14:textId="673FC9D7" w:rsidR="001B13C2" w:rsidRPr="0033525D" w:rsidRDefault="00140684" w:rsidP="00807919">
    <w:pPr>
      <w:jc w:val="right"/>
    </w:pPr>
    <w:r>
      <w:fldChar w:fldCharType="begin"/>
    </w:r>
    <w:r>
      <w:instrText xml:space="preserve"> DOCPROPERTY "Document number"  \* MERGEFORMAT </w:instrText>
    </w:r>
    <w:r>
      <w:fldChar w:fldCharType="separate"/>
    </w:r>
    <w:r w:rsidR="001B13C2">
      <w:t>UNEP/</w:t>
    </w:r>
    <w:proofErr w:type="spellStart"/>
    <w:r w:rsidR="001B13C2">
      <w:t>OzL.Pro</w:t>
    </w:r>
    <w:proofErr w:type="spellEnd"/>
    <w:r w:rsidR="001B13C2">
      <w:t>/ExCom/82/24</w:t>
    </w:r>
    <w:r>
      <w:fldChar w:fldCharType="end"/>
    </w:r>
  </w:p>
  <w:p w14:paraId="51A46BA6" w14:textId="77777777" w:rsidR="001B13C2" w:rsidRPr="0033525D" w:rsidRDefault="001B13C2"/>
  <w:p w14:paraId="2BC2A895" w14:textId="77777777" w:rsidR="001B13C2" w:rsidRPr="0033525D" w:rsidRDefault="001B1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540F" w14:textId="4CD1D997" w:rsidR="001B13C2" w:rsidRPr="0033525D" w:rsidRDefault="00140684" w:rsidP="001B20F4">
    <w:pPr>
      <w:jc w:val="left"/>
    </w:pPr>
    <w:r>
      <w:fldChar w:fldCharType="begin"/>
    </w:r>
    <w:r>
      <w:instrText xml:space="preserve"> DOCPROPERTY "Document number"  \* MERGEFORMAT </w:instrText>
    </w:r>
    <w:r>
      <w:fldChar w:fldCharType="separate"/>
    </w:r>
    <w:r w:rsidR="001B13C2">
      <w:t>UNEP/</w:t>
    </w:r>
    <w:proofErr w:type="spellStart"/>
    <w:r w:rsidR="001B13C2">
      <w:t>OzL.Pro</w:t>
    </w:r>
    <w:proofErr w:type="spellEnd"/>
    <w:r w:rsidR="001B13C2">
      <w:t>/ExCom/82/24</w:t>
    </w:r>
    <w:r>
      <w:fldChar w:fldCharType="end"/>
    </w:r>
  </w:p>
  <w:p w14:paraId="46848037" w14:textId="77777777" w:rsidR="001B13C2" w:rsidRDefault="001B13C2" w:rsidP="001B20F4">
    <w:pPr>
      <w:pStyle w:val="Header"/>
      <w:jc w:val="left"/>
    </w:pPr>
    <w:r>
      <w:t>Annex I</w:t>
    </w:r>
  </w:p>
  <w:p w14:paraId="6437A3BB" w14:textId="77777777" w:rsidR="001B13C2" w:rsidRPr="0033525D" w:rsidRDefault="001B13C2"/>
  <w:p w14:paraId="45913066" w14:textId="77777777" w:rsidR="001B13C2" w:rsidRPr="0033525D" w:rsidRDefault="001B13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12F1" w14:textId="6266B715" w:rsidR="001B13C2" w:rsidRPr="0033525D" w:rsidRDefault="00140684" w:rsidP="001B20F4">
    <w:pPr>
      <w:jc w:val="right"/>
    </w:pPr>
    <w:r>
      <w:fldChar w:fldCharType="begin"/>
    </w:r>
    <w:r>
      <w:instrText xml:space="preserve"> DOCPROPERTY "Document number"  \* MERGEFORMAT </w:instrText>
    </w:r>
    <w:r>
      <w:fldChar w:fldCharType="separate"/>
    </w:r>
    <w:r w:rsidR="001B13C2">
      <w:t>UNEP/</w:t>
    </w:r>
    <w:proofErr w:type="spellStart"/>
    <w:r w:rsidR="001B13C2">
      <w:t>OzL.Pro</w:t>
    </w:r>
    <w:proofErr w:type="spellEnd"/>
    <w:r w:rsidR="001B13C2">
      <w:t>/ExCom/82/24</w:t>
    </w:r>
    <w:r>
      <w:fldChar w:fldCharType="end"/>
    </w:r>
  </w:p>
  <w:p w14:paraId="00F282E4" w14:textId="77777777" w:rsidR="001B13C2" w:rsidRDefault="001B13C2" w:rsidP="001B20F4">
    <w:pPr>
      <w:pStyle w:val="Header"/>
      <w:jc w:val="right"/>
    </w:pPr>
    <w:r>
      <w:t>Annex I</w:t>
    </w:r>
  </w:p>
  <w:p w14:paraId="72942869" w14:textId="77777777" w:rsidR="001B13C2" w:rsidRPr="0033525D" w:rsidRDefault="001B13C2"/>
  <w:p w14:paraId="38DF3E34" w14:textId="77777777" w:rsidR="001B13C2" w:rsidRPr="0033525D" w:rsidRDefault="001B13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FAC4" w14:textId="3713F987" w:rsidR="001B13C2" w:rsidRPr="0033525D" w:rsidRDefault="00140684" w:rsidP="00AF4F7C">
    <w:pPr>
      <w:jc w:val="left"/>
    </w:pPr>
    <w:r>
      <w:fldChar w:fldCharType="begin"/>
    </w:r>
    <w:r>
      <w:instrText xml:space="preserve"> DOCPROPERTY "Document number"  \* MERGEFORMAT </w:instrText>
    </w:r>
    <w:r>
      <w:fldChar w:fldCharType="separate"/>
    </w:r>
    <w:r w:rsidR="00CA4ACF">
      <w:t>UNEP/</w:t>
    </w:r>
    <w:proofErr w:type="spellStart"/>
    <w:r w:rsidR="00CA4ACF">
      <w:t>OzL.Pro</w:t>
    </w:r>
    <w:proofErr w:type="spellEnd"/>
    <w:r w:rsidR="00CA4ACF">
      <w:t>/ExCom/82/24/Corr.1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1B20F4"/>
    <w:rsid w:val="00000FED"/>
    <w:rsid w:val="00002BDB"/>
    <w:rsid w:val="0000434E"/>
    <w:rsid w:val="00020E44"/>
    <w:rsid w:val="000211A9"/>
    <w:rsid w:val="00023D97"/>
    <w:rsid w:val="00031260"/>
    <w:rsid w:val="000321F0"/>
    <w:rsid w:val="00032E50"/>
    <w:rsid w:val="0003681A"/>
    <w:rsid w:val="0004788D"/>
    <w:rsid w:val="00053860"/>
    <w:rsid w:val="00061EC2"/>
    <w:rsid w:val="00067A26"/>
    <w:rsid w:val="00070D30"/>
    <w:rsid w:val="00080C42"/>
    <w:rsid w:val="00080ED0"/>
    <w:rsid w:val="00085B8F"/>
    <w:rsid w:val="000876BE"/>
    <w:rsid w:val="00090481"/>
    <w:rsid w:val="00090DB4"/>
    <w:rsid w:val="000975D0"/>
    <w:rsid w:val="000976E8"/>
    <w:rsid w:val="000A2DC6"/>
    <w:rsid w:val="000A6C26"/>
    <w:rsid w:val="000D3556"/>
    <w:rsid w:val="000D52A4"/>
    <w:rsid w:val="000D6D06"/>
    <w:rsid w:val="000E07BC"/>
    <w:rsid w:val="000F1CD4"/>
    <w:rsid w:val="000F4103"/>
    <w:rsid w:val="000F70A7"/>
    <w:rsid w:val="00105C8C"/>
    <w:rsid w:val="001128A7"/>
    <w:rsid w:val="001130E1"/>
    <w:rsid w:val="00113CCA"/>
    <w:rsid w:val="00120186"/>
    <w:rsid w:val="00122F25"/>
    <w:rsid w:val="00134616"/>
    <w:rsid w:val="00135980"/>
    <w:rsid w:val="00137DFB"/>
    <w:rsid w:val="00140684"/>
    <w:rsid w:val="0014095B"/>
    <w:rsid w:val="0016165F"/>
    <w:rsid w:val="0016272C"/>
    <w:rsid w:val="001640AF"/>
    <w:rsid w:val="00164719"/>
    <w:rsid w:val="00166FC4"/>
    <w:rsid w:val="001677AC"/>
    <w:rsid w:val="00170C2B"/>
    <w:rsid w:val="00175564"/>
    <w:rsid w:val="001804EA"/>
    <w:rsid w:val="00184183"/>
    <w:rsid w:val="00190A61"/>
    <w:rsid w:val="0019213D"/>
    <w:rsid w:val="001A2C28"/>
    <w:rsid w:val="001A3342"/>
    <w:rsid w:val="001A3E3D"/>
    <w:rsid w:val="001A7049"/>
    <w:rsid w:val="001B13C2"/>
    <w:rsid w:val="001B1E40"/>
    <w:rsid w:val="001B20F4"/>
    <w:rsid w:val="001B318F"/>
    <w:rsid w:val="001B31C9"/>
    <w:rsid w:val="001B741F"/>
    <w:rsid w:val="001C764E"/>
    <w:rsid w:val="001E1052"/>
    <w:rsid w:val="001E15A5"/>
    <w:rsid w:val="001E21B1"/>
    <w:rsid w:val="001E2F93"/>
    <w:rsid w:val="001E3DFC"/>
    <w:rsid w:val="001E4234"/>
    <w:rsid w:val="001E61E5"/>
    <w:rsid w:val="001F2159"/>
    <w:rsid w:val="001F49B5"/>
    <w:rsid w:val="00214863"/>
    <w:rsid w:val="002156B4"/>
    <w:rsid w:val="00215D63"/>
    <w:rsid w:val="002229B4"/>
    <w:rsid w:val="00224629"/>
    <w:rsid w:val="00251043"/>
    <w:rsid w:val="00253048"/>
    <w:rsid w:val="00253222"/>
    <w:rsid w:val="00261F30"/>
    <w:rsid w:val="00262847"/>
    <w:rsid w:val="00263C6E"/>
    <w:rsid w:val="00266D27"/>
    <w:rsid w:val="00267A71"/>
    <w:rsid w:val="00267A7F"/>
    <w:rsid w:val="00277ADD"/>
    <w:rsid w:val="00281BB2"/>
    <w:rsid w:val="00286EF4"/>
    <w:rsid w:val="002906E2"/>
    <w:rsid w:val="002942CE"/>
    <w:rsid w:val="002A4DBA"/>
    <w:rsid w:val="002B34B1"/>
    <w:rsid w:val="002B564A"/>
    <w:rsid w:val="002B72E9"/>
    <w:rsid w:val="002C6635"/>
    <w:rsid w:val="002C7998"/>
    <w:rsid w:val="002D0E12"/>
    <w:rsid w:val="002E2F8A"/>
    <w:rsid w:val="002F1E53"/>
    <w:rsid w:val="002F2CAA"/>
    <w:rsid w:val="0030052C"/>
    <w:rsid w:val="00311585"/>
    <w:rsid w:val="00314E77"/>
    <w:rsid w:val="0032078D"/>
    <w:rsid w:val="00322DC6"/>
    <w:rsid w:val="003306E1"/>
    <w:rsid w:val="003309F4"/>
    <w:rsid w:val="00330EAB"/>
    <w:rsid w:val="003320E4"/>
    <w:rsid w:val="0033525D"/>
    <w:rsid w:val="00335D29"/>
    <w:rsid w:val="003414F3"/>
    <w:rsid w:val="0035613E"/>
    <w:rsid w:val="00363EE9"/>
    <w:rsid w:val="003709FB"/>
    <w:rsid w:val="00376128"/>
    <w:rsid w:val="00376B38"/>
    <w:rsid w:val="00376ED5"/>
    <w:rsid w:val="0037742E"/>
    <w:rsid w:val="003813FF"/>
    <w:rsid w:val="0038245A"/>
    <w:rsid w:val="00385CFC"/>
    <w:rsid w:val="0039337A"/>
    <w:rsid w:val="00397C40"/>
    <w:rsid w:val="003A2203"/>
    <w:rsid w:val="003A3189"/>
    <w:rsid w:val="003A5431"/>
    <w:rsid w:val="003B1FDE"/>
    <w:rsid w:val="003B33BD"/>
    <w:rsid w:val="003B533B"/>
    <w:rsid w:val="003B569D"/>
    <w:rsid w:val="003C0820"/>
    <w:rsid w:val="003C3C0E"/>
    <w:rsid w:val="003C765C"/>
    <w:rsid w:val="003D4E49"/>
    <w:rsid w:val="003D4FAC"/>
    <w:rsid w:val="003E60A3"/>
    <w:rsid w:val="003E7906"/>
    <w:rsid w:val="003F0D57"/>
    <w:rsid w:val="003F2EE3"/>
    <w:rsid w:val="003F319E"/>
    <w:rsid w:val="003F31E7"/>
    <w:rsid w:val="003F3C50"/>
    <w:rsid w:val="003F661D"/>
    <w:rsid w:val="00406A6A"/>
    <w:rsid w:val="00406B22"/>
    <w:rsid w:val="00423233"/>
    <w:rsid w:val="00427FDA"/>
    <w:rsid w:val="004328A7"/>
    <w:rsid w:val="00434C74"/>
    <w:rsid w:val="00444A8A"/>
    <w:rsid w:val="00453A87"/>
    <w:rsid w:val="00456EB4"/>
    <w:rsid w:val="004572A6"/>
    <w:rsid w:val="004718F3"/>
    <w:rsid w:val="00471C03"/>
    <w:rsid w:val="00475040"/>
    <w:rsid w:val="0047631C"/>
    <w:rsid w:val="00476ACE"/>
    <w:rsid w:val="00493D40"/>
    <w:rsid w:val="004967B6"/>
    <w:rsid w:val="004A504B"/>
    <w:rsid w:val="004A6911"/>
    <w:rsid w:val="004A7014"/>
    <w:rsid w:val="004B4027"/>
    <w:rsid w:val="004B47DB"/>
    <w:rsid w:val="004B54E0"/>
    <w:rsid w:val="004B72B2"/>
    <w:rsid w:val="004B7384"/>
    <w:rsid w:val="004C1447"/>
    <w:rsid w:val="004C31EE"/>
    <w:rsid w:val="004C3AB0"/>
    <w:rsid w:val="004C4269"/>
    <w:rsid w:val="004D1192"/>
    <w:rsid w:val="004D6236"/>
    <w:rsid w:val="004D7F90"/>
    <w:rsid w:val="004E4DBB"/>
    <w:rsid w:val="004E4E41"/>
    <w:rsid w:val="004E7467"/>
    <w:rsid w:val="004E7F9C"/>
    <w:rsid w:val="004F28F3"/>
    <w:rsid w:val="004F3493"/>
    <w:rsid w:val="004F5143"/>
    <w:rsid w:val="00512B09"/>
    <w:rsid w:val="00533796"/>
    <w:rsid w:val="00533CF2"/>
    <w:rsid w:val="0054232A"/>
    <w:rsid w:val="005424F6"/>
    <w:rsid w:val="00555D75"/>
    <w:rsid w:val="00557A37"/>
    <w:rsid w:val="0056020F"/>
    <w:rsid w:val="00560AB2"/>
    <w:rsid w:val="00560DF0"/>
    <w:rsid w:val="0056759C"/>
    <w:rsid w:val="00583B5B"/>
    <w:rsid w:val="0059513E"/>
    <w:rsid w:val="0059569C"/>
    <w:rsid w:val="005B48FF"/>
    <w:rsid w:val="005B54BB"/>
    <w:rsid w:val="005E5498"/>
    <w:rsid w:val="005E5A10"/>
    <w:rsid w:val="00604703"/>
    <w:rsid w:val="00604C15"/>
    <w:rsid w:val="00611543"/>
    <w:rsid w:val="00615554"/>
    <w:rsid w:val="006158D5"/>
    <w:rsid w:val="00624D1F"/>
    <w:rsid w:val="006254B1"/>
    <w:rsid w:val="00625D83"/>
    <w:rsid w:val="0062692E"/>
    <w:rsid w:val="00632125"/>
    <w:rsid w:val="00643A0B"/>
    <w:rsid w:val="0065733B"/>
    <w:rsid w:val="006623E7"/>
    <w:rsid w:val="00662B80"/>
    <w:rsid w:val="00664D09"/>
    <w:rsid w:val="00670F6C"/>
    <w:rsid w:val="00671773"/>
    <w:rsid w:val="006852C7"/>
    <w:rsid w:val="006870F1"/>
    <w:rsid w:val="006919A5"/>
    <w:rsid w:val="0069513A"/>
    <w:rsid w:val="00696AB6"/>
    <w:rsid w:val="006C1727"/>
    <w:rsid w:val="006C1E7D"/>
    <w:rsid w:val="006C32FD"/>
    <w:rsid w:val="006C39CE"/>
    <w:rsid w:val="006D0FCC"/>
    <w:rsid w:val="006D52D7"/>
    <w:rsid w:val="006D77B5"/>
    <w:rsid w:val="006E1FC3"/>
    <w:rsid w:val="006E6862"/>
    <w:rsid w:val="006F15C5"/>
    <w:rsid w:val="006F299E"/>
    <w:rsid w:val="0070616B"/>
    <w:rsid w:val="00706FDA"/>
    <w:rsid w:val="00711F9A"/>
    <w:rsid w:val="00713810"/>
    <w:rsid w:val="0072409E"/>
    <w:rsid w:val="007303A5"/>
    <w:rsid w:val="00730B3E"/>
    <w:rsid w:val="0073420B"/>
    <w:rsid w:val="007427F9"/>
    <w:rsid w:val="00744C1C"/>
    <w:rsid w:val="00745342"/>
    <w:rsid w:val="0074760E"/>
    <w:rsid w:val="00747C4D"/>
    <w:rsid w:val="00754A0B"/>
    <w:rsid w:val="00754ABA"/>
    <w:rsid w:val="0075713E"/>
    <w:rsid w:val="007628DD"/>
    <w:rsid w:val="00777576"/>
    <w:rsid w:val="007933DD"/>
    <w:rsid w:val="00793AA7"/>
    <w:rsid w:val="007A1546"/>
    <w:rsid w:val="007A228C"/>
    <w:rsid w:val="007A368E"/>
    <w:rsid w:val="007A44F1"/>
    <w:rsid w:val="007A5868"/>
    <w:rsid w:val="007B04CE"/>
    <w:rsid w:val="007B27B8"/>
    <w:rsid w:val="007B401A"/>
    <w:rsid w:val="007B6871"/>
    <w:rsid w:val="007B7A2F"/>
    <w:rsid w:val="007C00B1"/>
    <w:rsid w:val="007C2AED"/>
    <w:rsid w:val="007C3BB0"/>
    <w:rsid w:val="007C3D33"/>
    <w:rsid w:val="007C6041"/>
    <w:rsid w:val="007D294A"/>
    <w:rsid w:val="007D47D2"/>
    <w:rsid w:val="007D6EC0"/>
    <w:rsid w:val="007D7E1D"/>
    <w:rsid w:val="007E66C5"/>
    <w:rsid w:val="007E6BEA"/>
    <w:rsid w:val="0080628E"/>
    <w:rsid w:val="00807919"/>
    <w:rsid w:val="00813E1C"/>
    <w:rsid w:val="00817263"/>
    <w:rsid w:val="008203B3"/>
    <w:rsid w:val="00823534"/>
    <w:rsid w:val="00831979"/>
    <w:rsid w:val="0084380D"/>
    <w:rsid w:val="00851352"/>
    <w:rsid w:val="00852F81"/>
    <w:rsid w:val="00861447"/>
    <w:rsid w:val="00862C41"/>
    <w:rsid w:val="00863230"/>
    <w:rsid w:val="00863A35"/>
    <w:rsid w:val="00866CB8"/>
    <w:rsid w:val="008717D8"/>
    <w:rsid w:val="0087215C"/>
    <w:rsid w:val="008745A6"/>
    <w:rsid w:val="00880E35"/>
    <w:rsid w:val="00884C4F"/>
    <w:rsid w:val="008875FE"/>
    <w:rsid w:val="00887F8E"/>
    <w:rsid w:val="0089120C"/>
    <w:rsid w:val="00896234"/>
    <w:rsid w:val="00897E43"/>
    <w:rsid w:val="008A47B2"/>
    <w:rsid w:val="008B3012"/>
    <w:rsid w:val="008C2A88"/>
    <w:rsid w:val="008C5738"/>
    <w:rsid w:val="008C7B10"/>
    <w:rsid w:val="008C7EAD"/>
    <w:rsid w:val="008D0CFE"/>
    <w:rsid w:val="008D4946"/>
    <w:rsid w:val="008D6152"/>
    <w:rsid w:val="008E45DB"/>
    <w:rsid w:val="008F0F81"/>
    <w:rsid w:val="008F27BF"/>
    <w:rsid w:val="008F6EAA"/>
    <w:rsid w:val="00913A5B"/>
    <w:rsid w:val="009142EC"/>
    <w:rsid w:val="009154C3"/>
    <w:rsid w:val="00921A49"/>
    <w:rsid w:val="00922DF4"/>
    <w:rsid w:val="00923540"/>
    <w:rsid w:val="00926767"/>
    <w:rsid w:val="009361D5"/>
    <w:rsid w:val="00941BA9"/>
    <w:rsid w:val="009428A4"/>
    <w:rsid w:val="0094629C"/>
    <w:rsid w:val="009513C5"/>
    <w:rsid w:val="00954828"/>
    <w:rsid w:val="009659F4"/>
    <w:rsid w:val="00965C5B"/>
    <w:rsid w:val="00970D60"/>
    <w:rsid w:val="009726FE"/>
    <w:rsid w:val="009832A2"/>
    <w:rsid w:val="009943C1"/>
    <w:rsid w:val="00994A20"/>
    <w:rsid w:val="009960E5"/>
    <w:rsid w:val="00997B14"/>
    <w:rsid w:val="009A32F1"/>
    <w:rsid w:val="009A7ADC"/>
    <w:rsid w:val="009B4532"/>
    <w:rsid w:val="009B675C"/>
    <w:rsid w:val="009C19B7"/>
    <w:rsid w:val="009D0A6D"/>
    <w:rsid w:val="009D7C51"/>
    <w:rsid w:val="009E196C"/>
    <w:rsid w:val="009F168D"/>
    <w:rsid w:val="009F36BF"/>
    <w:rsid w:val="00A111B6"/>
    <w:rsid w:val="00A1327D"/>
    <w:rsid w:val="00A26D27"/>
    <w:rsid w:val="00A27BE0"/>
    <w:rsid w:val="00A36532"/>
    <w:rsid w:val="00A3681A"/>
    <w:rsid w:val="00A3727A"/>
    <w:rsid w:val="00A376EE"/>
    <w:rsid w:val="00A37E27"/>
    <w:rsid w:val="00A42A99"/>
    <w:rsid w:val="00A5151A"/>
    <w:rsid w:val="00A57E0A"/>
    <w:rsid w:val="00A611FC"/>
    <w:rsid w:val="00A66513"/>
    <w:rsid w:val="00A73B90"/>
    <w:rsid w:val="00A7477F"/>
    <w:rsid w:val="00A823F6"/>
    <w:rsid w:val="00A84A81"/>
    <w:rsid w:val="00A85CB3"/>
    <w:rsid w:val="00AA0A89"/>
    <w:rsid w:val="00AA6429"/>
    <w:rsid w:val="00AB3E9A"/>
    <w:rsid w:val="00AB5320"/>
    <w:rsid w:val="00AC01AA"/>
    <w:rsid w:val="00AC4F72"/>
    <w:rsid w:val="00AC777F"/>
    <w:rsid w:val="00AD253D"/>
    <w:rsid w:val="00AE15F4"/>
    <w:rsid w:val="00AE3C74"/>
    <w:rsid w:val="00AF249C"/>
    <w:rsid w:val="00AF4D70"/>
    <w:rsid w:val="00AF4F7C"/>
    <w:rsid w:val="00AF711F"/>
    <w:rsid w:val="00AF741A"/>
    <w:rsid w:val="00B01ADB"/>
    <w:rsid w:val="00B04161"/>
    <w:rsid w:val="00B056F9"/>
    <w:rsid w:val="00B06782"/>
    <w:rsid w:val="00B11E3D"/>
    <w:rsid w:val="00B15B20"/>
    <w:rsid w:val="00B15D2B"/>
    <w:rsid w:val="00B17E82"/>
    <w:rsid w:val="00B241F1"/>
    <w:rsid w:val="00B36007"/>
    <w:rsid w:val="00B370DC"/>
    <w:rsid w:val="00B4575A"/>
    <w:rsid w:val="00B47933"/>
    <w:rsid w:val="00B575BA"/>
    <w:rsid w:val="00B62F5C"/>
    <w:rsid w:val="00B65F98"/>
    <w:rsid w:val="00B73D16"/>
    <w:rsid w:val="00B76429"/>
    <w:rsid w:val="00B91817"/>
    <w:rsid w:val="00B956D4"/>
    <w:rsid w:val="00B97446"/>
    <w:rsid w:val="00BA4A8D"/>
    <w:rsid w:val="00BA7432"/>
    <w:rsid w:val="00BB26B7"/>
    <w:rsid w:val="00BB2CE8"/>
    <w:rsid w:val="00BB3B5C"/>
    <w:rsid w:val="00BC1AA0"/>
    <w:rsid w:val="00BC2495"/>
    <w:rsid w:val="00BC7EB9"/>
    <w:rsid w:val="00BD2643"/>
    <w:rsid w:val="00BD56B1"/>
    <w:rsid w:val="00BD57FF"/>
    <w:rsid w:val="00BD6558"/>
    <w:rsid w:val="00BD7DCD"/>
    <w:rsid w:val="00BF3022"/>
    <w:rsid w:val="00BF3214"/>
    <w:rsid w:val="00BF5573"/>
    <w:rsid w:val="00BF6BDF"/>
    <w:rsid w:val="00C03313"/>
    <w:rsid w:val="00C15867"/>
    <w:rsid w:val="00C165F2"/>
    <w:rsid w:val="00C2296D"/>
    <w:rsid w:val="00C23155"/>
    <w:rsid w:val="00C242B5"/>
    <w:rsid w:val="00C30084"/>
    <w:rsid w:val="00C37B0F"/>
    <w:rsid w:val="00C40C41"/>
    <w:rsid w:val="00C45885"/>
    <w:rsid w:val="00C50F22"/>
    <w:rsid w:val="00C524FC"/>
    <w:rsid w:val="00C57971"/>
    <w:rsid w:val="00C616A5"/>
    <w:rsid w:val="00C65BD7"/>
    <w:rsid w:val="00C67CAE"/>
    <w:rsid w:val="00C76BA4"/>
    <w:rsid w:val="00C83A48"/>
    <w:rsid w:val="00C84C7F"/>
    <w:rsid w:val="00C85865"/>
    <w:rsid w:val="00C85E85"/>
    <w:rsid w:val="00C878DD"/>
    <w:rsid w:val="00C96003"/>
    <w:rsid w:val="00CA071C"/>
    <w:rsid w:val="00CA2EAE"/>
    <w:rsid w:val="00CA4AC1"/>
    <w:rsid w:val="00CA4ACF"/>
    <w:rsid w:val="00CA5E22"/>
    <w:rsid w:val="00CB0316"/>
    <w:rsid w:val="00CB0856"/>
    <w:rsid w:val="00CB0B11"/>
    <w:rsid w:val="00CB517B"/>
    <w:rsid w:val="00CB517C"/>
    <w:rsid w:val="00CB5354"/>
    <w:rsid w:val="00CC6A14"/>
    <w:rsid w:val="00CC70A3"/>
    <w:rsid w:val="00CD2BD3"/>
    <w:rsid w:val="00CD4442"/>
    <w:rsid w:val="00CD53C3"/>
    <w:rsid w:val="00CD574E"/>
    <w:rsid w:val="00CE3594"/>
    <w:rsid w:val="00CE4C22"/>
    <w:rsid w:val="00CF41EC"/>
    <w:rsid w:val="00CF5010"/>
    <w:rsid w:val="00CF539F"/>
    <w:rsid w:val="00CF5D04"/>
    <w:rsid w:val="00CF664E"/>
    <w:rsid w:val="00D02D5C"/>
    <w:rsid w:val="00D04DE4"/>
    <w:rsid w:val="00D063F1"/>
    <w:rsid w:val="00D07141"/>
    <w:rsid w:val="00D14F22"/>
    <w:rsid w:val="00D464B4"/>
    <w:rsid w:val="00D4741C"/>
    <w:rsid w:val="00D57918"/>
    <w:rsid w:val="00D70E8F"/>
    <w:rsid w:val="00D73DC6"/>
    <w:rsid w:val="00D74C1A"/>
    <w:rsid w:val="00D754C1"/>
    <w:rsid w:val="00D75F60"/>
    <w:rsid w:val="00D77393"/>
    <w:rsid w:val="00D77A35"/>
    <w:rsid w:val="00D81B3E"/>
    <w:rsid w:val="00D87E73"/>
    <w:rsid w:val="00D90C70"/>
    <w:rsid w:val="00D90E49"/>
    <w:rsid w:val="00D9246C"/>
    <w:rsid w:val="00D96ADE"/>
    <w:rsid w:val="00DA080E"/>
    <w:rsid w:val="00DA0CE2"/>
    <w:rsid w:val="00DA1144"/>
    <w:rsid w:val="00DA44FF"/>
    <w:rsid w:val="00DB03A9"/>
    <w:rsid w:val="00DB0927"/>
    <w:rsid w:val="00DB0C97"/>
    <w:rsid w:val="00DB269F"/>
    <w:rsid w:val="00DB7665"/>
    <w:rsid w:val="00DC6A10"/>
    <w:rsid w:val="00DE3C93"/>
    <w:rsid w:val="00DE657E"/>
    <w:rsid w:val="00DF43C2"/>
    <w:rsid w:val="00DF4704"/>
    <w:rsid w:val="00E00C7C"/>
    <w:rsid w:val="00E024AA"/>
    <w:rsid w:val="00E135A9"/>
    <w:rsid w:val="00E13836"/>
    <w:rsid w:val="00E250F1"/>
    <w:rsid w:val="00E26705"/>
    <w:rsid w:val="00E324AF"/>
    <w:rsid w:val="00E34713"/>
    <w:rsid w:val="00E3550D"/>
    <w:rsid w:val="00E5023E"/>
    <w:rsid w:val="00E52FAA"/>
    <w:rsid w:val="00E606B9"/>
    <w:rsid w:val="00E614E0"/>
    <w:rsid w:val="00E634C9"/>
    <w:rsid w:val="00E73F7F"/>
    <w:rsid w:val="00E776FD"/>
    <w:rsid w:val="00E8248D"/>
    <w:rsid w:val="00E827AB"/>
    <w:rsid w:val="00E85409"/>
    <w:rsid w:val="00E910C0"/>
    <w:rsid w:val="00E978E4"/>
    <w:rsid w:val="00EA429F"/>
    <w:rsid w:val="00EA4F9E"/>
    <w:rsid w:val="00EA63CA"/>
    <w:rsid w:val="00EA6D3B"/>
    <w:rsid w:val="00EB00AD"/>
    <w:rsid w:val="00EB136C"/>
    <w:rsid w:val="00EB2B41"/>
    <w:rsid w:val="00EB480E"/>
    <w:rsid w:val="00EB5EC6"/>
    <w:rsid w:val="00EB7FC9"/>
    <w:rsid w:val="00EC2AC6"/>
    <w:rsid w:val="00EC640D"/>
    <w:rsid w:val="00ED23B4"/>
    <w:rsid w:val="00ED23C5"/>
    <w:rsid w:val="00ED27E8"/>
    <w:rsid w:val="00ED7137"/>
    <w:rsid w:val="00ED74B8"/>
    <w:rsid w:val="00EE6ED6"/>
    <w:rsid w:val="00EF7DF1"/>
    <w:rsid w:val="00F02FE7"/>
    <w:rsid w:val="00F058FA"/>
    <w:rsid w:val="00F21088"/>
    <w:rsid w:val="00F327E7"/>
    <w:rsid w:val="00F35746"/>
    <w:rsid w:val="00F43510"/>
    <w:rsid w:val="00F447C7"/>
    <w:rsid w:val="00F44908"/>
    <w:rsid w:val="00F5211B"/>
    <w:rsid w:val="00F554A9"/>
    <w:rsid w:val="00F56C71"/>
    <w:rsid w:val="00F63439"/>
    <w:rsid w:val="00F716FD"/>
    <w:rsid w:val="00F80355"/>
    <w:rsid w:val="00F8520C"/>
    <w:rsid w:val="00F86AE0"/>
    <w:rsid w:val="00F87C43"/>
    <w:rsid w:val="00FB0C81"/>
    <w:rsid w:val="00FB0F0C"/>
    <w:rsid w:val="00FC00F0"/>
    <w:rsid w:val="00FC2200"/>
    <w:rsid w:val="00FC2540"/>
    <w:rsid w:val="00FC26EA"/>
    <w:rsid w:val="00FC57F8"/>
    <w:rsid w:val="00FD0019"/>
    <w:rsid w:val="00FD2621"/>
    <w:rsid w:val="00FF0204"/>
    <w:rsid w:val="00FF3AED"/>
    <w:rsid w:val="00FF514C"/>
    <w:rsid w:val="00FF5A4B"/>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570F46"/>
  <w15:docId w15:val="{3EFC0F69-2260-4F35-8871-FA39EF99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1B20F4"/>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ink w:val="Heading3"/>
    <w:locked/>
    <w:rsid w:val="001B20F4"/>
    <w:rPr>
      <w:sz w:val="22"/>
      <w:szCs w:val="22"/>
      <w:lang w:val="en-GB"/>
    </w:rPr>
  </w:style>
  <w:style w:type="paragraph" w:styleId="FootnoteText">
    <w:name w:val="footnote text"/>
    <w:basedOn w:val="Normal"/>
    <w:link w:val="FootnoteTextChar"/>
    <w:uiPriority w:val="99"/>
    <w:semiHidden/>
    <w:unhideWhenUsed/>
    <w:rsid w:val="001B20F4"/>
    <w:rPr>
      <w:sz w:val="20"/>
      <w:szCs w:val="20"/>
    </w:rPr>
  </w:style>
  <w:style w:type="character" w:customStyle="1" w:styleId="FootnoteTextChar">
    <w:name w:val="Footnote Text Char"/>
    <w:basedOn w:val="DefaultParagraphFont"/>
    <w:link w:val="FootnoteText"/>
    <w:uiPriority w:val="99"/>
    <w:semiHidden/>
    <w:rsid w:val="001B20F4"/>
    <w:rPr>
      <w:lang w:val="en-GB"/>
    </w:rPr>
  </w:style>
  <w:style w:type="character" w:styleId="FootnoteReference">
    <w:name w:val="footnote reference"/>
    <w:uiPriority w:val="99"/>
    <w:semiHidden/>
    <w:unhideWhenUsed/>
    <w:rsid w:val="001B20F4"/>
    <w:rPr>
      <w:vertAlign w:val="superscript"/>
    </w:rPr>
  </w:style>
  <w:style w:type="character" w:customStyle="1" w:styleId="FooterChar">
    <w:name w:val="Footer Char"/>
    <w:basedOn w:val="DefaultParagraphFont"/>
    <w:link w:val="Footer"/>
    <w:uiPriority w:val="99"/>
    <w:rsid w:val="001B20F4"/>
    <w:rPr>
      <w:sz w:val="22"/>
      <w:szCs w:val="22"/>
      <w:lang w:val="en-GB"/>
    </w:rPr>
  </w:style>
  <w:style w:type="paragraph" w:styleId="ListParagraph">
    <w:name w:val="List Paragraph"/>
    <w:basedOn w:val="Normal"/>
    <w:uiPriority w:val="34"/>
    <w:qFormat/>
    <w:rsid w:val="001B20F4"/>
    <w:pPr>
      <w:ind w:left="720"/>
      <w:contextualSpacing/>
    </w:pPr>
    <w:rPr>
      <w:rFonts w:eastAsiaTheme="minorHAnsi"/>
      <w:lang w:val="en-CA" w:eastAsia="en-CA"/>
    </w:rPr>
  </w:style>
  <w:style w:type="paragraph" w:styleId="Revision">
    <w:name w:val="Revision"/>
    <w:hidden/>
    <w:uiPriority w:val="99"/>
    <w:semiHidden/>
    <w:rsid w:val="006F15C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836">
      <w:bodyDiv w:val="1"/>
      <w:marLeft w:val="0"/>
      <w:marRight w:val="0"/>
      <w:marTop w:val="0"/>
      <w:marBottom w:val="0"/>
      <w:divBdr>
        <w:top w:val="none" w:sz="0" w:space="0" w:color="auto"/>
        <w:left w:val="none" w:sz="0" w:space="0" w:color="auto"/>
        <w:bottom w:val="none" w:sz="0" w:space="0" w:color="auto"/>
        <w:right w:val="none" w:sz="0" w:space="0" w:color="auto"/>
      </w:divBdr>
    </w:div>
    <w:div w:id="279580169">
      <w:bodyDiv w:val="1"/>
      <w:marLeft w:val="0"/>
      <w:marRight w:val="0"/>
      <w:marTop w:val="0"/>
      <w:marBottom w:val="0"/>
      <w:divBdr>
        <w:top w:val="none" w:sz="0" w:space="0" w:color="auto"/>
        <w:left w:val="none" w:sz="0" w:space="0" w:color="auto"/>
        <w:bottom w:val="none" w:sz="0" w:space="0" w:color="auto"/>
        <w:right w:val="none" w:sz="0" w:space="0" w:color="auto"/>
      </w:divBdr>
    </w:div>
    <w:div w:id="65656848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UNEP/OzL.Pro/ExCom/82/24/Corr.1</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992843D2-57CB-4F31-A207-F7288A79CC7E}"/>
</file>

<file path=customXml/itemProps2.xml><?xml version="1.0" encoding="utf-8"?>
<ds:datastoreItem xmlns:ds="http://schemas.openxmlformats.org/officeDocument/2006/customXml" ds:itemID="{CACCB166-8975-4460-BADB-F32CA8E36367}"/>
</file>

<file path=customXml/itemProps3.xml><?xml version="1.0" encoding="utf-8"?>
<ds:datastoreItem xmlns:ds="http://schemas.openxmlformats.org/officeDocument/2006/customXml" ds:itemID="{F3490C04-772B-4838-91D6-C90FC77FA196}"/>
</file>

<file path=customXml/itemProps4.xml><?xml version="1.0" encoding="utf-8"?>
<ds:datastoreItem xmlns:ds="http://schemas.openxmlformats.org/officeDocument/2006/customXml" ds:itemID="{97F1C1F9-CF1A-429D-BEAF-E080890B5D74}"/>
</file>

<file path=docProps/app.xml><?xml version="1.0" encoding="utf-8"?>
<Properties xmlns="http://schemas.openxmlformats.org/officeDocument/2006/extended-properties" xmlns:vt="http://schemas.openxmlformats.org/officeDocument/2006/docPropsVTypes">
  <Template>Eec82G</Template>
  <TotalTime>23</TotalTime>
  <Pages>2</Pages>
  <Words>334</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Corrigendum - Tranche submission delays</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Tranche submission delays</dc:title>
  <dc:creator>Muriel Aguiar</dc:creator>
  <cp:lastModifiedBy>Muriel Aguiar</cp:lastModifiedBy>
  <cp:revision>11</cp:revision>
  <cp:lastPrinted>2018-11-06T21:21:00Z</cp:lastPrinted>
  <dcterms:created xsi:type="dcterms:W3CDTF">2018-11-29T21:45:00Z</dcterms:created>
  <dcterms:modified xsi:type="dcterms:W3CDTF">2018-11-30T17:25:00Z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UNEP/OzL.Pro/ExCom/82/24/Corr.1</vt:lpwstr>
  </property>
  <property fmtid="{D5CDD505-2E9C-101B-9397-08002B2CF9AE}" pid="3" name="Revision date">
    <vt:lpwstr>11/30/2018</vt:lpwstr>
  </property>
  <property fmtid="{D5CDD505-2E9C-101B-9397-08002B2CF9AE}" pid="4" name="ContentTypeId">
    <vt:lpwstr>0x010100E84C8415FE8D8F42AA10616BA921B3F7</vt:lpwstr>
  </property>
</Properties>
</file>