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14:paraId="4A1B48EB" w14:textId="77777777" w:rsidTr="009C59F7">
        <w:trPr>
          <w:trHeight w:val="720"/>
        </w:trPr>
        <w:tc>
          <w:tcPr>
            <w:tcW w:w="5490" w:type="dxa"/>
            <w:gridSpan w:val="2"/>
            <w:tcBorders>
              <w:bottom w:val="single" w:sz="18" w:space="0" w:color="auto"/>
            </w:tcBorders>
          </w:tcPr>
          <w:p w14:paraId="4BD868B4" w14:textId="77777777"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4835917D" w14:textId="77777777" w:rsidR="00C15867" w:rsidRPr="00493D40" w:rsidRDefault="00C15867" w:rsidP="009C59F7">
            <w:pPr>
              <w:jc w:val="right"/>
              <w:rPr>
                <w:sz w:val="52"/>
                <w:szCs w:val="52"/>
              </w:rPr>
            </w:pPr>
            <w:r>
              <w:rPr>
                <w:rFonts w:ascii="Univers Bold" w:hAnsi="Univers Bold"/>
                <w:b/>
                <w:sz w:val="72"/>
              </w:rPr>
              <w:t>EP</w:t>
            </w:r>
          </w:p>
        </w:tc>
      </w:tr>
      <w:tr w:rsidR="00C15867" w14:paraId="3C251129" w14:textId="7777777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3C9376A" w14:textId="77777777" w:rsidR="00C15867" w:rsidRDefault="00DA0CE2" w:rsidP="009C59F7">
            <w:pPr>
              <w:spacing w:before="120"/>
            </w:pPr>
            <w:r w:rsidRPr="00DA0CE2">
              <w:rPr>
                <w:noProof/>
                <w:lang w:val="en-CA" w:eastAsia="en-CA"/>
              </w:rPr>
              <w:drawing>
                <wp:anchor distT="0" distB="0" distL="114300" distR="114300" simplePos="0" relativeHeight="251659264" behindDoc="0" locked="0" layoutInCell="1" allowOverlap="1" wp14:anchorId="62F46246" wp14:editId="546AF4A4">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DA0CE2">
              <w:rPr>
                <w:noProof/>
                <w:lang w:val="en-CA" w:eastAsia="en-CA"/>
              </w:rPr>
              <w:drawing>
                <wp:anchor distT="0" distB="0" distL="114300" distR="114300" simplePos="0" relativeHeight="251660288" behindDoc="1" locked="0" layoutInCell="0" allowOverlap="1" wp14:anchorId="26380FEC" wp14:editId="4FC78A21">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14:paraId="295FA165" w14:textId="77777777"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54BF68E5" w14:textId="77777777"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4E2804CA" w14:textId="77777777"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704C8CED" w14:textId="77777777" w:rsidR="00C15867" w:rsidRDefault="00C15867" w:rsidP="009C59F7">
            <w:pPr>
              <w:spacing w:before="720"/>
              <w:ind w:left="158"/>
            </w:pPr>
          </w:p>
        </w:tc>
        <w:tc>
          <w:tcPr>
            <w:tcW w:w="4590" w:type="dxa"/>
            <w:tcBorders>
              <w:top w:val="nil"/>
              <w:left w:val="nil"/>
              <w:bottom w:val="single" w:sz="36" w:space="0" w:color="auto"/>
              <w:right w:val="nil"/>
            </w:tcBorders>
          </w:tcPr>
          <w:p w14:paraId="43C74E3E" w14:textId="77777777" w:rsidR="00C15867" w:rsidRPr="0033525D" w:rsidRDefault="00C15867" w:rsidP="009C59F7">
            <w:r w:rsidRPr="0033525D">
              <w:t>Distr.</w:t>
            </w:r>
          </w:p>
          <w:p w14:paraId="50117AF6" w14:textId="77777777" w:rsidR="00923540" w:rsidRPr="0033525D" w:rsidRDefault="00923540" w:rsidP="00923540">
            <w:r w:rsidRPr="0033525D">
              <w:t>GENERAL</w:t>
            </w:r>
          </w:p>
          <w:p w14:paraId="49A7126C" w14:textId="77777777" w:rsidR="00C15867" w:rsidRPr="0033525D" w:rsidRDefault="00C15867" w:rsidP="009C59F7"/>
          <w:p w14:paraId="297A9805" w14:textId="77777777" w:rsidR="00C15867" w:rsidRPr="003F73BA" w:rsidRDefault="00C15867" w:rsidP="009C59F7"/>
          <w:p w14:paraId="5F26C909" w14:textId="1F57E5B9" w:rsidR="00C15867" w:rsidRPr="003F73BA" w:rsidRDefault="001804EA" w:rsidP="009C59F7">
            <w:r>
              <w:fldChar w:fldCharType="begin"/>
            </w:r>
            <w:r>
              <w:instrText xml:space="preserve"> DOCPROPERTY "Document number"  \* MERGEFORMAT </w:instrText>
            </w:r>
            <w:r>
              <w:fldChar w:fldCharType="separate"/>
            </w:r>
            <w:r w:rsidR="009A5596">
              <w:t>UNEP/</w:t>
            </w:r>
            <w:proofErr w:type="spellStart"/>
            <w:r w:rsidR="009A5596">
              <w:t>OzL.Pro</w:t>
            </w:r>
            <w:proofErr w:type="spellEnd"/>
            <w:r w:rsidR="009A5596">
              <w:t>/</w:t>
            </w:r>
            <w:proofErr w:type="spellStart"/>
            <w:r w:rsidR="009A5596">
              <w:t>ExCom</w:t>
            </w:r>
            <w:proofErr w:type="spellEnd"/>
            <w:r w:rsidR="009A5596">
              <w:t>/82/30</w:t>
            </w:r>
            <w:r>
              <w:fldChar w:fldCharType="end"/>
            </w:r>
          </w:p>
          <w:p w14:paraId="6DFB5A93" w14:textId="0D255102" w:rsidR="00C15867" w:rsidRPr="003F73BA" w:rsidRDefault="00BC2495" w:rsidP="009C59F7">
            <w:r>
              <w:fldChar w:fldCharType="begin"/>
            </w:r>
            <w:r w:rsidR="00851352">
              <w:instrText xml:space="preserve"> DOCPROPERTY "Revision date" \@ "d MMMM YYYY"  \* MERGEFORMAT </w:instrText>
            </w:r>
            <w:r>
              <w:fldChar w:fldCharType="separate"/>
            </w:r>
            <w:r w:rsidR="006B1727">
              <w:t>1 November 2018</w:t>
            </w:r>
            <w:r>
              <w:fldChar w:fldCharType="end"/>
            </w:r>
          </w:p>
          <w:p w14:paraId="5ECEA05A" w14:textId="77777777" w:rsidR="00C15867" w:rsidRPr="00000FED" w:rsidRDefault="00C15867" w:rsidP="009C59F7">
            <w:pPr>
              <w:rPr>
                <w:caps/>
              </w:rPr>
            </w:pPr>
          </w:p>
          <w:p w14:paraId="37EA8CB7" w14:textId="77777777" w:rsidR="00C15867" w:rsidRDefault="00C15867" w:rsidP="009C59F7">
            <w:r w:rsidRPr="0033525D">
              <w:t>ORIGINAL: ENGLISH</w:t>
            </w:r>
          </w:p>
        </w:tc>
      </w:tr>
    </w:tbl>
    <w:p w14:paraId="75103313" w14:textId="77777777" w:rsidR="009E196C" w:rsidRPr="00612F2F" w:rsidRDefault="00C15867" w:rsidP="009E196C">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9E196C">
        <w:rPr>
          <w:lang w:val="en-CA"/>
        </w:rPr>
        <w:t>Eighty-</w:t>
      </w:r>
      <w:r w:rsidR="00533796">
        <w:rPr>
          <w:lang w:val="en-CA"/>
        </w:rPr>
        <w:t>second</w:t>
      </w:r>
      <w:r w:rsidR="009E196C">
        <w:rPr>
          <w:lang w:val="en-CA"/>
        </w:rPr>
        <w:t xml:space="preserve"> </w:t>
      </w:r>
      <w:r w:rsidR="009E196C">
        <w:t>Meeting</w:t>
      </w:r>
    </w:p>
    <w:p w14:paraId="0984504C" w14:textId="77777777" w:rsidR="009E196C" w:rsidRPr="006C39CE" w:rsidRDefault="009E196C" w:rsidP="009E196C">
      <w:pPr>
        <w:jc w:val="left"/>
        <w:rPr>
          <w:lang w:val="en-CA"/>
        </w:rPr>
      </w:pPr>
      <w:r>
        <w:rPr>
          <w:lang w:val="en-CA"/>
        </w:rPr>
        <w:t>Montreal</w:t>
      </w:r>
      <w:r w:rsidRPr="00042E3E">
        <w:rPr>
          <w:lang w:val="en-CA"/>
        </w:rPr>
        <w:t xml:space="preserve">, </w:t>
      </w:r>
      <w:r w:rsidR="00533796">
        <w:rPr>
          <w:lang w:val="en-CA"/>
        </w:rPr>
        <w:t>3</w:t>
      </w:r>
      <w:r>
        <w:t>-</w:t>
      </w:r>
      <w:r w:rsidR="00533796">
        <w:t>7</w:t>
      </w:r>
      <w:r>
        <w:t xml:space="preserve"> </w:t>
      </w:r>
      <w:r w:rsidR="00533796">
        <w:t>December</w:t>
      </w:r>
      <w:r>
        <w:t xml:space="preserve"> 2018</w:t>
      </w:r>
    </w:p>
    <w:p w14:paraId="340938C5" w14:textId="77777777" w:rsidR="00C15867" w:rsidRPr="00765DE4" w:rsidRDefault="00C15867" w:rsidP="009960E5">
      <w:pPr>
        <w:jc w:val="left"/>
        <w:rPr>
          <w:lang w:val="en-US"/>
        </w:rPr>
      </w:pPr>
    </w:p>
    <w:p w14:paraId="60D3AA24" w14:textId="77777777" w:rsidR="004E7F9C" w:rsidRDefault="004E7F9C" w:rsidP="004E7F9C">
      <w:pPr>
        <w:pStyle w:val="Title1"/>
      </w:pPr>
    </w:p>
    <w:p w14:paraId="33331958" w14:textId="77777777" w:rsidR="004E7F9C" w:rsidRDefault="004E7F9C" w:rsidP="004E7F9C">
      <w:pPr>
        <w:pStyle w:val="Title1"/>
      </w:pPr>
    </w:p>
    <w:p w14:paraId="65118666" w14:textId="77777777" w:rsidR="00BE78FD" w:rsidRPr="005F3DC7" w:rsidRDefault="00BE78FD" w:rsidP="00BE78FD">
      <w:pPr>
        <w:pStyle w:val="Title2"/>
      </w:pPr>
      <w:r w:rsidRPr="005F3DC7">
        <w:t xml:space="preserve">THE WORLD BANK Business </w:t>
      </w:r>
      <w:smartTag w:uri="urn:schemas-microsoft-com:office:smarttags" w:element="stockticker">
        <w:r w:rsidRPr="005F3DC7">
          <w:t>plan</w:t>
        </w:r>
      </w:smartTag>
      <w:r w:rsidRPr="005F3DC7">
        <w:t xml:space="preserve"> for 2019–2021</w:t>
      </w:r>
    </w:p>
    <w:p w14:paraId="6C5DDB75" w14:textId="77777777" w:rsidR="00BE78FD" w:rsidRPr="005F3DC7" w:rsidRDefault="00BE78FD" w:rsidP="00BE78FD">
      <w:pPr>
        <w:pStyle w:val="Heading1"/>
        <w:numPr>
          <w:ilvl w:val="0"/>
          <w:numId w:val="0"/>
        </w:numPr>
        <w:spacing w:after="0"/>
      </w:pPr>
    </w:p>
    <w:p w14:paraId="67B900A0" w14:textId="77777777" w:rsidR="00BE78FD" w:rsidRPr="005F3DC7" w:rsidRDefault="00BE78FD" w:rsidP="00BE78FD">
      <w:pPr>
        <w:pStyle w:val="Heading1"/>
      </w:pPr>
      <w:r w:rsidRPr="005F3DC7">
        <w:t>This document presents the World Bank business plan for 2019–2021</w:t>
      </w:r>
      <w:r w:rsidRPr="00BE78FD">
        <w:rPr>
          <w:vertAlign w:val="superscript"/>
        </w:rPr>
        <w:footnoteReference w:id="1"/>
      </w:r>
      <w:r w:rsidRPr="005F3DC7">
        <w:t xml:space="preserve"> and includes: the planned activities for the phase-out of </w:t>
      </w:r>
      <w:r>
        <w:t>controlled substances under the Montreal Protocol</w:t>
      </w:r>
      <w:r w:rsidRPr="005F3DC7">
        <w:t xml:space="preserve"> (</w:t>
      </w:r>
      <w:r>
        <w:t>controlled substances</w:t>
      </w:r>
      <w:r w:rsidRPr="005F3DC7">
        <w:t xml:space="preserve">) during the 2019–2021 </w:t>
      </w:r>
      <w:bookmarkStart w:id="0" w:name="_GoBack"/>
      <w:bookmarkEnd w:id="0"/>
      <w:r w:rsidRPr="005F3DC7">
        <w:t xml:space="preserve">period; the business plan performance indicators; and </w:t>
      </w:r>
      <w:r>
        <w:t xml:space="preserve">a </w:t>
      </w:r>
      <w:r w:rsidRPr="005F3DC7">
        <w:t xml:space="preserve">recommendation for consideration by the Executive Committee. </w:t>
      </w:r>
      <w:r w:rsidRPr="008267E8">
        <w:t>The narrative of the World Bank’s business plan for 2019</w:t>
      </w:r>
      <w:r w:rsidRPr="005F3DC7">
        <w:t>–</w:t>
      </w:r>
      <w:r w:rsidRPr="008267E8">
        <w:t>2021 is attached to the present document</w:t>
      </w:r>
      <w:r w:rsidRPr="005F3DC7">
        <w:t xml:space="preserve">. </w:t>
      </w:r>
    </w:p>
    <w:p w14:paraId="3F59F455" w14:textId="77777777" w:rsidR="00BE78FD" w:rsidRPr="005F3DC7" w:rsidRDefault="00BE78FD" w:rsidP="00BE78FD">
      <w:pPr>
        <w:rPr>
          <w:b/>
        </w:rPr>
      </w:pPr>
      <w:r w:rsidRPr="005F3DC7">
        <w:rPr>
          <w:b/>
        </w:rPr>
        <w:t>Planned activities during 2019–2021</w:t>
      </w:r>
    </w:p>
    <w:p w14:paraId="78FF4488" w14:textId="77777777" w:rsidR="00BE78FD" w:rsidRPr="005F3DC7" w:rsidRDefault="00BE78FD" w:rsidP="00BE78FD"/>
    <w:p w14:paraId="73F50592" w14:textId="77777777" w:rsidR="00BE78FD" w:rsidRPr="005F3DC7" w:rsidRDefault="00BE78FD" w:rsidP="00BE78FD">
      <w:pPr>
        <w:pStyle w:val="Heading1"/>
      </w:pPr>
      <w:r w:rsidRPr="005F3DC7">
        <w:t>Table 1 sets out, by year, the value of activities included in the World Bank’s business plan.</w:t>
      </w:r>
    </w:p>
    <w:p w14:paraId="19E3AF19" w14:textId="77777777" w:rsidR="00BE78FD" w:rsidRPr="005F3DC7" w:rsidRDefault="00BE78FD" w:rsidP="00BE78FD">
      <w:pPr>
        <w:pStyle w:val="subhead"/>
        <w:keepNext/>
        <w:jc w:val="both"/>
        <w:rPr>
          <w:b/>
          <w:sz w:val="22"/>
          <w:szCs w:val="22"/>
          <w:lang w:val="en-CA"/>
        </w:rPr>
      </w:pPr>
      <w:r w:rsidRPr="005F3DC7">
        <w:rPr>
          <w:b/>
          <w:sz w:val="22"/>
          <w:szCs w:val="22"/>
          <w:lang w:val="en-CA"/>
        </w:rPr>
        <w:t>Table 1: Resource allocation in the World Bank business plan for 2019</w:t>
      </w:r>
      <w:r>
        <w:rPr>
          <w:b/>
          <w:sz w:val="22"/>
          <w:szCs w:val="22"/>
          <w:lang w:val="en-CA"/>
        </w:rPr>
        <w:t>-</w:t>
      </w:r>
      <w:r w:rsidRPr="005F3DC7">
        <w:rPr>
          <w:b/>
          <w:sz w:val="22"/>
          <w:szCs w:val="22"/>
          <w:lang w:val="en-CA"/>
        </w:rPr>
        <w:t>2021 as submitted (US $000</w:t>
      </w:r>
      <w:proofErr w:type="gramStart"/>
      <w:r w:rsidRPr="005F3DC7">
        <w:rPr>
          <w:b/>
          <w:sz w:val="22"/>
          <w:szCs w:val="22"/>
          <w:lang w:val="en-CA"/>
        </w:rPr>
        <w:t>s)*</w:t>
      </w:r>
      <w:proofErr w:type="gramEnd"/>
    </w:p>
    <w:tbl>
      <w:tblPr>
        <w:tblW w:w="9356" w:type="dxa"/>
        <w:tblInd w:w="-5" w:type="dxa"/>
        <w:tblLayout w:type="fixed"/>
        <w:tblLook w:val="04A0" w:firstRow="1" w:lastRow="0" w:firstColumn="1" w:lastColumn="0" w:noHBand="0" w:noVBand="1"/>
      </w:tblPr>
      <w:tblGrid>
        <w:gridCol w:w="3261"/>
        <w:gridCol w:w="1181"/>
        <w:gridCol w:w="1181"/>
        <w:gridCol w:w="1181"/>
        <w:gridCol w:w="1333"/>
        <w:gridCol w:w="1219"/>
      </w:tblGrid>
      <w:tr w:rsidR="00BE78FD" w:rsidRPr="005F3DC7" w14:paraId="209AC73D" w14:textId="77777777" w:rsidTr="00056266">
        <w:trPr>
          <w:trHeight w:val="316"/>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14:paraId="4EC10BB4" w14:textId="77777777" w:rsidR="00BE78FD" w:rsidRPr="005F3DC7" w:rsidRDefault="00BE78FD" w:rsidP="00E00CF1">
            <w:pPr>
              <w:jc w:val="left"/>
              <w:rPr>
                <w:b/>
                <w:bCs/>
                <w:sz w:val="20"/>
                <w:szCs w:val="20"/>
                <w:lang w:val="en-CA" w:eastAsia="en-CA"/>
              </w:rPr>
            </w:pPr>
            <w:r w:rsidRPr="005F3DC7">
              <w:rPr>
                <w:b/>
                <w:bCs/>
                <w:sz w:val="20"/>
                <w:szCs w:val="20"/>
                <w:lang w:val="en-CA" w:eastAsia="en-CA"/>
              </w:rPr>
              <w:t> </w:t>
            </w:r>
          </w:p>
        </w:tc>
        <w:tc>
          <w:tcPr>
            <w:tcW w:w="1181" w:type="dxa"/>
            <w:tcBorders>
              <w:top w:val="single" w:sz="4" w:space="0" w:color="auto"/>
              <w:left w:val="nil"/>
              <w:bottom w:val="single" w:sz="4" w:space="0" w:color="auto"/>
              <w:right w:val="single" w:sz="4" w:space="0" w:color="auto"/>
            </w:tcBorders>
            <w:shd w:val="clear" w:color="auto" w:fill="auto"/>
            <w:hideMark/>
          </w:tcPr>
          <w:p w14:paraId="5EEAC604" w14:textId="77777777" w:rsidR="00BE78FD" w:rsidRPr="005F3DC7" w:rsidRDefault="00BE78FD" w:rsidP="00E00CF1">
            <w:pPr>
              <w:jc w:val="center"/>
              <w:rPr>
                <w:b/>
                <w:bCs/>
                <w:sz w:val="20"/>
                <w:szCs w:val="20"/>
                <w:lang w:val="en-CA" w:eastAsia="en-CA"/>
              </w:rPr>
            </w:pPr>
            <w:r w:rsidRPr="005F3DC7">
              <w:rPr>
                <w:b/>
                <w:bCs/>
                <w:sz w:val="20"/>
                <w:szCs w:val="20"/>
                <w:lang w:val="en-CA" w:eastAsia="en-CA"/>
              </w:rPr>
              <w:t>2019</w:t>
            </w:r>
          </w:p>
        </w:tc>
        <w:tc>
          <w:tcPr>
            <w:tcW w:w="1181" w:type="dxa"/>
            <w:tcBorders>
              <w:top w:val="single" w:sz="4" w:space="0" w:color="auto"/>
              <w:left w:val="nil"/>
              <w:bottom w:val="single" w:sz="4" w:space="0" w:color="auto"/>
              <w:right w:val="single" w:sz="4" w:space="0" w:color="auto"/>
            </w:tcBorders>
            <w:shd w:val="clear" w:color="auto" w:fill="auto"/>
            <w:hideMark/>
          </w:tcPr>
          <w:p w14:paraId="6FBB682F" w14:textId="77777777" w:rsidR="00BE78FD" w:rsidRPr="005F3DC7" w:rsidRDefault="00BE78FD" w:rsidP="00E00CF1">
            <w:pPr>
              <w:jc w:val="center"/>
              <w:rPr>
                <w:b/>
                <w:bCs/>
                <w:sz w:val="20"/>
                <w:szCs w:val="20"/>
                <w:lang w:val="en-CA" w:eastAsia="en-CA"/>
              </w:rPr>
            </w:pPr>
            <w:r w:rsidRPr="005F3DC7">
              <w:rPr>
                <w:b/>
                <w:bCs/>
                <w:sz w:val="20"/>
                <w:szCs w:val="20"/>
                <w:lang w:val="en-CA" w:eastAsia="en-CA"/>
              </w:rPr>
              <w:t>2020</w:t>
            </w:r>
          </w:p>
        </w:tc>
        <w:tc>
          <w:tcPr>
            <w:tcW w:w="1181" w:type="dxa"/>
            <w:tcBorders>
              <w:top w:val="single" w:sz="4" w:space="0" w:color="auto"/>
              <w:left w:val="nil"/>
              <w:bottom w:val="single" w:sz="4" w:space="0" w:color="auto"/>
              <w:right w:val="single" w:sz="4" w:space="0" w:color="auto"/>
            </w:tcBorders>
            <w:shd w:val="clear" w:color="auto" w:fill="auto"/>
            <w:hideMark/>
          </w:tcPr>
          <w:p w14:paraId="0398C006" w14:textId="77777777" w:rsidR="00BE78FD" w:rsidRPr="005F3DC7" w:rsidRDefault="00BE78FD" w:rsidP="00E00CF1">
            <w:pPr>
              <w:jc w:val="center"/>
              <w:rPr>
                <w:b/>
                <w:bCs/>
                <w:sz w:val="20"/>
                <w:szCs w:val="20"/>
                <w:lang w:val="en-CA" w:eastAsia="en-CA"/>
              </w:rPr>
            </w:pPr>
            <w:r w:rsidRPr="005F3DC7">
              <w:rPr>
                <w:b/>
                <w:bCs/>
                <w:sz w:val="20"/>
                <w:szCs w:val="20"/>
                <w:lang w:val="en-CA" w:eastAsia="en-CA"/>
              </w:rPr>
              <w:t>2021</w:t>
            </w:r>
          </w:p>
        </w:tc>
        <w:tc>
          <w:tcPr>
            <w:tcW w:w="1333" w:type="dxa"/>
            <w:tcBorders>
              <w:top w:val="single" w:sz="4" w:space="0" w:color="auto"/>
              <w:left w:val="nil"/>
              <w:bottom w:val="single" w:sz="4" w:space="0" w:color="auto"/>
              <w:right w:val="single" w:sz="4" w:space="0" w:color="auto"/>
            </w:tcBorders>
            <w:shd w:val="clear" w:color="auto" w:fill="auto"/>
            <w:hideMark/>
          </w:tcPr>
          <w:p w14:paraId="160B5DDB" w14:textId="77777777" w:rsidR="00BE78FD" w:rsidRPr="005F3DC7" w:rsidRDefault="00BE78FD" w:rsidP="00E00CF1">
            <w:pPr>
              <w:jc w:val="center"/>
              <w:rPr>
                <w:b/>
                <w:bCs/>
                <w:sz w:val="20"/>
                <w:szCs w:val="20"/>
                <w:lang w:val="en-CA" w:eastAsia="en-CA"/>
              </w:rPr>
            </w:pPr>
            <w:r w:rsidRPr="005F3DC7">
              <w:rPr>
                <w:b/>
                <w:bCs/>
                <w:sz w:val="20"/>
                <w:szCs w:val="20"/>
                <w:lang w:val="en-CA" w:eastAsia="en-CA"/>
              </w:rPr>
              <w:t xml:space="preserve">Total </w:t>
            </w:r>
          </w:p>
          <w:p w14:paraId="4D1C4C76" w14:textId="77777777" w:rsidR="00BE78FD" w:rsidRPr="005F3DC7" w:rsidRDefault="00BE78FD" w:rsidP="00E00CF1">
            <w:pPr>
              <w:jc w:val="center"/>
              <w:rPr>
                <w:b/>
                <w:bCs/>
                <w:sz w:val="20"/>
                <w:szCs w:val="20"/>
                <w:lang w:val="en-CA" w:eastAsia="en-CA"/>
              </w:rPr>
            </w:pPr>
            <w:r w:rsidRPr="005F3DC7">
              <w:rPr>
                <w:b/>
                <w:bCs/>
                <w:sz w:val="20"/>
                <w:szCs w:val="20"/>
                <w:lang w:val="en-CA" w:eastAsia="en-CA"/>
              </w:rPr>
              <w:t>(2019</w:t>
            </w:r>
            <w:r w:rsidRPr="00056266">
              <w:rPr>
                <w:b/>
                <w:bCs/>
                <w:sz w:val="20"/>
                <w:szCs w:val="20"/>
                <w:lang w:val="en-CA" w:eastAsia="en-CA"/>
              </w:rPr>
              <w:t>–</w:t>
            </w:r>
            <w:r w:rsidRPr="005F3DC7">
              <w:rPr>
                <w:b/>
                <w:bCs/>
                <w:sz w:val="20"/>
                <w:szCs w:val="20"/>
                <w:lang w:val="en-CA" w:eastAsia="en-CA"/>
              </w:rPr>
              <w:t>2021)</w:t>
            </w:r>
          </w:p>
        </w:tc>
        <w:tc>
          <w:tcPr>
            <w:tcW w:w="1219" w:type="dxa"/>
            <w:tcBorders>
              <w:top w:val="single" w:sz="4" w:space="0" w:color="auto"/>
              <w:left w:val="nil"/>
              <w:bottom w:val="single" w:sz="4" w:space="0" w:color="auto"/>
              <w:right w:val="single" w:sz="4" w:space="0" w:color="auto"/>
            </w:tcBorders>
            <w:shd w:val="clear" w:color="auto" w:fill="auto"/>
            <w:hideMark/>
          </w:tcPr>
          <w:p w14:paraId="51AE23A8" w14:textId="77777777" w:rsidR="00BE78FD" w:rsidRPr="005F3DC7" w:rsidRDefault="00BE78FD" w:rsidP="00E00CF1">
            <w:pPr>
              <w:jc w:val="center"/>
              <w:rPr>
                <w:b/>
                <w:bCs/>
                <w:sz w:val="20"/>
                <w:szCs w:val="20"/>
                <w:lang w:val="en-CA" w:eastAsia="en-CA"/>
              </w:rPr>
            </w:pPr>
            <w:r w:rsidRPr="005F3DC7">
              <w:rPr>
                <w:b/>
                <w:bCs/>
                <w:sz w:val="20"/>
                <w:szCs w:val="20"/>
                <w:lang w:val="en-CA" w:eastAsia="en-CA"/>
              </w:rPr>
              <w:t>Total after 2021</w:t>
            </w:r>
          </w:p>
        </w:tc>
      </w:tr>
      <w:tr w:rsidR="00BE78FD" w:rsidRPr="005F3DC7" w14:paraId="0A43F84D" w14:textId="77777777" w:rsidTr="005F3DC7">
        <w:trPr>
          <w:trHeight w:val="264"/>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CDA3584" w14:textId="77777777" w:rsidR="00BE78FD" w:rsidRPr="005F3DC7" w:rsidRDefault="00BE78FD" w:rsidP="00E00CF1">
            <w:pPr>
              <w:jc w:val="left"/>
              <w:rPr>
                <w:b/>
                <w:bCs/>
                <w:sz w:val="20"/>
                <w:szCs w:val="20"/>
                <w:lang w:val="en-CA" w:eastAsia="en-CA"/>
              </w:rPr>
            </w:pPr>
            <w:r w:rsidRPr="005F3DC7">
              <w:rPr>
                <w:b/>
                <w:bCs/>
                <w:sz w:val="20"/>
                <w:szCs w:val="20"/>
                <w:lang w:val="en-CA" w:eastAsia="en-CA"/>
              </w:rPr>
              <w:t>Required for compliance</w:t>
            </w:r>
          </w:p>
        </w:tc>
      </w:tr>
      <w:tr w:rsidR="00BE78FD" w:rsidRPr="005F3DC7" w14:paraId="36FC7909" w14:textId="77777777" w:rsidTr="00056266">
        <w:trPr>
          <w:trHeight w:val="264"/>
        </w:trPr>
        <w:tc>
          <w:tcPr>
            <w:tcW w:w="3261" w:type="dxa"/>
            <w:tcBorders>
              <w:top w:val="nil"/>
              <w:left w:val="single" w:sz="4" w:space="0" w:color="auto"/>
              <w:bottom w:val="single" w:sz="4" w:space="0" w:color="auto"/>
              <w:right w:val="single" w:sz="4" w:space="0" w:color="auto"/>
            </w:tcBorders>
            <w:shd w:val="clear" w:color="auto" w:fill="auto"/>
            <w:noWrap/>
            <w:hideMark/>
          </w:tcPr>
          <w:p w14:paraId="6C995273" w14:textId="77777777" w:rsidR="00BE78FD" w:rsidRPr="005F3DC7" w:rsidRDefault="00BE78FD" w:rsidP="00E00CF1">
            <w:pPr>
              <w:jc w:val="left"/>
              <w:rPr>
                <w:sz w:val="20"/>
                <w:szCs w:val="20"/>
                <w:lang w:val="en-CA" w:eastAsia="en-CA"/>
              </w:rPr>
            </w:pPr>
            <w:r w:rsidRPr="005F3DC7">
              <w:rPr>
                <w:sz w:val="20"/>
                <w:szCs w:val="20"/>
                <w:lang w:val="en-CA" w:eastAsia="en-CA"/>
              </w:rPr>
              <w:t>Approved HCFC phase-out management plans (HPMPs)</w:t>
            </w:r>
          </w:p>
        </w:tc>
        <w:tc>
          <w:tcPr>
            <w:tcW w:w="1181" w:type="dxa"/>
            <w:tcBorders>
              <w:top w:val="nil"/>
              <w:left w:val="nil"/>
              <w:bottom w:val="single" w:sz="4" w:space="0" w:color="auto"/>
              <w:right w:val="single" w:sz="4" w:space="0" w:color="auto"/>
            </w:tcBorders>
            <w:shd w:val="clear" w:color="auto" w:fill="auto"/>
            <w:noWrap/>
            <w:hideMark/>
          </w:tcPr>
          <w:p w14:paraId="50FCF39F" w14:textId="77777777" w:rsidR="00BE78FD" w:rsidRPr="005F3DC7" w:rsidRDefault="00BE78FD" w:rsidP="00E00CF1">
            <w:pPr>
              <w:jc w:val="right"/>
              <w:rPr>
                <w:sz w:val="20"/>
                <w:szCs w:val="20"/>
                <w:lang w:val="en-CA" w:eastAsia="en-CA"/>
              </w:rPr>
            </w:pPr>
            <w:r w:rsidRPr="005F3DC7">
              <w:rPr>
                <w:sz w:val="20"/>
                <w:szCs w:val="20"/>
                <w:lang w:val="en-CA" w:eastAsia="en-CA"/>
              </w:rPr>
              <w:t>29,650</w:t>
            </w:r>
          </w:p>
        </w:tc>
        <w:tc>
          <w:tcPr>
            <w:tcW w:w="1181" w:type="dxa"/>
            <w:tcBorders>
              <w:top w:val="nil"/>
              <w:left w:val="nil"/>
              <w:bottom w:val="single" w:sz="4" w:space="0" w:color="auto"/>
              <w:right w:val="single" w:sz="4" w:space="0" w:color="auto"/>
            </w:tcBorders>
            <w:shd w:val="clear" w:color="auto" w:fill="auto"/>
            <w:noWrap/>
            <w:hideMark/>
          </w:tcPr>
          <w:p w14:paraId="131AFFB1" w14:textId="77777777" w:rsidR="00BE78FD" w:rsidRPr="005F3DC7" w:rsidRDefault="00BE78FD" w:rsidP="00E00CF1">
            <w:pPr>
              <w:jc w:val="right"/>
              <w:rPr>
                <w:sz w:val="20"/>
                <w:szCs w:val="20"/>
                <w:lang w:val="en-CA" w:eastAsia="en-CA"/>
              </w:rPr>
            </w:pPr>
            <w:r w:rsidRPr="005F3DC7">
              <w:rPr>
                <w:sz w:val="20"/>
                <w:szCs w:val="20"/>
                <w:lang w:val="en-CA" w:eastAsia="en-CA"/>
              </w:rPr>
              <w:t>29,556</w:t>
            </w:r>
          </w:p>
        </w:tc>
        <w:tc>
          <w:tcPr>
            <w:tcW w:w="1181" w:type="dxa"/>
            <w:tcBorders>
              <w:top w:val="nil"/>
              <w:left w:val="nil"/>
              <w:bottom w:val="single" w:sz="4" w:space="0" w:color="auto"/>
              <w:right w:val="single" w:sz="4" w:space="0" w:color="auto"/>
            </w:tcBorders>
            <w:shd w:val="clear" w:color="auto" w:fill="auto"/>
            <w:noWrap/>
            <w:hideMark/>
          </w:tcPr>
          <w:p w14:paraId="0DCFF67B" w14:textId="77777777" w:rsidR="00BE78FD" w:rsidRPr="005F3DC7" w:rsidRDefault="00BE78FD" w:rsidP="00E00CF1">
            <w:pPr>
              <w:jc w:val="right"/>
              <w:rPr>
                <w:sz w:val="20"/>
                <w:szCs w:val="20"/>
                <w:lang w:val="en-CA" w:eastAsia="en-CA"/>
              </w:rPr>
            </w:pPr>
            <w:r w:rsidRPr="005F3DC7">
              <w:rPr>
                <w:sz w:val="20"/>
                <w:szCs w:val="20"/>
                <w:lang w:val="en-CA" w:eastAsia="en-CA"/>
              </w:rPr>
              <w:t>24,128</w:t>
            </w:r>
          </w:p>
        </w:tc>
        <w:tc>
          <w:tcPr>
            <w:tcW w:w="1333" w:type="dxa"/>
            <w:tcBorders>
              <w:top w:val="nil"/>
              <w:left w:val="nil"/>
              <w:bottom w:val="single" w:sz="4" w:space="0" w:color="auto"/>
              <w:right w:val="single" w:sz="4" w:space="0" w:color="auto"/>
            </w:tcBorders>
            <w:shd w:val="clear" w:color="auto" w:fill="auto"/>
            <w:noWrap/>
            <w:hideMark/>
          </w:tcPr>
          <w:p w14:paraId="7E2F839A" w14:textId="77777777" w:rsidR="00BE78FD" w:rsidRPr="005F3DC7" w:rsidRDefault="00BE78FD" w:rsidP="00E00CF1">
            <w:pPr>
              <w:jc w:val="right"/>
              <w:rPr>
                <w:sz w:val="20"/>
                <w:szCs w:val="20"/>
                <w:lang w:val="en-CA" w:eastAsia="en-CA"/>
              </w:rPr>
            </w:pPr>
            <w:r w:rsidRPr="005F3DC7">
              <w:rPr>
                <w:sz w:val="20"/>
                <w:szCs w:val="20"/>
                <w:lang w:val="en-CA" w:eastAsia="en-CA"/>
              </w:rPr>
              <w:t>83,335</w:t>
            </w:r>
          </w:p>
        </w:tc>
        <w:tc>
          <w:tcPr>
            <w:tcW w:w="1219" w:type="dxa"/>
            <w:tcBorders>
              <w:top w:val="nil"/>
              <w:left w:val="nil"/>
              <w:bottom w:val="single" w:sz="4" w:space="0" w:color="auto"/>
              <w:right w:val="single" w:sz="4" w:space="0" w:color="auto"/>
            </w:tcBorders>
            <w:shd w:val="clear" w:color="auto" w:fill="auto"/>
            <w:noWrap/>
            <w:hideMark/>
          </w:tcPr>
          <w:p w14:paraId="7FD8B09D" w14:textId="77777777" w:rsidR="00BE78FD" w:rsidRPr="005F3DC7" w:rsidRDefault="00BE78FD" w:rsidP="00E00CF1">
            <w:pPr>
              <w:jc w:val="right"/>
              <w:rPr>
                <w:sz w:val="20"/>
                <w:szCs w:val="20"/>
                <w:lang w:val="en-CA" w:eastAsia="en-CA"/>
              </w:rPr>
            </w:pPr>
            <w:r w:rsidRPr="005F3DC7">
              <w:rPr>
                <w:sz w:val="20"/>
                <w:szCs w:val="20"/>
                <w:lang w:val="en-CA" w:eastAsia="en-CA"/>
              </w:rPr>
              <w:t>63,986</w:t>
            </w:r>
          </w:p>
        </w:tc>
      </w:tr>
      <w:tr w:rsidR="00BE78FD" w:rsidRPr="005F3DC7" w14:paraId="2D819E97" w14:textId="77777777" w:rsidTr="00056266">
        <w:trPr>
          <w:trHeight w:val="264"/>
        </w:trPr>
        <w:tc>
          <w:tcPr>
            <w:tcW w:w="3261" w:type="dxa"/>
            <w:tcBorders>
              <w:top w:val="nil"/>
              <w:left w:val="single" w:sz="4" w:space="0" w:color="auto"/>
              <w:bottom w:val="single" w:sz="4" w:space="0" w:color="auto"/>
              <w:right w:val="single" w:sz="4" w:space="0" w:color="auto"/>
            </w:tcBorders>
            <w:shd w:val="clear" w:color="auto" w:fill="auto"/>
            <w:noWrap/>
            <w:hideMark/>
          </w:tcPr>
          <w:p w14:paraId="0EBC2DCE" w14:textId="77777777" w:rsidR="00BE78FD" w:rsidRPr="005F3DC7" w:rsidRDefault="00BE78FD" w:rsidP="00E00CF1">
            <w:pPr>
              <w:jc w:val="left"/>
              <w:rPr>
                <w:sz w:val="20"/>
                <w:szCs w:val="20"/>
                <w:lang w:val="en-CA" w:eastAsia="en-CA"/>
              </w:rPr>
            </w:pPr>
            <w:r w:rsidRPr="005F3DC7">
              <w:rPr>
                <w:sz w:val="20"/>
                <w:szCs w:val="20"/>
                <w:lang w:val="en-CA" w:eastAsia="en-CA"/>
              </w:rPr>
              <w:t>HCFC production - stage II</w:t>
            </w:r>
          </w:p>
        </w:tc>
        <w:tc>
          <w:tcPr>
            <w:tcW w:w="1181" w:type="dxa"/>
            <w:tcBorders>
              <w:top w:val="nil"/>
              <w:left w:val="nil"/>
              <w:bottom w:val="single" w:sz="4" w:space="0" w:color="auto"/>
              <w:right w:val="single" w:sz="4" w:space="0" w:color="auto"/>
            </w:tcBorders>
            <w:shd w:val="clear" w:color="auto" w:fill="auto"/>
            <w:noWrap/>
            <w:hideMark/>
          </w:tcPr>
          <w:p w14:paraId="64360203" w14:textId="77777777" w:rsidR="00BE78FD" w:rsidRPr="005F3DC7" w:rsidRDefault="00BE78FD" w:rsidP="00E00CF1">
            <w:pPr>
              <w:jc w:val="right"/>
              <w:rPr>
                <w:sz w:val="20"/>
                <w:szCs w:val="20"/>
                <w:lang w:val="en-CA" w:eastAsia="en-CA"/>
              </w:rPr>
            </w:pPr>
            <w:r w:rsidRPr="005F3DC7">
              <w:rPr>
                <w:sz w:val="20"/>
                <w:szCs w:val="20"/>
                <w:lang w:val="en-CA" w:eastAsia="en-CA"/>
              </w:rPr>
              <w:t>29,145</w:t>
            </w:r>
          </w:p>
        </w:tc>
        <w:tc>
          <w:tcPr>
            <w:tcW w:w="1181" w:type="dxa"/>
            <w:tcBorders>
              <w:top w:val="nil"/>
              <w:left w:val="nil"/>
              <w:bottom w:val="single" w:sz="4" w:space="0" w:color="auto"/>
              <w:right w:val="single" w:sz="4" w:space="0" w:color="auto"/>
            </w:tcBorders>
            <w:shd w:val="clear" w:color="auto" w:fill="auto"/>
            <w:noWrap/>
            <w:hideMark/>
          </w:tcPr>
          <w:p w14:paraId="06F8268D" w14:textId="77777777" w:rsidR="00BE78FD" w:rsidRPr="005F3DC7" w:rsidRDefault="00BE78FD" w:rsidP="00E00CF1">
            <w:pPr>
              <w:jc w:val="right"/>
              <w:rPr>
                <w:sz w:val="20"/>
                <w:szCs w:val="20"/>
                <w:lang w:val="en-CA" w:eastAsia="en-CA"/>
              </w:rPr>
            </w:pPr>
            <w:r w:rsidRPr="005F3DC7">
              <w:rPr>
                <w:sz w:val="20"/>
                <w:szCs w:val="20"/>
                <w:lang w:val="en-CA" w:eastAsia="en-CA"/>
              </w:rPr>
              <w:t>29,145</w:t>
            </w:r>
          </w:p>
        </w:tc>
        <w:tc>
          <w:tcPr>
            <w:tcW w:w="1181" w:type="dxa"/>
            <w:tcBorders>
              <w:top w:val="nil"/>
              <w:left w:val="nil"/>
              <w:bottom w:val="single" w:sz="4" w:space="0" w:color="auto"/>
              <w:right w:val="single" w:sz="4" w:space="0" w:color="auto"/>
            </w:tcBorders>
            <w:shd w:val="clear" w:color="auto" w:fill="auto"/>
            <w:noWrap/>
            <w:hideMark/>
          </w:tcPr>
          <w:p w14:paraId="78EBB38E" w14:textId="77777777" w:rsidR="00BE78FD" w:rsidRPr="005F3DC7" w:rsidRDefault="00BE78FD" w:rsidP="00E00CF1">
            <w:pPr>
              <w:jc w:val="right"/>
              <w:rPr>
                <w:sz w:val="20"/>
                <w:szCs w:val="20"/>
                <w:lang w:val="en-CA" w:eastAsia="en-CA"/>
              </w:rPr>
            </w:pPr>
            <w:r w:rsidRPr="005F3DC7">
              <w:rPr>
                <w:sz w:val="20"/>
                <w:szCs w:val="20"/>
                <w:lang w:val="en-CA" w:eastAsia="en-CA"/>
              </w:rPr>
              <w:t>29,145</w:t>
            </w:r>
          </w:p>
        </w:tc>
        <w:tc>
          <w:tcPr>
            <w:tcW w:w="1333" w:type="dxa"/>
            <w:tcBorders>
              <w:top w:val="nil"/>
              <w:left w:val="nil"/>
              <w:bottom w:val="single" w:sz="4" w:space="0" w:color="auto"/>
              <w:right w:val="single" w:sz="4" w:space="0" w:color="auto"/>
            </w:tcBorders>
            <w:shd w:val="clear" w:color="auto" w:fill="auto"/>
            <w:noWrap/>
            <w:hideMark/>
          </w:tcPr>
          <w:p w14:paraId="0554419B" w14:textId="77777777" w:rsidR="00BE78FD" w:rsidRPr="005F3DC7" w:rsidRDefault="00BE78FD" w:rsidP="00E00CF1">
            <w:pPr>
              <w:jc w:val="right"/>
              <w:rPr>
                <w:sz w:val="20"/>
                <w:szCs w:val="20"/>
                <w:lang w:val="en-CA" w:eastAsia="en-CA"/>
              </w:rPr>
            </w:pPr>
            <w:r w:rsidRPr="005F3DC7">
              <w:rPr>
                <w:sz w:val="20"/>
                <w:szCs w:val="20"/>
                <w:lang w:val="en-CA" w:eastAsia="en-CA"/>
              </w:rPr>
              <w:t>87,434</w:t>
            </w:r>
          </w:p>
        </w:tc>
        <w:tc>
          <w:tcPr>
            <w:tcW w:w="1219" w:type="dxa"/>
            <w:tcBorders>
              <w:top w:val="nil"/>
              <w:left w:val="nil"/>
              <w:bottom w:val="single" w:sz="4" w:space="0" w:color="auto"/>
              <w:right w:val="single" w:sz="4" w:space="0" w:color="auto"/>
            </w:tcBorders>
            <w:shd w:val="clear" w:color="auto" w:fill="auto"/>
            <w:noWrap/>
            <w:hideMark/>
          </w:tcPr>
          <w:p w14:paraId="0C6583E5" w14:textId="77777777" w:rsidR="00BE78FD" w:rsidRPr="005F3DC7" w:rsidRDefault="00BE78FD" w:rsidP="00E00CF1">
            <w:pPr>
              <w:jc w:val="right"/>
              <w:rPr>
                <w:sz w:val="20"/>
                <w:szCs w:val="20"/>
                <w:lang w:val="en-CA" w:eastAsia="en-CA"/>
              </w:rPr>
            </w:pPr>
            <w:r w:rsidRPr="005F3DC7">
              <w:rPr>
                <w:sz w:val="20"/>
                <w:szCs w:val="20"/>
                <w:lang w:val="en-CA" w:eastAsia="en-CA"/>
              </w:rPr>
              <w:t>142,059</w:t>
            </w:r>
          </w:p>
        </w:tc>
      </w:tr>
      <w:tr w:rsidR="00BE78FD" w:rsidRPr="005F3DC7" w14:paraId="3C7F0F6F" w14:textId="77777777" w:rsidTr="00056266">
        <w:trPr>
          <w:trHeight w:val="264"/>
        </w:trPr>
        <w:tc>
          <w:tcPr>
            <w:tcW w:w="3261" w:type="dxa"/>
            <w:tcBorders>
              <w:top w:val="nil"/>
              <w:left w:val="single" w:sz="4" w:space="0" w:color="auto"/>
              <w:bottom w:val="single" w:sz="4" w:space="0" w:color="auto"/>
              <w:right w:val="single" w:sz="4" w:space="0" w:color="auto"/>
            </w:tcBorders>
            <w:shd w:val="clear" w:color="auto" w:fill="auto"/>
            <w:noWrap/>
            <w:hideMark/>
          </w:tcPr>
          <w:p w14:paraId="60ADDBBF" w14:textId="77777777" w:rsidR="00BE78FD" w:rsidRPr="005F3DC7" w:rsidRDefault="00BE78FD" w:rsidP="00E00CF1">
            <w:pPr>
              <w:jc w:val="left"/>
              <w:rPr>
                <w:sz w:val="20"/>
                <w:szCs w:val="20"/>
                <w:lang w:val="en-CA" w:eastAsia="en-CA"/>
              </w:rPr>
            </w:pPr>
            <w:r w:rsidRPr="005F3DC7">
              <w:rPr>
                <w:sz w:val="20"/>
                <w:szCs w:val="20"/>
                <w:lang w:val="en-CA" w:eastAsia="en-CA"/>
              </w:rPr>
              <w:t>HPMP stage II</w:t>
            </w:r>
          </w:p>
        </w:tc>
        <w:tc>
          <w:tcPr>
            <w:tcW w:w="1181" w:type="dxa"/>
            <w:tcBorders>
              <w:top w:val="nil"/>
              <w:left w:val="nil"/>
              <w:bottom w:val="single" w:sz="4" w:space="0" w:color="auto"/>
              <w:right w:val="single" w:sz="4" w:space="0" w:color="auto"/>
            </w:tcBorders>
            <w:shd w:val="clear" w:color="auto" w:fill="auto"/>
            <w:noWrap/>
            <w:hideMark/>
          </w:tcPr>
          <w:p w14:paraId="08D426E0" w14:textId="77777777" w:rsidR="00BE78FD" w:rsidRPr="005F3DC7" w:rsidRDefault="00BE78FD" w:rsidP="00E00CF1">
            <w:pPr>
              <w:jc w:val="right"/>
              <w:rPr>
                <w:sz w:val="20"/>
                <w:szCs w:val="20"/>
                <w:lang w:val="en-CA" w:eastAsia="en-CA"/>
              </w:rPr>
            </w:pPr>
            <w:r w:rsidRPr="005F3DC7">
              <w:rPr>
                <w:sz w:val="20"/>
                <w:szCs w:val="20"/>
                <w:lang w:val="en-CA" w:eastAsia="en-CA"/>
              </w:rPr>
              <w:t> </w:t>
            </w:r>
          </w:p>
        </w:tc>
        <w:tc>
          <w:tcPr>
            <w:tcW w:w="1181" w:type="dxa"/>
            <w:tcBorders>
              <w:top w:val="nil"/>
              <w:left w:val="nil"/>
              <w:bottom w:val="single" w:sz="4" w:space="0" w:color="auto"/>
              <w:right w:val="single" w:sz="4" w:space="0" w:color="auto"/>
            </w:tcBorders>
            <w:shd w:val="clear" w:color="auto" w:fill="auto"/>
            <w:noWrap/>
            <w:hideMark/>
          </w:tcPr>
          <w:p w14:paraId="4DE415D9" w14:textId="77777777" w:rsidR="00BE78FD" w:rsidRPr="005F3DC7" w:rsidRDefault="00BE78FD" w:rsidP="00E00CF1">
            <w:pPr>
              <w:jc w:val="right"/>
              <w:rPr>
                <w:sz w:val="20"/>
                <w:szCs w:val="20"/>
                <w:lang w:val="en-CA" w:eastAsia="en-CA"/>
              </w:rPr>
            </w:pPr>
            <w:r w:rsidRPr="005F3DC7">
              <w:rPr>
                <w:sz w:val="20"/>
                <w:szCs w:val="20"/>
                <w:lang w:val="en-CA" w:eastAsia="en-CA"/>
              </w:rPr>
              <w:t>2,140</w:t>
            </w:r>
          </w:p>
        </w:tc>
        <w:tc>
          <w:tcPr>
            <w:tcW w:w="1181" w:type="dxa"/>
            <w:tcBorders>
              <w:top w:val="nil"/>
              <w:left w:val="nil"/>
              <w:bottom w:val="single" w:sz="4" w:space="0" w:color="auto"/>
              <w:right w:val="single" w:sz="4" w:space="0" w:color="auto"/>
            </w:tcBorders>
            <w:shd w:val="clear" w:color="auto" w:fill="auto"/>
            <w:noWrap/>
            <w:hideMark/>
          </w:tcPr>
          <w:p w14:paraId="422701B2" w14:textId="77777777" w:rsidR="00BE78FD" w:rsidRPr="005F3DC7" w:rsidRDefault="00BE78FD" w:rsidP="00E00CF1">
            <w:pPr>
              <w:jc w:val="right"/>
              <w:rPr>
                <w:sz w:val="20"/>
                <w:szCs w:val="20"/>
                <w:lang w:val="en-CA" w:eastAsia="en-CA"/>
              </w:rPr>
            </w:pPr>
            <w:r w:rsidRPr="005F3DC7">
              <w:rPr>
                <w:sz w:val="20"/>
                <w:szCs w:val="20"/>
                <w:lang w:val="en-CA" w:eastAsia="en-CA"/>
              </w:rPr>
              <w:t>495</w:t>
            </w:r>
          </w:p>
        </w:tc>
        <w:tc>
          <w:tcPr>
            <w:tcW w:w="1333" w:type="dxa"/>
            <w:tcBorders>
              <w:top w:val="nil"/>
              <w:left w:val="nil"/>
              <w:bottom w:val="single" w:sz="4" w:space="0" w:color="auto"/>
              <w:right w:val="single" w:sz="4" w:space="0" w:color="auto"/>
            </w:tcBorders>
            <w:shd w:val="clear" w:color="auto" w:fill="auto"/>
            <w:noWrap/>
            <w:hideMark/>
          </w:tcPr>
          <w:p w14:paraId="6D78D7A9" w14:textId="77777777" w:rsidR="00BE78FD" w:rsidRPr="005F3DC7" w:rsidRDefault="00BE78FD" w:rsidP="00E00CF1">
            <w:pPr>
              <w:jc w:val="right"/>
              <w:rPr>
                <w:sz w:val="20"/>
                <w:szCs w:val="20"/>
                <w:lang w:val="en-CA" w:eastAsia="en-CA"/>
              </w:rPr>
            </w:pPr>
            <w:r w:rsidRPr="005F3DC7">
              <w:rPr>
                <w:sz w:val="20"/>
                <w:szCs w:val="20"/>
                <w:lang w:val="en-CA" w:eastAsia="en-CA"/>
              </w:rPr>
              <w:t>2,635</w:t>
            </w:r>
          </w:p>
        </w:tc>
        <w:tc>
          <w:tcPr>
            <w:tcW w:w="1219" w:type="dxa"/>
            <w:tcBorders>
              <w:top w:val="nil"/>
              <w:left w:val="nil"/>
              <w:bottom w:val="single" w:sz="4" w:space="0" w:color="auto"/>
              <w:right w:val="single" w:sz="4" w:space="0" w:color="auto"/>
            </w:tcBorders>
            <w:shd w:val="clear" w:color="auto" w:fill="auto"/>
            <w:noWrap/>
            <w:hideMark/>
          </w:tcPr>
          <w:p w14:paraId="4FF671F8" w14:textId="77777777" w:rsidR="00BE78FD" w:rsidRPr="005F3DC7" w:rsidRDefault="00BE78FD" w:rsidP="00E00CF1">
            <w:pPr>
              <w:jc w:val="right"/>
              <w:rPr>
                <w:sz w:val="20"/>
                <w:szCs w:val="20"/>
                <w:lang w:val="en-CA" w:eastAsia="en-CA"/>
              </w:rPr>
            </w:pPr>
            <w:r w:rsidRPr="005F3DC7">
              <w:rPr>
                <w:sz w:val="20"/>
                <w:szCs w:val="20"/>
                <w:lang w:val="en-CA" w:eastAsia="en-CA"/>
              </w:rPr>
              <w:t>0</w:t>
            </w:r>
          </w:p>
        </w:tc>
      </w:tr>
      <w:tr w:rsidR="00BE78FD" w:rsidRPr="005F3DC7" w14:paraId="6E7DA6EA" w14:textId="77777777" w:rsidTr="00056266">
        <w:trPr>
          <w:trHeight w:val="264"/>
        </w:trPr>
        <w:tc>
          <w:tcPr>
            <w:tcW w:w="3261" w:type="dxa"/>
            <w:tcBorders>
              <w:top w:val="nil"/>
              <w:left w:val="single" w:sz="4" w:space="0" w:color="auto"/>
              <w:bottom w:val="single" w:sz="4" w:space="0" w:color="auto"/>
              <w:right w:val="single" w:sz="4" w:space="0" w:color="auto"/>
            </w:tcBorders>
            <w:shd w:val="clear" w:color="auto" w:fill="auto"/>
            <w:noWrap/>
            <w:hideMark/>
          </w:tcPr>
          <w:p w14:paraId="717FF514" w14:textId="77777777" w:rsidR="00BE78FD" w:rsidRPr="005F3DC7" w:rsidRDefault="00BE78FD" w:rsidP="00E00CF1">
            <w:pPr>
              <w:jc w:val="left"/>
              <w:rPr>
                <w:b/>
                <w:bCs/>
                <w:sz w:val="20"/>
                <w:szCs w:val="20"/>
                <w:lang w:val="en-CA" w:eastAsia="en-CA"/>
              </w:rPr>
            </w:pPr>
            <w:r w:rsidRPr="005F3DC7">
              <w:rPr>
                <w:b/>
                <w:bCs/>
                <w:sz w:val="20"/>
                <w:szCs w:val="20"/>
                <w:lang w:val="en-CA" w:eastAsia="en-CA"/>
              </w:rPr>
              <w:t xml:space="preserve">  Required for compliance subtotal</w:t>
            </w:r>
          </w:p>
        </w:tc>
        <w:tc>
          <w:tcPr>
            <w:tcW w:w="1181" w:type="dxa"/>
            <w:tcBorders>
              <w:top w:val="nil"/>
              <w:left w:val="nil"/>
              <w:bottom w:val="single" w:sz="4" w:space="0" w:color="auto"/>
              <w:right w:val="single" w:sz="4" w:space="0" w:color="auto"/>
            </w:tcBorders>
            <w:shd w:val="clear" w:color="auto" w:fill="auto"/>
            <w:noWrap/>
            <w:hideMark/>
          </w:tcPr>
          <w:p w14:paraId="54EA05B6" w14:textId="77777777" w:rsidR="00BE78FD" w:rsidRPr="005F3DC7" w:rsidRDefault="00BE78FD" w:rsidP="00E00CF1">
            <w:pPr>
              <w:jc w:val="right"/>
              <w:rPr>
                <w:b/>
                <w:bCs/>
                <w:sz w:val="20"/>
                <w:szCs w:val="20"/>
                <w:lang w:val="en-CA" w:eastAsia="en-CA"/>
              </w:rPr>
            </w:pPr>
            <w:r w:rsidRPr="005F3DC7">
              <w:rPr>
                <w:b/>
                <w:bCs/>
                <w:sz w:val="20"/>
                <w:szCs w:val="20"/>
                <w:lang w:val="en-CA" w:eastAsia="en-CA"/>
              </w:rPr>
              <w:t>58,795</w:t>
            </w:r>
          </w:p>
        </w:tc>
        <w:tc>
          <w:tcPr>
            <w:tcW w:w="1181" w:type="dxa"/>
            <w:tcBorders>
              <w:top w:val="nil"/>
              <w:left w:val="nil"/>
              <w:bottom w:val="single" w:sz="4" w:space="0" w:color="auto"/>
              <w:right w:val="single" w:sz="4" w:space="0" w:color="auto"/>
            </w:tcBorders>
            <w:shd w:val="clear" w:color="auto" w:fill="auto"/>
            <w:noWrap/>
            <w:hideMark/>
          </w:tcPr>
          <w:p w14:paraId="30EA044A" w14:textId="77777777" w:rsidR="00BE78FD" w:rsidRPr="005F3DC7" w:rsidRDefault="00BE78FD" w:rsidP="00E00CF1">
            <w:pPr>
              <w:jc w:val="right"/>
              <w:rPr>
                <w:b/>
                <w:bCs/>
                <w:sz w:val="20"/>
                <w:szCs w:val="20"/>
                <w:lang w:val="en-CA" w:eastAsia="en-CA"/>
              </w:rPr>
            </w:pPr>
            <w:r w:rsidRPr="005F3DC7">
              <w:rPr>
                <w:b/>
                <w:bCs/>
                <w:sz w:val="20"/>
                <w:szCs w:val="20"/>
                <w:lang w:val="en-CA" w:eastAsia="en-CA"/>
              </w:rPr>
              <w:t>60,841</w:t>
            </w:r>
          </w:p>
        </w:tc>
        <w:tc>
          <w:tcPr>
            <w:tcW w:w="1181" w:type="dxa"/>
            <w:tcBorders>
              <w:top w:val="nil"/>
              <w:left w:val="nil"/>
              <w:bottom w:val="single" w:sz="4" w:space="0" w:color="auto"/>
              <w:right w:val="single" w:sz="4" w:space="0" w:color="auto"/>
            </w:tcBorders>
            <w:shd w:val="clear" w:color="auto" w:fill="auto"/>
            <w:noWrap/>
            <w:hideMark/>
          </w:tcPr>
          <w:p w14:paraId="1CB35750" w14:textId="77777777" w:rsidR="00BE78FD" w:rsidRPr="005F3DC7" w:rsidRDefault="00BE78FD" w:rsidP="00E00CF1">
            <w:pPr>
              <w:jc w:val="right"/>
              <w:rPr>
                <w:b/>
                <w:bCs/>
                <w:sz w:val="20"/>
                <w:szCs w:val="20"/>
                <w:lang w:val="en-CA" w:eastAsia="en-CA"/>
              </w:rPr>
            </w:pPr>
            <w:r w:rsidRPr="005F3DC7">
              <w:rPr>
                <w:b/>
                <w:bCs/>
                <w:sz w:val="20"/>
                <w:szCs w:val="20"/>
                <w:lang w:val="en-CA" w:eastAsia="en-CA"/>
              </w:rPr>
              <w:t>53,768</w:t>
            </w:r>
          </w:p>
        </w:tc>
        <w:tc>
          <w:tcPr>
            <w:tcW w:w="1333" w:type="dxa"/>
            <w:tcBorders>
              <w:top w:val="nil"/>
              <w:left w:val="nil"/>
              <w:bottom w:val="single" w:sz="4" w:space="0" w:color="auto"/>
              <w:right w:val="single" w:sz="4" w:space="0" w:color="auto"/>
            </w:tcBorders>
            <w:shd w:val="clear" w:color="auto" w:fill="auto"/>
            <w:noWrap/>
            <w:hideMark/>
          </w:tcPr>
          <w:p w14:paraId="27295608" w14:textId="77777777" w:rsidR="00BE78FD" w:rsidRPr="005F3DC7" w:rsidRDefault="00BE78FD" w:rsidP="00E00CF1">
            <w:pPr>
              <w:jc w:val="right"/>
              <w:rPr>
                <w:b/>
                <w:bCs/>
                <w:sz w:val="20"/>
                <w:szCs w:val="20"/>
                <w:lang w:val="en-CA" w:eastAsia="en-CA"/>
              </w:rPr>
            </w:pPr>
            <w:r w:rsidRPr="005F3DC7">
              <w:rPr>
                <w:b/>
                <w:bCs/>
                <w:sz w:val="20"/>
                <w:szCs w:val="20"/>
                <w:lang w:val="en-CA" w:eastAsia="en-CA"/>
              </w:rPr>
              <w:t>173,403</w:t>
            </w:r>
          </w:p>
        </w:tc>
        <w:tc>
          <w:tcPr>
            <w:tcW w:w="1219" w:type="dxa"/>
            <w:tcBorders>
              <w:top w:val="nil"/>
              <w:left w:val="nil"/>
              <w:bottom w:val="single" w:sz="4" w:space="0" w:color="auto"/>
              <w:right w:val="single" w:sz="4" w:space="0" w:color="auto"/>
            </w:tcBorders>
            <w:shd w:val="clear" w:color="auto" w:fill="auto"/>
            <w:noWrap/>
            <w:hideMark/>
          </w:tcPr>
          <w:p w14:paraId="77D62CB2" w14:textId="77777777" w:rsidR="00BE78FD" w:rsidRPr="005F3DC7" w:rsidRDefault="00BE78FD" w:rsidP="00E00CF1">
            <w:pPr>
              <w:jc w:val="right"/>
              <w:rPr>
                <w:b/>
                <w:bCs/>
                <w:sz w:val="20"/>
                <w:szCs w:val="20"/>
                <w:lang w:val="en-CA" w:eastAsia="en-CA"/>
              </w:rPr>
            </w:pPr>
            <w:r w:rsidRPr="005F3DC7">
              <w:rPr>
                <w:b/>
                <w:bCs/>
                <w:sz w:val="20"/>
                <w:szCs w:val="20"/>
                <w:lang w:val="en-CA" w:eastAsia="en-CA"/>
              </w:rPr>
              <w:t>206,045</w:t>
            </w:r>
          </w:p>
        </w:tc>
      </w:tr>
      <w:tr w:rsidR="00BE78FD" w:rsidRPr="005F3DC7" w14:paraId="7CA827F7" w14:textId="77777777" w:rsidTr="005F3DC7">
        <w:trPr>
          <w:trHeight w:val="264"/>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57961C1" w14:textId="77777777" w:rsidR="00BE78FD" w:rsidRPr="005F3DC7" w:rsidRDefault="00BE78FD" w:rsidP="00E00CF1">
            <w:pPr>
              <w:jc w:val="left"/>
              <w:rPr>
                <w:b/>
                <w:bCs/>
                <w:sz w:val="20"/>
                <w:szCs w:val="20"/>
                <w:lang w:val="en-CA" w:eastAsia="en-CA"/>
              </w:rPr>
            </w:pPr>
            <w:r w:rsidRPr="005F3DC7">
              <w:rPr>
                <w:b/>
                <w:bCs/>
                <w:sz w:val="20"/>
                <w:szCs w:val="20"/>
                <w:lang w:val="en-CA" w:eastAsia="en-CA"/>
              </w:rPr>
              <w:t>HFC activities</w:t>
            </w:r>
            <w:r w:rsidRPr="005F3DC7">
              <w:rPr>
                <w:sz w:val="20"/>
                <w:szCs w:val="20"/>
                <w:lang w:val="en-CA" w:eastAsia="en-CA"/>
              </w:rPr>
              <w:t> </w:t>
            </w:r>
          </w:p>
        </w:tc>
      </w:tr>
      <w:tr w:rsidR="00BE78FD" w:rsidRPr="005F3DC7" w14:paraId="52E172E6" w14:textId="77777777" w:rsidTr="00056266">
        <w:trPr>
          <w:trHeight w:val="264"/>
        </w:trPr>
        <w:tc>
          <w:tcPr>
            <w:tcW w:w="3261" w:type="dxa"/>
            <w:tcBorders>
              <w:top w:val="nil"/>
              <w:left w:val="single" w:sz="4" w:space="0" w:color="auto"/>
              <w:bottom w:val="single" w:sz="4" w:space="0" w:color="auto"/>
              <w:right w:val="single" w:sz="4" w:space="0" w:color="auto"/>
            </w:tcBorders>
            <w:shd w:val="clear" w:color="auto" w:fill="auto"/>
            <w:noWrap/>
            <w:hideMark/>
          </w:tcPr>
          <w:p w14:paraId="5A121C6D" w14:textId="77777777" w:rsidR="00BE78FD" w:rsidRPr="005F3DC7" w:rsidRDefault="00BE78FD" w:rsidP="00E00CF1">
            <w:pPr>
              <w:jc w:val="left"/>
              <w:rPr>
                <w:sz w:val="20"/>
                <w:szCs w:val="20"/>
                <w:lang w:val="en-CA" w:eastAsia="en-CA"/>
              </w:rPr>
            </w:pPr>
            <w:r w:rsidRPr="005F3DC7">
              <w:rPr>
                <w:sz w:val="20"/>
                <w:szCs w:val="20"/>
                <w:lang w:val="en-CA" w:eastAsia="en-CA"/>
              </w:rPr>
              <w:t>HFC - demonstration</w:t>
            </w:r>
          </w:p>
        </w:tc>
        <w:tc>
          <w:tcPr>
            <w:tcW w:w="1181" w:type="dxa"/>
            <w:tcBorders>
              <w:top w:val="nil"/>
              <w:left w:val="nil"/>
              <w:bottom w:val="single" w:sz="4" w:space="0" w:color="auto"/>
              <w:right w:val="single" w:sz="4" w:space="0" w:color="auto"/>
            </w:tcBorders>
            <w:shd w:val="clear" w:color="auto" w:fill="auto"/>
            <w:noWrap/>
            <w:hideMark/>
          </w:tcPr>
          <w:p w14:paraId="03D95872" w14:textId="77777777" w:rsidR="00BE78FD" w:rsidRPr="005F3DC7" w:rsidRDefault="00BE78FD" w:rsidP="00E00CF1">
            <w:pPr>
              <w:jc w:val="right"/>
              <w:rPr>
                <w:sz w:val="20"/>
                <w:szCs w:val="20"/>
                <w:lang w:val="en-CA" w:eastAsia="en-CA"/>
              </w:rPr>
            </w:pPr>
            <w:r w:rsidRPr="005F3DC7">
              <w:rPr>
                <w:sz w:val="20"/>
                <w:szCs w:val="20"/>
                <w:lang w:val="en-CA" w:eastAsia="en-CA"/>
              </w:rPr>
              <w:t>10,180</w:t>
            </w:r>
          </w:p>
        </w:tc>
        <w:tc>
          <w:tcPr>
            <w:tcW w:w="1181" w:type="dxa"/>
            <w:tcBorders>
              <w:top w:val="nil"/>
              <w:left w:val="nil"/>
              <w:bottom w:val="single" w:sz="4" w:space="0" w:color="auto"/>
              <w:right w:val="single" w:sz="4" w:space="0" w:color="auto"/>
            </w:tcBorders>
            <w:shd w:val="clear" w:color="auto" w:fill="auto"/>
            <w:noWrap/>
            <w:hideMark/>
          </w:tcPr>
          <w:p w14:paraId="4422AE88" w14:textId="77777777" w:rsidR="00BE78FD" w:rsidRPr="005F3DC7" w:rsidRDefault="00BE78FD" w:rsidP="00E00CF1">
            <w:pPr>
              <w:jc w:val="right"/>
              <w:rPr>
                <w:sz w:val="20"/>
                <w:szCs w:val="20"/>
                <w:lang w:val="en-CA" w:eastAsia="en-CA"/>
              </w:rPr>
            </w:pPr>
            <w:r w:rsidRPr="005F3DC7">
              <w:rPr>
                <w:sz w:val="20"/>
                <w:szCs w:val="20"/>
                <w:lang w:val="en-CA" w:eastAsia="en-CA"/>
              </w:rPr>
              <w:t>0</w:t>
            </w:r>
          </w:p>
        </w:tc>
        <w:tc>
          <w:tcPr>
            <w:tcW w:w="1181" w:type="dxa"/>
            <w:tcBorders>
              <w:top w:val="nil"/>
              <w:left w:val="nil"/>
              <w:bottom w:val="single" w:sz="4" w:space="0" w:color="auto"/>
              <w:right w:val="single" w:sz="4" w:space="0" w:color="auto"/>
            </w:tcBorders>
            <w:shd w:val="clear" w:color="auto" w:fill="auto"/>
            <w:noWrap/>
            <w:hideMark/>
          </w:tcPr>
          <w:p w14:paraId="018E7C30" w14:textId="77777777" w:rsidR="00BE78FD" w:rsidRPr="005F3DC7" w:rsidRDefault="00BE78FD" w:rsidP="00E00CF1">
            <w:pPr>
              <w:jc w:val="right"/>
              <w:rPr>
                <w:sz w:val="20"/>
                <w:szCs w:val="20"/>
                <w:lang w:val="en-CA" w:eastAsia="en-CA"/>
              </w:rPr>
            </w:pPr>
            <w:r w:rsidRPr="005F3DC7">
              <w:rPr>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hideMark/>
          </w:tcPr>
          <w:p w14:paraId="523EFCAD" w14:textId="77777777" w:rsidR="00BE78FD" w:rsidRPr="005F3DC7" w:rsidRDefault="00BE78FD" w:rsidP="00E00CF1">
            <w:pPr>
              <w:jc w:val="right"/>
              <w:rPr>
                <w:sz w:val="20"/>
                <w:szCs w:val="20"/>
                <w:lang w:val="en-CA" w:eastAsia="en-CA"/>
              </w:rPr>
            </w:pPr>
            <w:r w:rsidRPr="005F3DC7">
              <w:rPr>
                <w:sz w:val="20"/>
                <w:szCs w:val="20"/>
                <w:lang w:val="en-CA" w:eastAsia="en-CA"/>
              </w:rPr>
              <w:t>10,180</w:t>
            </w:r>
          </w:p>
        </w:tc>
        <w:tc>
          <w:tcPr>
            <w:tcW w:w="1219" w:type="dxa"/>
            <w:tcBorders>
              <w:top w:val="nil"/>
              <w:left w:val="nil"/>
              <w:bottom w:val="single" w:sz="4" w:space="0" w:color="auto"/>
              <w:right w:val="single" w:sz="4" w:space="0" w:color="auto"/>
            </w:tcBorders>
            <w:shd w:val="clear" w:color="auto" w:fill="auto"/>
            <w:noWrap/>
            <w:hideMark/>
          </w:tcPr>
          <w:p w14:paraId="55705E60" w14:textId="77777777" w:rsidR="00BE78FD" w:rsidRPr="005F3DC7" w:rsidRDefault="00BE78FD" w:rsidP="00E00CF1">
            <w:pPr>
              <w:jc w:val="right"/>
              <w:rPr>
                <w:sz w:val="20"/>
                <w:szCs w:val="20"/>
                <w:lang w:val="en-CA" w:eastAsia="en-CA"/>
              </w:rPr>
            </w:pPr>
            <w:r w:rsidRPr="005F3DC7">
              <w:rPr>
                <w:sz w:val="20"/>
                <w:szCs w:val="20"/>
                <w:lang w:val="en-CA" w:eastAsia="en-CA"/>
              </w:rPr>
              <w:t>0</w:t>
            </w:r>
          </w:p>
        </w:tc>
      </w:tr>
      <w:tr w:rsidR="00BE78FD" w:rsidRPr="005F3DC7" w14:paraId="33A3668D" w14:textId="77777777" w:rsidTr="00056266">
        <w:trPr>
          <w:trHeight w:val="264"/>
        </w:trPr>
        <w:tc>
          <w:tcPr>
            <w:tcW w:w="3261" w:type="dxa"/>
            <w:tcBorders>
              <w:top w:val="nil"/>
              <w:left w:val="single" w:sz="4" w:space="0" w:color="auto"/>
              <w:bottom w:val="single" w:sz="4" w:space="0" w:color="auto"/>
              <w:right w:val="single" w:sz="4" w:space="0" w:color="auto"/>
            </w:tcBorders>
            <w:shd w:val="clear" w:color="auto" w:fill="auto"/>
            <w:noWrap/>
            <w:hideMark/>
          </w:tcPr>
          <w:p w14:paraId="2E01BC38" w14:textId="77777777" w:rsidR="00BE78FD" w:rsidRPr="005F3DC7" w:rsidRDefault="00BE78FD" w:rsidP="00E00CF1">
            <w:pPr>
              <w:jc w:val="left"/>
              <w:rPr>
                <w:b/>
                <w:bCs/>
                <w:sz w:val="20"/>
                <w:szCs w:val="20"/>
                <w:lang w:val="en-CA" w:eastAsia="en-CA"/>
              </w:rPr>
            </w:pPr>
            <w:r w:rsidRPr="005F3DC7">
              <w:rPr>
                <w:b/>
                <w:bCs/>
                <w:sz w:val="20"/>
                <w:szCs w:val="20"/>
                <w:lang w:val="en-CA" w:eastAsia="en-CA"/>
              </w:rPr>
              <w:t xml:space="preserve">   HFC activities subtotal</w:t>
            </w:r>
          </w:p>
        </w:tc>
        <w:tc>
          <w:tcPr>
            <w:tcW w:w="1181" w:type="dxa"/>
            <w:tcBorders>
              <w:top w:val="nil"/>
              <w:left w:val="nil"/>
              <w:bottom w:val="single" w:sz="4" w:space="0" w:color="auto"/>
              <w:right w:val="single" w:sz="4" w:space="0" w:color="auto"/>
            </w:tcBorders>
            <w:shd w:val="clear" w:color="auto" w:fill="auto"/>
            <w:noWrap/>
            <w:hideMark/>
          </w:tcPr>
          <w:p w14:paraId="139E81F2" w14:textId="77777777" w:rsidR="00BE78FD" w:rsidRPr="005F3DC7" w:rsidRDefault="00BE78FD" w:rsidP="00E00CF1">
            <w:pPr>
              <w:jc w:val="right"/>
              <w:rPr>
                <w:b/>
                <w:bCs/>
                <w:sz w:val="20"/>
                <w:szCs w:val="20"/>
                <w:lang w:val="en-CA" w:eastAsia="en-CA"/>
              </w:rPr>
            </w:pPr>
            <w:r w:rsidRPr="005F3DC7">
              <w:rPr>
                <w:b/>
                <w:bCs/>
                <w:sz w:val="20"/>
                <w:szCs w:val="20"/>
                <w:lang w:val="en-CA" w:eastAsia="en-CA"/>
              </w:rPr>
              <w:t>10,180</w:t>
            </w:r>
          </w:p>
        </w:tc>
        <w:tc>
          <w:tcPr>
            <w:tcW w:w="1181" w:type="dxa"/>
            <w:tcBorders>
              <w:top w:val="nil"/>
              <w:left w:val="nil"/>
              <w:bottom w:val="single" w:sz="4" w:space="0" w:color="auto"/>
              <w:right w:val="single" w:sz="4" w:space="0" w:color="auto"/>
            </w:tcBorders>
            <w:shd w:val="clear" w:color="auto" w:fill="auto"/>
            <w:noWrap/>
            <w:hideMark/>
          </w:tcPr>
          <w:p w14:paraId="42EBCCF9" w14:textId="77777777" w:rsidR="00BE78FD" w:rsidRPr="005F3DC7" w:rsidRDefault="00BE78FD" w:rsidP="00E00CF1">
            <w:pPr>
              <w:jc w:val="right"/>
              <w:rPr>
                <w:b/>
                <w:bCs/>
                <w:sz w:val="20"/>
                <w:szCs w:val="20"/>
                <w:lang w:val="en-CA" w:eastAsia="en-CA"/>
              </w:rPr>
            </w:pPr>
            <w:r w:rsidRPr="005F3DC7">
              <w:rPr>
                <w:b/>
                <w:bCs/>
                <w:sz w:val="20"/>
                <w:szCs w:val="20"/>
                <w:lang w:val="en-CA" w:eastAsia="en-CA"/>
              </w:rPr>
              <w:t>0</w:t>
            </w:r>
          </w:p>
        </w:tc>
        <w:tc>
          <w:tcPr>
            <w:tcW w:w="1181" w:type="dxa"/>
            <w:tcBorders>
              <w:top w:val="nil"/>
              <w:left w:val="nil"/>
              <w:bottom w:val="single" w:sz="4" w:space="0" w:color="auto"/>
              <w:right w:val="single" w:sz="4" w:space="0" w:color="auto"/>
            </w:tcBorders>
            <w:shd w:val="clear" w:color="auto" w:fill="auto"/>
            <w:noWrap/>
            <w:hideMark/>
          </w:tcPr>
          <w:p w14:paraId="6B233ECD" w14:textId="77777777" w:rsidR="00BE78FD" w:rsidRPr="005F3DC7" w:rsidRDefault="00BE78FD" w:rsidP="00E00CF1">
            <w:pPr>
              <w:jc w:val="right"/>
              <w:rPr>
                <w:b/>
                <w:bCs/>
                <w:sz w:val="20"/>
                <w:szCs w:val="20"/>
                <w:lang w:val="en-CA" w:eastAsia="en-CA"/>
              </w:rPr>
            </w:pPr>
            <w:r w:rsidRPr="005F3DC7">
              <w:rPr>
                <w:b/>
                <w:bCs/>
                <w:sz w:val="20"/>
                <w:szCs w:val="20"/>
                <w:lang w:val="en-CA" w:eastAsia="en-CA"/>
              </w:rPr>
              <w:t>0</w:t>
            </w:r>
          </w:p>
        </w:tc>
        <w:tc>
          <w:tcPr>
            <w:tcW w:w="1333" w:type="dxa"/>
            <w:tcBorders>
              <w:top w:val="nil"/>
              <w:left w:val="nil"/>
              <w:bottom w:val="single" w:sz="4" w:space="0" w:color="auto"/>
              <w:right w:val="single" w:sz="4" w:space="0" w:color="auto"/>
            </w:tcBorders>
            <w:shd w:val="clear" w:color="auto" w:fill="auto"/>
            <w:noWrap/>
            <w:hideMark/>
          </w:tcPr>
          <w:p w14:paraId="422D3037" w14:textId="77777777" w:rsidR="00BE78FD" w:rsidRPr="005F3DC7" w:rsidRDefault="00BE78FD" w:rsidP="00E00CF1">
            <w:pPr>
              <w:jc w:val="right"/>
              <w:rPr>
                <w:b/>
                <w:bCs/>
                <w:sz w:val="20"/>
                <w:szCs w:val="20"/>
                <w:lang w:val="en-CA" w:eastAsia="en-CA"/>
              </w:rPr>
            </w:pPr>
            <w:r w:rsidRPr="005F3DC7">
              <w:rPr>
                <w:b/>
                <w:bCs/>
                <w:sz w:val="20"/>
                <w:szCs w:val="20"/>
                <w:lang w:val="en-CA" w:eastAsia="en-CA"/>
              </w:rPr>
              <w:t>10,180</w:t>
            </w:r>
          </w:p>
        </w:tc>
        <w:tc>
          <w:tcPr>
            <w:tcW w:w="1219" w:type="dxa"/>
            <w:tcBorders>
              <w:top w:val="nil"/>
              <w:left w:val="nil"/>
              <w:bottom w:val="single" w:sz="4" w:space="0" w:color="auto"/>
              <w:right w:val="single" w:sz="4" w:space="0" w:color="auto"/>
            </w:tcBorders>
            <w:shd w:val="clear" w:color="auto" w:fill="auto"/>
            <w:noWrap/>
            <w:hideMark/>
          </w:tcPr>
          <w:p w14:paraId="5A9F7DA1" w14:textId="77777777" w:rsidR="00BE78FD" w:rsidRPr="005F3DC7" w:rsidRDefault="00BE78FD" w:rsidP="00E00CF1">
            <w:pPr>
              <w:jc w:val="right"/>
              <w:rPr>
                <w:b/>
                <w:bCs/>
                <w:sz w:val="20"/>
                <w:szCs w:val="20"/>
                <w:lang w:val="en-CA" w:eastAsia="en-CA"/>
              </w:rPr>
            </w:pPr>
            <w:r w:rsidRPr="005F3DC7">
              <w:rPr>
                <w:b/>
                <w:bCs/>
                <w:sz w:val="20"/>
                <w:szCs w:val="20"/>
                <w:lang w:val="en-CA" w:eastAsia="en-CA"/>
              </w:rPr>
              <w:t>0</w:t>
            </w:r>
          </w:p>
        </w:tc>
      </w:tr>
      <w:tr w:rsidR="00BE78FD" w:rsidRPr="005F3DC7" w14:paraId="46F25720" w14:textId="77777777" w:rsidTr="005F3DC7">
        <w:trPr>
          <w:trHeight w:val="264"/>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EA1F9A1" w14:textId="77777777" w:rsidR="00BE78FD" w:rsidRPr="005F3DC7" w:rsidRDefault="00BE78FD" w:rsidP="00E00CF1">
            <w:pPr>
              <w:jc w:val="left"/>
              <w:rPr>
                <w:b/>
                <w:bCs/>
                <w:sz w:val="20"/>
                <w:szCs w:val="20"/>
                <w:lang w:val="en-CA" w:eastAsia="en-CA"/>
              </w:rPr>
            </w:pPr>
            <w:r w:rsidRPr="005F3DC7">
              <w:rPr>
                <w:b/>
                <w:bCs/>
                <w:sz w:val="20"/>
                <w:szCs w:val="20"/>
                <w:lang w:val="en-CA" w:eastAsia="en-CA"/>
              </w:rPr>
              <w:t>Standard activities</w:t>
            </w:r>
          </w:p>
        </w:tc>
      </w:tr>
      <w:tr w:rsidR="00BE78FD" w:rsidRPr="005F3DC7" w14:paraId="65670D22" w14:textId="77777777" w:rsidTr="00056266">
        <w:trPr>
          <w:trHeight w:val="264"/>
        </w:trPr>
        <w:tc>
          <w:tcPr>
            <w:tcW w:w="3261" w:type="dxa"/>
            <w:tcBorders>
              <w:top w:val="nil"/>
              <w:left w:val="single" w:sz="4" w:space="0" w:color="auto"/>
              <w:bottom w:val="single" w:sz="4" w:space="0" w:color="auto"/>
              <w:right w:val="single" w:sz="4" w:space="0" w:color="auto"/>
            </w:tcBorders>
            <w:shd w:val="clear" w:color="auto" w:fill="auto"/>
            <w:noWrap/>
            <w:hideMark/>
          </w:tcPr>
          <w:p w14:paraId="5A0544F5" w14:textId="77777777" w:rsidR="00BE78FD" w:rsidRPr="005F3DC7" w:rsidRDefault="00BE78FD" w:rsidP="00E00CF1">
            <w:pPr>
              <w:jc w:val="left"/>
              <w:rPr>
                <w:sz w:val="20"/>
                <w:szCs w:val="20"/>
                <w:lang w:val="en-CA" w:eastAsia="en-CA"/>
              </w:rPr>
            </w:pPr>
            <w:r w:rsidRPr="005F3DC7">
              <w:rPr>
                <w:sz w:val="20"/>
                <w:szCs w:val="20"/>
                <w:lang w:val="en-CA" w:eastAsia="en-CA"/>
              </w:rPr>
              <w:t>Core unit</w:t>
            </w:r>
          </w:p>
        </w:tc>
        <w:tc>
          <w:tcPr>
            <w:tcW w:w="1181" w:type="dxa"/>
            <w:tcBorders>
              <w:top w:val="nil"/>
              <w:left w:val="nil"/>
              <w:bottom w:val="single" w:sz="4" w:space="0" w:color="auto"/>
              <w:right w:val="single" w:sz="4" w:space="0" w:color="auto"/>
            </w:tcBorders>
            <w:shd w:val="clear" w:color="auto" w:fill="auto"/>
            <w:noWrap/>
            <w:hideMark/>
          </w:tcPr>
          <w:p w14:paraId="17335F25" w14:textId="77777777" w:rsidR="00BE78FD" w:rsidRPr="005F3DC7" w:rsidRDefault="00BE78FD" w:rsidP="00E00CF1">
            <w:pPr>
              <w:jc w:val="right"/>
              <w:rPr>
                <w:sz w:val="20"/>
                <w:szCs w:val="20"/>
                <w:lang w:val="en-CA" w:eastAsia="en-CA"/>
              </w:rPr>
            </w:pPr>
            <w:r w:rsidRPr="005F3DC7">
              <w:rPr>
                <w:sz w:val="20"/>
                <w:szCs w:val="20"/>
                <w:lang w:val="en-CA" w:eastAsia="en-CA"/>
              </w:rPr>
              <w:t>1,735</w:t>
            </w:r>
          </w:p>
        </w:tc>
        <w:tc>
          <w:tcPr>
            <w:tcW w:w="1181" w:type="dxa"/>
            <w:tcBorders>
              <w:top w:val="nil"/>
              <w:left w:val="nil"/>
              <w:bottom w:val="single" w:sz="4" w:space="0" w:color="auto"/>
              <w:right w:val="single" w:sz="4" w:space="0" w:color="auto"/>
            </w:tcBorders>
            <w:shd w:val="clear" w:color="auto" w:fill="auto"/>
            <w:noWrap/>
            <w:hideMark/>
          </w:tcPr>
          <w:p w14:paraId="28D5D6C0" w14:textId="77777777" w:rsidR="00BE78FD" w:rsidRPr="005F3DC7" w:rsidRDefault="00BE78FD" w:rsidP="00E00CF1">
            <w:pPr>
              <w:jc w:val="right"/>
              <w:rPr>
                <w:sz w:val="20"/>
                <w:szCs w:val="20"/>
                <w:lang w:val="en-CA" w:eastAsia="en-CA"/>
              </w:rPr>
            </w:pPr>
            <w:r w:rsidRPr="005F3DC7">
              <w:rPr>
                <w:sz w:val="20"/>
                <w:szCs w:val="20"/>
                <w:lang w:val="en-CA" w:eastAsia="en-CA"/>
              </w:rPr>
              <w:t>1,735</w:t>
            </w:r>
          </w:p>
        </w:tc>
        <w:tc>
          <w:tcPr>
            <w:tcW w:w="1181" w:type="dxa"/>
            <w:tcBorders>
              <w:top w:val="nil"/>
              <w:left w:val="nil"/>
              <w:bottom w:val="single" w:sz="4" w:space="0" w:color="auto"/>
              <w:right w:val="single" w:sz="4" w:space="0" w:color="auto"/>
            </w:tcBorders>
            <w:shd w:val="clear" w:color="auto" w:fill="auto"/>
            <w:noWrap/>
            <w:hideMark/>
          </w:tcPr>
          <w:p w14:paraId="2E9C4217" w14:textId="77777777" w:rsidR="00BE78FD" w:rsidRPr="005F3DC7" w:rsidRDefault="00BE78FD" w:rsidP="00E00CF1">
            <w:pPr>
              <w:jc w:val="right"/>
              <w:rPr>
                <w:sz w:val="20"/>
                <w:szCs w:val="20"/>
                <w:lang w:val="en-CA" w:eastAsia="en-CA"/>
              </w:rPr>
            </w:pPr>
            <w:r w:rsidRPr="005F3DC7">
              <w:rPr>
                <w:sz w:val="20"/>
                <w:szCs w:val="20"/>
                <w:lang w:val="en-CA" w:eastAsia="en-CA"/>
              </w:rPr>
              <w:t>1,735</w:t>
            </w:r>
          </w:p>
        </w:tc>
        <w:tc>
          <w:tcPr>
            <w:tcW w:w="1333" w:type="dxa"/>
            <w:tcBorders>
              <w:top w:val="nil"/>
              <w:left w:val="nil"/>
              <w:bottom w:val="single" w:sz="4" w:space="0" w:color="auto"/>
              <w:right w:val="single" w:sz="4" w:space="0" w:color="auto"/>
            </w:tcBorders>
            <w:shd w:val="clear" w:color="auto" w:fill="auto"/>
            <w:noWrap/>
            <w:hideMark/>
          </w:tcPr>
          <w:p w14:paraId="3BA04AFE" w14:textId="77777777" w:rsidR="00BE78FD" w:rsidRPr="005F3DC7" w:rsidRDefault="00BE78FD" w:rsidP="00E00CF1">
            <w:pPr>
              <w:jc w:val="right"/>
              <w:rPr>
                <w:sz w:val="20"/>
                <w:szCs w:val="20"/>
                <w:lang w:val="en-CA" w:eastAsia="en-CA"/>
              </w:rPr>
            </w:pPr>
            <w:r w:rsidRPr="005F3DC7">
              <w:rPr>
                <w:sz w:val="20"/>
                <w:szCs w:val="20"/>
                <w:lang w:val="en-CA" w:eastAsia="en-CA"/>
              </w:rPr>
              <w:t>5,205</w:t>
            </w:r>
          </w:p>
        </w:tc>
        <w:tc>
          <w:tcPr>
            <w:tcW w:w="1219" w:type="dxa"/>
            <w:tcBorders>
              <w:top w:val="nil"/>
              <w:left w:val="nil"/>
              <w:bottom w:val="single" w:sz="4" w:space="0" w:color="auto"/>
              <w:right w:val="single" w:sz="4" w:space="0" w:color="auto"/>
            </w:tcBorders>
            <w:shd w:val="clear" w:color="auto" w:fill="auto"/>
            <w:noWrap/>
            <w:hideMark/>
          </w:tcPr>
          <w:p w14:paraId="0F69B590" w14:textId="77777777" w:rsidR="00BE78FD" w:rsidRPr="005F3DC7" w:rsidRDefault="00BE78FD" w:rsidP="00E00CF1">
            <w:pPr>
              <w:jc w:val="right"/>
              <w:rPr>
                <w:sz w:val="20"/>
                <w:szCs w:val="20"/>
                <w:lang w:val="en-CA" w:eastAsia="en-CA"/>
              </w:rPr>
            </w:pPr>
            <w:r w:rsidRPr="005F3DC7">
              <w:rPr>
                <w:sz w:val="20"/>
                <w:szCs w:val="20"/>
                <w:lang w:val="en-CA" w:eastAsia="en-CA"/>
              </w:rPr>
              <w:t>0</w:t>
            </w:r>
          </w:p>
        </w:tc>
      </w:tr>
      <w:tr w:rsidR="00BE78FD" w:rsidRPr="005F3DC7" w14:paraId="761865F2" w14:textId="77777777" w:rsidTr="00056266">
        <w:trPr>
          <w:trHeight w:val="264"/>
        </w:trPr>
        <w:tc>
          <w:tcPr>
            <w:tcW w:w="3261" w:type="dxa"/>
            <w:tcBorders>
              <w:top w:val="nil"/>
              <w:left w:val="single" w:sz="4" w:space="0" w:color="auto"/>
              <w:bottom w:val="single" w:sz="4" w:space="0" w:color="auto"/>
              <w:right w:val="single" w:sz="4" w:space="0" w:color="auto"/>
            </w:tcBorders>
            <w:shd w:val="clear" w:color="auto" w:fill="auto"/>
            <w:noWrap/>
            <w:hideMark/>
          </w:tcPr>
          <w:p w14:paraId="3D6FB78E" w14:textId="77777777" w:rsidR="00BE78FD" w:rsidRPr="005F3DC7" w:rsidRDefault="00BE78FD" w:rsidP="00E00CF1">
            <w:pPr>
              <w:jc w:val="left"/>
              <w:rPr>
                <w:sz w:val="20"/>
                <w:szCs w:val="20"/>
                <w:lang w:val="en-CA" w:eastAsia="en-CA"/>
              </w:rPr>
            </w:pPr>
            <w:r w:rsidRPr="005F3DC7">
              <w:rPr>
                <w:sz w:val="20"/>
                <w:szCs w:val="20"/>
                <w:lang w:val="en-CA" w:eastAsia="en-CA"/>
              </w:rPr>
              <w:t>Institutional strengthening (IS)</w:t>
            </w:r>
          </w:p>
        </w:tc>
        <w:tc>
          <w:tcPr>
            <w:tcW w:w="1181" w:type="dxa"/>
            <w:tcBorders>
              <w:top w:val="nil"/>
              <w:left w:val="nil"/>
              <w:bottom w:val="single" w:sz="4" w:space="0" w:color="auto"/>
              <w:right w:val="single" w:sz="4" w:space="0" w:color="auto"/>
            </w:tcBorders>
            <w:shd w:val="clear" w:color="auto" w:fill="auto"/>
            <w:noWrap/>
            <w:hideMark/>
          </w:tcPr>
          <w:p w14:paraId="01E19323" w14:textId="77777777" w:rsidR="00BE78FD" w:rsidRPr="005F3DC7" w:rsidRDefault="00BE78FD" w:rsidP="00E00CF1">
            <w:pPr>
              <w:jc w:val="right"/>
              <w:rPr>
                <w:sz w:val="20"/>
                <w:szCs w:val="20"/>
                <w:lang w:val="en-CA" w:eastAsia="en-CA"/>
              </w:rPr>
            </w:pPr>
            <w:r w:rsidRPr="005F3DC7">
              <w:rPr>
                <w:sz w:val="20"/>
                <w:szCs w:val="20"/>
                <w:lang w:val="en-CA" w:eastAsia="en-CA"/>
              </w:rPr>
              <w:t> </w:t>
            </w:r>
          </w:p>
        </w:tc>
        <w:tc>
          <w:tcPr>
            <w:tcW w:w="1181" w:type="dxa"/>
            <w:tcBorders>
              <w:top w:val="nil"/>
              <w:left w:val="nil"/>
              <w:bottom w:val="single" w:sz="4" w:space="0" w:color="auto"/>
              <w:right w:val="single" w:sz="4" w:space="0" w:color="auto"/>
            </w:tcBorders>
            <w:shd w:val="clear" w:color="auto" w:fill="auto"/>
            <w:noWrap/>
            <w:hideMark/>
          </w:tcPr>
          <w:p w14:paraId="45D6634E" w14:textId="77777777" w:rsidR="00BE78FD" w:rsidRPr="005F3DC7" w:rsidRDefault="00BE78FD" w:rsidP="00E00CF1">
            <w:pPr>
              <w:jc w:val="right"/>
              <w:rPr>
                <w:sz w:val="20"/>
                <w:szCs w:val="20"/>
                <w:lang w:val="en-CA" w:eastAsia="en-CA"/>
              </w:rPr>
            </w:pPr>
            <w:r w:rsidRPr="005F3DC7">
              <w:rPr>
                <w:sz w:val="20"/>
                <w:szCs w:val="20"/>
                <w:lang w:val="en-CA" w:eastAsia="en-CA"/>
              </w:rPr>
              <w:t>677</w:t>
            </w:r>
          </w:p>
        </w:tc>
        <w:tc>
          <w:tcPr>
            <w:tcW w:w="1181" w:type="dxa"/>
            <w:tcBorders>
              <w:top w:val="nil"/>
              <w:left w:val="nil"/>
              <w:bottom w:val="single" w:sz="4" w:space="0" w:color="auto"/>
              <w:right w:val="single" w:sz="4" w:space="0" w:color="auto"/>
            </w:tcBorders>
            <w:shd w:val="clear" w:color="auto" w:fill="auto"/>
            <w:noWrap/>
            <w:hideMark/>
          </w:tcPr>
          <w:p w14:paraId="4CAC8D04" w14:textId="77777777" w:rsidR="00BE78FD" w:rsidRPr="005F3DC7" w:rsidRDefault="00BE78FD" w:rsidP="00E00CF1">
            <w:pPr>
              <w:jc w:val="right"/>
              <w:rPr>
                <w:sz w:val="20"/>
                <w:szCs w:val="20"/>
                <w:lang w:val="en-CA" w:eastAsia="en-CA"/>
              </w:rPr>
            </w:pPr>
            <w:r w:rsidRPr="005F3DC7">
              <w:rPr>
                <w:sz w:val="20"/>
                <w:szCs w:val="20"/>
                <w:lang w:val="en-CA" w:eastAsia="en-CA"/>
              </w:rPr>
              <w:t> </w:t>
            </w:r>
          </w:p>
        </w:tc>
        <w:tc>
          <w:tcPr>
            <w:tcW w:w="1333" w:type="dxa"/>
            <w:tcBorders>
              <w:top w:val="nil"/>
              <w:left w:val="nil"/>
              <w:bottom w:val="single" w:sz="4" w:space="0" w:color="auto"/>
              <w:right w:val="single" w:sz="4" w:space="0" w:color="auto"/>
            </w:tcBorders>
            <w:shd w:val="clear" w:color="auto" w:fill="auto"/>
            <w:noWrap/>
            <w:hideMark/>
          </w:tcPr>
          <w:p w14:paraId="12AAAF98" w14:textId="77777777" w:rsidR="00BE78FD" w:rsidRPr="005F3DC7" w:rsidRDefault="00BE78FD" w:rsidP="00E00CF1">
            <w:pPr>
              <w:jc w:val="right"/>
              <w:rPr>
                <w:sz w:val="20"/>
                <w:szCs w:val="20"/>
                <w:lang w:val="en-CA" w:eastAsia="en-CA"/>
              </w:rPr>
            </w:pPr>
            <w:r w:rsidRPr="005F3DC7">
              <w:rPr>
                <w:sz w:val="20"/>
                <w:szCs w:val="20"/>
                <w:lang w:val="en-CA" w:eastAsia="en-CA"/>
              </w:rPr>
              <w:t>677</w:t>
            </w:r>
          </w:p>
        </w:tc>
        <w:tc>
          <w:tcPr>
            <w:tcW w:w="1219" w:type="dxa"/>
            <w:tcBorders>
              <w:top w:val="nil"/>
              <w:left w:val="nil"/>
              <w:bottom w:val="single" w:sz="4" w:space="0" w:color="auto"/>
              <w:right w:val="single" w:sz="4" w:space="0" w:color="auto"/>
            </w:tcBorders>
            <w:shd w:val="clear" w:color="auto" w:fill="auto"/>
            <w:noWrap/>
            <w:hideMark/>
          </w:tcPr>
          <w:p w14:paraId="391F053A" w14:textId="77777777" w:rsidR="00BE78FD" w:rsidRPr="005F3DC7" w:rsidRDefault="00BE78FD" w:rsidP="00E00CF1">
            <w:pPr>
              <w:jc w:val="right"/>
              <w:rPr>
                <w:sz w:val="20"/>
                <w:szCs w:val="20"/>
                <w:lang w:val="en-CA" w:eastAsia="en-CA"/>
              </w:rPr>
            </w:pPr>
            <w:r w:rsidRPr="005F3DC7">
              <w:rPr>
                <w:sz w:val="20"/>
                <w:szCs w:val="20"/>
                <w:lang w:val="en-CA" w:eastAsia="en-CA"/>
              </w:rPr>
              <w:t>677</w:t>
            </w:r>
          </w:p>
        </w:tc>
      </w:tr>
      <w:tr w:rsidR="00BE78FD" w:rsidRPr="005F3DC7" w14:paraId="1E012238" w14:textId="77777777" w:rsidTr="00056266">
        <w:trPr>
          <w:trHeight w:val="264"/>
        </w:trPr>
        <w:tc>
          <w:tcPr>
            <w:tcW w:w="3261" w:type="dxa"/>
            <w:tcBorders>
              <w:top w:val="nil"/>
              <w:left w:val="single" w:sz="4" w:space="0" w:color="auto"/>
              <w:bottom w:val="single" w:sz="4" w:space="0" w:color="auto"/>
              <w:right w:val="single" w:sz="4" w:space="0" w:color="auto"/>
            </w:tcBorders>
            <w:shd w:val="clear" w:color="auto" w:fill="auto"/>
            <w:noWrap/>
            <w:hideMark/>
          </w:tcPr>
          <w:p w14:paraId="210BF9FD" w14:textId="77777777" w:rsidR="00BE78FD" w:rsidRPr="005F3DC7" w:rsidRDefault="00BE78FD" w:rsidP="00E00CF1">
            <w:pPr>
              <w:keepNext/>
              <w:jc w:val="left"/>
              <w:rPr>
                <w:b/>
                <w:bCs/>
                <w:sz w:val="20"/>
                <w:szCs w:val="20"/>
                <w:lang w:val="en-CA" w:eastAsia="en-CA"/>
              </w:rPr>
            </w:pPr>
            <w:r w:rsidRPr="005F3DC7">
              <w:rPr>
                <w:b/>
                <w:bCs/>
                <w:sz w:val="20"/>
                <w:szCs w:val="20"/>
                <w:lang w:val="en-CA" w:eastAsia="en-CA"/>
              </w:rPr>
              <w:lastRenderedPageBreak/>
              <w:t xml:space="preserve">   Standard activities subtotal</w:t>
            </w:r>
          </w:p>
        </w:tc>
        <w:tc>
          <w:tcPr>
            <w:tcW w:w="1181" w:type="dxa"/>
            <w:tcBorders>
              <w:top w:val="nil"/>
              <w:left w:val="nil"/>
              <w:bottom w:val="single" w:sz="4" w:space="0" w:color="auto"/>
              <w:right w:val="single" w:sz="4" w:space="0" w:color="auto"/>
            </w:tcBorders>
            <w:shd w:val="clear" w:color="auto" w:fill="auto"/>
            <w:noWrap/>
            <w:hideMark/>
          </w:tcPr>
          <w:p w14:paraId="6382292A" w14:textId="77777777" w:rsidR="00BE78FD" w:rsidRPr="005F3DC7" w:rsidRDefault="00BE78FD" w:rsidP="00E00CF1">
            <w:pPr>
              <w:keepNext/>
              <w:jc w:val="right"/>
              <w:rPr>
                <w:b/>
                <w:bCs/>
                <w:sz w:val="20"/>
                <w:szCs w:val="20"/>
                <w:lang w:val="en-CA" w:eastAsia="en-CA"/>
              </w:rPr>
            </w:pPr>
            <w:r w:rsidRPr="005F3DC7">
              <w:rPr>
                <w:b/>
                <w:bCs/>
                <w:sz w:val="20"/>
                <w:szCs w:val="20"/>
                <w:lang w:val="en-CA" w:eastAsia="en-CA"/>
              </w:rPr>
              <w:t>1,735</w:t>
            </w:r>
          </w:p>
        </w:tc>
        <w:tc>
          <w:tcPr>
            <w:tcW w:w="1181" w:type="dxa"/>
            <w:tcBorders>
              <w:top w:val="nil"/>
              <w:left w:val="nil"/>
              <w:bottom w:val="single" w:sz="4" w:space="0" w:color="auto"/>
              <w:right w:val="single" w:sz="4" w:space="0" w:color="auto"/>
            </w:tcBorders>
            <w:shd w:val="clear" w:color="auto" w:fill="auto"/>
            <w:noWrap/>
            <w:hideMark/>
          </w:tcPr>
          <w:p w14:paraId="13720A53" w14:textId="77777777" w:rsidR="00BE78FD" w:rsidRPr="005F3DC7" w:rsidRDefault="00BE78FD" w:rsidP="00E00CF1">
            <w:pPr>
              <w:keepNext/>
              <w:jc w:val="right"/>
              <w:rPr>
                <w:b/>
                <w:bCs/>
                <w:sz w:val="20"/>
                <w:szCs w:val="20"/>
                <w:lang w:val="en-CA" w:eastAsia="en-CA"/>
              </w:rPr>
            </w:pPr>
            <w:r w:rsidRPr="005F3DC7">
              <w:rPr>
                <w:b/>
                <w:bCs/>
                <w:sz w:val="20"/>
                <w:szCs w:val="20"/>
                <w:lang w:val="en-CA" w:eastAsia="en-CA"/>
              </w:rPr>
              <w:t>2,412</w:t>
            </w:r>
          </w:p>
        </w:tc>
        <w:tc>
          <w:tcPr>
            <w:tcW w:w="1181" w:type="dxa"/>
            <w:tcBorders>
              <w:top w:val="nil"/>
              <w:left w:val="nil"/>
              <w:bottom w:val="single" w:sz="4" w:space="0" w:color="auto"/>
              <w:right w:val="single" w:sz="4" w:space="0" w:color="auto"/>
            </w:tcBorders>
            <w:shd w:val="clear" w:color="auto" w:fill="auto"/>
            <w:noWrap/>
            <w:hideMark/>
          </w:tcPr>
          <w:p w14:paraId="1902D25E" w14:textId="77777777" w:rsidR="00BE78FD" w:rsidRPr="005F3DC7" w:rsidRDefault="00BE78FD" w:rsidP="00E00CF1">
            <w:pPr>
              <w:keepNext/>
              <w:jc w:val="right"/>
              <w:rPr>
                <w:b/>
                <w:bCs/>
                <w:sz w:val="20"/>
                <w:szCs w:val="20"/>
                <w:lang w:val="en-CA" w:eastAsia="en-CA"/>
              </w:rPr>
            </w:pPr>
            <w:r w:rsidRPr="005F3DC7">
              <w:rPr>
                <w:b/>
                <w:bCs/>
                <w:sz w:val="20"/>
                <w:szCs w:val="20"/>
                <w:lang w:val="en-CA" w:eastAsia="en-CA"/>
              </w:rPr>
              <w:t>1,735</w:t>
            </w:r>
          </w:p>
        </w:tc>
        <w:tc>
          <w:tcPr>
            <w:tcW w:w="1333" w:type="dxa"/>
            <w:tcBorders>
              <w:top w:val="nil"/>
              <w:left w:val="nil"/>
              <w:bottom w:val="single" w:sz="4" w:space="0" w:color="auto"/>
              <w:right w:val="single" w:sz="4" w:space="0" w:color="auto"/>
            </w:tcBorders>
            <w:shd w:val="clear" w:color="auto" w:fill="auto"/>
            <w:noWrap/>
            <w:hideMark/>
          </w:tcPr>
          <w:p w14:paraId="1C4D2D2D" w14:textId="77777777" w:rsidR="00BE78FD" w:rsidRPr="005F3DC7" w:rsidRDefault="00BE78FD" w:rsidP="00E00CF1">
            <w:pPr>
              <w:keepNext/>
              <w:jc w:val="right"/>
              <w:rPr>
                <w:b/>
                <w:bCs/>
                <w:sz w:val="20"/>
                <w:szCs w:val="20"/>
                <w:lang w:val="en-CA" w:eastAsia="en-CA"/>
              </w:rPr>
            </w:pPr>
            <w:r w:rsidRPr="005F3DC7">
              <w:rPr>
                <w:b/>
                <w:bCs/>
                <w:sz w:val="20"/>
                <w:szCs w:val="20"/>
                <w:lang w:val="en-CA" w:eastAsia="en-CA"/>
              </w:rPr>
              <w:t>5,882</w:t>
            </w:r>
          </w:p>
        </w:tc>
        <w:tc>
          <w:tcPr>
            <w:tcW w:w="1219" w:type="dxa"/>
            <w:tcBorders>
              <w:top w:val="nil"/>
              <w:left w:val="nil"/>
              <w:bottom w:val="single" w:sz="4" w:space="0" w:color="auto"/>
              <w:right w:val="single" w:sz="4" w:space="0" w:color="auto"/>
            </w:tcBorders>
            <w:shd w:val="clear" w:color="auto" w:fill="auto"/>
            <w:noWrap/>
            <w:hideMark/>
          </w:tcPr>
          <w:p w14:paraId="57CAE6B2" w14:textId="77777777" w:rsidR="00BE78FD" w:rsidRPr="005F3DC7" w:rsidRDefault="00BE78FD" w:rsidP="00E00CF1">
            <w:pPr>
              <w:keepNext/>
              <w:jc w:val="right"/>
              <w:rPr>
                <w:b/>
                <w:bCs/>
                <w:sz w:val="20"/>
                <w:szCs w:val="20"/>
                <w:lang w:val="en-CA" w:eastAsia="en-CA"/>
              </w:rPr>
            </w:pPr>
            <w:r w:rsidRPr="005F3DC7">
              <w:rPr>
                <w:b/>
                <w:bCs/>
                <w:sz w:val="20"/>
                <w:szCs w:val="20"/>
                <w:lang w:val="en-CA" w:eastAsia="en-CA"/>
              </w:rPr>
              <w:t>677</w:t>
            </w:r>
          </w:p>
        </w:tc>
      </w:tr>
      <w:tr w:rsidR="00BE78FD" w:rsidRPr="005F3DC7" w14:paraId="370F47EB" w14:textId="77777777" w:rsidTr="00056266">
        <w:trPr>
          <w:trHeight w:val="264"/>
        </w:trPr>
        <w:tc>
          <w:tcPr>
            <w:tcW w:w="3261" w:type="dxa"/>
            <w:tcBorders>
              <w:top w:val="nil"/>
              <w:left w:val="single" w:sz="4" w:space="0" w:color="auto"/>
              <w:bottom w:val="single" w:sz="4" w:space="0" w:color="auto"/>
              <w:right w:val="single" w:sz="4" w:space="0" w:color="auto"/>
            </w:tcBorders>
            <w:shd w:val="clear" w:color="auto" w:fill="auto"/>
            <w:noWrap/>
            <w:hideMark/>
          </w:tcPr>
          <w:p w14:paraId="2C8A72DF" w14:textId="77777777" w:rsidR="00BE78FD" w:rsidRPr="005F3DC7" w:rsidRDefault="00BE78FD" w:rsidP="00E00CF1">
            <w:pPr>
              <w:keepNext/>
              <w:jc w:val="left"/>
              <w:rPr>
                <w:b/>
                <w:bCs/>
                <w:sz w:val="20"/>
                <w:szCs w:val="20"/>
                <w:lang w:val="en-CA" w:eastAsia="en-CA"/>
              </w:rPr>
            </w:pPr>
            <w:r w:rsidRPr="005F3DC7">
              <w:rPr>
                <w:b/>
                <w:bCs/>
                <w:sz w:val="20"/>
                <w:szCs w:val="20"/>
                <w:lang w:val="en-CA" w:eastAsia="en-CA"/>
              </w:rPr>
              <w:t>Grand total</w:t>
            </w:r>
          </w:p>
        </w:tc>
        <w:tc>
          <w:tcPr>
            <w:tcW w:w="1181" w:type="dxa"/>
            <w:tcBorders>
              <w:top w:val="nil"/>
              <w:left w:val="nil"/>
              <w:bottom w:val="single" w:sz="4" w:space="0" w:color="auto"/>
              <w:right w:val="single" w:sz="4" w:space="0" w:color="auto"/>
            </w:tcBorders>
            <w:shd w:val="clear" w:color="auto" w:fill="auto"/>
            <w:noWrap/>
            <w:hideMark/>
          </w:tcPr>
          <w:p w14:paraId="56659526" w14:textId="77777777" w:rsidR="00BE78FD" w:rsidRPr="005F3DC7" w:rsidRDefault="00BE78FD" w:rsidP="00E00CF1">
            <w:pPr>
              <w:keepNext/>
              <w:jc w:val="right"/>
              <w:rPr>
                <w:b/>
                <w:bCs/>
                <w:sz w:val="20"/>
                <w:szCs w:val="20"/>
                <w:lang w:val="en-CA" w:eastAsia="en-CA"/>
              </w:rPr>
            </w:pPr>
            <w:r w:rsidRPr="005F3DC7">
              <w:rPr>
                <w:b/>
                <w:bCs/>
                <w:sz w:val="20"/>
                <w:szCs w:val="20"/>
                <w:lang w:val="en-CA" w:eastAsia="en-CA"/>
              </w:rPr>
              <w:t>70,710</w:t>
            </w:r>
          </w:p>
        </w:tc>
        <w:tc>
          <w:tcPr>
            <w:tcW w:w="1181" w:type="dxa"/>
            <w:tcBorders>
              <w:top w:val="nil"/>
              <w:left w:val="nil"/>
              <w:bottom w:val="single" w:sz="4" w:space="0" w:color="auto"/>
              <w:right w:val="single" w:sz="4" w:space="0" w:color="auto"/>
            </w:tcBorders>
            <w:shd w:val="clear" w:color="auto" w:fill="auto"/>
            <w:noWrap/>
            <w:hideMark/>
          </w:tcPr>
          <w:p w14:paraId="1217BF3B" w14:textId="77777777" w:rsidR="00BE78FD" w:rsidRPr="005F3DC7" w:rsidRDefault="00BE78FD" w:rsidP="00E00CF1">
            <w:pPr>
              <w:keepNext/>
              <w:jc w:val="right"/>
              <w:rPr>
                <w:b/>
                <w:bCs/>
                <w:sz w:val="20"/>
                <w:szCs w:val="20"/>
                <w:lang w:val="en-CA" w:eastAsia="en-CA"/>
              </w:rPr>
            </w:pPr>
            <w:r w:rsidRPr="005F3DC7">
              <w:rPr>
                <w:b/>
                <w:bCs/>
                <w:sz w:val="20"/>
                <w:szCs w:val="20"/>
                <w:lang w:val="en-CA" w:eastAsia="en-CA"/>
              </w:rPr>
              <w:t>63,252</w:t>
            </w:r>
          </w:p>
        </w:tc>
        <w:tc>
          <w:tcPr>
            <w:tcW w:w="1181" w:type="dxa"/>
            <w:tcBorders>
              <w:top w:val="nil"/>
              <w:left w:val="nil"/>
              <w:bottom w:val="single" w:sz="4" w:space="0" w:color="auto"/>
              <w:right w:val="single" w:sz="4" w:space="0" w:color="auto"/>
            </w:tcBorders>
            <w:shd w:val="clear" w:color="auto" w:fill="auto"/>
            <w:noWrap/>
            <w:hideMark/>
          </w:tcPr>
          <w:p w14:paraId="340FE78B" w14:textId="77777777" w:rsidR="00BE78FD" w:rsidRPr="005F3DC7" w:rsidRDefault="00BE78FD" w:rsidP="00E00CF1">
            <w:pPr>
              <w:keepNext/>
              <w:jc w:val="right"/>
              <w:rPr>
                <w:b/>
                <w:bCs/>
                <w:sz w:val="20"/>
                <w:szCs w:val="20"/>
                <w:lang w:val="en-CA" w:eastAsia="en-CA"/>
              </w:rPr>
            </w:pPr>
            <w:r w:rsidRPr="005F3DC7">
              <w:rPr>
                <w:b/>
                <w:bCs/>
                <w:sz w:val="20"/>
                <w:szCs w:val="20"/>
                <w:lang w:val="en-CA" w:eastAsia="en-CA"/>
              </w:rPr>
              <w:t>55,503</w:t>
            </w:r>
          </w:p>
        </w:tc>
        <w:tc>
          <w:tcPr>
            <w:tcW w:w="1333" w:type="dxa"/>
            <w:tcBorders>
              <w:top w:val="nil"/>
              <w:left w:val="nil"/>
              <w:bottom w:val="single" w:sz="4" w:space="0" w:color="auto"/>
              <w:right w:val="single" w:sz="4" w:space="0" w:color="auto"/>
            </w:tcBorders>
            <w:shd w:val="clear" w:color="auto" w:fill="auto"/>
            <w:noWrap/>
            <w:hideMark/>
          </w:tcPr>
          <w:p w14:paraId="6132804F" w14:textId="77777777" w:rsidR="00BE78FD" w:rsidRPr="005F3DC7" w:rsidRDefault="00BE78FD" w:rsidP="00E00CF1">
            <w:pPr>
              <w:keepNext/>
              <w:jc w:val="right"/>
              <w:rPr>
                <w:b/>
                <w:bCs/>
                <w:sz w:val="20"/>
                <w:szCs w:val="20"/>
                <w:lang w:val="en-CA" w:eastAsia="en-CA"/>
              </w:rPr>
            </w:pPr>
            <w:r w:rsidRPr="005F3DC7">
              <w:rPr>
                <w:b/>
                <w:bCs/>
                <w:sz w:val="20"/>
                <w:szCs w:val="20"/>
                <w:lang w:val="en-CA" w:eastAsia="en-CA"/>
              </w:rPr>
              <w:t>189,465</w:t>
            </w:r>
          </w:p>
        </w:tc>
        <w:tc>
          <w:tcPr>
            <w:tcW w:w="1219" w:type="dxa"/>
            <w:tcBorders>
              <w:top w:val="nil"/>
              <w:left w:val="nil"/>
              <w:bottom w:val="single" w:sz="4" w:space="0" w:color="auto"/>
              <w:right w:val="single" w:sz="4" w:space="0" w:color="auto"/>
            </w:tcBorders>
            <w:shd w:val="clear" w:color="auto" w:fill="auto"/>
            <w:noWrap/>
            <w:hideMark/>
          </w:tcPr>
          <w:p w14:paraId="6971351B" w14:textId="77777777" w:rsidR="00BE78FD" w:rsidRPr="005F3DC7" w:rsidRDefault="00BE78FD" w:rsidP="00E00CF1">
            <w:pPr>
              <w:keepNext/>
              <w:jc w:val="right"/>
              <w:rPr>
                <w:b/>
                <w:bCs/>
                <w:sz w:val="20"/>
                <w:szCs w:val="20"/>
                <w:lang w:val="en-CA" w:eastAsia="en-CA"/>
              </w:rPr>
            </w:pPr>
            <w:r w:rsidRPr="005F3DC7">
              <w:rPr>
                <w:b/>
                <w:bCs/>
                <w:sz w:val="20"/>
                <w:szCs w:val="20"/>
                <w:lang w:val="en-CA" w:eastAsia="en-CA"/>
              </w:rPr>
              <w:t>206,722</w:t>
            </w:r>
          </w:p>
        </w:tc>
      </w:tr>
    </w:tbl>
    <w:p w14:paraId="6046C68E" w14:textId="77777777" w:rsidR="00BE78FD" w:rsidRPr="005F3DC7" w:rsidRDefault="00BE78FD" w:rsidP="00BE78FD">
      <w:pPr>
        <w:rPr>
          <w:sz w:val="18"/>
          <w:szCs w:val="18"/>
        </w:rPr>
      </w:pPr>
      <w:r w:rsidRPr="005F3DC7">
        <w:rPr>
          <w:sz w:val="18"/>
          <w:szCs w:val="18"/>
        </w:rPr>
        <w:t xml:space="preserve">* Including agency support cost where applicable.  </w:t>
      </w:r>
    </w:p>
    <w:p w14:paraId="163C1AAB" w14:textId="77777777" w:rsidR="00BE78FD" w:rsidRPr="005F3DC7" w:rsidRDefault="00BE78FD" w:rsidP="00BE78FD">
      <w:pPr>
        <w:pStyle w:val="Heading1"/>
        <w:keepNext/>
        <w:numPr>
          <w:ilvl w:val="0"/>
          <w:numId w:val="0"/>
        </w:numPr>
        <w:spacing w:after="0"/>
        <w:rPr>
          <w:b/>
        </w:rPr>
      </w:pPr>
    </w:p>
    <w:p w14:paraId="1AD7C6E0" w14:textId="77777777" w:rsidR="00BE78FD" w:rsidRPr="00AA13B2" w:rsidRDefault="00BE78FD" w:rsidP="00BE78FD">
      <w:pPr>
        <w:pStyle w:val="Heading1"/>
        <w:numPr>
          <w:ilvl w:val="0"/>
          <w:numId w:val="0"/>
        </w:numPr>
        <w:rPr>
          <w:b/>
        </w:rPr>
      </w:pPr>
      <w:r w:rsidRPr="00AA13B2">
        <w:rPr>
          <w:b/>
        </w:rPr>
        <w:t xml:space="preserve">Secretariat’s </w:t>
      </w:r>
      <w:r>
        <w:rPr>
          <w:b/>
        </w:rPr>
        <w:t>comments</w:t>
      </w:r>
      <w:r w:rsidRPr="00AA13B2">
        <w:rPr>
          <w:b/>
        </w:rPr>
        <w:t xml:space="preserve"> on activities required for compliance</w:t>
      </w:r>
    </w:p>
    <w:p w14:paraId="62F52E0E" w14:textId="77777777" w:rsidR="00BE78FD" w:rsidRPr="005F3DC7" w:rsidRDefault="00BE78FD" w:rsidP="00BE78FD">
      <w:pPr>
        <w:pStyle w:val="Heading1"/>
        <w:numPr>
          <w:ilvl w:val="0"/>
          <w:numId w:val="0"/>
        </w:numPr>
        <w:rPr>
          <w:u w:val="single"/>
        </w:rPr>
      </w:pPr>
      <w:r w:rsidRPr="005F3DC7">
        <w:rPr>
          <w:u w:val="single"/>
        </w:rPr>
        <w:t>HCFC production – stage II</w:t>
      </w:r>
    </w:p>
    <w:p w14:paraId="72F4AF24" w14:textId="77777777" w:rsidR="00BE78FD" w:rsidRPr="005F3DC7" w:rsidRDefault="00BE78FD" w:rsidP="00BE78FD">
      <w:pPr>
        <w:pStyle w:val="Heading1"/>
      </w:pPr>
      <w:r w:rsidRPr="005F3DC7">
        <w:t>A total of US $229.49 million is included for the HCFC production phase</w:t>
      </w:r>
      <w:r w:rsidRPr="005F3DC7">
        <w:noBreakHyphen/>
        <w:t>out management plan (HPPMP) for China, i.e., US $87.43 million for 2019</w:t>
      </w:r>
      <w:r>
        <w:t>–</w:t>
      </w:r>
      <w:r w:rsidRPr="005F3DC7">
        <w:t>2021</w:t>
      </w:r>
      <w:r>
        <w:t xml:space="preserve"> </w:t>
      </w:r>
      <w:r w:rsidRPr="005F3DC7">
        <w:t>and US $142.06 million for after 2021.</w:t>
      </w:r>
      <w:r>
        <w:t xml:space="preserve"> </w:t>
      </w:r>
    </w:p>
    <w:p w14:paraId="2FEFF309" w14:textId="77777777" w:rsidR="00BE78FD" w:rsidRPr="005F3DC7" w:rsidRDefault="00BE78FD" w:rsidP="00BE78FD">
      <w:pPr>
        <w:pStyle w:val="Heading1"/>
      </w:pPr>
      <w:r w:rsidRPr="005F3DC7">
        <w:t>At the 81</w:t>
      </w:r>
      <w:r w:rsidRPr="005F3DC7">
        <w:rPr>
          <w:vertAlign w:val="superscript"/>
        </w:rPr>
        <w:t>st</w:t>
      </w:r>
      <w:r w:rsidRPr="005F3DC7">
        <w:t xml:space="preserve"> meeting, the Executive Committee </w:t>
      </w:r>
      <w:r w:rsidRPr="00AA13B2">
        <w:rPr>
          <w:i/>
        </w:rPr>
        <w:t>inter alia</w:t>
      </w:r>
      <w:r w:rsidRPr="005F3DC7">
        <w:t xml:space="preserve"> appr</w:t>
      </w:r>
      <w:r>
        <w:t>oved on an exceptional basis, US $24.29 </w:t>
      </w:r>
      <w:r w:rsidRPr="005F3DC7">
        <w:t>million (including support costs)</w:t>
      </w:r>
      <w:r>
        <w:t>,</w:t>
      </w:r>
      <w:r w:rsidRPr="005F3DC7">
        <w:t xml:space="preserve"> and </w:t>
      </w:r>
      <w:r>
        <w:t xml:space="preserve">noted that this amount </w:t>
      </w:r>
      <w:r w:rsidRPr="005F3DC7">
        <w:t>would be deducted from the funding of stage II of the HPPMP.</w:t>
      </w:r>
      <w:r>
        <w:rPr>
          <w:rStyle w:val="FootnoteReference"/>
        </w:rPr>
        <w:footnoteReference w:id="2"/>
      </w:r>
      <w:r w:rsidRPr="005F3DC7">
        <w:t xml:space="preserve">  Taking into account </w:t>
      </w:r>
      <w:r>
        <w:t>the approval</w:t>
      </w:r>
      <w:r w:rsidRPr="005F3DC7">
        <w:t xml:space="preserve"> at the 81</w:t>
      </w:r>
      <w:r w:rsidRPr="005F3DC7">
        <w:rPr>
          <w:vertAlign w:val="superscript"/>
        </w:rPr>
        <w:t>st</w:t>
      </w:r>
      <w:r w:rsidRPr="005F3DC7">
        <w:t xml:space="preserve"> meeting, the average annu</w:t>
      </w:r>
      <w:r>
        <w:t>al level of funding after stage </w:t>
      </w:r>
      <w:r w:rsidRPr="005F3DC7">
        <w:t>I of the HPPMP starting in 2019 should be US</w:t>
      </w:r>
      <w:r>
        <w:t> </w:t>
      </w:r>
      <w:r w:rsidRPr="005F3DC7">
        <w:t>$23.50 million (or US $70.49 million for 201</w:t>
      </w:r>
      <w:r>
        <w:t>9–</w:t>
      </w:r>
      <w:r w:rsidRPr="005F3DC7">
        <w:t>2021) assuming the maximu</w:t>
      </w:r>
      <w:r>
        <w:t>m amount of funding (US $406.56 </w:t>
      </w:r>
      <w:r w:rsidRPr="005F3DC7">
        <w:t>million)</w:t>
      </w:r>
      <w:r>
        <w:t>,</w:t>
      </w:r>
      <w:r w:rsidRPr="005F3DC7">
        <w:rPr>
          <w:rStyle w:val="FootnoteReference"/>
        </w:rPr>
        <w:footnoteReference w:id="3"/>
      </w:r>
      <w:r w:rsidRPr="005F3DC7">
        <w:t xml:space="preserve"> including agency support costs per decision 69/28(e). Therefore, the proposed level of funding for </w:t>
      </w:r>
      <w:r>
        <w:t>2019</w:t>
      </w:r>
      <w:r>
        <w:noBreakHyphen/>
      </w:r>
      <w:r w:rsidRPr="005F3DC7">
        <w:t xml:space="preserve">2021 would exceed the average annual amount by approximately 24 per cent. </w:t>
      </w:r>
    </w:p>
    <w:p w14:paraId="234B7CF5" w14:textId="77777777" w:rsidR="00BE78FD" w:rsidRPr="005F3DC7" w:rsidRDefault="00BE78FD" w:rsidP="00BE78FD">
      <w:pPr>
        <w:pStyle w:val="Heading1"/>
      </w:pPr>
      <w:r w:rsidRPr="005F3DC7">
        <w:t>The request for funding for stage II of the HPPMP for China will be resubmitted to the 83</w:t>
      </w:r>
      <w:r w:rsidRPr="005F3DC7">
        <w:rPr>
          <w:vertAlign w:val="superscript"/>
        </w:rPr>
        <w:t>rd</w:t>
      </w:r>
      <w:r w:rsidRPr="005F3DC7">
        <w:t xml:space="preserve"> meeting in accordance with decision 81/71(d). </w:t>
      </w:r>
    </w:p>
    <w:p w14:paraId="220590EE" w14:textId="77777777" w:rsidR="00BE78FD" w:rsidRPr="005F3DC7" w:rsidRDefault="00BE78FD" w:rsidP="00BE78FD">
      <w:pPr>
        <w:rPr>
          <w:u w:val="single"/>
        </w:rPr>
      </w:pPr>
      <w:r w:rsidRPr="005F3DC7">
        <w:rPr>
          <w:u w:val="single"/>
        </w:rPr>
        <w:t>Stage</w:t>
      </w:r>
      <w:r>
        <w:rPr>
          <w:u w:val="single"/>
        </w:rPr>
        <w:t xml:space="preserve"> </w:t>
      </w:r>
      <w:r w:rsidRPr="005F3DC7">
        <w:rPr>
          <w:u w:val="single"/>
        </w:rPr>
        <w:t xml:space="preserve">II </w:t>
      </w:r>
      <w:r>
        <w:rPr>
          <w:u w:val="single"/>
        </w:rPr>
        <w:t xml:space="preserve">of </w:t>
      </w:r>
      <w:r w:rsidRPr="005F3DC7">
        <w:rPr>
          <w:u w:val="single"/>
        </w:rPr>
        <w:t>HPMP</w:t>
      </w:r>
      <w:r>
        <w:rPr>
          <w:u w:val="single"/>
        </w:rPr>
        <w:t>s</w:t>
      </w:r>
      <w:r w:rsidRPr="005F3DC7">
        <w:rPr>
          <w:u w:val="single"/>
        </w:rPr>
        <w:t xml:space="preserve"> </w:t>
      </w:r>
    </w:p>
    <w:p w14:paraId="4A95D0B4" w14:textId="77777777" w:rsidR="00BE78FD" w:rsidRPr="005F3DC7" w:rsidRDefault="00BE78FD" w:rsidP="00BE78FD"/>
    <w:p w14:paraId="707465D9" w14:textId="77777777" w:rsidR="00BE78FD" w:rsidRPr="005F3DC7" w:rsidRDefault="00BE78FD" w:rsidP="00BE78FD">
      <w:pPr>
        <w:pStyle w:val="Heading1"/>
      </w:pPr>
      <w:r w:rsidRPr="005F3DC7">
        <w:t xml:space="preserve">The funding distribution of stage II of HPMPs by sector is provided in Table 2.  The World Bank only included stage II of </w:t>
      </w:r>
      <w:r>
        <w:t xml:space="preserve">the </w:t>
      </w:r>
      <w:r w:rsidRPr="005F3DC7">
        <w:t>HPMP for Thailand</w:t>
      </w:r>
      <w:r>
        <w:rPr>
          <w:rStyle w:val="FootnoteReference"/>
        </w:rPr>
        <w:footnoteReference w:id="4"/>
      </w:r>
      <w:r w:rsidRPr="005F3DC7">
        <w:t xml:space="preserve"> in the 2019</w:t>
      </w:r>
      <w:r>
        <w:t>–</w:t>
      </w:r>
      <w:r w:rsidRPr="005F3DC7">
        <w:t>2021 business plan.</w:t>
      </w:r>
    </w:p>
    <w:p w14:paraId="3C743B94" w14:textId="77777777" w:rsidR="00BE78FD" w:rsidRPr="005F3DC7" w:rsidRDefault="00BE78FD" w:rsidP="00BE78FD">
      <w:pPr>
        <w:keepNext/>
        <w:jc w:val="left"/>
        <w:rPr>
          <w:b/>
        </w:rPr>
      </w:pPr>
      <w:r w:rsidRPr="005F3DC7">
        <w:rPr>
          <w:b/>
        </w:rPr>
        <w:t>Table 2: Funding distribution of stage II of HPMPs by sector (US $000)</w:t>
      </w:r>
    </w:p>
    <w:tbl>
      <w:tblPr>
        <w:tblW w:w="9498" w:type="dxa"/>
        <w:tblInd w:w="-5" w:type="dxa"/>
        <w:tblLayout w:type="fixed"/>
        <w:tblLook w:val="04A0" w:firstRow="1" w:lastRow="0" w:firstColumn="1" w:lastColumn="0" w:noHBand="0" w:noVBand="1"/>
      </w:tblPr>
      <w:tblGrid>
        <w:gridCol w:w="4536"/>
        <w:gridCol w:w="1134"/>
        <w:gridCol w:w="1134"/>
        <w:gridCol w:w="993"/>
        <w:gridCol w:w="1701"/>
      </w:tblGrid>
      <w:tr w:rsidR="00BE78FD" w:rsidRPr="005F3DC7" w14:paraId="086CD75B" w14:textId="77777777" w:rsidTr="00820EAB">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hideMark/>
          </w:tcPr>
          <w:p w14:paraId="521E7F72" w14:textId="77777777" w:rsidR="00BE78FD" w:rsidRPr="005F3DC7" w:rsidRDefault="00BE78FD" w:rsidP="00E00CF1">
            <w:pPr>
              <w:keepNext/>
              <w:jc w:val="center"/>
              <w:rPr>
                <w:b/>
                <w:bCs/>
                <w:sz w:val="20"/>
                <w:szCs w:val="20"/>
                <w:lang w:val="en-CA" w:eastAsia="en-CA"/>
              </w:rPr>
            </w:pPr>
            <w:r w:rsidRPr="005F3DC7">
              <w:rPr>
                <w:b/>
                <w:bCs/>
                <w:sz w:val="20"/>
                <w:szCs w:val="20"/>
                <w:lang w:val="en-US" w:eastAsia="en-CA"/>
              </w:rPr>
              <w:t>Sector</w:t>
            </w:r>
          </w:p>
        </w:tc>
        <w:tc>
          <w:tcPr>
            <w:tcW w:w="1134" w:type="dxa"/>
            <w:tcBorders>
              <w:top w:val="single" w:sz="4" w:space="0" w:color="auto"/>
              <w:left w:val="nil"/>
              <w:bottom w:val="single" w:sz="4" w:space="0" w:color="auto"/>
              <w:right w:val="single" w:sz="4" w:space="0" w:color="auto"/>
            </w:tcBorders>
            <w:shd w:val="clear" w:color="auto" w:fill="auto"/>
            <w:hideMark/>
          </w:tcPr>
          <w:p w14:paraId="770C1AB8" w14:textId="77777777" w:rsidR="00BE78FD" w:rsidRPr="005F3DC7" w:rsidRDefault="00BE78FD" w:rsidP="00E00CF1">
            <w:pPr>
              <w:keepNext/>
              <w:jc w:val="center"/>
              <w:rPr>
                <w:b/>
                <w:bCs/>
                <w:sz w:val="20"/>
                <w:szCs w:val="20"/>
                <w:lang w:val="en-CA" w:eastAsia="en-CA"/>
              </w:rPr>
            </w:pPr>
            <w:r w:rsidRPr="005F3DC7">
              <w:rPr>
                <w:b/>
                <w:bCs/>
                <w:sz w:val="20"/>
                <w:szCs w:val="20"/>
                <w:lang w:val="en-US" w:eastAsia="en-CA"/>
              </w:rPr>
              <w:t>2019</w:t>
            </w:r>
            <w:r w:rsidRPr="00820EAB">
              <w:rPr>
                <w:b/>
              </w:rPr>
              <w:t>–</w:t>
            </w:r>
            <w:r w:rsidRPr="005F3DC7">
              <w:rPr>
                <w:b/>
                <w:bCs/>
                <w:sz w:val="20"/>
                <w:szCs w:val="20"/>
                <w:lang w:val="en-US" w:eastAsia="en-CA"/>
              </w:rPr>
              <w:t>2021</w:t>
            </w:r>
          </w:p>
        </w:tc>
        <w:tc>
          <w:tcPr>
            <w:tcW w:w="1134" w:type="dxa"/>
            <w:tcBorders>
              <w:top w:val="single" w:sz="4" w:space="0" w:color="auto"/>
              <w:left w:val="nil"/>
              <w:bottom w:val="single" w:sz="4" w:space="0" w:color="auto"/>
              <w:right w:val="single" w:sz="4" w:space="0" w:color="auto"/>
            </w:tcBorders>
            <w:shd w:val="clear" w:color="auto" w:fill="auto"/>
            <w:hideMark/>
          </w:tcPr>
          <w:p w14:paraId="2669EAAC" w14:textId="77777777" w:rsidR="00BE78FD" w:rsidRPr="005F3DC7" w:rsidRDefault="00BE78FD" w:rsidP="00E00CF1">
            <w:pPr>
              <w:keepNext/>
              <w:jc w:val="center"/>
              <w:rPr>
                <w:b/>
                <w:bCs/>
                <w:sz w:val="20"/>
                <w:szCs w:val="20"/>
                <w:lang w:val="en-CA" w:eastAsia="en-CA"/>
              </w:rPr>
            </w:pPr>
            <w:r w:rsidRPr="005F3DC7">
              <w:rPr>
                <w:b/>
                <w:bCs/>
                <w:sz w:val="20"/>
                <w:szCs w:val="20"/>
                <w:lang w:val="en-US" w:eastAsia="en-CA"/>
              </w:rPr>
              <w:t>After 2021</w:t>
            </w:r>
          </w:p>
        </w:tc>
        <w:tc>
          <w:tcPr>
            <w:tcW w:w="993" w:type="dxa"/>
            <w:tcBorders>
              <w:top w:val="single" w:sz="4" w:space="0" w:color="auto"/>
              <w:left w:val="nil"/>
              <w:bottom w:val="single" w:sz="4" w:space="0" w:color="auto"/>
              <w:right w:val="single" w:sz="4" w:space="0" w:color="auto"/>
            </w:tcBorders>
            <w:shd w:val="clear" w:color="auto" w:fill="auto"/>
            <w:noWrap/>
            <w:hideMark/>
          </w:tcPr>
          <w:p w14:paraId="485C9CA1" w14:textId="77777777" w:rsidR="00BE78FD" w:rsidRPr="005F3DC7" w:rsidRDefault="00BE78FD" w:rsidP="00E00CF1">
            <w:pPr>
              <w:keepNext/>
              <w:jc w:val="center"/>
              <w:rPr>
                <w:b/>
                <w:bCs/>
                <w:sz w:val="20"/>
                <w:szCs w:val="20"/>
                <w:lang w:val="en-CA" w:eastAsia="en-CA"/>
              </w:rPr>
            </w:pPr>
            <w:r w:rsidRPr="005F3DC7">
              <w:rPr>
                <w:b/>
                <w:bCs/>
                <w:sz w:val="20"/>
                <w:szCs w:val="20"/>
                <w:lang w:val="en-US" w:eastAsia="en-CA"/>
              </w:rPr>
              <w:t>Total</w:t>
            </w:r>
          </w:p>
        </w:tc>
        <w:tc>
          <w:tcPr>
            <w:tcW w:w="1701" w:type="dxa"/>
            <w:tcBorders>
              <w:top w:val="single" w:sz="4" w:space="0" w:color="auto"/>
              <w:left w:val="nil"/>
              <w:bottom w:val="single" w:sz="4" w:space="0" w:color="auto"/>
              <w:right w:val="single" w:sz="4" w:space="0" w:color="auto"/>
            </w:tcBorders>
            <w:shd w:val="clear" w:color="auto" w:fill="auto"/>
            <w:hideMark/>
          </w:tcPr>
          <w:p w14:paraId="23F1A5A8" w14:textId="77777777" w:rsidR="00BE78FD" w:rsidRPr="005F3DC7" w:rsidRDefault="00BE78FD" w:rsidP="00E00CF1">
            <w:pPr>
              <w:keepNext/>
              <w:jc w:val="center"/>
              <w:rPr>
                <w:b/>
                <w:bCs/>
                <w:sz w:val="20"/>
                <w:szCs w:val="20"/>
                <w:lang w:val="en-CA" w:eastAsia="en-CA"/>
              </w:rPr>
            </w:pPr>
            <w:r w:rsidRPr="005F3DC7">
              <w:rPr>
                <w:b/>
                <w:bCs/>
                <w:sz w:val="20"/>
                <w:szCs w:val="20"/>
                <w:lang w:val="en-US" w:eastAsia="en-CA"/>
              </w:rPr>
              <w:t>Per cent of total (%)</w:t>
            </w:r>
          </w:p>
        </w:tc>
      </w:tr>
      <w:tr w:rsidR="00BE78FD" w:rsidRPr="005F3DC7" w14:paraId="5989A9FD" w14:textId="77777777" w:rsidTr="00820EAB">
        <w:trPr>
          <w:trHeight w:val="255"/>
        </w:trPr>
        <w:tc>
          <w:tcPr>
            <w:tcW w:w="4536" w:type="dxa"/>
            <w:tcBorders>
              <w:top w:val="nil"/>
              <w:left w:val="single" w:sz="4" w:space="0" w:color="auto"/>
              <w:bottom w:val="single" w:sz="4" w:space="0" w:color="auto"/>
              <w:right w:val="single" w:sz="4" w:space="0" w:color="auto"/>
            </w:tcBorders>
            <w:shd w:val="clear" w:color="auto" w:fill="auto"/>
            <w:noWrap/>
            <w:hideMark/>
          </w:tcPr>
          <w:p w14:paraId="528E6FCF" w14:textId="77777777" w:rsidR="00BE78FD" w:rsidRPr="005F3DC7" w:rsidRDefault="00BE78FD" w:rsidP="00E00CF1">
            <w:pPr>
              <w:keepNext/>
              <w:jc w:val="left"/>
              <w:rPr>
                <w:sz w:val="20"/>
                <w:szCs w:val="20"/>
                <w:lang w:val="en-CA" w:eastAsia="en-CA"/>
              </w:rPr>
            </w:pPr>
            <w:r w:rsidRPr="005F3DC7">
              <w:rPr>
                <w:sz w:val="20"/>
                <w:szCs w:val="20"/>
                <w:lang w:val="en-US" w:eastAsia="en-CA"/>
              </w:rPr>
              <w:t xml:space="preserve">Rigid foam and refrigeration commercial/servicing </w:t>
            </w:r>
          </w:p>
        </w:tc>
        <w:tc>
          <w:tcPr>
            <w:tcW w:w="1134" w:type="dxa"/>
            <w:tcBorders>
              <w:top w:val="nil"/>
              <w:left w:val="nil"/>
              <w:bottom w:val="single" w:sz="4" w:space="0" w:color="auto"/>
              <w:right w:val="single" w:sz="4" w:space="0" w:color="auto"/>
            </w:tcBorders>
            <w:shd w:val="clear" w:color="auto" w:fill="auto"/>
            <w:noWrap/>
          </w:tcPr>
          <w:p w14:paraId="3D64496B" w14:textId="77777777" w:rsidR="00BE78FD" w:rsidRPr="005F3DC7" w:rsidRDefault="00BE78FD" w:rsidP="00E00CF1">
            <w:pPr>
              <w:keepNext/>
              <w:jc w:val="right"/>
              <w:rPr>
                <w:sz w:val="20"/>
                <w:szCs w:val="20"/>
                <w:lang w:val="en-CA" w:eastAsia="en-CA"/>
              </w:rPr>
            </w:pPr>
            <w:r w:rsidRPr="005F3DC7">
              <w:rPr>
                <w:sz w:val="20"/>
                <w:szCs w:val="20"/>
                <w:lang w:val="en-CA" w:eastAsia="en-CA"/>
              </w:rPr>
              <w:t>2,635</w:t>
            </w:r>
          </w:p>
        </w:tc>
        <w:tc>
          <w:tcPr>
            <w:tcW w:w="1134" w:type="dxa"/>
            <w:tcBorders>
              <w:top w:val="nil"/>
              <w:left w:val="nil"/>
              <w:bottom w:val="single" w:sz="4" w:space="0" w:color="auto"/>
              <w:right w:val="single" w:sz="4" w:space="0" w:color="auto"/>
            </w:tcBorders>
            <w:shd w:val="clear" w:color="auto" w:fill="auto"/>
            <w:noWrap/>
          </w:tcPr>
          <w:p w14:paraId="4B6152F4" w14:textId="77777777" w:rsidR="00BE78FD" w:rsidRPr="005F3DC7" w:rsidRDefault="00BE78FD" w:rsidP="00E00CF1">
            <w:pPr>
              <w:keepNext/>
              <w:jc w:val="right"/>
              <w:rPr>
                <w:sz w:val="20"/>
                <w:szCs w:val="20"/>
                <w:lang w:val="en-CA" w:eastAsia="en-CA"/>
              </w:rPr>
            </w:pPr>
            <w:r w:rsidRPr="005F3DC7">
              <w:rPr>
                <w:sz w:val="20"/>
                <w:szCs w:val="20"/>
                <w:lang w:val="en-CA" w:eastAsia="en-CA"/>
              </w:rPr>
              <w:t>0</w:t>
            </w:r>
          </w:p>
        </w:tc>
        <w:tc>
          <w:tcPr>
            <w:tcW w:w="993" w:type="dxa"/>
            <w:tcBorders>
              <w:top w:val="nil"/>
              <w:left w:val="nil"/>
              <w:bottom w:val="single" w:sz="4" w:space="0" w:color="auto"/>
              <w:right w:val="single" w:sz="4" w:space="0" w:color="auto"/>
            </w:tcBorders>
            <w:shd w:val="clear" w:color="auto" w:fill="auto"/>
            <w:noWrap/>
          </w:tcPr>
          <w:p w14:paraId="6FB8469C" w14:textId="77777777" w:rsidR="00BE78FD" w:rsidRPr="005F3DC7" w:rsidRDefault="00BE78FD" w:rsidP="00E00CF1">
            <w:pPr>
              <w:keepNext/>
              <w:jc w:val="right"/>
              <w:rPr>
                <w:sz w:val="20"/>
                <w:szCs w:val="20"/>
                <w:lang w:val="en-CA" w:eastAsia="en-CA"/>
              </w:rPr>
            </w:pPr>
            <w:r w:rsidRPr="005F3DC7">
              <w:rPr>
                <w:sz w:val="20"/>
                <w:szCs w:val="20"/>
                <w:lang w:val="en-CA" w:eastAsia="en-CA"/>
              </w:rPr>
              <w:t>2,635</w:t>
            </w:r>
          </w:p>
        </w:tc>
        <w:tc>
          <w:tcPr>
            <w:tcW w:w="1701" w:type="dxa"/>
            <w:tcBorders>
              <w:top w:val="nil"/>
              <w:left w:val="nil"/>
              <w:bottom w:val="single" w:sz="4" w:space="0" w:color="auto"/>
              <w:right w:val="single" w:sz="4" w:space="0" w:color="auto"/>
            </w:tcBorders>
            <w:shd w:val="clear" w:color="auto" w:fill="auto"/>
            <w:noWrap/>
          </w:tcPr>
          <w:p w14:paraId="0B79C510" w14:textId="77777777" w:rsidR="00BE78FD" w:rsidRPr="005F3DC7" w:rsidRDefault="00BE78FD" w:rsidP="00E00CF1">
            <w:pPr>
              <w:keepNext/>
              <w:jc w:val="right"/>
              <w:rPr>
                <w:sz w:val="20"/>
                <w:szCs w:val="20"/>
                <w:lang w:val="en-CA" w:eastAsia="en-CA"/>
              </w:rPr>
            </w:pPr>
            <w:r w:rsidRPr="005F3DC7">
              <w:rPr>
                <w:sz w:val="20"/>
                <w:szCs w:val="20"/>
                <w:lang w:val="en-CA" w:eastAsia="en-CA"/>
              </w:rPr>
              <w:t>100</w:t>
            </w:r>
          </w:p>
        </w:tc>
      </w:tr>
      <w:tr w:rsidR="00BE78FD" w:rsidRPr="005F3DC7" w14:paraId="48BFC8DB" w14:textId="77777777" w:rsidTr="00820EAB">
        <w:trPr>
          <w:trHeight w:val="255"/>
        </w:trPr>
        <w:tc>
          <w:tcPr>
            <w:tcW w:w="4536" w:type="dxa"/>
            <w:tcBorders>
              <w:top w:val="nil"/>
              <w:left w:val="single" w:sz="4" w:space="0" w:color="auto"/>
              <w:bottom w:val="single" w:sz="4" w:space="0" w:color="auto"/>
              <w:right w:val="single" w:sz="4" w:space="0" w:color="auto"/>
            </w:tcBorders>
            <w:shd w:val="clear" w:color="auto" w:fill="auto"/>
            <w:noWrap/>
            <w:hideMark/>
          </w:tcPr>
          <w:p w14:paraId="114B2B13" w14:textId="77777777" w:rsidR="00BE78FD" w:rsidRPr="005F3DC7" w:rsidRDefault="00BE78FD" w:rsidP="00E00CF1">
            <w:pPr>
              <w:jc w:val="left"/>
              <w:rPr>
                <w:b/>
                <w:bCs/>
                <w:sz w:val="20"/>
                <w:szCs w:val="20"/>
                <w:lang w:val="en-CA" w:eastAsia="en-CA"/>
              </w:rPr>
            </w:pPr>
            <w:r w:rsidRPr="005F3DC7">
              <w:rPr>
                <w:b/>
                <w:bCs/>
                <w:sz w:val="20"/>
                <w:szCs w:val="20"/>
                <w:lang w:val="en-US" w:eastAsia="en-CA"/>
              </w:rPr>
              <w:t>Total</w:t>
            </w:r>
          </w:p>
        </w:tc>
        <w:tc>
          <w:tcPr>
            <w:tcW w:w="1134" w:type="dxa"/>
            <w:tcBorders>
              <w:top w:val="nil"/>
              <w:left w:val="nil"/>
              <w:bottom w:val="single" w:sz="4" w:space="0" w:color="auto"/>
              <w:right w:val="single" w:sz="4" w:space="0" w:color="auto"/>
            </w:tcBorders>
            <w:shd w:val="clear" w:color="auto" w:fill="auto"/>
            <w:noWrap/>
          </w:tcPr>
          <w:p w14:paraId="0BC03B6B" w14:textId="77777777" w:rsidR="00BE78FD" w:rsidRPr="005F3DC7" w:rsidRDefault="00BE78FD" w:rsidP="00E00CF1">
            <w:pPr>
              <w:keepNext/>
              <w:jc w:val="right"/>
              <w:rPr>
                <w:b/>
                <w:sz w:val="20"/>
                <w:szCs w:val="20"/>
                <w:lang w:val="en-CA" w:eastAsia="en-CA"/>
              </w:rPr>
            </w:pPr>
            <w:r w:rsidRPr="005F3DC7">
              <w:rPr>
                <w:b/>
                <w:sz w:val="20"/>
                <w:szCs w:val="20"/>
                <w:lang w:val="en-CA" w:eastAsia="en-CA"/>
              </w:rPr>
              <w:t>2,635</w:t>
            </w:r>
          </w:p>
        </w:tc>
        <w:tc>
          <w:tcPr>
            <w:tcW w:w="1134" w:type="dxa"/>
            <w:tcBorders>
              <w:top w:val="nil"/>
              <w:left w:val="nil"/>
              <w:bottom w:val="single" w:sz="4" w:space="0" w:color="auto"/>
              <w:right w:val="single" w:sz="4" w:space="0" w:color="auto"/>
            </w:tcBorders>
            <w:shd w:val="clear" w:color="auto" w:fill="auto"/>
            <w:noWrap/>
          </w:tcPr>
          <w:p w14:paraId="68B41E3B" w14:textId="77777777" w:rsidR="00BE78FD" w:rsidRPr="005F3DC7" w:rsidRDefault="00BE78FD" w:rsidP="00E00CF1">
            <w:pPr>
              <w:keepNext/>
              <w:jc w:val="right"/>
              <w:rPr>
                <w:b/>
                <w:sz w:val="20"/>
                <w:szCs w:val="20"/>
                <w:lang w:val="en-CA" w:eastAsia="en-CA"/>
              </w:rPr>
            </w:pPr>
            <w:r w:rsidRPr="005F3DC7">
              <w:rPr>
                <w:b/>
                <w:sz w:val="20"/>
                <w:szCs w:val="20"/>
                <w:lang w:val="en-CA" w:eastAsia="en-CA"/>
              </w:rPr>
              <w:t>0</w:t>
            </w:r>
          </w:p>
        </w:tc>
        <w:tc>
          <w:tcPr>
            <w:tcW w:w="993" w:type="dxa"/>
            <w:tcBorders>
              <w:top w:val="nil"/>
              <w:left w:val="nil"/>
              <w:bottom w:val="single" w:sz="4" w:space="0" w:color="auto"/>
              <w:right w:val="single" w:sz="4" w:space="0" w:color="auto"/>
            </w:tcBorders>
            <w:shd w:val="clear" w:color="auto" w:fill="auto"/>
            <w:noWrap/>
          </w:tcPr>
          <w:p w14:paraId="60F8BDA2" w14:textId="77777777" w:rsidR="00BE78FD" w:rsidRPr="005F3DC7" w:rsidRDefault="00BE78FD" w:rsidP="00E00CF1">
            <w:pPr>
              <w:keepNext/>
              <w:jc w:val="right"/>
              <w:rPr>
                <w:b/>
                <w:sz w:val="20"/>
                <w:szCs w:val="20"/>
                <w:lang w:val="en-CA" w:eastAsia="en-CA"/>
              </w:rPr>
            </w:pPr>
            <w:r w:rsidRPr="005F3DC7">
              <w:rPr>
                <w:b/>
                <w:sz w:val="20"/>
                <w:szCs w:val="20"/>
                <w:lang w:val="en-CA" w:eastAsia="en-CA"/>
              </w:rPr>
              <w:t>2,635</w:t>
            </w:r>
          </w:p>
        </w:tc>
        <w:tc>
          <w:tcPr>
            <w:tcW w:w="1701" w:type="dxa"/>
            <w:tcBorders>
              <w:top w:val="nil"/>
              <w:left w:val="nil"/>
              <w:bottom w:val="single" w:sz="4" w:space="0" w:color="auto"/>
              <w:right w:val="single" w:sz="4" w:space="0" w:color="auto"/>
            </w:tcBorders>
            <w:shd w:val="clear" w:color="auto" w:fill="auto"/>
            <w:noWrap/>
          </w:tcPr>
          <w:p w14:paraId="418FE7E3" w14:textId="77777777" w:rsidR="00BE78FD" w:rsidRPr="005F3DC7" w:rsidRDefault="00BE78FD" w:rsidP="00E00CF1">
            <w:pPr>
              <w:jc w:val="right"/>
              <w:rPr>
                <w:b/>
                <w:bCs/>
                <w:sz w:val="20"/>
                <w:szCs w:val="20"/>
                <w:lang w:val="en-CA" w:eastAsia="en-CA"/>
              </w:rPr>
            </w:pPr>
            <w:r w:rsidRPr="005F3DC7">
              <w:rPr>
                <w:b/>
                <w:bCs/>
                <w:sz w:val="20"/>
                <w:szCs w:val="20"/>
                <w:lang w:val="en-CA" w:eastAsia="en-CA"/>
              </w:rPr>
              <w:t>100</w:t>
            </w:r>
          </w:p>
        </w:tc>
      </w:tr>
    </w:tbl>
    <w:p w14:paraId="008947CA" w14:textId="77777777" w:rsidR="00BE78FD" w:rsidRPr="005F3DC7" w:rsidRDefault="00BE78FD" w:rsidP="00BE78FD">
      <w:pPr>
        <w:keepNext/>
        <w:jc w:val="left"/>
        <w:rPr>
          <w:b/>
        </w:rPr>
      </w:pPr>
    </w:p>
    <w:p w14:paraId="2D93B5C6" w14:textId="77777777" w:rsidR="00BE78FD" w:rsidRPr="005F3DC7" w:rsidRDefault="00BE78FD" w:rsidP="00BE78FD">
      <w:pPr>
        <w:rPr>
          <w:u w:val="single"/>
        </w:rPr>
      </w:pPr>
      <w:r w:rsidRPr="005F3DC7">
        <w:rPr>
          <w:u w:val="single"/>
        </w:rPr>
        <w:t>HFC-related activities</w:t>
      </w:r>
    </w:p>
    <w:p w14:paraId="16B138E9" w14:textId="77777777" w:rsidR="00BE78FD" w:rsidRPr="005F3DC7" w:rsidRDefault="00BE78FD" w:rsidP="00BE78FD">
      <w:pPr>
        <w:rPr>
          <w:b/>
        </w:rPr>
      </w:pPr>
    </w:p>
    <w:p w14:paraId="27E108AB" w14:textId="77777777" w:rsidR="00BE78FD" w:rsidRPr="005F3DC7" w:rsidRDefault="00BE78FD" w:rsidP="00BE78FD">
      <w:pPr>
        <w:pStyle w:val="Heading1"/>
      </w:pPr>
      <w:r w:rsidRPr="005F3DC7">
        <w:t>HFC activities include technology demonstration of HFC-23 by-product conversion for two countries amounting to US $10.18 million in 2019 (US $5.09 million each for China and India).</w:t>
      </w:r>
      <w:r>
        <w:t xml:space="preserve"> Only the activity in China was </w:t>
      </w:r>
      <w:r w:rsidRPr="00064943">
        <w:t>submitted wit</w:t>
      </w:r>
      <w:r>
        <w:t>h the required letter from the G</w:t>
      </w:r>
      <w:r w:rsidRPr="00064943">
        <w:t>overnment indicating its intent to make best efforts to ratify the Kigali</w:t>
      </w:r>
      <w:r>
        <w:t xml:space="preserve"> Amendment as early as possible, in line with decision 79/46(d)(</w:t>
      </w:r>
      <w:proofErr w:type="spellStart"/>
      <w:r>
        <w:t>i</w:t>
      </w:r>
      <w:proofErr w:type="spellEnd"/>
      <w:r>
        <w:t>).</w:t>
      </w:r>
    </w:p>
    <w:p w14:paraId="7F1644EC" w14:textId="77777777" w:rsidR="00BE78FD" w:rsidRPr="005F3DC7" w:rsidRDefault="00BE78FD" w:rsidP="00BE78FD">
      <w:pPr>
        <w:rPr>
          <w:u w:val="single"/>
        </w:rPr>
      </w:pPr>
      <w:r w:rsidRPr="005F3DC7">
        <w:rPr>
          <w:u w:val="single"/>
        </w:rPr>
        <w:t>Core unit costs</w:t>
      </w:r>
    </w:p>
    <w:p w14:paraId="145F0E28" w14:textId="77777777" w:rsidR="00BE78FD" w:rsidRPr="005F3DC7" w:rsidRDefault="00BE78FD" w:rsidP="00BE78FD"/>
    <w:p w14:paraId="1DAECC81" w14:textId="77777777" w:rsidR="00BE78FD" w:rsidRPr="005F3DC7" w:rsidRDefault="00BE78FD" w:rsidP="00BE78FD">
      <w:pPr>
        <w:pStyle w:val="Heading1"/>
      </w:pPr>
      <w:r w:rsidRPr="005F3DC7">
        <w:t>The World Bank has not increased the core unit budget for 2019</w:t>
      </w:r>
      <w:r w:rsidRPr="005F3DC7">
        <w:rPr>
          <w:rStyle w:val="FootnoteReference"/>
        </w:rPr>
        <w:footnoteReference w:id="5"/>
      </w:r>
      <w:r w:rsidRPr="005F3DC7">
        <w:t>.</w:t>
      </w:r>
    </w:p>
    <w:p w14:paraId="55E83EA3" w14:textId="77777777" w:rsidR="00BE78FD" w:rsidRDefault="00BE78FD" w:rsidP="00BE78FD">
      <w:pPr>
        <w:rPr>
          <w:b/>
          <w:bCs/>
          <w:lang w:val="en-CA"/>
        </w:rPr>
      </w:pPr>
    </w:p>
    <w:p w14:paraId="49B7E1E2" w14:textId="77777777" w:rsidR="00BE78FD" w:rsidRDefault="00BE78FD" w:rsidP="00BE78FD">
      <w:pPr>
        <w:rPr>
          <w:b/>
          <w:bCs/>
          <w:lang w:val="en-CA"/>
        </w:rPr>
      </w:pPr>
    </w:p>
    <w:p w14:paraId="2E617FCE" w14:textId="77777777" w:rsidR="00BE78FD" w:rsidRPr="005F3DC7" w:rsidRDefault="00BE78FD" w:rsidP="00BE78FD">
      <w:pPr>
        <w:spacing w:after="240"/>
        <w:rPr>
          <w:b/>
          <w:lang w:val="en-CA"/>
        </w:rPr>
      </w:pPr>
      <w:r w:rsidRPr="005F3DC7">
        <w:rPr>
          <w:b/>
          <w:bCs/>
          <w:lang w:val="en-CA"/>
        </w:rPr>
        <w:lastRenderedPageBreak/>
        <w:t>Proposed adjustments by the Secretariat</w:t>
      </w:r>
    </w:p>
    <w:p w14:paraId="6D70E078" w14:textId="77777777" w:rsidR="00BE78FD" w:rsidRPr="005F3DC7" w:rsidRDefault="00BE78FD" w:rsidP="00BE78FD">
      <w:pPr>
        <w:pStyle w:val="Heading1"/>
        <w:rPr>
          <w:lang w:val="en-CA"/>
        </w:rPr>
      </w:pPr>
      <w:r w:rsidRPr="005F3DC7">
        <w:rPr>
          <w:lang w:val="en-CA"/>
        </w:rPr>
        <w:t>During the IACM, adjustments to the business plans of bilateral and implementing agencies were agreed based on relevant decisions of the Executive Committee. In reviewing the revised World Bank business plan for 2019</w:t>
      </w:r>
      <w:r>
        <w:t>–</w:t>
      </w:r>
      <w:r w:rsidRPr="005F3DC7">
        <w:rPr>
          <w:lang w:val="en-CA"/>
        </w:rPr>
        <w:t xml:space="preserve">2021, the Secretariat noted that the following adjustments were not included: </w:t>
      </w:r>
    </w:p>
    <w:p w14:paraId="1E60453F" w14:textId="77777777" w:rsidR="00BE78FD" w:rsidRPr="005F3DC7" w:rsidRDefault="00BE78FD" w:rsidP="00BE78FD">
      <w:pPr>
        <w:keepNext/>
        <w:rPr>
          <w:b/>
          <w:bCs/>
          <w:lang w:val="en-CA"/>
        </w:rPr>
      </w:pPr>
      <w:r w:rsidRPr="005F3DC7">
        <w:rPr>
          <w:b/>
          <w:lang w:val="en-CA"/>
        </w:rPr>
        <w:t xml:space="preserve">Table 3: </w:t>
      </w:r>
      <w:r w:rsidRPr="005F3DC7">
        <w:rPr>
          <w:b/>
          <w:bCs/>
          <w:lang w:val="en-CA"/>
        </w:rPr>
        <w:t>Adjustments to the World Bank business plan for 2019</w:t>
      </w:r>
      <w:r w:rsidRPr="00390A82">
        <w:rPr>
          <w:b/>
          <w:bCs/>
          <w:lang w:val="en-CA"/>
        </w:rPr>
        <w:t>–</w:t>
      </w:r>
      <w:r w:rsidRPr="005F3DC7">
        <w:rPr>
          <w:b/>
          <w:bCs/>
          <w:lang w:val="en-CA"/>
        </w:rPr>
        <w:t>2021 (US $000)</w:t>
      </w:r>
    </w:p>
    <w:tbl>
      <w:tblPr>
        <w:tblStyle w:val="TableGrid"/>
        <w:tblW w:w="0" w:type="auto"/>
        <w:tblLook w:val="04A0" w:firstRow="1" w:lastRow="0" w:firstColumn="1" w:lastColumn="0" w:noHBand="0" w:noVBand="1"/>
      </w:tblPr>
      <w:tblGrid>
        <w:gridCol w:w="6722"/>
        <w:gridCol w:w="1314"/>
        <w:gridCol w:w="1314"/>
      </w:tblGrid>
      <w:tr w:rsidR="00BE78FD" w:rsidRPr="005F3DC7" w14:paraId="6CEF7A52" w14:textId="77777777" w:rsidTr="008267E8">
        <w:trPr>
          <w:tblHeader/>
        </w:trPr>
        <w:tc>
          <w:tcPr>
            <w:tcW w:w="6722" w:type="dxa"/>
          </w:tcPr>
          <w:p w14:paraId="6E4D39DB" w14:textId="77777777" w:rsidR="00BE78FD" w:rsidRPr="005F3DC7" w:rsidRDefault="00BE78FD" w:rsidP="00E00CF1">
            <w:pPr>
              <w:rPr>
                <w:b/>
                <w:lang w:val="en-CA"/>
              </w:rPr>
            </w:pPr>
            <w:r w:rsidRPr="005F3DC7">
              <w:rPr>
                <w:b/>
                <w:lang w:val="en-CA"/>
              </w:rPr>
              <w:t>Adjustment</w:t>
            </w:r>
          </w:p>
        </w:tc>
        <w:tc>
          <w:tcPr>
            <w:tcW w:w="1314" w:type="dxa"/>
          </w:tcPr>
          <w:p w14:paraId="23B17AB3" w14:textId="77777777" w:rsidR="00BE78FD" w:rsidRPr="005F3DC7" w:rsidRDefault="00BE78FD" w:rsidP="00E00CF1">
            <w:pPr>
              <w:jc w:val="center"/>
              <w:rPr>
                <w:b/>
                <w:lang w:val="en-CA"/>
              </w:rPr>
            </w:pPr>
            <w:r w:rsidRPr="005F3DC7">
              <w:rPr>
                <w:b/>
                <w:lang w:val="en-CA"/>
              </w:rPr>
              <w:t>2019</w:t>
            </w:r>
            <w:r w:rsidRPr="00390A82">
              <w:rPr>
                <w:b/>
                <w:lang w:val="en-CA"/>
              </w:rPr>
              <w:t>–</w:t>
            </w:r>
            <w:r w:rsidRPr="005F3DC7">
              <w:rPr>
                <w:b/>
                <w:lang w:val="en-CA"/>
              </w:rPr>
              <w:t xml:space="preserve">2021 </w:t>
            </w:r>
          </w:p>
        </w:tc>
        <w:tc>
          <w:tcPr>
            <w:tcW w:w="1314" w:type="dxa"/>
          </w:tcPr>
          <w:p w14:paraId="6ABCED7B" w14:textId="77777777" w:rsidR="00BE78FD" w:rsidRPr="005F3DC7" w:rsidRDefault="00BE78FD" w:rsidP="00E00CF1">
            <w:pPr>
              <w:jc w:val="center"/>
              <w:rPr>
                <w:b/>
                <w:lang w:val="en-CA"/>
              </w:rPr>
            </w:pPr>
            <w:r w:rsidRPr="005F3DC7">
              <w:rPr>
                <w:b/>
                <w:lang w:val="en-CA"/>
              </w:rPr>
              <w:t xml:space="preserve">After 2021 </w:t>
            </w:r>
          </w:p>
        </w:tc>
      </w:tr>
      <w:tr w:rsidR="00BE78FD" w:rsidRPr="005F3DC7" w14:paraId="63FCB81F" w14:textId="77777777" w:rsidTr="008267E8">
        <w:tc>
          <w:tcPr>
            <w:tcW w:w="6722" w:type="dxa"/>
          </w:tcPr>
          <w:p w14:paraId="3A34988C" w14:textId="77777777" w:rsidR="00BE78FD" w:rsidRPr="005F3DC7" w:rsidRDefault="00BE78FD" w:rsidP="00E00CF1">
            <w:pPr>
              <w:rPr>
                <w:lang w:val="en-CA"/>
              </w:rPr>
            </w:pPr>
            <w:r w:rsidRPr="005F3DC7">
              <w:rPr>
                <w:lang w:val="en-CA"/>
              </w:rPr>
              <w:t>HPMP values to reflect the actual amounts approved under the agreements including tranches of HPMP that were not submitted to the 82</w:t>
            </w:r>
            <w:r w:rsidRPr="005F3DC7">
              <w:rPr>
                <w:vertAlign w:val="superscript"/>
                <w:lang w:val="en-CA"/>
              </w:rPr>
              <w:t>nd</w:t>
            </w:r>
            <w:r w:rsidRPr="005F3DC7">
              <w:rPr>
                <w:lang w:val="en-CA"/>
              </w:rPr>
              <w:t xml:space="preserve"> meeting</w:t>
            </w:r>
          </w:p>
        </w:tc>
        <w:tc>
          <w:tcPr>
            <w:tcW w:w="1314" w:type="dxa"/>
          </w:tcPr>
          <w:p w14:paraId="0ECCF6F9" w14:textId="77777777" w:rsidR="00BE78FD" w:rsidRPr="005F3DC7" w:rsidRDefault="00BE78FD" w:rsidP="00E00CF1">
            <w:pPr>
              <w:jc w:val="right"/>
              <w:rPr>
                <w:lang w:val="en-CA"/>
              </w:rPr>
            </w:pPr>
            <w:r w:rsidRPr="005F3DC7">
              <w:rPr>
                <w:lang w:val="en-CA"/>
              </w:rPr>
              <w:t>1,085</w:t>
            </w:r>
          </w:p>
        </w:tc>
        <w:tc>
          <w:tcPr>
            <w:tcW w:w="1314" w:type="dxa"/>
          </w:tcPr>
          <w:p w14:paraId="682B6634" w14:textId="77777777" w:rsidR="00BE78FD" w:rsidRPr="005F3DC7" w:rsidRDefault="00BE78FD" w:rsidP="00E00CF1">
            <w:pPr>
              <w:jc w:val="right"/>
              <w:rPr>
                <w:lang w:val="en-CA"/>
              </w:rPr>
            </w:pPr>
            <w:r w:rsidRPr="005F3DC7">
              <w:rPr>
                <w:lang w:val="en-CA"/>
              </w:rPr>
              <w:t>0</w:t>
            </w:r>
          </w:p>
        </w:tc>
      </w:tr>
      <w:tr w:rsidR="00BE78FD" w:rsidRPr="005F3DC7" w14:paraId="07AAE8E2" w14:textId="77777777" w:rsidTr="008267E8">
        <w:tc>
          <w:tcPr>
            <w:tcW w:w="6722" w:type="dxa"/>
          </w:tcPr>
          <w:p w14:paraId="7130784B" w14:textId="77777777" w:rsidR="00BE78FD" w:rsidRPr="005F3DC7" w:rsidRDefault="00BE78FD" w:rsidP="00E00CF1">
            <w:pPr>
              <w:rPr>
                <w:lang w:val="en-CA"/>
              </w:rPr>
            </w:pPr>
            <w:r w:rsidRPr="005F3DC7">
              <w:rPr>
                <w:lang w:val="en-CA"/>
              </w:rPr>
              <w:t>HPMP values to reflect the revised agreement submitted to the 82</w:t>
            </w:r>
            <w:r w:rsidRPr="005F3DC7">
              <w:rPr>
                <w:vertAlign w:val="superscript"/>
                <w:lang w:val="en-CA"/>
              </w:rPr>
              <w:t>nd</w:t>
            </w:r>
            <w:r>
              <w:rPr>
                <w:lang w:val="en-CA"/>
              </w:rPr>
              <w:t> </w:t>
            </w:r>
            <w:r w:rsidRPr="005F3DC7">
              <w:rPr>
                <w:lang w:val="en-CA"/>
              </w:rPr>
              <w:t>meeting</w:t>
            </w:r>
          </w:p>
        </w:tc>
        <w:tc>
          <w:tcPr>
            <w:tcW w:w="1314" w:type="dxa"/>
          </w:tcPr>
          <w:p w14:paraId="6B83B8D3" w14:textId="77777777" w:rsidR="00BE78FD" w:rsidRPr="005F3DC7" w:rsidRDefault="00BE78FD" w:rsidP="00E00CF1">
            <w:pPr>
              <w:jc w:val="right"/>
              <w:rPr>
                <w:lang w:val="en-CA"/>
              </w:rPr>
            </w:pPr>
            <w:r w:rsidRPr="005F3DC7">
              <w:rPr>
                <w:lang w:val="en-CA"/>
              </w:rPr>
              <w:t>0</w:t>
            </w:r>
          </w:p>
        </w:tc>
        <w:tc>
          <w:tcPr>
            <w:tcW w:w="1314" w:type="dxa"/>
          </w:tcPr>
          <w:p w14:paraId="37565FED" w14:textId="77777777" w:rsidR="00BE78FD" w:rsidRPr="005F3DC7" w:rsidRDefault="00BE78FD" w:rsidP="00E00CF1">
            <w:pPr>
              <w:jc w:val="right"/>
              <w:rPr>
                <w:lang w:val="en-CA"/>
              </w:rPr>
            </w:pPr>
            <w:r w:rsidRPr="005F3DC7">
              <w:rPr>
                <w:lang w:val="en-CA"/>
              </w:rPr>
              <w:t>15,008</w:t>
            </w:r>
          </w:p>
        </w:tc>
      </w:tr>
      <w:tr w:rsidR="00BE78FD" w:rsidRPr="005F3DC7" w14:paraId="77EFAFBF" w14:textId="77777777" w:rsidTr="008267E8">
        <w:tc>
          <w:tcPr>
            <w:tcW w:w="6722" w:type="dxa"/>
          </w:tcPr>
          <w:p w14:paraId="42B4DB27" w14:textId="77777777" w:rsidR="00BE78FD" w:rsidRPr="005F3DC7" w:rsidRDefault="00BE78FD" w:rsidP="00E00CF1">
            <w:pPr>
              <w:rPr>
                <w:lang w:val="en-CA"/>
              </w:rPr>
            </w:pPr>
            <w:r w:rsidRPr="005F3DC7">
              <w:rPr>
                <w:lang w:val="en-CA"/>
              </w:rPr>
              <w:t xml:space="preserve">Stage II of HPPMP starting in 2019 as per decision </w:t>
            </w:r>
            <w:r w:rsidRPr="005F3DC7">
              <w:t>69/28(e)</w:t>
            </w:r>
          </w:p>
        </w:tc>
        <w:tc>
          <w:tcPr>
            <w:tcW w:w="1314" w:type="dxa"/>
          </w:tcPr>
          <w:p w14:paraId="2F4831B9" w14:textId="77777777" w:rsidR="00BE78FD" w:rsidRPr="005F3DC7" w:rsidRDefault="00BE78FD" w:rsidP="00E00CF1">
            <w:pPr>
              <w:jc w:val="right"/>
              <w:rPr>
                <w:lang w:val="en-CA"/>
              </w:rPr>
            </w:pPr>
            <w:r>
              <w:rPr>
                <w:lang w:val="en-CA"/>
              </w:rPr>
              <w:t>(</w:t>
            </w:r>
            <w:r w:rsidRPr="005F3DC7">
              <w:rPr>
                <w:lang w:val="en-CA"/>
              </w:rPr>
              <w:t>16,946</w:t>
            </w:r>
            <w:r>
              <w:rPr>
                <w:lang w:val="en-CA"/>
              </w:rPr>
              <w:t>)</w:t>
            </w:r>
          </w:p>
        </w:tc>
        <w:tc>
          <w:tcPr>
            <w:tcW w:w="1314" w:type="dxa"/>
          </w:tcPr>
          <w:p w14:paraId="7FA855C7" w14:textId="77777777" w:rsidR="00BE78FD" w:rsidRPr="005F3DC7" w:rsidRDefault="00BE78FD" w:rsidP="00E00CF1">
            <w:pPr>
              <w:jc w:val="right"/>
              <w:rPr>
                <w:lang w:val="en-CA"/>
              </w:rPr>
            </w:pPr>
            <w:r w:rsidRPr="005F3DC7">
              <w:rPr>
                <w:lang w:val="en-CA"/>
              </w:rPr>
              <w:t>69,405</w:t>
            </w:r>
          </w:p>
        </w:tc>
      </w:tr>
      <w:tr w:rsidR="00BE78FD" w:rsidRPr="005F3DC7" w14:paraId="39C69C07" w14:textId="77777777" w:rsidTr="008267E8">
        <w:tc>
          <w:tcPr>
            <w:tcW w:w="6722" w:type="dxa"/>
          </w:tcPr>
          <w:p w14:paraId="4136275A" w14:textId="77777777" w:rsidR="00BE78FD" w:rsidRPr="005F3DC7" w:rsidRDefault="00BE78FD" w:rsidP="00E00CF1">
            <w:pPr>
              <w:rPr>
                <w:lang w:val="en-CA"/>
              </w:rPr>
            </w:pPr>
            <w:r w:rsidRPr="005F3DC7">
              <w:t>Technology demonstration of HFC-23 by-product conversion activities have been removed in line with decision 79/47(g)</w:t>
            </w:r>
          </w:p>
        </w:tc>
        <w:tc>
          <w:tcPr>
            <w:tcW w:w="1314" w:type="dxa"/>
          </w:tcPr>
          <w:p w14:paraId="55907000" w14:textId="77777777" w:rsidR="00BE78FD" w:rsidRPr="005F3DC7" w:rsidRDefault="00BE78FD" w:rsidP="00E00CF1">
            <w:pPr>
              <w:jc w:val="right"/>
              <w:rPr>
                <w:lang w:val="en-CA"/>
              </w:rPr>
            </w:pPr>
            <w:r>
              <w:rPr>
                <w:lang w:val="en-CA"/>
              </w:rPr>
              <w:t>(</w:t>
            </w:r>
            <w:r w:rsidRPr="005F3DC7">
              <w:rPr>
                <w:lang w:val="en-CA"/>
              </w:rPr>
              <w:t>10,180</w:t>
            </w:r>
            <w:r>
              <w:rPr>
                <w:lang w:val="en-CA"/>
              </w:rPr>
              <w:t>)</w:t>
            </w:r>
          </w:p>
        </w:tc>
        <w:tc>
          <w:tcPr>
            <w:tcW w:w="1314" w:type="dxa"/>
          </w:tcPr>
          <w:p w14:paraId="212594B5" w14:textId="77777777" w:rsidR="00BE78FD" w:rsidRPr="005F3DC7" w:rsidRDefault="00BE78FD" w:rsidP="00E00CF1">
            <w:pPr>
              <w:jc w:val="right"/>
              <w:rPr>
                <w:lang w:val="en-CA"/>
              </w:rPr>
            </w:pPr>
            <w:r w:rsidRPr="005F3DC7">
              <w:rPr>
                <w:lang w:val="en-CA"/>
              </w:rPr>
              <w:t>0</w:t>
            </w:r>
          </w:p>
        </w:tc>
      </w:tr>
      <w:tr w:rsidR="00BE78FD" w:rsidRPr="005F3DC7" w14:paraId="67645A7B" w14:textId="77777777" w:rsidTr="008267E8">
        <w:tc>
          <w:tcPr>
            <w:tcW w:w="6722" w:type="dxa"/>
          </w:tcPr>
          <w:p w14:paraId="135C7BD5" w14:textId="77777777" w:rsidR="00BE78FD" w:rsidRPr="005F3DC7" w:rsidRDefault="00BE78FD" w:rsidP="00E00CF1">
            <w:pPr>
              <w:rPr>
                <w:lang w:val="en-CA"/>
              </w:rPr>
            </w:pPr>
            <w:r>
              <w:rPr>
                <w:lang w:val="en-CA"/>
              </w:rPr>
              <w:t>IS</w:t>
            </w:r>
            <w:r w:rsidRPr="005F3DC7">
              <w:rPr>
                <w:lang w:val="en-CA"/>
              </w:rPr>
              <w:t xml:space="preserve"> with values after 2021 have been removed</w:t>
            </w:r>
          </w:p>
        </w:tc>
        <w:tc>
          <w:tcPr>
            <w:tcW w:w="1314" w:type="dxa"/>
          </w:tcPr>
          <w:p w14:paraId="5E075233" w14:textId="77777777" w:rsidR="00BE78FD" w:rsidRPr="005F3DC7" w:rsidRDefault="00BE78FD" w:rsidP="00E00CF1">
            <w:pPr>
              <w:jc w:val="right"/>
              <w:rPr>
                <w:lang w:val="en-CA"/>
              </w:rPr>
            </w:pPr>
            <w:r w:rsidRPr="005F3DC7">
              <w:rPr>
                <w:lang w:val="en-CA"/>
              </w:rPr>
              <w:t>0</w:t>
            </w:r>
          </w:p>
        </w:tc>
        <w:tc>
          <w:tcPr>
            <w:tcW w:w="1314" w:type="dxa"/>
          </w:tcPr>
          <w:p w14:paraId="59E954BA" w14:textId="77777777" w:rsidR="00BE78FD" w:rsidRPr="005F3DC7" w:rsidRDefault="00BE78FD" w:rsidP="00E00CF1">
            <w:pPr>
              <w:jc w:val="right"/>
              <w:rPr>
                <w:lang w:val="en-CA"/>
              </w:rPr>
            </w:pPr>
            <w:r w:rsidRPr="005F3DC7">
              <w:rPr>
                <w:lang w:val="en-CA"/>
              </w:rPr>
              <w:t>-677</w:t>
            </w:r>
          </w:p>
        </w:tc>
      </w:tr>
    </w:tbl>
    <w:p w14:paraId="0FF004A4" w14:textId="77777777" w:rsidR="00BE78FD" w:rsidRPr="005F3DC7" w:rsidRDefault="00BE78FD" w:rsidP="00BE78FD">
      <w:pPr>
        <w:pStyle w:val="Heading1"/>
        <w:numPr>
          <w:ilvl w:val="0"/>
          <w:numId w:val="0"/>
        </w:numPr>
        <w:spacing w:after="0"/>
      </w:pPr>
    </w:p>
    <w:p w14:paraId="05EEC6E5" w14:textId="77777777" w:rsidR="00BE78FD" w:rsidRPr="005F3DC7" w:rsidRDefault="00BE78FD" w:rsidP="00BE78FD">
      <w:pPr>
        <w:pStyle w:val="Heading1"/>
        <w:rPr>
          <w:lang w:val="en-CA"/>
        </w:rPr>
      </w:pPr>
      <w:r w:rsidRPr="005F3DC7">
        <w:t>Table 4 presents the results of the Secretariat’s proposed adjustments to the World Bank business plan for 2019</w:t>
      </w:r>
      <w:r>
        <w:t>–</w:t>
      </w:r>
      <w:r w:rsidRPr="005F3DC7">
        <w:t xml:space="preserve">2021, which are also addressed in the context of the </w:t>
      </w:r>
      <w:r w:rsidRPr="005F3DC7">
        <w:rPr>
          <w:lang w:val="en-CA"/>
        </w:rPr>
        <w:t>Consolidated business plan of the Multilateral Fund for 2019</w:t>
      </w:r>
      <w:r>
        <w:t>–</w:t>
      </w:r>
      <w:r w:rsidRPr="005F3DC7">
        <w:rPr>
          <w:lang w:val="en-CA"/>
        </w:rPr>
        <w:t>2021</w:t>
      </w:r>
      <w:r w:rsidRPr="005F3DC7">
        <w:rPr>
          <w:rStyle w:val="FootnoteReference"/>
        </w:rPr>
        <w:footnoteReference w:id="6"/>
      </w:r>
      <w:r w:rsidRPr="005F3DC7">
        <w:t>.</w:t>
      </w:r>
    </w:p>
    <w:p w14:paraId="34510553" w14:textId="77777777" w:rsidR="00BE78FD" w:rsidRPr="005F3DC7" w:rsidRDefault="00BE78FD" w:rsidP="00BE78FD">
      <w:pPr>
        <w:pStyle w:val="Heading1"/>
        <w:numPr>
          <w:ilvl w:val="0"/>
          <w:numId w:val="0"/>
        </w:numPr>
        <w:spacing w:after="0"/>
        <w:rPr>
          <w:b/>
          <w:lang w:val="en-CA"/>
        </w:rPr>
      </w:pPr>
      <w:r w:rsidRPr="005F3DC7">
        <w:rPr>
          <w:b/>
        </w:rPr>
        <w:t xml:space="preserve">Table 4: </w:t>
      </w:r>
      <w:r w:rsidRPr="005F3DC7">
        <w:rPr>
          <w:b/>
          <w:lang w:val="en-CA"/>
        </w:rPr>
        <w:t>Resource allocation in the World Bank’s adjusted business plan for 2019</w:t>
      </w:r>
      <w:r w:rsidRPr="00205FC4">
        <w:rPr>
          <w:b/>
        </w:rPr>
        <w:t>–</w:t>
      </w:r>
      <w:r w:rsidRPr="005F3DC7">
        <w:rPr>
          <w:b/>
          <w:lang w:val="en-CA"/>
        </w:rPr>
        <w:t>2021 (US $000</w:t>
      </w:r>
      <w:proofErr w:type="gramStart"/>
      <w:r w:rsidRPr="005F3DC7">
        <w:rPr>
          <w:b/>
          <w:lang w:val="en-CA"/>
        </w:rPr>
        <w:t>s)*</w:t>
      </w:r>
      <w:proofErr w:type="gramEnd"/>
    </w:p>
    <w:tbl>
      <w:tblPr>
        <w:tblW w:w="9493" w:type="dxa"/>
        <w:tblLayout w:type="fixed"/>
        <w:tblLook w:val="04A0" w:firstRow="1" w:lastRow="0" w:firstColumn="1" w:lastColumn="0" w:noHBand="0" w:noVBand="1"/>
      </w:tblPr>
      <w:tblGrid>
        <w:gridCol w:w="3256"/>
        <w:gridCol w:w="1134"/>
        <w:gridCol w:w="1275"/>
        <w:gridCol w:w="1276"/>
        <w:gridCol w:w="1304"/>
        <w:gridCol w:w="1248"/>
      </w:tblGrid>
      <w:tr w:rsidR="00BE78FD" w:rsidRPr="005F3DC7" w14:paraId="66822DA0" w14:textId="77777777" w:rsidTr="00205FC4">
        <w:trPr>
          <w:trHeight w:val="236"/>
        </w:trPr>
        <w:tc>
          <w:tcPr>
            <w:tcW w:w="3256" w:type="dxa"/>
            <w:tcBorders>
              <w:top w:val="single" w:sz="4" w:space="0" w:color="auto"/>
              <w:left w:val="single" w:sz="4" w:space="0" w:color="auto"/>
              <w:bottom w:val="single" w:sz="4" w:space="0" w:color="auto"/>
              <w:right w:val="single" w:sz="4" w:space="0" w:color="auto"/>
            </w:tcBorders>
            <w:shd w:val="clear" w:color="auto" w:fill="auto"/>
            <w:noWrap/>
            <w:hideMark/>
          </w:tcPr>
          <w:p w14:paraId="23461B98" w14:textId="77777777" w:rsidR="00BE78FD" w:rsidRPr="005F3DC7" w:rsidRDefault="00BE78FD" w:rsidP="00E00CF1">
            <w:pPr>
              <w:jc w:val="left"/>
              <w:rPr>
                <w:b/>
                <w:bCs/>
                <w:sz w:val="20"/>
                <w:szCs w:val="20"/>
                <w:lang w:val="en-CA" w:eastAsia="en-CA"/>
              </w:rPr>
            </w:pPr>
            <w:r w:rsidRPr="005F3DC7">
              <w:rPr>
                <w:b/>
                <w:bCs/>
                <w:sz w:val="20"/>
                <w:szCs w:val="20"/>
                <w:lang w:val="en-CA" w:eastAsia="en-CA"/>
              </w:rPr>
              <w:t> </w:t>
            </w:r>
          </w:p>
        </w:tc>
        <w:tc>
          <w:tcPr>
            <w:tcW w:w="1134" w:type="dxa"/>
            <w:tcBorders>
              <w:top w:val="single" w:sz="4" w:space="0" w:color="auto"/>
              <w:left w:val="nil"/>
              <w:bottom w:val="single" w:sz="4" w:space="0" w:color="auto"/>
              <w:right w:val="single" w:sz="4" w:space="0" w:color="auto"/>
            </w:tcBorders>
            <w:shd w:val="clear" w:color="auto" w:fill="auto"/>
            <w:hideMark/>
          </w:tcPr>
          <w:p w14:paraId="539D52E9" w14:textId="77777777" w:rsidR="00BE78FD" w:rsidRPr="005F3DC7" w:rsidRDefault="00BE78FD" w:rsidP="00E00CF1">
            <w:pPr>
              <w:jc w:val="center"/>
              <w:rPr>
                <w:b/>
                <w:bCs/>
                <w:sz w:val="20"/>
                <w:szCs w:val="20"/>
                <w:lang w:val="en-CA" w:eastAsia="en-CA"/>
              </w:rPr>
            </w:pPr>
            <w:r w:rsidRPr="005F3DC7">
              <w:rPr>
                <w:b/>
                <w:bCs/>
                <w:sz w:val="20"/>
                <w:szCs w:val="20"/>
                <w:lang w:val="en-CA" w:eastAsia="en-CA"/>
              </w:rPr>
              <w:t>2019</w:t>
            </w:r>
          </w:p>
        </w:tc>
        <w:tc>
          <w:tcPr>
            <w:tcW w:w="1275" w:type="dxa"/>
            <w:tcBorders>
              <w:top w:val="single" w:sz="4" w:space="0" w:color="auto"/>
              <w:left w:val="nil"/>
              <w:bottom w:val="single" w:sz="4" w:space="0" w:color="auto"/>
              <w:right w:val="single" w:sz="4" w:space="0" w:color="auto"/>
            </w:tcBorders>
            <w:shd w:val="clear" w:color="auto" w:fill="auto"/>
            <w:hideMark/>
          </w:tcPr>
          <w:p w14:paraId="5582936E" w14:textId="77777777" w:rsidR="00BE78FD" w:rsidRPr="005F3DC7" w:rsidRDefault="00BE78FD" w:rsidP="00E00CF1">
            <w:pPr>
              <w:jc w:val="center"/>
              <w:rPr>
                <w:b/>
                <w:bCs/>
                <w:sz w:val="20"/>
                <w:szCs w:val="20"/>
                <w:lang w:val="en-CA" w:eastAsia="en-CA"/>
              </w:rPr>
            </w:pPr>
            <w:r w:rsidRPr="005F3DC7">
              <w:rPr>
                <w:b/>
                <w:bCs/>
                <w:sz w:val="20"/>
                <w:szCs w:val="20"/>
                <w:lang w:val="en-CA" w:eastAsia="en-CA"/>
              </w:rPr>
              <w:t>2020</w:t>
            </w:r>
          </w:p>
        </w:tc>
        <w:tc>
          <w:tcPr>
            <w:tcW w:w="1276" w:type="dxa"/>
            <w:tcBorders>
              <w:top w:val="single" w:sz="4" w:space="0" w:color="auto"/>
              <w:left w:val="nil"/>
              <w:bottom w:val="single" w:sz="4" w:space="0" w:color="auto"/>
              <w:right w:val="single" w:sz="4" w:space="0" w:color="auto"/>
            </w:tcBorders>
            <w:shd w:val="clear" w:color="auto" w:fill="auto"/>
            <w:hideMark/>
          </w:tcPr>
          <w:p w14:paraId="0D5EB430" w14:textId="77777777" w:rsidR="00BE78FD" w:rsidRPr="005F3DC7" w:rsidRDefault="00BE78FD" w:rsidP="00E00CF1">
            <w:pPr>
              <w:jc w:val="center"/>
              <w:rPr>
                <w:b/>
                <w:bCs/>
                <w:sz w:val="20"/>
                <w:szCs w:val="20"/>
                <w:lang w:val="en-CA" w:eastAsia="en-CA"/>
              </w:rPr>
            </w:pPr>
            <w:r w:rsidRPr="005F3DC7">
              <w:rPr>
                <w:b/>
                <w:bCs/>
                <w:sz w:val="20"/>
                <w:szCs w:val="20"/>
                <w:lang w:val="en-CA" w:eastAsia="en-CA"/>
              </w:rPr>
              <w:t>2021</w:t>
            </w:r>
          </w:p>
        </w:tc>
        <w:tc>
          <w:tcPr>
            <w:tcW w:w="1304" w:type="dxa"/>
            <w:tcBorders>
              <w:top w:val="single" w:sz="4" w:space="0" w:color="auto"/>
              <w:left w:val="nil"/>
              <w:bottom w:val="single" w:sz="4" w:space="0" w:color="auto"/>
              <w:right w:val="single" w:sz="4" w:space="0" w:color="auto"/>
            </w:tcBorders>
            <w:shd w:val="clear" w:color="auto" w:fill="auto"/>
            <w:hideMark/>
          </w:tcPr>
          <w:p w14:paraId="05334505" w14:textId="77777777" w:rsidR="00BE78FD" w:rsidRPr="005F3DC7" w:rsidRDefault="00BE78FD" w:rsidP="00E00CF1">
            <w:pPr>
              <w:jc w:val="center"/>
              <w:rPr>
                <w:b/>
                <w:bCs/>
                <w:sz w:val="20"/>
                <w:szCs w:val="20"/>
                <w:lang w:val="en-CA" w:eastAsia="en-CA"/>
              </w:rPr>
            </w:pPr>
            <w:r w:rsidRPr="005F3DC7">
              <w:rPr>
                <w:b/>
                <w:bCs/>
                <w:sz w:val="20"/>
                <w:szCs w:val="20"/>
                <w:lang w:val="en-CA" w:eastAsia="en-CA"/>
              </w:rPr>
              <w:t xml:space="preserve">Total </w:t>
            </w:r>
          </w:p>
          <w:p w14:paraId="1AEB9168" w14:textId="77777777" w:rsidR="00BE78FD" w:rsidRPr="005F3DC7" w:rsidRDefault="00BE78FD" w:rsidP="00E00CF1">
            <w:pPr>
              <w:jc w:val="center"/>
              <w:rPr>
                <w:b/>
                <w:bCs/>
                <w:sz w:val="20"/>
                <w:szCs w:val="20"/>
                <w:lang w:val="en-CA" w:eastAsia="en-CA"/>
              </w:rPr>
            </w:pPr>
            <w:r w:rsidRPr="005F3DC7">
              <w:rPr>
                <w:b/>
                <w:bCs/>
                <w:sz w:val="20"/>
                <w:szCs w:val="20"/>
                <w:lang w:val="en-CA" w:eastAsia="en-CA"/>
              </w:rPr>
              <w:t>(2019</w:t>
            </w:r>
            <w:r w:rsidRPr="00205FC4">
              <w:rPr>
                <w:b/>
                <w:bCs/>
                <w:sz w:val="20"/>
                <w:szCs w:val="20"/>
                <w:lang w:val="en-CA" w:eastAsia="en-CA"/>
              </w:rPr>
              <w:t>–</w:t>
            </w:r>
            <w:r w:rsidRPr="005F3DC7">
              <w:rPr>
                <w:b/>
                <w:bCs/>
                <w:sz w:val="20"/>
                <w:szCs w:val="20"/>
                <w:lang w:val="en-CA" w:eastAsia="en-CA"/>
              </w:rPr>
              <w:t>2021)</w:t>
            </w:r>
          </w:p>
        </w:tc>
        <w:tc>
          <w:tcPr>
            <w:tcW w:w="1248" w:type="dxa"/>
            <w:tcBorders>
              <w:top w:val="single" w:sz="4" w:space="0" w:color="auto"/>
              <w:left w:val="nil"/>
              <w:bottom w:val="single" w:sz="4" w:space="0" w:color="auto"/>
              <w:right w:val="single" w:sz="4" w:space="0" w:color="auto"/>
            </w:tcBorders>
            <w:shd w:val="clear" w:color="auto" w:fill="auto"/>
            <w:hideMark/>
          </w:tcPr>
          <w:p w14:paraId="5A360C49" w14:textId="77777777" w:rsidR="00BE78FD" w:rsidRPr="005F3DC7" w:rsidRDefault="00BE78FD" w:rsidP="00E00CF1">
            <w:pPr>
              <w:jc w:val="center"/>
              <w:rPr>
                <w:b/>
                <w:bCs/>
                <w:sz w:val="20"/>
                <w:szCs w:val="20"/>
                <w:lang w:val="en-CA" w:eastAsia="en-CA"/>
              </w:rPr>
            </w:pPr>
            <w:r w:rsidRPr="005F3DC7">
              <w:rPr>
                <w:b/>
                <w:bCs/>
                <w:sz w:val="20"/>
                <w:szCs w:val="20"/>
                <w:lang w:val="en-CA" w:eastAsia="en-CA"/>
              </w:rPr>
              <w:t>Total after 2021</w:t>
            </w:r>
          </w:p>
        </w:tc>
      </w:tr>
      <w:tr w:rsidR="00BE78FD" w:rsidRPr="005F3DC7" w14:paraId="1BA8B681" w14:textId="77777777" w:rsidTr="00205FC4">
        <w:trPr>
          <w:trHeight w:val="264"/>
        </w:trPr>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B1D3C8D" w14:textId="77777777" w:rsidR="00BE78FD" w:rsidRPr="005F3DC7" w:rsidRDefault="00BE78FD" w:rsidP="00E00CF1">
            <w:pPr>
              <w:jc w:val="left"/>
              <w:rPr>
                <w:b/>
                <w:bCs/>
                <w:sz w:val="20"/>
                <w:szCs w:val="20"/>
                <w:lang w:val="en-CA" w:eastAsia="en-CA"/>
              </w:rPr>
            </w:pPr>
            <w:r w:rsidRPr="005F3DC7">
              <w:rPr>
                <w:b/>
                <w:bCs/>
                <w:sz w:val="20"/>
                <w:szCs w:val="20"/>
                <w:lang w:val="en-CA" w:eastAsia="en-CA"/>
              </w:rPr>
              <w:t>Required for compliance</w:t>
            </w:r>
          </w:p>
        </w:tc>
      </w:tr>
      <w:tr w:rsidR="00BE78FD" w:rsidRPr="005F3DC7" w14:paraId="7FAE29B5" w14:textId="77777777" w:rsidTr="00205FC4">
        <w:trPr>
          <w:trHeight w:val="264"/>
        </w:trPr>
        <w:tc>
          <w:tcPr>
            <w:tcW w:w="3256" w:type="dxa"/>
            <w:tcBorders>
              <w:top w:val="nil"/>
              <w:left w:val="single" w:sz="4" w:space="0" w:color="auto"/>
              <w:bottom w:val="single" w:sz="4" w:space="0" w:color="auto"/>
              <w:right w:val="single" w:sz="4" w:space="0" w:color="auto"/>
            </w:tcBorders>
            <w:shd w:val="clear" w:color="auto" w:fill="auto"/>
            <w:noWrap/>
            <w:hideMark/>
          </w:tcPr>
          <w:p w14:paraId="326E3F11" w14:textId="77777777" w:rsidR="00BE78FD" w:rsidRPr="005F3DC7" w:rsidRDefault="00BE78FD" w:rsidP="00E00CF1">
            <w:pPr>
              <w:jc w:val="left"/>
              <w:rPr>
                <w:sz w:val="20"/>
                <w:szCs w:val="20"/>
                <w:lang w:val="en-CA" w:eastAsia="en-CA"/>
              </w:rPr>
            </w:pPr>
            <w:r w:rsidRPr="005F3DC7">
              <w:rPr>
                <w:sz w:val="20"/>
                <w:szCs w:val="20"/>
                <w:lang w:val="en-CA" w:eastAsia="en-CA"/>
              </w:rPr>
              <w:t>Approved HPMPs</w:t>
            </w:r>
          </w:p>
        </w:tc>
        <w:tc>
          <w:tcPr>
            <w:tcW w:w="1134" w:type="dxa"/>
            <w:tcBorders>
              <w:top w:val="nil"/>
              <w:left w:val="nil"/>
              <w:bottom w:val="single" w:sz="4" w:space="0" w:color="auto"/>
              <w:right w:val="single" w:sz="4" w:space="0" w:color="auto"/>
            </w:tcBorders>
            <w:shd w:val="clear" w:color="auto" w:fill="auto"/>
            <w:noWrap/>
            <w:hideMark/>
          </w:tcPr>
          <w:p w14:paraId="4A763E99" w14:textId="77777777" w:rsidR="00BE78FD" w:rsidRPr="005F3DC7" w:rsidRDefault="00BE78FD" w:rsidP="00E00CF1">
            <w:pPr>
              <w:jc w:val="right"/>
              <w:rPr>
                <w:sz w:val="20"/>
                <w:szCs w:val="20"/>
                <w:lang w:val="en-CA" w:eastAsia="en-CA"/>
              </w:rPr>
            </w:pPr>
            <w:r w:rsidRPr="005F3DC7">
              <w:rPr>
                <w:sz w:val="20"/>
                <w:szCs w:val="20"/>
                <w:lang w:val="en-CA" w:eastAsia="en-CA"/>
              </w:rPr>
              <w:t>30,735</w:t>
            </w:r>
          </w:p>
        </w:tc>
        <w:tc>
          <w:tcPr>
            <w:tcW w:w="1275" w:type="dxa"/>
            <w:tcBorders>
              <w:top w:val="nil"/>
              <w:left w:val="nil"/>
              <w:bottom w:val="single" w:sz="4" w:space="0" w:color="auto"/>
              <w:right w:val="single" w:sz="4" w:space="0" w:color="auto"/>
            </w:tcBorders>
            <w:shd w:val="clear" w:color="auto" w:fill="auto"/>
            <w:noWrap/>
            <w:hideMark/>
          </w:tcPr>
          <w:p w14:paraId="354C621A" w14:textId="77777777" w:rsidR="00BE78FD" w:rsidRPr="005F3DC7" w:rsidRDefault="00BE78FD" w:rsidP="00E00CF1">
            <w:pPr>
              <w:jc w:val="right"/>
              <w:rPr>
                <w:sz w:val="20"/>
                <w:szCs w:val="20"/>
                <w:lang w:val="en-CA" w:eastAsia="en-CA"/>
              </w:rPr>
            </w:pPr>
            <w:r w:rsidRPr="005F3DC7">
              <w:rPr>
                <w:sz w:val="20"/>
                <w:szCs w:val="20"/>
                <w:lang w:val="en-CA" w:eastAsia="en-CA"/>
              </w:rPr>
              <w:t>29,556</w:t>
            </w:r>
          </w:p>
        </w:tc>
        <w:tc>
          <w:tcPr>
            <w:tcW w:w="1276" w:type="dxa"/>
            <w:tcBorders>
              <w:top w:val="nil"/>
              <w:left w:val="nil"/>
              <w:bottom w:val="single" w:sz="4" w:space="0" w:color="auto"/>
              <w:right w:val="single" w:sz="4" w:space="0" w:color="auto"/>
            </w:tcBorders>
            <w:shd w:val="clear" w:color="auto" w:fill="auto"/>
            <w:noWrap/>
            <w:hideMark/>
          </w:tcPr>
          <w:p w14:paraId="4E5C5636" w14:textId="77777777" w:rsidR="00BE78FD" w:rsidRPr="005F3DC7" w:rsidRDefault="00BE78FD" w:rsidP="00E00CF1">
            <w:pPr>
              <w:jc w:val="right"/>
              <w:rPr>
                <w:sz w:val="20"/>
                <w:szCs w:val="20"/>
                <w:lang w:val="en-CA" w:eastAsia="en-CA"/>
              </w:rPr>
            </w:pPr>
            <w:r w:rsidRPr="005F3DC7">
              <w:rPr>
                <w:sz w:val="20"/>
                <w:szCs w:val="20"/>
                <w:lang w:val="en-CA" w:eastAsia="en-CA"/>
              </w:rPr>
              <w:t>24,128</w:t>
            </w:r>
          </w:p>
        </w:tc>
        <w:tc>
          <w:tcPr>
            <w:tcW w:w="1304" w:type="dxa"/>
            <w:tcBorders>
              <w:top w:val="nil"/>
              <w:left w:val="nil"/>
              <w:bottom w:val="single" w:sz="4" w:space="0" w:color="auto"/>
              <w:right w:val="single" w:sz="4" w:space="0" w:color="auto"/>
            </w:tcBorders>
            <w:shd w:val="clear" w:color="auto" w:fill="auto"/>
            <w:noWrap/>
            <w:hideMark/>
          </w:tcPr>
          <w:p w14:paraId="47643C7E" w14:textId="77777777" w:rsidR="00BE78FD" w:rsidRPr="005F3DC7" w:rsidRDefault="00BE78FD" w:rsidP="00E00CF1">
            <w:pPr>
              <w:jc w:val="right"/>
              <w:rPr>
                <w:sz w:val="20"/>
                <w:szCs w:val="20"/>
                <w:lang w:val="en-CA" w:eastAsia="en-CA"/>
              </w:rPr>
            </w:pPr>
            <w:r w:rsidRPr="005F3DC7">
              <w:rPr>
                <w:sz w:val="20"/>
                <w:szCs w:val="20"/>
                <w:lang w:val="en-CA" w:eastAsia="en-CA"/>
              </w:rPr>
              <w:t>84,419</w:t>
            </w:r>
          </w:p>
        </w:tc>
        <w:tc>
          <w:tcPr>
            <w:tcW w:w="1248" w:type="dxa"/>
            <w:tcBorders>
              <w:top w:val="nil"/>
              <w:left w:val="nil"/>
              <w:bottom w:val="single" w:sz="4" w:space="0" w:color="auto"/>
              <w:right w:val="single" w:sz="4" w:space="0" w:color="auto"/>
            </w:tcBorders>
            <w:shd w:val="clear" w:color="auto" w:fill="auto"/>
            <w:noWrap/>
            <w:hideMark/>
          </w:tcPr>
          <w:p w14:paraId="6B7196AC" w14:textId="77777777" w:rsidR="00BE78FD" w:rsidRPr="005F3DC7" w:rsidRDefault="00BE78FD" w:rsidP="00E00CF1">
            <w:pPr>
              <w:jc w:val="right"/>
              <w:rPr>
                <w:sz w:val="20"/>
                <w:szCs w:val="20"/>
                <w:lang w:val="en-CA" w:eastAsia="en-CA"/>
              </w:rPr>
            </w:pPr>
            <w:r w:rsidRPr="005F3DC7">
              <w:rPr>
                <w:sz w:val="20"/>
                <w:szCs w:val="20"/>
                <w:lang w:val="en-CA" w:eastAsia="en-CA"/>
              </w:rPr>
              <w:t>78,994</w:t>
            </w:r>
          </w:p>
        </w:tc>
      </w:tr>
      <w:tr w:rsidR="00BE78FD" w:rsidRPr="005F3DC7" w14:paraId="57DDF696" w14:textId="77777777" w:rsidTr="00205FC4">
        <w:trPr>
          <w:trHeight w:val="264"/>
        </w:trPr>
        <w:tc>
          <w:tcPr>
            <w:tcW w:w="3256" w:type="dxa"/>
            <w:tcBorders>
              <w:top w:val="nil"/>
              <w:left w:val="single" w:sz="4" w:space="0" w:color="auto"/>
              <w:bottom w:val="single" w:sz="4" w:space="0" w:color="auto"/>
              <w:right w:val="single" w:sz="4" w:space="0" w:color="auto"/>
            </w:tcBorders>
            <w:shd w:val="clear" w:color="auto" w:fill="auto"/>
            <w:noWrap/>
            <w:hideMark/>
          </w:tcPr>
          <w:p w14:paraId="5783143E" w14:textId="77777777" w:rsidR="00BE78FD" w:rsidRPr="005F3DC7" w:rsidRDefault="00BE78FD" w:rsidP="00E00CF1">
            <w:pPr>
              <w:jc w:val="left"/>
              <w:rPr>
                <w:sz w:val="20"/>
                <w:szCs w:val="20"/>
                <w:lang w:val="en-CA" w:eastAsia="en-CA"/>
              </w:rPr>
            </w:pPr>
            <w:r w:rsidRPr="005F3DC7">
              <w:rPr>
                <w:sz w:val="20"/>
                <w:szCs w:val="20"/>
                <w:lang w:val="en-CA" w:eastAsia="en-CA"/>
              </w:rPr>
              <w:t>HCFC production - stage II</w:t>
            </w:r>
          </w:p>
        </w:tc>
        <w:tc>
          <w:tcPr>
            <w:tcW w:w="1134" w:type="dxa"/>
            <w:tcBorders>
              <w:top w:val="nil"/>
              <w:left w:val="nil"/>
              <w:bottom w:val="single" w:sz="4" w:space="0" w:color="auto"/>
              <w:right w:val="single" w:sz="4" w:space="0" w:color="auto"/>
            </w:tcBorders>
            <w:shd w:val="clear" w:color="auto" w:fill="auto"/>
            <w:noWrap/>
            <w:hideMark/>
          </w:tcPr>
          <w:p w14:paraId="5AAC625E" w14:textId="77777777" w:rsidR="00BE78FD" w:rsidRPr="005F3DC7" w:rsidRDefault="00BE78FD" w:rsidP="00E00CF1">
            <w:pPr>
              <w:jc w:val="right"/>
              <w:rPr>
                <w:sz w:val="20"/>
                <w:szCs w:val="20"/>
                <w:lang w:val="en-CA" w:eastAsia="en-CA"/>
              </w:rPr>
            </w:pPr>
            <w:r w:rsidRPr="005F3DC7">
              <w:rPr>
                <w:sz w:val="20"/>
                <w:szCs w:val="20"/>
                <w:lang w:val="en-CA" w:eastAsia="en-CA"/>
              </w:rPr>
              <w:t>23,496</w:t>
            </w:r>
          </w:p>
        </w:tc>
        <w:tc>
          <w:tcPr>
            <w:tcW w:w="1275" w:type="dxa"/>
            <w:tcBorders>
              <w:top w:val="nil"/>
              <w:left w:val="nil"/>
              <w:bottom w:val="single" w:sz="4" w:space="0" w:color="auto"/>
              <w:right w:val="single" w:sz="4" w:space="0" w:color="auto"/>
            </w:tcBorders>
            <w:shd w:val="clear" w:color="auto" w:fill="auto"/>
            <w:noWrap/>
            <w:hideMark/>
          </w:tcPr>
          <w:p w14:paraId="224693CE" w14:textId="77777777" w:rsidR="00BE78FD" w:rsidRPr="005F3DC7" w:rsidRDefault="00BE78FD" w:rsidP="00E00CF1">
            <w:pPr>
              <w:jc w:val="right"/>
              <w:rPr>
                <w:sz w:val="20"/>
                <w:szCs w:val="20"/>
                <w:lang w:val="en-CA" w:eastAsia="en-CA"/>
              </w:rPr>
            </w:pPr>
            <w:r w:rsidRPr="005F3DC7">
              <w:rPr>
                <w:sz w:val="20"/>
                <w:szCs w:val="20"/>
                <w:lang w:val="en-CA" w:eastAsia="en-CA"/>
              </w:rPr>
              <w:t>23,496</w:t>
            </w:r>
          </w:p>
        </w:tc>
        <w:tc>
          <w:tcPr>
            <w:tcW w:w="1276" w:type="dxa"/>
            <w:tcBorders>
              <w:top w:val="nil"/>
              <w:left w:val="nil"/>
              <w:bottom w:val="single" w:sz="4" w:space="0" w:color="auto"/>
              <w:right w:val="single" w:sz="4" w:space="0" w:color="auto"/>
            </w:tcBorders>
            <w:shd w:val="clear" w:color="auto" w:fill="auto"/>
            <w:noWrap/>
            <w:hideMark/>
          </w:tcPr>
          <w:p w14:paraId="08A10FA5" w14:textId="77777777" w:rsidR="00BE78FD" w:rsidRPr="005F3DC7" w:rsidRDefault="00BE78FD" w:rsidP="00E00CF1">
            <w:pPr>
              <w:jc w:val="right"/>
              <w:rPr>
                <w:sz w:val="20"/>
                <w:szCs w:val="20"/>
                <w:lang w:val="en-CA" w:eastAsia="en-CA"/>
              </w:rPr>
            </w:pPr>
            <w:r w:rsidRPr="005F3DC7">
              <w:rPr>
                <w:sz w:val="20"/>
                <w:szCs w:val="20"/>
                <w:lang w:val="en-CA" w:eastAsia="en-CA"/>
              </w:rPr>
              <w:t>23,496</w:t>
            </w:r>
          </w:p>
        </w:tc>
        <w:tc>
          <w:tcPr>
            <w:tcW w:w="1304" w:type="dxa"/>
            <w:tcBorders>
              <w:top w:val="nil"/>
              <w:left w:val="nil"/>
              <w:bottom w:val="single" w:sz="4" w:space="0" w:color="auto"/>
              <w:right w:val="single" w:sz="4" w:space="0" w:color="auto"/>
            </w:tcBorders>
            <w:shd w:val="clear" w:color="auto" w:fill="auto"/>
            <w:noWrap/>
            <w:hideMark/>
          </w:tcPr>
          <w:p w14:paraId="25E1DD32" w14:textId="77777777" w:rsidR="00BE78FD" w:rsidRPr="005F3DC7" w:rsidRDefault="00BE78FD" w:rsidP="00E00CF1">
            <w:pPr>
              <w:jc w:val="right"/>
              <w:rPr>
                <w:sz w:val="20"/>
                <w:szCs w:val="20"/>
                <w:lang w:val="en-CA" w:eastAsia="en-CA"/>
              </w:rPr>
            </w:pPr>
            <w:r w:rsidRPr="005F3DC7">
              <w:rPr>
                <w:sz w:val="20"/>
                <w:szCs w:val="20"/>
                <w:lang w:val="en-CA" w:eastAsia="en-CA"/>
              </w:rPr>
              <w:t>70,488</w:t>
            </w:r>
          </w:p>
        </w:tc>
        <w:tc>
          <w:tcPr>
            <w:tcW w:w="1248" w:type="dxa"/>
            <w:tcBorders>
              <w:top w:val="nil"/>
              <w:left w:val="nil"/>
              <w:bottom w:val="single" w:sz="4" w:space="0" w:color="auto"/>
              <w:right w:val="single" w:sz="4" w:space="0" w:color="auto"/>
            </w:tcBorders>
            <w:shd w:val="clear" w:color="auto" w:fill="auto"/>
            <w:noWrap/>
            <w:hideMark/>
          </w:tcPr>
          <w:p w14:paraId="64EFA01A" w14:textId="77777777" w:rsidR="00BE78FD" w:rsidRPr="005F3DC7" w:rsidRDefault="00BE78FD" w:rsidP="00E00CF1">
            <w:pPr>
              <w:jc w:val="right"/>
              <w:rPr>
                <w:sz w:val="20"/>
                <w:szCs w:val="20"/>
                <w:lang w:val="en-CA" w:eastAsia="en-CA"/>
              </w:rPr>
            </w:pPr>
            <w:r w:rsidRPr="005F3DC7">
              <w:rPr>
                <w:sz w:val="20"/>
                <w:szCs w:val="20"/>
                <w:lang w:val="en-CA" w:eastAsia="en-CA"/>
              </w:rPr>
              <w:t>211,464</w:t>
            </w:r>
          </w:p>
        </w:tc>
      </w:tr>
      <w:tr w:rsidR="00BE78FD" w:rsidRPr="005F3DC7" w14:paraId="0C96187C" w14:textId="77777777" w:rsidTr="00205FC4">
        <w:trPr>
          <w:trHeight w:val="264"/>
        </w:trPr>
        <w:tc>
          <w:tcPr>
            <w:tcW w:w="3256" w:type="dxa"/>
            <w:tcBorders>
              <w:top w:val="nil"/>
              <w:left w:val="single" w:sz="4" w:space="0" w:color="auto"/>
              <w:bottom w:val="single" w:sz="4" w:space="0" w:color="auto"/>
              <w:right w:val="single" w:sz="4" w:space="0" w:color="auto"/>
            </w:tcBorders>
            <w:shd w:val="clear" w:color="auto" w:fill="auto"/>
            <w:noWrap/>
            <w:hideMark/>
          </w:tcPr>
          <w:p w14:paraId="7949BCF8" w14:textId="77777777" w:rsidR="00BE78FD" w:rsidRPr="005F3DC7" w:rsidRDefault="00BE78FD" w:rsidP="00E00CF1">
            <w:pPr>
              <w:jc w:val="left"/>
              <w:rPr>
                <w:sz w:val="20"/>
                <w:szCs w:val="20"/>
                <w:lang w:val="en-CA" w:eastAsia="en-CA"/>
              </w:rPr>
            </w:pPr>
            <w:r w:rsidRPr="005F3DC7">
              <w:rPr>
                <w:sz w:val="20"/>
                <w:szCs w:val="20"/>
                <w:lang w:val="en-CA" w:eastAsia="en-CA"/>
              </w:rPr>
              <w:t>HPMP stage II</w:t>
            </w:r>
          </w:p>
        </w:tc>
        <w:tc>
          <w:tcPr>
            <w:tcW w:w="1134" w:type="dxa"/>
            <w:tcBorders>
              <w:top w:val="nil"/>
              <w:left w:val="nil"/>
              <w:bottom w:val="single" w:sz="4" w:space="0" w:color="auto"/>
              <w:right w:val="single" w:sz="4" w:space="0" w:color="auto"/>
            </w:tcBorders>
            <w:shd w:val="clear" w:color="auto" w:fill="auto"/>
            <w:noWrap/>
            <w:hideMark/>
          </w:tcPr>
          <w:p w14:paraId="1CE36630" w14:textId="77777777" w:rsidR="00BE78FD" w:rsidRPr="005F3DC7" w:rsidRDefault="00BE78FD" w:rsidP="00E00CF1">
            <w:pPr>
              <w:jc w:val="right"/>
              <w:rPr>
                <w:sz w:val="20"/>
                <w:szCs w:val="20"/>
                <w:lang w:val="en-CA" w:eastAsia="en-CA"/>
              </w:rPr>
            </w:pPr>
            <w:r w:rsidRPr="005F3DC7">
              <w:rPr>
                <w:sz w:val="20"/>
                <w:szCs w:val="20"/>
                <w:lang w:val="en-CA" w:eastAsia="en-CA"/>
              </w:rPr>
              <w:t> </w:t>
            </w:r>
          </w:p>
        </w:tc>
        <w:tc>
          <w:tcPr>
            <w:tcW w:w="1275" w:type="dxa"/>
            <w:tcBorders>
              <w:top w:val="nil"/>
              <w:left w:val="nil"/>
              <w:bottom w:val="single" w:sz="4" w:space="0" w:color="auto"/>
              <w:right w:val="single" w:sz="4" w:space="0" w:color="auto"/>
            </w:tcBorders>
            <w:shd w:val="clear" w:color="auto" w:fill="auto"/>
            <w:noWrap/>
            <w:hideMark/>
          </w:tcPr>
          <w:p w14:paraId="5AD40F16" w14:textId="77777777" w:rsidR="00BE78FD" w:rsidRPr="005F3DC7" w:rsidRDefault="00BE78FD" w:rsidP="00E00CF1">
            <w:pPr>
              <w:jc w:val="right"/>
              <w:rPr>
                <w:sz w:val="20"/>
                <w:szCs w:val="20"/>
                <w:lang w:val="en-CA" w:eastAsia="en-CA"/>
              </w:rPr>
            </w:pPr>
            <w:r w:rsidRPr="005F3DC7">
              <w:rPr>
                <w:sz w:val="20"/>
                <w:szCs w:val="20"/>
                <w:lang w:val="en-CA" w:eastAsia="en-CA"/>
              </w:rPr>
              <w:t>2,140</w:t>
            </w:r>
          </w:p>
        </w:tc>
        <w:tc>
          <w:tcPr>
            <w:tcW w:w="1276" w:type="dxa"/>
            <w:tcBorders>
              <w:top w:val="nil"/>
              <w:left w:val="nil"/>
              <w:bottom w:val="single" w:sz="4" w:space="0" w:color="auto"/>
              <w:right w:val="single" w:sz="4" w:space="0" w:color="auto"/>
            </w:tcBorders>
            <w:shd w:val="clear" w:color="auto" w:fill="auto"/>
            <w:noWrap/>
            <w:hideMark/>
          </w:tcPr>
          <w:p w14:paraId="14539C0E" w14:textId="77777777" w:rsidR="00BE78FD" w:rsidRPr="005F3DC7" w:rsidRDefault="00BE78FD" w:rsidP="00E00CF1">
            <w:pPr>
              <w:jc w:val="right"/>
              <w:rPr>
                <w:sz w:val="20"/>
                <w:szCs w:val="20"/>
                <w:lang w:val="en-CA" w:eastAsia="en-CA"/>
              </w:rPr>
            </w:pPr>
            <w:r w:rsidRPr="005F3DC7">
              <w:rPr>
                <w:sz w:val="20"/>
                <w:szCs w:val="20"/>
                <w:lang w:val="en-CA" w:eastAsia="en-CA"/>
              </w:rPr>
              <w:t>495</w:t>
            </w:r>
          </w:p>
        </w:tc>
        <w:tc>
          <w:tcPr>
            <w:tcW w:w="1304" w:type="dxa"/>
            <w:tcBorders>
              <w:top w:val="nil"/>
              <w:left w:val="nil"/>
              <w:bottom w:val="single" w:sz="4" w:space="0" w:color="auto"/>
              <w:right w:val="single" w:sz="4" w:space="0" w:color="auto"/>
            </w:tcBorders>
            <w:shd w:val="clear" w:color="auto" w:fill="auto"/>
            <w:noWrap/>
            <w:hideMark/>
          </w:tcPr>
          <w:p w14:paraId="66968F7D" w14:textId="77777777" w:rsidR="00BE78FD" w:rsidRPr="005F3DC7" w:rsidRDefault="00BE78FD" w:rsidP="00E00CF1">
            <w:pPr>
              <w:jc w:val="right"/>
              <w:rPr>
                <w:sz w:val="20"/>
                <w:szCs w:val="20"/>
                <w:lang w:val="en-CA" w:eastAsia="en-CA"/>
              </w:rPr>
            </w:pPr>
            <w:r w:rsidRPr="005F3DC7">
              <w:rPr>
                <w:sz w:val="20"/>
                <w:szCs w:val="20"/>
                <w:lang w:val="en-CA" w:eastAsia="en-CA"/>
              </w:rPr>
              <w:t>2,635</w:t>
            </w:r>
          </w:p>
        </w:tc>
        <w:tc>
          <w:tcPr>
            <w:tcW w:w="1248" w:type="dxa"/>
            <w:tcBorders>
              <w:top w:val="nil"/>
              <w:left w:val="nil"/>
              <w:bottom w:val="single" w:sz="4" w:space="0" w:color="auto"/>
              <w:right w:val="single" w:sz="4" w:space="0" w:color="auto"/>
            </w:tcBorders>
            <w:shd w:val="clear" w:color="auto" w:fill="auto"/>
            <w:noWrap/>
            <w:hideMark/>
          </w:tcPr>
          <w:p w14:paraId="390B9669" w14:textId="77777777" w:rsidR="00BE78FD" w:rsidRPr="005F3DC7" w:rsidRDefault="00BE78FD" w:rsidP="00E00CF1">
            <w:pPr>
              <w:jc w:val="right"/>
              <w:rPr>
                <w:sz w:val="20"/>
                <w:szCs w:val="20"/>
                <w:lang w:val="en-CA" w:eastAsia="en-CA"/>
              </w:rPr>
            </w:pPr>
            <w:r w:rsidRPr="005F3DC7">
              <w:rPr>
                <w:sz w:val="20"/>
                <w:szCs w:val="20"/>
                <w:lang w:val="en-CA" w:eastAsia="en-CA"/>
              </w:rPr>
              <w:t>0</w:t>
            </w:r>
          </w:p>
        </w:tc>
      </w:tr>
      <w:tr w:rsidR="00BE78FD" w:rsidRPr="005F3DC7" w14:paraId="2ABAD3B5" w14:textId="77777777" w:rsidTr="00205FC4">
        <w:trPr>
          <w:trHeight w:val="264"/>
        </w:trPr>
        <w:tc>
          <w:tcPr>
            <w:tcW w:w="3256" w:type="dxa"/>
            <w:tcBorders>
              <w:top w:val="nil"/>
              <w:left w:val="single" w:sz="4" w:space="0" w:color="auto"/>
              <w:bottom w:val="single" w:sz="4" w:space="0" w:color="auto"/>
              <w:right w:val="single" w:sz="4" w:space="0" w:color="auto"/>
            </w:tcBorders>
            <w:shd w:val="clear" w:color="auto" w:fill="auto"/>
            <w:noWrap/>
            <w:hideMark/>
          </w:tcPr>
          <w:p w14:paraId="7535F475" w14:textId="77777777" w:rsidR="00BE78FD" w:rsidRPr="005F3DC7" w:rsidRDefault="00BE78FD" w:rsidP="00E00CF1">
            <w:pPr>
              <w:jc w:val="left"/>
              <w:rPr>
                <w:b/>
                <w:bCs/>
                <w:sz w:val="20"/>
                <w:szCs w:val="20"/>
                <w:lang w:val="en-CA" w:eastAsia="en-CA"/>
              </w:rPr>
            </w:pPr>
            <w:r w:rsidRPr="005F3DC7">
              <w:rPr>
                <w:b/>
                <w:bCs/>
                <w:sz w:val="20"/>
                <w:szCs w:val="20"/>
                <w:lang w:val="en-CA" w:eastAsia="en-CA"/>
              </w:rPr>
              <w:t xml:space="preserve">  Required for compliance subtotal</w:t>
            </w:r>
          </w:p>
        </w:tc>
        <w:tc>
          <w:tcPr>
            <w:tcW w:w="1134" w:type="dxa"/>
            <w:tcBorders>
              <w:top w:val="nil"/>
              <w:left w:val="nil"/>
              <w:bottom w:val="single" w:sz="4" w:space="0" w:color="auto"/>
              <w:right w:val="single" w:sz="4" w:space="0" w:color="auto"/>
            </w:tcBorders>
            <w:shd w:val="clear" w:color="auto" w:fill="auto"/>
            <w:noWrap/>
            <w:hideMark/>
          </w:tcPr>
          <w:p w14:paraId="31F01B2D" w14:textId="77777777" w:rsidR="00BE78FD" w:rsidRPr="005F3DC7" w:rsidRDefault="00BE78FD" w:rsidP="00E00CF1">
            <w:pPr>
              <w:jc w:val="right"/>
              <w:rPr>
                <w:b/>
                <w:bCs/>
                <w:sz w:val="20"/>
                <w:szCs w:val="20"/>
                <w:lang w:val="en-CA" w:eastAsia="en-CA"/>
              </w:rPr>
            </w:pPr>
            <w:r w:rsidRPr="005F3DC7">
              <w:rPr>
                <w:b/>
                <w:bCs/>
                <w:sz w:val="20"/>
                <w:szCs w:val="20"/>
                <w:lang w:val="en-CA" w:eastAsia="en-CA"/>
              </w:rPr>
              <w:t>54,231</w:t>
            </w:r>
          </w:p>
        </w:tc>
        <w:tc>
          <w:tcPr>
            <w:tcW w:w="1275" w:type="dxa"/>
            <w:tcBorders>
              <w:top w:val="nil"/>
              <w:left w:val="nil"/>
              <w:bottom w:val="single" w:sz="4" w:space="0" w:color="auto"/>
              <w:right w:val="single" w:sz="4" w:space="0" w:color="auto"/>
            </w:tcBorders>
            <w:shd w:val="clear" w:color="auto" w:fill="auto"/>
            <w:noWrap/>
            <w:hideMark/>
          </w:tcPr>
          <w:p w14:paraId="634F4BC3" w14:textId="77777777" w:rsidR="00BE78FD" w:rsidRPr="005F3DC7" w:rsidRDefault="00BE78FD" w:rsidP="00E00CF1">
            <w:pPr>
              <w:jc w:val="right"/>
              <w:rPr>
                <w:b/>
                <w:bCs/>
                <w:sz w:val="20"/>
                <w:szCs w:val="20"/>
                <w:lang w:val="en-CA" w:eastAsia="en-CA"/>
              </w:rPr>
            </w:pPr>
            <w:r w:rsidRPr="005F3DC7">
              <w:rPr>
                <w:b/>
                <w:bCs/>
                <w:sz w:val="20"/>
                <w:szCs w:val="20"/>
                <w:lang w:val="en-CA" w:eastAsia="en-CA"/>
              </w:rPr>
              <w:t>55,192</w:t>
            </w:r>
          </w:p>
        </w:tc>
        <w:tc>
          <w:tcPr>
            <w:tcW w:w="1276" w:type="dxa"/>
            <w:tcBorders>
              <w:top w:val="nil"/>
              <w:left w:val="nil"/>
              <w:bottom w:val="single" w:sz="4" w:space="0" w:color="auto"/>
              <w:right w:val="single" w:sz="4" w:space="0" w:color="auto"/>
            </w:tcBorders>
            <w:shd w:val="clear" w:color="auto" w:fill="auto"/>
            <w:noWrap/>
            <w:hideMark/>
          </w:tcPr>
          <w:p w14:paraId="741A5D71" w14:textId="77777777" w:rsidR="00BE78FD" w:rsidRPr="005F3DC7" w:rsidRDefault="00BE78FD" w:rsidP="00E00CF1">
            <w:pPr>
              <w:jc w:val="right"/>
              <w:rPr>
                <w:b/>
                <w:bCs/>
                <w:sz w:val="20"/>
                <w:szCs w:val="20"/>
                <w:lang w:val="en-CA" w:eastAsia="en-CA"/>
              </w:rPr>
            </w:pPr>
            <w:r w:rsidRPr="005F3DC7">
              <w:rPr>
                <w:b/>
                <w:bCs/>
                <w:sz w:val="20"/>
                <w:szCs w:val="20"/>
                <w:lang w:val="en-CA" w:eastAsia="en-CA"/>
              </w:rPr>
              <w:t>48,119</w:t>
            </w:r>
          </w:p>
        </w:tc>
        <w:tc>
          <w:tcPr>
            <w:tcW w:w="1304" w:type="dxa"/>
            <w:tcBorders>
              <w:top w:val="nil"/>
              <w:left w:val="nil"/>
              <w:bottom w:val="single" w:sz="4" w:space="0" w:color="auto"/>
              <w:right w:val="single" w:sz="4" w:space="0" w:color="auto"/>
            </w:tcBorders>
            <w:shd w:val="clear" w:color="auto" w:fill="auto"/>
            <w:noWrap/>
            <w:hideMark/>
          </w:tcPr>
          <w:p w14:paraId="327F9D94" w14:textId="77777777" w:rsidR="00BE78FD" w:rsidRPr="005F3DC7" w:rsidRDefault="00BE78FD" w:rsidP="00E00CF1">
            <w:pPr>
              <w:jc w:val="right"/>
              <w:rPr>
                <w:b/>
                <w:bCs/>
                <w:sz w:val="20"/>
                <w:szCs w:val="20"/>
                <w:lang w:val="en-CA" w:eastAsia="en-CA"/>
              </w:rPr>
            </w:pPr>
            <w:r w:rsidRPr="005F3DC7">
              <w:rPr>
                <w:b/>
                <w:bCs/>
                <w:sz w:val="20"/>
                <w:szCs w:val="20"/>
                <w:lang w:val="en-CA" w:eastAsia="en-CA"/>
              </w:rPr>
              <w:t>157,542</w:t>
            </w:r>
          </w:p>
        </w:tc>
        <w:tc>
          <w:tcPr>
            <w:tcW w:w="1248" w:type="dxa"/>
            <w:tcBorders>
              <w:top w:val="nil"/>
              <w:left w:val="nil"/>
              <w:bottom w:val="single" w:sz="4" w:space="0" w:color="auto"/>
              <w:right w:val="single" w:sz="4" w:space="0" w:color="auto"/>
            </w:tcBorders>
            <w:shd w:val="clear" w:color="auto" w:fill="auto"/>
            <w:noWrap/>
            <w:hideMark/>
          </w:tcPr>
          <w:p w14:paraId="64CD1566" w14:textId="77777777" w:rsidR="00BE78FD" w:rsidRPr="005F3DC7" w:rsidRDefault="00BE78FD" w:rsidP="00E00CF1">
            <w:pPr>
              <w:jc w:val="right"/>
              <w:rPr>
                <w:b/>
                <w:bCs/>
                <w:sz w:val="20"/>
                <w:szCs w:val="20"/>
                <w:lang w:val="en-CA" w:eastAsia="en-CA"/>
              </w:rPr>
            </w:pPr>
            <w:r w:rsidRPr="005F3DC7">
              <w:rPr>
                <w:b/>
                <w:bCs/>
                <w:sz w:val="20"/>
                <w:szCs w:val="20"/>
                <w:lang w:val="en-CA" w:eastAsia="en-CA"/>
              </w:rPr>
              <w:t>290,458</w:t>
            </w:r>
          </w:p>
        </w:tc>
      </w:tr>
      <w:tr w:rsidR="00BE78FD" w:rsidRPr="005F3DC7" w14:paraId="49FCB39B" w14:textId="77777777" w:rsidTr="00205FC4">
        <w:trPr>
          <w:trHeight w:val="264"/>
        </w:trPr>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C587E93" w14:textId="77777777" w:rsidR="00BE78FD" w:rsidRPr="005F3DC7" w:rsidRDefault="00BE78FD" w:rsidP="00E00CF1">
            <w:pPr>
              <w:jc w:val="left"/>
              <w:rPr>
                <w:b/>
                <w:bCs/>
                <w:sz w:val="20"/>
                <w:szCs w:val="20"/>
                <w:lang w:val="en-CA" w:eastAsia="en-CA"/>
              </w:rPr>
            </w:pPr>
            <w:r w:rsidRPr="005F3DC7">
              <w:rPr>
                <w:b/>
                <w:bCs/>
                <w:sz w:val="20"/>
                <w:szCs w:val="20"/>
                <w:lang w:val="en-CA" w:eastAsia="en-CA"/>
              </w:rPr>
              <w:t>HFC activities</w:t>
            </w:r>
            <w:r w:rsidRPr="005F3DC7">
              <w:rPr>
                <w:sz w:val="20"/>
                <w:szCs w:val="20"/>
                <w:lang w:val="en-CA" w:eastAsia="en-CA"/>
              </w:rPr>
              <w:t> </w:t>
            </w:r>
          </w:p>
        </w:tc>
      </w:tr>
      <w:tr w:rsidR="00BE78FD" w:rsidRPr="005F3DC7" w14:paraId="5EA22A8A" w14:textId="77777777" w:rsidTr="00205FC4">
        <w:trPr>
          <w:trHeight w:val="264"/>
        </w:trPr>
        <w:tc>
          <w:tcPr>
            <w:tcW w:w="3256" w:type="dxa"/>
            <w:tcBorders>
              <w:top w:val="nil"/>
              <w:left w:val="single" w:sz="4" w:space="0" w:color="auto"/>
              <w:bottom w:val="single" w:sz="4" w:space="0" w:color="auto"/>
              <w:right w:val="single" w:sz="4" w:space="0" w:color="auto"/>
            </w:tcBorders>
            <w:shd w:val="clear" w:color="auto" w:fill="auto"/>
            <w:noWrap/>
            <w:hideMark/>
          </w:tcPr>
          <w:p w14:paraId="7E8311DA" w14:textId="77777777" w:rsidR="00BE78FD" w:rsidRPr="005F3DC7" w:rsidRDefault="00BE78FD" w:rsidP="00E00CF1">
            <w:pPr>
              <w:jc w:val="left"/>
              <w:rPr>
                <w:sz w:val="20"/>
                <w:szCs w:val="20"/>
                <w:lang w:val="en-CA" w:eastAsia="en-CA"/>
              </w:rPr>
            </w:pPr>
            <w:r w:rsidRPr="005F3DC7">
              <w:rPr>
                <w:sz w:val="20"/>
                <w:szCs w:val="20"/>
                <w:lang w:val="en-CA" w:eastAsia="en-CA"/>
              </w:rPr>
              <w:t>HFC - demonstration</w:t>
            </w:r>
          </w:p>
        </w:tc>
        <w:tc>
          <w:tcPr>
            <w:tcW w:w="1134" w:type="dxa"/>
            <w:tcBorders>
              <w:top w:val="nil"/>
              <w:left w:val="nil"/>
              <w:bottom w:val="single" w:sz="4" w:space="0" w:color="auto"/>
              <w:right w:val="single" w:sz="4" w:space="0" w:color="auto"/>
            </w:tcBorders>
            <w:shd w:val="clear" w:color="auto" w:fill="auto"/>
            <w:noWrap/>
            <w:hideMark/>
          </w:tcPr>
          <w:p w14:paraId="0550E284" w14:textId="77777777" w:rsidR="00BE78FD" w:rsidRPr="005F3DC7" w:rsidRDefault="00BE78FD" w:rsidP="00E00CF1">
            <w:pPr>
              <w:jc w:val="right"/>
              <w:rPr>
                <w:sz w:val="20"/>
                <w:szCs w:val="20"/>
                <w:lang w:val="en-CA" w:eastAsia="en-CA"/>
              </w:rPr>
            </w:pPr>
            <w:r w:rsidRPr="005F3DC7">
              <w:rPr>
                <w:sz w:val="20"/>
                <w:szCs w:val="20"/>
                <w:lang w:val="en-CA" w:eastAsia="en-CA"/>
              </w:rPr>
              <w:t>0</w:t>
            </w:r>
          </w:p>
        </w:tc>
        <w:tc>
          <w:tcPr>
            <w:tcW w:w="1275" w:type="dxa"/>
            <w:tcBorders>
              <w:top w:val="nil"/>
              <w:left w:val="nil"/>
              <w:bottom w:val="single" w:sz="4" w:space="0" w:color="auto"/>
              <w:right w:val="single" w:sz="4" w:space="0" w:color="auto"/>
            </w:tcBorders>
            <w:shd w:val="clear" w:color="auto" w:fill="auto"/>
            <w:noWrap/>
            <w:hideMark/>
          </w:tcPr>
          <w:p w14:paraId="0B0EA16C" w14:textId="77777777" w:rsidR="00BE78FD" w:rsidRPr="005F3DC7" w:rsidRDefault="00BE78FD" w:rsidP="00E00CF1">
            <w:pPr>
              <w:jc w:val="right"/>
              <w:rPr>
                <w:sz w:val="20"/>
                <w:szCs w:val="20"/>
                <w:lang w:val="en-CA" w:eastAsia="en-CA"/>
              </w:rPr>
            </w:pPr>
            <w:r w:rsidRPr="005F3DC7">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14:paraId="4B5359F1" w14:textId="77777777" w:rsidR="00BE78FD" w:rsidRPr="005F3DC7" w:rsidRDefault="00BE78FD" w:rsidP="00E00CF1">
            <w:pPr>
              <w:jc w:val="right"/>
              <w:rPr>
                <w:sz w:val="20"/>
                <w:szCs w:val="20"/>
                <w:lang w:val="en-CA" w:eastAsia="en-CA"/>
              </w:rPr>
            </w:pPr>
            <w:r w:rsidRPr="005F3DC7">
              <w:rPr>
                <w:sz w:val="20"/>
                <w:szCs w:val="20"/>
                <w:lang w:val="en-CA" w:eastAsia="en-CA"/>
              </w:rPr>
              <w:t>0</w:t>
            </w:r>
          </w:p>
        </w:tc>
        <w:tc>
          <w:tcPr>
            <w:tcW w:w="1304" w:type="dxa"/>
            <w:tcBorders>
              <w:top w:val="nil"/>
              <w:left w:val="nil"/>
              <w:bottom w:val="single" w:sz="4" w:space="0" w:color="auto"/>
              <w:right w:val="single" w:sz="4" w:space="0" w:color="auto"/>
            </w:tcBorders>
            <w:shd w:val="clear" w:color="auto" w:fill="auto"/>
            <w:noWrap/>
            <w:hideMark/>
          </w:tcPr>
          <w:p w14:paraId="57AE44BF" w14:textId="77777777" w:rsidR="00BE78FD" w:rsidRPr="005F3DC7" w:rsidRDefault="00BE78FD" w:rsidP="00E00CF1">
            <w:pPr>
              <w:jc w:val="right"/>
              <w:rPr>
                <w:sz w:val="20"/>
                <w:szCs w:val="20"/>
                <w:lang w:val="en-CA" w:eastAsia="en-CA"/>
              </w:rPr>
            </w:pPr>
            <w:r w:rsidRPr="005F3DC7">
              <w:rPr>
                <w:sz w:val="20"/>
                <w:szCs w:val="20"/>
                <w:lang w:val="en-CA" w:eastAsia="en-CA"/>
              </w:rPr>
              <w:t>0</w:t>
            </w:r>
          </w:p>
        </w:tc>
        <w:tc>
          <w:tcPr>
            <w:tcW w:w="1248" w:type="dxa"/>
            <w:tcBorders>
              <w:top w:val="nil"/>
              <w:left w:val="nil"/>
              <w:bottom w:val="single" w:sz="4" w:space="0" w:color="auto"/>
              <w:right w:val="single" w:sz="4" w:space="0" w:color="auto"/>
            </w:tcBorders>
            <w:shd w:val="clear" w:color="auto" w:fill="auto"/>
            <w:noWrap/>
            <w:hideMark/>
          </w:tcPr>
          <w:p w14:paraId="53903731" w14:textId="77777777" w:rsidR="00BE78FD" w:rsidRPr="005F3DC7" w:rsidRDefault="00BE78FD" w:rsidP="00E00CF1">
            <w:pPr>
              <w:jc w:val="right"/>
              <w:rPr>
                <w:sz w:val="20"/>
                <w:szCs w:val="20"/>
                <w:lang w:val="en-CA" w:eastAsia="en-CA"/>
              </w:rPr>
            </w:pPr>
            <w:r w:rsidRPr="005F3DC7">
              <w:rPr>
                <w:sz w:val="20"/>
                <w:szCs w:val="20"/>
                <w:lang w:val="en-CA" w:eastAsia="en-CA"/>
              </w:rPr>
              <w:t>0</w:t>
            </w:r>
          </w:p>
        </w:tc>
      </w:tr>
      <w:tr w:rsidR="00BE78FD" w:rsidRPr="005F3DC7" w14:paraId="0B06C52A" w14:textId="77777777" w:rsidTr="00205FC4">
        <w:trPr>
          <w:trHeight w:val="264"/>
        </w:trPr>
        <w:tc>
          <w:tcPr>
            <w:tcW w:w="3256" w:type="dxa"/>
            <w:tcBorders>
              <w:top w:val="nil"/>
              <w:left w:val="single" w:sz="4" w:space="0" w:color="auto"/>
              <w:bottom w:val="single" w:sz="4" w:space="0" w:color="auto"/>
              <w:right w:val="single" w:sz="4" w:space="0" w:color="auto"/>
            </w:tcBorders>
            <w:shd w:val="clear" w:color="auto" w:fill="auto"/>
            <w:noWrap/>
            <w:hideMark/>
          </w:tcPr>
          <w:p w14:paraId="0E46E4E0" w14:textId="77777777" w:rsidR="00BE78FD" w:rsidRPr="005F3DC7" w:rsidRDefault="00BE78FD" w:rsidP="00E00CF1">
            <w:pPr>
              <w:jc w:val="left"/>
              <w:rPr>
                <w:b/>
                <w:bCs/>
                <w:sz w:val="20"/>
                <w:szCs w:val="20"/>
                <w:lang w:val="en-CA" w:eastAsia="en-CA"/>
              </w:rPr>
            </w:pPr>
            <w:r w:rsidRPr="005F3DC7">
              <w:rPr>
                <w:b/>
                <w:bCs/>
                <w:sz w:val="20"/>
                <w:szCs w:val="20"/>
                <w:lang w:val="en-CA" w:eastAsia="en-CA"/>
              </w:rPr>
              <w:t xml:space="preserve">   HFC activities subtotal</w:t>
            </w:r>
          </w:p>
        </w:tc>
        <w:tc>
          <w:tcPr>
            <w:tcW w:w="1134" w:type="dxa"/>
            <w:tcBorders>
              <w:top w:val="nil"/>
              <w:left w:val="nil"/>
              <w:bottom w:val="single" w:sz="4" w:space="0" w:color="auto"/>
              <w:right w:val="single" w:sz="4" w:space="0" w:color="auto"/>
            </w:tcBorders>
            <w:shd w:val="clear" w:color="auto" w:fill="auto"/>
            <w:noWrap/>
            <w:hideMark/>
          </w:tcPr>
          <w:p w14:paraId="50C718B3" w14:textId="77777777" w:rsidR="00BE78FD" w:rsidRPr="005F3DC7" w:rsidRDefault="00BE78FD" w:rsidP="00E00CF1">
            <w:pPr>
              <w:jc w:val="right"/>
              <w:rPr>
                <w:b/>
                <w:bCs/>
                <w:sz w:val="20"/>
                <w:szCs w:val="20"/>
                <w:lang w:val="en-CA" w:eastAsia="en-CA"/>
              </w:rPr>
            </w:pPr>
            <w:r w:rsidRPr="005F3DC7">
              <w:rPr>
                <w:b/>
                <w:bCs/>
                <w:sz w:val="20"/>
                <w:szCs w:val="20"/>
                <w:lang w:val="en-CA" w:eastAsia="en-CA"/>
              </w:rPr>
              <w:t>0</w:t>
            </w:r>
          </w:p>
        </w:tc>
        <w:tc>
          <w:tcPr>
            <w:tcW w:w="1275" w:type="dxa"/>
            <w:tcBorders>
              <w:top w:val="nil"/>
              <w:left w:val="nil"/>
              <w:bottom w:val="single" w:sz="4" w:space="0" w:color="auto"/>
              <w:right w:val="single" w:sz="4" w:space="0" w:color="auto"/>
            </w:tcBorders>
            <w:shd w:val="clear" w:color="auto" w:fill="auto"/>
            <w:noWrap/>
            <w:hideMark/>
          </w:tcPr>
          <w:p w14:paraId="010B7521" w14:textId="77777777" w:rsidR="00BE78FD" w:rsidRPr="005F3DC7" w:rsidRDefault="00BE78FD" w:rsidP="00E00CF1">
            <w:pPr>
              <w:jc w:val="right"/>
              <w:rPr>
                <w:b/>
                <w:bCs/>
                <w:sz w:val="20"/>
                <w:szCs w:val="20"/>
                <w:lang w:val="en-CA" w:eastAsia="en-CA"/>
              </w:rPr>
            </w:pPr>
            <w:r w:rsidRPr="005F3DC7">
              <w:rPr>
                <w:b/>
                <w:bCs/>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14:paraId="2F992E42" w14:textId="77777777" w:rsidR="00BE78FD" w:rsidRPr="005F3DC7" w:rsidRDefault="00BE78FD" w:rsidP="00E00CF1">
            <w:pPr>
              <w:jc w:val="right"/>
              <w:rPr>
                <w:b/>
                <w:bCs/>
                <w:sz w:val="20"/>
                <w:szCs w:val="20"/>
                <w:lang w:val="en-CA" w:eastAsia="en-CA"/>
              </w:rPr>
            </w:pPr>
            <w:r w:rsidRPr="005F3DC7">
              <w:rPr>
                <w:b/>
                <w:bCs/>
                <w:sz w:val="20"/>
                <w:szCs w:val="20"/>
                <w:lang w:val="en-CA" w:eastAsia="en-CA"/>
              </w:rPr>
              <w:t>0</w:t>
            </w:r>
          </w:p>
        </w:tc>
        <w:tc>
          <w:tcPr>
            <w:tcW w:w="1304" w:type="dxa"/>
            <w:tcBorders>
              <w:top w:val="nil"/>
              <w:left w:val="nil"/>
              <w:bottom w:val="single" w:sz="4" w:space="0" w:color="auto"/>
              <w:right w:val="single" w:sz="4" w:space="0" w:color="auto"/>
            </w:tcBorders>
            <w:shd w:val="clear" w:color="auto" w:fill="auto"/>
            <w:noWrap/>
            <w:hideMark/>
          </w:tcPr>
          <w:p w14:paraId="22906775" w14:textId="77777777" w:rsidR="00BE78FD" w:rsidRPr="005F3DC7" w:rsidRDefault="00BE78FD" w:rsidP="00E00CF1">
            <w:pPr>
              <w:jc w:val="right"/>
              <w:rPr>
                <w:b/>
                <w:bCs/>
                <w:sz w:val="20"/>
                <w:szCs w:val="20"/>
                <w:lang w:val="en-CA" w:eastAsia="en-CA"/>
              </w:rPr>
            </w:pPr>
            <w:r w:rsidRPr="005F3DC7">
              <w:rPr>
                <w:b/>
                <w:bCs/>
                <w:sz w:val="20"/>
                <w:szCs w:val="20"/>
                <w:lang w:val="en-CA" w:eastAsia="en-CA"/>
              </w:rPr>
              <w:t>0</w:t>
            </w:r>
          </w:p>
        </w:tc>
        <w:tc>
          <w:tcPr>
            <w:tcW w:w="1248" w:type="dxa"/>
            <w:tcBorders>
              <w:top w:val="nil"/>
              <w:left w:val="nil"/>
              <w:bottom w:val="single" w:sz="4" w:space="0" w:color="auto"/>
              <w:right w:val="single" w:sz="4" w:space="0" w:color="auto"/>
            </w:tcBorders>
            <w:shd w:val="clear" w:color="auto" w:fill="auto"/>
            <w:noWrap/>
            <w:hideMark/>
          </w:tcPr>
          <w:p w14:paraId="18DDAB71" w14:textId="77777777" w:rsidR="00BE78FD" w:rsidRPr="005F3DC7" w:rsidRDefault="00BE78FD" w:rsidP="00E00CF1">
            <w:pPr>
              <w:jc w:val="right"/>
              <w:rPr>
                <w:b/>
                <w:bCs/>
                <w:sz w:val="20"/>
                <w:szCs w:val="20"/>
                <w:lang w:val="en-CA" w:eastAsia="en-CA"/>
              </w:rPr>
            </w:pPr>
            <w:r w:rsidRPr="005F3DC7">
              <w:rPr>
                <w:b/>
                <w:bCs/>
                <w:sz w:val="20"/>
                <w:szCs w:val="20"/>
                <w:lang w:val="en-CA" w:eastAsia="en-CA"/>
              </w:rPr>
              <w:t>0</w:t>
            </w:r>
          </w:p>
        </w:tc>
      </w:tr>
      <w:tr w:rsidR="00BE78FD" w:rsidRPr="005F3DC7" w14:paraId="66133A91" w14:textId="77777777" w:rsidTr="00205FC4">
        <w:trPr>
          <w:trHeight w:val="264"/>
        </w:trPr>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DC69372" w14:textId="77777777" w:rsidR="00BE78FD" w:rsidRPr="005F3DC7" w:rsidRDefault="00BE78FD" w:rsidP="00E00CF1">
            <w:pPr>
              <w:jc w:val="left"/>
              <w:rPr>
                <w:b/>
                <w:bCs/>
                <w:sz w:val="20"/>
                <w:szCs w:val="20"/>
                <w:lang w:val="en-CA" w:eastAsia="en-CA"/>
              </w:rPr>
            </w:pPr>
            <w:r w:rsidRPr="005F3DC7">
              <w:rPr>
                <w:b/>
                <w:bCs/>
                <w:sz w:val="20"/>
                <w:szCs w:val="20"/>
                <w:lang w:val="en-CA" w:eastAsia="en-CA"/>
              </w:rPr>
              <w:t>Standard activities</w:t>
            </w:r>
          </w:p>
        </w:tc>
      </w:tr>
      <w:tr w:rsidR="00BE78FD" w:rsidRPr="005F3DC7" w14:paraId="47B75A1B" w14:textId="77777777" w:rsidTr="00205FC4">
        <w:trPr>
          <w:trHeight w:val="264"/>
        </w:trPr>
        <w:tc>
          <w:tcPr>
            <w:tcW w:w="3256" w:type="dxa"/>
            <w:tcBorders>
              <w:top w:val="nil"/>
              <w:left w:val="single" w:sz="4" w:space="0" w:color="auto"/>
              <w:bottom w:val="single" w:sz="4" w:space="0" w:color="auto"/>
              <w:right w:val="single" w:sz="4" w:space="0" w:color="auto"/>
            </w:tcBorders>
            <w:shd w:val="clear" w:color="auto" w:fill="auto"/>
            <w:noWrap/>
            <w:hideMark/>
          </w:tcPr>
          <w:p w14:paraId="0ABAAD13" w14:textId="77777777" w:rsidR="00BE78FD" w:rsidRPr="005F3DC7" w:rsidRDefault="00BE78FD" w:rsidP="00E00CF1">
            <w:pPr>
              <w:jc w:val="left"/>
              <w:rPr>
                <w:sz w:val="20"/>
                <w:szCs w:val="20"/>
                <w:lang w:val="en-CA" w:eastAsia="en-CA"/>
              </w:rPr>
            </w:pPr>
            <w:r w:rsidRPr="005F3DC7">
              <w:rPr>
                <w:sz w:val="20"/>
                <w:szCs w:val="20"/>
                <w:lang w:val="en-CA" w:eastAsia="en-CA"/>
              </w:rPr>
              <w:t>Core unit</w:t>
            </w:r>
          </w:p>
        </w:tc>
        <w:tc>
          <w:tcPr>
            <w:tcW w:w="1134" w:type="dxa"/>
            <w:tcBorders>
              <w:top w:val="nil"/>
              <w:left w:val="nil"/>
              <w:bottom w:val="single" w:sz="4" w:space="0" w:color="auto"/>
              <w:right w:val="single" w:sz="4" w:space="0" w:color="auto"/>
            </w:tcBorders>
            <w:shd w:val="clear" w:color="auto" w:fill="auto"/>
            <w:noWrap/>
            <w:hideMark/>
          </w:tcPr>
          <w:p w14:paraId="368E6C59" w14:textId="77777777" w:rsidR="00BE78FD" w:rsidRPr="005F3DC7" w:rsidRDefault="00BE78FD" w:rsidP="00E00CF1">
            <w:pPr>
              <w:jc w:val="right"/>
              <w:rPr>
                <w:sz w:val="20"/>
                <w:szCs w:val="20"/>
                <w:lang w:val="en-CA" w:eastAsia="en-CA"/>
              </w:rPr>
            </w:pPr>
            <w:r w:rsidRPr="005F3DC7">
              <w:rPr>
                <w:sz w:val="20"/>
                <w:szCs w:val="20"/>
                <w:lang w:val="en-CA" w:eastAsia="en-CA"/>
              </w:rPr>
              <w:t>1,735</w:t>
            </w:r>
          </w:p>
        </w:tc>
        <w:tc>
          <w:tcPr>
            <w:tcW w:w="1275" w:type="dxa"/>
            <w:tcBorders>
              <w:top w:val="nil"/>
              <w:left w:val="nil"/>
              <w:bottom w:val="single" w:sz="4" w:space="0" w:color="auto"/>
              <w:right w:val="single" w:sz="4" w:space="0" w:color="auto"/>
            </w:tcBorders>
            <w:shd w:val="clear" w:color="auto" w:fill="auto"/>
            <w:noWrap/>
            <w:hideMark/>
          </w:tcPr>
          <w:p w14:paraId="10DF5FE3" w14:textId="77777777" w:rsidR="00BE78FD" w:rsidRPr="005F3DC7" w:rsidRDefault="00BE78FD" w:rsidP="00E00CF1">
            <w:pPr>
              <w:jc w:val="right"/>
              <w:rPr>
                <w:sz w:val="20"/>
                <w:szCs w:val="20"/>
                <w:lang w:val="en-CA" w:eastAsia="en-CA"/>
              </w:rPr>
            </w:pPr>
            <w:r w:rsidRPr="005F3DC7">
              <w:rPr>
                <w:sz w:val="20"/>
                <w:szCs w:val="20"/>
                <w:lang w:val="en-CA" w:eastAsia="en-CA"/>
              </w:rPr>
              <w:t>1,735</w:t>
            </w:r>
          </w:p>
        </w:tc>
        <w:tc>
          <w:tcPr>
            <w:tcW w:w="1276" w:type="dxa"/>
            <w:tcBorders>
              <w:top w:val="nil"/>
              <w:left w:val="nil"/>
              <w:bottom w:val="single" w:sz="4" w:space="0" w:color="auto"/>
              <w:right w:val="single" w:sz="4" w:space="0" w:color="auto"/>
            </w:tcBorders>
            <w:shd w:val="clear" w:color="auto" w:fill="auto"/>
            <w:noWrap/>
            <w:hideMark/>
          </w:tcPr>
          <w:p w14:paraId="646E3ADD" w14:textId="77777777" w:rsidR="00BE78FD" w:rsidRPr="005F3DC7" w:rsidRDefault="00BE78FD" w:rsidP="00E00CF1">
            <w:pPr>
              <w:jc w:val="right"/>
              <w:rPr>
                <w:sz w:val="20"/>
                <w:szCs w:val="20"/>
                <w:lang w:val="en-CA" w:eastAsia="en-CA"/>
              </w:rPr>
            </w:pPr>
            <w:r w:rsidRPr="005F3DC7">
              <w:rPr>
                <w:sz w:val="20"/>
                <w:szCs w:val="20"/>
                <w:lang w:val="en-CA" w:eastAsia="en-CA"/>
              </w:rPr>
              <w:t>1,735</w:t>
            </w:r>
          </w:p>
        </w:tc>
        <w:tc>
          <w:tcPr>
            <w:tcW w:w="1304" w:type="dxa"/>
            <w:tcBorders>
              <w:top w:val="nil"/>
              <w:left w:val="nil"/>
              <w:bottom w:val="single" w:sz="4" w:space="0" w:color="auto"/>
              <w:right w:val="single" w:sz="4" w:space="0" w:color="auto"/>
            </w:tcBorders>
            <w:shd w:val="clear" w:color="auto" w:fill="auto"/>
            <w:noWrap/>
            <w:hideMark/>
          </w:tcPr>
          <w:p w14:paraId="73D52159" w14:textId="77777777" w:rsidR="00BE78FD" w:rsidRPr="005F3DC7" w:rsidRDefault="00BE78FD" w:rsidP="00E00CF1">
            <w:pPr>
              <w:jc w:val="right"/>
              <w:rPr>
                <w:sz w:val="20"/>
                <w:szCs w:val="20"/>
                <w:lang w:val="en-CA" w:eastAsia="en-CA"/>
              </w:rPr>
            </w:pPr>
            <w:r w:rsidRPr="005F3DC7">
              <w:rPr>
                <w:sz w:val="20"/>
                <w:szCs w:val="20"/>
                <w:lang w:val="en-CA" w:eastAsia="en-CA"/>
              </w:rPr>
              <w:t>5,205</w:t>
            </w:r>
          </w:p>
        </w:tc>
        <w:tc>
          <w:tcPr>
            <w:tcW w:w="1248" w:type="dxa"/>
            <w:tcBorders>
              <w:top w:val="nil"/>
              <w:left w:val="nil"/>
              <w:bottom w:val="single" w:sz="4" w:space="0" w:color="auto"/>
              <w:right w:val="single" w:sz="4" w:space="0" w:color="auto"/>
            </w:tcBorders>
            <w:shd w:val="clear" w:color="auto" w:fill="auto"/>
            <w:noWrap/>
            <w:hideMark/>
          </w:tcPr>
          <w:p w14:paraId="526D5734" w14:textId="77777777" w:rsidR="00BE78FD" w:rsidRPr="005F3DC7" w:rsidRDefault="00BE78FD" w:rsidP="00E00CF1">
            <w:pPr>
              <w:jc w:val="right"/>
              <w:rPr>
                <w:sz w:val="20"/>
                <w:szCs w:val="20"/>
                <w:lang w:val="en-CA" w:eastAsia="en-CA"/>
              </w:rPr>
            </w:pPr>
            <w:r w:rsidRPr="005F3DC7">
              <w:rPr>
                <w:sz w:val="20"/>
                <w:szCs w:val="20"/>
                <w:lang w:val="en-CA" w:eastAsia="en-CA"/>
              </w:rPr>
              <w:t>0</w:t>
            </w:r>
          </w:p>
        </w:tc>
      </w:tr>
      <w:tr w:rsidR="00BE78FD" w:rsidRPr="005F3DC7" w14:paraId="4EB0E1AD" w14:textId="77777777" w:rsidTr="00205FC4">
        <w:trPr>
          <w:trHeight w:val="264"/>
        </w:trPr>
        <w:tc>
          <w:tcPr>
            <w:tcW w:w="3256" w:type="dxa"/>
            <w:tcBorders>
              <w:top w:val="nil"/>
              <w:left w:val="single" w:sz="4" w:space="0" w:color="auto"/>
              <w:bottom w:val="single" w:sz="4" w:space="0" w:color="auto"/>
              <w:right w:val="single" w:sz="4" w:space="0" w:color="auto"/>
            </w:tcBorders>
            <w:shd w:val="clear" w:color="auto" w:fill="auto"/>
            <w:noWrap/>
            <w:hideMark/>
          </w:tcPr>
          <w:p w14:paraId="60088D15" w14:textId="77777777" w:rsidR="00BE78FD" w:rsidRPr="005F3DC7" w:rsidRDefault="00BE78FD" w:rsidP="00E00CF1">
            <w:pPr>
              <w:jc w:val="left"/>
              <w:rPr>
                <w:sz w:val="20"/>
                <w:szCs w:val="20"/>
                <w:lang w:val="en-CA" w:eastAsia="en-CA"/>
              </w:rPr>
            </w:pPr>
            <w:r w:rsidRPr="005F3DC7">
              <w:rPr>
                <w:sz w:val="20"/>
                <w:szCs w:val="20"/>
                <w:lang w:val="en-CA" w:eastAsia="en-CA"/>
              </w:rPr>
              <w:t>IS</w:t>
            </w:r>
          </w:p>
        </w:tc>
        <w:tc>
          <w:tcPr>
            <w:tcW w:w="1134" w:type="dxa"/>
            <w:tcBorders>
              <w:top w:val="nil"/>
              <w:left w:val="nil"/>
              <w:bottom w:val="single" w:sz="4" w:space="0" w:color="auto"/>
              <w:right w:val="single" w:sz="4" w:space="0" w:color="auto"/>
            </w:tcBorders>
            <w:shd w:val="clear" w:color="auto" w:fill="auto"/>
            <w:noWrap/>
            <w:hideMark/>
          </w:tcPr>
          <w:p w14:paraId="43193F36" w14:textId="77777777" w:rsidR="00BE78FD" w:rsidRPr="005F3DC7" w:rsidRDefault="00BE78FD" w:rsidP="00E00CF1">
            <w:pPr>
              <w:jc w:val="right"/>
              <w:rPr>
                <w:sz w:val="20"/>
                <w:szCs w:val="20"/>
                <w:lang w:val="en-CA" w:eastAsia="en-CA"/>
              </w:rPr>
            </w:pPr>
            <w:r w:rsidRPr="005F3DC7">
              <w:rPr>
                <w:sz w:val="20"/>
                <w:szCs w:val="20"/>
                <w:lang w:val="en-CA" w:eastAsia="en-CA"/>
              </w:rPr>
              <w:t> </w:t>
            </w:r>
          </w:p>
        </w:tc>
        <w:tc>
          <w:tcPr>
            <w:tcW w:w="1275" w:type="dxa"/>
            <w:tcBorders>
              <w:top w:val="nil"/>
              <w:left w:val="nil"/>
              <w:bottom w:val="single" w:sz="4" w:space="0" w:color="auto"/>
              <w:right w:val="single" w:sz="4" w:space="0" w:color="auto"/>
            </w:tcBorders>
            <w:shd w:val="clear" w:color="auto" w:fill="auto"/>
            <w:noWrap/>
            <w:hideMark/>
          </w:tcPr>
          <w:p w14:paraId="3A9AD9A0" w14:textId="77777777" w:rsidR="00BE78FD" w:rsidRPr="005F3DC7" w:rsidRDefault="00BE78FD" w:rsidP="00E00CF1">
            <w:pPr>
              <w:jc w:val="right"/>
              <w:rPr>
                <w:sz w:val="20"/>
                <w:szCs w:val="20"/>
                <w:lang w:val="en-CA" w:eastAsia="en-CA"/>
              </w:rPr>
            </w:pPr>
            <w:r w:rsidRPr="005F3DC7">
              <w:rPr>
                <w:sz w:val="20"/>
                <w:szCs w:val="20"/>
                <w:lang w:val="en-CA" w:eastAsia="en-CA"/>
              </w:rPr>
              <w:t>677</w:t>
            </w:r>
          </w:p>
        </w:tc>
        <w:tc>
          <w:tcPr>
            <w:tcW w:w="1276" w:type="dxa"/>
            <w:tcBorders>
              <w:top w:val="nil"/>
              <w:left w:val="nil"/>
              <w:bottom w:val="single" w:sz="4" w:space="0" w:color="auto"/>
              <w:right w:val="single" w:sz="4" w:space="0" w:color="auto"/>
            </w:tcBorders>
            <w:shd w:val="clear" w:color="auto" w:fill="auto"/>
            <w:noWrap/>
            <w:hideMark/>
          </w:tcPr>
          <w:p w14:paraId="619BB540" w14:textId="77777777" w:rsidR="00BE78FD" w:rsidRPr="005F3DC7" w:rsidRDefault="00BE78FD" w:rsidP="00E00CF1">
            <w:pPr>
              <w:jc w:val="right"/>
              <w:rPr>
                <w:sz w:val="20"/>
                <w:szCs w:val="20"/>
                <w:lang w:val="en-CA" w:eastAsia="en-CA"/>
              </w:rPr>
            </w:pPr>
            <w:r w:rsidRPr="005F3DC7">
              <w:rPr>
                <w:sz w:val="20"/>
                <w:szCs w:val="20"/>
                <w:lang w:val="en-CA" w:eastAsia="en-CA"/>
              </w:rPr>
              <w:t> </w:t>
            </w:r>
          </w:p>
        </w:tc>
        <w:tc>
          <w:tcPr>
            <w:tcW w:w="1304" w:type="dxa"/>
            <w:tcBorders>
              <w:top w:val="nil"/>
              <w:left w:val="nil"/>
              <w:bottom w:val="single" w:sz="4" w:space="0" w:color="auto"/>
              <w:right w:val="single" w:sz="4" w:space="0" w:color="auto"/>
            </w:tcBorders>
            <w:shd w:val="clear" w:color="auto" w:fill="auto"/>
            <w:noWrap/>
            <w:hideMark/>
          </w:tcPr>
          <w:p w14:paraId="2D854832" w14:textId="77777777" w:rsidR="00BE78FD" w:rsidRPr="005F3DC7" w:rsidRDefault="00BE78FD" w:rsidP="00E00CF1">
            <w:pPr>
              <w:jc w:val="right"/>
              <w:rPr>
                <w:sz w:val="20"/>
                <w:szCs w:val="20"/>
                <w:lang w:val="en-CA" w:eastAsia="en-CA"/>
              </w:rPr>
            </w:pPr>
            <w:r w:rsidRPr="005F3DC7">
              <w:rPr>
                <w:sz w:val="20"/>
                <w:szCs w:val="20"/>
                <w:lang w:val="en-CA" w:eastAsia="en-CA"/>
              </w:rPr>
              <w:t>677</w:t>
            </w:r>
          </w:p>
        </w:tc>
        <w:tc>
          <w:tcPr>
            <w:tcW w:w="1248" w:type="dxa"/>
            <w:tcBorders>
              <w:top w:val="nil"/>
              <w:left w:val="nil"/>
              <w:bottom w:val="single" w:sz="4" w:space="0" w:color="auto"/>
              <w:right w:val="single" w:sz="4" w:space="0" w:color="auto"/>
            </w:tcBorders>
            <w:shd w:val="clear" w:color="auto" w:fill="auto"/>
            <w:noWrap/>
            <w:hideMark/>
          </w:tcPr>
          <w:p w14:paraId="6D2F67E0" w14:textId="77777777" w:rsidR="00BE78FD" w:rsidRPr="005F3DC7" w:rsidRDefault="00BE78FD" w:rsidP="00E00CF1">
            <w:pPr>
              <w:jc w:val="right"/>
              <w:rPr>
                <w:sz w:val="20"/>
                <w:szCs w:val="20"/>
                <w:lang w:val="en-CA" w:eastAsia="en-CA"/>
              </w:rPr>
            </w:pPr>
            <w:r w:rsidRPr="005F3DC7">
              <w:rPr>
                <w:sz w:val="20"/>
                <w:szCs w:val="20"/>
                <w:lang w:val="en-CA" w:eastAsia="en-CA"/>
              </w:rPr>
              <w:t>0</w:t>
            </w:r>
          </w:p>
        </w:tc>
      </w:tr>
      <w:tr w:rsidR="00BE78FD" w:rsidRPr="005F3DC7" w14:paraId="37F91118" w14:textId="77777777" w:rsidTr="00205FC4">
        <w:trPr>
          <w:trHeight w:val="264"/>
        </w:trPr>
        <w:tc>
          <w:tcPr>
            <w:tcW w:w="3256" w:type="dxa"/>
            <w:tcBorders>
              <w:top w:val="nil"/>
              <w:left w:val="single" w:sz="4" w:space="0" w:color="auto"/>
              <w:bottom w:val="single" w:sz="4" w:space="0" w:color="auto"/>
              <w:right w:val="single" w:sz="4" w:space="0" w:color="auto"/>
            </w:tcBorders>
            <w:shd w:val="clear" w:color="auto" w:fill="auto"/>
            <w:noWrap/>
            <w:hideMark/>
          </w:tcPr>
          <w:p w14:paraId="72CE99DD" w14:textId="77777777" w:rsidR="00BE78FD" w:rsidRPr="005F3DC7" w:rsidRDefault="00BE78FD" w:rsidP="00E00CF1">
            <w:pPr>
              <w:jc w:val="left"/>
              <w:rPr>
                <w:b/>
                <w:bCs/>
                <w:sz w:val="20"/>
                <w:szCs w:val="20"/>
                <w:lang w:val="en-CA" w:eastAsia="en-CA"/>
              </w:rPr>
            </w:pPr>
            <w:r w:rsidRPr="005F3DC7">
              <w:rPr>
                <w:b/>
                <w:bCs/>
                <w:sz w:val="20"/>
                <w:szCs w:val="20"/>
                <w:lang w:val="en-CA" w:eastAsia="en-CA"/>
              </w:rPr>
              <w:t xml:space="preserve">   Standard activities subtotal</w:t>
            </w:r>
          </w:p>
        </w:tc>
        <w:tc>
          <w:tcPr>
            <w:tcW w:w="1134" w:type="dxa"/>
            <w:tcBorders>
              <w:top w:val="nil"/>
              <w:left w:val="nil"/>
              <w:bottom w:val="single" w:sz="4" w:space="0" w:color="auto"/>
              <w:right w:val="single" w:sz="4" w:space="0" w:color="auto"/>
            </w:tcBorders>
            <w:shd w:val="clear" w:color="auto" w:fill="auto"/>
            <w:noWrap/>
            <w:hideMark/>
          </w:tcPr>
          <w:p w14:paraId="7AF1A253" w14:textId="77777777" w:rsidR="00BE78FD" w:rsidRPr="005F3DC7" w:rsidRDefault="00BE78FD" w:rsidP="00E00CF1">
            <w:pPr>
              <w:jc w:val="right"/>
              <w:rPr>
                <w:b/>
                <w:bCs/>
                <w:sz w:val="20"/>
                <w:szCs w:val="20"/>
                <w:lang w:val="en-CA" w:eastAsia="en-CA"/>
              </w:rPr>
            </w:pPr>
            <w:r w:rsidRPr="005F3DC7">
              <w:rPr>
                <w:b/>
                <w:bCs/>
                <w:sz w:val="20"/>
                <w:szCs w:val="20"/>
                <w:lang w:val="en-CA" w:eastAsia="en-CA"/>
              </w:rPr>
              <w:t>1,735</w:t>
            </w:r>
          </w:p>
        </w:tc>
        <w:tc>
          <w:tcPr>
            <w:tcW w:w="1275" w:type="dxa"/>
            <w:tcBorders>
              <w:top w:val="nil"/>
              <w:left w:val="nil"/>
              <w:bottom w:val="single" w:sz="4" w:space="0" w:color="auto"/>
              <w:right w:val="single" w:sz="4" w:space="0" w:color="auto"/>
            </w:tcBorders>
            <w:shd w:val="clear" w:color="auto" w:fill="auto"/>
            <w:noWrap/>
            <w:hideMark/>
          </w:tcPr>
          <w:p w14:paraId="22ED51D9" w14:textId="77777777" w:rsidR="00BE78FD" w:rsidRPr="005F3DC7" w:rsidRDefault="00BE78FD" w:rsidP="00E00CF1">
            <w:pPr>
              <w:jc w:val="right"/>
              <w:rPr>
                <w:b/>
                <w:bCs/>
                <w:sz w:val="20"/>
                <w:szCs w:val="20"/>
                <w:lang w:val="en-CA" w:eastAsia="en-CA"/>
              </w:rPr>
            </w:pPr>
            <w:r w:rsidRPr="005F3DC7">
              <w:rPr>
                <w:b/>
                <w:bCs/>
                <w:sz w:val="20"/>
                <w:szCs w:val="20"/>
                <w:lang w:val="en-CA" w:eastAsia="en-CA"/>
              </w:rPr>
              <w:t>2,412</w:t>
            </w:r>
          </w:p>
        </w:tc>
        <w:tc>
          <w:tcPr>
            <w:tcW w:w="1276" w:type="dxa"/>
            <w:tcBorders>
              <w:top w:val="nil"/>
              <w:left w:val="nil"/>
              <w:bottom w:val="single" w:sz="4" w:space="0" w:color="auto"/>
              <w:right w:val="single" w:sz="4" w:space="0" w:color="auto"/>
            </w:tcBorders>
            <w:shd w:val="clear" w:color="auto" w:fill="auto"/>
            <w:noWrap/>
            <w:hideMark/>
          </w:tcPr>
          <w:p w14:paraId="0569C9E0" w14:textId="77777777" w:rsidR="00BE78FD" w:rsidRPr="005F3DC7" w:rsidRDefault="00BE78FD" w:rsidP="00E00CF1">
            <w:pPr>
              <w:jc w:val="right"/>
              <w:rPr>
                <w:b/>
                <w:bCs/>
                <w:sz w:val="20"/>
                <w:szCs w:val="20"/>
                <w:lang w:val="en-CA" w:eastAsia="en-CA"/>
              </w:rPr>
            </w:pPr>
            <w:r w:rsidRPr="005F3DC7">
              <w:rPr>
                <w:b/>
                <w:bCs/>
                <w:sz w:val="20"/>
                <w:szCs w:val="20"/>
                <w:lang w:val="en-CA" w:eastAsia="en-CA"/>
              </w:rPr>
              <w:t>1,735</w:t>
            </w:r>
          </w:p>
        </w:tc>
        <w:tc>
          <w:tcPr>
            <w:tcW w:w="1304" w:type="dxa"/>
            <w:tcBorders>
              <w:top w:val="nil"/>
              <w:left w:val="nil"/>
              <w:bottom w:val="single" w:sz="4" w:space="0" w:color="auto"/>
              <w:right w:val="single" w:sz="4" w:space="0" w:color="auto"/>
            </w:tcBorders>
            <w:shd w:val="clear" w:color="auto" w:fill="auto"/>
            <w:noWrap/>
            <w:hideMark/>
          </w:tcPr>
          <w:p w14:paraId="46725A43" w14:textId="77777777" w:rsidR="00BE78FD" w:rsidRPr="005F3DC7" w:rsidRDefault="00BE78FD" w:rsidP="00E00CF1">
            <w:pPr>
              <w:jc w:val="right"/>
              <w:rPr>
                <w:b/>
                <w:bCs/>
                <w:sz w:val="20"/>
                <w:szCs w:val="20"/>
                <w:lang w:val="en-CA" w:eastAsia="en-CA"/>
              </w:rPr>
            </w:pPr>
            <w:r w:rsidRPr="005F3DC7">
              <w:rPr>
                <w:b/>
                <w:bCs/>
                <w:sz w:val="20"/>
                <w:szCs w:val="20"/>
                <w:lang w:val="en-CA" w:eastAsia="en-CA"/>
              </w:rPr>
              <w:t>5,882</w:t>
            </w:r>
          </w:p>
        </w:tc>
        <w:tc>
          <w:tcPr>
            <w:tcW w:w="1248" w:type="dxa"/>
            <w:tcBorders>
              <w:top w:val="nil"/>
              <w:left w:val="nil"/>
              <w:bottom w:val="single" w:sz="4" w:space="0" w:color="auto"/>
              <w:right w:val="single" w:sz="4" w:space="0" w:color="auto"/>
            </w:tcBorders>
            <w:shd w:val="clear" w:color="auto" w:fill="auto"/>
            <w:noWrap/>
            <w:hideMark/>
          </w:tcPr>
          <w:p w14:paraId="2BFD858C" w14:textId="77777777" w:rsidR="00BE78FD" w:rsidRPr="005F3DC7" w:rsidRDefault="00BE78FD" w:rsidP="00E00CF1">
            <w:pPr>
              <w:jc w:val="right"/>
              <w:rPr>
                <w:b/>
                <w:bCs/>
                <w:sz w:val="20"/>
                <w:szCs w:val="20"/>
                <w:lang w:val="en-CA" w:eastAsia="en-CA"/>
              </w:rPr>
            </w:pPr>
            <w:r w:rsidRPr="005F3DC7">
              <w:rPr>
                <w:b/>
                <w:bCs/>
                <w:sz w:val="20"/>
                <w:szCs w:val="20"/>
                <w:lang w:val="en-CA" w:eastAsia="en-CA"/>
              </w:rPr>
              <w:t>0</w:t>
            </w:r>
          </w:p>
        </w:tc>
      </w:tr>
      <w:tr w:rsidR="00BE78FD" w:rsidRPr="005F3DC7" w14:paraId="36ABC063" w14:textId="77777777" w:rsidTr="00205FC4">
        <w:trPr>
          <w:trHeight w:val="264"/>
        </w:trPr>
        <w:tc>
          <w:tcPr>
            <w:tcW w:w="3256" w:type="dxa"/>
            <w:tcBorders>
              <w:top w:val="nil"/>
              <w:left w:val="single" w:sz="4" w:space="0" w:color="auto"/>
              <w:bottom w:val="single" w:sz="4" w:space="0" w:color="auto"/>
              <w:right w:val="single" w:sz="4" w:space="0" w:color="auto"/>
            </w:tcBorders>
            <w:shd w:val="clear" w:color="auto" w:fill="auto"/>
            <w:noWrap/>
            <w:hideMark/>
          </w:tcPr>
          <w:p w14:paraId="69119943" w14:textId="77777777" w:rsidR="00BE78FD" w:rsidRPr="005F3DC7" w:rsidRDefault="00BE78FD" w:rsidP="00E00CF1">
            <w:pPr>
              <w:jc w:val="left"/>
              <w:rPr>
                <w:b/>
                <w:bCs/>
                <w:sz w:val="20"/>
                <w:szCs w:val="20"/>
                <w:lang w:val="en-CA" w:eastAsia="en-CA"/>
              </w:rPr>
            </w:pPr>
            <w:r w:rsidRPr="005F3DC7">
              <w:rPr>
                <w:b/>
                <w:bCs/>
                <w:sz w:val="20"/>
                <w:szCs w:val="20"/>
                <w:lang w:val="en-CA" w:eastAsia="en-CA"/>
              </w:rPr>
              <w:t>Grand total</w:t>
            </w:r>
          </w:p>
        </w:tc>
        <w:tc>
          <w:tcPr>
            <w:tcW w:w="1134" w:type="dxa"/>
            <w:tcBorders>
              <w:top w:val="nil"/>
              <w:left w:val="nil"/>
              <w:bottom w:val="single" w:sz="4" w:space="0" w:color="auto"/>
              <w:right w:val="single" w:sz="4" w:space="0" w:color="auto"/>
            </w:tcBorders>
            <w:shd w:val="clear" w:color="auto" w:fill="auto"/>
            <w:noWrap/>
            <w:hideMark/>
          </w:tcPr>
          <w:p w14:paraId="63318D7C" w14:textId="77777777" w:rsidR="00BE78FD" w:rsidRPr="005F3DC7" w:rsidRDefault="00BE78FD" w:rsidP="00E00CF1">
            <w:pPr>
              <w:jc w:val="right"/>
              <w:rPr>
                <w:b/>
                <w:bCs/>
                <w:sz w:val="20"/>
                <w:szCs w:val="20"/>
                <w:lang w:val="en-CA" w:eastAsia="en-CA"/>
              </w:rPr>
            </w:pPr>
            <w:r w:rsidRPr="005F3DC7">
              <w:rPr>
                <w:b/>
                <w:bCs/>
                <w:sz w:val="20"/>
                <w:szCs w:val="20"/>
                <w:lang w:val="en-CA" w:eastAsia="en-CA"/>
              </w:rPr>
              <w:t>55,966</w:t>
            </w:r>
          </w:p>
        </w:tc>
        <w:tc>
          <w:tcPr>
            <w:tcW w:w="1275" w:type="dxa"/>
            <w:tcBorders>
              <w:top w:val="nil"/>
              <w:left w:val="nil"/>
              <w:bottom w:val="single" w:sz="4" w:space="0" w:color="auto"/>
              <w:right w:val="single" w:sz="4" w:space="0" w:color="auto"/>
            </w:tcBorders>
            <w:shd w:val="clear" w:color="auto" w:fill="auto"/>
            <w:noWrap/>
            <w:hideMark/>
          </w:tcPr>
          <w:p w14:paraId="7F0DA855" w14:textId="77777777" w:rsidR="00BE78FD" w:rsidRPr="005F3DC7" w:rsidRDefault="00BE78FD" w:rsidP="00E00CF1">
            <w:pPr>
              <w:jc w:val="right"/>
              <w:rPr>
                <w:b/>
                <w:bCs/>
                <w:sz w:val="20"/>
                <w:szCs w:val="20"/>
                <w:lang w:val="en-CA" w:eastAsia="en-CA"/>
              </w:rPr>
            </w:pPr>
            <w:r w:rsidRPr="005F3DC7">
              <w:rPr>
                <w:b/>
                <w:bCs/>
                <w:sz w:val="20"/>
                <w:szCs w:val="20"/>
                <w:lang w:val="en-CA" w:eastAsia="en-CA"/>
              </w:rPr>
              <w:t>57,604</w:t>
            </w:r>
          </w:p>
        </w:tc>
        <w:tc>
          <w:tcPr>
            <w:tcW w:w="1276" w:type="dxa"/>
            <w:tcBorders>
              <w:top w:val="nil"/>
              <w:left w:val="nil"/>
              <w:bottom w:val="single" w:sz="4" w:space="0" w:color="auto"/>
              <w:right w:val="single" w:sz="4" w:space="0" w:color="auto"/>
            </w:tcBorders>
            <w:shd w:val="clear" w:color="auto" w:fill="auto"/>
            <w:noWrap/>
            <w:hideMark/>
          </w:tcPr>
          <w:p w14:paraId="49FFC05C" w14:textId="77777777" w:rsidR="00BE78FD" w:rsidRPr="005F3DC7" w:rsidRDefault="00BE78FD" w:rsidP="00E00CF1">
            <w:pPr>
              <w:jc w:val="right"/>
              <w:rPr>
                <w:b/>
                <w:bCs/>
                <w:sz w:val="20"/>
                <w:szCs w:val="20"/>
                <w:lang w:val="en-CA" w:eastAsia="en-CA"/>
              </w:rPr>
            </w:pPr>
            <w:r w:rsidRPr="005F3DC7">
              <w:rPr>
                <w:b/>
                <w:bCs/>
                <w:sz w:val="20"/>
                <w:szCs w:val="20"/>
                <w:lang w:val="en-CA" w:eastAsia="en-CA"/>
              </w:rPr>
              <w:t>49,854</w:t>
            </w:r>
          </w:p>
        </w:tc>
        <w:tc>
          <w:tcPr>
            <w:tcW w:w="1304" w:type="dxa"/>
            <w:tcBorders>
              <w:top w:val="nil"/>
              <w:left w:val="nil"/>
              <w:bottom w:val="single" w:sz="4" w:space="0" w:color="auto"/>
              <w:right w:val="single" w:sz="4" w:space="0" w:color="auto"/>
            </w:tcBorders>
            <w:shd w:val="clear" w:color="auto" w:fill="auto"/>
            <w:noWrap/>
            <w:hideMark/>
          </w:tcPr>
          <w:p w14:paraId="73837072" w14:textId="77777777" w:rsidR="00BE78FD" w:rsidRPr="005F3DC7" w:rsidRDefault="00BE78FD" w:rsidP="00E00CF1">
            <w:pPr>
              <w:jc w:val="right"/>
              <w:rPr>
                <w:b/>
                <w:bCs/>
                <w:sz w:val="20"/>
                <w:szCs w:val="20"/>
                <w:lang w:val="en-CA" w:eastAsia="en-CA"/>
              </w:rPr>
            </w:pPr>
            <w:r w:rsidRPr="005F3DC7">
              <w:rPr>
                <w:b/>
                <w:bCs/>
                <w:sz w:val="20"/>
                <w:szCs w:val="20"/>
                <w:lang w:val="en-CA" w:eastAsia="en-CA"/>
              </w:rPr>
              <w:t>163,423</w:t>
            </w:r>
          </w:p>
        </w:tc>
        <w:tc>
          <w:tcPr>
            <w:tcW w:w="1248" w:type="dxa"/>
            <w:tcBorders>
              <w:top w:val="nil"/>
              <w:left w:val="nil"/>
              <w:bottom w:val="single" w:sz="4" w:space="0" w:color="auto"/>
              <w:right w:val="single" w:sz="4" w:space="0" w:color="auto"/>
            </w:tcBorders>
            <w:shd w:val="clear" w:color="auto" w:fill="auto"/>
            <w:noWrap/>
            <w:hideMark/>
          </w:tcPr>
          <w:p w14:paraId="147DBC41" w14:textId="77777777" w:rsidR="00BE78FD" w:rsidRPr="005F3DC7" w:rsidRDefault="00BE78FD" w:rsidP="00E00CF1">
            <w:pPr>
              <w:jc w:val="right"/>
              <w:rPr>
                <w:b/>
                <w:bCs/>
                <w:sz w:val="20"/>
                <w:szCs w:val="20"/>
                <w:lang w:val="en-CA" w:eastAsia="en-CA"/>
              </w:rPr>
            </w:pPr>
            <w:r w:rsidRPr="005F3DC7">
              <w:rPr>
                <w:b/>
                <w:bCs/>
                <w:sz w:val="20"/>
                <w:szCs w:val="20"/>
                <w:lang w:val="en-CA" w:eastAsia="en-CA"/>
              </w:rPr>
              <w:t>290,458</w:t>
            </w:r>
          </w:p>
        </w:tc>
      </w:tr>
    </w:tbl>
    <w:p w14:paraId="76006756" w14:textId="77777777" w:rsidR="00BE78FD" w:rsidRPr="005F3DC7" w:rsidRDefault="00BE78FD" w:rsidP="00BE78FD">
      <w:pPr>
        <w:rPr>
          <w:sz w:val="18"/>
          <w:szCs w:val="18"/>
        </w:rPr>
      </w:pPr>
      <w:r w:rsidRPr="005F3DC7">
        <w:rPr>
          <w:sz w:val="18"/>
          <w:szCs w:val="18"/>
        </w:rPr>
        <w:t xml:space="preserve">* Including agency support cost where applicable.  </w:t>
      </w:r>
    </w:p>
    <w:p w14:paraId="08893220" w14:textId="77777777" w:rsidR="00BE78FD" w:rsidRPr="005F3DC7" w:rsidRDefault="00BE78FD" w:rsidP="00BE78FD"/>
    <w:p w14:paraId="1254AE0D" w14:textId="77777777" w:rsidR="00BE78FD" w:rsidRPr="005F3DC7" w:rsidRDefault="00BE78FD" w:rsidP="00BE78FD">
      <w:pPr>
        <w:keepNext/>
        <w:jc w:val="left"/>
        <w:rPr>
          <w:b/>
        </w:rPr>
      </w:pPr>
      <w:r w:rsidRPr="005F3DC7">
        <w:rPr>
          <w:b/>
        </w:rPr>
        <w:t>Performance indicators</w:t>
      </w:r>
    </w:p>
    <w:p w14:paraId="55A5D395" w14:textId="77777777" w:rsidR="00BE78FD" w:rsidRPr="005F3DC7" w:rsidRDefault="00BE78FD" w:rsidP="00BE78FD">
      <w:pPr>
        <w:keepNext/>
        <w:jc w:val="left"/>
      </w:pPr>
    </w:p>
    <w:p w14:paraId="55B2D112" w14:textId="77777777" w:rsidR="00BE78FD" w:rsidRPr="005F3DC7" w:rsidRDefault="00BE78FD" w:rsidP="00BE78FD">
      <w:pPr>
        <w:pStyle w:val="Heading1"/>
      </w:pPr>
      <w:r w:rsidRPr="005F3DC7">
        <w:t>The World Bank submitted performance indicators pursuant to decision 71/28 in its business plan narrative. The</w:t>
      </w:r>
      <w:r>
        <w:t xml:space="preserve"> </w:t>
      </w:r>
      <w:r w:rsidRPr="005F3DC7">
        <w:t xml:space="preserve">Secretariat </w:t>
      </w:r>
      <w:r>
        <w:t xml:space="preserve">informed </w:t>
      </w:r>
      <w:r w:rsidRPr="005F3DC7">
        <w:t xml:space="preserve">the World Bank </w:t>
      </w:r>
      <w:r>
        <w:t>of</w:t>
      </w:r>
      <w:r w:rsidRPr="005F3DC7">
        <w:t xml:space="preserve"> the targets shown in Table 5.</w:t>
      </w:r>
    </w:p>
    <w:p w14:paraId="480B867E" w14:textId="77777777" w:rsidR="00BE78FD" w:rsidRPr="005F3DC7" w:rsidRDefault="00BE78FD" w:rsidP="00BE78FD">
      <w:pPr>
        <w:pStyle w:val="subhead"/>
        <w:keepNext/>
        <w:jc w:val="left"/>
        <w:rPr>
          <w:b/>
          <w:sz w:val="22"/>
          <w:szCs w:val="22"/>
        </w:rPr>
      </w:pPr>
      <w:r w:rsidRPr="005F3DC7">
        <w:rPr>
          <w:b/>
          <w:sz w:val="22"/>
          <w:szCs w:val="22"/>
        </w:rPr>
        <w:lastRenderedPageBreak/>
        <w:t>Table 5: Performance indicators for the World Bank</w:t>
      </w:r>
      <w:r>
        <w:rPr>
          <w:b/>
          <w:sz w:val="22"/>
          <w:szCs w:val="22"/>
        </w:rPr>
        <w:t xml:space="preserve"> for 2019</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3"/>
        <w:gridCol w:w="4011"/>
        <w:gridCol w:w="1522"/>
      </w:tblGrid>
      <w:tr w:rsidR="00BE78FD" w:rsidRPr="005F3DC7" w14:paraId="1BF44C6F" w14:textId="77777777" w:rsidTr="00540347">
        <w:trPr>
          <w:tblHeader/>
          <w:jc w:val="center"/>
        </w:trPr>
        <w:tc>
          <w:tcPr>
            <w:tcW w:w="1701" w:type="dxa"/>
            <w:shd w:val="clear" w:color="auto" w:fill="auto"/>
            <w:hideMark/>
          </w:tcPr>
          <w:p w14:paraId="7D335946" w14:textId="77777777" w:rsidR="00BE78FD" w:rsidRPr="005F3DC7" w:rsidRDefault="00BE78FD" w:rsidP="00E00CF1">
            <w:pPr>
              <w:keepNext/>
              <w:jc w:val="left"/>
              <w:rPr>
                <w:b/>
                <w:bCs/>
                <w:sz w:val="20"/>
                <w:szCs w:val="20"/>
                <w:lang w:val="en-CA" w:eastAsia="en-CA"/>
              </w:rPr>
            </w:pPr>
            <w:r w:rsidRPr="005F3DC7">
              <w:rPr>
                <w:b/>
                <w:bCs/>
                <w:sz w:val="20"/>
                <w:szCs w:val="20"/>
                <w:lang w:val="en-CA" w:eastAsia="en-CA"/>
              </w:rPr>
              <w:t xml:space="preserve">Type of indicator </w:t>
            </w:r>
          </w:p>
        </w:tc>
        <w:tc>
          <w:tcPr>
            <w:tcW w:w="2263" w:type="dxa"/>
            <w:shd w:val="clear" w:color="auto" w:fill="auto"/>
            <w:hideMark/>
          </w:tcPr>
          <w:p w14:paraId="35F4D9E7" w14:textId="77777777" w:rsidR="00BE78FD" w:rsidRPr="005F3DC7" w:rsidRDefault="00BE78FD" w:rsidP="00E00CF1">
            <w:pPr>
              <w:keepNext/>
              <w:jc w:val="center"/>
              <w:rPr>
                <w:b/>
                <w:bCs/>
                <w:sz w:val="20"/>
                <w:szCs w:val="20"/>
                <w:lang w:val="en-CA" w:eastAsia="en-CA"/>
              </w:rPr>
            </w:pPr>
            <w:r w:rsidRPr="005F3DC7">
              <w:rPr>
                <w:b/>
                <w:bCs/>
                <w:sz w:val="20"/>
                <w:szCs w:val="20"/>
                <w:lang w:val="en-CA" w:eastAsia="en-CA"/>
              </w:rPr>
              <w:t>Short title</w:t>
            </w:r>
          </w:p>
        </w:tc>
        <w:tc>
          <w:tcPr>
            <w:tcW w:w="4011" w:type="dxa"/>
            <w:shd w:val="clear" w:color="auto" w:fill="auto"/>
            <w:hideMark/>
          </w:tcPr>
          <w:p w14:paraId="0D5835FB" w14:textId="77777777" w:rsidR="00BE78FD" w:rsidRPr="005F3DC7" w:rsidRDefault="00BE78FD" w:rsidP="00E00CF1">
            <w:pPr>
              <w:keepNext/>
              <w:jc w:val="center"/>
              <w:rPr>
                <w:b/>
                <w:bCs/>
                <w:sz w:val="20"/>
                <w:szCs w:val="20"/>
                <w:lang w:val="en-CA" w:eastAsia="en-CA"/>
              </w:rPr>
            </w:pPr>
            <w:r w:rsidRPr="005F3DC7">
              <w:rPr>
                <w:b/>
                <w:bCs/>
                <w:sz w:val="20"/>
                <w:szCs w:val="20"/>
                <w:lang w:val="en-CA" w:eastAsia="en-CA"/>
              </w:rPr>
              <w:t>Calculation</w:t>
            </w:r>
          </w:p>
        </w:tc>
        <w:tc>
          <w:tcPr>
            <w:tcW w:w="1522" w:type="dxa"/>
          </w:tcPr>
          <w:p w14:paraId="0C1BA778" w14:textId="77777777" w:rsidR="00BE78FD" w:rsidRPr="005F3DC7" w:rsidRDefault="00BE78FD" w:rsidP="00E00CF1">
            <w:pPr>
              <w:keepNext/>
              <w:jc w:val="center"/>
              <w:rPr>
                <w:b/>
                <w:bCs/>
                <w:sz w:val="20"/>
                <w:szCs w:val="20"/>
                <w:lang w:val="en-CA" w:eastAsia="en-CA"/>
              </w:rPr>
            </w:pPr>
            <w:r w:rsidRPr="005F3DC7">
              <w:rPr>
                <w:b/>
                <w:bCs/>
                <w:sz w:val="20"/>
                <w:szCs w:val="20"/>
                <w:lang w:val="en-CA" w:eastAsia="en-CA"/>
              </w:rPr>
              <w:t>2019 target</w:t>
            </w:r>
          </w:p>
        </w:tc>
      </w:tr>
      <w:tr w:rsidR="00BE78FD" w:rsidRPr="005F3DC7" w14:paraId="1AA22EE2" w14:textId="77777777" w:rsidTr="00540347">
        <w:trPr>
          <w:jc w:val="center"/>
        </w:trPr>
        <w:tc>
          <w:tcPr>
            <w:tcW w:w="1701" w:type="dxa"/>
            <w:shd w:val="clear" w:color="auto" w:fill="auto"/>
          </w:tcPr>
          <w:p w14:paraId="06250DC1" w14:textId="77777777" w:rsidR="00BE78FD" w:rsidRDefault="00BE78FD" w:rsidP="00E00CF1">
            <w:pPr>
              <w:keepNext/>
              <w:jc w:val="left"/>
              <w:rPr>
                <w:sz w:val="20"/>
                <w:szCs w:val="20"/>
                <w:lang w:val="en-US"/>
              </w:rPr>
            </w:pPr>
            <w:r>
              <w:rPr>
                <w:sz w:val="20"/>
                <w:szCs w:val="20"/>
                <w:lang w:val="en-US"/>
              </w:rPr>
              <w:t>Planning--</w:t>
            </w:r>
          </w:p>
          <w:p w14:paraId="568D46E8" w14:textId="77777777" w:rsidR="00BE78FD" w:rsidRPr="005F3DC7" w:rsidRDefault="00BE78FD" w:rsidP="00E00CF1">
            <w:pPr>
              <w:keepNext/>
              <w:jc w:val="left"/>
              <w:rPr>
                <w:sz w:val="20"/>
                <w:szCs w:val="20"/>
                <w:lang w:val="en-CA" w:eastAsia="en-CA"/>
              </w:rPr>
            </w:pPr>
            <w:r w:rsidRPr="005F3DC7">
              <w:rPr>
                <w:sz w:val="20"/>
                <w:szCs w:val="20"/>
                <w:lang w:val="en-US"/>
              </w:rPr>
              <w:t>Approval</w:t>
            </w:r>
          </w:p>
        </w:tc>
        <w:tc>
          <w:tcPr>
            <w:tcW w:w="2263" w:type="dxa"/>
            <w:shd w:val="clear" w:color="auto" w:fill="auto"/>
          </w:tcPr>
          <w:p w14:paraId="04E6090D" w14:textId="77777777" w:rsidR="00BE78FD" w:rsidRPr="005F3DC7" w:rsidRDefault="00BE78FD" w:rsidP="00E00CF1">
            <w:pPr>
              <w:keepNext/>
              <w:jc w:val="left"/>
              <w:rPr>
                <w:sz w:val="20"/>
                <w:szCs w:val="20"/>
                <w:lang w:val="en-CA" w:eastAsia="en-CA"/>
              </w:rPr>
            </w:pPr>
            <w:r w:rsidRPr="005F3DC7">
              <w:rPr>
                <w:sz w:val="20"/>
                <w:szCs w:val="20"/>
                <w:lang w:val="en-US"/>
              </w:rPr>
              <w:t>Tranches approved</w:t>
            </w:r>
          </w:p>
        </w:tc>
        <w:tc>
          <w:tcPr>
            <w:tcW w:w="4011" w:type="dxa"/>
            <w:shd w:val="clear" w:color="auto" w:fill="auto"/>
          </w:tcPr>
          <w:p w14:paraId="07F5F83D" w14:textId="77777777" w:rsidR="00BE78FD" w:rsidRPr="005F3DC7" w:rsidRDefault="00BE78FD" w:rsidP="00E00CF1">
            <w:pPr>
              <w:keepNext/>
              <w:jc w:val="left"/>
              <w:rPr>
                <w:sz w:val="20"/>
                <w:szCs w:val="20"/>
                <w:lang w:val="en-CA" w:eastAsia="en-CA"/>
              </w:rPr>
            </w:pPr>
            <w:r w:rsidRPr="005F3DC7">
              <w:rPr>
                <w:sz w:val="20"/>
                <w:szCs w:val="20"/>
                <w:lang w:val="en-US"/>
              </w:rPr>
              <w:t>Number of tranches approved vs. those planned*</w:t>
            </w:r>
          </w:p>
        </w:tc>
        <w:tc>
          <w:tcPr>
            <w:tcW w:w="1522" w:type="dxa"/>
          </w:tcPr>
          <w:p w14:paraId="0240FEB3" w14:textId="77777777" w:rsidR="00BE78FD" w:rsidRPr="005F3DC7" w:rsidRDefault="00BE78FD" w:rsidP="00E00CF1">
            <w:pPr>
              <w:keepNext/>
              <w:jc w:val="right"/>
              <w:rPr>
                <w:iCs/>
                <w:sz w:val="20"/>
                <w:szCs w:val="20"/>
                <w:lang w:eastAsia="zh-CN"/>
              </w:rPr>
            </w:pPr>
            <w:r w:rsidRPr="005F3DC7">
              <w:rPr>
                <w:iCs/>
                <w:sz w:val="20"/>
                <w:szCs w:val="20"/>
                <w:lang w:eastAsia="zh-CN"/>
              </w:rPr>
              <w:t>5</w:t>
            </w:r>
          </w:p>
          <w:p w14:paraId="1277D7E5" w14:textId="77777777" w:rsidR="00BE78FD" w:rsidRPr="005F3DC7" w:rsidRDefault="00BE78FD" w:rsidP="00E00CF1">
            <w:pPr>
              <w:keepNext/>
              <w:jc w:val="center"/>
              <w:rPr>
                <w:sz w:val="20"/>
                <w:szCs w:val="20"/>
                <w:lang w:val="en-CA" w:eastAsia="en-CA"/>
              </w:rPr>
            </w:pPr>
          </w:p>
        </w:tc>
      </w:tr>
      <w:tr w:rsidR="00BE78FD" w:rsidRPr="005F3DC7" w14:paraId="4F01E2FB" w14:textId="77777777" w:rsidTr="00540347">
        <w:trPr>
          <w:jc w:val="center"/>
        </w:trPr>
        <w:tc>
          <w:tcPr>
            <w:tcW w:w="1701" w:type="dxa"/>
            <w:shd w:val="clear" w:color="auto" w:fill="auto"/>
          </w:tcPr>
          <w:p w14:paraId="5AED518B" w14:textId="77777777" w:rsidR="00BE78FD" w:rsidRDefault="00BE78FD" w:rsidP="00E00CF1">
            <w:pPr>
              <w:keepNext/>
              <w:jc w:val="left"/>
              <w:rPr>
                <w:sz w:val="20"/>
                <w:szCs w:val="20"/>
                <w:lang w:val="en-US"/>
              </w:rPr>
            </w:pPr>
            <w:r>
              <w:rPr>
                <w:sz w:val="20"/>
                <w:szCs w:val="20"/>
                <w:lang w:val="en-US"/>
              </w:rPr>
              <w:t>Planning--</w:t>
            </w:r>
          </w:p>
          <w:p w14:paraId="5D5E193C" w14:textId="77777777" w:rsidR="00BE78FD" w:rsidRPr="005F3DC7" w:rsidRDefault="00BE78FD" w:rsidP="00E00CF1">
            <w:pPr>
              <w:keepNext/>
              <w:jc w:val="left"/>
              <w:rPr>
                <w:sz w:val="20"/>
                <w:szCs w:val="20"/>
                <w:lang w:val="en-CA" w:eastAsia="en-CA"/>
              </w:rPr>
            </w:pPr>
            <w:r w:rsidRPr="005F3DC7">
              <w:rPr>
                <w:sz w:val="20"/>
                <w:szCs w:val="20"/>
                <w:lang w:val="en-US"/>
              </w:rPr>
              <w:t>Approval</w:t>
            </w:r>
          </w:p>
        </w:tc>
        <w:tc>
          <w:tcPr>
            <w:tcW w:w="2263" w:type="dxa"/>
            <w:shd w:val="clear" w:color="auto" w:fill="auto"/>
          </w:tcPr>
          <w:p w14:paraId="7DFB0788" w14:textId="77777777" w:rsidR="00BE78FD" w:rsidRPr="005F3DC7" w:rsidRDefault="00BE78FD" w:rsidP="00E00CF1">
            <w:pPr>
              <w:autoSpaceDE w:val="0"/>
              <w:autoSpaceDN w:val="0"/>
              <w:adjustRightInd w:val="0"/>
              <w:jc w:val="left"/>
              <w:rPr>
                <w:sz w:val="20"/>
                <w:szCs w:val="20"/>
                <w:lang w:val="en-US"/>
              </w:rPr>
            </w:pPr>
            <w:r w:rsidRPr="005F3DC7">
              <w:rPr>
                <w:sz w:val="20"/>
                <w:szCs w:val="20"/>
                <w:lang w:val="en-US"/>
              </w:rPr>
              <w:t>Projects/activities</w:t>
            </w:r>
          </w:p>
          <w:p w14:paraId="225CEC76" w14:textId="77777777" w:rsidR="00BE78FD" w:rsidRPr="005F3DC7" w:rsidRDefault="00BE78FD" w:rsidP="00E00CF1">
            <w:pPr>
              <w:keepNext/>
              <w:jc w:val="left"/>
              <w:rPr>
                <w:sz w:val="20"/>
                <w:szCs w:val="20"/>
                <w:lang w:val="en-CA" w:eastAsia="en-CA"/>
              </w:rPr>
            </w:pPr>
            <w:r w:rsidRPr="005F3DC7">
              <w:rPr>
                <w:sz w:val="20"/>
                <w:szCs w:val="20"/>
                <w:lang w:val="en-US"/>
              </w:rPr>
              <w:t>approved</w:t>
            </w:r>
          </w:p>
        </w:tc>
        <w:tc>
          <w:tcPr>
            <w:tcW w:w="4011" w:type="dxa"/>
            <w:shd w:val="clear" w:color="auto" w:fill="auto"/>
          </w:tcPr>
          <w:p w14:paraId="61E82EAD" w14:textId="77777777" w:rsidR="00BE78FD" w:rsidRPr="005F3DC7" w:rsidRDefault="00BE78FD" w:rsidP="00E00CF1">
            <w:pPr>
              <w:autoSpaceDE w:val="0"/>
              <w:autoSpaceDN w:val="0"/>
              <w:adjustRightInd w:val="0"/>
              <w:jc w:val="left"/>
              <w:rPr>
                <w:sz w:val="20"/>
                <w:szCs w:val="20"/>
                <w:lang w:val="en-US"/>
              </w:rPr>
            </w:pPr>
            <w:r w:rsidRPr="005F3DC7">
              <w:rPr>
                <w:sz w:val="20"/>
                <w:szCs w:val="20"/>
                <w:lang w:val="en-US"/>
              </w:rPr>
              <w:t>Number of projects/activities approved vs. those</w:t>
            </w:r>
            <w:r>
              <w:rPr>
                <w:sz w:val="20"/>
                <w:szCs w:val="20"/>
                <w:lang w:val="en-US"/>
              </w:rPr>
              <w:t xml:space="preserve"> </w:t>
            </w:r>
            <w:r w:rsidRPr="005F3DC7">
              <w:rPr>
                <w:sz w:val="20"/>
                <w:szCs w:val="20"/>
                <w:lang w:val="en-US"/>
              </w:rPr>
              <w:t>planned (including project preparation</w:t>
            </w:r>
          </w:p>
          <w:p w14:paraId="23538B73" w14:textId="77777777" w:rsidR="00BE78FD" w:rsidRPr="005F3DC7" w:rsidRDefault="00BE78FD" w:rsidP="00E00CF1">
            <w:pPr>
              <w:keepNext/>
              <w:jc w:val="left"/>
              <w:rPr>
                <w:sz w:val="20"/>
                <w:szCs w:val="20"/>
                <w:lang w:val="en-CA" w:eastAsia="en-CA"/>
              </w:rPr>
            </w:pPr>
            <w:r w:rsidRPr="005F3DC7">
              <w:rPr>
                <w:sz w:val="20"/>
                <w:szCs w:val="20"/>
                <w:lang w:val="en-US"/>
              </w:rPr>
              <w:t>activities)**</w:t>
            </w:r>
          </w:p>
        </w:tc>
        <w:tc>
          <w:tcPr>
            <w:tcW w:w="1522" w:type="dxa"/>
          </w:tcPr>
          <w:p w14:paraId="57198422" w14:textId="77777777" w:rsidR="00BE78FD" w:rsidRPr="005F3DC7" w:rsidRDefault="00BE78FD" w:rsidP="00E00CF1">
            <w:pPr>
              <w:jc w:val="right"/>
              <w:rPr>
                <w:sz w:val="20"/>
                <w:szCs w:val="20"/>
              </w:rPr>
            </w:pPr>
            <w:r w:rsidRPr="005F3DC7">
              <w:rPr>
                <w:sz w:val="20"/>
                <w:szCs w:val="20"/>
              </w:rPr>
              <w:t>1</w:t>
            </w:r>
          </w:p>
          <w:p w14:paraId="08EEDF87" w14:textId="77777777" w:rsidR="00BE78FD" w:rsidRPr="005F3DC7" w:rsidRDefault="00BE78FD" w:rsidP="00E00CF1">
            <w:pPr>
              <w:jc w:val="right"/>
              <w:rPr>
                <w:sz w:val="20"/>
                <w:szCs w:val="20"/>
              </w:rPr>
            </w:pPr>
          </w:p>
        </w:tc>
      </w:tr>
      <w:tr w:rsidR="00BE78FD" w:rsidRPr="005F3DC7" w14:paraId="279F1045" w14:textId="77777777" w:rsidTr="00540347">
        <w:trPr>
          <w:jc w:val="center"/>
        </w:trPr>
        <w:tc>
          <w:tcPr>
            <w:tcW w:w="1701" w:type="dxa"/>
            <w:shd w:val="clear" w:color="auto" w:fill="auto"/>
          </w:tcPr>
          <w:p w14:paraId="166DA615" w14:textId="77777777" w:rsidR="00BE78FD" w:rsidRPr="005F3DC7" w:rsidRDefault="00BE78FD" w:rsidP="00E00CF1">
            <w:pPr>
              <w:jc w:val="left"/>
              <w:rPr>
                <w:sz w:val="20"/>
                <w:szCs w:val="20"/>
                <w:lang w:val="en-CA" w:eastAsia="en-CA"/>
              </w:rPr>
            </w:pPr>
            <w:r w:rsidRPr="005F3DC7">
              <w:rPr>
                <w:sz w:val="20"/>
                <w:szCs w:val="20"/>
                <w:lang w:val="en-US"/>
              </w:rPr>
              <w:t>Implementation</w:t>
            </w:r>
          </w:p>
        </w:tc>
        <w:tc>
          <w:tcPr>
            <w:tcW w:w="2263" w:type="dxa"/>
            <w:shd w:val="clear" w:color="auto" w:fill="auto"/>
          </w:tcPr>
          <w:p w14:paraId="07892084" w14:textId="77777777" w:rsidR="00BE78FD" w:rsidRPr="005F3DC7" w:rsidRDefault="00BE78FD" w:rsidP="00E00CF1">
            <w:pPr>
              <w:jc w:val="left"/>
              <w:rPr>
                <w:sz w:val="20"/>
                <w:szCs w:val="20"/>
                <w:lang w:val="en-CA" w:eastAsia="en-CA"/>
              </w:rPr>
            </w:pPr>
            <w:r w:rsidRPr="005F3DC7">
              <w:rPr>
                <w:sz w:val="20"/>
                <w:szCs w:val="20"/>
                <w:lang w:val="en-US"/>
              </w:rPr>
              <w:t>Funds disbursed</w:t>
            </w:r>
          </w:p>
        </w:tc>
        <w:tc>
          <w:tcPr>
            <w:tcW w:w="4011" w:type="dxa"/>
            <w:shd w:val="clear" w:color="auto" w:fill="auto"/>
          </w:tcPr>
          <w:p w14:paraId="32B113DD" w14:textId="77777777" w:rsidR="00BE78FD" w:rsidRPr="005F3DC7" w:rsidRDefault="00BE78FD" w:rsidP="00E00CF1">
            <w:pPr>
              <w:autoSpaceDE w:val="0"/>
              <w:autoSpaceDN w:val="0"/>
              <w:adjustRightInd w:val="0"/>
              <w:jc w:val="left"/>
              <w:rPr>
                <w:sz w:val="20"/>
                <w:szCs w:val="20"/>
                <w:lang w:val="en-US"/>
              </w:rPr>
            </w:pPr>
            <w:r w:rsidRPr="005F3DC7">
              <w:rPr>
                <w:sz w:val="20"/>
                <w:szCs w:val="20"/>
                <w:lang w:val="en-US"/>
              </w:rPr>
              <w:t>Based on estimated disbursement in progress</w:t>
            </w:r>
          </w:p>
          <w:p w14:paraId="4E53C9B2" w14:textId="77777777" w:rsidR="00BE78FD" w:rsidRPr="005F3DC7" w:rsidRDefault="00BE78FD" w:rsidP="00E00CF1">
            <w:pPr>
              <w:jc w:val="left"/>
              <w:rPr>
                <w:sz w:val="20"/>
                <w:szCs w:val="20"/>
                <w:lang w:val="en-CA" w:eastAsia="en-CA"/>
              </w:rPr>
            </w:pPr>
            <w:r w:rsidRPr="005F3DC7">
              <w:rPr>
                <w:sz w:val="20"/>
                <w:szCs w:val="20"/>
                <w:lang w:val="en-US"/>
              </w:rPr>
              <w:t>report</w:t>
            </w:r>
          </w:p>
        </w:tc>
        <w:tc>
          <w:tcPr>
            <w:tcW w:w="1522" w:type="dxa"/>
          </w:tcPr>
          <w:p w14:paraId="7F6D8548" w14:textId="77777777" w:rsidR="00BE78FD" w:rsidRPr="005F3DC7" w:rsidRDefault="00BE78FD" w:rsidP="00E00CF1">
            <w:pPr>
              <w:jc w:val="right"/>
              <w:rPr>
                <w:sz w:val="20"/>
                <w:szCs w:val="20"/>
                <w:lang w:val="en-CA" w:eastAsia="en-CA"/>
              </w:rPr>
            </w:pPr>
            <w:r w:rsidRPr="005F3DC7">
              <w:rPr>
                <w:sz w:val="20"/>
                <w:szCs w:val="20"/>
                <w:lang w:val="en-CA" w:eastAsia="en-CA"/>
              </w:rPr>
              <w:t>US $13,741,402</w:t>
            </w:r>
          </w:p>
        </w:tc>
      </w:tr>
      <w:tr w:rsidR="00BE78FD" w:rsidRPr="005F3DC7" w14:paraId="3373977D" w14:textId="77777777" w:rsidTr="00540347">
        <w:trPr>
          <w:jc w:val="center"/>
        </w:trPr>
        <w:tc>
          <w:tcPr>
            <w:tcW w:w="1701" w:type="dxa"/>
            <w:shd w:val="clear" w:color="auto" w:fill="auto"/>
          </w:tcPr>
          <w:p w14:paraId="1C3FFD50" w14:textId="77777777" w:rsidR="00BE78FD" w:rsidRPr="005F3DC7" w:rsidRDefault="00BE78FD" w:rsidP="00E00CF1">
            <w:pPr>
              <w:keepNext/>
              <w:jc w:val="left"/>
              <w:rPr>
                <w:sz w:val="20"/>
                <w:szCs w:val="20"/>
                <w:lang w:val="en-CA" w:eastAsia="en-CA"/>
              </w:rPr>
            </w:pPr>
            <w:r w:rsidRPr="005F3DC7">
              <w:rPr>
                <w:sz w:val="20"/>
                <w:szCs w:val="20"/>
                <w:lang w:val="en-US"/>
              </w:rPr>
              <w:t>Implementation</w:t>
            </w:r>
          </w:p>
        </w:tc>
        <w:tc>
          <w:tcPr>
            <w:tcW w:w="2263" w:type="dxa"/>
            <w:shd w:val="clear" w:color="auto" w:fill="auto"/>
          </w:tcPr>
          <w:p w14:paraId="5DE59C29" w14:textId="77777777" w:rsidR="00BE78FD" w:rsidRPr="005F3DC7" w:rsidRDefault="00BE78FD" w:rsidP="00E00CF1">
            <w:pPr>
              <w:keepNext/>
              <w:jc w:val="left"/>
              <w:rPr>
                <w:sz w:val="20"/>
                <w:szCs w:val="20"/>
                <w:lang w:val="en-CA" w:eastAsia="en-CA"/>
              </w:rPr>
            </w:pPr>
            <w:r w:rsidRPr="005F3DC7">
              <w:rPr>
                <w:sz w:val="20"/>
                <w:szCs w:val="20"/>
                <w:lang w:val="en-US"/>
              </w:rPr>
              <w:t>ODS phase-out</w:t>
            </w:r>
          </w:p>
        </w:tc>
        <w:tc>
          <w:tcPr>
            <w:tcW w:w="4011" w:type="dxa"/>
            <w:shd w:val="clear" w:color="auto" w:fill="auto"/>
          </w:tcPr>
          <w:p w14:paraId="4CA4B047" w14:textId="77777777" w:rsidR="00BE78FD" w:rsidRPr="005F3DC7" w:rsidRDefault="00BE78FD" w:rsidP="00E00CF1">
            <w:pPr>
              <w:keepNext/>
              <w:autoSpaceDE w:val="0"/>
              <w:autoSpaceDN w:val="0"/>
              <w:adjustRightInd w:val="0"/>
              <w:jc w:val="left"/>
              <w:rPr>
                <w:sz w:val="20"/>
                <w:szCs w:val="20"/>
                <w:lang w:val="en-US"/>
              </w:rPr>
            </w:pPr>
            <w:r w:rsidRPr="005F3DC7">
              <w:rPr>
                <w:sz w:val="20"/>
                <w:szCs w:val="20"/>
                <w:lang w:val="en-US"/>
              </w:rPr>
              <w:t>ODS phase-out for the tranche when the next</w:t>
            </w:r>
          </w:p>
          <w:p w14:paraId="650B7666" w14:textId="77777777" w:rsidR="00BE78FD" w:rsidRPr="005F3DC7" w:rsidRDefault="00BE78FD" w:rsidP="00E00CF1">
            <w:pPr>
              <w:keepNext/>
              <w:autoSpaceDE w:val="0"/>
              <w:autoSpaceDN w:val="0"/>
              <w:adjustRightInd w:val="0"/>
              <w:jc w:val="left"/>
              <w:rPr>
                <w:sz w:val="20"/>
                <w:szCs w:val="20"/>
                <w:lang w:val="en-US"/>
              </w:rPr>
            </w:pPr>
            <w:r w:rsidRPr="005F3DC7">
              <w:rPr>
                <w:sz w:val="20"/>
                <w:szCs w:val="20"/>
                <w:lang w:val="en-US"/>
              </w:rPr>
              <w:t>tranche is approved vs. those planned per</w:t>
            </w:r>
          </w:p>
          <w:p w14:paraId="03CA0265" w14:textId="77777777" w:rsidR="00BE78FD" w:rsidRPr="005F3DC7" w:rsidRDefault="00BE78FD" w:rsidP="00E00CF1">
            <w:pPr>
              <w:keepNext/>
              <w:jc w:val="left"/>
              <w:rPr>
                <w:sz w:val="20"/>
                <w:szCs w:val="20"/>
                <w:lang w:val="en-CA" w:eastAsia="en-CA"/>
              </w:rPr>
            </w:pPr>
            <w:r w:rsidRPr="005F3DC7">
              <w:rPr>
                <w:sz w:val="20"/>
                <w:szCs w:val="20"/>
                <w:lang w:val="en-US"/>
              </w:rPr>
              <w:t>business plans</w:t>
            </w:r>
          </w:p>
        </w:tc>
        <w:tc>
          <w:tcPr>
            <w:tcW w:w="1522" w:type="dxa"/>
          </w:tcPr>
          <w:p w14:paraId="77CAA046" w14:textId="77777777" w:rsidR="00BE78FD" w:rsidRPr="005F3DC7" w:rsidRDefault="00BE78FD" w:rsidP="00E00CF1">
            <w:pPr>
              <w:keepNext/>
              <w:jc w:val="right"/>
              <w:rPr>
                <w:sz w:val="20"/>
                <w:szCs w:val="20"/>
              </w:rPr>
            </w:pPr>
            <w:r w:rsidRPr="005F3DC7">
              <w:rPr>
                <w:sz w:val="20"/>
                <w:szCs w:val="20"/>
                <w:lang w:val="en-CA" w:eastAsia="en-CA"/>
              </w:rPr>
              <w:t xml:space="preserve">2,305.5 ODP tonnes </w:t>
            </w:r>
          </w:p>
        </w:tc>
      </w:tr>
      <w:tr w:rsidR="00BE78FD" w:rsidRPr="005F3DC7" w14:paraId="73207628" w14:textId="77777777" w:rsidTr="00540347">
        <w:trPr>
          <w:jc w:val="center"/>
        </w:trPr>
        <w:tc>
          <w:tcPr>
            <w:tcW w:w="1701" w:type="dxa"/>
            <w:shd w:val="clear" w:color="auto" w:fill="auto"/>
          </w:tcPr>
          <w:p w14:paraId="74876C33" w14:textId="77777777" w:rsidR="00BE78FD" w:rsidRPr="005F3DC7" w:rsidRDefault="00BE78FD" w:rsidP="00E00CF1">
            <w:pPr>
              <w:jc w:val="left"/>
              <w:rPr>
                <w:sz w:val="20"/>
                <w:szCs w:val="20"/>
                <w:lang w:val="en-CA" w:eastAsia="en-CA"/>
              </w:rPr>
            </w:pPr>
            <w:r w:rsidRPr="005F3DC7">
              <w:rPr>
                <w:sz w:val="20"/>
                <w:szCs w:val="20"/>
                <w:lang w:val="en-US"/>
              </w:rPr>
              <w:t>Implementation</w:t>
            </w:r>
          </w:p>
        </w:tc>
        <w:tc>
          <w:tcPr>
            <w:tcW w:w="2263" w:type="dxa"/>
            <w:shd w:val="clear" w:color="auto" w:fill="auto"/>
          </w:tcPr>
          <w:p w14:paraId="0A4EDFE9" w14:textId="77777777" w:rsidR="00BE78FD" w:rsidRPr="005F3DC7" w:rsidRDefault="00BE78FD" w:rsidP="00E00CF1">
            <w:pPr>
              <w:autoSpaceDE w:val="0"/>
              <w:autoSpaceDN w:val="0"/>
              <w:adjustRightInd w:val="0"/>
              <w:jc w:val="left"/>
              <w:rPr>
                <w:sz w:val="20"/>
                <w:szCs w:val="20"/>
                <w:lang w:val="en-US"/>
              </w:rPr>
            </w:pPr>
            <w:r w:rsidRPr="005F3DC7">
              <w:rPr>
                <w:sz w:val="20"/>
                <w:szCs w:val="20"/>
                <w:lang w:val="en-US"/>
              </w:rPr>
              <w:t>Project completion for</w:t>
            </w:r>
          </w:p>
          <w:p w14:paraId="0EF09908" w14:textId="77777777" w:rsidR="00BE78FD" w:rsidRPr="005F3DC7" w:rsidRDefault="00BE78FD" w:rsidP="00E00CF1">
            <w:pPr>
              <w:jc w:val="left"/>
              <w:rPr>
                <w:sz w:val="20"/>
                <w:szCs w:val="20"/>
                <w:lang w:val="en-CA" w:eastAsia="en-CA"/>
              </w:rPr>
            </w:pPr>
            <w:r w:rsidRPr="005F3DC7">
              <w:rPr>
                <w:sz w:val="20"/>
                <w:szCs w:val="20"/>
                <w:lang w:val="en-US"/>
              </w:rPr>
              <w:t>activities</w:t>
            </w:r>
          </w:p>
        </w:tc>
        <w:tc>
          <w:tcPr>
            <w:tcW w:w="4011" w:type="dxa"/>
            <w:shd w:val="clear" w:color="auto" w:fill="auto"/>
          </w:tcPr>
          <w:p w14:paraId="3F2B81E7" w14:textId="77777777" w:rsidR="00BE78FD" w:rsidRPr="005F3DC7" w:rsidRDefault="00BE78FD" w:rsidP="00E00CF1">
            <w:pPr>
              <w:autoSpaceDE w:val="0"/>
              <w:autoSpaceDN w:val="0"/>
              <w:adjustRightInd w:val="0"/>
              <w:jc w:val="left"/>
              <w:rPr>
                <w:sz w:val="20"/>
                <w:szCs w:val="20"/>
                <w:lang w:val="en-US"/>
              </w:rPr>
            </w:pPr>
            <w:r w:rsidRPr="005F3DC7">
              <w:rPr>
                <w:sz w:val="20"/>
                <w:szCs w:val="20"/>
                <w:lang w:val="en-US"/>
              </w:rPr>
              <w:t>Project completion vs. planned in progress reports for all activities (excluding project preparation)</w:t>
            </w:r>
          </w:p>
        </w:tc>
        <w:tc>
          <w:tcPr>
            <w:tcW w:w="1522" w:type="dxa"/>
          </w:tcPr>
          <w:p w14:paraId="03234507" w14:textId="77777777" w:rsidR="00BE78FD" w:rsidRPr="005F3DC7" w:rsidRDefault="00BE78FD" w:rsidP="00E00CF1">
            <w:pPr>
              <w:jc w:val="right"/>
              <w:rPr>
                <w:sz w:val="20"/>
                <w:szCs w:val="20"/>
                <w:lang w:val="en-CA" w:eastAsia="en-CA"/>
              </w:rPr>
            </w:pPr>
            <w:r w:rsidRPr="005F3DC7">
              <w:rPr>
                <w:sz w:val="20"/>
                <w:szCs w:val="20"/>
                <w:lang w:val="en-CA" w:eastAsia="en-CA"/>
              </w:rPr>
              <w:t>10</w:t>
            </w:r>
          </w:p>
          <w:p w14:paraId="7B1BC34E" w14:textId="77777777" w:rsidR="00BE78FD" w:rsidRPr="005F3DC7" w:rsidRDefault="00BE78FD" w:rsidP="00E00CF1">
            <w:pPr>
              <w:jc w:val="right"/>
              <w:rPr>
                <w:sz w:val="20"/>
                <w:szCs w:val="20"/>
              </w:rPr>
            </w:pPr>
          </w:p>
        </w:tc>
      </w:tr>
      <w:tr w:rsidR="00BE78FD" w:rsidRPr="005F3DC7" w14:paraId="094A3469" w14:textId="77777777" w:rsidTr="00540347">
        <w:trPr>
          <w:jc w:val="center"/>
        </w:trPr>
        <w:tc>
          <w:tcPr>
            <w:tcW w:w="1701" w:type="dxa"/>
            <w:shd w:val="clear" w:color="auto" w:fill="auto"/>
          </w:tcPr>
          <w:p w14:paraId="3F61BFD0" w14:textId="77777777" w:rsidR="00BE78FD" w:rsidRPr="005F3DC7" w:rsidRDefault="00BE78FD" w:rsidP="00E00CF1">
            <w:pPr>
              <w:jc w:val="left"/>
              <w:rPr>
                <w:sz w:val="20"/>
                <w:szCs w:val="20"/>
                <w:lang w:val="en-CA" w:eastAsia="en-CA"/>
              </w:rPr>
            </w:pPr>
            <w:r w:rsidRPr="005F3DC7">
              <w:rPr>
                <w:sz w:val="20"/>
                <w:szCs w:val="20"/>
                <w:lang w:val="en-US"/>
              </w:rPr>
              <w:t>Administrative</w:t>
            </w:r>
          </w:p>
        </w:tc>
        <w:tc>
          <w:tcPr>
            <w:tcW w:w="2263" w:type="dxa"/>
            <w:shd w:val="clear" w:color="auto" w:fill="auto"/>
          </w:tcPr>
          <w:p w14:paraId="24085BF7" w14:textId="77777777" w:rsidR="00BE78FD" w:rsidRPr="005F3DC7" w:rsidRDefault="00BE78FD" w:rsidP="00E00CF1">
            <w:pPr>
              <w:autoSpaceDE w:val="0"/>
              <w:autoSpaceDN w:val="0"/>
              <w:adjustRightInd w:val="0"/>
              <w:jc w:val="left"/>
              <w:rPr>
                <w:sz w:val="20"/>
                <w:szCs w:val="20"/>
                <w:lang w:val="en-US"/>
              </w:rPr>
            </w:pPr>
            <w:r w:rsidRPr="005F3DC7">
              <w:rPr>
                <w:sz w:val="20"/>
                <w:szCs w:val="20"/>
                <w:lang w:val="en-US"/>
              </w:rPr>
              <w:t>Speed of financial</w:t>
            </w:r>
          </w:p>
          <w:p w14:paraId="6FBCDE8E" w14:textId="77777777" w:rsidR="00BE78FD" w:rsidRPr="005F3DC7" w:rsidRDefault="00BE78FD" w:rsidP="00E00CF1">
            <w:pPr>
              <w:jc w:val="left"/>
              <w:rPr>
                <w:sz w:val="20"/>
                <w:szCs w:val="20"/>
                <w:lang w:val="en-CA" w:eastAsia="en-CA"/>
              </w:rPr>
            </w:pPr>
            <w:r w:rsidRPr="005F3DC7">
              <w:rPr>
                <w:sz w:val="20"/>
                <w:szCs w:val="20"/>
                <w:lang w:val="en-US"/>
              </w:rPr>
              <w:t>completion</w:t>
            </w:r>
          </w:p>
        </w:tc>
        <w:tc>
          <w:tcPr>
            <w:tcW w:w="4011" w:type="dxa"/>
            <w:shd w:val="clear" w:color="auto" w:fill="auto"/>
          </w:tcPr>
          <w:p w14:paraId="3BB2E6E5" w14:textId="77777777" w:rsidR="00BE78FD" w:rsidRPr="005F3DC7" w:rsidRDefault="00BE78FD" w:rsidP="00E00CF1">
            <w:pPr>
              <w:autoSpaceDE w:val="0"/>
              <w:autoSpaceDN w:val="0"/>
              <w:adjustRightInd w:val="0"/>
              <w:jc w:val="left"/>
              <w:rPr>
                <w:sz w:val="20"/>
                <w:szCs w:val="20"/>
                <w:lang w:val="en-US"/>
              </w:rPr>
            </w:pPr>
            <w:r w:rsidRPr="005F3DC7">
              <w:rPr>
                <w:sz w:val="20"/>
                <w:szCs w:val="20"/>
                <w:lang w:val="en-US"/>
              </w:rPr>
              <w:t>The extent to which projects are financially completed 12 months after project completion</w:t>
            </w:r>
          </w:p>
        </w:tc>
        <w:tc>
          <w:tcPr>
            <w:tcW w:w="1522" w:type="dxa"/>
          </w:tcPr>
          <w:p w14:paraId="5950BC07" w14:textId="77777777" w:rsidR="00BE78FD" w:rsidRPr="005F3DC7" w:rsidRDefault="00BE78FD" w:rsidP="00E00CF1">
            <w:pPr>
              <w:jc w:val="right"/>
              <w:rPr>
                <w:sz w:val="20"/>
                <w:szCs w:val="20"/>
                <w:lang w:val="en-CA" w:eastAsia="en-CA"/>
              </w:rPr>
            </w:pPr>
            <w:r w:rsidRPr="005F3DC7">
              <w:rPr>
                <w:sz w:val="20"/>
                <w:szCs w:val="20"/>
                <w:lang w:val="en-CA" w:eastAsia="en-CA"/>
              </w:rPr>
              <w:t>90%</w:t>
            </w:r>
          </w:p>
        </w:tc>
      </w:tr>
      <w:tr w:rsidR="00BE78FD" w:rsidRPr="005F3DC7" w14:paraId="1D2197CE" w14:textId="77777777" w:rsidTr="00540347">
        <w:trPr>
          <w:jc w:val="center"/>
        </w:trPr>
        <w:tc>
          <w:tcPr>
            <w:tcW w:w="1701" w:type="dxa"/>
            <w:shd w:val="clear" w:color="auto" w:fill="auto"/>
          </w:tcPr>
          <w:p w14:paraId="7EC947C7" w14:textId="77777777" w:rsidR="00BE78FD" w:rsidRPr="005F3DC7" w:rsidRDefault="00BE78FD" w:rsidP="00E00CF1">
            <w:pPr>
              <w:jc w:val="left"/>
              <w:rPr>
                <w:sz w:val="20"/>
                <w:szCs w:val="20"/>
                <w:lang w:val="en-CA" w:eastAsia="en-CA"/>
              </w:rPr>
            </w:pPr>
            <w:r w:rsidRPr="005F3DC7">
              <w:rPr>
                <w:sz w:val="20"/>
                <w:szCs w:val="20"/>
                <w:lang w:val="en-US"/>
              </w:rPr>
              <w:t>Administrative</w:t>
            </w:r>
          </w:p>
        </w:tc>
        <w:tc>
          <w:tcPr>
            <w:tcW w:w="2263" w:type="dxa"/>
            <w:shd w:val="clear" w:color="auto" w:fill="auto"/>
          </w:tcPr>
          <w:p w14:paraId="0AD3A0DF" w14:textId="77777777" w:rsidR="00BE78FD" w:rsidRPr="005F3DC7" w:rsidRDefault="00BE78FD" w:rsidP="00E00CF1">
            <w:pPr>
              <w:autoSpaceDE w:val="0"/>
              <w:autoSpaceDN w:val="0"/>
              <w:adjustRightInd w:val="0"/>
              <w:jc w:val="left"/>
              <w:rPr>
                <w:sz w:val="20"/>
                <w:szCs w:val="20"/>
                <w:lang w:val="en-US"/>
              </w:rPr>
            </w:pPr>
            <w:r w:rsidRPr="005F3DC7">
              <w:rPr>
                <w:sz w:val="20"/>
                <w:szCs w:val="20"/>
                <w:lang w:val="en-US"/>
              </w:rPr>
              <w:t>Timely submission of</w:t>
            </w:r>
          </w:p>
          <w:p w14:paraId="73CF3CFC" w14:textId="77777777" w:rsidR="00BE78FD" w:rsidRPr="005F3DC7" w:rsidRDefault="00BE78FD" w:rsidP="00E00CF1">
            <w:pPr>
              <w:jc w:val="left"/>
              <w:rPr>
                <w:sz w:val="20"/>
                <w:szCs w:val="20"/>
                <w:lang w:val="en-CA" w:eastAsia="en-CA"/>
              </w:rPr>
            </w:pPr>
            <w:r w:rsidRPr="005F3DC7">
              <w:rPr>
                <w:sz w:val="20"/>
                <w:szCs w:val="20"/>
                <w:lang w:val="en-US"/>
              </w:rPr>
              <w:t>project completion reports</w:t>
            </w:r>
          </w:p>
        </w:tc>
        <w:tc>
          <w:tcPr>
            <w:tcW w:w="4011" w:type="dxa"/>
            <w:shd w:val="clear" w:color="auto" w:fill="auto"/>
          </w:tcPr>
          <w:p w14:paraId="706395AA" w14:textId="77777777" w:rsidR="00BE78FD" w:rsidRPr="005F3DC7" w:rsidRDefault="00BE78FD" w:rsidP="00E00CF1">
            <w:pPr>
              <w:autoSpaceDE w:val="0"/>
              <w:autoSpaceDN w:val="0"/>
              <w:adjustRightInd w:val="0"/>
              <w:jc w:val="left"/>
              <w:rPr>
                <w:sz w:val="20"/>
                <w:szCs w:val="20"/>
                <w:lang w:val="en-CA" w:eastAsia="en-CA"/>
              </w:rPr>
            </w:pPr>
            <w:r w:rsidRPr="005F3DC7">
              <w:rPr>
                <w:sz w:val="20"/>
                <w:szCs w:val="20"/>
                <w:lang w:val="en-US"/>
              </w:rPr>
              <w:t>Timely submission of project completion reports</w:t>
            </w:r>
            <w:r>
              <w:rPr>
                <w:sz w:val="20"/>
                <w:szCs w:val="20"/>
                <w:lang w:val="en-US"/>
              </w:rPr>
              <w:t xml:space="preserve"> </w:t>
            </w:r>
            <w:r w:rsidRPr="005F3DC7">
              <w:rPr>
                <w:sz w:val="20"/>
                <w:szCs w:val="20"/>
                <w:lang w:val="en-US"/>
              </w:rPr>
              <w:t>vs. those agreed</w:t>
            </w:r>
          </w:p>
        </w:tc>
        <w:tc>
          <w:tcPr>
            <w:tcW w:w="1522" w:type="dxa"/>
          </w:tcPr>
          <w:p w14:paraId="3771A05B" w14:textId="77777777" w:rsidR="00BE78FD" w:rsidRPr="005F3DC7" w:rsidRDefault="00BE78FD" w:rsidP="00E00CF1">
            <w:pPr>
              <w:jc w:val="right"/>
              <w:rPr>
                <w:sz w:val="20"/>
                <w:szCs w:val="20"/>
                <w:lang w:val="en-CA" w:eastAsia="en-CA"/>
              </w:rPr>
            </w:pPr>
            <w:r w:rsidRPr="005F3DC7">
              <w:rPr>
                <w:sz w:val="20"/>
                <w:szCs w:val="20"/>
                <w:lang w:val="en-CA" w:eastAsia="en-CA"/>
              </w:rPr>
              <w:t>27</w:t>
            </w:r>
          </w:p>
        </w:tc>
      </w:tr>
      <w:tr w:rsidR="00BE78FD" w:rsidRPr="005F3DC7" w14:paraId="6D913033" w14:textId="77777777" w:rsidTr="00540347">
        <w:trPr>
          <w:jc w:val="center"/>
        </w:trPr>
        <w:tc>
          <w:tcPr>
            <w:tcW w:w="1701" w:type="dxa"/>
            <w:shd w:val="clear" w:color="auto" w:fill="auto"/>
          </w:tcPr>
          <w:p w14:paraId="2CC97E06" w14:textId="77777777" w:rsidR="00BE78FD" w:rsidRPr="005F3DC7" w:rsidRDefault="00BE78FD" w:rsidP="00E00CF1">
            <w:pPr>
              <w:jc w:val="left"/>
              <w:rPr>
                <w:sz w:val="20"/>
                <w:szCs w:val="20"/>
                <w:lang w:val="en-CA" w:eastAsia="en-CA"/>
              </w:rPr>
            </w:pPr>
            <w:r w:rsidRPr="005F3DC7">
              <w:rPr>
                <w:sz w:val="20"/>
                <w:szCs w:val="20"/>
                <w:lang w:val="en-US"/>
              </w:rPr>
              <w:t>Administrative</w:t>
            </w:r>
          </w:p>
        </w:tc>
        <w:tc>
          <w:tcPr>
            <w:tcW w:w="2263" w:type="dxa"/>
            <w:shd w:val="clear" w:color="auto" w:fill="auto"/>
          </w:tcPr>
          <w:p w14:paraId="48F46AE5" w14:textId="77777777" w:rsidR="00BE78FD" w:rsidRPr="005F3DC7" w:rsidRDefault="00BE78FD" w:rsidP="00E00CF1">
            <w:pPr>
              <w:autoSpaceDE w:val="0"/>
              <w:autoSpaceDN w:val="0"/>
              <w:adjustRightInd w:val="0"/>
              <w:jc w:val="left"/>
              <w:rPr>
                <w:sz w:val="20"/>
                <w:szCs w:val="20"/>
                <w:lang w:val="en-US"/>
              </w:rPr>
            </w:pPr>
            <w:r w:rsidRPr="005F3DC7">
              <w:rPr>
                <w:sz w:val="20"/>
                <w:szCs w:val="20"/>
                <w:lang w:val="en-US"/>
              </w:rPr>
              <w:t>Timely submission of</w:t>
            </w:r>
          </w:p>
          <w:p w14:paraId="63B5AE4D" w14:textId="77777777" w:rsidR="00BE78FD" w:rsidRPr="005F3DC7" w:rsidRDefault="00BE78FD" w:rsidP="00E00CF1">
            <w:pPr>
              <w:jc w:val="left"/>
              <w:rPr>
                <w:sz w:val="20"/>
                <w:szCs w:val="20"/>
                <w:lang w:val="en-CA" w:eastAsia="en-CA"/>
              </w:rPr>
            </w:pPr>
            <w:r w:rsidRPr="005F3DC7">
              <w:rPr>
                <w:sz w:val="20"/>
                <w:szCs w:val="20"/>
                <w:lang w:val="en-US"/>
              </w:rPr>
              <w:t>progress reports</w:t>
            </w:r>
          </w:p>
        </w:tc>
        <w:tc>
          <w:tcPr>
            <w:tcW w:w="4011" w:type="dxa"/>
            <w:shd w:val="clear" w:color="auto" w:fill="auto"/>
          </w:tcPr>
          <w:p w14:paraId="4BECBB61" w14:textId="77777777" w:rsidR="00BE78FD" w:rsidRPr="005F3DC7" w:rsidRDefault="00BE78FD" w:rsidP="00E00CF1">
            <w:pPr>
              <w:autoSpaceDE w:val="0"/>
              <w:autoSpaceDN w:val="0"/>
              <w:adjustRightInd w:val="0"/>
              <w:jc w:val="left"/>
              <w:rPr>
                <w:sz w:val="20"/>
                <w:szCs w:val="20"/>
                <w:lang w:val="en-US"/>
              </w:rPr>
            </w:pPr>
            <w:r w:rsidRPr="005F3DC7">
              <w:rPr>
                <w:sz w:val="20"/>
                <w:szCs w:val="20"/>
                <w:lang w:val="en-US"/>
              </w:rPr>
              <w:t>Timely submission of progress reports and business plans and responses unless otherwise agreed</w:t>
            </w:r>
          </w:p>
        </w:tc>
        <w:tc>
          <w:tcPr>
            <w:tcW w:w="1522" w:type="dxa"/>
          </w:tcPr>
          <w:p w14:paraId="53DD584C" w14:textId="77777777" w:rsidR="00BE78FD" w:rsidRPr="005F3DC7" w:rsidRDefault="00BE78FD" w:rsidP="00E00CF1">
            <w:pPr>
              <w:jc w:val="right"/>
              <w:rPr>
                <w:sz w:val="20"/>
                <w:szCs w:val="20"/>
                <w:lang w:val="en-CA" w:eastAsia="en-CA"/>
              </w:rPr>
            </w:pPr>
            <w:r w:rsidRPr="005F3DC7">
              <w:rPr>
                <w:sz w:val="20"/>
                <w:szCs w:val="20"/>
                <w:lang w:val="en-CA" w:eastAsia="en-CA"/>
              </w:rPr>
              <w:t>On time</w:t>
            </w:r>
          </w:p>
        </w:tc>
      </w:tr>
    </w:tbl>
    <w:p w14:paraId="75F31780" w14:textId="77777777" w:rsidR="00BE78FD" w:rsidRPr="005F3DC7" w:rsidRDefault="00BE78FD" w:rsidP="00BE78FD">
      <w:pPr>
        <w:autoSpaceDE w:val="0"/>
        <w:autoSpaceDN w:val="0"/>
        <w:adjustRightInd w:val="0"/>
        <w:rPr>
          <w:sz w:val="20"/>
          <w:szCs w:val="20"/>
          <w:lang w:val="en-US"/>
        </w:rPr>
      </w:pPr>
      <w:r w:rsidRPr="005F3DC7">
        <w:rPr>
          <w:sz w:val="20"/>
          <w:szCs w:val="20"/>
          <w:lang w:val="en-US"/>
        </w:rPr>
        <w:t>* The target of an agency would be reduced if it could not submit a tranche owing to another cooperating or lead agency, if agreed by that agency.</w:t>
      </w:r>
    </w:p>
    <w:p w14:paraId="09D976D3" w14:textId="77777777" w:rsidR="00BE78FD" w:rsidRPr="005F3DC7" w:rsidRDefault="00BE78FD" w:rsidP="00BE78FD">
      <w:pPr>
        <w:pStyle w:val="Heading1"/>
        <w:numPr>
          <w:ilvl w:val="0"/>
          <w:numId w:val="0"/>
        </w:numPr>
        <w:spacing w:after="0"/>
      </w:pPr>
      <w:r w:rsidRPr="005F3DC7">
        <w:rPr>
          <w:sz w:val="20"/>
          <w:szCs w:val="20"/>
          <w:lang w:val="en-US"/>
        </w:rPr>
        <w:t>** Project preparation should not be assessed if the Executive Committee has not taken a decision on its funding.</w:t>
      </w:r>
    </w:p>
    <w:p w14:paraId="76B030B9" w14:textId="77777777" w:rsidR="00BE78FD" w:rsidRPr="005F3DC7" w:rsidRDefault="00BE78FD" w:rsidP="00BE78FD"/>
    <w:p w14:paraId="604A32A0" w14:textId="77777777" w:rsidR="00BE78FD" w:rsidRPr="005F3DC7" w:rsidRDefault="00BE78FD" w:rsidP="00BE78FD">
      <w:pPr>
        <w:pStyle w:val="sub-title"/>
        <w:keepNext/>
        <w:spacing w:after="240"/>
        <w:rPr>
          <w:noProof w:val="0"/>
          <w:lang w:val="en-GB"/>
        </w:rPr>
      </w:pPr>
      <w:r>
        <w:rPr>
          <w:noProof w:val="0"/>
          <w:lang w:val="en-GB"/>
        </w:rPr>
        <w:t>RECOMMENDATION</w:t>
      </w:r>
    </w:p>
    <w:p w14:paraId="19850310" w14:textId="77777777" w:rsidR="00BE78FD" w:rsidRPr="005F3DC7" w:rsidRDefault="00BE78FD" w:rsidP="00BE78FD">
      <w:pPr>
        <w:pStyle w:val="Heading1"/>
      </w:pPr>
      <w:r w:rsidRPr="005F3DC7">
        <w:t>The Executive Committee may wish:</w:t>
      </w:r>
    </w:p>
    <w:p w14:paraId="1ED3359C" w14:textId="77777777" w:rsidR="00BE78FD" w:rsidRPr="005F3DC7" w:rsidRDefault="00BE78FD" w:rsidP="00BE78FD">
      <w:pPr>
        <w:pStyle w:val="Heading2"/>
        <w:numPr>
          <w:ilvl w:val="1"/>
          <w:numId w:val="1"/>
        </w:numPr>
      </w:pPr>
      <w:r w:rsidRPr="005F3DC7">
        <w:t>To note the World Bank business plan for 2019–2021 contained in document UNEP/</w:t>
      </w:r>
      <w:proofErr w:type="spellStart"/>
      <w:r w:rsidRPr="005F3DC7">
        <w:t>OzL.Pro</w:t>
      </w:r>
      <w:proofErr w:type="spellEnd"/>
      <w:r w:rsidRPr="005F3DC7">
        <w:t>/</w:t>
      </w:r>
      <w:proofErr w:type="spellStart"/>
      <w:r w:rsidRPr="005F3DC7">
        <w:t>ExCom</w:t>
      </w:r>
      <w:proofErr w:type="spellEnd"/>
      <w:r w:rsidRPr="005F3DC7">
        <w:t>/82/30; and</w:t>
      </w:r>
    </w:p>
    <w:p w14:paraId="27BC6F60" w14:textId="77777777" w:rsidR="00BE78FD" w:rsidRPr="005F3DC7" w:rsidRDefault="00BE78FD" w:rsidP="00BE78FD">
      <w:pPr>
        <w:pStyle w:val="Heading2"/>
        <w:numPr>
          <w:ilvl w:val="1"/>
          <w:numId w:val="1"/>
        </w:numPr>
      </w:pPr>
      <w:r w:rsidRPr="005F3DC7">
        <w:t xml:space="preserve">To approve the performance indicators for the World Bank as set out in Table 5 </w:t>
      </w:r>
      <w:r>
        <w:t>of</w:t>
      </w:r>
      <w:r w:rsidRPr="005F3DC7">
        <w:t xml:space="preserve"> document UNEP/</w:t>
      </w:r>
      <w:proofErr w:type="spellStart"/>
      <w:r w:rsidRPr="005F3DC7">
        <w:t>OzL.Pro</w:t>
      </w:r>
      <w:proofErr w:type="spellEnd"/>
      <w:r w:rsidRPr="005F3DC7">
        <w:t>/</w:t>
      </w:r>
      <w:proofErr w:type="spellStart"/>
      <w:r w:rsidRPr="005F3DC7">
        <w:t>ExCom</w:t>
      </w:r>
      <w:proofErr w:type="spellEnd"/>
      <w:r w:rsidRPr="005F3DC7">
        <w:t>/82/30.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BE78FD" w14:paraId="1BF3EB74" w14:textId="77777777" w:rsidTr="007D4F0B">
        <w:tc>
          <w:tcPr>
            <w:tcW w:w="1871" w:type="dxa"/>
          </w:tcPr>
          <w:p w14:paraId="03097737" w14:textId="77777777" w:rsidR="00BE78FD" w:rsidRDefault="00BE78FD" w:rsidP="00E00CF1"/>
        </w:tc>
        <w:tc>
          <w:tcPr>
            <w:tcW w:w="1872" w:type="dxa"/>
          </w:tcPr>
          <w:p w14:paraId="1D2F3B72" w14:textId="77777777" w:rsidR="00BE78FD" w:rsidRDefault="00BE78FD" w:rsidP="00E00CF1"/>
        </w:tc>
        <w:tc>
          <w:tcPr>
            <w:tcW w:w="1872" w:type="dxa"/>
            <w:tcBorders>
              <w:bottom w:val="single" w:sz="4" w:space="0" w:color="auto"/>
            </w:tcBorders>
          </w:tcPr>
          <w:p w14:paraId="38083C50" w14:textId="77777777" w:rsidR="00BE78FD" w:rsidRDefault="00BE78FD" w:rsidP="00E00CF1"/>
        </w:tc>
        <w:tc>
          <w:tcPr>
            <w:tcW w:w="1872" w:type="dxa"/>
          </w:tcPr>
          <w:p w14:paraId="2EFEA6E0" w14:textId="77777777" w:rsidR="00BE78FD" w:rsidRDefault="00BE78FD" w:rsidP="00E00CF1"/>
        </w:tc>
        <w:tc>
          <w:tcPr>
            <w:tcW w:w="1873" w:type="dxa"/>
          </w:tcPr>
          <w:p w14:paraId="7A54A2BB" w14:textId="77777777" w:rsidR="00BE78FD" w:rsidRDefault="00BE78FD" w:rsidP="00E00CF1"/>
        </w:tc>
      </w:tr>
    </w:tbl>
    <w:p w14:paraId="779C7D01" w14:textId="77777777" w:rsidR="00BE78FD" w:rsidRDefault="00BE78FD" w:rsidP="00BE78FD">
      <w:pPr>
        <w:rPr>
          <w:lang w:val="en-CA"/>
        </w:rPr>
      </w:pPr>
    </w:p>
    <w:p w14:paraId="49749496" w14:textId="77777777" w:rsidR="00BE78FD" w:rsidRDefault="00BE78FD" w:rsidP="00BE78FD">
      <w:pPr>
        <w:rPr>
          <w:lang w:val="en-CA"/>
        </w:rPr>
      </w:pPr>
    </w:p>
    <w:p w14:paraId="187516D6" w14:textId="77777777" w:rsidR="00BE78FD" w:rsidRDefault="00BE78FD" w:rsidP="00BE78FD">
      <w:pPr>
        <w:rPr>
          <w:lang w:val="en-CA"/>
        </w:rPr>
        <w:sectPr w:rsidR="00BE78FD"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5EF9C923" w14:textId="77777777" w:rsidR="00BE78FD" w:rsidRDefault="00BE78FD" w:rsidP="00BE78FD">
      <w:pPr>
        <w:jc w:val="center"/>
        <w:rPr>
          <w:rFonts w:ascii="Andes" w:hAnsi="Andes"/>
          <w:sz w:val="40"/>
          <w:szCs w:val="40"/>
        </w:rPr>
      </w:pPr>
    </w:p>
    <w:p w14:paraId="2FA622CD" w14:textId="77777777" w:rsidR="00BE78FD" w:rsidRDefault="00BE78FD" w:rsidP="00BE78FD">
      <w:pPr>
        <w:jc w:val="center"/>
        <w:rPr>
          <w:rFonts w:ascii="Andes" w:hAnsi="Andes"/>
          <w:sz w:val="40"/>
          <w:szCs w:val="40"/>
        </w:rPr>
      </w:pPr>
    </w:p>
    <w:p w14:paraId="1391D935" w14:textId="77777777" w:rsidR="00BE78FD" w:rsidRPr="003D1E40" w:rsidRDefault="00BE78FD" w:rsidP="00BE78FD">
      <w:pPr>
        <w:jc w:val="center"/>
        <w:rPr>
          <w:rFonts w:ascii="Andes" w:hAnsi="Andes"/>
          <w:sz w:val="40"/>
          <w:szCs w:val="40"/>
        </w:rPr>
      </w:pPr>
      <w:r>
        <w:rPr>
          <w:rFonts w:ascii="Andes" w:hAnsi="Andes"/>
          <w:sz w:val="40"/>
          <w:szCs w:val="40"/>
        </w:rPr>
        <w:t>2019-2021</w:t>
      </w:r>
      <w:r w:rsidRPr="003D1E40">
        <w:rPr>
          <w:rFonts w:ascii="Andes" w:hAnsi="Andes"/>
          <w:sz w:val="40"/>
          <w:szCs w:val="40"/>
        </w:rPr>
        <w:t xml:space="preserve"> BUSINESS PLAN</w:t>
      </w:r>
    </w:p>
    <w:p w14:paraId="5D468BB6" w14:textId="77777777" w:rsidR="00BE78FD" w:rsidRPr="003D1E40" w:rsidRDefault="00BE78FD" w:rsidP="00BE78FD">
      <w:pPr>
        <w:jc w:val="center"/>
        <w:rPr>
          <w:rFonts w:ascii="Andes" w:hAnsi="Andes"/>
          <w:sz w:val="40"/>
          <w:szCs w:val="40"/>
        </w:rPr>
      </w:pPr>
    </w:p>
    <w:p w14:paraId="766AAD90" w14:textId="77777777" w:rsidR="00BE78FD" w:rsidRDefault="00BE78FD" w:rsidP="00BE78FD"/>
    <w:p w14:paraId="75917574" w14:textId="77777777" w:rsidR="00BE78FD" w:rsidRPr="006A1409" w:rsidRDefault="00BE78FD" w:rsidP="00BE78FD"/>
    <w:p w14:paraId="6853E4FD" w14:textId="77777777" w:rsidR="00BE78FD" w:rsidRPr="006A1409" w:rsidRDefault="00BE78FD" w:rsidP="00BE78FD">
      <w:pPr>
        <w:jc w:val="center"/>
      </w:pPr>
      <w:r>
        <w:rPr>
          <w:noProof/>
          <w:lang w:val="en-CA" w:eastAsia="en-CA"/>
        </w:rPr>
        <w:drawing>
          <wp:inline distT="0" distB="0" distL="0" distR="0" wp14:anchorId="6120FB8C" wp14:editId="495F020D">
            <wp:extent cx="2837688" cy="1286256"/>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G_Vertical-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7688" cy="1286256"/>
                    </a:xfrm>
                    <a:prstGeom prst="rect">
                      <a:avLst/>
                    </a:prstGeom>
                  </pic:spPr>
                </pic:pic>
              </a:graphicData>
            </a:graphic>
          </wp:inline>
        </w:drawing>
      </w:r>
    </w:p>
    <w:p w14:paraId="7584B5DE" w14:textId="77777777" w:rsidR="00BE78FD" w:rsidRDefault="00BE78FD" w:rsidP="00BE78FD">
      <w:pPr>
        <w:jc w:val="center"/>
        <w:rPr>
          <w:rFonts w:ascii="Andes" w:hAnsi="Andes"/>
          <w:sz w:val="40"/>
          <w:szCs w:val="40"/>
        </w:rPr>
      </w:pPr>
    </w:p>
    <w:p w14:paraId="7F41FE6E" w14:textId="77777777" w:rsidR="00BE78FD" w:rsidRPr="003D1E40" w:rsidRDefault="00BE78FD" w:rsidP="00BE78FD">
      <w:pPr>
        <w:jc w:val="center"/>
        <w:rPr>
          <w:rFonts w:ascii="Andes" w:hAnsi="Andes"/>
          <w:b/>
          <w:bCs/>
          <w:sz w:val="40"/>
          <w:szCs w:val="40"/>
        </w:rPr>
      </w:pPr>
      <w:r w:rsidRPr="003D1E40">
        <w:rPr>
          <w:rFonts w:ascii="Andes" w:hAnsi="Andes"/>
          <w:sz w:val="40"/>
          <w:szCs w:val="40"/>
        </w:rPr>
        <w:t>INVESTMENT AND NON-INVESTMENT</w:t>
      </w:r>
    </w:p>
    <w:p w14:paraId="21CABAAC" w14:textId="77777777" w:rsidR="00BE78FD" w:rsidRPr="003D1E40" w:rsidRDefault="00BE78FD" w:rsidP="00BE78FD">
      <w:pPr>
        <w:jc w:val="center"/>
        <w:rPr>
          <w:rFonts w:ascii="Andes" w:hAnsi="Andes"/>
          <w:sz w:val="40"/>
          <w:szCs w:val="40"/>
        </w:rPr>
      </w:pPr>
      <w:r w:rsidRPr="003D1E40">
        <w:rPr>
          <w:rFonts w:ascii="Andes" w:hAnsi="Andes"/>
          <w:sz w:val="40"/>
          <w:szCs w:val="40"/>
        </w:rPr>
        <w:t>OPERATIONS FUNDED BY THE</w:t>
      </w:r>
    </w:p>
    <w:p w14:paraId="796823EF" w14:textId="77777777" w:rsidR="00BE78FD" w:rsidRPr="003D1E40" w:rsidRDefault="00BE78FD" w:rsidP="00BE78FD">
      <w:pPr>
        <w:jc w:val="center"/>
        <w:rPr>
          <w:rFonts w:ascii="Andes" w:hAnsi="Andes"/>
          <w:sz w:val="40"/>
          <w:szCs w:val="40"/>
        </w:rPr>
      </w:pPr>
      <w:r w:rsidRPr="003D1E40">
        <w:rPr>
          <w:rFonts w:ascii="Andes" w:hAnsi="Andes"/>
          <w:sz w:val="40"/>
          <w:szCs w:val="40"/>
        </w:rPr>
        <w:t>MULTILATERAL FUND OF THE</w:t>
      </w:r>
    </w:p>
    <w:p w14:paraId="2B3784A8" w14:textId="77777777" w:rsidR="00BE78FD" w:rsidRPr="003D1E40" w:rsidRDefault="00BE78FD" w:rsidP="00BE78FD">
      <w:pPr>
        <w:jc w:val="center"/>
        <w:rPr>
          <w:rFonts w:ascii="Andes" w:hAnsi="Andes"/>
          <w:sz w:val="40"/>
          <w:szCs w:val="40"/>
        </w:rPr>
      </w:pPr>
      <w:r w:rsidRPr="003D1E40">
        <w:rPr>
          <w:rFonts w:ascii="Andes" w:hAnsi="Andes"/>
          <w:sz w:val="40"/>
          <w:szCs w:val="40"/>
        </w:rPr>
        <w:t>MONTREAL PROTOCOL</w:t>
      </w:r>
    </w:p>
    <w:p w14:paraId="0BE8EC30" w14:textId="77777777" w:rsidR="00BE78FD" w:rsidRPr="003D1E40" w:rsidRDefault="00BE78FD" w:rsidP="00BE78FD">
      <w:pPr>
        <w:jc w:val="center"/>
        <w:rPr>
          <w:rFonts w:ascii="Andes" w:hAnsi="Andes"/>
        </w:rPr>
      </w:pPr>
    </w:p>
    <w:p w14:paraId="01B9A809" w14:textId="77777777" w:rsidR="00BE78FD" w:rsidRPr="003D1E40" w:rsidRDefault="00BE78FD" w:rsidP="00BE78FD">
      <w:pPr>
        <w:jc w:val="center"/>
        <w:rPr>
          <w:rFonts w:ascii="Andes" w:hAnsi="Andes"/>
        </w:rPr>
      </w:pPr>
    </w:p>
    <w:p w14:paraId="4A701665" w14:textId="77777777" w:rsidR="00BE78FD" w:rsidRPr="003D1E40" w:rsidRDefault="00BE78FD" w:rsidP="00BE78FD">
      <w:pPr>
        <w:jc w:val="center"/>
        <w:rPr>
          <w:rFonts w:ascii="Andes" w:hAnsi="Andes"/>
        </w:rPr>
      </w:pPr>
    </w:p>
    <w:p w14:paraId="4917F237" w14:textId="77777777" w:rsidR="00BE78FD" w:rsidRPr="003D1E40" w:rsidRDefault="00BE78FD" w:rsidP="00BE78FD">
      <w:pPr>
        <w:jc w:val="center"/>
        <w:rPr>
          <w:rFonts w:ascii="Andes" w:hAnsi="Andes"/>
        </w:rPr>
      </w:pPr>
    </w:p>
    <w:p w14:paraId="36B40A70" w14:textId="77777777" w:rsidR="00BE78FD" w:rsidRPr="003D1E40" w:rsidRDefault="00BE78FD" w:rsidP="00BE78FD">
      <w:pPr>
        <w:jc w:val="center"/>
        <w:rPr>
          <w:rFonts w:ascii="Andes" w:hAnsi="Andes"/>
        </w:rPr>
      </w:pPr>
    </w:p>
    <w:p w14:paraId="34013817" w14:textId="77777777" w:rsidR="00BE78FD" w:rsidRPr="003D1E40" w:rsidRDefault="00BE78FD" w:rsidP="00BE78FD">
      <w:pPr>
        <w:jc w:val="center"/>
        <w:rPr>
          <w:rFonts w:ascii="Andes" w:hAnsi="Andes"/>
        </w:rPr>
      </w:pPr>
    </w:p>
    <w:p w14:paraId="2DD1962F" w14:textId="77777777" w:rsidR="00BE78FD" w:rsidRPr="003D1E40" w:rsidRDefault="00BE78FD" w:rsidP="00BE78FD">
      <w:pPr>
        <w:jc w:val="center"/>
        <w:rPr>
          <w:rFonts w:ascii="Andes" w:hAnsi="Andes"/>
          <w:sz w:val="36"/>
          <w:szCs w:val="36"/>
        </w:rPr>
      </w:pPr>
    </w:p>
    <w:p w14:paraId="5C7B5C05" w14:textId="77777777" w:rsidR="00BE78FD" w:rsidRPr="003D1E40" w:rsidRDefault="00BE78FD" w:rsidP="00BE78FD">
      <w:pPr>
        <w:jc w:val="center"/>
        <w:rPr>
          <w:rFonts w:ascii="Andes" w:hAnsi="Andes"/>
          <w:sz w:val="36"/>
          <w:szCs w:val="36"/>
        </w:rPr>
      </w:pPr>
      <w:r w:rsidRPr="003D1E40">
        <w:rPr>
          <w:rFonts w:ascii="Andes" w:hAnsi="Andes"/>
          <w:sz w:val="36"/>
          <w:szCs w:val="36"/>
        </w:rPr>
        <w:t xml:space="preserve">Presented to the </w:t>
      </w:r>
      <w:r w:rsidRPr="003D1E40">
        <w:rPr>
          <w:rFonts w:ascii="Andes" w:hAnsi="Andes"/>
          <w:sz w:val="36"/>
          <w:szCs w:val="36"/>
        </w:rPr>
        <w:br/>
      </w:r>
      <w:r>
        <w:rPr>
          <w:rFonts w:ascii="Andes" w:hAnsi="Andes"/>
          <w:sz w:val="36"/>
          <w:szCs w:val="36"/>
        </w:rPr>
        <w:t>82</w:t>
      </w:r>
      <w:r w:rsidRPr="00734527">
        <w:rPr>
          <w:rFonts w:ascii="Andes" w:hAnsi="Andes"/>
          <w:sz w:val="36"/>
          <w:szCs w:val="36"/>
          <w:vertAlign w:val="superscript"/>
        </w:rPr>
        <w:t>nd</w:t>
      </w:r>
      <w:r>
        <w:rPr>
          <w:rFonts w:ascii="Andes" w:hAnsi="Andes"/>
          <w:sz w:val="36"/>
          <w:szCs w:val="36"/>
        </w:rPr>
        <w:t xml:space="preserve"> </w:t>
      </w:r>
      <w:r w:rsidRPr="003D1E40">
        <w:rPr>
          <w:rFonts w:ascii="Andes" w:hAnsi="Andes"/>
          <w:sz w:val="36"/>
          <w:szCs w:val="36"/>
        </w:rPr>
        <w:t>Meeting of the Executive Committee</w:t>
      </w:r>
    </w:p>
    <w:p w14:paraId="03860895" w14:textId="77777777" w:rsidR="00BE78FD" w:rsidRPr="003D1E40" w:rsidRDefault="00BE78FD" w:rsidP="00BE78FD">
      <w:pPr>
        <w:jc w:val="center"/>
        <w:rPr>
          <w:rFonts w:ascii="Andes" w:hAnsi="Andes"/>
          <w:sz w:val="36"/>
          <w:szCs w:val="36"/>
        </w:rPr>
      </w:pPr>
      <w:r w:rsidRPr="003D1E40">
        <w:rPr>
          <w:rFonts w:ascii="Andes" w:hAnsi="Andes"/>
          <w:sz w:val="36"/>
          <w:szCs w:val="36"/>
        </w:rPr>
        <w:t>of the Multilateral Fund</w:t>
      </w:r>
    </w:p>
    <w:p w14:paraId="4803EAA9" w14:textId="77777777" w:rsidR="00BE78FD" w:rsidRPr="003D1E40" w:rsidRDefault="00BE78FD" w:rsidP="00BE78FD">
      <w:pPr>
        <w:jc w:val="center"/>
        <w:rPr>
          <w:rFonts w:ascii="Andes" w:hAnsi="Andes"/>
          <w:sz w:val="36"/>
          <w:szCs w:val="36"/>
        </w:rPr>
      </w:pPr>
    </w:p>
    <w:p w14:paraId="594E2784" w14:textId="77777777" w:rsidR="00BE78FD" w:rsidRPr="003D1E40" w:rsidRDefault="00BE78FD" w:rsidP="00BE78FD">
      <w:pPr>
        <w:jc w:val="center"/>
        <w:rPr>
          <w:rFonts w:ascii="Andes" w:hAnsi="Andes"/>
          <w:sz w:val="36"/>
          <w:szCs w:val="36"/>
        </w:rPr>
      </w:pPr>
    </w:p>
    <w:p w14:paraId="264ECFCB" w14:textId="77777777" w:rsidR="00BE78FD" w:rsidRDefault="00BE78FD" w:rsidP="00BE78FD">
      <w:pPr>
        <w:jc w:val="center"/>
        <w:rPr>
          <w:rFonts w:ascii="Andes" w:hAnsi="Andes"/>
          <w:sz w:val="36"/>
          <w:szCs w:val="36"/>
        </w:rPr>
      </w:pPr>
      <w:r>
        <w:rPr>
          <w:rFonts w:ascii="Andes" w:hAnsi="Andes"/>
          <w:sz w:val="36"/>
          <w:szCs w:val="36"/>
        </w:rPr>
        <w:t xml:space="preserve">October </w:t>
      </w:r>
      <w:r w:rsidRPr="003D1E40">
        <w:rPr>
          <w:rFonts w:ascii="Andes" w:hAnsi="Andes"/>
          <w:sz w:val="36"/>
          <w:szCs w:val="36"/>
        </w:rPr>
        <w:t>201</w:t>
      </w:r>
      <w:r>
        <w:rPr>
          <w:rFonts w:ascii="Andes" w:hAnsi="Andes"/>
          <w:sz w:val="36"/>
          <w:szCs w:val="36"/>
        </w:rPr>
        <w:t>8</w:t>
      </w:r>
    </w:p>
    <w:p w14:paraId="3886543F" w14:textId="77777777" w:rsidR="00BE78FD" w:rsidRPr="003D1E40" w:rsidRDefault="00BE78FD" w:rsidP="00BE78FD">
      <w:pPr>
        <w:jc w:val="center"/>
        <w:rPr>
          <w:rFonts w:ascii="Andes" w:hAnsi="Andes"/>
          <w:sz w:val="36"/>
          <w:szCs w:val="36"/>
        </w:rPr>
      </w:pPr>
    </w:p>
    <w:p w14:paraId="145AC2E4" w14:textId="77777777" w:rsidR="00BE78FD" w:rsidRDefault="00BE78FD" w:rsidP="00BE78FD">
      <w:pPr>
        <w:rPr>
          <w:b/>
          <w:bCs/>
          <w:smallCaps/>
          <w:sz w:val="28"/>
        </w:rPr>
      </w:pPr>
      <w:r>
        <w:rPr>
          <w:smallCaps/>
          <w:sz w:val="28"/>
        </w:rPr>
        <w:br w:type="page"/>
      </w:r>
    </w:p>
    <w:p w14:paraId="78F35BAC" w14:textId="77777777" w:rsidR="00BE78FD" w:rsidRDefault="00BE78FD" w:rsidP="00BE78FD">
      <w:pPr>
        <w:sectPr w:rsidR="00BE78FD" w:rsidSect="00E60BB1">
          <w:footerReference w:type="default" r:id="rId16"/>
          <w:footerReference w:type="first" r:id="rId17"/>
          <w:pgSz w:w="12240" w:h="15840" w:code="1"/>
          <w:pgMar w:top="720" w:right="1440" w:bottom="864" w:left="1440" w:header="720" w:footer="475" w:gutter="0"/>
          <w:pgNumType w:start="1"/>
          <w:cols w:space="720"/>
          <w:titlePg/>
        </w:sectPr>
      </w:pPr>
    </w:p>
    <w:p w14:paraId="2B10D431" w14:textId="77777777" w:rsidR="00BE78FD" w:rsidRPr="00E60BB1" w:rsidRDefault="00BE78FD" w:rsidP="00BE78FD">
      <w:pPr>
        <w:pStyle w:val="Heading1"/>
        <w:keepNext/>
        <w:numPr>
          <w:ilvl w:val="0"/>
          <w:numId w:val="21"/>
        </w:numPr>
        <w:spacing w:before="240"/>
        <w:jc w:val="left"/>
        <w:rPr>
          <w:rFonts w:eastAsia="SimSun"/>
          <w:b/>
          <w:bCs/>
          <w:sz w:val="28"/>
          <w:szCs w:val="24"/>
          <w:lang w:val="en-US"/>
        </w:rPr>
      </w:pPr>
      <w:bookmarkStart w:id="1" w:name="_Toc395519914"/>
      <w:r w:rsidRPr="00E60BB1">
        <w:rPr>
          <w:rFonts w:eastAsia="SimSun"/>
          <w:b/>
          <w:bCs/>
          <w:sz w:val="28"/>
          <w:szCs w:val="24"/>
          <w:lang w:val="en-US"/>
        </w:rPr>
        <w:lastRenderedPageBreak/>
        <w:t>MULTILATERAL FUND TARGETS</w:t>
      </w:r>
      <w:bookmarkEnd w:id="1"/>
    </w:p>
    <w:p w14:paraId="3FA91545" w14:textId="77777777" w:rsidR="00BE78FD" w:rsidRPr="00E60BB1" w:rsidRDefault="00BE78FD" w:rsidP="00BE78FD">
      <w:pPr>
        <w:pStyle w:val="Heading2"/>
        <w:keepNext/>
        <w:keepLines/>
        <w:widowControl/>
        <w:numPr>
          <w:ilvl w:val="1"/>
          <w:numId w:val="21"/>
        </w:numPr>
        <w:spacing w:before="200" w:after="0"/>
        <w:ind w:left="0"/>
        <w:jc w:val="left"/>
        <w:rPr>
          <w:rFonts w:eastAsiaTheme="majorEastAsia" w:cstheme="majorBidi"/>
          <w:b/>
          <w:sz w:val="24"/>
          <w:szCs w:val="24"/>
          <w:lang w:val="en-US"/>
        </w:rPr>
      </w:pPr>
      <w:bookmarkStart w:id="2" w:name="_Toc395519915"/>
      <w:r w:rsidRPr="00E60BB1">
        <w:rPr>
          <w:rFonts w:eastAsiaTheme="majorEastAsia" w:cstheme="majorBidi"/>
          <w:b/>
          <w:sz w:val="24"/>
          <w:szCs w:val="24"/>
          <w:lang w:val="en-US"/>
        </w:rPr>
        <w:t>Meeting the Objectives of the Multilateral Fund</w:t>
      </w:r>
    </w:p>
    <w:p w14:paraId="54A1DE1E" w14:textId="77777777" w:rsidR="00BE78FD" w:rsidRPr="00FC0C38" w:rsidRDefault="00BE78FD" w:rsidP="00BE78FD"/>
    <w:p w14:paraId="60D30DDF" w14:textId="77777777" w:rsidR="00BE78FD" w:rsidRPr="003C26A4" w:rsidRDefault="00BE78FD" w:rsidP="00BE78FD">
      <w:pPr>
        <w:pStyle w:val="ListParagraph"/>
        <w:numPr>
          <w:ilvl w:val="0"/>
          <w:numId w:val="22"/>
        </w:numPr>
        <w:spacing w:after="120" w:line="276" w:lineRule="auto"/>
        <w:ind w:left="0" w:firstLine="0"/>
        <w:jc w:val="both"/>
        <w:rPr>
          <w:bCs/>
          <w:sz w:val="22"/>
          <w:szCs w:val="22"/>
        </w:rPr>
      </w:pPr>
      <w:r w:rsidRPr="003C26A4">
        <w:rPr>
          <w:bCs/>
          <w:sz w:val="22"/>
          <w:szCs w:val="22"/>
        </w:rPr>
        <w:t xml:space="preserve">The three-year rolling Business Plan for the World Bank has been prepared on the basis of approved and projected funding needs of client countries covering the years </w:t>
      </w:r>
      <w:r>
        <w:rPr>
          <w:bCs/>
          <w:sz w:val="22"/>
          <w:szCs w:val="22"/>
        </w:rPr>
        <w:t>2019-2021</w:t>
      </w:r>
      <w:r w:rsidRPr="003C26A4">
        <w:rPr>
          <w:bCs/>
          <w:sz w:val="22"/>
          <w:szCs w:val="22"/>
        </w:rPr>
        <w:t xml:space="preserve">. </w:t>
      </w:r>
    </w:p>
    <w:p w14:paraId="1BC81036" w14:textId="77777777" w:rsidR="00BE78FD" w:rsidRPr="003C26A4" w:rsidRDefault="00BE78FD" w:rsidP="00BE78FD">
      <w:pPr>
        <w:pStyle w:val="ListParagraph"/>
        <w:numPr>
          <w:ilvl w:val="0"/>
          <w:numId w:val="22"/>
        </w:numPr>
        <w:spacing w:after="120" w:line="276" w:lineRule="auto"/>
        <w:ind w:left="0" w:firstLine="0"/>
        <w:jc w:val="both"/>
        <w:rPr>
          <w:bCs/>
          <w:sz w:val="22"/>
          <w:szCs w:val="22"/>
        </w:rPr>
      </w:pPr>
      <w:r w:rsidRPr="003C26A4">
        <w:rPr>
          <w:bCs/>
          <w:sz w:val="22"/>
          <w:szCs w:val="22"/>
        </w:rPr>
        <w:t xml:space="preserve">The objectives of the proposed </w:t>
      </w:r>
      <w:r>
        <w:rPr>
          <w:bCs/>
          <w:sz w:val="22"/>
          <w:szCs w:val="22"/>
        </w:rPr>
        <w:t>2019-2021</w:t>
      </w:r>
      <w:r w:rsidRPr="003C26A4">
        <w:rPr>
          <w:bCs/>
          <w:sz w:val="22"/>
          <w:szCs w:val="22"/>
        </w:rPr>
        <w:t xml:space="preserve"> Business Plan for the World Bank are to: </w:t>
      </w:r>
    </w:p>
    <w:p w14:paraId="6522A62E" w14:textId="77777777" w:rsidR="00BE78FD" w:rsidRPr="003C26A4" w:rsidRDefault="00BE78FD" w:rsidP="00BE78FD">
      <w:pPr>
        <w:pStyle w:val="ListParagraph"/>
        <w:numPr>
          <w:ilvl w:val="1"/>
          <w:numId w:val="22"/>
        </w:numPr>
        <w:spacing w:after="120" w:line="276" w:lineRule="auto"/>
        <w:jc w:val="both"/>
        <w:rPr>
          <w:sz w:val="22"/>
          <w:szCs w:val="22"/>
        </w:rPr>
      </w:pPr>
      <w:r>
        <w:rPr>
          <w:sz w:val="22"/>
          <w:szCs w:val="22"/>
        </w:rPr>
        <w:t>A</w:t>
      </w:r>
      <w:r w:rsidRPr="003C26A4">
        <w:rPr>
          <w:sz w:val="22"/>
          <w:szCs w:val="22"/>
        </w:rPr>
        <w:t xml:space="preserve">ssist Article 5 countries in </w:t>
      </w:r>
      <w:r>
        <w:rPr>
          <w:sz w:val="22"/>
          <w:szCs w:val="22"/>
        </w:rPr>
        <w:t xml:space="preserve">sustaining and </w:t>
      </w:r>
      <w:r w:rsidRPr="003C26A4">
        <w:rPr>
          <w:sz w:val="22"/>
          <w:szCs w:val="22"/>
        </w:rPr>
        <w:t xml:space="preserve">meeting the </w:t>
      </w:r>
      <w:r>
        <w:rPr>
          <w:sz w:val="22"/>
          <w:szCs w:val="22"/>
        </w:rPr>
        <w:t>obligation</w:t>
      </w:r>
      <w:r w:rsidRPr="003C26A4">
        <w:rPr>
          <w:sz w:val="22"/>
          <w:szCs w:val="22"/>
        </w:rPr>
        <w:t xml:space="preserve"> pertaining to HCFC consumption and production phase-out – the 35% reduction in 2020 and also to meet the extended HCFC phase-out commitment under each country’s Agreement with the Executive Committee. </w:t>
      </w:r>
    </w:p>
    <w:p w14:paraId="7D4E263F" w14:textId="77777777" w:rsidR="00BE78FD" w:rsidRDefault="00BE78FD" w:rsidP="00BE78FD">
      <w:pPr>
        <w:pStyle w:val="ListParagraph"/>
        <w:numPr>
          <w:ilvl w:val="1"/>
          <w:numId w:val="22"/>
        </w:numPr>
        <w:spacing w:after="120" w:line="276" w:lineRule="auto"/>
        <w:jc w:val="both"/>
        <w:rPr>
          <w:sz w:val="22"/>
          <w:szCs w:val="22"/>
        </w:rPr>
      </w:pPr>
      <w:r>
        <w:rPr>
          <w:sz w:val="22"/>
          <w:szCs w:val="22"/>
        </w:rPr>
        <w:t xml:space="preserve">Support Article 5 countries with HFC by-product production in response to Kigali Amendment </w:t>
      </w:r>
    </w:p>
    <w:p w14:paraId="3A1E4289" w14:textId="77777777" w:rsidR="00BE78FD" w:rsidRDefault="00BE78FD" w:rsidP="00BE78FD">
      <w:pPr>
        <w:pStyle w:val="ListParagraph"/>
        <w:numPr>
          <w:ilvl w:val="1"/>
          <w:numId w:val="22"/>
        </w:numPr>
        <w:spacing w:after="120" w:line="276" w:lineRule="auto"/>
        <w:jc w:val="both"/>
        <w:rPr>
          <w:sz w:val="22"/>
          <w:szCs w:val="22"/>
        </w:rPr>
      </w:pPr>
      <w:r>
        <w:rPr>
          <w:sz w:val="22"/>
          <w:szCs w:val="22"/>
        </w:rPr>
        <w:t xml:space="preserve">Assist Article 5 countries in implementing </w:t>
      </w:r>
      <w:r w:rsidRPr="00D06499">
        <w:rPr>
          <w:sz w:val="22"/>
          <w:szCs w:val="22"/>
        </w:rPr>
        <w:t>activities for HFC-related projects in response to decisions undertaken at the 79th Meeting of the Executive Committee</w:t>
      </w:r>
      <w:r>
        <w:rPr>
          <w:sz w:val="22"/>
          <w:szCs w:val="22"/>
        </w:rPr>
        <w:t>.</w:t>
      </w:r>
    </w:p>
    <w:p w14:paraId="35EB6127" w14:textId="77777777" w:rsidR="00BE78FD" w:rsidRPr="003C26A4" w:rsidRDefault="00BE78FD" w:rsidP="00BE78FD">
      <w:pPr>
        <w:pStyle w:val="ListParagraph"/>
        <w:numPr>
          <w:ilvl w:val="1"/>
          <w:numId w:val="22"/>
        </w:numPr>
        <w:spacing w:after="120" w:line="276" w:lineRule="auto"/>
        <w:jc w:val="both"/>
        <w:rPr>
          <w:sz w:val="22"/>
          <w:szCs w:val="22"/>
        </w:rPr>
      </w:pPr>
      <w:r w:rsidRPr="003C26A4">
        <w:rPr>
          <w:sz w:val="22"/>
          <w:szCs w:val="22"/>
        </w:rPr>
        <w:t>Ensure Article 5 partner countries’ implementation of institutional strengthening (IS) activities.</w:t>
      </w:r>
    </w:p>
    <w:p w14:paraId="21FAF7C7" w14:textId="77777777" w:rsidR="00BE78FD" w:rsidRPr="003C26A4" w:rsidRDefault="00BE78FD" w:rsidP="00BE78FD">
      <w:pPr>
        <w:pStyle w:val="ListParagraph"/>
        <w:numPr>
          <w:ilvl w:val="0"/>
          <w:numId w:val="22"/>
        </w:numPr>
        <w:spacing w:after="120" w:line="276" w:lineRule="auto"/>
        <w:ind w:left="0" w:firstLine="0"/>
        <w:jc w:val="both"/>
        <w:rPr>
          <w:sz w:val="22"/>
          <w:szCs w:val="22"/>
        </w:rPr>
      </w:pPr>
      <w:r w:rsidRPr="003C26A4">
        <w:rPr>
          <w:sz w:val="22"/>
          <w:szCs w:val="22"/>
        </w:rPr>
        <w:t xml:space="preserve">The proposed </w:t>
      </w:r>
      <w:r>
        <w:rPr>
          <w:sz w:val="22"/>
          <w:szCs w:val="22"/>
        </w:rPr>
        <w:t>2019-2021</w:t>
      </w:r>
      <w:r w:rsidRPr="003C26A4">
        <w:rPr>
          <w:sz w:val="22"/>
          <w:szCs w:val="22"/>
        </w:rPr>
        <w:t xml:space="preserve"> Business Plan of the World Bank includes annual work programs of sector plans and national plans, previously approved, to phase out HCFCs, </w:t>
      </w:r>
      <w:r>
        <w:rPr>
          <w:sz w:val="22"/>
          <w:szCs w:val="22"/>
        </w:rPr>
        <w:t xml:space="preserve">a </w:t>
      </w:r>
      <w:r w:rsidRPr="003C26A4">
        <w:rPr>
          <w:sz w:val="22"/>
          <w:szCs w:val="22"/>
        </w:rPr>
        <w:t>Stage II gradual production phase-out plan</w:t>
      </w:r>
      <w:r>
        <w:rPr>
          <w:sz w:val="22"/>
          <w:szCs w:val="22"/>
        </w:rPr>
        <w:t>, subject to consideration by the 80</w:t>
      </w:r>
      <w:r w:rsidRPr="00F5296F">
        <w:rPr>
          <w:sz w:val="22"/>
          <w:szCs w:val="22"/>
          <w:vertAlign w:val="superscript"/>
        </w:rPr>
        <w:t>th</w:t>
      </w:r>
      <w:r>
        <w:rPr>
          <w:sz w:val="22"/>
          <w:szCs w:val="22"/>
        </w:rPr>
        <w:t xml:space="preserve"> ExCom, as well as </w:t>
      </w:r>
      <w:r w:rsidRPr="003C26A4">
        <w:rPr>
          <w:sz w:val="22"/>
          <w:szCs w:val="22"/>
        </w:rPr>
        <w:t>the renewal of the institutional strengthening activities</w:t>
      </w:r>
      <w:r>
        <w:rPr>
          <w:sz w:val="22"/>
          <w:szCs w:val="22"/>
        </w:rPr>
        <w:t>. T</w:t>
      </w:r>
      <w:r w:rsidRPr="003C26A4">
        <w:rPr>
          <w:sz w:val="22"/>
          <w:szCs w:val="22"/>
        </w:rPr>
        <w:t xml:space="preserve">he Bank’s Business Plan </w:t>
      </w:r>
      <w:r>
        <w:rPr>
          <w:sz w:val="22"/>
          <w:szCs w:val="22"/>
        </w:rPr>
        <w:t xml:space="preserve">also </w:t>
      </w:r>
      <w:r w:rsidRPr="003C26A4">
        <w:rPr>
          <w:sz w:val="22"/>
          <w:szCs w:val="22"/>
        </w:rPr>
        <w:t xml:space="preserve">includes </w:t>
      </w:r>
      <w:r>
        <w:rPr>
          <w:sz w:val="22"/>
          <w:szCs w:val="22"/>
        </w:rPr>
        <w:t xml:space="preserve">additional </w:t>
      </w:r>
      <w:r w:rsidRPr="003C26A4">
        <w:rPr>
          <w:sz w:val="22"/>
          <w:szCs w:val="22"/>
        </w:rPr>
        <w:t xml:space="preserve">stage II HCFC phase-out sector plans </w:t>
      </w:r>
      <w:r>
        <w:rPr>
          <w:sz w:val="22"/>
          <w:szCs w:val="22"/>
        </w:rPr>
        <w:t xml:space="preserve">for Thailand, </w:t>
      </w:r>
      <w:r w:rsidRPr="003C26A4">
        <w:rPr>
          <w:sz w:val="22"/>
          <w:szCs w:val="22"/>
        </w:rPr>
        <w:t>and</w:t>
      </w:r>
      <w:r>
        <w:rPr>
          <w:sz w:val="22"/>
          <w:szCs w:val="22"/>
        </w:rPr>
        <w:t xml:space="preserve"> in </w:t>
      </w:r>
      <w:r w:rsidRPr="003C26A4">
        <w:rPr>
          <w:sz w:val="22"/>
          <w:szCs w:val="22"/>
        </w:rPr>
        <w:t xml:space="preserve">light of the decisions </w:t>
      </w:r>
      <w:r>
        <w:rPr>
          <w:sz w:val="22"/>
          <w:szCs w:val="22"/>
        </w:rPr>
        <w:t>79/45, 79/46, and 79/47</w:t>
      </w:r>
      <w:r w:rsidRPr="003C26A4">
        <w:rPr>
          <w:sz w:val="22"/>
          <w:szCs w:val="22"/>
        </w:rPr>
        <w:t>, t</w:t>
      </w:r>
      <w:r>
        <w:rPr>
          <w:sz w:val="22"/>
          <w:szCs w:val="22"/>
        </w:rPr>
        <w:t xml:space="preserve">he Bank’s Business Plan also includes a number of HFC investment projects, and HFC-23 demonstration projects. </w:t>
      </w:r>
    </w:p>
    <w:bookmarkEnd w:id="2"/>
    <w:p w14:paraId="34004245" w14:textId="77777777" w:rsidR="00BE78FD" w:rsidRPr="003C26A4" w:rsidRDefault="00BE78FD" w:rsidP="00BE78FD">
      <w:pPr>
        <w:pStyle w:val="ListParagraph"/>
        <w:numPr>
          <w:ilvl w:val="0"/>
          <w:numId w:val="22"/>
        </w:numPr>
        <w:spacing w:after="120" w:line="276" w:lineRule="auto"/>
        <w:ind w:left="0" w:firstLine="0"/>
        <w:jc w:val="both"/>
        <w:rPr>
          <w:sz w:val="22"/>
          <w:szCs w:val="22"/>
        </w:rPr>
      </w:pPr>
      <w:r w:rsidRPr="003C26A4">
        <w:rPr>
          <w:sz w:val="22"/>
          <w:szCs w:val="22"/>
        </w:rPr>
        <w:t xml:space="preserve">The expected impact of proposed new investment activities for the </w:t>
      </w:r>
      <w:r>
        <w:rPr>
          <w:sz w:val="22"/>
          <w:szCs w:val="22"/>
        </w:rPr>
        <w:t>2019-2021</w:t>
      </w:r>
      <w:r w:rsidRPr="003C26A4">
        <w:rPr>
          <w:sz w:val="22"/>
          <w:szCs w:val="22"/>
        </w:rPr>
        <w:t xml:space="preserve"> period </w:t>
      </w:r>
      <w:r>
        <w:rPr>
          <w:sz w:val="22"/>
          <w:szCs w:val="22"/>
        </w:rPr>
        <w:t>are</w:t>
      </w:r>
      <w:r w:rsidRPr="003C26A4">
        <w:rPr>
          <w:sz w:val="22"/>
          <w:szCs w:val="22"/>
        </w:rPr>
        <w:t xml:space="preserve"> summarized in Table I – 1, below.  It should be noted that activities planned for these years are included on an indicative basis, and that they may later be revised as part of individual project submissions or future year World Bank business plan submissions.</w:t>
      </w:r>
    </w:p>
    <w:p w14:paraId="08FB14A8" w14:textId="77777777" w:rsidR="00BE78FD" w:rsidRPr="00547512" w:rsidRDefault="00BE78FD" w:rsidP="00BE78FD">
      <w:pPr>
        <w:pStyle w:val="ListParagraph"/>
        <w:rPr>
          <w:bCs/>
          <w:sz w:val="22"/>
          <w:szCs w:val="22"/>
        </w:rPr>
      </w:pPr>
    </w:p>
    <w:p w14:paraId="23541E5D" w14:textId="77777777" w:rsidR="00BE78FD" w:rsidRPr="0052591E" w:rsidRDefault="00BE78FD" w:rsidP="00BE78FD">
      <w:pPr>
        <w:jc w:val="center"/>
        <w:rPr>
          <w:bCs/>
          <w:sz w:val="18"/>
          <w:szCs w:val="18"/>
        </w:rPr>
      </w:pPr>
      <w:r w:rsidRPr="0052591E">
        <w:rPr>
          <w:bCs/>
          <w:sz w:val="18"/>
          <w:szCs w:val="18"/>
        </w:rPr>
        <w:t xml:space="preserve">Table I-1: Expected impact of new investment activities anticipated to be requested </w:t>
      </w:r>
    </w:p>
    <w:p w14:paraId="6D1DAB80" w14:textId="77777777" w:rsidR="00BE78FD" w:rsidRDefault="00BE78FD" w:rsidP="00BE78FD">
      <w:pPr>
        <w:jc w:val="center"/>
        <w:rPr>
          <w:bCs/>
          <w:sz w:val="18"/>
          <w:szCs w:val="18"/>
          <w:lang w:eastAsia="zh-CN"/>
        </w:rPr>
      </w:pPr>
      <w:r w:rsidRPr="0052591E">
        <w:rPr>
          <w:bCs/>
          <w:sz w:val="18"/>
          <w:szCs w:val="18"/>
        </w:rPr>
        <w:t xml:space="preserve">by the World Bank for the years </w:t>
      </w:r>
      <w:r>
        <w:rPr>
          <w:bCs/>
          <w:sz w:val="18"/>
          <w:szCs w:val="18"/>
        </w:rPr>
        <w:t>2019-2021</w:t>
      </w:r>
      <w:r w:rsidRPr="0052591E">
        <w:rPr>
          <w:bCs/>
          <w:sz w:val="18"/>
          <w:szCs w:val="18"/>
        </w:rPr>
        <w:t xml:space="preserve"> (ODP tonnes)</w:t>
      </w:r>
    </w:p>
    <w:p w14:paraId="264945E9" w14:textId="77777777" w:rsidR="00BE78FD" w:rsidRDefault="00BE78FD" w:rsidP="00BE78FD">
      <w:pPr>
        <w:jc w:val="center"/>
        <w:rPr>
          <w:bCs/>
        </w:rPr>
      </w:pPr>
    </w:p>
    <w:tbl>
      <w:tblPr>
        <w:tblStyle w:val="TableGrid"/>
        <w:tblW w:w="5000" w:type="pct"/>
        <w:jc w:val="center"/>
        <w:tblLayout w:type="fixed"/>
        <w:tblLook w:val="04A0" w:firstRow="1" w:lastRow="0" w:firstColumn="1" w:lastColumn="0" w:noHBand="0" w:noVBand="1"/>
      </w:tblPr>
      <w:tblGrid>
        <w:gridCol w:w="4586"/>
        <w:gridCol w:w="1191"/>
        <w:gridCol w:w="1191"/>
        <w:gridCol w:w="1191"/>
        <w:gridCol w:w="1191"/>
      </w:tblGrid>
      <w:tr w:rsidR="00BE78FD" w14:paraId="0E9A11AC" w14:textId="77777777" w:rsidTr="008267E8">
        <w:trPr>
          <w:jc w:val="center"/>
        </w:trPr>
        <w:tc>
          <w:tcPr>
            <w:tcW w:w="2452" w:type="pct"/>
          </w:tcPr>
          <w:p w14:paraId="640BD196" w14:textId="77777777" w:rsidR="00BE78FD" w:rsidRPr="00096706" w:rsidRDefault="00BE78FD" w:rsidP="00E00CF1">
            <w:pPr>
              <w:jc w:val="center"/>
              <w:rPr>
                <w:b/>
                <w:bCs/>
                <w:sz w:val="18"/>
                <w:szCs w:val="18"/>
              </w:rPr>
            </w:pPr>
          </w:p>
        </w:tc>
        <w:tc>
          <w:tcPr>
            <w:tcW w:w="637" w:type="pct"/>
          </w:tcPr>
          <w:p w14:paraId="34744E72" w14:textId="77777777" w:rsidR="00BE78FD" w:rsidRPr="00096706" w:rsidRDefault="00BE78FD" w:rsidP="00E00CF1">
            <w:pPr>
              <w:jc w:val="center"/>
              <w:rPr>
                <w:b/>
                <w:bCs/>
                <w:sz w:val="18"/>
                <w:szCs w:val="18"/>
                <w:lang w:eastAsia="zh-CN"/>
              </w:rPr>
            </w:pPr>
            <w:r w:rsidRPr="00096706">
              <w:rPr>
                <w:b/>
                <w:bCs/>
                <w:sz w:val="18"/>
                <w:szCs w:val="18"/>
              </w:rPr>
              <w:t>201</w:t>
            </w:r>
            <w:r>
              <w:rPr>
                <w:b/>
                <w:bCs/>
                <w:sz w:val="18"/>
                <w:szCs w:val="18"/>
                <w:lang w:eastAsia="zh-CN"/>
              </w:rPr>
              <w:t>9</w:t>
            </w:r>
          </w:p>
        </w:tc>
        <w:tc>
          <w:tcPr>
            <w:tcW w:w="637" w:type="pct"/>
          </w:tcPr>
          <w:p w14:paraId="6CF234EB" w14:textId="77777777" w:rsidR="00BE78FD" w:rsidRPr="00096706" w:rsidRDefault="00BE78FD" w:rsidP="00E00CF1">
            <w:pPr>
              <w:jc w:val="center"/>
              <w:rPr>
                <w:b/>
                <w:bCs/>
                <w:sz w:val="18"/>
                <w:szCs w:val="18"/>
                <w:lang w:eastAsia="zh-CN"/>
              </w:rPr>
            </w:pPr>
            <w:r w:rsidRPr="00096706">
              <w:rPr>
                <w:b/>
                <w:bCs/>
                <w:sz w:val="18"/>
                <w:szCs w:val="18"/>
              </w:rPr>
              <w:t>20</w:t>
            </w:r>
            <w:r>
              <w:rPr>
                <w:b/>
                <w:bCs/>
                <w:sz w:val="18"/>
                <w:szCs w:val="18"/>
              </w:rPr>
              <w:t>20</w:t>
            </w:r>
          </w:p>
        </w:tc>
        <w:tc>
          <w:tcPr>
            <w:tcW w:w="637" w:type="pct"/>
          </w:tcPr>
          <w:p w14:paraId="22E4FC7B" w14:textId="77777777" w:rsidR="00BE78FD" w:rsidRPr="00096706" w:rsidRDefault="00BE78FD" w:rsidP="00E00CF1">
            <w:pPr>
              <w:jc w:val="center"/>
              <w:rPr>
                <w:b/>
                <w:bCs/>
                <w:sz w:val="18"/>
                <w:szCs w:val="18"/>
                <w:lang w:eastAsia="zh-CN"/>
              </w:rPr>
            </w:pPr>
            <w:r w:rsidRPr="00096706">
              <w:rPr>
                <w:b/>
                <w:bCs/>
                <w:sz w:val="18"/>
                <w:szCs w:val="18"/>
              </w:rPr>
              <w:t>20</w:t>
            </w:r>
            <w:r>
              <w:rPr>
                <w:b/>
                <w:bCs/>
                <w:sz w:val="18"/>
                <w:szCs w:val="18"/>
              </w:rPr>
              <w:t>21</w:t>
            </w:r>
          </w:p>
        </w:tc>
        <w:tc>
          <w:tcPr>
            <w:tcW w:w="637" w:type="pct"/>
          </w:tcPr>
          <w:p w14:paraId="45B6BDBF" w14:textId="77777777" w:rsidR="00BE78FD" w:rsidRPr="00096706" w:rsidRDefault="00BE78FD" w:rsidP="00E00CF1">
            <w:pPr>
              <w:jc w:val="center"/>
              <w:rPr>
                <w:b/>
                <w:bCs/>
                <w:sz w:val="18"/>
                <w:szCs w:val="18"/>
              </w:rPr>
            </w:pPr>
            <w:r w:rsidRPr="00096706">
              <w:rPr>
                <w:b/>
                <w:bCs/>
                <w:sz w:val="18"/>
                <w:szCs w:val="18"/>
              </w:rPr>
              <w:t>Total</w:t>
            </w:r>
          </w:p>
        </w:tc>
      </w:tr>
      <w:tr w:rsidR="00BE78FD" w14:paraId="13E79DC7" w14:textId="77777777" w:rsidTr="008267E8">
        <w:trPr>
          <w:jc w:val="center"/>
        </w:trPr>
        <w:tc>
          <w:tcPr>
            <w:tcW w:w="2452" w:type="pct"/>
          </w:tcPr>
          <w:p w14:paraId="47A49953" w14:textId="77777777" w:rsidR="00BE78FD" w:rsidRPr="00096706" w:rsidRDefault="00BE78FD" w:rsidP="00E00CF1">
            <w:pPr>
              <w:rPr>
                <w:bCs/>
                <w:sz w:val="18"/>
                <w:szCs w:val="18"/>
              </w:rPr>
            </w:pPr>
            <w:r w:rsidRPr="00096706">
              <w:rPr>
                <w:bCs/>
                <w:sz w:val="18"/>
                <w:szCs w:val="18"/>
              </w:rPr>
              <w:t>HCFC Sector Plans Stage II</w:t>
            </w:r>
            <w:r>
              <w:rPr>
                <w:bCs/>
                <w:sz w:val="18"/>
                <w:szCs w:val="18"/>
              </w:rPr>
              <w:t xml:space="preserve"> (Philippines and Thailand)</w:t>
            </w:r>
          </w:p>
        </w:tc>
        <w:tc>
          <w:tcPr>
            <w:tcW w:w="637" w:type="pct"/>
            <w:shd w:val="clear" w:color="auto" w:fill="auto"/>
          </w:tcPr>
          <w:p w14:paraId="109AD494" w14:textId="77777777" w:rsidR="00BE78FD" w:rsidRPr="00096706" w:rsidRDefault="00BE78FD" w:rsidP="00E00CF1">
            <w:pPr>
              <w:jc w:val="right"/>
              <w:rPr>
                <w:bCs/>
                <w:sz w:val="18"/>
                <w:szCs w:val="18"/>
              </w:rPr>
            </w:pPr>
            <w:r>
              <w:rPr>
                <w:bCs/>
                <w:sz w:val="18"/>
                <w:szCs w:val="18"/>
              </w:rPr>
              <w:t>61.90</w:t>
            </w:r>
          </w:p>
        </w:tc>
        <w:tc>
          <w:tcPr>
            <w:tcW w:w="637" w:type="pct"/>
            <w:shd w:val="clear" w:color="auto" w:fill="auto"/>
          </w:tcPr>
          <w:p w14:paraId="1ED9F9ED" w14:textId="77777777" w:rsidR="00BE78FD" w:rsidRPr="00096706" w:rsidRDefault="00BE78FD" w:rsidP="00E00CF1">
            <w:pPr>
              <w:jc w:val="right"/>
              <w:rPr>
                <w:bCs/>
                <w:sz w:val="18"/>
                <w:szCs w:val="18"/>
              </w:rPr>
            </w:pPr>
            <w:r>
              <w:rPr>
                <w:bCs/>
                <w:sz w:val="18"/>
                <w:szCs w:val="18"/>
              </w:rPr>
              <w:t>102.71</w:t>
            </w:r>
          </w:p>
        </w:tc>
        <w:tc>
          <w:tcPr>
            <w:tcW w:w="637" w:type="pct"/>
            <w:shd w:val="clear" w:color="auto" w:fill="auto"/>
          </w:tcPr>
          <w:p w14:paraId="2B55A981" w14:textId="77777777" w:rsidR="00BE78FD" w:rsidRPr="00096706" w:rsidRDefault="00BE78FD" w:rsidP="00E00CF1">
            <w:pPr>
              <w:jc w:val="right"/>
              <w:rPr>
                <w:bCs/>
                <w:sz w:val="18"/>
                <w:szCs w:val="18"/>
              </w:rPr>
            </w:pPr>
          </w:p>
        </w:tc>
        <w:tc>
          <w:tcPr>
            <w:tcW w:w="637" w:type="pct"/>
            <w:shd w:val="clear" w:color="auto" w:fill="auto"/>
          </w:tcPr>
          <w:p w14:paraId="10547A61" w14:textId="77777777" w:rsidR="00BE78FD" w:rsidRPr="00096706" w:rsidRDefault="00BE78FD" w:rsidP="00E00CF1">
            <w:pPr>
              <w:jc w:val="right"/>
              <w:rPr>
                <w:bCs/>
                <w:sz w:val="18"/>
                <w:szCs w:val="18"/>
              </w:rPr>
            </w:pPr>
            <w:r>
              <w:rPr>
                <w:bCs/>
                <w:sz w:val="18"/>
                <w:szCs w:val="18"/>
              </w:rPr>
              <w:t>226.51</w:t>
            </w:r>
          </w:p>
        </w:tc>
      </w:tr>
      <w:tr w:rsidR="00BE78FD" w14:paraId="5DC28729" w14:textId="77777777" w:rsidTr="008267E8">
        <w:trPr>
          <w:jc w:val="center"/>
        </w:trPr>
        <w:tc>
          <w:tcPr>
            <w:tcW w:w="2452" w:type="pct"/>
          </w:tcPr>
          <w:p w14:paraId="379C9A29" w14:textId="77777777" w:rsidR="00BE78FD" w:rsidRPr="00096706" w:rsidRDefault="00BE78FD" w:rsidP="00E00CF1">
            <w:pPr>
              <w:rPr>
                <w:bCs/>
                <w:sz w:val="18"/>
                <w:szCs w:val="18"/>
                <w:lang w:eastAsia="zh-CN"/>
              </w:rPr>
            </w:pPr>
            <w:r w:rsidRPr="00096706">
              <w:rPr>
                <w:bCs/>
                <w:sz w:val="18"/>
                <w:szCs w:val="18"/>
              </w:rPr>
              <w:t>HCFC Production Phase-out Plan</w:t>
            </w:r>
            <w:r w:rsidRPr="00096706">
              <w:rPr>
                <w:rFonts w:hint="eastAsia"/>
                <w:bCs/>
                <w:sz w:val="18"/>
                <w:szCs w:val="18"/>
                <w:lang w:eastAsia="zh-CN"/>
              </w:rPr>
              <w:t xml:space="preserve"> Stage II (China)</w:t>
            </w:r>
          </w:p>
        </w:tc>
        <w:tc>
          <w:tcPr>
            <w:tcW w:w="637" w:type="pct"/>
            <w:shd w:val="clear" w:color="auto" w:fill="auto"/>
          </w:tcPr>
          <w:p w14:paraId="0DD2D996" w14:textId="77777777" w:rsidR="00BE78FD" w:rsidRPr="00096706" w:rsidRDefault="00BE78FD" w:rsidP="00E00CF1">
            <w:pPr>
              <w:jc w:val="right"/>
              <w:rPr>
                <w:bCs/>
                <w:sz w:val="18"/>
                <w:szCs w:val="18"/>
              </w:rPr>
            </w:pPr>
            <w:r>
              <w:rPr>
                <w:bCs/>
                <w:sz w:val="18"/>
                <w:szCs w:val="18"/>
              </w:rPr>
              <w:t>0.00</w:t>
            </w:r>
          </w:p>
        </w:tc>
        <w:tc>
          <w:tcPr>
            <w:tcW w:w="637" w:type="pct"/>
            <w:shd w:val="clear" w:color="auto" w:fill="auto"/>
          </w:tcPr>
          <w:p w14:paraId="6CF1F5EE" w14:textId="77777777" w:rsidR="00BE78FD" w:rsidRPr="00096706" w:rsidRDefault="00BE78FD" w:rsidP="00E00CF1">
            <w:pPr>
              <w:jc w:val="right"/>
              <w:rPr>
                <w:bCs/>
                <w:sz w:val="18"/>
                <w:szCs w:val="18"/>
              </w:rPr>
            </w:pPr>
            <w:r>
              <w:rPr>
                <w:bCs/>
                <w:sz w:val="18"/>
                <w:szCs w:val="18"/>
              </w:rPr>
              <w:t>5,076.00</w:t>
            </w:r>
          </w:p>
        </w:tc>
        <w:tc>
          <w:tcPr>
            <w:tcW w:w="637" w:type="pct"/>
            <w:shd w:val="clear" w:color="auto" w:fill="auto"/>
          </w:tcPr>
          <w:p w14:paraId="19748C45" w14:textId="77777777" w:rsidR="00BE78FD" w:rsidRPr="00096706" w:rsidRDefault="00BE78FD" w:rsidP="00E00CF1">
            <w:pPr>
              <w:jc w:val="right"/>
              <w:rPr>
                <w:bCs/>
                <w:sz w:val="18"/>
                <w:szCs w:val="18"/>
              </w:rPr>
            </w:pPr>
          </w:p>
        </w:tc>
        <w:tc>
          <w:tcPr>
            <w:tcW w:w="637" w:type="pct"/>
            <w:shd w:val="clear" w:color="auto" w:fill="auto"/>
          </w:tcPr>
          <w:p w14:paraId="2736009E" w14:textId="77777777" w:rsidR="00BE78FD" w:rsidRPr="00096706" w:rsidRDefault="00BE78FD" w:rsidP="00E00CF1">
            <w:pPr>
              <w:jc w:val="right"/>
              <w:rPr>
                <w:bCs/>
                <w:sz w:val="18"/>
                <w:szCs w:val="18"/>
              </w:rPr>
            </w:pPr>
            <w:r>
              <w:rPr>
                <w:bCs/>
                <w:sz w:val="18"/>
                <w:szCs w:val="18"/>
              </w:rPr>
              <w:t>6</w:t>
            </w:r>
            <w:r w:rsidRPr="00096A2B">
              <w:rPr>
                <w:bCs/>
                <w:sz w:val="18"/>
                <w:szCs w:val="18"/>
              </w:rPr>
              <w:t>,</w:t>
            </w:r>
            <w:r>
              <w:rPr>
                <w:bCs/>
                <w:sz w:val="18"/>
                <w:szCs w:val="18"/>
              </w:rPr>
              <w:t>264</w:t>
            </w:r>
            <w:r w:rsidRPr="00096A2B">
              <w:rPr>
                <w:bCs/>
                <w:sz w:val="18"/>
                <w:szCs w:val="18"/>
              </w:rPr>
              <w:t>.</w:t>
            </w:r>
            <w:r>
              <w:rPr>
                <w:bCs/>
                <w:sz w:val="18"/>
                <w:szCs w:val="18"/>
              </w:rPr>
              <w:t>0</w:t>
            </w:r>
            <w:r w:rsidRPr="00096A2B">
              <w:rPr>
                <w:bCs/>
                <w:sz w:val="18"/>
                <w:szCs w:val="18"/>
              </w:rPr>
              <w:t>0</w:t>
            </w:r>
          </w:p>
        </w:tc>
      </w:tr>
      <w:tr w:rsidR="00BE78FD" w14:paraId="4555CCCA" w14:textId="77777777" w:rsidTr="008267E8">
        <w:trPr>
          <w:jc w:val="center"/>
        </w:trPr>
        <w:tc>
          <w:tcPr>
            <w:tcW w:w="2452" w:type="pct"/>
          </w:tcPr>
          <w:p w14:paraId="0AC820F7" w14:textId="77777777" w:rsidR="00BE78FD" w:rsidRDefault="00BE78FD" w:rsidP="00E00CF1">
            <w:pPr>
              <w:rPr>
                <w:bCs/>
                <w:sz w:val="18"/>
                <w:szCs w:val="18"/>
              </w:rPr>
            </w:pPr>
            <w:r>
              <w:rPr>
                <w:bCs/>
                <w:sz w:val="18"/>
                <w:szCs w:val="18"/>
              </w:rPr>
              <w:t>Total (ODP tons)</w:t>
            </w:r>
          </w:p>
        </w:tc>
        <w:tc>
          <w:tcPr>
            <w:tcW w:w="637" w:type="pct"/>
            <w:shd w:val="clear" w:color="auto" w:fill="auto"/>
          </w:tcPr>
          <w:p w14:paraId="3AA55AE1" w14:textId="77777777" w:rsidR="00BE78FD" w:rsidRPr="00096A2B" w:rsidRDefault="00BE78FD" w:rsidP="00E00CF1">
            <w:pPr>
              <w:jc w:val="right"/>
              <w:rPr>
                <w:bCs/>
                <w:sz w:val="18"/>
                <w:szCs w:val="18"/>
              </w:rPr>
            </w:pPr>
            <w:r>
              <w:rPr>
                <w:bCs/>
                <w:sz w:val="18"/>
                <w:szCs w:val="18"/>
              </w:rPr>
              <w:t>61.90</w:t>
            </w:r>
          </w:p>
        </w:tc>
        <w:tc>
          <w:tcPr>
            <w:tcW w:w="637" w:type="pct"/>
            <w:shd w:val="clear" w:color="auto" w:fill="auto"/>
          </w:tcPr>
          <w:p w14:paraId="749C3796" w14:textId="77777777" w:rsidR="00BE78FD" w:rsidRDefault="00BE78FD" w:rsidP="00E00CF1">
            <w:pPr>
              <w:jc w:val="right"/>
              <w:rPr>
                <w:bCs/>
                <w:sz w:val="18"/>
                <w:szCs w:val="18"/>
              </w:rPr>
            </w:pPr>
            <w:r>
              <w:rPr>
                <w:bCs/>
                <w:sz w:val="18"/>
                <w:szCs w:val="18"/>
              </w:rPr>
              <w:t>5,178.71.60</w:t>
            </w:r>
          </w:p>
        </w:tc>
        <w:tc>
          <w:tcPr>
            <w:tcW w:w="637" w:type="pct"/>
            <w:shd w:val="clear" w:color="auto" w:fill="auto"/>
          </w:tcPr>
          <w:p w14:paraId="280D6B22" w14:textId="77777777" w:rsidR="00BE78FD" w:rsidRDefault="00BE78FD" w:rsidP="00E00CF1">
            <w:pPr>
              <w:jc w:val="right"/>
              <w:rPr>
                <w:bCs/>
                <w:sz w:val="18"/>
                <w:szCs w:val="18"/>
              </w:rPr>
            </w:pPr>
          </w:p>
        </w:tc>
        <w:tc>
          <w:tcPr>
            <w:tcW w:w="637" w:type="pct"/>
            <w:shd w:val="clear" w:color="auto" w:fill="auto"/>
          </w:tcPr>
          <w:p w14:paraId="25D3B1B9" w14:textId="77777777" w:rsidR="00BE78FD" w:rsidRDefault="00BE78FD" w:rsidP="00E00CF1">
            <w:pPr>
              <w:jc w:val="right"/>
              <w:rPr>
                <w:bCs/>
                <w:sz w:val="18"/>
                <w:szCs w:val="18"/>
              </w:rPr>
            </w:pPr>
            <w:r>
              <w:rPr>
                <w:bCs/>
                <w:sz w:val="18"/>
                <w:szCs w:val="18"/>
              </w:rPr>
              <w:t>6,490.51</w:t>
            </w:r>
          </w:p>
        </w:tc>
      </w:tr>
      <w:tr w:rsidR="00BE78FD" w14:paraId="1DA6C1B9" w14:textId="77777777" w:rsidTr="008267E8">
        <w:trPr>
          <w:jc w:val="center"/>
        </w:trPr>
        <w:tc>
          <w:tcPr>
            <w:tcW w:w="2452" w:type="pct"/>
          </w:tcPr>
          <w:p w14:paraId="079E3F46" w14:textId="77777777" w:rsidR="00BE78FD" w:rsidRPr="00096706" w:rsidRDefault="00BE78FD" w:rsidP="00E00CF1">
            <w:pPr>
              <w:rPr>
                <w:bCs/>
                <w:sz w:val="18"/>
                <w:szCs w:val="18"/>
              </w:rPr>
            </w:pPr>
            <w:r>
              <w:rPr>
                <w:bCs/>
                <w:sz w:val="18"/>
                <w:szCs w:val="18"/>
              </w:rPr>
              <w:t>HFC-23 demonstration project (MT)</w:t>
            </w:r>
          </w:p>
        </w:tc>
        <w:tc>
          <w:tcPr>
            <w:tcW w:w="637" w:type="pct"/>
            <w:shd w:val="clear" w:color="auto" w:fill="auto"/>
          </w:tcPr>
          <w:p w14:paraId="5CEE0465" w14:textId="77777777" w:rsidR="00BE78FD" w:rsidRPr="00096A2B" w:rsidRDefault="00BE78FD" w:rsidP="00E00CF1">
            <w:pPr>
              <w:jc w:val="right"/>
              <w:rPr>
                <w:bCs/>
                <w:sz w:val="18"/>
                <w:szCs w:val="18"/>
              </w:rPr>
            </w:pPr>
          </w:p>
        </w:tc>
        <w:tc>
          <w:tcPr>
            <w:tcW w:w="637" w:type="pct"/>
            <w:shd w:val="clear" w:color="auto" w:fill="auto"/>
          </w:tcPr>
          <w:p w14:paraId="322B77BA" w14:textId="77777777" w:rsidR="00BE78FD" w:rsidRDefault="00BE78FD" w:rsidP="00E00CF1">
            <w:pPr>
              <w:jc w:val="right"/>
              <w:rPr>
                <w:bCs/>
                <w:sz w:val="18"/>
                <w:szCs w:val="18"/>
              </w:rPr>
            </w:pPr>
            <w:r>
              <w:rPr>
                <w:bCs/>
                <w:sz w:val="18"/>
                <w:szCs w:val="18"/>
              </w:rPr>
              <w:t>1,000.00</w:t>
            </w:r>
          </w:p>
        </w:tc>
        <w:tc>
          <w:tcPr>
            <w:tcW w:w="637" w:type="pct"/>
            <w:shd w:val="clear" w:color="auto" w:fill="auto"/>
          </w:tcPr>
          <w:p w14:paraId="489CD6AA" w14:textId="77777777" w:rsidR="00BE78FD" w:rsidRDefault="00BE78FD" w:rsidP="00E00CF1">
            <w:pPr>
              <w:jc w:val="right"/>
              <w:rPr>
                <w:bCs/>
                <w:sz w:val="18"/>
                <w:szCs w:val="18"/>
              </w:rPr>
            </w:pPr>
          </w:p>
        </w:tc>
        <w:tc>
          <w:tcPr>
            <w:tcW w:w="637" w:type="pct"/>
            <w:shd w:val="clear" w:color="auto" w:fill="auto"/>
          </w:tcPr>
          <w:p w14:paraId="43E40529" w14:textId="77777777" w:rsidR="00BE78FD" w:rsidRDefault="00BE78FD" w:rsidP="00E00CF1">
            <w:pPr>
              <w:jc w:val="right"/>
              <w:rPr>
                <w:bCs/>
                <w:sz w:val="18"/>
                <w:szCs w:val="18"/>
              </w:rPr>
            </w:pPr>
            <w:r>
              <w:rPr>
                <w:bCs/>
                <w:sz w:val="18"/>
                <w:szCs w:val="18"/>
              </w:rPr>
              <w:t>500.00</w:t>
            </w:r>
          </w:p>
        </w:tc>
      </w:tr>
      <w:tr w:rsidR="00BE78FD" w14:paraId="6E69B4B8" w14:textId="77777777" w:rsidTr="008267E8">
        <w:trPr>
          <w:jc w:val="center"/>
        </w:trPr>
        <w:tc>
          <w:tcPr>
            <w:tcW w:w="2452" w:type="pct"/>
          </w:tcPr>
          <w:p w14:paraId="2162A928" w14:textId="77777777" w:rsidR="00BE78FD" w:rsidRPr="00096706" w:rsidRDefault="00BE78FD" w:rsidP="00E00CF1">
            <w:pPr>
              <w:rPr>
                <w:bCs/>
                <w:sz w:val="18"/>
                <w:szCs w:val="18"/>
              </w:rPr>
            </w:pPr>
            <w:r w:rsidRPr="00096706">
              <w:rPr>
                <w:bCs/>
                <w:sz w:val="18"/>
                <w:szCs w:val="18"/>
              </w:rPr>
              <w:t>Total</w:t>
            </w:r>
            <w:r>
              <w:rPr>
                <w:bCs/>
                <w:sz w:val="18"/>
                <w:szCs w:val="18"/>
              </w:rPr>
              <w:t xml:space="preserve"> (MT)</w:t>
            </w:r>
          </w:p>
        </w:tc>
        <w:tc>
          <w:tcPr>
            <w:tcW w:w="637" w:type="pct"/>
            <w:shd w:val="clear" w:color="auto" w:fill="auto"/>
          </w:tcPr>
          <w:p w14:paraId="610019ED" w14:textId="77777777" w:rsidR="00BE78FD" w:rsidRPr="00096706" w:rsidRDefault="00BE78FD" w:rsidP="00E00CF1">
            <w:pPr>
              <w:jc w:val="right"/>
              <w:rPr>
                <w:bCs/>
                <w:sz w:val="18"/>
                <w:szCs w:val="18"/>
              </w:rPr>
            </w:pPr>
          </w:p>
        </w:tc>
        <w:tc>
          <w:tcPr>
            <w:tcW w:w="637" w:type="pct"/>
            <w:shd w:val="clear" w:color="auto" w:fill="auto"/>
          </w:tcPr>
          <w:p w14:paraId="5BEF945A" w14:textId="77777777" w:rsidR="00BE78FD" w:rsidRPr="00096706" w:rsidRDefault="00BE78FD" w:rsidP="00E00CF1">
            <w:pPr>
              <w:jc w:val="right"/>
              <w:rPr>
                <w:bCs/>
                <w:sz w:val="18"/>
                <w:szCs w:val="18"/>
              </w:rPr>
            </w:pPr>
            <w:r>
              <w:rPr>
                <w:bCs/>
                <w:sz w:val="18"/>
                <w:szCs w:val="18"/>
              </w:rPr>
              <w:t>40.00</w:t>
            </w:r>
          </w:p>
        </w:tc>
        <w:tc>
          <w:tcPr>
            <w:tcW w:w="637" w:type="pct"/>
            <w:shd w:val="clear" w:color="auto" w:fill="auto"/>
          </w:tcPr>
          <w:p w14:paraId="111B392F" w14:textId="77777777" w:rsidR="00BE78FD" w:rsidRPr="00096706" w:rsidRDefault="00BE78FD" w:rsidP="00E00CF1">
            <w:pPr>
              <w:jc w:val="right"/>
              <w:rPr>
                <w:bCs/>
                <w:sz w:val="18"/>
                <w:szCs w:val="18"/>
              </w:rPr>
            </w:pPr>
            <w:r>
              <w:rPr>
                <w:bCs/>
                <w:sz w:val="18"/>
                <w:szCs w:val="18"/>
              </w:rPr>
              <w:t>500.00</w:t>
            </w:r>
          </w:p>
        </w:tc>
        <w:tc>
          <w:tcPr>
            <w:tcW w:w="637" w:type="pct"/>
            <w:shd w:val="clear" w:color="auto" w:fill="auto"/>
          </w:tcPr>
          <w:p w14:paraId="5C6D768C" w14:textId="77777777" w:rsidR="00BE78FD" w:rsidRPr="00096706" w:rsidRDefault="00BE78FD" w:rsidP="00E00CF1">
            <w:pPr>
              <w:jc w:val="right"/>
              <w:rPr>
                <w:bCs/>
                <w:sz w:val="18"/>
                <w:szCs w:val="18"/>
              </w:rPr>
            </w:pPr>
            <w:r>
              <w:rPr>
                <w:bCs/>
                <w:sz w:val="18"/>
                <w:szCs w:val="18"/>
              </w:rPr>
              <w:t>540.00</w:t>
            </w:r>
          </w:p>
        </w:tc>
      </w:tr>
    </w:tbl>
    <w:p w14:paraId="6846EB35" w14:textId="77777777" w:rsidR="00BE78FD" w:rsidRDefault="00BE78FD" w:rsidP="00BE78FD">
      <w:pPr>
        <w:jc w:val="center"/>
        <w:rPr>
          <w:bCs/>
        </w:rPr>
      </w:pPr>
    </w:p>
    <w:p w14:paraId="03BA2D8B" w14:textId="77777777" w:rsidR="00BE78FD" w:rsidRDefault="00BE78FD" w:rsidP="00BE78FD">
      <w:pPr>
        <w:jc w:val="center"/>
        <w:rPr>
          <w:bCs/>
        </w:rPr>
      </w:pPr>
    </w:p>
    <w:p w14:paraId="1871E672" w14:textId="77777777" w:rsidR="00BE78FD" w:rsidRDefault="00BE78FD" w:rsidP="00BE78FD">
      <w:pPr>
        <w:pStyle w:val="ListParagraph"/>
        <w:numPr>
          <w:ilvl w:val="0"/>
          <w:numId w:val="22"/>
        </w:numPr>
        <w:spacing w:after="120" w:line="276" w:lineRule="auto"/>
        <w:ind w:left="0" w:firstLine="0"/>
        <w:jc w:val="both"/>
        <w:rPr>
          <w:bCs/>
          <w:sz w:val="22"/>
          <w:szCs w:val="22"/>
        </w:rPr>
      </w:pPr>
      <w:r w:rsidRPr="00CA223D">
        <w:rPr>
          <w:bCs/>
          <w:sz w:val="22"/>
          <w:szCs w:val="22"/>
        </w:rPr>
        <w:t xml:space="preserve">Other than the ODP to be phased out from new investment activities proposed for the </w:t>
      </w:r>
      <w:r>
        <w:rPr>
          <w:bCs/>
          <w:sz w:val="22"/>
          <w:szCs w:val="22"/>
        </w:rPr>
        <w:t>2019-2021</w:t>
      </w:r>
      <w:r w:rsidRPr="00CA223D">
        <w:rPr>
          <w:bCs/>
          <w:sz w:val="22"/>
          <w:szCs w:val="22"/>
        </w:rPr>
        <w:t xml:space="preserve"> period, additional phase-out of </w:t>
      </w:r>
      <w:r>
        <w:rPr>
          <w:bCs/>
          <w:sz w:val="22"/>
          <w:szCs w:val="22"/>
          <w:lang w:eastAsia="zh-CN"/>
        </w:rPr>
        <w:t xml:space="preserve">1,588.25 </w:t>
      </w:r>
      <w:r w:rsidRPr="00CA223D">
        <w:rPr>
          <w:bCs/>
          <w:sz w:val="22"/>
          <w:szCs w:val="22"/>
        </w:rPr>
        <w:t>ODP ton</w:t>
      </w:r>
      <w:r>
        <w:rPr>
          <w:rFonts w:hint="eastAsia"/>
          <w:bCs/>
          <w:sz w:val="22"/>
          <w:szCs w:val="22"/>
          <w:lang w:eastAsia="zh-CN"/>
        </w:rPr>
        <w:t>s</w:t>
      </w:r>
      <w:r w:rsidRPr="00CA223D">
        <w:rPr>
          <w:bCs/>
          <w:sz w:val="22"/>
          <w:szCs w:val="22"/>
        </w:rPr>
        <w:t xml:space="preserve"> will be achieved </w:t>
      </w:r>
      <w:r>
        <w:rPr>
          <w:bCs/>
          <w:sz w:val="22"/>
          <w:szCs w:val="22"/>
        </w:rPr>
        <w:t>by 2020</w:t>
      </w:r>
      <w:r w:rsidRPr="00CA223D">
        <w:rPr>
          <w:bCs/>
          <w:sz w:val="22"/>
          <w:szCs w:val="22"/>
        </w:rPr>
        <w:t xml:space="preserve"> through the </w:t>
      </w:r>
      <w:r w:rsidRPr="000A3680">
        <w:rPr>
          <w:bCs/>
          <w:sz w:val="22"/>
          <w:szCs w:val="22"/>
        </w:rPr>
        <w:t>ongoing</w:t>
      </w:r>
      <w:r w:rsidRPr="00CA223D">
        <w:rPr>
          <w:bCs/>
          <w:sz w:val="22"/>
          <w:szCs w:val="22"/>
        </w:rPr>
        <w:t xml:space="preserve"> implementation of </w:t>
      </w:r>
      <w:r w:rsidRPr="00363826">
        <w:rPr>
          <w:bCs/>
          <w:sz w:val="22"/>
          <w:szCs w:val="22"/>
        </w:rPr>
        <w:t>previously approved multi-year projects</w:t>
      </w:r>
      <w:r>
        <w:rPr>
          <w:bCs/>
          <w:sz w:val="22"/>
          <w:szCs w:val="22"/>
        </w:rPr>
        <w:t>. This additional phase-out is summarized in Table I-2.</w:t>
      </w:r>
    </w:p>
    <w:p w14:paraId="64A258B0" w14:textId="77777777" w:rsidR="00BE78FD" w:rsidRDefault="00BE78FD" w:rsidP="00BE78FD">
      <w:pPr>
        <w:pStyle w:val="ListParagraph"/>
        <w:rPr>
          <w:bCs/>
          <w:sz w:val="22"/>
          <w:szCs w:val="22"/>
        </w:rPr>
      </w:pPr>
    </w:p>
    <w:p w14:paraId="43313765" w14:textId="77777777" w:rsidR="00BE78FD" w:rsidRPr="00812DC7" w:rsidRDefault="00BE78FD" w:rsidP="00BE78FD">
      <w:pPr>
        <w:keepNext/>
        <w:jc w:val="center"/>
        <w:rPr>
          <w:bCs/>
          <w:sz w:val="18"/>
          <w:szCs w:val="18"/>
        </w:rPr>
      </w:pPr>
      <w:r w:rsidRPr="00812DC7">
        <w:rPr>
          <w:bCs/>
          <w:sz w:val="18"/>
          <w:szCs w:val="18"/>
        </w:rPr>
        <w:lastRenderedPageBreak/>
        <w:t xml:space="preserve">Table I-2: Expected impact of approved investment activities anticipated to be requested </w:t>
      </w:r>
    </w:p>
    <w:p w14:paraId="52270744" w14:textId="77777777" w:rsidR="00BE78FD" w:rsidRDefault="00BE78FD" w:rsidP="00BE78FD">
      <w:pPr>
        <w:keepNext/>
        <w:jc w:val="center"/>
        <w:rPr>
          <w:bCs/>
          <w:sz w:val="18"/>
          <w:szCs w:val="18"/>
          <w:lang w:eastAsia="zh-CN"/>
        </w:rPr>
      </w:pPr>
      <w:r w:rsidRPr="00812DC7">
        <w:rPr>
          <w:bCs/>
          <w:sz w:val="18"/>
          <w:szCs w:val="18"/>
        </w:rPr>
        <w:t xml:space="preserve">by the World Bank for the years </w:t>
      </w:r>
      <w:r>
        <w:rPr>
          <w:bCs/>
          <w:sz w:val="18"/>
          <w:szCs w:val="18"/>
        </w:rPr>
        <w:t>2019-2021</w:t>
      </w:r>
      <w:r w:rsidRPr="00812DC7">
        <w:rPr>
          <w:bCs/>
          <w:sz w:val="18"/>
          <w:szCs w:val="18"/>
        </w:rPr>
        <w:t xml:space="preserve"> (ODP tonnes)</w:t>
      </w:r>
    </w:p>
    <w:p w14:paraId="3E4E92EC" w14:textId="77777777" w:rsidR="00BE78FD" w:rsidRDefault="00BE78FD" w:rsidP="00BE78FD">
      <w:pPr>
        <w:keepNext/>
        <w:jc w:val="center"/>
        <w:rPr>
          <w:bCs/>
        </w:rPr>
      </w:pPr>
    </w:p>
    <w:tbl>
      <w:tblPr>
        <w:tblStyle w:val="TableGrid"/>
        <w:tblW w:w="0" w:type="auto"/>
        <w:jc w:val="center"/>
        <w:tblLook w:val="04A0" w:firstRow="1" w:lastRow="0" w:firstColumn="1" w:lastColumn="0" w:noHBand="0" w:noVBand="1"/>
      </w:tblPr>
      <w:tblGrid>
        <w:gridCol w:w="2583"/>
        <w:gridCol w:w="735"/>
        <w:gridCol w:w="736"/>
        <w:gridCol w:w="735"/>
        <w:gridCol w:w="846"/>
      </w:tblGrid>
      <w:tr w:rsidR="00BE78FD" w14:paraId="2AA7B74E" w14:textId="77777777" w:rsidTr="008267E8">
        <w:trPr>
          <w:tblHeader/>
          <w:jc w:val="center"/>
        </w:trPr>
        <w:tc>
          <w:tcPr>
            <w:tcW w:w="2583" w:type="dxa"/>
          </w:tcPr>
          <w:p w14:paraId="67672BB1" w14:textId="77777777" w:rsidR="00BE78FD" w:rsidRPr="007109CB" w:rsidRDefault="00BE78FD" w:rsidP="00E00CF1">
            <w:pPr>
              <w:rPr>
                <w:bCs/>
                <w:sz w:val="18"/>
                <w:szCs w:val="18"/>
              </w:rPr>
            </w:pPr>
          </w:p>
        </w:tc>
        <w:tc>
          <w:tcPr>
            <w:tcW w:w="735" w:type="dxa"/>
          </w:tcPr>
          <w:p w14:paraId="7C041BD6" w14:textId="77777777" w:rsidR="00BE78FD" w:rsidRPr="007109CB" w:rsidRDefault="00BE78FD" w:rsidP="00E00CF1">
            <w:pPr>
              <w:rPr>
                <w:bCs/>
                <w:sz w:val="18"/>
                <w:szCs w:val="18"/>
              </w:rPr>
            </w:pPr>
            <w:r w:rsidRPr="00096706">
              <w:rPr>
                <w:b/>
                <w:bCs/>
                <w:sz w:val="18"/>
                <w:szCs w:val="18"/>
              </w:rPr>
              <w:t>201</w:t>
            </w:r>
            <w:r>
              <w:rPr>
                <w:b/>
                <w:bCs/>
                <w:sz w:val="18"/>
                <w:szCs w:val="18"/>
                <w:lang w:eastAsia="zh-CN"/>
              </w:rPr>
              <w:t>9</w:t>
            </w:r>
          </w:p>
        </w:tc>
        <w:tc>
          <w:tcPr>
            <w:tcW w:w="736" w:type="dxa"/>
          </w:tcPr>
          <w:p w14:paraId="44ACC838" w14:textId="77777777" w:rsidR="00BE78FD" w:rsidRPr="007109CB" w:rsidRDefault="00BE78FD" w:rsidP="00E00CF1">
            <w:pPr>
              <w:rPr>
                <w:bCs/>
                <w:sz w:val="18"/>
                <w:szCs w:val="18"/>
              </w:rPr>
            </w:pPr>
            <w:r w:rsidRPr="00096706">
              <w:rPr>
                <w:b/>
                <w:bCs/>
                <w:sz w:val="18"/>
                <w:szCs w:val="18"/>
              </w:rPr>
              <w:t>20</w:t>
            </w:r>
            <w:r>
              <w:rPr>
                <w:b/>
                <w:bCs/>
                <w:sz w:val="18"/>
                <w:szCs w:val="18"/>
              </w:rPr>
              <w:t>20</w:t>
            </w:r>
          </w:p>
        </w:tc>
        <w:tc>
          <w:tcPr>
            <w:tcW w:w="735" w:type="dxa"/>
          </w:tcPr>
          <w:p w14:paraId="3389E057" w14:textId="77777777" w:rsidR="00BE78FD" w:rsidRPr="007109CB" w:rsidRDefault="00BE78FD" w:rsidP="00E00CF1">
            <w:pPr>
              <w:rPr>
                <w:bCs/>
                <w:sz w:val="18"/>
                <w:szCs w:val="18"/>
              </w:rPr>
            </w:pPr>
            <w:r w:rsidRPr="00096706">
              <w:rPr>
                <w:b/>
                <w:bCs/>
                <w:sz w:val="18"/>
                <w:szCs w:val="18"/>
              </w:rPr>
              <w:t>20</w:t>
            </w:r>
            <w:r>
              <w:rPr>
                <w:b/>
                <w:bCs/>
                <w:sz w:val="18"/>
                <w:szCs w:val="18"/>
              </w:rPr>
              <w:t>21</w:t>
            </w:r>
          </w:p>
        </w:tc>
        <w:tc>
          <w:tcPr>
            <w:tcW w:w="846" w:type="dxa"/>
          </w:tcPr>
          <w:p w14:paraId="4B7034D5" w14:textId="77777777" w:rsidR="00BE78FD" w:rsidRPr="0012778C" w:rsidRDefault="00BE78FD" w:rsidP="00E00CF1">
            <w:pPr>
              <w:rPr>
                <w:b/>
                <w:sz w:val="18"/>
                <w:szCs w:val="18"/>
              </w:rPr>
            </w:pPr>
            <w:r w:rsidRPr="0012778C">
              <w:rPr>
                <w:b/>
                <w:sz w:val="18"/>
                <w:szCs w:val="18"/>
              </w:rPr>
              <w:t>Total</w:t>
            </w:r>
          </w:p>
        </w:tc>
      </w:tr>
      <w:tr w:rsidR="00BE78FD" w14:paraId="6E97E5D8" w14:textId="77777777" w:rsidTr="008267E8">
        <w:trPr>
          <w:jc w:val="center"/>
        </w:trPr>
        <w:tc>
          <w:tcPr>
            <w:tcW w:w="2583" w:type="dxa"/>
          </w:tcPr>
          <w:p w14:paraId="7F3002B3" w14:textId="77777777" w:rsidR="00BE78FD" w:rsidRPr="00096706" w:rsidRDefault="00BE78FD" w:rsidP="00E00CF1">
            <w:pPr>
              <w:rPr>
                <w:bCs/>
                <w:sz w:val="18"/>
                <w:szCs w:val="18"/>
              </w:rPr>
            </w:pPr>
            <w:r w:rsidRPr="007109CB">
              <w:rPr>
                <w:bCs/>
                <w:sz w:val="18"/>
                <w:szCs w:val="18"/>
              </w:rPr>
              <w:t>HCFC Sector Plans Stage I</w:t>
            </w:r>
          </w:p>
        </w:tc>
        <w:tc>
          <w:tcPr>
            <w:tcW w:w="735" w:type="dxa"/>
          </w:tcPr>
          <w:p w14:paraId="6FE48549" w14:textId="77777777" w:rsidR="00BE78FD" w:rsidRPr="002F6A7F" w:rsidRDefault="00BE78FD" w:rsidP="00E00CF1">
            <w:pPr>
              <w:jc w:val="right"/>
              <w:rPr>
                <w:bCs/>
                <w:sz w:val="18"/>
                <w:szCs w:val="18"/>
              </w:rPr>
            </w:pPr>
            <w:r>
              <w:rPr>
                <w:bCs/>
                <w:sz w:val="18"/>
                <w:szCs w:val="18"/>
              </w:rPr>
              <w:t>0.00</w:t>
            </w:r>
          </w:p>
        </w:tc>
        <w:tc>
          <w:tcPr>
            <w:tcW w:w="736" w:type="dxa"/>
          </w:tcPr>
          <w:p w14:paraId="2CDA2FE4" w14:textId="77777777" w:rsidR="00BE78FD" w:rsidRPr="002F6A7F" w:rsidRDefault="00BE78FD" w:rsidP="00E00CF1">
            <w:pPr>
              <w:jc w:val="right"/>
              <w:rPr>
                <w:bCs/>
                <w:sz w:val="18"/>
                <w:szCs w:val="18"/>
              </w:rPr>
            </w:pPr>
            <w:r>
              <w:rPr>
                <w:bCs/>
                <w:sz w:val="18"/>
                <w:szCs w:val="18"/>
              </w:rPr>
              <w:t>0.00</w:t>
            </w:r>
          </w:p>
        </w:tc>
        <w:tc>
          <w:tcPr>
            <w:tcW w:w="735" w:type="dxa"/>
          </w:tcPr>
          <w:p w14:paraId="496C06BC" w14:textId="77777777" w:rsidR="00BE78FD" w:rsidRPr="002F6A7F" w:rsidRDefault="00BE78FD" w:rsidP="00E00CF1">
            <w:pPr>
              <w:jc w:val="right"/>
              <w:rPr>
                <w:bCs/>
                <w:sz w:val="18"/>
                <w:szCs w:val="18"/>
              </w:rPr>
            </w:pPr>
            <w:r>
              <w:rPr>
                <w:bCs/>
                <w:sz w:val="18"/>
                <w:szCs w:val="18"/>
              </w:rPr>
              <w:t>0.00</w:t>
            </w:r>
          </w:p>
        </w:tc>
        <w:tc>
          <w:tcPr>
            <w:tcW w:w="846" w:type="dxa"/>
          </w:tcPr>
          <w:p w14:paraId="504B2A05" w14:textId="77777777" w:rsidR="00BE78FD" w:rsidRPr="002F6A7F" w:rsidRDefault="00BE78FD" w:rsidP="00E00CF1">
            <w:pPr>
              <w:jc w:val="right"/>
              <w:rPr>
                <w:bCs/>
                <w:sz w:val="18"/>
                <w:szCs w:val="18"/>
              </w:rPr>
            </w:pPr>
            <w:r>
              <w:rPr>
                <w:bCs/>
                <w:sz w:val="18"/>
                <w:szCs w:val="18"/>
              </w:rPr>
              <w:t>30.51</w:t>
            </w:r>
          </w:p>
        </w:tc>
      </w:tr>
      <w:tr w:rsidR="00BE78FD" w14:paraId="49AFBF65" w14:textId="77777777" w:rsidTr="008267E8">
        <w:trPr>
          <w:jc w:val="center"/>
        </w:trPr>
        <w:tc>
          <w:tcPr>
            <w:tcW w:w="2583" w:type="dxa"/>
          </w:tcPr>
          <w:p w14:paraId="54597C1D" w14:textId="77777777" w:rsidR="00BE78FD" w:rsidRPr="00096706" w:rsidRDefault="00BE78FD" w:rsidP="00E00CF1">
            <w:pPr>
              <w:rPr>
                <w:bCs/>
                <w:sz w:val="18"/>
                <w:szCs w:val="18"/>
              </w:rPr>
            </w:pPr>
            <w:r w:rsidRPr="007109CB">
              <w:rPr>
                <w:bCs/>
                <w:sz w:val="18"/>
                <w:szCs w:val="18"/>
              </w:rPr>
              <w:t>HCFC Sector Plans Stage II</w:t>
            </w:r>
          </w:p>
        </w:tc>
        <w:tc>
          <w:tcPr>
            <w:tcW w:w="735" w:type="dxa"/>
          </w:tcPr>
          <w:p w14:paraId="07FB4D10" w14:textId="77777777" w:rsidR="00BE78FD" w:rsidRDefault="00BE78FD" w:rsidP="00E00CF1">
            <w:pPr>
              <w:jc w:val="right"/>
              <w:rPr>
                <w:bCs/>
                <w:sz w:val="18"/>
                <w:szCs w:val="18"/>
              </w:rPr>
            </w:pPr>
            <w:r>
              <w:rPr>
                <w:bCs/>
                <w:sz w:val="18"/>
                <w:szCs w:val="18"/>
              </w:rPr>
              <w:t>0.00</w:t>
            </w:r>
          </w:p>
        </w:tc>
        <w:tc>
          <w:tcPr>
            <w:tcW w:w="736" w:type="dxa"/>
          </w:tcPr>
          <w:p w14:paraId="4EC82133" w14:textId="77777777" w:rsidR="00BE78FD" w:rsidRDefault="00BE78FD" w:rsidP="00E00CF1">
            <w:pPr>
              <w:jc w:val="right"/>
              <w:rPr>
                <w:bCs/>
                <w:sz w:val="18"/>
                <w:szCs w:val="18"/>
              </w:rPr>
            </w:pPr>
            <w:r>
              <w:rPr>
                <w:bCs/>
                <w:sz w:val="18"/>
                <w:szCs w:val="18"/>
              </w:rPr>
              <w:t>861.40</w:t>
            </w:r>
          </w:p>
        </w:tc>
        <w:tc>
          <w:tcPr>
            <w:tcW w:w="735" w:type="dxa"/>
          </w:tcPr>
          <w:p w14:paraId="6EAE78D1" w14:textId="77777777" w:rsidR="00BE78FD" w:rsidRDefault="00BE78FD" w:rsidP="00E00CF1">
            <w:pPr>
              <w:jc w:val="right"/>
              <w:rPr>
                <w:bCs/>
                <w:sz w:val="18"/>
                <w:szCs w:val="18"/>
              </w:rPr>
            </w:pPr>
            <w:r>
              <w:rPr>
                <w:bCs/>
                <w:sz w:val="18"/>
                <w:szCs w:val="18"/>
              </w:rPr>
              <w:t>861.40</w:t>
            </w:r>
          </w:p>
        </w:tc>
        <w:tc>
          <w:tcPr>
            <w:tcW w:w="846" w:type="dxa"/>
          </w:tcPr>
          <w:p w14:paraId="365DDB38" w14:textId="77777777" w:rsidR="00BE78FD" w:rsidRDefault="00BE78FD" w:rsidP="00E00CF1">
            <w:pPr>
              <w:jc w:val="right"/>
              <w:rPr>
                <w:bCs/>
                <w:sz w:val="18"/>
                <w:szCs w:val="18"/>
              </w:rPr>
            </w:pPr>
            <w:r>
              <w:rPr>
                <w:bCs/>
                <w:sz w:val="18"/>
                <w:szCs w:val="18"/>
              </w:rPr>
              <w:t>1,557.74</w:t>
            </w:r>
          </w:p>
        </w:tc>
      </w:tr>
      <w:tr w:rsidR="00BE78FD" w14:paraId="4E81759E" w14:textId="77777777" w:rsidTr="008267E8">
        <w:trPr>
          <w:jc w:val="center"/>
        </w:trPr>
        <w:tc>
          <w:tcPr>
            <w:tcW w:w="2583" w:type="dxa"/>
          </w:tcPr>
          <w:p w14:paraId="764E6D8A" w14:textId="77777777" w:rsidR="00BE78FD" w:rsidRPr="00096706" w:rsidRDefault="00BE78FD" w:rsidP="00E00CF1">
            <w:pPr>
              <w:rPr>
                <w:bCs/>
                <w:sz w:val="18"/>
                <w:szCs w:val="18"/>
              </w:rPr>
            </w:pPr>
            <w:r w:rsidRPr="007109CB">
              <w:rPr>
                <w:bCs/>
                <w:sz w:val="18"/>
                <w:szCs w:val="18"/>
              </w:rPr>
              <w:t>Total</w:t>
            </w:r>
          </w:p>
        </w:tc>
        <w:tc>
          <w:tcPr>
            <w:tcW w:w="735" w:type="dxa"/>
          </w:tcPr>
          <w:p w14:paraId="39CD3DE5" w14:textId="77777777" w:rsidR="00BE78FD" w:rsidRPr="002F6A7F" w:rsidRDefault="00BE78FD" w:rsidP="00E00CF1">
            <w:pPr>
              <w:jc w:val="right"/>
              <w:rPr>
                <w:bCs/>
                <w:sz w:val="18"/>
                <w:szCs w:val="18"/>
              </w:rPr>
            </w:pPr>
            <w:r>
              <w:rPr>
                <w:bCs/>
                <w:sz w:val="18"/>
                <w:szCs w:val="18"/>
              </w:rPr>
              <w:t>0.00</w:t>
            </w:r>
          </w:p>
        </w:tc>
        <w:tc>
          <w:tcPr>
            <w:tcW w:w="736" w:type="dxa"/>
          </w:tcPr>
          <w:p w14:paraId="11CC504A" w14:textId="77777777" w:rsidR="00BE78FD" w:rsidRPr="002F6A7F" w:rsidRDefault="00BE78FD" w:rsidP="00E00CF1">
            <w:pPr>
              <w:jc w:val="right"/>
              <w:rPr>
                <w:bCs/>
                <w:sz w:val="18"/>
                <w:szCs w:val="18"/>
              </w:rPr>
            </w:pPr>
            <w:r>
              <w:rPr>
                <w:bCs/>
                <w:sz w:val="18"/>
                <w:szCs w:val="18"/>
              </w:rPr>
              <w:t>861.40</w:t>
            </w:r>
          </w:p>
        </w:tc>
        <w:tc>
          <w:tcPr>
            <w:tcW w:w="735" w:type="dxa"/>
          </w:tcPr>
          <w:p w14:paraId="6630CF0B" w14:textId="77777777" w:rsidR="00BE78FD" w:rsidRPr="002F6A7F" w:rsidRDefault="00BE78FD" w:rsidP="00E00CF1">
            <w:pPr>
              <w:jc w:val="right"/>
              <w:rPr>
                <w:bCs/>
                <w:sz w:val="18"/>
                <w:szCs w:val="18"/>
              </w:rPr>
            </w:pPr>
            <w:r>
              <w:rPr>
                <w:bCs/>
                <w:sz w:val="18"/>
                <w:szCs w:val="18"/>
              </w:rPr>
              <w:t>861.40</w:t>
            </w:r>
          </w:p>
        </w:tc>
        <w:tc>
          <w:tcPr>
            <w:tcW w:w="846" w:type="dxa"/>
          </w:tcPr>
          <w:p w14:paraId="7983C09E" w14:textId="77777777" w:rsidR="00BE78FD" w:rsidRPr="002F6A7F" w:rsidRDefault="00BE78FD" w:rsidP="00E00CF1">
            <w:pPr>
              <w:jc w:val="right"/>
              <w:rPr>
                <w:bCs/>
                <w:sz w:val="18"/>
                <w:szCs w:val="18"/>
              </w:rPr>
            </w:pPr>
            <w:r>
              <w:rPr>
                <w:bCs/>
                <w:sz w:val="18"/>
                <w:szCs w:val="18"/>
              </w:rPr>
              <w:t>1,588.25</w:t>
            </w:r>
          </w:p>
        </w:tc>
      </w:tr>
    </w:tbl>
    <w:p w14:paraId="578A10EE" w14:textId="77777777" w:rsidR="00BE78FD" w:rsidRDefault="00BE78FD" w:rsidP="00BE78FD">
      <w:pPr>
        <w:rPr>
          <w:bCs/>
          <w:lang w:eastAsia="zh-CN"/>
        </w:rPr>
      </w:pPr>
    </w:p>
    <w:p w14:paraId="66B84ED4" w14:textId="77777777" w:rsidR="00BE78FD" w:rsidRDefault="00BE78FD" w:rsidP="00BE78FD">
      <w:pPr>
        <w:rPr>
          <w:bCs/>
          <w:lang w:eastAsia="zh-CN"/>
        </w:rPr>
      </w:pPr>
      <w:r>
        <w:rPr>
          <w:b/>
          <w:lang w:eastAsia="zh-CN"/>
        </w:rPr>
        <w:t>Strategic approach to HCFC phase-out and HFC-related activities in the proposed 2019-2021 Business Plan</w:t>
      </w:r>
    </w:p>
    <w:p w14:paraId="47B50916" w14:textId="77777777" w:rsidR="00BE78FD" w:rsidRDefault="00BE78FD" w:rsidP="00BE78FD">
      <w:pPr>
        <w:rPr>
          <w:bCs/>
          <w:lang w:eastAsia="zh-CN"/>
        </w:rPr>
      </w:pPr>
    </w:p>
    <w:p w14:paraId="072A6451" w14:textId="77777777" w:rsidR="00BE78FD" w:rsidRDefault="00BE78FD" w:rsidP="00BE78FD">
      <w:pPr>
        <w:pStyle w:val="ListParagraph"/>
        <w:numPr>
          <w:ilvl w:val="0"/>
          <w:numId w:val="22"/>
        </w:numPr>
        <w:spacing w:after="120" w:line="276" w:lineRule="auto"/>
        <w:ind w:left="0" w:firstLine="0"/>
        <w:jc w:val="both"/>
        <w:rPr>
          <w:bCs/>
          <w:sz w:val="22"/>
          <w:szCs w:val="22"/>
        </w:rPr>
      </w:pPr>
      <w:r>
        <w:rPr>
          <w:bCs/>
          <w:sz w:val="22"/>
          <w:szCs w:val="22"/>
          <w:u w:val="single"/>
        </w:rPr>
        <w:t>Balancing supply and demand of HCFC Production and Consumption:</w:t>
      </w:r>
      <w:r w:rsidRPr="00B47886">
        <w:rPr>
          <w:bCs/>
          <w:sz w:val="22"/>
          <w:szCs w:val="22"/>
        </w:rPr>
        <w:t xml:space="preserve"> </w:t>
      </w:r>
      <w:r>
        <w:rPr>
          <w:bCs/>
          <w:sz w:val="22"/>
          <w:szCs w:val="22"/>
        </w:rPr>
        <w:t>China is the world’s largest producer, consumer of HCFCs for ODS use. Based on 2016 information, China consumed 62% of its production for ODS use and export the rest. The closure of 5 HCFC producers at the beginning of 2015 have tightened the supply of HCFCs to both the domestic and export markets. Additional reduction in HCFC production capacity required by China to meet the compliance target in 2020 will further complicate the supply and demand balance.</w:t>
      </w:r>
    </w:p>
    <w:p w14:paraId="00572A4E" w14:textId="77777777" w:rsidR="00BE78FD" w:rsidRDefault="00BE78FD" w:rsidP="00BE78FD">
      <w:pPr>
        <w:pStyle w:val="ListParagraph"/>
        <w:numPr>
          <w:ilvl w:val="0"/>
          <w:numId w:val="22"/>
        </w:numPr>
        <w:spacing w:after="120" w:line="276" w:lineRule="auto"/>
        <w:ind w:left="0" w:firstLine="0"/>
        <w:jc w:val="both"/>
        <w:rPr>
          <w:bCs/>
          <w:sz w:val="22"/>
          <w:szCs w:val="22"/>
        </w:rPr>
      </w:pPr>
      <w:r>
        <w:rPr>
          <w:bCs/>
          <w:sz w:val="22"/>
          <w:szCs w:val="22"/>
        </w:rPr>
        <w:t xml:space="preserve">To assist China in meeting the production compliance targets in 2020, the World Bank had already submitted stage II of the HCFC production phase-out plan for the ExCom’s consideration in </w:t>
      </w:r>
      <w:r w:rsidRPr="00330E15">
        <w:rPr>
          <w:bCs/>
          <w:sz w:val="22"/>
          <w:szCs w:val="22"/>
        </w:rPr>
        <w:t>201</w:t>
      </w:r>
      <w:r>
        <w:rPr>
          <w:bCs/>
          <w:sz w:val="22"/>
          <w:szCs w:val="22"/>
        </w:rPr>
        <w:t>7 In preparing these plans, close consultations with other implementing agencies and with other Article 5 countries with high HCFC consumption had been carried out. It is critical that the production of HCFCs are reduced in order to synchronize with the expected demand in China and its exports market to avoid flooding the market with cheap HCFCs that could undermine the efforts to reduce consumptions of all Article 5 countries.</w:t>
      </w:r>
    </w:p>
    <w:p w14:paraId="2AFEB2A0" w14:textId="77777777" w:rsidR="00BE78FD" w:rsidRDefault="00BE78FD" w:rsidP="00BE78FD">
      <w:pPr>
        <w:pStyle w:val="ListParagraph"/>
        <w:numPr>
          <w:ilvl w:val="0"/>
          <w:numId w:val="22"/>
        </w:numPr>
        <w:spacing w:after="120" w:line="276" w:lineRule="auto"/>
        <w:ind w:left="0" w:firstLine="0"/>
        <w:jc w:val="both"/>
        <w:rPr>
          <w:bCs/>
          <w:sz w:val="22"/>
          <w:szCs w:val="22"/>
        </w:rPr>
      </w:pPr>
      <w:r w:rsidRPr="00F12D93">
        <w:rPr>
          <w:bCs/>
          <w:sz w:val="22"/>
          <w:szCs w:val="22"/>
          <w:u w:val="single"/>
        </w:rPr>
        <w:t>Support for the HFC activities related to the Kigali Amendment</w:t>
      </w:r>
      <w:r w:rsidRPr="00F12D93">
        <w:rPr>
          <w:bCs/>
          <w:sz w:val="22"/>
          <w:szCs w:val="22"/>
        </w:rPr>
        <w:t>: The adoption of the Kigali Amendment to phase-down HFCs presents a number of issues for countries to consider before ratifying the amendment. For countries manufacturing HCFC-22, the first obligation will start in 2020 requi</w:t>
      </w:r>
      <w:r>
        <w:rPr>
          <w:bCs/>
          <w:sz w:val="22"/>
          <w:szCs w:val="22"/>
        </w:rPr>
        <w:t>ring the destruction of HFC-23.</w:t>
      </w:r>
      <w:r w:rsidRPr="00FD0D75">
        <w:rPr>
          <w:bCs/>
          <w:sz w:val="22"/>
          <w:szCs w:val="22"/>
        </w:rPr>
        <w:t xml:space="preserve"> </w:t>
      </w:r>
      <w:r>
        <w:rPr>
          <w:bCs/>
          <w:sz w:val="22"/>
          <w:szCs w:val="22"/>
        </w:rPr>
        <w:t>Given the cost of reducing emissions of HFC-23 is eligible incremental cost, there is a need to find the most cost-effective options for the Multilateral Fund.</w:t>
      </w:r>
    </w:p>
    <w:p w14:paraId="08177820" w14:textId="77777777" w:rsidR="00BE78FD" w:rsidRDefault="00BE78FD" w:rsidP="00BE78FD">
      <w:pPr>
        <w:pStyle w:val="ListParagraph"/>
        <w:numPr>
          <w:ilvl w:val="0"/>
          <w:numId w:val="22"/>
        </w:numPr>
        <w:spacing w:after="120" w:line="276" w:lineRule="auto"/>
        <w:ind w:left="0" w:firstLine="0"/>
        <w:jc w:val="both"/>
        <w:rPr>
          <w:bCs/>
          <w:sz w:val="22"/>
          <w:szCs w:val="22"/>
        </w:rPr>
      </w:pPr>
      <w:r>
        <w:rPr>
          <w:bCs/>
          <w:sz w:val="22"/>
          <w:szCs w:val="22"/>
        </w:rPr>
        <w:t xml:space="preserve">Based on independent technical assessment carried out by the Bank, there are comparative benefits of HFC-23 conversion to valuable substances instead of destruction. </w:t>
      </w:r>
      <w:r w:rsidRPr="00F12D93">
        <w:rPr>
          <w:bCs/>
          <w:sz w:val="22"/>
          <w:szCs w:val="22"/>
        </w:rPr>
        <w:t xml:space="preserve">The World Bank </w:t>
      </w:r>
      <w:r>
        <w:rPr>
          <w:bCs/>
          <w:sz w:val="22"/>
          <w:szCs w:val="22"/>
        </w:rPr>
        <w:t xml:space="preserve">has already </w:t>
      </w:r>
      <w:r w:rsidRPr="00F12D93">
        <w:rPr>
          <w:bCs/>
          <w:sz w:val="22"/>
          <w:szCs w:val="22"/>
        </w:rPr>
        <w:t>submit</w:t>
      </w:r>
      <w:r>
        <w:rPr>
          <w:bCs/>
          <w:sz w:val="22"/>
          <w:szCs w:val="22"/>
        </w:rPr>
        <w:t>ted</w:t>
      </w:r>
      <w:r w:rsidRPr="00F12D93">
        <w:rPr>
          <w:bCs/>
          <w:sz w:val="22"/>
          <w:szCs w:val="22"/>
        </w:rPr>
        <w:t xml:space="preserve"> a </w:t>
      </w:r>
      <w:r>
        <w:rPr>
          <w:bCs/>
          <w:sz w:val="22"/>
          <w:szCs w:val="22"/>
        </w:rPr>
        <w:t>proposal, for consideration by the 82</w:t>
      </w:r>
      <w:r w:rsidRPr="005E054A">
        <w:rPr>
          <w:bCs/>
          <w:sz w:val="22"/>
          <w:szCs w:val="22"/>
          <w:vertAlign w:val="superscript"/>
        </w:rPr>
        <w:t>nd</w:t>
      </w:r>
      <w:r>
        <w:rPr>
          <w:bCs/>
          <w:sz w:val="22"/>
          <w:szCs w:val="22"/>
        </w:rPr>
        <w:t xml:space="preserve"> ExCom, </w:t>
      </w:r>
      <w:r w:rsidRPr="00F12D93">
        <w:rPr>
          <w:bCs/>
          <w:sz w:val="22"/>
          <w:szCs w:val="22"/>
        </w:rPr>
        <w:t xml:space="preserve">to </w:t>
      </w:r>
      <w:r>
        <w:rPr>
          <w:bCs/>
          <w:sz w:val="22"/>
          <w:szCs w:val="22"/>
        </w:rPr>
        <w:t xml:space="preserve">build a </w:t>
      </w:r>
      <w:r w:rsidRPr="00F12D93">
        <w:rPr>
          <w:bCs/>
          <w:sz w:val="22"/>
          <w:szCs w:val="22"/>
        </w:rPr>
        <w:t xml:space="preserve">HFC-23 </w:t>
      </w:r>
      <w:r>
        <w:rPr>
          <w:bCs/>
          <w:sz w:val="22"/>
          <w:szCs w:val="22"/>
        </w:rPr>
        <w:t xml:space="preserve">conversion demonstration plant at one of the HCFC-22 producers in China but has not been reviewed due to the restriction of decision 79/47. To assist China and India, two of the world’s largest producers of HCFC-22, the Bank has included two projects to establish HFC-23 conversion demonstration plants at selected HCFC-22 producers in China and India. The proposals will include detailed incremental capital and operating costs of the demonstration plant depending on the chosen technology which could result in incremental savings based on </w:t>
      </w:r>
      <w:r w:rsidRPr="00F12D93">
        <w:rPr>
          <w:bCs/>
          <w:sz w:val="22"/>
          <w:szCs w:val="22"/>
        </w:rPr>
        <w:t xml:space="preserve">price and market </w:t>
      </w:r>
      <w:r>
        <w:rPr>
          <w:bCs/>
          <w:sz w:val="22"/>
          <w:szCs w:val="22"/>
        </w:rPr>
        <w:t xml:space="preserve">of </w:t>
      </w:r>
      <w:r w:rsidRPr="00F12D93">
        <w:rPr>
          <w:bCs/>
          <w:sz w:val="22"/>
          <w:szCs w:val="22"/>
        </w:rPr>
        <w:t xml:space="preserve">converted chemicals. </w:t>
      </w:r>
    </w:p>
    <w:p w14:paraId="076816E1" w14:textId="77777777" w:rsidR="00BE78FD" w:rsidRPr="00F12D93" w:rsidRDefault="00BE78FD" w:rsidP="00BE78FD">
      <w:pPr>
        <w:pStyle w:val="ListParagraph"/>
        <w:numPr>
          <w:ilvl w:val="0"/>
          <w:numId w:val="22"/>
        </w:numPr>
        <w:spacing w:after="120" w:line="276" w:lineRule="auto"/>
        <w:ind w:left="0" w:firstLine="0"/>
        <w:jc w:val="both"/>
        <w:rPr>
          <w:bCs/>
          <w:sz w:val="22"/>
          <w:szCs w:val="22"/>
        </w:rPr>
      </w:pPr>
      <w:r w:rsidRPr="00F12D93">
        <w:rPr>
          <w:bCs/>
          <w:sz w:val="22"/>
          <w:szCs w:val="22"/>
        </w:rPr>
        <w:t xml:space="preserve">For countries with large manufacturing base, they face the dilemma of choosing low or lower-GWP alternatives with tradeoffs between safety, toxicity, cost and climate impact. In the proposed HFC enabling activities for </w:t>
      </w:r>
      <w:r>
        <w:rPr>
          <w:bCs/>
          <w:sz w:val="22"/>
          <w:szCs w:val="22"/>
        </w:rPr>
        <w:t xml:space="preserve">these </w:t>
      </w:r>
      <w:r w:rsidRPr="00F12D93">
        <w:rPr>
          <w:bCs/>
          <w:sz w:val="22"/>
          <w:szCs w:val="22"/>
        </w:rPr>
        <w:t xml:space="preserve">countries, the Bank plans to analyze all alternative technologies that are currently commercially available as well as emerging technologies and expected timeframe for these technologies </w:t>
      </w:r>
      <w:r>
        <w:rPr>
          <w:bCs/>
          <w:sz w:val="22"/>
          <w:szCs w:val="22"/>
        </w:rPr>
        <w:t xml:space="preserve">to </w:t>
      </w:r>
      <w:r w:rsidRPr="00F12D93">
        <w:rPr>
          <w:bCs/>
          <w:sz w:val="22"/>
          <w:szCs w:val="22"/>
        </w:rPr>
        <w:t xml:space="preserve">become commercially available. </w:t>
      </w:r>
      <w:r>
        <w:rPr>
          <w:bCs/>
          <w:sz w:val="22"/>
          <w:szCs w:val="22"/>
        </w:rPr>
        <w:t xml:space="preserve">As part of the country strategy, </w:t>
      </w:r>
      <w:r w:rsidRPr="00F12D93">
        <w:rPr>
          <w:bCs/>
          <w:sz w:val="22"/>
          <w:szCs w:val="22"/>
        </w:rPr>
        <w:t>comprehensive analyses for technology pathway for complying with the Amendment</w:t>
      </w:r>
      <w:r>
        <w:rPr>
          <w:bCs/>
          <w:sz w:val="22"/>
          <w:szCs w:val="22"/>
        </w:rPr>
        <w:t xml:space="preserve"> will be undertaken.</w:t>
      </w:r>
    </w:p>
    <w:p w14:paraId="3F427281" w14:textId="77777777" w:rsidR="00BE78FD" w:rsidRPr="00E60BB1" w:rsidRDefault="00BE78FD" w:rsidP="00BE394B">
      <w:pPr>
        <w:pStyle w:val="Heading2"/>
        <w:keepNext/>
        <w:keepLines/>
        <w:widowControl/>
        <w:numPr>
          <w:ilvl w:val="1"/>
          <w:numId w:val="21"/>
        </w:numPr>
        <w:spacing w:before="200" w:after="0"/>
        <w:ind w:left="0"/>
        <w:rPr>
          <w:rFonts w:eastAsiaTheme="majorEastAsia" w:cstheme="majorBidi"/>
          <w:b/>
          <w:sz w:val="24"/>
          <w:szCs w:val="24"/>
          <w:lang w:val="en-US"/>
        </w:rPr>
      </w:pPr>
      <w:bookmarkStart w:id="3" w:name="_Toc395519916"/>
      <w:r w:rsidRPr="00E60BB1">
        <w:rPr>
          <w:rFonts w:eastAsiaTheme="majorEastAsia" w:cstheme="majorBidi"/>
          <w:b/>
          <w:sz w:val="24"/>
          <w:szCs w:val="24"/>
          <w:lang w:val="en-US"/>
        </w:rPr>
        <w:lastRenderedPageBreak/>
        <w:t>Resource Allocation in 201</w:t>
      </w:r>
      <w:bookmarkEnd w:id="3"/>
      <w:r w:rsidRPr="00E60BB1">
        <w:rPr>
          <w:rFonts w:eastAsiaTheme="majorEastAsia" w:cstheme="majorBidi"/>
          <w:b/>
          <w:sz w:val="24"/>
          <w:szCs w:val="24"/>
          <w:lang w:val="en-US"/>
        </w:rPr>
        <w:t>9</w:t>
      </w:r>
    </w:p>
    <w:p w14:paraId="732FA49D" w14:textId="77777777" w:rsidR="00BE78FD" w:rsidRDefault="00BE78FD" w:rsidP="00BE394B">
      <w:pPr>
        <w:pStyle w:val="ListParagraph"/>
        <w:keepNext/>
        <w:keepLines/>
        <w:jc w:val="both"/>
        <w:rPr>
          <w:sz w:val="22"/>
          <w:szCs w:val="22"/>
        </w:rPr>
      </w:pPr>
    </w:p>
    <w:p w14:paraId="05CB0E81" w14:textId="77777777" w:rsidR="00BE78FD" w:rsidRPr="00716F22" w:rsidRDefault="00BE78FD" w:rsidP="00BE394B">
      <w:pPr>
        <w:pStyle w:val="ListParagraph"/>
        <w:keepNext/>
        <w:keepLines/>
        <w:numPr>
          <w:ilvl w:val="0"/>
          <w:numId w:val="22"/>
        </w:numPr>
        <w:spacing w:after="120" w:line="276" w:lineRule="auto"/>
        <w:ind w:left="0" w:firstLine="0"/>
        <w:jc w:val="both"/>
        <w:rPr>
          <w:sz w:val="22"/>
          <w:szCs w:val="22"/>
        </w:rPr>
      </w:pPr>
      <w:r w:rsidRPr="00CA223D">
        <w:rPr>
          <w:sz w:val="22"/>
          <w:szCs w:val="22"/>
        </w:rPr>
        <w:t>The proposed 201</w:t>
      </w:r>
      <w:r>
        <w:rPr>
          <w:sz w:val="22"/>
          <w:szCs w:val="22"/>
          <w:lang w:eastAsia="zh-CN"/>
        </w:rPr>
        <w:t>8</w:t>
      </w:r>
      <w:r>
        <w:rPr>
          <w:sz w:val="22"/>
          <w:szCs w:val="22"/>
        </w:rPr>
        <w:t xml:space="preserve"> </w:t>
      </w:r>
      <w:r w:rsidRPr="00CA223D">
        <w:rPr>
          <w:sz w:val="22"/>
          <w:szCs w:val="22"/>
        </w:rPr>
        <w:t xml:space="preserve">Business Plan includes deliverables </w:t>
      </w:r>
      <w:r w:rsidRPr="00D76146">
        <w:rPr>
          <w:sz w:val="22"/>
          <w:szCs w:val="22"/>
        </w:rPr>
        <w:t xml:space="preserve">of </w:t>
      </w:r>
      <w:r>
        <w:rPr>
          <w:sz w:val="22"/>
          <w:szCs w:val="22"/>
          <w:lang w:eastAsia="zh-CN"/>
        </w:rPr>
        <w:t xml:space="preserve">twelve </w:t>
      </w:r>
      <w:r w:rsidRPr="00D76146">
        <w:rPr>
          <w:sz w:val="22"/>
          <w:szCs w:val="22"/>
        </w:rPr>
        <w:t xml:space="preserve">investment </w:t>
      </w:r>
      <w:r w:rsidRPr="00980E45">
        <w:rPr>
          <w:sz w:val="22"/>
          <w:szCs w:val="22"/>
        </w:rPr>
        <w:t xml:space="preserve">activities in the </w:t>
      </w:r>
      <w:r w:rsidRPr="00D76146">
        <w:rPr>
          <w:sz w:val="22"/>
          <w:szCs w:val="22"/>
        </w:rPr>
        <w:t xml:space="preserve">following </w:t>
      </w:r>
      <w:r>
        <w:rPr>
          <w:sz w:val="22"/>
          <w:szCs w:val="22"/>
          <w:lang w:eastAsia="zh-CN"/>
        </w:rPr>
        <w:t xml:space="preserve">six </w:t>
      </w:r>
      <w:r w:rsidRPr="00980E45">
        <w:rPr>
          <w:sz w:val="22"/>
          <w:szCs w:val="22"/>
        </w:rPr>
        <w:t>countries:</w:t>
      </w:r>
      <w:r>
        <w:rPr>
          <w:sz w:val="22"/>
          <w:szCs w:val="22"/>
        </w:rPr>
        <w:t xml:space="preserve"> China,</w:t>
      </w:r>
      <w:r w:rsidRPr="00980E45">
        <w:rPr>
          <w:sz w:val="22"/>
          <w:szCs w:val="22"/>
        </w:rPr>
        <w:t xml:space="preserve"> </w:t>
      </w:r>
      <w:r>
        <w:rPr>
          <w:sz w:val="22"/>
          <w:szCs w:val="22"/>
        </w:rPr>
        <w:t xml:space="preserve">Indonesia, Jordan, </w:t>
      </w:r>
      <w:r>
        <w:rPr>
          <w:rFonts w:hint="eastAsia"/>
          <w:sz w:val="22"/>
          <w:szCs w:val="22"/>
          <w:lang w:eastAsia="zh-CN"/>
        </w:rPr>
        <w:t xml:space="preserve">Thailand </w:t>
      </w:r>
      <w:r w:rsidRPr="00980E45">
        <w:rPr>
          <w:sz w:val="22"/>
          <w:szCs w:val="22"/>
        </w:rPr>
        <w:t>and Vietnam</w:t>
      </w:r>
      <w:r>
        <w:rPr>
          <w:sz w:val="22"/>
          <w:szCs w:val="22"/>
        </w:rPr>
        <w:t>. The total amount of fund</w:t>
      </w:r>
      <w:r>
        <w:rPr>
          <w:rFonts w:hint="eastAsia"/>
          <w:sz w:val="22"/>
          <w:szCs w:val="22"/>
          <w:lang w:eastAsia="zh-CN"/>
        </w:rPr>
        <w:t>ing</w:t>
      </w:r>
      <w:r w:rsidRPr="00980E45">
        <w:rPr>
          <w:sz w:val="22"/>
          <w:szCs w:val="22"/>
        </w:rPr>
        <w:t xml:space="preserve"> requested for ongoing and new </w:t>
      </w:r>
      <w:r w:rsidRPr="00D76146">
        <w:rPr>
          <w:sz w:val="22"/>
          <w:szCs w:val="22"/>
        </w:rPr>
        <w:t>investment</w:t>
      </w:r>
      <w:r w:rsidRPr="00980E45">
        <w:rPr>
          <w:sz w:val="22"/>
          <w:szCs w:val="22"/>
        </w:rPr>
        <w:t xml:space="preserve"> activities in the proposed 201</w:t>
      </w:r>
      <w:r>
        <w:rPr>
          <w:sz w:val="22"/>
          <w:szCs w:val="22"/>
        </w:rPr>
        <w:t>8 Business Plan is US$</w:t>
      </w:r>
      <w:r>
        <w:rPr>
          <w:sz w:val="22"/>
          <w:szCs w:val="22"/>
          <w:lang w:eastAsia="zh-CN"/>
        </w:rPr>
        <w:t>89</w:t>
      </w:r>
      <w:r w:rsidRPr="00D76146">
        <w:rPr>
          <w:sz w:val="22"/>
          <w:szCs w:val="22"/>
          <w:lang w:eastAsia="zh-CN"/>
        </w:rPr>
        <w:t>.</w:t>
      </w:r>
      <w:r>
        <w:rPr>
          <w:sz w:val="22"/>
          <w:szCs w:val="22"/>
          <w:lang w:eastAsia="zh-CN"/>
        </w:rPr>
        <w:t>1</w:t>
      </w:r>
      <w:r w:rsidRPr="00D76146">
        <w:rPr>
          <w:sz w:val="22"/>
          <w:szCs w:val="22"/>
          <w:lang w:eastAsia="zh-CN"/>
        </w:rPr>
        <w:t xml:space="preserve"> </w:t>
      </w:r>
      <w:r w:rsidRPr="00D76146">
        <w:rPr>
          <w:sz w:val="22"/>
          <w:szCs w:val="22"/>
        </w:rPr>
        <w:t>million.</w:t>
      </w:r>
    </w:p>
    <w:p w14:paraId="59F81AE4" w14:textId="77777777" w:rsidR="00BE78FD" w:rsidRDefault="00BE78FD" w:rsidP="00BE78FD">
      <w:pPr>
        <w:pStyle w:val="ListParagraph"/>
        <w:numPr>
          <w:ilvl w:val="0"/>
          <w:numId w:val="22"/>
        </w:numPr>
        <w:spacing w:after="120" w:line="276" w:lineRule="auto"/>
        <w:ind w:left="0" w:firstLine="0"/>
        <w:jc w:val="both"/>
        <w:rPr>
          <w:sz w:val="22"/>
          <w:szCs w:val="22"/>
        </w:rPr>
      </w:pPr>
      <w:r w:rsidRPr="00CA223D">
        <w:rPr>
          <w:sz w:val="22"/>
          <w:szCs w:val="22"/>
        </w:rPr>
        <w:t xml:space="preserve">The funding distribution for </w:t>
      </w:r>
      <w:r w:rsidRPr="00980E45">
        <w:rPr>
          <w:sz w:val="22"/>
          <w:szCs w:val="22"/>
        </w:rPr>
        <w:t xml:space="preserve">ongoing and </w:t>
      </w:r>
      <w:r w:rsidRPr="00D76146">
        <w:rPr>
          <w:sz w:val="22"/>
          <w:szCs w:val="22"/>
        </w:rPr>
        <w:t xml:space="preserve">new investment </w:t>
      </w:r>
      <w:r w:rsidRPr="00980E45">
        <w:rPr>
          <w:sz w:val="22"/>
          <w:szCs w:val="22"/>
        </w:rPr>
        <w:t>activities</w:t>
      </w:r>
      <w:r w:rsidRPr="00CA223D">
        <w:rPr>
          <w:sz w:val="22"/>
          <w:szCs w:val="22"/>
        </w:rPr>
        <w:t xml:space="preserve"> included in the proposed 201</w:t>
      </w:r>
      <w:r>
        <w:rPr>
          <w:sz w:val="22"/>
          <w:szCs w:val="22"/>
          <w:lang w:eastAsia="zh-CN"/>
        </w:rPr>
        <w:t>7</w:t>
      </w:r>
      <w:r w:rsidRPr="00CA223D">
        <w:rPr>
          <w:sz w:val="22"/>
          <w:szCs w:val="22"/>
        </w:rPr>
        <w:t xml:space="preserve"> Business Plan is summarized below.</w:t>
      </w:r>
    </w:p>
    <w:p w14:paraId="1E2C873B" w14:textId="77777777" w:rsidR="00BE78FD" w:rsidRPr="00547512" w:rsidRDefault="00BE78FD" w:rsidP="00BE78FD">
      <w:pPr>
        <w:pStyle w:val="ListParagraph"/>
        <w:rPr>
          <w:sz w:val="22"/>
          <w:szCs w:val="22"/>
        </w:rPr>
      </w:pPr>
    </w:p>
    <w:p w14:paraId="2D4C9337" w14:textId="77777777" w:rsidR="00BE78FD" w:rsidRPr="00FB6224" w:rsidRDefault="00BE78FD" w:rsidP="00BE78FD">
      <w:pPr>
        <w:jc w:val="center"/>
        <w:rPr>
          <w:sz w:val="18"/>
          <w:szCs w:val="18"/>
        </w:rPr>
      </w:pPr>
      <w:r w:rsidRPr="00FB6224">
        <w:rPr>
          <w:sz w:val="18"/>
          <w:szCs w:val="18"/>
        </w:rPr>
        <w:t>Table I-3: Summary of funding distribution for investment activities in the proposed</w:t>
      </w:r>
    </w:p>
    <w:p w14:paraId="6DB861F8" w14:textId="77777777" w:rsidR="00BE78FD" w:rsidRDefault="00BE78FD" w:rsidP="00BE78FD">
      <w:pPr>
        <w:jc w:val="center"/>
        <w:rPr>
          <w:sz w:val="18"/>
          <w:szCs w:val="18"/>
          <w:lang w:eastAsia="zh-CN"/>
        </w:rPr>
      </w:pPr>
      <w:r>
        <w:rPr>
          <w:sz w:val="18"/>
          <w:szCs w:val="18"/>
        </w:rPr>
        <w:t>2017 World Bank</w:t>
      </w:r>
      <w:r w:rsidRPr="00FB6224">
        <w:rPr>
          <w:sz w:val="18"/>
          <w:szCs w:val="18"/>
        </w:rPr>
        <w:t xml:space="preserve"> Business Plan</w:t>
      </w:r>
    </w:p>
    <w:p w14:paraId="559361C0" w14:textId="77777777" w:rsidR="00BE78FD" w:rsidRPr="00CA223D" w:rsidRDefault="00BE78FD" w:rsidP="00BE78FD">
      <w:pPr>
        <w:jc w:val="center"/>
      </w:pPr>
    </w:p>
    <w:tbl>
      <w:tblPr>
        <w:tblStyle w:val="TableGrid"/>
        <w:tblW w:w="0" w:type="auto"/>
        <w:jc w:val="center"/>
        <w:tblLook w:val="04A0" w:firstRow="1" w:lastRow="0" w:firstColumn="1" w:lastColumn="0" w:noHBand="0" w:noVBand="1"/>
      </w:tblPr>
      <w:tblGrid>
        <w:gridCol w:w="4061"/>
        <w:gridCol w:w="1837"/>
        <w:gridCol w:w="956"/>
        <w:gridCol w:w="1584"/>
        <w:gridCol w:w="912"/>
      </w:tblGrid>
      <w:tr w:rsidR="00BE78FD" w14:paraId="3A089625" w14:textId="77777777" w:rsidTr="008267E8">
        <w:trPr>
          <w:tblHeader/>
          <w:jc w:val="center"/>
        </w:trPr>
        <w:tc>
          <w:tcPr>
            <w:tcW w:w="4061" w:type="dxa"/>
          </w:tcPr>
          <w:p w14:paraId="1219E9EE" w14:textId="77777777" w:rsidR="00BE78FD" w:rsidRPr="00222289" w:rsidRDefault="00BE78FD" w:rsidP="00E00CF1">
            <w:pPr>
              <w:jc w:val="center"/>
              <w:rPr>
                <w:b/>
                <w:sz w:val="18"/>
                <w:szCs w:val="18"/>
              </w:rPr>
            </w:pPr>
          </w:p>
        </w:tc>
        <w:tc>
          <w:tcPr>
            <w:tcW w:w="1837" w:type="dxa"/>
          </w:tcPr>
          <w:p w14:paraId="07300783" w14:textId="77777777" w:rsidR="00BE78FD" w:rsidRPr="00222289" w:rsidRDefault="00BE78FD" w:rsidP="00E00CF1">
            <w:pPr>
              <w:jc w:val="center"/>
              <w:rPr>
                <w:b/>
                <w:sz w:val="18"/>
                <w:szCs w:val="18"/>
              </w:rPr>
            </w:pPr>
            <w:r w:rsidRPr="00222289">
              <w:rPr>
                <w:b/>
                <w:sz w:val="18"/>
                <w:szCs w:val="18"/>
              </w:rPr>
              <w:t>Total amount of funds requested in 201</w:t>
            </w:r>
            <w:r>
              <w:rPr>
                <w:b/>
                <w:sz w:val="18"/>
                <w:szCs w:val="18"/>
              </w:rPr>
              <w:t>8</w:t>
            </w:r>
            <w:r w:rsidRPr="00222289">
              <w:rPr>
                <w:b/>
                <w:sz w:val="18"/>
                <w:szCs w:val="18"/>
              </w:rPr>
              <w:t xml:space="preserve"> (US$ 000s)</w:t>
            </w:r>
            <w:r>
              <w:rPr>
                <w:b/>
                <w:sz w:val="18"/>
                <w:szCs w:val="18"/>
              </w:rPr>
              <w:t>*</w:t>
            </w:r>
          </w:p>
        </w:tc>
        <w:tc>
          <w:tcPr>
            <w:tcW w:w="956" w:type="dxa"/>
          </w:tcPr>
          <w:p w14:paraId="589CDAF8" w14:textId="77777777" w:rsidR="00BE78FD" w:rsidRPr="00222289" w:rsidRDefault="00BE78FD" w:rsidP="00E00CF1">
            <w:pPr>
              <w:jc w:val="center"/>
              <w:rPr>
                <w:b/>
                <w:sz w:val="18"/>
                <w:szCs w:val="18"/>
              </w:rPr>
            </w:pPr>
            <w:r w:rsidRPr="00222289">
              <w:rPr>
                <w:b/>
                <w:sz w:val="18"/>
                <w:szCs w:val="18"/>
              </w:rPr>
              <w:t>Percent of total</w:t>
            </w:r>
          </w:p>
        </w:tc>
        <w:tc>
          <w:tcPr>
            <w:tcW w:w="1584" w:type="dxa"/>
          </w:tcPr>
          <w:p w14:paraId="148946A5" w14:textId="77777777" w:rsidR="00BE78FD" w:rsidRPr="00222289" w:rsidRDefault="00BE78FD" w:rsidP="00E00CF1">
            <w:pPr>
              <w:jc w:val="center"/>
              <w:rPr>
                <w:b/>
                <w:sz w:val="18"/>
                <w:szCs w:val="18"/>
              </w:rPr>
            </w:pPr>
            <w:r w:rsidRPr="00222289">
              <w:rPr>
                <w:b/>
                <w:sz w:val="18"/>
                <w:szCs w:val="18"/>
              </w:rPr>
              <w:t>Estimated impact in 201</w:t>
            </w:r>
            <w:r>
              <w:rPr>
                <w:b/>
                <w:sz w:val="18"/>
                <w:szCs w:val="18"/>
              </w:rPr>
              <w:t>8</w:t>
            </w:r>
            <w:r w:rsidRPr="00222289">
              <w:rPr>
                <w:b/>
                <w:sz w:val="18"/>
                <w:szCs w:val="18"/>
              </w:rPr>
              <w:t xml:space="preserve"> (ODP tonnes)</w:t>
            </w:r>
          </w:p>
        </w:tc>
        <w:tc>
          <w:tcPr>
            <w:tcW w:w="912" w:type="dxa"/>
          </w:tcPr>
          <w:p w14:paraId="7167E6A7" w14:textId="77777777" w:rsidR="00BE78FD" w:rsidRPr="00222289" w:rsidRDefault="00BE78FD" w:rsidP="00E00CF1">
            <w:pPr>
              <w:jc w:val="center"/>
              <w:rPr>
                <w:b/>
                <w:sz w:val="18"/>
                <w:szCs w:val="18"/>
              </w:rPr>
            </w:pPr>
            <w:r w:rsidRPr="00222289">
              <w:rPr>
                <w:b/>
                <w:sz w:val="18"/>
                <w:szCs w:val="18"/>
              </w:rPr>
              <w:t>Percent of total</w:t>
            </w:r>
          </w:p>
        </w:tc>
      </w:tr>
      <w:tr w:rsidR="00BE78FD" w14:paraId="7CB98EF1" w14:textId="77777777" w:rsidTr="008267E8">
        <w:trPr>
          <w:jc w:val="center"/>
        </w:trPr>
        <w:tc>
          <w:tcPr>
            <w:tcW w:w="4061" w:type="dxa"/>
          </w:tcPr>
          <w:p w14:paraId="7674DE7B" w14:textId="77777777" w:rsidR="00BE78FD" w:rsidRPr="00222289" w:rsidRDefault="00BE78FD" w:rsidP="00E00CF1">
            <w:pPr>
              <w:rPr>
                <w:sz w:val="18"/>
                <w:szCs w:val="18"/>
                <w:lang w:eastAsia="zh-CN"/>
              </w:rPr>
            </w:pPr>
            <w:r w:rsidRPr="00222289">
              <w:rPr>
                <w:bCs/>
                <w:sz w:val="18"/>
                <w:szCs w:val="18"/>
              </w:rPr>
              <w:t>HCFC Sector Plans</w:t>
            </w:r>
            <w:r w:rsidRPr="00222289">
              <w:rPr>
                <w:rFonts w:hint="eastAsia"/>
                <w:bCs/>
                <w:sz w:val="18"/>
                <w:szCs w:val="18"/>
                <w:lang w:eastAsia="zh-CN"/>
              </w:rPr>
              <w:t xml:space="preserve"> Stage I</w:t>
            </w:r>
          </w:p>
        </w:tc>
        <w:tc>
          <w:tcPr>
            <w:tcW w:w="1837" w:type="dxa"/>
          </w:tcPr>
          <w:p w14:paraId="7C881B1A" w14:textId="77777777" w:rsidR="00BE78FD" w:rsidRPr="00362CA5" w:rsidRDefault="00BE78FD" w:rsidP="00E00CF1">
            <w:pPr>
              <w:jc w:val="right"/>
              <w:rPr>
                <w:bCs/>
                <w:sz w:val="18"/>
                <w:szCs w:val="18"/>
                <w:lang w:eastAsia="zh-CN"/>
              </w:rPr>
            </w:pPr>
            <w:r w:rsidRPr="00B53E91">
              <w:rPr>
                <w:bCs/>
                <w:sz w:val="18"/>
                <w:szCs w:val="18"/>
                <w:lang w:eastAsia="zh-CN"/>
              </w:rPr>
              <w:t>3,383.57</w:t>
            </w:r>
          </w:p>
        </w:tc>
        <w:tc>
          <w:tcPr>
            <w:tcW w:w="956" w:type="dxa"/>
          </w:tcPr>
          <w:p w14:paraId="0C84AF8E" w14:textId="77777777" w:rsidR="00BE78FD" w:rsidRPr="00362CA5" w:rsidRDefault="00BE78FD" w:rsidP="00E00CF1">
            <w:pPr>
              <w:jc w:val="right"/>
              <w:rPr>
                <w:bCs/>
                <w:sz w:val="18"/>
                <w:szCs w:val="18"/>
                <w:lang w:eastAsia="zh-CN"/>
              </w:rPr>
            </w:pPr>
            <w:r w:rsidRPr="009E6B69">
              <w:rPr>
                <w:bCs/>
                <w:sz w:val="18"/>
                <w:szCs w:val="18"/>
                <w:lang w:eastAsia="zh-CN"/>
              </w:rPr>
              <w:t>3.5%</w:t>
            </w:r>
          </w:p>
        </w:tc>
        <w:tc>
          <w:tcPr>
            <w:tcW w:w="1584" w:type="dxa"/>
          </w:tcPr>
          <w:p w14:paraId="594F9ED8" w14:textId="77777777" w:rsidR="00BE78FD" w:rsidRPr="00362CA5" w:rsidRDefault="00BE78FD" w:rsidP="00E00CF1">
            <w:pPr>
              <w:jc w:val="right"/>
              <w:rPr>
                <w:bCs/>
                <w:sz w:val="18"/>
                <w:szCs w:val="18"/>
                <w:lang w:eastAsia="zh-CN"/>
              </w:rPr>
            </w:pPr>
            <w:r w:rsidRPr="003926AD">
              <w:rPr>
                <w:bCs/>
                <w:sz w:val="18"/>
                <w:szCs w:val="18"/>
                <w:lang w:eastAsia="zh-CN"/>
              </w:rPr>
              <w:t>30.51</w:t>
            </w:r>
          </w:p>
        </w:tc>
        <w:tc>
          <w:tcPr>
            <w:tcW w:w="912" w:type="dxa"/>
          </w:tcPr>
          <w:p w14:paraId="5E8DB084" w14:textId="77777777" w:rsidR="00BE78FD" w:rsidRPr="00362CA5" w:rsidRDefault="00BE78FD" w:rsidP="00E00CF1">
            <w:pPr>
              <w:jc w:val="right"/>
              <w:rPr>
                <w:bCs/>
                <w:sz w:val="18"/>
                <w:szCs w:val="18"/>
                <w:lang w:eastAsia="zh-CN"/>
              </w:rPr>
            </w:pPr>
            <w:r w:rsidRPr="003926AD">
              <w:rPr>
                <w:bCs/>
                <w:sz w:val="18"/>
                <w:szCs w:val="18"/>
                <w:lang w:eastAsia="zh-CN"/>
              </w:rPr>
              <w:t>1.5%</w:t>
            </w:r>
          </w:p>
        </w:tc>
      </w:tr>
      <w:tr w:rsidR="00BE78FD" w14:paraId="611BBF25" w14:textId="77777777" w:rsidTr="008267E8">
        <w:trPr>
          <w:jc w:val="center"/>
        </w:trPr>
        <w:tc>
          <w:tcPr>
            <w:tcW w:w="4061" w:type="dxa"/>
          </w:tcPr>
          <w:p w14:paraId="75ADAF54" w14:textId="77777777" w:rsidR="00BE78FD" w:rsidRPr="00222289" w:rsidRDefault="00BE78FD" w:rsidP="00E00CF1">
            <w:pPr>
              <w:rPr>
                <w:bCs/>
                <w:sz w:val="18"/>
                <w:szCs w:val="18"/>
              </w:rPr>
            </w:pPr>
            <w:r w:rsidRPr="00222289">
              <w:rPr>
                <w:bCs/>
                <w:sz w:val="18"/>
                <w:szCs w:val="18"/>
              </w:rPr>
              <w:t>HCFC Sector Plans</w:t>
            </w:r>
            <w:r w:rsidRPr="00222289">
              <w:rPr>
                <w:rFonts w:hint="eastAsia"/>
                <w:bCs/>
                <w:sz w:val="18"/>
                <w:szCs w:val="18"/>
                <w:lang w:eastAsia="zh-CN"/>
              </w:rPr>
              <w:t xml:space="preserve"> Stage I</w:t>
            </w:r>
            <w:r>
              <w:rPr>
                <w:bCs/>
                <w:sz w:val="18"/>
                <w:szCs w:val="18"/>
                <w:lang w:eastAsia="zh-CN"/>
              </w:rPr>
              <w:t>I</w:t>
            </w:r>
          </w:p>
        </w:tc>
        <w:tc>
          <w:tcPr>
            <w:tcW w:w="1837" w:type="dxa"/>
          </w:tcPr>
          <w:p w14:paraId="232C2C6B" w14:textId="77777777" w:rsidR="00BE78FD" w:rsidRPr="00362CA5" w:rsidRDefault="00BE78FD" w:rsidP="00E00CF1">
            <w:pPr>
              <w:jc w:val="right"/>
              <w:rPr>
                <w:bCs/>
                <w:sz w:val="18"/>
                <w:szCs w:val="18"/>
                <w:lang w:eastAsia="zh-CN"/>
              </w:rPr>
            </w:pPr>
            <w:r>
              <w:rPr>
                <w:bCs/>
                <w:sz w:val="18"/>
                <w:szCs w:val="18"/>
                <w:lang w:eastAsia="zh-CN"/>
              </w:rPr>
              <w:t>31,414.75</w:t>
            </w:r>
          </w:p>
        </w:tc>
        <w:tc>
          <w:tcPr>
            <w:tcW w:w="956" w:type="dxa"/>
          </w:tcPr>
          <w:p w14:paraId="70B0C4EF" w14:textId="77777777" w:rsidR="00BE78FD" w:rsidRPr="00362CA5" w:rsidRDefault="00BE78FD" w:rsidP="00E00CF1">
            <w:pPr>
              <w:jc w:val="right"/>
              <w:rPr>
                <w:bCs/>
                <w:sz w:val="18"/>
                <w:szCs w:val="18"/>
                <w:lang w:eastAsia="zh-CN"/>
              </w:rPr>
            </w:pPr>
            <w:r w:rsidRPr="009E6B69">
              <w:rPr>
                <w:bCs/>
                <w:sz w:val="18"/>
                <w:szCs w:val="18"/>
                <w:lang w:eastAsia="zh-CN"/>
              </w:rPr>
              <w:t>32.8%</w:t>
            </w:r>
          </w:p>
        </w:tc>
        <w:tc>
          <w:tcPr>
            <w:tcW w:w="1584" w:type="dxa"/>
          </w:tcPr>
          <w:p w14:paraId="487FEA47" w14:textId="77777777" w:rsidR="00BE78FD" w:rsidRPr="00362CA5" w:rsidRDefault="00BE78FD" w:rsidP="00E00CF1">
            <w:pPr>
              <w:jc w:val="right"/>
              <w:rPr>
                <w:bCs/>
                <w:sz w:val="18"/>
                <w:szCs w:val="18"/>
                <w:lang w:eastAsia="zh-CN"/>
              </w:rPr>
            </w:pPr>
            <w:r w:rsidRPr="003926AD">
              <w:rPr>
                <w:bCs/>
                <w:sz w:val="18"/>
                <w:szCs w:val="18"/>
                <w:lang w:eastAsia="zh-CN"/>
              </w:rPr>
              <w:t>758.24</w:t>
            </w:r>
          </w:p>
        </w:tc>
        <w:tc>
          <w:tcPr>
            <w:tcW w:w="912" w:type="dxa"/>
          </w:tcPr>
          <w:p w14:paraId="6E4B7D88" w14:textId="77777777" w:rsidR="00BE78FD" w:rsidRPr="00362CA5" w:rsidRDefault="00BE78FD" w:rsidP="00E00CF1">
            <w:pPr>
              <w:jc w:val="right"/>
              <w:rPr>
                <w:bCs/>
                <w:sz w:val="18"/>
                <w:szCs w:val="18"/>
                <w:lang w:eastAsia="zh-CN"/>
              </w:rPr>
            </w:pPr>
            <w:r w:rsidRPr="003926AD">
              <w:rPr>
                <w:bCs/>
                <w:sz w:val="18"/>
                <w:szCs w:val="18"/>
                <w:lang w:eastAsia="zh-CN"/>
              </w:rPr>
              <w:t>38.4%</w:t>
            </w:r>
          </w:p>
        </w:tc>
      </w:tr>
      <w:tr w:rsidR="00BE78FD" w14:paraId="38AF88EF" w14:textId="77777777" w:rsidTr="008267E8">
        <w:trPr>
          <w:jc w:val="center"/>
        </w:trPr>
        <w:tc>
          <w:tcPr>
            <w:tcW w:w="4061" w:type="dxa"/>
          </w:tcPr>
          <w:p w14:paraId="0080C849" w14:textId="77777777" w:rsidR="00BE78FD" w:rsidRPr="00222289" w:rsidRDefault="00BE78FD" w:rsidP="00E00CF1">
            <w:pPr>
              <w:rPr>
                <w:sz w:val="18"/>
                <w:szCs w:val="18"/>
              </w:rPr>
            </w:pPr>
            <w:r w:rsidRPr="00222289">
              <w:rPr>
                <w:sz w:val="18"/>
                <w:szCs w:val="18"/>
              </w:rPr>
              <w:t xml:space="preserve">HCFC Production Phase-out Plan </w:t>
            </w:r>
            <w:r w:rsidRPr="00222289">
              <w:rPr>
                <w:rFonts w:hint="eastAsia"/>
                <w:sz w:val="18"/>
                <w:szCs w:val="18"/>
                <w:lang w:eastAsia="zh-CN"/>
              </w:rPr>
              <w:t xml:space="preserve">Stage I </w:t>
            </w:r>
            <w:r w:rsidRPr="00222289">
              <w:rPr>
                <w:sz w:val="18"/>
                <w:szCs w:val="18"/>
              </w:rPr>
              <w:t>(China)</w:t>
            </w:r>
            <w:r w:rsidRPr="00222289">
              <w:rPr>
                <w:rStyle w:val="FootnoteReference"/>
                <w:sz w:val="18"/>
                <w:szCs w:val="18"/>
              </w:rPr>
              <w:t xml:space="preserve"> </w:t>
            </w:r>
          </w:p>
        </w:tc>
        <w:tc>
          <w:tcPr>
            <w:tcW w:w="1837" w:type="dxa"/>
          </w:tcPr>
          <w:p w14:paraId="679043D3" w14:textId="77777777" w:rsidR="00BE78FD" w:rsidRPr="00362CA5" w:rsidRDefault="00BE78FD" w:rsidP="00E00CF1">
            <w:pPr>
              <w:jc w:val="right"/>
              <w:rPr>
                <w:bCs/>
                <w:sz w:val="18"/>
                <w:szCs w:val="18"/>
                <w:lang w:eastAsia="zh-CN"/>
              </w:rPr>
            </w:pPr>
            <w:r w:rsidRPr="003926AD">
              <w:rPr>
                <w:bCs/>
                <w:sz w:val="18"/>
                <w:szCs w:val="18"/>
                <w:lang w:eastAsia="zh-CN"/>
              </w:rPr>
              <w:t>54,345.84</w:t>
            </w:r>
          </w:p>
        </w:tc>
        <w:tc>
          <w:tcPr>
            <w:tcW w:w="956" w:type="dxa"/>
          </w:tcPr>
          <w:p w14:paraId="2486F569" w14:textId="77777777" w:rsidR="00BE78FD" w:rsidRPr="00362CA5" w:rsidRDefault="00BE78FD" w:rsidP="00E00CF1">
            <w:pPr>
              <w:jc w:val="right"/>
              <w:rPr>
                <w:bCs/>
                <w:sz w:val="18"/>
                <w:szCs w:val="18"/>
                <w:lang w:eastAsia="zh-CN"/>
              </w:rPr>
            </w:pPr>
            <w:r w:rsidRPr="009E6B69">
              <w:rPr>
                <w:bCs/>
                <w:sz w:val="18"/>
                <w:szCs w:val="18"/>
                <w:lang w:eastAsia="zh-CN"/>
              </w:rPr>
              <w:t>56.7%</w:t>
            </w:r>
          </w:p>
        </w:tc>
        <w:tc>
          <w:tcPr>
            <w:tcW w:w="1584" w:type="dxa"/>
          </w:tcPr>
          <w:p w14:paraId="68817078" w14:textId="77777777" w:rsidR="00BE78FD" w:rsidRPr="00362CA5" w:rsidRDefault="00BE78FD" w:rsidP="00E00CF1">
            <w:pPr>
              <w:jc w:val="right"/>
              <w:rPr>
                <w:bCs/>
                <w:sz w:val="18"/>
                <w:szCs w:val="18"/>
                <w:lang w:eastAsia="zh-CN"/>
              </w:rPr>
            </w:pPr>
            <w:r w:rsidRPr="003926AD">
              <w:rPr>
                <w:bCs/>
                <w:sz w:val="18"/>
                <w:szCs w:val="18"/>
                <w:lang w:eastAsia="zh-CN"/>
              </w:rPr>
              <w:t>1,188.00</w:t>
            </w:r>
          </w:p>
        </w:tc>
        <w:tc>
          <w:tcPr>
            <w:tcW w:w="912" w:type="dxa"/>
          </w:tcPr>
          <w:p w14:paraId="48C495B1" w14:textId="77777777" w:rsidR="00BE78FD" w:rsidRPr="00362CA5" w:rsidRDefault="00BE78FD" w:rsidP="00E00CF1">
            <w:pPr>
              <w:jc w:val="right"/>
              <w:rPr>
                <w:bCs/>
                <w:sz w:val="18"/>
                <w:szCs w:val="18"/>
                <w:lang w:eastAsia="zh-CN"/>
              </w:rPr>
            </w:pPr>
            <w:r w:rsidRPr="003926AD">
              <w:rPr>
                <w:bCs/>
                <w:sz w:val="18"/>
                <w:szCs w:val="18"/>
                <w:lang w:eastAsia="zh-CN"/>
              </w:rPr>
              <w:t>60.1%</w:t>
            </w:r>
          </w:p>
        </w:tc>
      </w:tr>
      <w:tr w:rsidR="00BE78FD" w14:paraId="1605F4D4" w14:textId="77777777" w:rsidTr="008267E8">
        <w:trPr>
          <w:jc w:val="center"/>
        </w:trPr>
        <w:tc>
          <w:tcPr>
            <w:tcW w:w="4061" w:type="dxa"/>
          </w:tcPr>
          <w:p w14:paraId="4125064D" w14:textId="77777777" w:rsidR="00BE78FD" w:rsidRPr="00222289" w:rsidRDefault="00BE78FD" w:rsidP="00E00CF1">
            <w:pPr>
              <w:rPr>
                <w:sz w:val="18"/>
                <w:szCs w:val="18"/>
              </w:rPr>
            </w:pPr>
            <w:r>
              <w:rPr>
                <w:sz w:val="18"/>
                <w:szCs w:val="18"/>
              </w:rPr>
              <w:t>HFC Investment Projects</w:t>
            </w:r>
          </w:p>
        </w:tc>
        <w:tc>
          <w:tcPr>
            <w:tcW w:w="1837" w:type="dxa"/>
          </w:tcPr>
          <w:p w14:paraId="446F8AC5" w14:textId="77777777" w:rsidR="00BE78FD" w:rsidRPr="003926AD" w:rsidRDefault="00BE78FD" w:rsidP="00E00CF1">
            <w:pPr>
              <w:jc w:val="right"/>
              <w:rPr>
                <w:bCs/>
                <w:sz w:val="18"/>
                <w:szCs w:val="18"/>
                <w:lang w:eastAsia="zh-CN"/>
              </w:rPr>
            </w:pPr>
            <w:r>
              <w:rPr>
                <w:bCs/>
                <w:sz w:val="18"/>
                <w:szCs w:val="18"/>
                <w:lang w:eastAsia="zh-CN"/>
              </w:rPr>
              <w:t>6,741.00</w:t>
            </w:r>
          </w:p>
        </w:tc>
        <w:tc>
          <w:tcPr>
            <w:tcW w:w="956" w:type="dxa"/>
          </w:tcPr>
          <w:p w14:paraId="062B7665" w14:textId="77777777" w:rsidR="00BE78FD" w:rsidRPr="003926AD" w:rsidRDefault="00BE78FD" w:rsidP="00E00CF1">
            <w:pPr>
              <w:jc w:val="right"/>
              <w:rPr>
                <w:bCs/>
                <w:sz w:val="18"/>
                <w:szCs w:val="18"/>
                <w:lang w:eastAsia="zh-CN"/>
              </w:rPr>
            </w:pPr>
            <w:r w:rsidRPr="009E6B69">
              <w:rPr>
                <w:bCs/>
                <w:sz w:val="18"/>
                <w:szCs w:val="18"/>
                <w:lang w:eastAsia="zh-CN"/>
              </w:rPr>
              <w:t>7.0%</w:t>
            </w:r>
          </w:p>
        </w:tc>
        <w:tc>
          <w:tcPr>
            <w:tcW w:w="1584" w:type="dxa"/>
          </w:tcPr>
          <w:p w14:paraId="4C69B777" w14:textId="77777777" w:rsidR="00BE78FD" w:rsidRPr="003926AD" w:rsidRDefault="00BE78FD" w:rsidP="00E00CF1">
            <w:pPr>
              <w:jc w:val="right"/>
              <w:rPr>
                <w:bCs/>
                <w:sz w:val="18"/>
                <w:szCs w:val="18"/>
                <w:lang w:eastAsia="zh-CN"/>
              </w:rPr>
            </w:pPr>
            <w:r>
              <w:rPr>
                <w:bCs/>
                <w:sz w:val="18"/>
                <w:szCs w:val="18"/>
                <w:lang w:eastAsia="zh-CN"/>
              </w:rPr>
              <w:t>N/A</w:t>
            </w:r>
          </w:p>
        </w:tc>
        <w:tc>
          <w:tcPr>
            <w:tcW w:w="912" w:type="dxa"/>
          </w:tcPr>
          <w:p w14:paraId="0EB0219B" w14:textId="77777777" w:rsidR="00BE78FD" w:rsidRPr="003926AD" w:rsidRDefault="00BE78FD" w:rsidP="00E00CF1">
            <w:pPr>
              <w:jc w:val="right"/>
              <w:rPr>
                <w:bCs/>
                <w:sz w:val="18"/>
                <w:szCs w:val="18"/>
                <w:lang w:eastAsia="zh-CN"/>
              </w:rPr>
            </w:pPr>
            <w:r>
              <w:rPr>
                <w:bCs/>
                <w:sz w:val="18"/>
                <w:szCs w:val="18"/>
                <w:lang w:eastAsia="zh-CN"/>
              </w:rPr>
              <w:t>N/A</w:t>
            </w:r>
          </w:p>
        </w:tc>
      </w:tr>
      <w:tr w:rsidR="00BE78FD" w14:paraId="37C02AC6" w14:textId="77777777" w:rsidTr="008267E8">
        <w:trPr>
          <w:jc w:val="center"/>
        </w:trPr>
        <w:tc>
          <w:tcPr>
            <w:tcW w:w="4061" w:type="dxa"/>
          </w:tcPr>
          <w:p w14:paraId="7D8E215C" w14:textId="77777777" w:rsidR="00BE78FD" w:rsidRPr="00222289" w:rsidRDefault="00BE78FD" w:rsidP="00E00CF1">
            <w:pPr>
              <w:rPr>
                <w:sz w:val="18"/>
                <w:szCs w:val="18"/>
              </w:rPr>
            </w:pPr>
            <w:r w:rsidRPr="00222289">
              <w:rPr>
                <w:sz w:val="18"/>
                <w:szCs w:val="18"/>
              </w:rPr>
              <w:t>Total</w:t>
            </w:r>
          </w:p>
        </w:tc>
        <w:tc>
          <w:tcPr>
            <w:tcW w:w="1837" w:type="dxa"/>
          </w:tcPr>
          <w:p w14:paraId="50A2B70A" w14:textId="77777777" w:rsidR="00BE78FD" w:rsidRPr="00362CA5" w:rsidRDefault="00BE78FD" w:rsidP="00E00CF1">
            <w:pPr>
              <w:jc w:val="right"/>
              <w:rPr>
                <w:bCs/>
                <w:sz w:val="18"/>
                <w:szCs w:val="18"/>
                <w:lang w:eastAsia="zh-CN"/>
              </w:rPr>
            </w:pPr>
            <w:r w:rsidRPr="003926AD">
              <w:rPr>
                <w:bCs/>
                <w:sz w:val="18"/>
                <w:szCs w:val="18"/>
                <w:lang w:eastAsia="zh-CN"/>
              </w:rPr>
              <w:t>89,144.15</w:t>
            </w:r>
          </w:p>
        </w:tc>
        <w:tc>
          <w:tcPr>
            <w:tcW w:w="956" w:type="dxa"/>
          </w:tcPr>
          <w:p w14:paraId="0D54D4C6" w14:textId="77777777" w:rsidR="00BE78FD" w:rsidRPr="00362CA5" w:rsidRDefault="00BE78FD" w:rsidP="00E00CF1">
            <w:pPr>
              <w:jc w:val="right"/>
              <w:rPr>
                <w:bCs/>
                <w:sz w:val="18"/>
                <w:szCs w:val="18"/>
                <w:lang w:eastAsia="zh-CN"/>
              </w:rPr>
            </w:pPr>
            <w:r w:rsidRPr="003926AD">
              <w:rPr>
                <w:bCs/>
                <w:sz w:val="18"/>
                <w:szCs w:val="18"/>
                <w:lang w:eastAsia="zh-CN"/>
              </w:rPr>
              <w:t>100.0%</w:t>
            </w:r>
          </w:p>
        </w:tc>
        <w:tc>
          <w:tcPr>
            <w:tcW w:w="1584" w:type="dxa"/>
          </w:tcPr>
          <w:p w14:paraId="0A73771D" w14:textId="77777777" w:rsidR="00BE78FD" w:rsidRPr="00362CA5" w:rsidRDefault="00BE78FD" w:rsidP="00E00CF1">
            <w:pPr>
              <w:jc w:val="right"/>
              <w:rPr>
                <w:bCs/>
                <w:sz w:val="18"/>
                <w:szCs w:val="18"/>
                <w:lang w:eastAsia="zh-CN"/>
              </w:rPr>
            </w:pPr>
            <w:r w:rsidRPr="003926AD">
              <w:rPr>
                <w:bCs/>
                <w:sz w:val="18"/>
                <w:szCs w:val="18"/>
                <w:lang w:eastAsia="zh-CN"/>
              </w:rPr>
              <w:t>1,976.75</w:t>
            </w:r>
          </w:p>
        </w:tc>
        <w:tc>
          <w:tcPr>
            <w:tcW w:w="912" w:type="dxa"/>
          </w:tcPr>
          <w:p w14:paraId="0AAD5C72" w14:textId="77777777" w:rsidR="00BE78FD" w:rsidRPr="00362CA5" w:rsidRDefault="00BE78FD" w:rsidP="00E00CF1">
            <w:pPr>
              <w:jc w:val="right"/>
              <w:rPr>
                <w:bCs/>
                <w:sz w:val="18"/>
                <w:szCs w:val="18"/>
                <w:lang w:eastAsia="zh-CN"/>
              </w:rPr>
            </w:pPr>
            <w:r w:rsidRPr="003926AD">
              <w:rPr>
                <w:bCs/>
                <w:sz w:val="18"/>
                <w:szCs w:val="18"/>
                <w:lang w:eastAsia="zh-CN"/>
              </w:rPr>
              <w:t>100.0%</w:t>
            </w:r>
          </w:p>
        </w:tc>
      </w:tr>
    </w:tbl>
    <w:p w14:paraId="6235D1F5" w14:textId="77777777" w:rsidR="00BE78FD" w:rsidRDefault="00BE78FD" w:rsidP="00BE78FD">
      <w:pPr>
        <w:rPr>
          <w:sz w:val="18"/>
          <w:szCs w:val="18"/>
        </w:rPr>
      </w:pPr>
      <w:r w:rsidRPr="00CA223D">
        <w:rPr>
          <w:sz w:val="18"/>
          <w:szCs w:val="18"/>
        </w:rPr>
        <w:t xml:space="preserve">* </w:t>
      </w:r>
      <w:r w:rsidRPr="001911A0">
        <w:rPr>
          <w:sz w:val="18"/>
          <w:szCs w:val="18"/>
        </w:rPr>
        <w:t>Figures include agency support costs</w:t>
      </w:r>
    </w:p>
    <w:p w14:paraId="45C490A6" w14:textId="77777777" w:rsidR="00BE78FD" w:rsidRPr="00836CE7" w:rsidRDefault="00BE78FD" w:rsidP="00BE78FD"/>
    <w:p w14:paraId="20EE18AF" w14:textId="77777777" w:rsidR="00BE78FD" w:rsidRDefault="00BE78FD" w:rsidP="00BE78FD">
      <w:pPr>
        <w:pStyle w:val="ListParagraph"/>
        <w:numPr>
          <w:ilvl w:val="0"/>
          <w:numId w:val="22"/>
        </w:numPr>
        <w:spacing w:after="120" w:line="276" w:lineRule="auto"/>
        <w:ind w:left="0" w:firstLine="0"/>
        <w:jc w:val="both"/>
        <w:rPr>
          <w:sz w:val="22"/>
          <w:szCs w:val="22"/>
        </w:rPr>
      </w:pPr>
      <w:r w:rsidRPr="00CA223D">
        <w:rPr>
          <w:sz w:val="22"/>
          <w:szCs w:val="22"/>
        </w:rPr>
        <w:t xml:space="preserve">The total deliverables contained in the proposed </w:t>
      </w:r>
      <w:r>
        <w:rPr>
          <w:sz w:val="22"/>
          <w:szCs w:val="22"/>
        </w:rPr>
        <w:t>2019 World Bank</w:t>
      </w:r>
      <w:r w:rsidRPr="00CA223D">
        <w:rPr>
          <w:sz w:val="22"/>
          <w:szCs w:val="22"/>
        </w:rPr>
        <w:t xml:space="preserve"> Business Plan, including </w:t>
      </w:r>
      <w:r w:rsidRPr="001B5819">
        <w:rPr>
          <w:sz w:val="22"/>
          <w:szCs w:val="22"/>
        </w:rPr>
        <w:t xml:space="preserve">investment, non-investment and preparatory activities </w:t>
      </w:r>
      <w:r w:rsidRPr="0005394C">
        <w:rPr>
          <w:sz w:val="22"/>
          <w:szCs w:val="22"/>
        </w:rPr>
        <w:t xml:space="preserve">amounts to </w:t>
      </w:r>
      <w:r>
        <w:rPr>
          <w:sz w:val="22"/>
          <w:szCs w:val="22"/>
        </w:rPr>
        <w:t>US$</w:t>
      </w:r>
      <w:r>
        <w:rPr>
          <w:sz w:val="22"/>
          <w:szCs w:val="22"/>
          <w:lang w:eastAsia="zh-CN"/>
        </w:rPr>
        <w:t>58.9</w:t>
      </w:r>
      <w:r w:rsidRPr="0005394C">
        <w:rPr>
          <w:sz w:val="22"/>
          <w:szCs w:val="22"/>
        </w:rPr>
        <w:t xml:space="preserve"> million</w:t>
      </w:r>
      <w:r w:rsidRPr="00CA223D">
        <w:rPr>
          <w:sz w:val="22"/>
          <w:szCs w:val="22"/>
        </w:rPr>
        <w:t xml:space="preserve"> (including agency support costs and core unit costs). The breakdown of the total deliverables is summarized below.</w:t>
      </w:r>
    </w:p>
    <w:p w14:paraId="6935A606" w14:textId="77777777" w:rsidR="00BE78FD" w:rsidRPr="00547512" w:rsidRDefault="00BE78FD" w:rsidP="00BE78FD">
      <w:pPr>
        <w:pStyle w:val="ListParagraph"/>
        <w:rPr>
          <w:sz w:val="22"/>
          <w:szCs w:val="22"/>
        </w:rPr>
      </w:pPr>
    </w:p>
    <w:p w14:paraId="4A2F13B7" w14:textId="77777777" w:rsidR="00BE78FD" w:rsidRPr="001B5819" w:rsidRDefault="00BE78FD" w:rsidP="00BE78FD">
      <w:pPr>
        <w:jc w:val="center"/>
        <w:rPr>
          <w:sz w:val="18"/>
          <w:szCs w:val="18"/>
        </w:rPr>
      </w:pPr>
      <w:r w:rsidRPr="001B5819">
        <w:rPr>
          <w:sz w:val="18"/>
          <w:szCs w:val="18"/>
        </w:rPr>
        <w:t xml:space="preserve">Table I-4: Summary of all activities included in the proposed </w:t>
      </w:r>
    </w:p>
    <w:p w14:paraId="0B141DAA" w14:textId="77777777" w:rsidR="00BE78FD" w:rsidRDefault="00BE78FD" w:rsidP="00BE78FD">
      <w:pPr>
        <w:jc w:val="center"/>
        <w:rPr>
          <w:sz w:val="18"/>
          <w:szCs w:val="18"/>
          <w:lang w:eastAsia="zh-CN"/>
        </w:rPr>
      </w:pPr>
      <w:r>
        <w:rPr>
          <w:sz w:val="18"/>
          <w:szCs w:val="18"/>
        </w:rPr>
        <w:t>2019 World Bank</w:t>
      </w:r>
      <w:r w:rsidRPr="001B5819">
        <w:rPr>
          <w:sz w:val="18"/>
          <w:szCs w:val="18"/>
        </w:rPr>
        <w:t xml:space="preserve"> Business Plan</w:t>
      </w:r>
    </w:p>
    <w:p w14:paraId="1DC2AF7E" w14:textId="77777777" w:rsidR="00BE78FD" w:rsidRDefault="00BE78FD" w:rsidP="00BE78FD">
      <w:pPr>
        <w:jc w:val="center"/>
      </w:pPr>
    </w:p>
    <w:tbl>
      <w:tblPr>
        <w:tblStyle w:val="TableGrid"/>
        <w:tblW w:w="0" w:type="auto"/>
        <w:jc w:val="center"/>
        <w:tblLook w:val="04A0" w:firstRow="1" w:lastRow="0" w:firstColumn="1" w:lastColumn="0" w:noHBand="0" w:noVBand="1"/>
      </w:tblPr>
      <w:tblGrid>
        <w:gridCol w:w="4920"/>
        <w:gridCol w:w="1718"/>
        <w:gridCol w:w="1942"/>
      </w:tblGrid>
      <w:tr w:rsidR="00BE78FD" w14:paraId="74918278" w14:textId="77777777" w:rsidTr="008267E8">
        <w:trPr>
          <w:tblHeader/>
          <w:jc w:val="center"/>
        </w:trPr>
        <w:tc>
          <w:tcPr>
            <w:tcW w:w="4920" w:type="dxa"/>
          </w:tcPr>
          <w:p w14:paraId="50D3391B" w14:textId="77777777" w:rsidR="00BE78FD" w:rsidRPr="00222289" w:rsidRDefault="00BE78FD" w:rsidP="00E00CF1">
            <w:pPr>
              <w:jc w:val="center"/>
              <w:rPr>
                <w:b/>
                <w:sz w:val="18"/>
                <w:szCs w:val="18"/>
              </w:rPr>
            </w:pPr>
            <w:r w:rsidRPr="00222289">
              <w:rPr>
                <w:b/>
                <w:sz w:val="18"/>
                <w:szCs w:val="18"/>
              </w:rPr>
              <w:t>Type of activity included in the proposed 201</w:t>
            </w:r>
            <w:r>
              <w:rPr>
                <w:b/>
                <w:sz w:val="18"/>
                <w:szCs w:val="18"/>
              </w:rPr>
              <w:t>9</w:t>
            </w:r>
            <w:r w:rsidRPr="00222289">
              <w:rPr>
                <w:b/>
                <w:sz w:val="18"/>
                <w:szCs w:val="18"/>
              </w:rPr>
              <w:t xml:space="preserve"> Business Plan</w:t>
            </w:r>
          </w:p>
        </w:tc>
        <w:tc>
          <w:tcPr>
            <w:tcW w:w="1718" w:type="dxa"/>
          </w:tcPr>
          <w:p w14:paraId="5242B3D3" w14:textId="77777777" w:rsidR="00BE78FD" w:rsidRPr="00222289" w:rsidRDefault="00BE78FD" w:rsidP="00E00CF1">
            <w:pPr>
              <w:jc w:val="center"/>
              <w:rPr>
                <w:b/>
                <w:sz w:val="18"/>
                <w:szCs w:val="18"/>
              </w:rPr>
            </w:pPr>
            <w:r w:rsidRPr="00222289">
              <w:rPr>
                <w:b/>
                <w:sz w:val="18"/>
                <w:szCs w:val="18"/>
              </w:rPr>
              <w:t>Number of activities</w:t>
            </w:r>
          </w:p>
        </w:tc>
        <w:tc>
          <w:tcPr>
            <w:tcW w:w="1942" w:type="dxa"/>
          </w:tcPr>
          <w:p w14:paraId="63F97885" w14:textId="77777777" w:rsidR="00BE78FD" w:rsidRPr="00222289" w:rsidRDefault="00BE78FD" w:rsidP="00E00CF1">
            <w:pPr>
              <w:jc w:val="center"/>
              <w:rPr>
                <w:b/>
                <w:sz w:val="18"/>
                <w:szCs w:val="18"/>
              </w:rPr>
            </w:pPr>
            <w:r w:rsidRPr="00222289">
              <w:rPr>
                <w:b/>
                <w:sz w:val="18"/>
                <w:szCs w:val="18"/>
              </w:rPr>
              <w:t>Amount requested (US$ 000s)</w:t>
            </w:r>
            <w:r>
              <w:rPr>
                <w:b/>
                <w:sz w:val="18"/>
                <w:szCs w:val="18"/>
              </w:rPr>
              <w:t>*</w:t>
            </w:r>
          </w:p>
        </w:tc>
      </w:tr>
      <w:tr w:rsidR="00BE78FD" w14:paraId="7D753680" w14:textId="77777777" w:rsidTr="008267E8">
        <w:trPr>
          <w:jc w:val="center"/>
        </w:trPr>
        <w:tc>
          <w:tcPr>
            <w:tcW w:w="4920" w:type="dxa"/>
          </w:tcPr>
          <w:p w14:paraId="0D4734FA" w14:textId="77777777" w:rsidR="00BE78FD" w:rsidRPr="006C6EDC" w:rsidRDefault="00BE78FD" w:rsidP="00E00CF1">
            <w:pPr>
              <w:rPr>
                <w:sz w:val="18"/>
                <w:szCs w:val="18"/>
              </w:rPr>
            </w:pPr>
            <w:r w:rsidRPr="006C6EDC">
              <w:rPr>
                <w:sz w:val="18"/>
                <w:szCs w:val="18"/>
              </w:rPr>
              <w:t>HCFC Sector Plans Stage II</w:t>
            </w:r>
          </w:p>
        </w:tc>
        <w:tc>
          <w:tcPr>
            <w:tcW w:w="1718" w:type="dxa"/>
          </w:tcPr>
          <w:p w14:paraId="7FC80633" w14:textId="77777777" w:rsidR="00BE78FD" w:rsidRPr="00B34F0D" w:rsidRDefault="00BE78FD" w:rsidP="00E00CF1">
            <w:pPr>
              <w:jc w:val="right"/>
              <w:rPr>
                <w:bCs/>
                <w:sz w:val="18"/>
                <w:szCs w:val="18"/>
                <w:lang w:eastAsia="zh-CN"/>
              </w:rPr>
            </w:pPr>
            <w:r>
              <w:rPr>
                <w:bCs/>
                <w:sz w:val="18"/>
                <w:szCs w:val="18"/>
                <w:lang w:eastAsia="zh-CN"/>
              </w:rPr>
              <w:t>3</w:t>
            </w:r>
          </w:p>
        </w:tc>
        <w:tc>
          <w:tcPr>
            <w:tcW w:w="1942" w:type="dxa"/>
          </w:tcPr>
          <w:p w14:paraId="37A2D940" w14:textId="77777777" w:rsidR="00BE78FD" w:rsidRPr="00B34F0D" w:rsidRDefault="00BE78FD" w:rsidP="00E00CF1">
            <w:pPr>
              <w:jc w:val="right"/>
              <w:rPr>
                <w:bCs/>
                <w:sz w:val="18"/>
                <w:szCs w:val="18"/>
                <w:lang w:eastAsia="zh-CN"/>
              </w:rPr>
            </w:pPr>
            <w:r>
              <w:rPr>
                <w:bCs/>
                <w:sz w:val="18"/>
                <w:szCs w:val="18"/>
                <w:lang w:eastAsia="zh-CN"/>
              </w:rPr>
              <w:t>29,650.21</w:t>
            </w:r>
          </w:p>
        </w:tc>
      </w:tr>
      <w:tr w:rsidR="00BE78FD" w:rsidRPr="00791254" w14:paraId="2C839F82" w14:textId="77777777" w:rsidTr="008267E8">
        <w:trPr>
          <w:jc w:val="center"/>
        </w:trPr>
        <w:tc>
          <w:tcPr>
            <w:tcW w:w="4920" w:type="dxa"/>
          </w:tcPr>
          <w:p w14:paraId="14B8CCEE" w14:textId="77777777" w:rsidR="00BE78FD" w:rsidRPr="006C6EDC" w:rsidRDefault="00BE78FD" w:rsidP="00E00CF1">
            <w:pPr>
              <w:rPr>
                <w:sz w:val="18"/>
                <w:szCs w:val="18"/>
              </w:rPr>
            </w:pPr>
            <w:r w:rsidRPr="006C6EDC">
              <w:rPr>
                <w:sz w:val="18"/>
                <w:szCs w:val="18"/>
              </w:rPr>
              <w:t xml:space="preserve">HCFC </w:t>
            </w:r>
            <w:r>
              <w:rPr>
                <w:sz w:val="18"/>
                <w:szCs w:val="18"/>
              </w:rPr>
              <w:t xml:space="preserve">Gradual </w:t>
            </w:r>
            <w:r w:rsidRPr="006C6EDC">
              <w:rPr>
                <w:sz w:val="18"/>
                <w:szCs w:val="18"/>
              </w:rPr>
              <w:t>Production Phase-out Plan Stage I</w:t>
            </w:r>
            <w:r>
              <w:rPr>
                <w:sz w:val="18"/>
                <w:szCs w:val="18"/>
              </w:rPr>
              <w:t>I</w:t>
            </w:r>
            <w:r w:rsidRPr="006C6EDC">
              <w:rPr>
                <w:sz w:val="18"/>
                <w:szCs w:val="18"/>
              </w:rPr>
              <w:t xml:space="preserve"> (China)</w:t>
            </w:r>
          </w:p>
        </w:tc>
        <w:tc>
          <w:tcPr>
            <w:tcW w:w="1718" w:type="dxa"/>
          </w:tcPr>
          <w:p w14:paraId="109A86D4" w14:textId="77777777" w:rsidR="00BE78FD" w:rsidRPr="00B34F0D" w:rsidRDefault="00BE78FD" w:rsidP="00E00CF1">
            <w:pPr>
              <w:jc w:val="right"/>
              <w:rPr>
                <w:bCs/>
                <w:sz w:val="18"/>
                <w:szCs w:val="18"/>
                <w:lang w:eastAsia="zh-CN"/>
              </w:rPr>
            </w:pPr>
            <w:r w:rsidRPr="00B34F0D">
              <w:rPr>
                <w:bCs/>
                <w:sz w:val="18"/>
                <w:szCs w:val="18"/>
                <w:lang w:eastAsia="zh-CN"/>
              </w:rPr>
              <w:t>1</w:t>
            </w:r>
          </w:p>
        </w:tc>
        <w:tc>
          <w:tcPr>
            <w:tcW w:w="1942" w:type="dxa"/>
          </w:tcPr>
          <w:p w14:paraId="1333279E" w14:textId="77777777" w:rsidR="00BE78FD" w:rsidRPr="00B34F0D" w:rsidRDefault="00BE78FD" w:rsidP="00E00CF1">
            <w:pPr>
              <w:tabs>
                <w:tab w:val="center" w:pos="863"/>
                <w:tab w:val="right" w:pos="1726"/>
              </w:tabs>
              <w:rPr>
                <w:bCs/>
                <w:sz w:val="18"/>
                <w:szCs w:val="18"/>
                <w:lang w:eastAsia="zh-CN"/>
              </w:rPr>
            </w:pPr>
            <w:r>
              <w:rPr>
                <w:bCs/>
                <w:sz w:val="18"/>
                <w:szCs w:val="18"/>
                <w:lang w:eastAsia="zh-CN"/>
              </w:rPr>
              <w:tab/>
            </w:r>
            <w:r>
              <w:rPr>
                <w:bCs/>
                <w:sz w:val="18"/>
                <w:szCs w:val="18"/>
                <w:lang w:eastAsia="zh-CN"/>
              </w:rPr>
              <w:tab/>
              <w:t>29</w:t>
            </w:r>
            <w:r w:rsidRPr="003926AD">
              <w:rPr>
                <w:bCs/>
                <w:sz w:val="18"/>
                <w:szCs w:val="18"/>
                <w:lang w:eastAsia="zh-CN"/>
              </w:rPr>
              <w:t>,</w:t>
            </w:r>
            <w:r>
              <w:rPr>
                <w:bCs/>
                <w:sz w:val="18"/>
                <w:szCs w:val="18"/>
                <w:lang w:eastAsia="zh-CN"/>
              </w:rPr>
              <w:t>144</w:t>
            </w:r>
            <w:r w:rsidRPr="003926AD">
              <w:rPr>
                <w:bCs/>
                <w:sz w:val="18"/>
                <w:szCs w:val="18"/>
                <w:lang w:eastAsia="zh-CN"/>
              </w:rPr>
              <w:t>.</w:t>
            </w:r>
            <w:r>
              <w:rPr>
                <w:bCs/>
                <w:sz w:val="18"/>
                <w:szCs w:val="18"/>
                <w:lang w:eastAsia="zh-CN"/>
              </w:rPr>
              <w:t>5</w:t>
            </w:r>
            <w:r w:rsidRPr="003926AD">
              <w:rPr>
                <w:bCs/>
                <w:sz w:val="18"/>
                <w:szCs w:val="18"/>
                <w:lang w:eastAsia="zh-CN"/>
              </w:rPr>
              <w:t>4</w:t>
            </w:r>
          </w:p>
        </w:tc>
      </w:tr>
      <w:tr w:rsidR="00BE78FD" w:rsidRPr="00791254" w14:paraId="199D0B67" w14:textId="77777777" w:rsidTr="008267E8">
        <w:trPr>
          <w:jc w:val="center"/>
        </w:trPr>
        <w:tc>
          <w:tcPr>
            <w:tcW w:w="4920" w:type="dxa"/>
          </w:tcPr>
          <w:p w14:paraId="508B002A" w14:textId="77777777" w:rsidR="00BE78FD" w:rsidRPr="006C6EDC" w:rsidRDefault="00BE78FD" w:rsidP="00E00CF1">
            <w:pPr>
              <w:rPr>
                <w:sz w:val="18"/>
                <w:szCs w:val="18"/>
              </w:rPr>
            </w:pPr>
            <w:r>
              <w:rPr>
                <w:sz w:val="18"/>
                <w:szCs w:val="18"/>
              </w:rPr>
              <w:t>HFC Investment Projects</w:t>
            </w:r>
          </w:p>
        </w:tc>
        <w:tc>
          <w:tcPr>
            <w:tcW w:w="1718" w:type="dxa"/>
          </w:tcPr>
          <w:p w14:paraId="7F921F19" w14:textId="77777777" w:rsidR="00BE78FD" w:rsidRPr="00B34F0D" w:rsidRDefault="00BE78FD" w:rsidP="00E00CF1">
            <w:pPr>
              <w:jc w:val="right"/>
              <w:rPr>
                <w:bCs/>
                <w:sz w:val="18"/>
                <w:szCs w:val="18"/>
                <w:lang w:eastAsia="zh-CN"/>
              </w:rPr>
            </w:pPr>
            <w:r>
              <w:rPr>
                <w:bCs/>
                <w:sz w:val="18"/>
                <w:szCs w:val="18"/>
                <w:lang w:eastAsia="zh-CN"/>
              </w:rPr>
              <w:t>2</w:t>
            </w:r>
          </w:p>
        </w:tc>
        <w:tc>
          <w:tcPr>
            <w:tcW w:w="1942" w:type="dxa"/>
          </w:tcPr>
          <w:p w14:paraId="23C00C1A" w14:textId="77777777" w:rsidR="00BE78FD" w:rsidRPr="003926AD" w:rsidRDefault="00BE78FD" w:rsidP="00E00CF1">
            <w:pPr>
              <w:tabs>
                <w:tab w:val="center" w:pos="863"/>
                <w:tab w:val="right" w:pos="1726"/>
              </w:tabs>
              <w:rPr>
                <w:bCs/>
                <w:sz w:val="18"/>
                <w:szCs w:val="18"/>
                <w:lang w:eastAsia="zh-CN"/>
              </w:rPr>
            </w:pPr>
            <w:r>
              <w:rPr>
                <w:bCs/>
                <w:sz w:val="18"/>
                <w:szCs w:val="18"/>
                <w:lang w:eastAsia="zh-CN"/>
              </w:rPr>
              <w:tab/>
            </w:r>
            <w:r>
              <w:rPr>
                <w:bCs/>
                <w:sz w:val="18"/>
                <w:szCs w:val="18"/>
                <w:lang w:eastAsia="zh-CN"/>
              </w:rPr>
              <w:tab/>
              <w:t>10,180.00</w:t>
            </w:r>
          </w:p>
        </w:tc>
      </w:tr>
      <w:tr w:rsidR="00BE78FD" w14:paraId="27FF9A12" w14:textId="77777777" w:rsidTr="008267E8">
        <w:trPr>
          <w:jc w:val="center"/>
        </w:trPr>
        <w:tc>
          <w:tcPr>
            <w:tcW w:w="4920" w:type="dxa"/>
          </w:tcPr>
          <w:p w14:paraId="38CB2C9C" w14:textId="77777777" w:rsidR="00BE78FD" w:rsidRPr="006C6EDC" w:rsidRDefault="00BE78FD" w:rsidP="00E00CF1">
            <w:pPr>
              <w:rPr>
                <w:sz w:val="18"/>
                <w:szCs w:val="18"/>
              </w:rPr>
            </w:pPr>
            <w:r w:rsidRPr="006C6EDC">
              <w:rPr>
                <w:sz w:val="18"/>
                <w:szCs w:val="18"/>
              </w:rPr>
              <w:t>Core Unit Cost</w:t>
            </w:r>
          </w:p>
        </w:tc>
        <w:tc>
          <w:tcPr>
            <w:tcW w:w="1718" w:type="dxa"/>
          </w:tcPr>
          <w:p w14:paraId="657B2D5E" w14:textId="77777777" w:rsidR="00BE78FD" w:rsidRPr="00B34F0D" w:rsidRDefault="00BE78FD" w:rsidP="00E00CF1">
            <w:pPr>
              <w:jc w:val="right"/>
              <w:rPr>
                <w:bCs/>
                <w:sz w:val="18"/>
                <w:szCs w:val="18"/>
                <w:lang w:eastAsia="zh-CN"/>
              </w:rPr>
            </w:pPr>
            <w:r w:rsidRPr="00B34F0D">
              <w:rPr>
                <w:bCs/>
                <w:sz w:val="18"/>
                <w:szCs w:val="18"/>
                <w:lang w:eastAsia="zh-CN"/>
              </w:rPr>
              <w:t>1</w:t>
            </w:r>
          </w:p>
        </w:tc>
        <w:tc>
          <w:tcPr>
            <w:tcW w:w="1942" w:type="dxa"/>
          </w:tcPr>
          <w:p w14:paraId="4188610A" w14:textId="77777777" w:rsidR="00BE78FD" w:rsidRPr="00B34F0D" w:rsidRDefault="00BE78FD" w:rsidP="00E00CF1">
            <w:pPr>
              <w:jc w:val="right"/>
              <w:rPr>
                <w:bCs/>
                <w:sz w:val="18"/>
                <w:szCs w:val="18"/>
                <w:lang w:eastAsia="zh-CN"/>
              </w:rPr>
            </w:pPr>
            <w:r w:rsidRPr="00151CF2">
              <w:rPr>
                <w:bCs/>
                <w:sz w:val="18"/>
                <w:szCs w:val="18"/>
                <w:lang w:eastAsia="zh-CN"/>
              </w:rPr>
              <w:t>1,7</w:t>
            </w:r>
            <w:r>
              <w:rPr>
                <w:bCs/>
                <w:sz w:val="18"/>
                <w:szCs w:val="18"/>
                <w:lang w:eastAsia="zh-CN"/>
              </w:rPr>
              <w:t>3</w:t>
            </w:r>
            <w:r w:rsidRPr="00151CF2">
              <w:rPr>
                <w:bCs/>
                <w:sz w:val="18"/>
                <w:szCs w:val="18"/>
                <w:lang w:eastAsia="zh-CN"/>
              </w:rPr>
              <w:t>5.00</w:t>
            </w:r>
          </w:p>
        </w:tc>
      </w:tr>
      <w:tr w:rsidR="00BE78FD" w14:paraId="3F513832" w14:textId="77777777" w:rsidTr="008267E8">
        <w:trPr>
          <w:jc w:val="center"/>
        </w:trPr>
        <w:tc>
          <w:tcPr>
            <w:tcW w:w="4920" w:type="dxa"/>
          </w:tcPr>
          <w:p w14:paraId="13C66B6D" w14:textId="77777777" w:rsidR="00BE78FD" w:rsidRPr="006C6EDC" w:rsidRDefault="00BE78FD" w:rsidP="00E00CF1">
            <w:pPr>
              <w:rPr>
                <w:sz w:val="18"/>
                <w:szCs w:val="18"/>
              </w:rPr>
            </w:pPr>
            <w:r w:rsidRPr="006C6EDC">
              <w:rPr>
                <w:sz w:val="18"/>
                <w:szCs w:val="18"/>
              </w:rPr>
              <w:t>Total</w:t>
            </w:r>
          </w:p>
        </w:tc>
        <w:tc>
          <w:tcPr>
            <w:tcW w:w="1718" w:type="dxa"/>
          </w:tcPr>
          <w:p w14:paraId="3E13E1A1" w14:textId="77777777" w:rsidR="00BE78FD" w:rsidRPr="00B34F0D" w:rsidRDefault="00BE78FD" w:rsidP="00E00CF1">
            <w:pPr>
              <w:jc w:val="right"/>
              <w:rPr>
                <w:bCs/>
                <w:sz w:val="18"/>
                <w:szCs w:val="18"/>
                <w:lang w:eastAsia="zh-CN"/>
              </w:rPr>
            </w:pPr>
            <w:r w:rsidRPr="00B34F0D">
              <w:rPr>
                <w:bCs/>
                <w:sz w:val="18"/>
                <w:szCs w:val="18"/>
                <w:lang w:eastAsia="zh-CN"/>
              </w:rPr>
              <w:t>1</w:t>
            </w:r>
            <w:r>
              <w:rPr>
                <w:bCs/>
                <w:sz w:val="18"/>
                <w:szCs w:val="18"/>
                <w:lang w:eastAsia="zh-CN"/>
              </w:rPr>
              <w:t>6</w:t>
            </w:r>
          </w:p>
        </w:tc>
        <w:tc>
          <w:tcPr>
            <w:tcW w:w="1942" w:type="dxa"/>
          </w:tcPr>
          <w:p w14:paraId="1BC3BDB3" w14:textId="77777777" w:rsidR="00BE78FD" w:rsidRPr="00B34F0D" w:rsidRDefault="00BE78FD" w:rsidP="00E00CF1">
            <w:pPr>
              <w:jc w:val="right"/>
              <w:rPr>
                <w:bCs/>
                <w:sz w:val="18"/>
                <w:szCs w:val="18"/>
                <w:lang w:eastAsia="zh-CN"/>
              </w:rPr>
            </w:pPr>
            <w:r>
              <w:rPr>
                <w:bCs/>
                <w:sz w:val="18"/>
                <w:szCs w:val="18"/>
                <w:lang w:eastAsia="zh-CN"/>
              </w:rPr>
              <w:t>70</w:t>
            </w:r>
            <w:r w:rsidRPr="00336E3A">
              <w:rPr>
                <w:bCs/>
                <w:sz w:val="18"/>
                <w:szCs w:val="18"/>
                <w:lang w:eastAsia="zh-CN"/>
              </w:rPr>
              <w:t>,</w:t>
            </w:r>
            <w:r>
              <w:rPr>
                <w:bCs/>
                <w:sz w:val="18"/>
                <w:szCs w:val="18"/>
                <w:lang w:eastAsia="zh-CN"/>
              </w:rPr>
              <w:t>709</w:t>
            </w:r>
            <w:r w:rsidRPr="00336E3A">
              <w:rPr>
                <w:bCs/>
                <w:sz w:val="18"/>
                <w:szCs w:val="18"/>
                <w:lang w:eastAsia="zh-CN"/>
              </w:rPr>
              <w:t>.7</w:t>
            </w:r>
            <w:r>
              <w:rPr>
                <w:bCs/>
                <w:sz w:val="18"/>
                <w:szCs w:val="18"/>
                <w:lang w:eastAsia="zh-CN"/>
              </w:rPr>
              <w:t>6</w:t>
            </w:r>
          </w:p>
        </w:tc>
      </w:tr>
    </w:tbl>
    <w:p w14:paraId="29E5AA89" w14:textId="77777777" w:rsidR="00BE78FD" w:rsidRPr="00547512" w:rsidRDefault="00BE78FD" w:rsidP="00BE78FD">
      <w:pPr>
        <w:ind w:firstLine="720"/>
        <w:rPr>
          <w:sz w:val="18"/>
          <w:szCs w:val="18"/>
        </w:rPr>
      </w:pPr>
      <w:r w:rsidRPr="00CA223D">
        <w:rPr>
          <w:sz w:val="18"/>
          <w:szCs w:val="18"/>
        </w:rPr>
        <w:t>* Figures include agency support costs</w:t>
      </w:r>
    </w:p>
    <w:p w14:paraId="6ACC1179" w14:textId="77777777" w:rsidR="00BE78FD" w:rsidRDefault="00BE78FD" w:rsidP="00BE78FD">
      <w:pPr>
        <w:pStyle w:val="ListParagraph"/>
        <w:rPr>
          <w:sz w:val="22"/>
          <w:szCs w:val="22"/>
        </w:rPr>
      </w:pPr>
    </w:p>
    <w:p w14:paraId="31C748A4" w14:textId="77777777" w:rsidR="00BE78FD" w:rsidRPr="00E60BB1" w:rsidRDefault="00BE78FD" w:rsidP="00BE78FD">
      <w:pPr>
        <w:pStyle w:val="Heading2"/>
        <w:keepNext/>
        <w:keepLines/>
        <w:widowControl/>
        <w:numPr>
          <w:ilvl w:val="1"/>
          <w:numId w:val="21"/>
        </w:numPr>
        <w:spacing w:before="200" w:after="0"/>
        <w:ind w:left="0"/>
        <w:jc w:val="left"/>
        <w:rPr>
          <w:rFonts w:eastAsiaTheme="majorEastAsia" w:cstheme="majorBidi"/>
          <w:b/>
          <w:sz w:val="24"/>
          <w:szCs w:val="24"/>
          <w:lang w:val="en-US"/>
        </w:rPr>
      </w:pPr>
      <w:bookmarkStart w:id="4" w:name="_Toc395519917"/>
      <w:r w:rsidRPr="00E60BB1">
        <w:rPr>
          <w:rFonts w:eastAsiaTheme="majorEastAsia" w:cstheme="majorBidi"/>
          <w:b/>
          <w:sz w:val="24"/>
          <w:szCs w:val="24"/>
          <w:lang w:val="en-US"/>
        </w:rPr>
        <w:t>Resource Allocation Beyond 201</w:t>
      </w:r>
      <w:bookmarkEnd w:id="4"/>
      <w:r w:rsidRPr="00E60BB1">
        <w:rPr>
          <w:rFonts w:eastAsiaTheme="majorEastAsia" w:cstheme="majorBidi"/>
          <w:b/>
          <w:sz w:val="24"/>
          <w:szCs w:val="24"/>
          <w:lang w:val="en-US"/>
        </w:rPr>
        <w:t>9</w:t>
      </w:r>
    </w:p>
    <w:p w14:paraId="453A94D1" w14:textId="77777777" w:rsidR="00BE78FD" w:rsidRPr="002C46BC" w:rsidRDefault="00BE78FD" w:rsidP="00BE78FD">
      <w:pPr>
        <w:ind w:left="360"/>
        <w:rPr>
          <w:iCs/>
        </w:rPr>
      </w:pPr>
    </w:p>
    <w:p w14:paraId="736BFC93" w14:textId="77777777" w:rsidR="00BE78FD" w:rsidRPr="002F0155" w:rsidRDefault="00BE78FD" w:rsidP="00BE78FD">
      <w:pPr>
        <w:pStyle w:val="ListParagraph"/>
        <w:numPr>
          <w:ilvl w:val="0"/>
          <w:numId w:val="22"/>
        </w:numPr>
        <w:spacing w:after="120" w:line="276" w:lineRule="auto"/>
        <w:ind w:left="0" w:firstLine="0"/>
        <w:rPr>
          <w:sz w:val="22"/>
          <w:szCs w:val="22"/>
        </w:rPr>
      </w:pPr>
      <w:r>
        <w:rPr>
          <w:sz w:val="22"/>
          <w:szCs w:val="22"/>
        </w:rPr>
        <w:t>The breakdown of the resource allocation beyond 2019 in the 2019-2021 Business Planning is summarized below.</w:t>
      </w:r>
    </w:p>
    <w:p w14:paraId="10C58DC3" w14:textId="77777777" w:rsidR="00BE78FD" w:rsidRDefault="00BE78FD" w:rsidP="00BE78FD">
      <w:pPr>
        <w:jc w:val="center"/>
        <w:rPr>
          <w:iCs/>
          <w:sz w:val="18"/>
          <w:szCs w:val="18"/>
          <w:lang w:eastAsia="zh-CN"/>
        </w:rPr>
      </w:pPr>
      <w:r w:rsidRPr="00FC5698">
        <w:rPr>
          <w:iCs/>
        </w:rPr>
        <w:br/>
      </w:r>
      <w:r w:rsidRPr="00B03EB6">
        <w:rPr>
          <w:iCs/>
          <w:sz w:val="18"/>
          <w:szCs w:val="18"/>
        </w:rPr>
        <w:t>Table I-5: World Bank’s proposed resource allocation plan for 20</w:t>
      </w:r>
      <w:r>
        <w:rPr>
          <w:iCs/>
          <w:sz w:val="18"/>
          <w:szCs w:val="18"/>
        </w:rPr>
        <w:t>20</w:t>
      </w:r>
      <w:r w:rsidRPr="00B03EB6">
        <w:rPr>
          <w:iCs/>
          <w:sz w:val="18"/>
          <w:szCs w:val="18"/>
        </w:rPr>
        <w:t>-20</w:t>
      </w:r>
      <w:r>
        <w:rPr>
          <w:iCs/>
          <w:sz w:val="18"/>
          <w:szCs w:val="18"/>
        </w:rPr>
        <w:t>21</w:t>
      </w:r>
      <w:r w:rsidRPr="00B03EB6">
        <w:rPr>
          <w:iCs/>
          <w:sz w:val="18"/>
          <w:szCs w:val="18"/>
        </w:rPr>
        <w:t xml:space="preserve"> (in US$ 000s)</w:t>
      </w:r>
    </w:p>
    <w:p w14:paraId="05DC3D26" w14:textId="77777777" w:rsidR="00BE78FD" w:rsidRPr="00C7219E" w:rsidRDefault="00BE78FD" w:rsidP="00BE78FD">
      <w:pPr>
        <w:jc w:val="center"/>
        <w:rPr>
          <w:bCs/>
        </w:rPr>
      </w:pPr>
    </w:p>
    <w:tbl>
      <w:tblPr>
        <w:tblStyle w:val="TableGrid"/>
        <w:tblW w:w="0" w:type="auto"/>
        <w:jc w:val="center"/>
        <w:tblLook w:val="04A0" w:firstRow="1" w:lastRow="0" w:firstColumn="1" w:lastColumn="0" w:noHBand="0" w:noVBand="1"/>
      </w:tblPr>
      <w:tblGrid>
        <w:gridCol w:w="3410"/>
        <w:gridCol w:w="1484"/>
        <w:gridCol w:w="1486"/>
        <w:gridCol w:w="1484"/>
        <w:gridCol w:w="1486"/>
      </w:tblGrid>
      <w:tr w:rsidR="00BE78FD" w14:paraId="2A1CE0F8" w14:textId="77777777" w:rsidTr="008267E8">
        <w:trPr>
          <w:tblHeader/>
          <w:jc w:val="center"/>
        </w:trPr>
        <w:tc>
          <w:tcPr>
            <w:tcW w:w="3410" w:type="dxa"/>
          </w:tcPr>
          <w:p w14:paraId="6D227CF8" w14:textId="77777777" w:rsidR="00BE78FD" w:rsidRPr="00E76FCD" w:rsidRDefault="00BE78FD" w:rsidP="00E00CF1">
            <w:pPr>
              <w:jc w:val="center"/>
              <w:rPr>
                <w:b/>
                <w:iCs/>
                <w:sz w:val="18"/>
                <w:szCs w:val="18"/>
              </w:rPr>
            </w:pPr>
            <w:bookmarkStart w:id="5" w:name="OLE_LINK1"/>
            <w:r w:rsidRPr="00E76FCD">
              <w:rPr>
                <w:b/>
                <w:iCs/>
                <w:sz w:val="18"/>
                <w:szCs w:val="18"/>
              </w:rPr>
              <w:t>Type of activity</w:t>
            </w:r>
          </w:p>
        </w:tc>
        <w:tc>
          <w:tcPr>
            <w:tcW w:w="1484" w:type="dxa"/>
          </w:tcPr>
          <w:p w14:paraId="5F212FB3" w14:textId="77777777" w:rsidR="00BE78FD" w:rsidRPr="00E76FCD" w:rsidRDefault="00BE78FD" w:rsidP="00E00CF1">
            <w:pPr>
              <w:jc w:val="center"/>
              <w:rPr>
                <w:b/>
                <w:iCs/>
                <w:sz w:val="18"/>
                <w:szCs w:val="18"/>
              </w:rPr>
            </w:pPr>
            <w:r w:rsidRPr="00E76FCD">
              <w:rPr>
                <w:b/>
                <w:sz w:val="18"/>
                <w:szCs w:val="18"/>
              </w:rPr>
              <w:t>Total amount of funds requested in 20</w:t>
            </w:r>
            <w:r>
              <w:rPr>
                <w:b/>
                <w:sz w:val="18"/>
                <w:szCs w:val="18"/>
              </w:rPr>
              <w:t>20</w:t>
            </w:r>
            <w:r w:rsidRPr="00E76FCD">
              <w:rPr>
                <w:b/>
                <w:sz w:val="18"/>
                <w:szCs w:val="18"/>
              </w:rPr>
              <w:t xml:space="preserve"> (US$ 000s)</w:t>
            </w:r>
          </w:p>
        </w:tc>
        <w:tc>
          <w:tcPr>
            <w:tcW w:w="1486" w:type="dxa"/>
          </w:tcPr>
          <w:p w14:paraId="172FDEBD" w14:textId="77777777" w:rsidR="00BE78FD" w:rsidRPr="00E76FCD" w:rsidRDefault="00BE78FD" w:rsidP="00E00CF1">
            <w:pPr>
              <w:jc w:val="center"/>
              <w:rPr>
                <w:b/>
                <w:iCs/>
                <w:sz w:val="18"/>
                <w:szCs w:val="18"/>
              </w:rPr>
            </w:pPr>
            <w:r w:rsidRPr="00E76FCD">
              <w:rPr>
                <w:b/>
                <w:sz w:val="18"/>
                <w:szCs w:val="18"/>
              </w:rPr>
              <w:t>Estimated impact in 20</w:t>
            </w:r>
            <w:r>
              <w:rPr>
                <w:b/>
                <w:sz w:val="18"/>
                <w:szCs w:val="18"/>
              </w:rPr>
              <w:t>20</w:t>
            </w:r>
            <w:r w:rsidRPr="00E76FCD">
              <w:rPr>
                <w:b/>
                <w:sz w:val="18"/>
                <w:szCs w:val="18"/>
              </w:rPr>
              <w:t xml:space="preserve"> (ODP tonnes)</w:t>
            </w:r>
          </w:p>
        </w:tc>
        <w:tc>
          <w:tcPr>
            <w:tcW w:w="1484" w:type="dxa"/>
          </w:tcPr>
          <w:p w14:paraId="2280C40A" w14:textId="77777777" w:rsidR="00BE78FD" w:rsidRPr="00E76FCD" w:rsidRDefault="00BE78FD" w:rsidP="00E00CF1">
            <w:pPr>
              <w:jc w:val="center"/>
              <w:rPr>
                <w:b/>
                <w:iCs/>
                <w:sz w:val="18"/>
                <w:szCs w:val="18"/>
              </w:rPr>
            </w:pPr>
            <w:r w:rsidRPr="00E76FCD">
              <w:rPr>
                <w:b/>
                <w:sz w:val="18"/>
                <w:szCs w:val="18"/>
              </w:rPr>
              <w:t>Total amount of funds requested in 20</w:t>
            </w:r>
            <w:r>
              <w:rPr>
                <w:b/>
                <w:sz w:val="18"/>
                <w:szCs w:val="18"/>
              </w:rPr>
              <w:t>21</w:t>
            </w:r>
            <w:r w:rsidRPr="00E76FCD">
              <w:rPr>
                <w:b/>
                <w:sz w:val="18"/>
                <w:szCs w:val="18"/>
              </w:rPr>
              <w:t xml:space="preserve"> (US$ 000s)</w:t>
            </w:r>
          </w:p>
        </w:tc>
        <w:tc>
          <w:tcPr>
            <w:tcW w:w="1486" w:type="dxa"/>
          </w:tcPr>
          <w:p w14:paraId="40ED8322" w14:textId="77777777" w:rsidR="00BE78FD" w:rsidRDefault="00BE78FD" w:rsidP="00E00CF1">
            <w:pPr>
              <w:jc w:val="center"/>
              <w:rPr>
                <w:b/>
                <w:sz w:val="18"/>
                <w:szCs w:val="18"/>
              </w:rPr>
            </w:pPr>
            <w:r w:rsidRPr="00E76FCD">
              <w:rPr>
                <w:b/>
                <w:sz w:val="18"/>
                <w:szCs w:val="18"/>
              </w:rPr>
              <w:t>Estimated impact in 20</w:t>
            </w:r>
            <w:r>
              <w:rPr>
                <w:b/>
                <w:sz w:val="18"/>
                <w:szCs w:val="18"/>
              </w:rPr>
              <w:t>21</w:t>
            </w:r>
            <w:r w:rsidRPr="00E76FCD">
              <w:rPr>
                <w:b/>
                <w:sz w:val="18"/>
                <w:szCs w:val="18"/>
              </w:rPr>
              <w:t xml:space="preserve"> </w:t>
            </w:r>
          </w:p>
          <w:p w14:paraId="72CC7E79" w14:textId="77777777" w:rsidR="00BE78FD" w:rsidRPr="00E76FCD" w:rsidRDefault="00BE78FD" w:rsidP="00E00CF1">
            <w:pPr>
              <w:jc w:val="center"/>
              <w:rPr>
                <w:b/>
                <w:iCs/>
                <w:sz w:val="18"/>
                <w:szCs w:val="18"/>
              </w:rPr>
            </w:pPr>
            <w:r w:rsidRPr="00E76FCD">
              <w:rPr>
                <w:b/>
                <w:sz w:val="18"/>
                <w:szCs w:val="18"/>
              </w:rPr>
              <w:t>(ODP tonnes)</w:t>
            </w:r>
          </w:p>
        </w:tc>
      </w:tr>
      <w:tr w:rsidR="00BE78FD" w14:paraId="2F323854" w14:textId="77777777" w:rsidTr="008267E8">
        <w:trPr>
          <w:jc w:val="center"/>
        </w:trPr>
        <w:tc>
          <w:tcPr>
            <w:tcW w:w="3410" w:type="dxa"/>
            <w:vAlign w:val="bottom"/>
          </w:tcPr>
          <w:p w14:paraId="30EF4B0F" w14:textId="77777777" w:rsidR="00BE78FD" w:rsidRPr="00BE4A7D" w:rsidRDefault="00BE78FD" w:rsidP="00E00CF1">
            <w:pPr>
              <w:rPr>
                <w:sz w:val="18"/>
                <w:szCs w:val="18"/>
              </w:rPr>
            </w:pPr>
            <w:r w:rsidRPr="00BE4A7D">
              <w:rPr>
                <w:color w:val="000000"/>
                <w:sz w:val="18"/>
                <w:szCs w:val="18"/>
                <w:lang w:eastAsia="zh-CN"/>
              </w:rPr>
              <w:t xml:space="preserve">HCFC </w:t>
            </w:r>
            <w:r>
              <w:rPr>
                <w:color w:val="000000"/>
                <w:sz w:val="18"/>
                <w:szCs w:val="18"/>
                <w:lang w:eastAsia="zh-CN"/>
              </w:rPr>
              <w:t xml:space="preserve">Sector Plan </w:t>
            </w:r>
            <w:r w:rsidRPr="00BE4A7D">
              <w:rPr>
                <w:color w:val="000000"/>
                <w:sz w:val="18"/>
                <w:szCs w:val="18"/>
                <w:lang w:eastAsia="zh-CN"/>
              </w:rPr>
              <w:t xml:space="preserve">Stage </w:t>
            </w:r>
            <w:r>
              <w:rPr>
                <w:color w:val="000000"/>
                <w:sz w:val="18"/>
                <w:szCs w:val="18"/>
                <w:lang w:eastAsia="zh-CN"/>
              </w:rPr>
              <w:t>I</w:t>
            </w:r>
            <w:r w:rsidRPr="00BE4A7D">
              <w:rPr>
                <w:color w:val="000000"/>
                <w:sz w:val="18"/>
                <w:szCs w:val="18"/>
                <w:lang w:eastAsia="zh-CN"/>
              </w:rPr>
              <w:t>I</w:t>
            </w:r>
          </w:p>
        </w:tc>
        <w:tc>
          <w:tcPr>
            <w:tcW w:w="1484" w:type="dxa"/>
          </w:tcPr>
          <w:p w14:paraId="671F446E" w14:textId="77777777" w:rsidR="00BE78FD" w:rsidRPr="00B6615F" w:rsidRDefault="00BE78FD" w:rsidP="00E00CF1">
            <w:pPr>
              <w:jc w:val="right"/>
              <w:rPr>
                <w:bCs/>
                <w:sz w:val="18"/>
                <w:szCs w:val="18"/>
                <w:lang w:eastAsia="zh-CN"/>
              </w:rPr>
            </w:pPr>
            <w:r>
              <w:rPr>
                <w:bCs/>
                <w:sz w:val="18"/>
                <w:szCs w:val="18"/>
                <w:lang w:eastAsia="zh-CN"/>
              </w:rPr>
              <w:t>29</w:t>
            </w:r>
            <w:r w:rsidRPr="00FC332B">
              <w:rPr>
                <w:bCs/>
                <w:sz w:val="18"/>
                <w:szCs w:val="18"/>
                <w:lang w:eastAsia="zh-CN"/>
              </w:rPr>
              <w:t>,</w:t>
            </w:r>
            <w:r>
              <w:rPr>
                <w:bCs/>
                <w:sz w:val="18"/>
                <w:szCs w:val="18"/>
                <w:lang w:eastAsia="zh-CN"/>
              </w:rPr>
              <w:t>555</w:t>
            </w:r>
            <w:r w:rsidRPr="00FC332B">
              <w:rPr>
                <w:bCs/>
                <w:sz w:val="18"/>
                <w:szCs w:val="18"/>
                <w:lang w:eastAsia="zh-CN"/>
              </w:rPr>
              <w:t>.</w:t>
            </w:r>
            <w:r>
              <w:rPr>
                <w:bCs/>
                <w:sz w:val="18"/>
                <w:szCs w:val="18"/>
                <w:lang w:eastAsia="zh-CN"/>
              </w:rPr>
              <w:t>99</w:t>
            </w:r>
          </w:p>
        </w:tc>
        <w:tc>
          <w:tcPr>
            <w:tcW w:w="1486" w:type="dxa"/>
          </w:tcPr>
          <w:p w14:paraId="359122D4" w14:textId="77777777" w:rsidR="00BE78FD" w:rsidRPr="00B6615F" w:rsidRDefault="00BE78FD" w:rsidP="00E00CF1">
            <w:pPr>
              <w:jc w:val="right"/>
              <w:rPr>
                <w:bCs/>
                <w:sz w:val="18"/>
                <w:szCs w:val="18"/>
                <w:lang w:eastAsia="zh-CN"/>
              </w:rPr>
            </w:pPr>
            <w:r w:rsidRPr="00FC332B">
              <w:rPr>
                <w:bCs/>
                <w:sz w:val="18"/>
                <w:szCs w:val="18"/>
                <w:lang w:eastAsia="zh-CN"/>
              </w:rPr>
              <w:t>6</w:t>
            </w:r>
            <w:r>
              <w:rPr>
                <w:bCs/>
                <w:sz w:val="18"/>
                <w:szCs w:val="18"/>
                <w:lang w:eastAsia="zh-CN"/>
              </w:rPr>
              <w:t>5</w:t>
            </w:r>
            <w:r w:rsidRPr="00FC332B">
              <w:rPr>
                <w:bCs/>
                <w:sz w:val="18"/>
                <w:szCs w:val="18"/>
                <w:lang w:eastAsia="zh-CN"/>
              </w:rPr>
              <w:t>.</w:t>
            </w:r>
            <w:r>
              <w:rPr>
                <w:bCs/>
                <w:sz w:val="18"/>
                <w:szCs w:val="18"/>
                <w:lang w:eastAsia="zh-CN"/>
              </w:rPr>
              <w:t>29</w:t>
            </w:r>
          </w:p>
        </w:tc>
        <w:tc>
          <w:tcPr>
            <w:tcW w:w="1484" w:type="dxa"/>
          </w:tcPr>
          <w:p w14:paraId="1BF1E3F4" w14:textId="77777777" w:rsidR="00BE78FD" w:rsidRPr="00B6615F" w:rsidRDefault="00BE78FD" w:rsidP="00E00CF1">
            <w:pPr>
              <w:jc w:val="right"/>
              <w:rPr>
                <w:bCs/>
                <w:sz w:val="18"/>
                <w:szCs w:val="18"/>
                <w:lang w:eastAsia="zh-CN"/>
              </w:rPr>
            </w:pPr>
            <w:r w:rsidRPr="00FC332B">
              <w:rPr>
                <w:bCs/>
                <w:sz w:val="18"/>
                <w:szCs w:val="18"/>
                <w:lang w:eastAsia="zh-CN"/>
              </w:rPr>
              <w:t>2</w:t>
            </w:r>
            <w:r>
              <w:rPr>
                <w:bCs/>
                <w:sz w:val="18"/>
                <w:szCs w:val="18"/>
                <w:lang w:eastAsia="zh-CN"/>
              </w:rPr>
              <w:t>3</w:t>
            </w:r>
            <w:r w:rsidRPr="00FC332B">
              <w:rPr>
                <w:bCs/>
                <w:sz w:val="18"/>
                <w:szCs w:val="18"/>
                <w:lang w:eastAsia="zh-CN"/>
              </w:rPr>
              <w:t>,</w:t>
            </w:r>
            <w:r>
              <w:rPr>
                <w:bCs/>
                <w:sz w:val="18"/>
                <w:szCs w:val="18"/>
                <w:lang w:eastAsia="zh-CN"/>
              </w:rPr>
              <w:t>556</w:t>
            </w:r>
            <w:r w:rsidRPr="00FC332B">
              <w:rPr>
                <w:bCs/>
                <w:sz w:val="18"/>
                <w:szCs w:val="18"/>
                <w:lang w:eastAsia="zh-CN"/>
              </w:rPr>
              <w:t>.</w:t>
            </w:r>
            <w:r>
              <w:rPr>
                <w:bCs/>
                <w:sz w:val="18"/>
                <w:szCs w:val="18"/>
                <w:lang w:eastAsia="zh-CN"/>
              </w:rPr>
              <w:t>18</w:t>
            </w:r>
          </w:p>
        </w:tc>
        <w:tc>
          <w:tcPr>
            <w:tcW w:w="1486" w:type="dxa"/>
          </w:tcPr>
          <w:p w14:paraId="29C2BF50" w14:textId="77777777" w:rsidR="00BE78FD" w:rsidRPr="00B6615F" w:rsidRDefault="00BE78FD" w:rsidP="00E00CF1">
            <w:pPr>
              <w:jc w:val="right"/>
              <w:rPr>
                <w:bCs/>
                <w:sz w:val="18"/>
                <w:szCs w:val="18"/>
                <w:lang w:eastAsia="zh-CN"/>
              </w:rPr>
            </w:pPr>
            <w:r>
              <w:rPr>
                <w:bCs/>
                <w:sz w:val="18"/>
                <w:szCs w:val="18"/>
                <w:lang w:eastAsia="zh-CN"/>
              </w:rPr>
              <w:t>828</w:t>
            </w:r>
            <w:r w:rsidRPr="00FC332B">
              <w:rPr>
                <w:bCs/>
                <w:sz w:val="18"/>
                <w:szCs w:val="18"/>
                <w:lang w:eastAsia="zh-CN"/>
              </w:rPr>
              <w:t>.</w:t>
            </w:r>
            <w:r>
              <w:rPr>
                <w:bCs/>
                <w:sz w:val="18"/>
                <w:szCs w:val="18"/>
                <w:lang w:eastAsia="zh-CN"/>
              </w:rPr>
              <w:t>0</w:t>
            </w:r>
            <w:r w:rsidRPr="00FC332B">
              <w:rPr>
                <w:bCs/>
                <w:sz w:val="18"/>
                <w:szCs w:val="18"/>
                <w:lang w:eastAsia="zh-CN"/>
              </w:rPr>
              <w:t>1</w:t>
            </w:r>
          </w:p>
        </w:tc>
      </w:tr>
      <w:tr w:rsidR="00BE78FD" w14:paraId="27159C90" w14:textId="77777777" w:rsidTr="008267E8">
        <w:trPr>
          <w:jc w:val="center"/>
        </w:trPr>
        <w:tc>
          <w:tcPr>
            <w:tcW w:w="3410" w:type="dxa"/>
            <w:vAlign w:val="bottom"/>
          </w:tcPr>
          <w:p w14:paraId="34A7C74F" w14:textId="77777777" w:rsidR="00BE78FD" w:rsidRPr="00BE4A7D" w:rsidRDefault="00BE78FD" w:rsidP="00E00CF1">
            <w:pPr>
              <w:rPr>
                <w:sz w:val="18"/>
                <w:szCs w:val="18"/>
                <w:lang w:eastAsia="zh-CN"/>
              </w:rPr>
            </w:pPr>
            <w:r w:rsidRPr="00BE4A7D">
              <w:rPr>
                <w:color w:val="000000"/>
                <w:sz w:val="18"/>
                <w:szCs w:val="18"/>
                <w:lang w:eastAsia="zh-CN"/>
              </w:rPr>
              <w:t xml:space="preserve">HCFC </w:t>
            </w:r>
            <w:r>
              <w:rPr>
                <w:color w:val="000000"/>
                <w:sz w:val="18"/>
                <w:szCs w:val="18"/>
                <w:lang w:eastAsia="zh-CN"/>
              </w:rPr>
              <w:t xml:space="preserve">Gradual </w:t>
            </w:r>
            <w:r w:rsidRPr="00BE4A7D">
              <w:rPr>
                <w:color w:val="000000"/>
                <w:sz w:val="18"/>
                <w:szCs w:val="18"/>
                <w:lang w:eastAsia="zh-CN"/>
              </w:rPr>
              <w:t>Production Phase-out Plan Stage II (China)</w:t>
            </w:r>
          </w:p>
        </w:tc>
        <w:tc>
          <w:tcPr>
            <w:tcW w:w="1484" w:type="dxa"/>
          </w:tcPr>
          <w:p w14:paraId="2395DE8B" w14:textId="77777777" w:rsidR="00BE78FD" w:rsidRPr="00B6615F" w:rsidRDefault="00BE78FD" w:rsidP="00E00CF1">
            <w:pPr>
              <w:jc w:val="right"/>
              <w:rPr>
                <w:bCs/>
                <w:sz w:val="18"/>
                <w:szCs w:val="18"/>
                <w:lang w:eastAsia="zh-CN"/>
              </w:rPr>
            </w:pPr>
            <w:r>
              <w:rPr>
                <w:bCs/>
                <w:sz w:val="18"/>
                <w:szCs w:val="18"/>
                <w:lang w:eastAsia="zh-CN"/>
              </w:rPr>
              <w:t>29,144.54</w:t>
            </w:r>
          </w:p>
        </w:tc>
        <w:tc>
          <w:tcPr>
            <w:tcW w:w="1486" w:type="dxa"/>
          </w:tcPr>
          <w:p w14:paraId="478740DB" w14:textId="77777777" w:rsidR="00BE78FD" w:rsidRPr="00B6615F" w:rsidRDefault="00BE78FD" w:rsidP="00E00CF1">
            <w:pPr>
              <w:jc w:val="right"/>
              <w:rPr>
                <w:bCs/>
                <w:sz w:val="18"/>
                <w:szCs w:val="18"/>
                <w:lang w:eastAsia="zh-CN"/>
              </w:rPr>
            </w:pPr>
            <w:r>
              <w:rPr>
                <w:bCs/>
                <w:sz w:val="18"/>
                <w:szCs w:val="18"/>
                <w:lang w:eastAsia="zh-CN"/>
              </w:rPr>
              <w:t>3,813</w:t>
            </w:r>
            <w:r w:rsidRPr="00FC332B">
              <w:rPr>
                <w:bCs/>
                <w:sz w:val="18"/>
                <w:szCs w:val="18"/>
                <w:lang w:eastAsia="zh-CN"/>
              </w:rPr>
              <w:t>.00</w:t>
            </w:r>
          </w:p>
        </w:tc>
        <w:tc>
          <w:tcPr>
            <w:tcW w:w="1484" w:type="dxa"/>
          </w:tcPr>
          <w:p w14:paraId="2ACFDA8A" w14:textId="77777777" w:rsidR="00BE78FD" w:rsidRPr="00B6615F" w:rsidRDefault="00BE78FD" w:rsidP="00E00CF1">
            <w:pPr>
              <w:jc w:val="right"/>
              <w:rPr>
                <w:bCs/>
                <w:sz w:val="18"/>
                <w:szCs w:val="18"/>
                <w:lang w:eastAsia="zh-CN"/>
              </w:rPr>
            </w:pPr>
            <w:r>
              <w:rPr>
                <w:bCs/>
                <w:sz w:val="18"/>
                <w:szCs w:val="18"/>
                <w:lang w:eastAsia="zh-CN"/>
              </w:rPr>
              <w:t>29,144.54</w:t>
            </w:r>
          </w:p>
        </w:tc>
        <w:tc>
          <w:tcPr>
            <w:tcW w:w="1486" w:type="dxa"/>
          </w:tcPr>
          <w:p w14:paraId="02FFB6D4" w14:textId="77777777" w:rsidR="00BE78FD" w:rsidRPr="00B6615F" w:rsidRDefault="00BE78FD" w:rsidP="00E00CF1">
            <w:pPr>
              <w:jc w:val="right"/>
              <w:rPr>
                <w:bCs/>
                <w:sz w:val="18"/>
                <w:szCs w:val="18"/>
                <w:lang w:eastAsia="zh-CN"/>
              </w:rPr>
            </w:pPr>
            <w:r>
              <w:rPr>
                <w:bCs/>
                <w:sz w:val="18"/>
                <w:szCs w:val="18"/>
                <w:lang w:eastAsia="zh-CN"/>
              </w:rPr>
              <w:t>1,558</w:t>
            </w:r>
            <w:r w:rsidRPr="00FC332B">
              <w:rPr>
                <w:bCs/>
                <w:sz w:val="18"/>
                <w:szCs w:val="18"/>
                <w:lang w:eastAsia="zh-CN"/>
              </w:rPr>
              <w:t>.00</w:t>
            </w:r>
          </w:p>
        </w:tc>
      </w:tr>
      <w:tr w:rsidR="00BE78FD" w14:paraId="4194E998" w14:textId="77777777" w:rsidTr="008267E8">
        <w:trPr>
          <w:jc w:val="center"/>
        </w:trPr>
        <w:tc>
          <w:tcPr>
            <w:tcW w:w="3410" w:type="dxa"/>
            <w:vAlign w:val="bottom"/>
          </w:tcPr>
          <w:p w14:paraId="032406FA" w14:textId="77777777" w:rsidR="00BE78FD" w:rsidRPr="00BE4A7D" w:rsidRDefault="00BE78FD" w:rsidP="00BE394B">
            <w:pPr>
              <w:keepNext/>
              <w:keepLines/>
              <w:rPr>
                <w:bCs/>
                <w:sz w:val="18"/>
                <w:szCs w:val="18"/>
              </w:rPr>
            </w:pPr>
            <w:r w:rsidRPr="00BE4A7D">
              <w:rPr>
                <w:color w:val="000000"/>
                <w:sz w:val="18"/>
                <w:szCs w:val="18"/>
              </w:rPr>
              <w:lastRenderedPageBreak/>
              <w:t>Institutional Strengthening</w:t>
            </w:r>
          </w:p>
        </w:tc>
        <w:tc>
          <w:tcPr>
            <w:tcW w:w="1484" w:type="dxa"/>
          </w:tcPr>
          <w:p w14:paraId="182C53F4" w14:textId="77777777" w:rsidR="00BE78FD" w:rsidRPr="00B6615F" w:rsidRDefault="00BE78FD" w:rsidP="00BE394B">
            <w:pPr>
              <w:keepNext/>
              <w:keepLines/>
              <w:jc w:val="right"/>
              <w:rPr>
                <w:bCs/>
                <w:sz w:val="18"/>
                <w:szCs w:val="18"/>
                <w:lang w:eastAsia="zh-CN"/>
              </w:rPr>
            </w:pPr>
            <w:r>
              <w:rPr>
                <w:bCs/>
                <w:sz w:val="18"/>
                <w:szCs w:val="18"/>
                <w:lang w:eastAsia="zh-CN"/>
              </w:rPr>
              <w:t>0.00</w:t>
            </w:r>
          </w:p>
        </w:tc>
        <w:tc>
          <w:tcPr>
            <w:tcW w:w="1486" w:type="dxa"/>
          </w:tcPr>
          <w:p w14:paraId="779D74C8" w14:textId="77777777" w:rsidR="00BE78FD" w:rsidRPr="00B6615F" w:rsidRDefault="00BE78FD" w:rsidP="00BE394B">
            <w:pPr>
              <w:keepNext/>
              <w:keepLines/>
              <w:jc w:val="center"/>
              <w:rPr>
                <w:bCs/>
                <w:sz w:val="18"/>
                <w:szCs w:val="18"/>
                <w:lang w:eastAsia="zh-CN"/>
              </w:rPr>
            </w:pPr>
            <w:r w:rsidRPr="00B6615F">
              <w:rPr>
                <w:bCs/>
                <w:sz w:val="18"/>
                <w:szCs w:val="18"/>
                <w:lang w:eastAsia="zh-CN"/>
              </w:rPr>
              <w:t>N/A</w:t>
            </w:r>
          </w:p>
        </w:tc>
        <w:tc>
          <w:tcPr>
            <w:tcW w:w="1484" w:type="dxa"/>
          </w:tcPr>
          <w:p w14:paraId="6E9615E3" w14:textId="77777777" w:rsidR="00BE78FD" w:rsidRPr="00B6615F" w:rsidRDefault="00BE78FD" w:rsidP="00BE394B">
            <w:pPr>
              <w:keepNext/>
              <w:keepLines/>
              <w:jc w:val="right"/>
              <w:rPr>
                <w:bCs/>
                <w:sz w:val="18"/>
                <w:szCs w:val="18"/>
                <w:lang w:eastAsia="zh-CN"/>
              </w:rPr>
            </w:pPr>
            <w:r w:rsidRPr="00151CF2">
              <w:rPr>
                <w:bCs/>
                <w:sz w:val="18"/>
                <w:szCs w:val="18"/>
                <w:lang w:eastAsia="zh-CN"/>
              </w:rPr>
              <w:t>676.58</w:t>
            </w:r>
          </w:p>
        </w:tc>
        <w:tc>
          <w:tcPr>
            <w:tcW w:w="1486" w:type="dxa"/>
          </w:tcPr>
          <w:p w14:paraId="0ED2A1C6" w14:textId="77777777" w:rsidR="00BE78FD" w:rsidRPr="00B6615F" w:rsidRDefault="00BE78FD" w:rsidP="00BE394B">
            <w:pPr>
              <w:keepNext/>
              <w:keepLines/>
              <w:jc w:val="center"/>
              <w:rPr>
                <w:bCs/>
                <w:sz w:val="18"/>
                <w:szCs w:val="18"/>
                <w:lang w:eastAsia="zh-CN"/>
              </w:rPr>
            </w:pPr>
            <w:r w:rsidRPr="00B6615F">
              <w:rPr>
                <w:bCs/>
                <w:sz w:val="18"/>
                <w:szCs w:val="18"/>
                <w:lang w:eastAsia="zh-CN"/>
              </w:rPr>
              <w:t>N/A</w:t>
            </w:r>
          </w:p>
        </w:tc>
      </w:tr>
      <w:tr w:rsidR="00BE78FD" w14:paraId="06BD2997" w14:textId="77777777" w:rsidTr="008267E8">
        <w:trPr>
          <w:jc w:val="center"/>
        </w:trPr>
        <w:tc>
          <w:tcPr>
            <w:tcW w:w="3410" w:type="dxa"/>
            <w:vAlign w:val="bottom"/>
          </w:tcPr>
          <w:p w14:paraId="08D23CB2" w14:textId="77777777" w:rsidR="00BE78FD" w:rsidRPr="00BE4A7D" w:rsidRDefault="00BE78FD" w:rsidP="00BE394B">
            <w:pPr>
              <w:keepNext/>
              <w:keepLines/>
              <w:rPr>
                <w:sz w:val="18"/>
                <w:szCs w:val="18"/>
              </w:rPr>
            </w:pPr>
            <w:r w:rsidRPr="00BE4A7D">
              <w:rPr>
                <w:color w:val="000000"/>
                <w:sz w:val="18"/>
                <w:szCs w:val="18"/>
              </w:rPr>
              <w:t>Core Unit Cost</w:t>
            </w:r>
          </w:p>
        </w:tc>
        <w:tc>
          <w:tcPr>
            <w:tcW w:w="1484" w:type="dxa"/>
          </w:tcPr>
          <w:p w14:paraId="046F2F4A" w14:textId="77777777" w:rsidR="00BE78FD" w:rsidRPr="00B6615F" w:rsidRDefault="00BE78FD" w:rsidP="00BE394B">
            <w:pPr>
              <w:keepNext/>
              <w:keepLines/>
              <w:jc w:val="right"/>
              <w:rPr>
                <w:bCs/>
                <w:sz w:val="18"/>
                <w:szCs w:val="18"/>
                <w:lang w:eastAsia="zh-CN"/>
              </w:rPr>
            </w:pPr>
            <w:r w:rsidRPr="00151CF2">
              <w:rPr>
                <w:bCs/>
                <w:sz w:val="18"/>
                <w:szCs w:val="18"/>
                <w:lang w:eastAsia="zh-CN"/>
              </w:rPr>
              <w:t>1,</w:t>
            </w:r>
            <w:r>
              <w:rPr>
                <w:bCs/>
                <w:sz w:val="18"/>
                <w:szCs w:val="18"/>
                <w:lang w:eastAsia="zh-CN"/>
              </w:rPr>
              <w:t>735.00</w:t>
            </w:r>
          </w:p>
        </w:tc>
        <w:tc>
          <w:tcPr>
            <w:tcW w:w="1486" w:type="dxa"/>
          </w:tcPr>
          <w:p w14:paraId="3875ED52" w14:textId="77777777" w:rsidR="00BE78FD" w:rsidRPr="00B6615F" w:rsidRDefault="00BE78FD" w:rsidP="00BE394B">
            <w:pPr>
              <w:keepNext/>
              <w:keepLines/>
              <w:jc w:val="center"/>
              <w:rPr>
                <w:bCs/>
                <w:sz w:val="18"/>
                <w:szCs w:val="18"/>
                <w:lang w:eastAsia="zh-CN"/>
              </w:rPr>
            </w:pPr>
            <w:r w:rsidRPr="00B6615F">
              <w:rPr>
                <w:bCs/>
                <w:sz w:val="18"/>
                <w:szCs w:val="18"/>
                <w:lang w:eastAsia="zh-CN"/>
              </w:rPr>
              <w:t>N/A</w:t>
            </w:r>
          </w:p>
        </w:tc>
        <w:tc>
          <w:tcPr>
            <w:tcW w:w="1484" w:type="dxa"/>
          </w:tcPr>
          <w:p w14:paraId="1F1E288D" w14:textId="77777777" w:rsidR="00BE78FD" w:rsidRPr="00B6615F" w:rsidRDefault="00BE78FD" w:rsidP="00BE394B">
            <w:pPr>
              <w:keepNext/>
              <w:keepLines/>
              <w:jc w:val="right"/>
              <w:rPr>
                <w:bCs/>
                <w:sz w:val="18"/>
                <w:szCs w:val="18"/>
                <w:lang w:eastAsia="zh-CN"/>
              </w:rPr>
            </w:pPr>
            <w:r w:rsidRPr="00151CF2">
              <w:rPr>
                <w:bCs/>
                <w:sz w:val="18"/>
                <w:szCs w:val="18"/>
                <w:lang w:eastAsia="zh-CN"/>
              </w:rPr>
              <w:t>1,</w:t>
            </w:r>
            <w:r>
              <w:rPr>
                <w:bCs/>
                <w:sz w:val="18"/>
                <w:szCs w:val="18"/>
                <w:lang w:eastAsia="zh-CN"/>
              </w:rPr>
              <w:t>735.00</w:t>
            </w:r>
          </w:p>
        </w:tc>
        <w:tc>
          <w:tcPr>
            <w:tcW w:w="1486" w:type="dxa"/>
          </w:tcPr>
          <w:p w14:paraId="630660D1" w14:textId="77777777" w:rsidR="00BE78FD" w:rsidRPr="00B6615F" w:rsidRDefault="00BE78FD" w:rsidP="00BE394B">
            <w:pPr>
              <w:keepNext/>
              <w:keepLines/>
              <w:jc w:val="center"/>
              <w:rPr>
                <w:bCs/>
                <w:sz w:val="18"/>
                <w:szCs w:val="18"/>
                <w:lang w:eastAsia="zh-CN"/>
              </w:rPr>
            </w:pPr>
            <w:r w:rsidRPr="00B6615F">
              <w:rPr>
                <w:bCs/>
                <w:sz w:val="18"/>
                <w:szCs w:val="18"/>
                <w:lang w:eastAsia="zh-CN"/>
              </w:rPr>
              <w:t>N/A</w:t>
            </w:r>
          </w:p>
        </w:tc>
      </w:tr>
      <w:tr w:rsidR="00BE78FD" w14:paraId="14EF2BDD" w14:textId="77777777" w:rsidTr="008267E8">
        <w:trPr>
          <w:jc w:val="center"/>
        </w:trPr>
        <w:tc>
          <w:tcPr>
            <w:tcW w:w="3410" w:type="dxa"/>
            <w:vAlign w:val="bottom"/>
          </w:tcPr>
          <w:p w14:paraId="21F13C68" w14:textId="77777777" w:rsidR="00BE78FD" w:rsidRPr="00BE4A7D" w:rsidRDefault="00BE78FD" w:rsidP="00BE394B">
            <w:pPr>
              <w:keepNext/>
              <w:keepLines/>
              <w:rPr>
                <w:sz w:val="18"/>
                <w:szCs w:val="18"/>
              </w:rPr>
            </w:pPr>
            <w:r w:rsidRPr="00BE4A7D">
              <w:rPr>
                <w:color w:val="000000"/>
                <w:sz w:val="18"/>
                <w:szCs w:val="18"/>
              </w:rPr>
              <w:t>Total</w:t>
            </w:r>
          </w:p>
        </w:tc>
        <w:tc>
          <w:tcPr>
            <w:tcW w:w="1484" w:type="dxa"/>
          </w:tcPr>
          <w:p w14:paraId="3EA71E40" w14:textId="77777777" w:rsidR="00BE78FD" w:rsidRPr="00B6615F" w:rsidRDefault="00BE78FD" w:rsidP="00BE394B">
            <w:pPr>
              <w:keepNext/>
              <w:keepLines/>
              <w:jc w:val="right"/>
              <w:rPr>
                <w:bCs/>
                <w:sz w:val="18"/>
                <w:szCs w:val="18"/>
                <w:lang w:eastAsia="zh-CN"/>
              </w:rPr>
            </w:pPr>
            <w:r>
              <w:rPr>
                <w:bCs/>
                <w:sz w:val="18"/>
                <w:szCs w:val="18"/>
                <w:lang w:eastAsia="zh-CN"/>
              </w:rPr>
              <w:t>61</w:t>
            </w:r>
            <w:r w:rsidRPr="00FC332B">
              <w:rPr>
                <w:bCs/>
                <w:sz w:val="18"/>
                <w:szCs w:val="18"/>
                <w:lang w:eastAsia="zh-CN"/>
              </w:rPr>
              <w:t>,</w:t>
            </w:r>
            <w:r>
              <w:rPr>
                <w:bCs/>
                <w:sz w:val="18"/>
                <w:szCs w:val="18"/>
                <w:lang w:eastAsia="zh-CN"/>
              </w:rPr>
              <w:t>112</w:t>
            </w:r>
            <w:r w:rsidRPr="00FC332B">
              <w:rPr>
                <w:bCs/>
                <w:sz w:val="18"/>
                <w:szCs w:val="18"/>
                <w:lang w:eastAsia="zh-CN"/>
              </w:rPr>
              <w:t>.</w:t>
            </w:r>
            <w:r>
              <w:rPr>
                <w:bCs/>
                <w:sz w:val="18"/>
                <w:szCs w:val="18"/>
                <w:lang w:eastAsia="zh-CN"/>
              </w:rPr>
              <w:t>12</w:t>
            </w:r>
          </w:p>
        </w:tc>
        <w:tc>
          <w:tcPr>
            <w:tcW w:w="1486" w:type="dxa"/>
          </w:tcPr>
          <w:p w14:paraId="2C404721" w14:textId="77777777" w:rsidR="00BE78FD" w:rsidRPr="00B6615F" w:rsidRDefault="00BE78FD" w:rsidP="00BE394B">
            <w:pPr>
              <w:keepNext/>
              <w:keepLines/>
              <w:jc w:val="right"/>
              <w:rPr>
                <w:bCs/>
                <w:sz w:val="18"/>
                <w:szCs w:val="18"/>
                <w:lang w:eastAsia="zh-CN"/>
              </w:rPr>
            </w:pPr>
            <w:r>
              <w:rPr>
                <w:bCs/>
                <w:sz w:val="18"/>
                <w:szCs w:val="18"/>
                <w:lang w:eastAsia="zh-CN"/>
              </w:rPr>
              <w:t>3,878</w:t>
            </w:r>
            <w:r w:rsidRPr="00FC332B">
              <w:rPr>
                <w:bCs/>
                <w:sz w:val="18"/>
                <w:szCs w:val="18"/>
                <w:lang w:eastAsia="zh-CN"/>
              </w:rPr>
              <w:t>.</w:t>
            </w:r>
            <w:r>
              <w:rPr>
                <w:bCs/>
                <w:sz w:val="18"/>
                <w:szCs w:val="18"/>
                <w:lang w:eastAsia="zh-CN"/>
              </w:rPr>
              <w:t>29</w:t>
            </w:r>
          </w:p>
        </w:tc>
        <w:tc>
          <w:tcPr>
            <w:tcW w:w="1484" w:type="dxa"/>
          </w:tcPr>
          <w:p w14:paraId="38F59A93" w14:textId="77777777" w:rsidR="00BE78FD" w:rsidRPr="00B6615F" w:rsidRDefault="00BE78FD" w:rsidP="00BE394B">
            <w:pPr>
              <w:keepNext/>
              <w:keepLines/>
              <w:jc w:val="right"/>
              <w:rPr>
                <w:bCs/>
                <w:sz w:val="18"/>
                <w:szCs w:val="18"/>
                <w:lang w:eastAsia="zh-CN"/>
              </w:rPr>
            </w:pPr>
            <w:r>
              <w:rPr>
                <w:bCs/>
                <w:sz w:val="18"/>
                <w:szCs w:val="18"/>
                <w:lang w:eastAsia="zh-CN"/>
              </w:rPr>
              <w:t>54</w:t>
            </w:r>
            <w:r w:rsidRPr="00FC332B">
              <w:rPr>
                <w:bCs/>
                <w:sz w:val="18"/>
                <w:szCs w:val="18"/>
                <w:lang w:eastAsia="zh-CN"/>
              </w:rPr>
              <w:t>,</w:t>
            </w:r>
            <w:r>
              <w:rPr>
                <w:bCs/>
                <w:sz w:val="18"/>
                <w:szCs w:val="18"/>
                <w:lang w:eastAsia="zh-CN"/>
              </w:rPr>
              <w:t>435</w:t>
            </w:r>
            <w:r w:rsidRPr="00FC332B">
              <w:rPr>
                <w:bCs/>
                <w:sz w:val="18"/>
                <w:szCs w:val="18"/>
                <w:lang w:eastAsia="zh-CN"/>
              </w:rPr>
              <w:t>.</w:t>
            </w:r>
            <w:r>
              <w:rPr>
                <w:bCs/>
                <w:sz w:val="18"/>
                <w:szCs w:val="18"/>
                <w:lang w:eastAsia="zh-CN"/>
              </w:rPr>
              <w:t>72</w:t>
            </w:r>
          </w:p>
        </w:tc>
        <w:tc>
          <w:tcPr>
            <w:tcW w:w="1486" w:type="dxa"/>
          </w:tcPr>
          <w:p w14:paraId="4137CE39" w14:textId="77777777" w:rsidR="00BE78FD" w:rsidRPr="00B6615F" w:rsidRDefault="00BE78FD" w:rsidP="00BE394B">
            <w:pPr>
              <w:keepNext/>
              <w:keepLines/>
              <w:jc w:val="right"/>
              <w:rPr>
                <w:bCs/>
                <w:sz w:val="18"/>
                <w:szCs w:val="18"/>
                <w:lang w:eastAsia="zh-CN"/>
              </w:rPr>
            </w:pPr>
            <w:r>
              <w:rPr>
                <w:bCs/>
                <w:sz w:val="18"/>
                <w:szCs w:val="18"/>
                <w:lang w:eastAsia="zh-CN"/>
              </w:rPr>
              <w:t>2</w:t>
            </w:r>
            <w:r w:rsidRPr="00FC332B">
              <w:rPr>
                <w:bCs/>
                <w:sz w:val="18"/>
                <w:szCs w:val="18"/>
                <w:lang w:eastAsia="zh-CN"/>
              </w:rPr>
              <w:t>,</w:t>
            </w:r>
            <w:r>
              <w:rPr>
                <w:bCs/>
                <w:sz w:val="18"/>
                <w:szCs w:val="18"/>
                <w:lang w:eastAsia="zh-CN"/>
              </w:rPr>
              <w:t>386</w:t>
            </w:r>
            <w:r w:rsidRPr="00FC332B">
              <w:rPr>
                <w:bCs/>
                <w:sz w:val="18"/>
                <w:szCs w:val="18"/>
                <w:lang w:eastAsia="zh-CN"/>
              </w:rPr>
              <w:t>.</w:t>
            </w:r>
            <w:r>
              <w:rPr>
                <w:bCs/>
                <w:sz w:val="18"/>
                <w:szCs w:val="18"/>
                <w:lang w:eastAsia="zh-CN"/>
              </w:rPr>
              <w:t>0</w:t>
            </w:r>
            <w:r w:rsidRPr="00FC332B">
              <w:rPr>
                <w:bCs/>
                <w:sz w:val="18"/>
                <w:szCs w:val="18"/>
                <w:lang w:eastAsia="zh-CN"/>
              </w:rPr>
              <w:t>1</w:t>
            </w:r>
          </w:p>
        </w:tc>
      </w:tr>
      <w:bookmarkEnd w:id="5"/>
    </w:tbl>
    <w:p w14:paraId="367277E1" w14:textId="77777777" w:rsidR="00BE78FD" w:rsidRPr="00CA223D" w:rsidRDefault="00BE78FD" w:rsidP="00BE78FD">
      <w:pPr>
        <w:jc w:val="center"/>
        <w:rPr>
          <w:iCs/>
        </w:rPr>
      </w:pPr>
    </w:p>
    <w:p w14:paraId="606DCE39" w14:textId="77777777" w:rsidR="00BE78FD" w:rsidRPr="00467C00" w:rsidRDefault="00BE78FD" w:rsidP="00BE78FD">
      <w:pPr>
        <w:rPr>
          <w:b/>
          <w:caps/>
        </w:rPr>
      </w:pPr>
    </w:p>
    <w:p w14:paraId="6F8D5897" w14:textId="77777777" w:rsidR="00BE78FD" w:rsidRPr="00E60BB1" w:rsidRDefault="00BE78FD" w:rsidP="00BE78FD">
      <w:pPr>
        <w:pStyle w:val="Heading1"/>
        <w:keepNext/>
        <w:numPr>
          <w:ilvl w:val="0"/>
          <w:numId w:val="21"/>
        </w:numPr>
        <w:spacing w:before="240" w:after="0"/>
        <w:jc w:val="left"/>
        <w:rPr>
          <w:rFonts w:eastAsia="SimSun"/>
          <w:b/>
          <w:bCs/>
          <w:sz w:val="28"/>
          <w:szCs w:val="24"/>
          <w:lang w:val="en-US"/>
        </w:rPr>
      </w:pPr>
      <w:bookmarkStart w:id="6" w:name="_Toc395519918"/>
      <w:r w:rsidRPr="00E60BB1">
        <w:rPr>
          <w:rFonts w:eastAsia="SimSun"/>
          <w:b/>
          <w:bCs/>
          <w:sz w:val="28"/>
          <w:szCs w:val="24"/>
          <w:lang w:val="en-US"/>
        </w:rPr>
        <w:t>PLANNED BUSINESS ACTIVITIES</w:t>
      </w:r>
      <w:bookmarkEnd w:id="6"/>
    </w:p>
    <w:p w14:paraId="1C8C8AAD" w14:textId="77777777" w:rsidR="00BE78FD" w:rsidRPr="00467C00" w:rsidRDefault="00BE78FD" w:rsidP="00BE78FD">
      <w:pPr>
        <w:rPr>
          <w:b/>
        </w:rPr>
      </w:pPr>
    </w:p>
    <w:p w14:paraId="56B0BF07" w14:textId="77777777" w:rsidR="00BE78FD" w:rsidRPr="00E60BB1" w:rsidRDefault="00BE78FD" w:rsidP="00BE78FD">
      <w:pPr>
        <w:pStyle w:val="Heading2"/>
        <w:keepNext/>
        <w:keepLines/>
        <w:widowControl/>
        <w:numPr>
          <w:ilvl w:val="1"/>
          <w:numId w:val="21"/>
        </w:numPr>
        <w:spacing w:before="200" w:after="0"/>
        <w:ind w:left="0"/>
        <w:jc w:val="left"/>
        <w:rPr>
          <w:rFonts w:eastAsiaTheme="majorEastAsia" w:cstheme="majorBidi"/>
          <w:b/>
          <w:sz w:val="24"/>
          <w:szCs w:val="24"/>
          <w:lang w:val="en-US"/>
        </w:rPr>
      </w:pPr>
      <w:bookmarkStart w:id="7" w:name="_Toc395519919"/>
      <w:r w:rsidRPr="00E60BB1">
        <w:rPr>
          <w:rFonts w:eastAsiaTheme="majorEastAsia" w:cstheme="majorBidi"/>
          <w:b/>
          <w:sz w:val="24"/>
          <w:szCs w:val="24"/>
          <w:lang w:val="en-US"/>
        </w:rPr>
        <w:t>Ongoing Approved Activities</w:t>
      </w:r>
      <w:bookmarkEnd w:id="7"/>
    </w:p>
    <w:p w14:paraId="559D4183" w14:textId="77777777" w:rsidR="00BE78FD" w:rsidRPr="00CA223D" w:rsidRDefault="00BE78FD" w:rsidP="00BE78FD"/>
    <w:p w14:paraId="0CE733DB" w14:textId="77777777" w:rsidR="00BE78FD" w:rsidRPr="00716F22" w:rsidRDefault="00BE78FD" w:rsidP="00BE78FD">
      <w:pPr>
        <w:pStyle w:val="ListParagraph"/>
        <w:numPr>
          <w:ilvl w:val="0"/>
          <w:numId w:val="22"/>
        </w:numPr>
        <w:spacing w:after="120" w:line="276" w:lineRule="auto"/>
        <w:ind w:left="0" w:firstLine="0"/>
        <w:rPr>
          <w:sz w:val="22"/>
          <w:szCs w:val="22"/>
        </w:rPr>
      </w:pPr>
      <w:r w:rsidRPr="007F7E8E">
        <w:rPr>
          <w:sz w:val="22"/>
          <w:szCs w:val="22"/>
        </w:rPr>
        <w:t xml:space="preserve">Investment projects for which funding is requested in the </w:t>
      </w:r>
      <w:r>
        <w:rPr>
          <w:sz w:val="22"/>
          <w:szCs w:val="22"/>
        </w:rPr>
        <w:t>2019-2021</w:t>
      </w:r>
      <w:r w:rsidRPr="007F7E8E">
        <w:rPr>
          <w:sz w:val="22"/>
          <w:szCs w:val="22"/>
        </w:rPr>
        <w:t xml:space="preserve"> BP: As of </w:t>
      </w:r>
      <w:r>
        <w:rPr>
          <w:sz w:val="22"/>
          <w:szCs w:val="22"/>
        </w:rPr>
        <w:t xml:space="preserve">October </w:t>
      </w:r>
      <w:r w:rsidRPr="007F7E8E">
        <w:rPr>
          <w:sz w:val="22"/>
          <w:szCs w:val="22"/>
        </w:rPr>
        <w:t>201</w:t>
      </w:r>
      <w:r>
        <w:rPr>
          <w:sz w:val="22"/>
          <w:szCs w:val="22"/>
        </w:rPr>
        <w:t>8</w:t>
      </w:r>
      <w:r w:rsidRPr="007F7E8E">
        <w:rPr>
          <w:sz w:val="22"/>
          <w:szCs w:val="22"/>
        </w:rPr>
        <w:t>, the World Bank’s Montreal Protocol portfolio consists of</w:t>
      </w:r>
      <w:r>
        <w:rPr>
          <w:sz w:val="22"/>
          <w:szCs w:val="22"/>
        </w:rPr>
        <w:t xml:space="preserve"> six </w:t>
      </w:r>
      <w:r w:rsidRPr="007F7E8E">
        <w:rPr>
          <w:sz w:val="22"/>
          <w:szCs w:val="22"/>
        </w:rPr>
        <w:t xml:space="preserve">ongoing multi-year projects for which funding will be solicited in </w:t>
      </w:r>
      <w:r>
        <w:rPr>
          <w:sz w:val="22"/>
          <w:szCs w:val="22"/>
        </w:rPr>
        <w:t>2019-2021</w:t>
      </w:r>
      <w:r w:rsidRPr="00B03EB6">
        <w:rPr>
          <w:sz w:val="22"/>
          <w:szCs w:val="22"/>
        </w:rPr>
        <w:t>: HCFC phase</w:t>
      </w:r>
      <w:r>
        <w:rPr>
          <w:sz w:val="22"/>
          <w:szCs w:val="22"/>
        </w:rPr>
        <w:t>-</w:t>
      </w:r>
      <w:r w:rsidRPr="00B03EB6">
        <w:rPr>
          <w:sz w:val="22"/>
          <w:szCs w:val="22"/>
        </w:rPr>
        <w:t xml:space="preserve">out management and sector plans in </w:t>
      </w:r>
      <w:r>
        <w:rPr>
          <w:sz w:val="22"/>
          <w:szCs w:val="22"/>
        </w:rPr>
        <w:t xml:space="preserve">China, Indonesia, Jordan, Philippines, </w:t>
      </w:r>
      <w:r w:rsidRPr="00B03EB6">
        <w:rPr>
          <w:sz w:val="22"/>
          <w:szCs w:val="22"/>
        </w:rPr>
        <w:t>Thailand</w:t>
      </w:r>
      <w:r>
        <w:rPr>
          <w:rStyle w:val="FootnoteReference"/>
          <w:sz w:val="22"/>
          <w:szCs w:val="22"/>
        </w:rPr>
        <w:footnoteReference w:id="7"/>
      </w:r>
      <w:r>
        <w:rPr>
          <w:sz w:val="22"/>
          <w:szCs w:val="22"/>
        </w:rPr>
        <w:t>, and Vietnam</w:t>
      </w:r>
      <w:r w:rsidRPr="00B03EB6">
        <w:rPr>
          <w:sz w:val="22"/>
          <w:szCs w:val="22"/>
        </w:rPr>
        <w:t xml:space="preserve">. </w:t>
      </w:r>
    </w:p>
    <w:p w14:paraId="1CBD164D" w14:textId="77777777" w:rsidR="00BE78FD" w:rsidRPr="004E424E" w:rsidRDefault="00BE78FD" w:rsidP="00BE78FD">
      <w:pPr>
        <w:pStyle w:val="ListParagraph"/>
        <w:numPr>
          <w:ilvl w:val="0"/>
          <w:numId w:val="22"/>
        </w:numPr>
        <w:spacing w:after="120" w:line="276" w:lineRule="auto"/>
        <w:ind w:left="0" w:firstLine="0"/>
        <w:rPr>
          <w:sz w:val="22"/>
          <w:szCs w:val="22"/>
        </w:rPr>
      </w:pPr>
      <w:r w:rsidRPr="00DC26BC">
        <w:rPr>
          <w:sz w:val="22"/>
          <w:szCs w:val="22"/>
        </w:rPr>
        <w:t xml:space="preserve">Non-investment projects and activities: As of </w:t>
      </w:r>
      <w:r>
        <w:rPr>
          <w:sz w:val="22"/>
          <w:szCs w:val="22"/>
        </w:rPr>
        <w:t>October 2018</w:t>
      </w:r>
      <w:r w:rsidRPr="00DC26BC">
        <w:rPr>
          <w:sz w:val="22"/>
          <w:szCs w:val="22"/>
        </w:rPr>
        <w:t>, the World Bank’s portfolio includes 2 ongoing institutional strengthening projects</w:t>
      </w:r>
      <w:r>
        <w:rPr>
          <w:sz w:val="22"/>
          <w:szCs w:val="22"/>
        </w:rPr>
        <w:t xml:space="preserve"> (Thailand and Jordan) that will be completed by the end of 2018 with the expected requests for renewal in 2020. </w:t>
      </w:r>
    </w:p>
    <w:p w14:paraId="1D0D553A" w14:textId="77777777" w:rsidR="00BE78FD" w:rsidRDefault="00BE78FD" w:rsidP="00BE78FD"/>
    <w:p w14:paraId="238B4FF7" w14:textId="77777777" w:rsidR="00BE78FD" w:rsidRPr="00E60BB1" w:rsidRDefault="00BE78FD" w:rsidP="00BE78FD">
      <w:pPr>
        <w:pStyle w:val="Heading2"/>
        <w:keepNext/>
        <w:keepLines/>
        <w:widowControl/>
        <w:numPr>
          <w:ilvl w:val="1"/>
          <w:numId w:val="21"/>
        </w:numPr>
        <w:spacing w:before="200" w:after="0"/>
        <w:ind w:left="0"/>
        <w:jc w:val="left"/>
        <w:rPr>
          <w:rFonts w:eastAsiaTheme="majorEastAsia" w:cstheme="majorBidi"/>
          <w:b/>
          <w:sz w:val="24"/>
          <w:szCs w:val="24"/>
          <w:lang w:val="en-US"/>
        </w:rPr>
      </w:pPr>
      <w:bookmarkStart w:id="8" w:name="_Toc395519920"/>
      <w:r w:rsidRPr="00E60BB1">
        <w:rPr>
          <w:rFonts w:eastAsiaTheme="majorEastAsia" w:cstheme="majorBidi"/>
          <w:b/>
          <w:sz w:val="24"/>
          <w:szCs w:val="24"/>
          <w:lang w:val="en-US"/>
        </w:rPr>
        <w:t>Program Expansion in 2019 and Beyond</w:t>
      </w:r>
      <w:bookmarkEnd w:id="8"/>
    </w:p>
    <w:p w14:paraId="32876B8E" w14:textId="77777777" w:rsidR="00BE78FD" w:rsidRPr="00CA223D" w:rsidRDefault="00BE78FD" w:rsidP="00BE78FD">
      <w:pPr>
        <w:pStyle w:val="ListParagraph"/>
        <w:ind w:left="1080"/>
        <w:jc w:val="both"/>
        <w:rPr>
          <w:b/>
          <w:sz w:val="22"/>
          <w:szCs w:val="22"/>
        </w:rPr>
      </w:pPr>
    </w:p>
    <w:p w14:paraId="1036029A" w14:textId="77777777" w:rsidR="00BE78FD" w:rsidRDefault="00BE78FD" w:rsidP="00BE78FD">
      <w:pPr>
        <w:pStyle w:val="ListParagraph"/>
        <w:numPr>
          <w:ilvl w:val="0"/>
          <w:numId w:val="22"/>
        </w:numPr>
        <w:spacing w:after="120" w:line="276" w:lineRule="auto"/>
        <w:ind w:left="0" w:firstLine="0"/>
        <w:rPr>
          <w:sz w:val="22"/>
          <w:szCs w:val="22"/>
        </w:rPr>
      </w:pPr>
      <w:r>
        <w:rPr>
          <w:sz w:val="22"/>
          <w:szCs w:val="22"/>
        </w:rPr>
        <w:t xml:space="preserve">A list of detailed new and approved activities to be implemented during 2019-2021, their associated levels of funding, projected ODP impact </w:t>
      </w:r>
      <w:r>
        <w:rPr>
          <w:rFonts w:hint="eastAsia"/>
          <w:sz w:val="22"/>
          <w:szCs w:val="22"/>
          <w:lang w:eastAsia="zh-CN"/>
        </w:rPr>
        <w:t xml:space="preserve">and country specific remarks </w:t>
      </w:r>
      <w:r>
        <w:rPr>
          <w:sz w:val="22"/>
          <w:szCs w:val="22"/>
        </w:rPr>
        <w:t>is submitted as a separate table.</w:t>
      </w:r>
    </w:p>
    <w:p w14:paraId="030E8386" w14:textId="77777777" w:rsidR="00BE78FD" w:rsidRDefault="00BE78FD" w:rsidP="00BE78FD">
      <w:pPr>
        <w:ind w:firstLine="360"/>
        <w:rPr>
          <w:u w:val="single"/>
        </w:rPr>
      </w:pPr>
    </w:p>
    <w:p w14:paraId="5ED85A49" w14:textId="77777777" w:rsidR="00BE78FD" w:rsidRPr="0094540B" w:rsidRDefault="00BE78FD" w:rsidP="00BE78FD">
      <w:pPr>
        <w:ind w:firstLine="360"/>
        <w:rPr>
          <w:color w:val="FF0000"/>
          <w:u w:val="single"/>
          <w:lang w:eastAsia="zh-CN"/>
        </w:rPr>
      </w:pPr>
      <w:r w:rsidRPr="00A42D01">
        <w:rPr>
          <w:u w:val="single"/>
        </w:rPr>
        <w:t>New submissions</w:t>
      </w:r>
    </w:p>
    <w:p w14:paraId="2D0C7B9D" w14:textId="77777777" w:rsidR="00BE78FD" w:rsidRPr="00CA223D" w:rsidRDefault="00BE78FD" w:rsidP="00BE78FD"/>
    <w:p w14:paraId="52EEFF64" w14:textId="77777777" w:rsidR="00BE78FD" w:rsidRDefault="00BE78FD" w:rsidP="00BE78FD">
      <w:pPr>
        <w:pStyle w:val="ListParagraph"/>
        <w:numPr>
          <w:ilvl w:val="0"/>
          <w:numId w:val="22"/>
        </w:numPr>
        <w:spacing w:after="120" w:line="276" w:lineRule="auto"/>
        <w:ind w:left="0" w:firstLine="0"/>
        <w:rPr>
          <w:sz w:val="22"/>
          <w:szCs w:val="22"/>
          <w:lang w:eastAsia="zh-CN"/>
        </w:rPr>
      </w:pPr>
      <w:r>
        <w:rPr>
          <w:sz w:val="22"/>
          <w:szCs w:val="22"/>
        </w:rPr>
        <w:t>The revised China Production Sector Stage II was submitted to the 81</w:t>
      </w:r>
      <w:r w:rsidRPr="0062682E">
        <w:rPr>
          <w:sz w:val="22"/>
          <w:szCs w:val="22"/>
          <w:vertAlign w:val="superscript"/>
        </w:rPr>
        <w:t>st</w:t>
      </w:r>
      <w:r>
        <w:rPr>
          <w:sz w:val="22"/>
          <w:szCs w:val="22"/>
        </w:rPr>
        <w:t xml:space="preserve"> ExCom in July 2018. While there are still outstanding issues that need further discussions, the ExCom approved, on an exceptional basis, $23 million ‘bridging fund’ to enable China to move toward compliance with its 2020 obligations under the Montreal Protocol. A</w:t>
      </w:r>
      <w:r>
        <w:rPr>
          <w:rFonts w:hint="eastAsia"/>
          <w:sz w:val="22"/>
          <w:szCs w:val="22"/>
          <w:lang w:eastAsia="zh-CN"/>
        </w:rPr>
        <w:t xml:space="preserve">ll the </w:t>
      </w:r>
      <w:r>
        <w:rPr>
          <w:sz w:val="22"/>
          <w:szCs w:val="22"/>
          <w:lang w:eastAsia="zh-CN"/>
        </w:rPr>
        <w:t>figure</w:t>
      </w:r>
      <w:r>
        <w:rPr>
          <w:rFonts w:hint="eastAsia"/>
          <w:sz w:val="22"/>
          <w:szCs w:val="22"/>
          <w:lang w:eastAsia="zh-CN"/>
        </w:rPr>
        <w:t xml:space="preserve">s </w:t>
      </w:r>
      <w:r>
        <w:rPr>
          <w:sz w:val="22"/>
          <w:szCs w:val="22"/>
          <w:lang w:eastAsia="zh-CN"/>
        </w:rPr>
        <w:t>include</w:t>
      </w:r>
      <w:r>
        <w:rPr>
          <w:rFonts w:hint="eastAsia"/>
          <w:sz w:val="22"/>
          <w:szCs w:val="22"/>
          <w:lang w:eastAsia="zh-CN"/>
        </w:rPr>
        <w:t xml:space="preserve">d in the </w:t>
      </w:r>
      <w:r>
        <w:rPr>
          <w:sz w:val="22"/>
          <w:szCs w:val="22"/>
          <w:lang w:eastAsia="zh-CN"/>
        </w:rPr>
        <w:t>business</w:t>
      </w:r>
      <w:r>
        <w:rPr>
          <w:rFonts w:hint="eastAsia"/>
          <w:sz w:val="22"/>
          <w:szCs w:val="22"/>
          <w:lang w:eastAsia="zh-CN"/>
        </w:rPr>
        <w:t xml:space="preserve"> plan are </w:t>
      </w:r>
      <w:r>
        <w:rPr>
          <w:sz w:val="22"/>
          <w:szCs w:val="22"/>
          <w:lang w:eastAsia="zh-CN"/>
        </w:rPr>
        <w:t>based on the proposed plan as submitted</w:t>
      </w:r>
      <w:r>
        <w:rPr>
          <w:rFonts w:hint="eastAsia"/>
          <w:sz w:val="22"/>
          <w:szCs w:val="22"/>
          <w:lang w:eastAsia="zh-CN"/>
        </w:rPr>
        <w:t xml:space="preserve"> with the extension to 2026 </w:t>
      </w:r>
      <w:r>
        <w:rPr>
          <w:sz w:val="22"/>
          <w:szCs w:val="22"/>
          <w:lang w:eastAsia="zh-CN"/>
        </w:rPr>
        <w:t xml:space="preserve">with </w:t>
      </w:r>
      <w:r>
        <w:rPr>
          <w:rFonts w:hint="eastAsia"/>
          <w:sz w:val="22"/>
          <w:szCs w:val="22"/>
          <w:lang w:eastAsia="zh-CN"/>
        </w:rPr>
        <w:t xml:space="preserve">commitment to </w:t>
      </w:r>
      <w:r>
        <w:rPr>
          <w:sz w:val="22"/>
          <w:szCs w:val="22"/>
          <w:lang w:eastAsia="zh-CN"/>
        </w:rPr>
        <w:t xml:space="preserve">phase-out of </w:t>
      </w:r>
      <w:r>
        <w:rPr>
          <w:rFonts w:hint="eastAsia"/>
          <w:sz w:val="22"/>
          <w:szCs w:val="22"/>
          <w:lang w:eastAsia="zh-CN"/>
        </w:rPr>
        <w:t>HCFC-141b</w:t>
      </w:r>
      <w:r>
        <w:rPr>
          <w:sz w:val="22"/>
          <w:szCs w:val="22"/>
          <w:lang w:eastAsia="zh-CN"/>
        </w:rPr>
        <w:t xml:space="preserve"> production</w:t>
      </w:r>
      <w:r>
        <w:rPr>
          <w:rFonts w:hint="eastAsia"/>
          <w:sz w:val="22"/>
          <w:szCs w:val="22"/>
          <w:lang w:eastAsia="zh-CN"/>
        </w:rPr>
        <w:t>.</w:t>
      </w:r>
    </w:p>
    <w:p w14:paraId="35C87280" w14:textId="77777777" w:rsidR="00BE78FD" w:rsidRPr="00F312C7" w:rsidRDefault="00BE78FD" w:rsidP="00BE78FD">
      <w:pPr>
        <w:pStyle w:val="ListParagraph"/>
        <w:numPr>
          <w:ilvl w:val="0"/>
          <w:numId w:val="22"/>
        </w:numPr>
        <w:spacing w:after="120" w:line="276" w:lineRule="auto"/>
        <w:ind w:left="0" w:firstLine="0"/>
        <w:rPr>
          <w:sz w:val="22"/>
          <w:szCs w:val="22"/>
          <w:lang w:eastAsia="zh-CN"/>
        </w:rPr>
      </w:pPr>
      <w:r>
        <w:rPr>
          <w:sz w:val="22"/>
          <w:szCs w:val="22"/>
        </w:rPr>
        <w:t>P</w:t>
      </w:r>
      <w:r w:rsidRPr="00F312C7">
        <w:rPr>
          <w:sz w:val="22"/>
          <w:szCs w:val="22"/>
        </w:rPr>
        <w:t>ursuant to discussion</w:t>
      </w:r>
      <w:r>
        <w:rPr>
          <w:sz w:val="22"/>
          <w:szCs w:val="22"/>
        </w:rPr>
        <w:t>s</w:t>
      </w:r>
      <w:r w:rsidRPr="00F312C7">
        <w:rPr>
          <w:sz w:val="22"/>
          <w:szCs w:val="22"/>
        </w:rPr>
        <w:t xml:space="preserve"> of these outstanding issues at the 82</w:t>
      </w:r>
      <w:r w:rsidRPr="00F312C7">
        <w:rPr>
          <w:sz w:val="22"/>
          <w:szCs w:val="22"/>
          <w:vertAlign w:val="superscript"/>
        </w:rPr>
        <w:t>nd</w:t>
      </w:r>
      <w:r w:rsidRPr="00F312C7">
        <w:rPr>
          <w:sz w:val="22"/>
          <w:szCs w:val="22"/>
        </w:rPr>
        <w:t xml:space="preserve"> ExCom</w:t>
      </w:r>
      <w:r>
        <w:rPr>
          <w:sz w:val="22"/>
          <w:szCs w:val="22"/>
        </w:rPr>
        <w:t>, t</w:t>
      </w:r>
      <w:r w:rsidRPr="00F312C7">
        <w:rPr>
          <w:sz w:val="22"/>
          <w:szCs w:val="22"/>
        </w:rPr>
        <w:t xml:space="preserve">he Bank will </w:t>
      </w:r>
      <w:r>
        <w:rPr>
          <w:sz w:val="22"/>
          <w:szCs w:val="22"/>
        </w:rPr>
        <w:t xml:space="preserve">submit the </w:t>
      </w:r>
      <w:r w:rsidRPr="00F312C7">
        <w:rPr>
          <w:sz w:val="22"/>
          <w:szCs w:val="22"/>
        </w:rPr>
        <w:t>revise</w:t>
      </w:r>
      <w:r>
        <w:rPr>
          <w:sz w:val="22"/>
          <w:szCs w:val="22"/>
        </w:rPr>
        <w:t>d</w:t>
      </w:r>
      <w:r w:rsidRPr="00F312C7">
        <w:rPr>
          <w:sz w:val="22"/>
          <w:szCs w:val="22"/>
        </w:rPr>
        <w:t xml:space="preserve"> proposal to the 83</w:t>
      </w:r>
      <w:r w:rsidRPr="00F312C7">
        <w:rPr>
          <w:sz w:val="22"/>
          <w:szCs w:val="22"/>
          <w:vertAlign w:val="superscript"/>
        </w:rPr>
        <w:t>rd</w:t>
      </w:r>
      <w:r w:rsidRPr="00F312C7">
        <w:rPr>
          <w:sz w:val="22"/>
          <w:szCs w:val="22"/>
        </w:rPr>
        <w:t xml:space="preserve"> ExCom. These issues include the calculation of lost profit, the distribution of funding across tranches, the duration of stage II and subsequent stages, including the 2030–2040 tail-end, and the funding requirements for technical assistance activities and the project management unit.</w:t>
      </w:r>
    </w:p>
    <w:p w14:paraId="65DD63CD" w14:textId="77777777" w:rsidR="00BE78FD" w:rsidRPr="00F312C7" w:rsidRDefault="00BE78FD" w:rsidP="00BE78FD">
      <w:pPr>
        <w:pStyle w:val="ListParagraph"/>
        <w:numPr>
          <w:ilvl w:val="0"/>
          <w:numId w:val="22"/>
        </w:numPr>
        <w:spacing w:after="120" w:line="276" w:lineRule="auto"/>
        <w:ind w:left="0" w:firstLine="0"/>
        <w:jc w:val="both"/>
        <w:rPr>
          <w:sz w:val="22"/>
          <w:szCs w:val="22"/>
        </w:rPr>
      </w:pPr>
      <w:r w:rsidRPr="00F312C7">
        <w:rPr>
          <w:sz w:val="22"/>
          <w:szCs w:val="22"/>
        </w:rPr>
        <w:t>S</w:t>
      </w:r>
      <w:r w:rsidRPr="00F312C7">
        <w:rPr>
          <w:sz w:val="22"/>
          <w:szCs w:val="22"/>
          <w:lang w:eastAsia="zh-CN"/>
        </w:rPr>
        <w:t xml:space="preserve">tage II will involve additional closure and require careful planning to ensure that phase-out by chemical matches the situation in the consumption sectors for both domestic and global markets. If </w:t>
      </w:r>
      <w:r w:rsidRPr="00F312C7">
        <w:rPr>
          <w:rFonts w:hint="eastAsia"/>
          <w:sz w:val="22"/>
          <w:szCs w:val="22"/>
          <w:lang w:eastAsia="zh-CN"/>
        </w:rPr>
        <w:t>C</w:t>
      </w:r>
      <w:r w:rsidRPr="00F312C7">
        <w:rPr>
          <w:sz w:val="22"/>
          <w:szCs w:val="22"/>
          <w:lang w:eastAsia="zh-CN"/>
        </w:rPr>
        <w:t>h</w:t>
      </w:r>
      <w:r w:rsidRPr="00F312C7">
        <w:rPr>
          <w:rFonts w:hint="eastAsia"/>
          <w:sz w:val="22"/>
          <w:szCs w:val="22"/>
          <w:lang w:eastAsia="zh-CN"/>
        </w:rPr>
        <w:t xml:space="preserve">ina </w:t>
      </w:r>
      <w:r w:rsidRPr="00F312C7">
        <w:rPr>
          <w:sz w:val="22"/>
          <w:szCs w:val="22"/>
          <w:lang w:eastAsia="zh-CN"/>
        </w:rPr>
        <w:lastRenderedPageBreak/>
        <w:t xml:space="preserve">Gradual </w:t>
      </w:r>
      <w:r w:rsidRPr="00F312C7">
        <w:rPr>
          <w:rFonts w:hint="eastAsia"/>
          <w:sz w:val="22"/>
          <w:szCs w:val="22"/>
          <w:lang w:eastAsia="zh-CN"/>
        </w:rPr>
        <w:t xml:space="preserve">Production Sector Stage II </w:t>
      </w:r>
      <w:r w:rsidRPr="00F312C7">
        <w:rPr>
          <w:sz w:val="22"/>
          <w:szCs w:val="22"/>
          <w:lang w:eastAsia="zh-CN"/>
        </w:rPr>
        <w:t xml:space="preserve">is approved by the </w:t>
      </w:r>
      <w:r>
        <w:rPr>
          <w:sz w:val="22"/>
          <w:szCs w:val="22"/>
          <w:lang w:eastAsia="zh-CN"/>
        </w:rPr>
        <w:t>83</w:t>
      </w:r>
      <w:r w:rsidRPr="00F312C7">
        <w:rPr>
          <w:sz w:val="22"/>
          <w:szCs w:val="22"/>
          <w:vertAlign w:val="superscript"/>
          <w:lang w:eastAsia="zh-CN"/>
        </w:rPr>
        <w:t>rd</w:t>
      </w:r>
      <w:r>
        <w:rPr>
          <w:sz w:val="22"/>
          <w:szCs w:val="22"/>
          <w:lang w:eastAsia="zh-CN"/>
        </w:rPr>
        <w:t xml:space="preserve"> </w:t>
      </w:r>
      <w:r w:rsidRPr="00F312C7">
        <w:rPr>
          <w:sz w:val="22"/>
          <w:szCs w:val="22"/>
          <w:lang w:eastAsia="zh-CN"/>
        </w:rPr>
        <w:t xml:space="preserve">ExCom, it </w:t>
      </w:r>
      <w:r w:rsidRPr="00F312C7">
        <w:rPr>
          <w:rFonts w:hint="eastAsia"/>
          <w:sz w:val="22"/>
          <w:szCs w:val="22"/>
          <w:lang w:eastAsia="zh-CN"/>
        </w:rPr>
        <w:t xml:space="preserve">will start </w:t>
      </w:r>
      <w:r w:rsidRPr="00F312C7">
        <w:rPr>
          <w:sz w:val="22"/>
          <w:szCs w:val="22"/>
          <w:lang w:eastAsia="zh-CN"/>
        </w:rPr>
        <w:t>implementation</w:t>
      </w:r>
      <w:r w:rsidRPr="00F312C7">
        <w:rPr>
          <w:rFonts w:hint="eastAsia"/>
          <w:sz w:val="22"/>
          <w:szCs w:val="22"/>
          <w:lang w:eastAsia="zh-CN"/>
        </w:rPr>
        <w:t xml:space="preserve"> in </w:t>
      </w:r>
      <w:r>
        <w:rPr>
          <w:sz w:val="22"/>
          <w:szCs w:val="22"/>
          <w:lang w:eastAsia="zh-CN"/>
        </w:rPr>
        <w:t>mid-</w:t>
      </w:r>
      <w:r w:rsidRPr="00F312C7">
        <w:rPr>
          <w:rFonts w:hint="eastAsia"/>
          <w:sz w:val="22"/>
          <w:szCs w:val="22"/>
          <w:lang w:eastAsia="zh-CN"/>
        </w:rPr>
        <w:t>201</w:t>
      </w:r>
      <w:r>
        <w:rPr>
          <w:sz w:val="22"/>
          <w:szCs w:val="22"/>
          <w:lang w:eastAsia="zh-CN"/>
        </w:rPr>
        <w:t>9.</w:t>
      </w:r>
      <w:r w:rsidRPr="00F312C7">
        <w:rPr>
          <w:rFonts w:hint="eastAsia"/>
          <w:sz w:val="22"/>
          <w:szCs w:val="22"/>
          <w:lang w:eastAsia="zh-CN"/>
        </w:rPr>
        <w:t xml:space="preserve"> </w:t>
      </w:r>
    </w:p>
    <w:p w14:paraId="794A9E5D" w14:textId="77777777" w:rsidR="00BE78FD" w:rsidRPr="00E60BB1" w:rsidRDefault="00BE78FD" w:rsidP="00BE78FD">
      <w:pPr>
        <w:pStyle w:val="Heading2"/>
        <w:keepNext/>
        <w:keepLines/>
        <w:widowControl/>
        <w:numPr>
          <w:ilvl w:val="1"/>
          <w:numId w:val="21"/>
        </w:numPr>
        <w:spacing w:before="200" w:after="0"/>
        <w:ind w:left="0"/>
        <w:jc w:val="left"/>
        <w:rPr>
          <w:rFonts w:eastAsiaTheme="majorEastAsia" w:cstheme="majorBidi"/>
          <w:b/>
          <w:sz w:val="24"/>
          <w:szCs w:val="24"/>
          <w:lang w:val="en-US"/>
        </w:rPr>
      </w:pPr>
      <w:bookmarkStart w:id="9" w:name="_Toc395519921"/>
      <w:r w:rsidRPr="00E60BB1">
        <w:rPr>
          <w:rFonts w:eastAsiaTheme="majorEastAsia" w:cstheme="majorBidi"/>
          <w:b/>
          <w:sz w:val="24"/>
          <w:szCs w:val="24"/>
          <w:lang w:val="en-US"/>
        </w:rPr>
        <w:t>Measures to Expedite Implementation of Approved Projects and Those Critical to Compliance</w:t>
      </w:r>
      <w:bookmarkEnd w:id="9"/>
      <w:r w:rsidRPr="00E60BB1">
        <w:rPr>
          <w:rFonts w:eastAsiaTheme="majorEastAsia" w:cstheme="majorBidi" w:hint="eastAsia"/>
          <w:b/>
          <w:sz w:val="24"/>
          <w:szCs w:val="24"/>
          <w:lang w:val="en-US"/>
        </w:rPr>
        <w:t xml:space="preserve"> </w:t>
      </w:r>
    </w:p>
    <w:p w14:paraId="3EAA4F65" w14:textId="77777777" w:rsidR="00BE78FD" w:rsidRPr="004C1A5B" w:rsidRDefault="00BE78FD" w:rsidP="00BE78FD">
      <w:pPr>
        <w:pStyle w:val="ListParagraph"/>
        <w:ind w:left="1080"/>
        <w:jc w:val="both"/>
        <w:rPr>
          <w:sz w:val="22"/>
          <w:szCs w:val="22"/>
        </w:rPr>
      </w:pPr>
    </w:p>
    <w:p w14:paraId="26B4A80A" w14:textId="77777777" w:rsidR="00BE78FD" w:rsidRPr="00716F22" w:rsidRDefault="00BE78FD" w:rsidP="00BE78FD">
      <w:pPr>
        <w:pStyle w:val="ListParagraph"/>
        <w:numPr>
          <w:ilvl w:val="0"/>
          <w:numId w:val="22"/>
        </w:numPr>
        <w:spacing w:after="120" w:line="276" w:lineRule="auto"/>
        <w:ind w:left="0" w:firstLine="0"/>
        <w:rPr>
          <w:sz w:val="22"/>
          <w:szCs w:val="22"/>
        </w:rPr>
      </w:pPr>
      <w:r>
        <w:rPr>
          <w:sz w:val="22"/>
          <w:szCs w:val="22"/>
        </w:rPr>
        <w:t>While, t</w:t>
      </w:r>
      <w:r w:rsidRPr="00F312C7">
        <w:rPr>
          <w:sz w:val="22"/>
          <w:szCs w:val="22"/>
        </w:rPr>
        <w:t xml:space="preserve">he implementation of China HCFC PU foam sector plan stage II </w:t>
      </w:r>
      <w:r>
        <w:rPr>
          <w:sz w:val="22"/>
          <w:szCs w:val="22"/>
        </w:rPr>
        <w:t xml:space="preserve">has not officially started due to unforeseen </w:t>
      </w:r>
      <w:r w:rsidRPr="00F312C7">
        <w:rPr>
          <w:sz w:val="22"/>
          <w:szCs w:val="22"/>
        </w:rPr>
        <w:t xml:space="preserve">delay due </w:t>
      </w:r>
      <w:r>
        <w:rPr>
          <w:sz w:val="22"/>
          <w:szCs w:val="22"/>
        </w:rPr>
        <w:t xml:space="preserve">in </w:t>
      </w:r>
      <w:r w:rsidRPr="00F312C7">
        <w:rPr>
          <w:sz w:val="22"/>
          <w:szCs w:val="22"/>
        </w:rPr>
        <w:t>signing of the grant agreement between the Bank and China</w:t>
      </w:r>
      <w:r>
        <w:rPr>
          <w:sz w:val="22"/>
          <w:szCs w:val="22"/>
        </w:rPr>
        <w:t>. Consequently, preparatory works to identify and develop sub-project proposals with beneficiary enterprises have already began and should lead to expedite disbursement of funding tranches</w:t>
      </w:r>
      <w:r w:rsidRPr="00F312C7">
        <w:rPr>
          <w:sz w:val="22"/>
          <w:szCs w:val="22"/>
        </w:rPr>
        <w:t xml:space="preserve">. </w:t>
      </w:r>
      <w:r>
        <w:rPr>
          <w:sz w:val="22"/>
          <w:szCs w:val="22"/>
        </w:rPr>
        <w:t xml:space="preserve">Furthermore, </w:t>
      </w:r>
      <w:r w:rsidRPr="004C1A5B">
        <w:rPr>
          <w:sz w:val="22"/>
          <w:szCs w:val="22"/>
        </w:rPr>
        <w:t>the Bank will utilize all resources at its disposal to support countries in overseeing conversions in manufacturing and HCFC production phase-down while revising and introducing new policy and legislation at the sector and national levels.  This support will include at minimum two supervision missions per project, greater use of video and teleconferencing, and provision of targeted technical and policy expertise as required.  Alongside implementation, the Bank will ensure that is partners maintain a longer term vision of their national HCFC phase</w:t>
      </w:r>
      <w:r>
        <w:rPr>
          <w:sz w:val="22"/>
          <w:szCs w:val="22"/>
        </w:rPr>
        <w:t>-</w:t>
      </w:r>
      <w:r w:rsidRPr="004C1A5B">
        <w:rPr>
          <w:sz w:val="22"/>
          <w:szCs w:val="22"/>
        </w:rPr>
        <w:t>out programs vis-à-vi</w:t>
      </w:r>
      <w:r>
        <w:rPr>
          <w:sz w:val="22"/>
          <w:szCs w:val="22"/>
        </w:rPr>
        <w:t xml:space="preserve">s MP obligations beyond 2020.  </w:t>
      </w:r>
      <w:r w:rsidRPr="004C1A5B">
        <w:rPr>
          <w:sz w:val="22"/>
          <w:szCs w:val="22"/>
        </w:rPr>
        <w:t>It will for example, act to bridge project technical assistance activities at the country level with international technological developments so that countries may be better prepared when initiating Stage I</w:t>
      </w:r>
      <w:r>
        <w:rPr>
          <w:sz w:val="22"/>
          <w:szCs w:val="22"/>
        </w:rPr>
        <w:t>I</w:t>
      </w:r>
      <w:r w:rsidRPr="004C1A5B">
        <w:rPr>
          <w:sz w:val="22"/>
          <w:szCs w:val="22"/>
        </w:rPr>
        <w:t>I work.</w:t>
      </w:r>
    </w:p>
    <w:p w14:paraId="7B9F5302" w14:textId="77777777" w:rsidR="00BE78FD" w:rsidRPr="00820842" w:rsidRDefault="00BE78FD" w:rsidP="00BE78FD">
      <w:pPr>
        <w:pStyle w:val="ListParagraph"/>
        <w:numPr>
          <w:ilvl w:val="0"/>
          <w:numId w:val="22"/>
        </w:numPr>
        <w:spacing w:after="120" w:line="276" w:lineRule="auto"/>
        <w:ind w:left="0" w:firstLine="0"/>
        <w:rPr>
          <w:sz w:val="22"/>
          <w:szCs w:val="22"/>
        </w:rPr>
      </w:pPr>
      <w:r>
        <w:rPr>
          <w:color w:val="000000"/>
          <w:sz w:val="22"/>
          <w:szCs w:val="22"/>
        </w:rPr>
        <w:t xml:space="preserve">The Bank is planning to continue the organization of East Asia </w:t>
      </w:r>
      <w:r w:rsidRPr="004C1A5B">
        <w:rPr>
          <w:color w:val="000000"/>
          <w:sz w:val="22"/>
          <w:szCs w:val="22"/>
        </w:rPr>
        <w:t>regional workshop</w:t>
      </w:r>
      <w:r>
        <w:rPr>
          <w:color w:val="000000"/>
          <w:sz w:val="22"/>
          <w:szCs w:val="22"/>
        </w:rPr>
        <w:t>s</w:t>
      </w:r>
      <w:r w:rsidRPr="004C1A5B">
        <w:rPr>
          <w:color w:val="000000"/>
          <w:sz w:val="22"/>
          <w:szCs w:val="22"/>
        </w:rPr>
        <w:t xml:space="preserve"> again in 201</w:t>
      </w:r>
      <w:r>
        <w:rPr>
          <w:color w:val="000000"/>
          <w:sz w:val="22"/>
          <w:szCs w:val="22"/>
        </w:rPr>
        <w:t>9</w:t>
      </w:r>
      <w:r w:rsidRPr="004C1A5B">
        <w:rPr>
          <w:color w:val="000000"/>
          <w:sz w:val="22"/>
          <w:szCs w:val="22"/>
        </w:rPr>
        <w:t xml:space="preserve"> for technical and procedural guidance to partner countries from the World Bank and external experts, exchange of views, and cross-fertilization on efficient and effective</w:t>
      </w:r>
      <w:r>
        <w:rPr>
          <w:color w:val="000000"/>
          <w:sz w:val="22"/>
          <w:szCs w:val="22"/>
        </w:rPr>
        <w:t xml:space="preserve"> HCFC phase-out implementation. Another workshop will also be organized in 2019 to promote synergy between climate, energy efficiency and ozone activities. This workshop will be the fifth of its kind that was first successfully organized in 2015. T</w:t>
      </w:r>
      <w:r w:rsidRPr="004C1A5B">
        <w:rPr>
          <w:color w:val="000000"/>
          <w:sz w:val="22"/>
          <w:szCs w:val="22"/>
        </w:rPr>
        <w:t>he workshop will be complemented by sector-specific technical reviews of new and emerging low-GWP alternatives by the Bank’s Ozone Operations Resource Group directed towards the specific needs of partner countries.</w:t>
      </w:r>
    </w:p>
    <w:p w14:paraId="2A406997" w14:textId="77777777" w:rsidR="00BE78FD" w:rsidRPr="00820842" w:rsidRDefault="00BE78FD" w:rsidP="00BE78FD">
      <w:pPr>
        <w:pStyle w:val="ListParagraph"/>
        <w:numPr>
          <w:ilvl w:val="0"/>
          <w:numId w:val="22"/>
        </w:numPr>
        <w:spacing w:after="120" w:line="276" w:lineRule="auto"/>
        <w:ind w:left="0" w:firstLine="0"/>
        <w:rPr>
          <w:sz w:val="22"/>
          <w:szCs w:val="22"/>
        </w:rPr>
      </w:pPr>
      <w:r w:rsidRPr="00820842">
        <w:rPr>
          <w:color w:val="000000"/>
          <w:sz w:val="22"/>
          <w:szCs w:val="22"/>
        </w:rPr>
        <w:t>Lastly, in helping partner countries consider options for addressing Stage II consumption phase-out, particularly where grant funding may be limited due to eligibility, cost-effectiveness ceilings and specific sector funding boundaries, the World Bank is exploring means to better integrate the MP agenda into its main line of work. Beyond the identification of synergies in the Bank’s larger lending portfolio, there will be continuing efforts in 201</w:t>
      </w:r>
      <w:r>
        <w:rPr>
          <w:color w:val="000000"/>
          <w:sz w:val="22"/>
          <w:szCs w:val="22"/>
        </w:rPr>
        <w:t>9</w:t>
      </w:r>
      <w:r w:rsidRPr="00820842">
        <w:rPr>
          <w:color w:val="000000"/>
          <w:sz w:val="22"/>
          <w:szCs w:val="22"/>
        </w:rPr>
        <w:t xml:space="preserve"> to seek out concrete opportunities that allow ODS sector phase-out to be twinned with new projects aiming for green growth and improving energy efficiency in industry, energy, agriculture, infrastructure, and other sectors. This also include projects for Philippines, Thailand and Vietnam to improve energy efficiency in room air-conditioners with </w:t>
      </w:r>
      <w:r>
        <w:rPr>
          <w:color w:val="000000"/>
          <w:sz w:val="22"/>
          <w:szCs w:val="22"/>
        </w:rPr>
        <w:t xml:space="preserve">approved </w:t>
      </w:r>
      <w:r w:rsidRPr="00820842">
        <w:rPr>
          <w:color w:val="000000"/>
          <w:sz w:val="22"/>
          <w:szCs w:val="22"/>
        </w:rPr>
        <w:t>funding from Kigali Cooling Efficiency Program (K-CEP)</w:t>
      </w:r>
      <w:r>
        <w:rPr>
          <w:color w:val="000000"/>
          <w:sz w:val="22"/>
          <w:szCs w:val="22"/>
        </w:rPr>
        <w:t xml:space="preserve">. </w:t>
      </w:r>
    </w:p>
    <w:p w14:paraId="041F950F" w14:textId="77777777" w:rsidR="00BE78FD" w:rsidRPr="00CA223D" w:rsidRDefault="00BE78FD" w:rsidP="00BE78FD">
      <w:pPr>
        <w:pStyle w:val="ListParagraph"/>
        <w:rPr>
          <w:sz w:val="22"/>
          <w:szCs w:val="22"/>
          <w:lang w:eastAsia="zh-CN"/>
        </w:rPr>
      </w:pPr>
    </w:p>
    <w:p w14:paraId="4AA613B3" w14:textId="77777777" w:rsidR="00BE78FD" w:rsidRPr="00E60BB1" w:rsidRDefault="00BE78FD" w:rsidP="00BE78FD">
      <w:pPr>
        <w:pStyle w:val="Heading1"/>
        <w:keepNext/>
        <w:numPr>
          <w:ilvl w:val="0"/>
          <w:numId w:val="21"/>
        </w:numPr>
        <w:spacing w:before="240"/>
        <w:jc w:val="left"/>
        <w:rPr>
          <w:rFonts w:eastAsia="SimSun"/>
          <w:b/>
          <w:bCs/>
          <w:sz w:val="28"/>
          <w:szCs w:val="24"/>
          <w:lang w:val="en-US"/>
        </w:rPr>
      </w:pPr>
      <w:bookmarkStart w:id="10" w:name="_Toc395519922"/>
      <w:r w:rsidRPr="00E60BB1">
        <w:rPr>
          <w:rFonts w:eastAsia="SimSun"/>
          <w:b/>
          <w:bCs/>
          <w:sz w:val="28"/>
          <w:szCs w:val="24"/>
          <w:lang w:val="en-US"/>
        </w:rPr>
        <w:t>PERFORMANCE INDICATORS</w:t>
      </w:r>
      <w:bookmarkEnd w:id="10"/>
    </w:p>
    <w:p w14:paraId="604E9D28" w14:textId="77777777" w:rsidR="00BE78FD" w:rsidRPr="00CA223D" w:rsidRDefault="00BE78FD" w:rsidP="00BE78FD"/>
    <w:p w14:paraId="42EFED49" w14:textId="77777777" w:rsidR="00BE78FD" w:rsidRPr="007932FA" w:rsidRDefault="00BE78FD" w:rsidP="00BE78FD">
      <w:pPr>
        <w:pStyle w:val="ListParagraph"/>
        <w:numPr>
          <w:ilvl w:val="0"/>
          <w:numId w:val="22"/>
        </w:numPr>
        <w:spacing w:after="120" w:line="276" w:lineRule="auto"/>
        <w:ind w:left="0" w:firstLine="0"/>
        <w:rPr>
          <w:sz w:val="22"/>
          <w:szCs w:val="22"/>
        </w:rPr>
      </w:pPr>
      <w:r>
        <w:rPr>
          <w:sz w:val="22"/>
          <w:szCs w:val="22"/>
        </w:rPr>
        <w:t>As per Decision 71</w:t>
      </w:r>
      <w:r w:rsidRPr="00CA223D">
        <w:rPr>
          <w:sz w:val="22"/>
          <w:szCs w:val="22"/>
        </w:rPr>
        <w:t>/</w:t>
      </w:r>
      <w:r>
        <w:rPr>
          <w:sz w:val="22"/>
          <w:szCs w:val="22"/>
        </w:rPr>
        <w:t>28</w:t>
      </w:r>
      <w:r w:rsidRPr="00CA223D">
        <w:rPr>
          <w:sz w:val="22"/>
          <w:szCs w:val="22"/>
        </w:rPr>
        <w:t xml:space="preserve">, the following performance indicators are included in the World Bank’s </w:t>
      </w:r>
      <w:r>
        <w:rPr>
          <w:sz w:val="22"/>
          <w:szCs w:val="22"/>
        </w:rPr>
        <w:t>2019-2021</w:t>
      </w:r>
      <w:r w:rsidRPr="00CA223D">
        <w:rPr>
          <w:sz w:val="22"/>
          <w:szCs w:val="22"/>
        </w:rPr>
        <w:t xml:space="preserve"> Business Plan:</w:t>
      </w:r>
    </w:p>
    <w:p w14:paraId="096ED6A0" w14:textId="77777777" w:rsidR="00BE78FD" w:rsidRPr="00E60BB1" w:rsidRDefault="00BE78FD" w:rsidP="00BE394B">
      <w:pPr>
        <w:pStyle w:val="Heading2"/>
        <w:keepNext/>
        <w:keepLines/>
        <w:widowControl/>
        <w:numPr>
          <w:ilvl w:val="1"/>
          <w:numId w:val="21"/>
        </w:numPr>
        <w:spacing w:before="200" w:after="0"/>
        <w:ind w:left="0"/>
        <w:jc w:val="left"/>
        <w:rPr>
          <w:rFonts w:eastAsiaTheme="majorEastAsia" w:cstheme="majorBidi"/>
          <w:b/>
          <w:sz w:val="24"/>
          <w:szCs w:val="24"/>
          <w:lang w:val="en-US"/>
        </w:rPr>
      </w:pPr>
      <w:bookmarkStart w:id="11" w:name="_Toc395519923"/>
      <w:bookmarkStart w:id="12" w:name="_Hlk526790750"/>
      <w:r w:rsidRPr="00E60BB1">
        <w:rPr>
          <w:rFonts w:eastAsiaTheme="majorEastAsia" w:cstheme="majorBidi"/>
          <w:b/>
          <w:sz w:val="24"/>
          <w:szCs w:val="24"/>
          <w:lang w:val="en-US"/>
        </w:rPr>
        <w:lastRenderedPageBreak/>
        <w:t>Planning--Approval Performance Indicators</w:t>
      </w:r>
      <w:bookmarkEnd w:id="11"/>
    </w:p>
    <w:p w14:paraId="7C2C6813" w14:textId="77777777" w:rsidR="00BE78FD" w:rsidRPr="00CA223D" w:rsidRDefault="00BE78FD" w:rsidP="00BE394B">
      <w:pPr>
        <w:keepNext/>
        <w:keepLines/>
      </w:pPr>
    </w:p>
    <w:p w14:paraId="4EA1AAB2" w14:textId="77777777" w:rsidR="00BE78FD" w:rsidRPr="004236A1" w:rsidRDefault="00BE78FD" w:rsidP="00BE394B">
      <w:pPr>
        <w:pStyle w:val="ListParagraph"/>
        <w:keepNext/>
        <w:keepLines/>
        <w:numPr>
          <w:ilvl w:val="0"/>
          <w:numId w:val="22"/>
        </w:numPr>
        <w:spacing w:after="120" w:line="276" w:lineRule="auto"/>
        <w:ind w:left="0" w:firstLine="0"/>
        <w:rPr>
          <w:sz w:val="22"/>
          <w:szCs w:val="22"/>
        </w:rPr>
      </w:pPr>
      <w:r w:rsidRPr="004236A1">
        <w:rPr>
          <w:sz w:val="22"/>
          <w:szCs w:val="22"/>
        </w:rPr>
        <w:t>Number of tranches of multi-year agreements approved vs. those planned</w:t>
      </w:r>
      <w:r>
        <w:rPr>
          <w:sz w:val="22"/>
          <w:szCs w:val="22"/>
        </w:rPr>
        <w:t xml:space="preserve"> </w:t>
      </w:r>
      <w:r w:rsidRPr="0090379D">
        <w:rPr>
          <w:sz w:val="22"/>
          <w:szCs w:val="22"/>
        </w:rPr>
        <w:t>(</w:t>
      </w:r>
      <w:r w:rsidRPr="0090379D">
        <w:rPr>
          <w:sz w:val="22"/>
          <w:szCs w:val="22"/>
          <w:u w:val="single"/>
        </w:rPr>
        <w:t xml:space="preserve">Weighting: </w:t>
      </w:r>
      <w:r>
        <w:t>1</w:t>
      </w:r>
      <w:r w:rsidRPr="00B53ACA">
        <w:t>0</w:t>
      </w:r>
      <w:r w:rsidRPr="0090379D">
        <w:rPr>
          <w:sz w:val="22"/>
          <w:szCs w:val="22"/>
        </w:rPr>
        <w:t>)</w:t>
      </w:r>
    </w:p>
    <w:p w14:paraId="2B1E4A01" w14:textId="77777777" w:rsidR="00BE78FD" w:rsidRPr="004236A1" w:rsidRDefault="00BE78FD" w:rsidP="00BE78FD"/>
    <w:p w14:paraId="4409CBF3" w14:textId="77777777" w:rsidR="00BE78FD" w:rsidRPr="004236A1" w:rsidRDefault="00BE78FD" w:rsidP="00BE78FD">
      <w:pPr>
        <w:jc w:val="center"/>
        <w:rPr>
          <w:sz w:val="18"/>
          <w:szCs w:val="18"/>
        </w:rPr>
      </w:pPr>
      <w:r w:rsidRPr="004236A1">
        <w:rPr>
          <w:sz w:val="18"/>
          <w:szCs w:val="18"/>
        </w:rPr>
        <w:t>Table III-1: Number of annual programs of multi-year agreements planned for 201</w:t>
      </w:r>
      <w:r>
        <w:rPr>
          <w:sz w:val="18"/>
          <w:szCs w:val="18"/>
        </w:rPr>
        <w:t>9</w:t>
      </w:r>
    </w:p>
    <w:p w14:paraId="46E1FCF9" w14:textId="77777777" w:rsidR="00BE78FD" w:rsidRPr="004236A1" w:rsidRDefault="00BE78FD" w:rsidP="00BE78FD">
      <w:pPr>
        <w:jc w:val="center"/>
      </w:pPr>
    </w:p>
    <w:tbl>
      <w:tblPr>
        <w:tblStyle w:val="TableGrid"/>
        <w:tblW w:w="0" w:type="auto"/>
        <w:jc w:val="center"/>
        <w:tblLook w:val="04A0" w:firstRow="1" w:lastRow="0" w:firstColumn="1" w:lastColumn="0" w:noHBand="0" w:noVBand="1"/>
      </w:tblPr>
      <w:tblGrid>
        <w:gridCol w:w="2661"/>
        <w:gridCol w:w="898"/>
        <w:gridCol w:w="5791"/>
      </w:tblGrid>
      <w:tr w:rsidR="00BE78FD" w:rsidRPr="004236A1" w14:paraId="1154F016" w14:textId="77777777" w:rsidTr="008267E8">
        <w:trPr>
          <w:jc w:val="center"/>
        </w:trPr>
        <w:tc>
          <w:tcPr>
            <w:tcW w:w="2718" w:type="dxa"/>
          </w:tcPr>
          <w:p w14:paraId="66B2B22C" w14:textId="77777777" w:rsidR="00BE78FD" w:rsidRPr="004236A1" w:rsidRDefault="00BE78FD" w:rsidP="00E00CF1">
            <w:pPr>
              <w:jc w:val="center"/>
              <w:rPr>
                <w:sz w:val="18"/>
                <w:szCs w:val="18"/>
              </w:rPr>
            </w:pPr>
            <w:r w:rsidRPr="004236A1">
              <w:rPr>
                <w:b/>
                <w:bCs/>
                <w:sz w:val="18"/>
                <w:szCs w:val="18"/>
              </w:rPr>
              <w:t>Item</w:t>
            </w:r>
          </w:p>
        </w:tc>
        <w:tc>
          <w:tcPr>
            <w:tcW w:w="900" w:type="dxa"/>
            <w:vAlign w:val="center"/>
          </w:tcPr>
          <w:p w14:paraId="706A3A64" w14:textId="77777777" w:rsidR="00BE78FD" w:rsidRPr="004236A1" w:rsidRDefault="00BE78FD" w:rsidP="00E00CF1">
            <w:pPr>
              <w:jc w:val="center"/>
              <w:rPr>
                <w:b/>
                <w:sz w:val="18"/>
                <w:szCs w:val="18"/>
              </w:rPr>
            </w:pPr>
            <w:r w:rsidRPr="004236A1">
              <w:rPr>
                <w:b/>
                <w:sz w:val="18"/>
                <w:szCs w:val="18"/>
              </w:rPr>
              <w:t>Planned for 201</w:t>
            </w:r>
            <w:r>
              <w:rPr>
                <w:b/>
                <w:sz w:val="18"/>
                <w:szCs w:val="18"/>
              </w:rPr>
              <w:t>9</w:t>
            </w:r>
          </w:p>
        </w:tc>
        <w:tc>
          <w:tcPr>
            <w:tcW w:w="5958" w:type="dxa"/>
          </w:tcPr>
          <w:p w14:paraId="364F0A8F" w14:textId="77777777" w:rsidR="00BE78FD" w:rsidRPr="004236A1" w:rsidRDefault="00BE78FD" w:rsidP="00E00CF1">
            <w:pPr>
              <w:jc w:val="center"/>
              <w:rPr>
                <w:b/>
                <w:sz w:val="18"/>
                <w:szCs w:val="18"/>
              </w:rPr>
            </w:pPr>
            <w:r w:rsidRPr="004236A1">
              <w:rPr>
                <w:b/>
                <w:sz w:val="18"/>
                <w:szCs w:val="18"/>
              </w:rPr>
              <w:t>Remarks</w:t>
            </w:r>
          </w:p>
        </w:tc>
      </w:tr>
      <w:tr w:rsidR="00BE78FD" w:rsidRPr="004236A1" w14:paraId="2BBE349D" w14:textId="77777777" w:rsidTr="008267E8">
        <w:trPr>
          <w:jc w:val="center"/>
        </w:trPr>
        <w:tc>
          <w:tcPr>
            <w:tcW w:w="2718" w:type="dxa"/>
            <w:vAlign w:val="center"/>
          </w:tcPr>
          <w:p w14:paraId="028B3132" w14:textId="77777777" w:rsidR="00BE78FD" w:rsidRPr="004236A1" w:rsidRDefault="00BE78FD" w:rsidP="00E00CF1">
            <w:pPr>
              <w:rPr>
                <w:sz w:val="18"/>
                <w:szCs w:val="18"/>
              </w:rPr>
            </w:pPr>
            <w:r w:rsidRPr="004236A1">
              <w:rPr>
                <w:sz w:val="18"/>
                <w:szCs w:val="18"/>
              </w:rPr>
              <w:t>Tranches of previously approved multi-year agreements to be presented to ExCom in 201</w:t>
            </w:r>
            <w:r>
              <w:rPr>
                <w:sz w:val="18"/>
                <w:szCs w:val="18"/>
              </w:rPr>
              <w:t>9</w:t>
            </w:r>
          </w:p>
        </w:tc>
        <w:tc>
          <w:tcPr>
            <w:tcW w:w="900" w:type="dxa"/>
            <w:vAlign w:val="center"/>
          </w:tcPr>
          <w:p w14:paraId="30EAFD4B" w14:textId="77777777" w:rsidR="00BE78FD" w:rsidRPr="004236A1" w:rsidRDefault="00BE78FD" w:rsidP="00E00CF1">
            <w:pPr>
              <w:jc w:val="center"/>
              <w:rPr>
                <w:sz w:val="18"/>
                <w:szCs w:val="18"/>
                <w:lang w:eastAsia="zh-CN"/>
              </w:rPr>
            </w:pPr>
            <w:r>
              <w:rPr>
                <w:sz w:val="18"/>
                <w:szCs w:val="18"/>
                <w:lang w:eastAsia="zh-CN"/>
              </w:rPr>
              <w:t>3</w:t>
            </w:r>
          </w:p>
        </w:tc>
        <w:tc>
          <w:tcPr>
            <w:tcW w:w="5958" w:type="dxa"/>
            <w:vAlign w:val="center"/>
          </w:tcPr>
          <w:p w14:paraId="4203ED95" w14:textId="77777777" w:rsidR="00BE78FD" w:rsidRPr="004236A1" w:rsidRDefault="00BE78FD" w:rsidP="00E00CF1">
            <w:pPr>
              <w:rPr>
                <w:sz w:val="18"/>
                <w:szCs w:val="18"/>
                <w:lang w:eastAsia="zh-CN"/>
              </w:rPr>
            </w:pPr>
            <w:r w:rsidRPr="004236A1">
              <w:rPr>
                <w:sz w:val="18"/>
                <w:szCs w:val="18"/>
                <w:lang w:eastAsia="zh-CN"/>
              </w:rPr>
              <w:t>HCFC Phase-out Plan (</w:t>
            </w:r>
            <w:r>
              <w:rPr>
                <w:sz w:val="18"/>
                <w:szCs w:val="18"/>
                <w:lang w:eastAsia="zh-CN"/>
              </w:rPr>
              <w:t>China, Philippines, and Vietnam)</w:t>
            </w:r>
          </w:p>
        </w:tc>
      </w:tr>
    </w:tbl>
    <w:p w14:paraId="3AF52973" w14:textId="77777777" w:rsidR="00BE78FD" w:rsidRPr="004236A1" w:rsidRDefault="00BE78FD" w:rsidP="00BE78FD"/>
    <w:p w14:paraId="6A440661" w14:textId="77777777" w:rsidR="00BE78FD" w:rsidRPr="004236A1" w:rsidRDefault="00BE78FD" w:rsidP="00BE78FD">
      <w:pPr>
        <w:pStyle w:val="ListParagraph"/>
        <w:numPr>
          <w:ilvl w:val="0"/>
          <w:numId w:val="22"/>
        </w:numPr>
        <w:spacing w:after="120" w:line="276" w:lineRule="auto"/>
        <w:ind w:left="0" w:firstLine="0"/>
        <w:rPr>
          <w:sz w:val="22"/>
          <w:szCs w:val="22"/>
        </w:rPr>
      </w:pPr>
      <w:r w:rsidRPr="004236A1">
        <w:rPr>
          <w:sz w:val="22"/>
          <w:szCs w:val="22"/>
        </w:rPr>
        <w:t>Number of individual projects/ activities (investment, demonstration projects, TAS, IS) approved vs. those planned. (</w:t>
      </w:r>
      <w:r w:rsidRPr="004236A1">
        <w:rPr>
          <w:sz w:val="22"/>
          <w:szCs w:val="22"/>
          <w:u w:val="single"/>
        </w:rPr>
        <w:t>Weighting: 10</w:t>
      </w:r>
      <w:r w:rsidRPr="004236A1">
        <w:rPr>
          <w:sz w:val="22"/>
          <w:szCs w:val="22"/>
        </w:rPr>
        <w:t>)</w:t>
      </w:r>
    </w:p>
    <w:p w14:paraId="4EB59CC4" w14:textId="77777777" w:rsidR="00BE78FD" w:rsidRPr="004236A1" w:rsidRDefault="00BE78FD" w:rsidP="00BE78FD"/>
    <w:p w14:paraId="284BE9C4" w14:textId="77777777" w:rsidR="00BE78FD" w:rsidRPr="004236A1" w:rsidRDefault="00BE78FD" w:rsidP="00BE78FD">
      <w:pPr>
        <w:jc w:val="center"/>
        <w:rPr>
          <w:sz w:val="18"/>
          <w:szCs w:val="18"/>
        </w:rPr>
      </w:pPr>
      <w:r w:rsidRPr="004236A1">
        <w:rPr>
          <w:sz w:val="18"/>
          <w:szCs w:val="18"/>
        </w:rPr>
        <w:t>Table III-2: Number of individual projects/ activities planned for 201</w:t>
      </w:r>
      <w:r>
        <w:rPr>
          <w:sz w:val="18"/>
          <w:szCs w:val="18"/>
        </w:rPr>
        <w:t>9</w:t>
      </w:r>
    </w:p>
    <w:p w14:paraId="0353C086" w14:textId="77777777" w:rsidR="00BE78FD" w:rsidRPr="004236A1" w:rsidRDefault="00BE78FD" w:rsidP="00BE78FD"/>
    <w:tbl>
      <w:tblPr>
        <w:tblStyle w:val="TableGrid"/>
        <w:tblW w:w="0" w:type="auto"/>
        <w:jc w:val="center"/>
        <w:tblLook w:val="04A0" w:firstRow="1" w:lastRow="0" w:firstColumn="1" w:lastColumn="0" w:noHBand="0" w:noVBand="1"/>
      </w:tblPr>
      <w:tblGrid>
        <w:gridCol w:w="2665"/>
        <w:gridCol w:w="898"/>
        <w:gridCol w:w="5787"/>
      </w:tblGrid>
      <w:tr w:rsidR="00BE78FD" w:rsidRPr="004236A1" w14:paraId="34EA0398" w14:textId="77777777" w:rsidTr="008267E8">
        <w:trPr>
          <w:jc w:val="center"/>
        </w:trPr>
        <w:tc>
          <w:tcPr>
            <w:tcW w:w="2718" w:type="dxa"/>
          </w:tcPr>
          <w:p w14:paraId="3F0D909F" w14:textId="77777777" w:rsidR="00BE78FD" w:rsidRPr="004236A1" w:rsidRDefault="00BE78FD" w:rsidP="00E00CF1">
            <w:pPr>
              <w:jc w:val="center"/>
              <w:rPr>
                <w:sz w:val="18"/>
                <w:szCs w:val="18"/>
              </w:rPr>
            </w:pPr>
            <w:r w:rsidRPr="004236A1">
              <w:rPr>
                <w:b/>
                <w:bCs/>
                <w:sz w:val="18"/>
                <w:szCs w:val="18"/>
              </w:rPr>
              <w:t>Item</w:t>
            </w:r>
          </w:p>
        </w:tc>
        <w:tc>
          <w:tcPr>
            <w:tcW w:w="900" w:type="dxa"/>
          </w:tcPr>
          <w:p w14:paraId="06720998" w14:textId="77777777" w:rsidR="00BE78FD" w:rsidRPr="004236A1" w:rsidRDefault="00BE78FD" w:rsidP="00E00CF1">
            <w:pPr>
              <w:jc w:val="center"/>
              <w:rPr>
                <w:sz w:val="18"/>
                <w:szCs w:val="18"/>
              </w:rPr>
            </w:pPr>
            <w:r w:rsidRPr="004236A1">
              <w:rPr>
                <w:b/>
                <w:bCs/>
                <w:sz w:val="18"/>
                <w:szCs w:val="18"/>
              </w:rPr>
              <w:t>Planned for 201</w:t>
            </w:r>
            <w:r>
              <w:rPr>
                <w:b/>
                <w:bCs/>
                <w:sz w:val="18"/>
                <w:szCs w:val="18"/>
              </w:rPr>
              <w:t>9</w:t>
            </w:r>
          </w:p>
        </w:tc>
        <w:tc>
          <w:tcPr>
            <w:tcW w:w="5958" w:type="dxa"/>
          </w:tcPr>
          <w:p w14:paraId="5FE6D0ED" w14:textId="77777777" w:rsidR="00BE78FD" w:rsidRPr="004236A1" w:rsidRDefault="00BE78FD" w:rsidP="00E00CF1">
            <w:pPr>
              <w:jc w:val="center"/>
              <w:rPr>
                <w:b/>
                <w:bCs/>
                <w:sz w:val="18"/>
                <w:szCs w:val="18"/>
              </w:rPr>
            </w:pPr>
            <w:r w:rsidRPr="004236A1">
              <w:rPr>
                <w:b/>
                <w:sz w:val="18"/>
                <w:szCs w:val="18"/>
              </w:rPr>
              <w:t>Remarks</w:t>
            </w:r>
          </w:p>
        </w:tc>
      </w:tr>
      <w:tr w:rsidR="00BE78FD" w14:paraId="239E4147" w14:textId="77777777" w:rsidTr="008267E8">
        <w:trPr>
          <w:jc w:val="center"/>
        </w:trPr>
        <w:tc>
          <w:tcPr>
            <w:tcW w:w="2718" w:type="dxa"/>
            <w:vAlign w:val="center"/>
          </w:tcPr>
          <w:p w14:paraId="10989C7D" w14:textId="77777777" w:rsidR="00BE78FD" w:rsidRPr="004236A1" w:rsidRDefault="00BE78FD" w:rsidP="00E00CF1">
            <w:pPr>
              <w:rPr>
                <w:sz w:val="18"/>
                <w:szCs w:val="18"/>
                <w:lang w:eastAsia="zh-CN"/>
              </w:rPr>
            </w:pPr>
            <w:r w:rsidRPr="004236A1">
              <w:rPr>
                <w:sz w:val="18"/>
                <w:szCs w:val="18"/>
                <w:lang w:eastAsia="zh-CN"/>
              </w:rPr>
              <w:t>Number of projects/ activities (investment and demonstration projects, TAS, PRP, IS) approved vs. planned</w:t>
            </w:r>
            <w:r w:rsidRPr="004236A1">
              <w:rPr>
                <w:rFonts w:hint="eastAsia"/>
                <w:sz w:val="18"/>
                <w:szCs w:val="18"/>
                <w:lang w:eastAsia="zh-CN"/>
              </w:rPr>
              <w:t xml:space="preserve"> </w:t>
            </w:r>
          </w:p>
        </w:tc>
        <w:tc>
          <w:tcPr>
            <w:tcW w:w="900" w:type="dxa"/>
            <w:vAlign w:val="center"/>
          </w:tcPr>
          <w:p w14:paraId="49B818B6" w14:textId="77777777" w:rsidR="00BE78FD" w:rsidRPr="004236A1" w:rsidRDefault="00BE78FD" w:rsidP="00E00CF1">
            <w:pPr>
              <w:jc w:val="center"/>
              <w:rPr>
                <w:sz w:val="18"/>
                <w:szCs w:val="18"/>
                <w:lang w:eastAsia="zh-CN"/>
              </w:rPr>
            </w:pPr>
            <w:r>
              <w:rPr>
                <w:sz w:val="18"/>
                <w:szCs w:val="18"/>
                <w:lang w:eastAsia="zh-CN"/>
              </w:rPr>
              <w:t>2</w:t>
            </w:r>
          </w:p>
        </w:tc>
        <w:tc>
          <w:tcPr>
            <w:tcW w:w="5958" w:type="dxa"/>
            <w:vAlign w:val="center"/>
          </w:tcPr>
          <w:p w14:paraId="3698EBE3" w14:textId="77777777" w:rsidR="00BE78FD" w:rsidRPr="00E33370" w:rsidRDefault="00BE78FD" w:rsidP="00E00CF1">
            <w:pPr>
              <w:rPr>
                <w:sz w:val="18"/>
                <w:szCs w:val="18"/>
                <w:lang w:eastAsia="zh-CN"/>
              </w:rPr>
            </w:pPr>
            <w:r>
              <w:rPr>
                <w:sz w:val="18"/>
                <w:szCs w:val="18"/>
                <w:lang w:eastAsia="zh-CN"/>
              </w:rPr>
              <w:t>HFC-23 demonstration projects for China and India</w:t>
            </w:r>
          </w:p>
        </w:tc>
      </w:tr>
    </w:tbl>
    <w:p w14:paraId="093B0428" w14:textId="77777777" w:rsidR="00BE78FD" w:rsidRDefault="00BE78FD" w:rsidP="00BE78FD">
      <w:pPr>
        <w:rPr>
          <w:b/>
        </w:rPr>
      </w:pPr>
    </w:p>
    <w:p w14:paraId="381B3152" w14:textId="77777777" w:rsidR="00BE78FD" w:rsidRPr="00E60BB1" w:rsidRDefault="00BE78FD" w:rsidP="00BE78FD">
      <w:pPr>
        <w:pStyle w:val="Heading2"/>
        <w:keepNext/>
        <w:keepLines/>
        <w:widowControl/>
        <w:numPr>
          <w:ilvl w:val="1"/>
          <w:numId w:val="21"/>
        </w:numPr>
        <w:spacing w:before="200" w:after="0"/>
        <w:ind w:left="0"/>
        <w:jc w:val="left"/>
        <w:rPr>
          <w:rFonts w:eastAsiaTheme="majorEastAsia" w:cstheme="majorBidi"/>
          <w:b/>
          <w:sz w:val="24"/>
          <w:szCs w:val="24"/>
          <w:lang w:val="en-US"/>
        </w:rPr>
      </w:pPr>
      <w:bookmarkStart w:id="13" w:name="_Toc395519924"/>
      <w:r w:rsidRPr="00E60BB1">
        <w:rPr>
          <w:rFonts w:eastAsiaTheme="majorEastAsia" w:cstheme="majorBidi"/>
          <w:b/>
          <w:sz w:val="24"/>
          <w:szCs w:val="24"/>
          <w:lang w:val="en-US"/>
        </w:rPr>
        <w:t>Implementation Performance Indicators</w:t>
      </w:r>
      <w:bookmarkEnd w:id="13"/>
    </w:p>
    <w:p w14:paraId="063FF8E0" w14:textId="77777777" w:rsidR="00BE78FD" w:rsidRPr="004236A1" w:rsidRDefault="00BE78FD" w:rsidP="00BE78FD"/>
    <w:p w14:paraId="5F3B53EF" w14:textId="77777777" w:rsidR="00BE78FD" w:rsidRPr="000110F1" w:rsidRDefault="00BE78FD" w:rsidP="00BE78FD">
      <w:pPr>
        <w:pStyle w:val="ListParagraph"/>
        <w:numPr>
          <w:ilvl w:val="0"/>
          <w:numId w:val="22"/>
        </w:numPr>
        <w:spacing w:after="120" w:line="276" w:lineRule="auto"/>
        <w:ind w:left="0" w:firstLine="0"/>
        <w:rPr>
          <w:sz w:val="22"/>
          <w:szCs w:val="22"/>
        </w:rPr>
      </w:pPr>
      <w:r w:rsidRPr="000110F1">
        <w:rPr>
          <w:sz w:val="22"/>
          <w:szCs w:val="22"/>
        </w:rPr>
        <w:t>Funds disbursed (</w:t>
      </w:r>
      <w:r w:rsidRPr="000110F1">
        <w:rPr>
          <w:sz w:val="22"/>
          <w:szCs w:val="22"/>
          <w:u w:val="single"/>
        </w:rPr>
        <w:t>Weighting: 15</w:t>
      </w:r>
      <w:r w:rsidRPr="000110F1">
        <w:rPr>
          <w:sz w:val="22"/>
          <w:szCs w:val="22"/>
        </w:rPr>
        <w:t>). In 201</w:t>
      </w:r>
      <w:r>
        <w:rPr>
          <w:sz w:val="22"/>
          <w:szCs w:val="22"/>
        </w:rPr>
        <w:t>9</w:t>
      </w:r>
      <w:r w:rsidRPr="000110F1">
        <w:rPr>
          <w:sz w:val="22"/>
          <w:szCs w:val="22"/>
        </w:rPr>
        <w:t xml:space="preserve">, the World Bank is targeting disbursement of </w:t>
      </w:r>
      <w:r w:rsidRPr="000110F1">
        <w:rPr>
          <w:i/>
          <w:sz w:val="22"/>
          <w:szCs w:val="22"/>
        </w:rPr>
        <w:t>$</w:t>
      </w:r>
      <w:r>
        <w:rPr>
          <w:i/>
          <w:sz w:val="22"/>
          <w:szCs w:val="22"/>
        </w:rPr>
        <w:t xml:space="preserve">19 </w:t>
      </w:r>
      <w:r w:rsidRPr="000110F1">
        <w:rPr>
          <w:i/>
          <w:sz w:val="22"/>
          <w:szCs w:val="22"/>
        </w:rPr>
        <w:t>million</w:t>
      </w:r>
      <w:r>
        <w:rPr>
          <w:i/>
          <w:sz w:val="22"/>
          <w:szCs w:val="22"/>
        </w:rPr>
        <w:t>.</w:t>
      </w:r>
      <w:r w:rsidRPr="000110F1">
        <w:rPr>
          <w:sz w:val="22"/>
          <w:szCs w:val="22"/>
        </w:rPr>
        <w:t xml:space="preserve"> </w:t>
      </w:r>
      <w:r>
        <w:rPr>
          <w:sz w:val="22"/>
          <w:szCs w:val="22"/>
        </w:rPr>
        <w:t xml:space="preserve">This is the balance of total committed funds after deducting the $20.3 million expected to be disbursed in 2018 based on </w:t>
      </w:r>
      <w:r w:rsidRPr="000110F1">
        <w:rPr>
          <w:sz w:val="22"/>
          <w:szCs w:val="22"/>
        </w:rPr>
        <w:t>the 201</w:t>
      </w:r>
      <w:r>
        <w:rPr>
          <w:sz w:val="22"/>
          <w:szCs w:val="22"/>
        </w:rPr>
        <w:t>7</w:t>
      </w:r>
      <w:r w:rsidRPr="000110F1">
        <w:rPr>
          <w:sz w:val="22"/>
          <w:szCs w:val="22"/>
        </w:rPr>
        <w:t xml:space="preserve"> Progress R</w:t>
      </w:r>
      <w:r>
        <w:rPr>
          <w:sz w:val="22"/>
          <w:szCs w:val="22"/>
        </w:rPr>
        <w:t>eport plus estimated disbursement from tranches received in 2018 and 2019.</w:t>
      </w:r>
    </w:p>
    <w:p w14:paraId="020FD843" w14:textId="77777777" w:rsidR="00BE78FD" w:rsidRPr="000110F1" w:rsidRDefault="00BE78FD" w:rsidP="00BE78FD">
      <w:pPr>
        <w:pStyle w:val="ListParagraph"/>
        <w:numPr>
          <w:ilvl w:val="0"/>
          <w:numId w:val="22"/>
        </w:numPr>
        <w:spacing w:after="120" w:line="276" w:lineRule="auto"/>
        <w:ind w:left="0" w:firstLine="0"/>
        <w:rPr>
          <w:sz w:val="22"/>
          <w:szCs w:val="22"/>
        </w:rPr>
      </w:pPr>
      <w:r w:rsidRPr="000110F1">
        <w:t>ODP</w:t>
      </w:r>
      <w:r w:rsidRPr="000110F1">
        <w:rPr>
          <w:sz w:val="22"/>
          <w:szCs w:val="22"/>
        </w:rPr>
        <w:t xml:space="preserve"> phased-out for the tranche when the next tranche is approved vs. those planned per progress reports (</w:t>
      </w:r>
      <w:r w:rsidRPr="000110F1">
        <w:rPr>
          <w:sz w:val="22"/>
          <w:szCs w:val="22"/>
          <w:u w:val="single"/>
        </w:rPr>
        <w:t>Weighting: 25</w:t>
      </w:r>
      <w:r w:rsidRPr="000110F1">
        <w:rPr>
          <w:sz w:val="22"/>
          <w:szCs w:val="22"/>
        </w:rPr>
        <w:t>): In 201</w:t>
      </w:r>
      <w:r>
        <w:rPr>
          <w:sz w:val="22"/>
          <w:szCs w:val="22"/>
        </w:rPr>
        <w:t>9</w:t>
      </w:r>
      <w:r w:rsidRPr="000110F1">
        <w:rPr>
          <w:sz w:val="22"/>
          <w:szCs w:val="22"/>
        </w:rPr>
        <w:t xml:space="preserve">, the World Bank expects to phase out a total of </w:t>
      </w:r>
      <w:r>
        <w:rPr>
          <w:i/>
          <w:iCs/>
          <w:sz w:val="22"/>
          <w:szCs w:val="22"/>
        </w:rPr>
        <w:t>224</w:t>
      </w:r>
      <w:r w:rsidRPr="00B174CC">
        <w:rPr>
          <w:i/>
          <w:iCs/>
          <w:sz w:val="22"/>
          <w:szCs w:val="22"/>
        </w:rPr>
        <w:t>.</w:t>
      </w:r>
      <w:r>
        <w:rPr>
          <w:i/>
          <w:iCs/>
          <w:sz w:val="22"/>
          <w:szCs w:val="22"/>
        </w:rPr>
        <w:t>6</w:t>
      </w:r>
      <w:r w:rsidRPr="000110F1">
        <w:rPr>
          <w:sz w:val="22"/>
          <w:szCs w:val="22"/>
        </w:rPr>
        <w:t xml:space="preserve"> ODP tons through implementation of approved multi-year projects.</w:t>
      </w:r>
    </w:p>
    <w:p w14:paraId="34E82D0D" w14:textId="77777777" w:rsidR="00BE78FD" w:rsidRPr="000110F1" w:rsidRDefault="00BE78FD" w:rsidP="00BE78FD">
      <w:pPr>
        <w:pStyle w:val="ListParagraph"/>
        <w:numPr>
          <w:ilvl w:val="0"/>
          <w:numId w:val="22"/>
        </w:numPr>
        <w:spacing w:after="120" w:line="276" w:lineRule="auto"/>
        <w:ind w:left="0" w:firstLine="0"/>
        <w:rPr>
          <w:sz w:val="22"/>
          <w:szCs w:val="22"/>
        </w:rPr>
      </w:pPr>
      <w:r w:rsidRPr="000110F1">
        <w:rPr>
          <w:sz w:val="22"/>
          <w:szCs w:val="22"/>
        </w:rPr>
        <w:t>Project completion vs. those planned in progress reports for all activities (excluding project preparation) (</w:t>
      </w:r>
      <w:r w:rsidRPr="000110F1">
        <w:rPr>
          <w:sz w:val="22"/>
          <w:szCs w:val="22"/>
          <w:u w:val="single"/>
        </w:rPr>
        <w:t>Weighting: 20</w:t>
      </w:r>
      <w:r w:rsidRPr="000110F1">
        <w:rPr>
          <w:sz w:val="22"/>
          <w:szCs w:val="22"/>
        </w:rPr>
        <w:t xml:space="preserve">): </w:t>
      </w:r>
      <w:r>
        <w:rPr>
          <w:sz w:val="22"/>
          <w:szCs w:val="22"/>
        </w:rPr>
        <w:t>I</w:t>
      </w:r>
      <w:r w:rsidRPr="000110F1">
        <w:rPr>
          <w:sz w:val="22"/>
          <w:szCs w:val="22"/>
        </w:rPr>
        <w:t>n 201</w:t>
      </w:r>
      <w:r>
        <w:rPr>
          <w:sz w:val="22"/>
          <w:szCs w:val="22"/>
        </w:rPr>
        <w:t>9, the World Bank expects to bring to completion a total of 3 individual project activities including enabling activities for Malaysia, Philippines and Thailand.</w:t>
      </w:r>
    </w:p>
    <w:p w14:paraId="4A1513BB" w14:textId="77777777" w:rsidR="00BE78FD" w:rsidRPr="00E60BB1" w:rsidRDefault="00BE78FD" w:rsidP="00BE78FD">
      <w:pPr>
        <w:pStyle w:val="Heading2"/>
        <w:keepNext/>
        <w:keepLines/>
        <w:widowControl/>
        <w:numPr>
          <w:ilvl w:val="1"/>
          <w:numId w:val="21"/>
        </w:numPr>
        <w:spacing w:before="200" w:after="0"/>
        <w:ind w:left="0"/>
        <w:jc w:val="left"/>
        <w:rPr>
          <w:rFonts w:eastAsiaTheme="majorEastAsia" w:cstheme="majorBidi"/>
          <w:b/>
          <w:sz w:val="24"/>
          <w:szCs w:val="24"/>
          <w:lang w:val="en-US"/>
        </w:rPr>
      </w:pPr>
      <w:bookmarkStart w:id="14" w:name="_Toc395519925"/>
      <w:r w:rsidRPr="00E60BB1">
        <w:rPr>
          <w:rFonts w:eastAsiaTheme="majorEastAsia" w:cstheme="majorBidi"/>
          <w:b/>
          <w:sz w:val="24"/>
          <w:szCs w:val="24"/>
          <w:lang w:val="en-US"/>
        </w:rPr>
        <w:t>Administrative Performance Indicators</w:t>
      </w:r>
      <w:bookmarkEnd w:id="14"/>
    </w:p>
    <w:p w14:paraId="25A2CCC5" w14:textId="77777777" w:rsidR="00BE78FD" w:rsidRPr="004236A1" w:rsidRDefault="00BE78FD" w:rsidP="00BE78FD"/>
    <w:p w14:paraId="71966141" w14:textId="77777777" w:rsidR="00BE78FD" w:rsidRPr="004236A1" w:rsidRDefault="00BE78FD" w:rsidP="00BE78FD">
      <w:pPr>
        <w:pStyle w:val="ListParagraph"/>
        <w:numPr>
          <w:ilvl w:val="0"/>
          <w:numId w:val="22"/>
        </w:numPr>
        <w:spacing w:after="120" w:line="276" w:lineRule="auto"/>
        <w:ind w:left="0" w:firstLine="0"/>
        <w:rPr>
          <w:sz w:val="22"/>
          <w:szCs w:val="22"/>
        </w:rPr>
      </w:pPr>
      <w:r w:rsidRPr="004236A1">
        <w:rPr>
          <w:sz w:val="22"/>
          <w:szCs w:val="22"/>
        </w:rPr>
        <w:t>Speed of financial completion after project completion (</w:t>
      </w:r>
      <w:r w:rsidRPr="004236A1">
        <w:rPr>
          <w:sz w:val="22"/>
          <w:szCs w:val="22"/>
          <w:u w:val="single"/>
        </w:rPr>
        <w:t xml:space="preserve">Weighting: </w:t>
      </w:r>
      <w:r w:rsidRPr="004236A1">
        <w:t>10</w:t>
      </w:r>
      <w:r w:rsidRPr="004236A1">
        <w:rPr>
          <w:sz w:val="22"/>
          <w:szCs w:val="22"/>
        </w:rPr>
        <w:t>): The Bank has set its target for financial completion of all project activities completed in 201</w:t>
      </w:r>
      <w:r>
        <w:rPr>
          <w:sz w:val="22"/>
          <w:szCs w:val="22"/>
        </w:rPr>
        <w:t>8</w:t>
      </w:r>
      <w:r w:rsidRPr="004236A1">
        <w:rPr>
          <w:sz w:val="22"/>
          <w:szCs w:val="22"/>
        </w:rPr>
        <w:t xml:space="preserve"> within 12 months at 90%. </w:t>
      </w:r>
    </w:p>
    <w:p w14:paraId="311DE397" w14:textId="77777777" w:rsidR="00BE78FD" w:rsidRPr="004236A1" w:rsidRDefault="00BE78FD" w:rsidP="00BE78FD">
      <w:pPr>
        <w:pStyle w:val="ListParagraph"/>
        <w:numPr>
          <w:ilvl w:val="0"/>
          <w:numId w:val="22"/>
        </w:numPr>
        <w:spacing w:after="120" w:line="276" w:lineRule="auto"/>
        <w:ind w:left="0" w:firstLine="0"/>
        <w:rPr>
          <w:sz w:val="22"/>
          <w:szCs w:val="22"/>
        </w:rPr>
      </w:pPr>
      <w:r w:rsidRPr="004236A1">
        <w:rPr>
          <w:sz w:val="22"/>
          <w:szCs w:val="22"/>
        </w:rPr>
        <w:t>Timely submission of project completion reports (</w:t>
      </w:r>
      <w:r w:rsidRPr="004236A1">
        <w:rPr>
          <w:sz w:val="22"/>
          <w:szCs w:val="22"/>
          <w:u w:val="single"/>
        </w:rPr>
        <w:t>Weighting: 5</w:t>
      </w:r>
      <w:r w:rsidRPr="004236A1">
        <w:rPr>
          <w:sz w:val="22"/>
          <w:szCs w:val="22"/>
        </w:rPr>
        <w:t>): The Bank plans to submit project completion reports as agreed with the Senior Monitoring and Evaluation Officer.</w:t>
      </w:r>
    </w:p>
    <w:p w14:paraId="62B0DDC3" w14:textId="77777777" w:rsidR="00BE78FD" w:rsidRPr="004236A1" w:rsidRDefault="00BE78FD" w:rsidP="00BE78FD">
      <w:pPr>
        <w:pStyle w:val="ListParagraph"/>
        <w:numPr>
          <w:ilvl w:val="0"/>
          <w:numId w:val="22"/>
        </w:numPr>
        <w:spacing w:after="120" w:line="276" w:lineRule="auto"/>
        <w:ind w:left="0" w:firstLine="0"/>
        <w:rPr>
          <w:sz w:val="22"/>
          <w:szCs w:val="22"/>
        </w:rPr>
      </w:pPr>
      <w:r w:rsidRPr="004236A1">
        <w:rPr>
          <w:sz w:val="22"/>
          <w:szCs w:val="22"/>
        </w:rPr>
        <w:t>Timely submission of progress reports and responses unless otherwise agreed (</w:t>
      </w:r>
      <w:r w:rsidRPr="004236A1">
        <w:rPr>
          <w:sz w:val="22"/>
          <w:szCs w:val="22"/>
          <w:u w:val="single"/>
        </w:rPr>
        <w:t>Weighting: 5</w:t>
      </w:r>
      <w:r w:rsidRPr="004236A1">
        <w:rPr>
          <w:sz w:val="22"/>
          <w:szCs w:val="22"/>
        </w:rPr>
        <w:t>): The Bank plans to submit its 201</w:t>
      </w:r>
      <w:r>
        <w:rPr>
          <w:sz w:val="22"/>
          <w:szCs w:val="22"/>
        </w:rPr>
        <w:t>9</w:t>
      </w:r>
      <w:r w:rsidRPr="004236A1">
        <w:rPr>
          <w:sz w:val="22"/>
          <w:szCs w:val="22"/>
        </w:rPr>
        <w:t xml:space="preserve"> Progress Report by the </w:t>
      </w:r>
      <w:r>
        <w:rPr>
          <w:sz w:val="22"/>
          <w:szCs w:val="22"/>
        </w:rPr>
        <w:t xml:space="preserve">agreed </w:t>
      </w:r>
      <w:r w:rsidRPr="004236A1">
        <w:rPr>
          <w:sz w:val="22"/>
          <w:szCs w:val="22"/>
        </w:rPr>
        <w:t>deadline.</w:t>
      </w:r>
    </w:p>
    <w:p w14:paraId="36386DBD" w14:textId="77777777" w:rsidR="00BE78FD" w:rsidRPr="004236A1" w:rsidRDefault="00BE78FD" w:rsidP="00BE78FD">
      <w:pPr>
        <w:pStyle w:val="ListParagraph"/>
        <w:numPr>
          <w:ilvl w:val="0"/>
          <w:numId w:val="22"/>
        </w:numPr>
        <w:spacing w:after="120" w:line="276" w:lineRule="auto"/>
        <w:ind w:left="0" w:firstLine="0"/>
        <w:rPr>
          <w:sz w:val="22"/>
          <w:szCs w:val="22"/>
        </w:rPr>
      </w:pPr>
      <w:r w:rsidRPr="004236A1">
        <w:rPr>
          <w:sz w:val="22"/>
          <w:szCs w:val="22"/>
        </w:rPr>
        <w:t>A summary of the World Bank’s 201</w:t>
      </w:r>
      <w:r>
        <w:rPr>
          <w:sz w:val="22"/>
          <w:szCs w:val="22"/>
        </w:rPr>
        <w:t>9</w:t>
      </w:r>
      <w:r w:rsidRPr="004236A1">
        <w:rPr>
          <w:sz w:val="22"/>
          <w:szCs w:val="22"/>
        </w:rPr>
        <w:t xml:space="preserve"> performance indicators is included in Table III-3 below.</w:t>
      </w:r>
    </w:p>
    <w:p w14:paraId="2DD6B4B7" w14:textId="77777777" w:rsidR="00BE78FD" w:rsidRPr="004236A1" w:rsidRDefault="00BE78FD" w:rsidP="00BE78FD">
      <w:pPr>
        <w:jc w:val="center"/>
        <w:rPr>
          <w:iCs/>
          <w:sz w:val="18"/>
          <w:szCs w:val="18"/>
        </w:rPr>
      </w:pPr>
      <w:r w:rsidRPr="004236A1">
        <w:rPr>
          <w:iCs/>
          <w:sz w:val="18"/>
          <w:szCs w:val="18"/>
        </w:rPr>
        <w:lastRenderedPageBreak/>
        <w:t>Table III-3:  Summary of World Bank’s 201</w:t>
      </w:r>
      <w:r>
        <w:rPr>
          <w:iCs/>
          <w:sz w:val="18"/>
          <w:szCs w:val="18"/>
        </w:rPr>
        <w:t>8</w:t>
      </w:r>
      <w:r w:rsidRPr="004236A1">
        <w:rPr>
          <w:iCs/>
          <w:sz w:val="18"/>
          <w:szCs w:val="18"/>
        </w:rPr>
        <w:t xml:space="preserve"> performance indicators</w:t>
      </w:r>
    </w:p>
    <w:p w14:paraId="20DFAE25" w14:textId="77777777" w:rsidR="00BE78FD" w:rsidRPr="004236A1" w:rsidRDefault="00BE78FD" w:rsidP="00BE78FD">
      <w:pPr>
        <w:jc w:val="center"/>
        <w:rPr>
          <w:i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5641"/>
        <w:gridCol w:w="1017"/>
        <w:gridCol w:w="874"/>
      </w:tblGrid>
      <w:tr w:rsidR="00BE78FD" w:rsidRPr="004236A1" w14:paraId="0F9F0F05" w14:textId="77777777" w:rsidTr="008267E8">
        <w:trPr>
          <w:trHeight w:val="20"/>
          <w:tblHeader/>
          <w:jc w:val="center"/>
        </w:trPr>
        <w:tc>
          <w:tcPr>
            <w:tcW w:w="1818" w:type="dxa"/>
            <w:shd w:val="clear" w:color="auto" w:fill="auto"/>
            <w:vAlign w:val="center"/>
          </w:tcPr>
          <w:p w14:paraId="402876DE" w14:textId="77777777" w:rsidR="00BE78FD" w:rsidRPr="004236A1" w:rsidRDefault="00BE78FD" w:rsidP="00E00CF1">
            <w:pPr>
              <w:jc w:val="center"/>
              <w:rPr>
                <w:b/>
                <w:bCs/>
                <w:iCs/>
                <w:sz w:val="18"/>
                <w:szCs w:val="18"/>
              </w:rPr>
            </w:pPr>
            <w:r w:rsidRPr="004236A1">
              <w:rPr>
                <w:b/>
                <w:bCs/>
                <w:iCs/>
                <w:sz w:val="18"/>
                <w:szCs w:val="18"/>
              </w:rPr>
              <w:t>Category of Performance Indicator</w:t>
            </w:r>
          </w:p>
        </w:tc>
        <w:tc>
          <w:tcPr>
            <w:tcW w:w="5641" w:type="dxa"/>
            <w:shd w:val="clear" w:color="auto" w:fill="auto"/>
            <w:vAlign w:val="center"/>
          </w:tcPr>
          <w:p w14:paraId="6B64E9AE" w14:textId="77777777" w:rsidR="00BE78FD" w:rsidRPr="004236A1" w:rsidRDefault="00BE78FD" w:rsidP="00E00CF1">
            <w:pPr>
              <w:jc w:val="center"/>
              <w:rPr>
                <w:b/>
                <w:bCs/>
                <w:iCs/>
                <w:sz w:val="18"/>
                <w:szCs w:val="18"/>
              </w:rPr>
            </w:pPr>
            <w:r w:rsidRPr="004236A1">
              <w:rPr>
                <w:b/>
                <w:bCs/>
                <w:iCs/>
                <w:sz w:val="18"/>
                <w:szCs w:val="18"/>
              </w:rPr>
              <w:t>Title</w:t>
            </w:r>
          </w:p>
        </w:tc>
        <w:tc>
          <w:tcPr>
            <w:tcW w:w="0" w:type="auto"/>
            <w:shd w:val="clear" w:color="auto" w:fill="auto"/>
            <w:noWrap/>
            <w:vAlign w:val="center"/>
          </w:tcPr>
          <w:p w14:paraId="1965998C" w14:textId="77777777" w:rsidR="00BE78FD" w:rsidRPr="004236A1" w:rsidRDefault="00BE78FD" w:rsidP="00E00CF1">
            <w:pPr>
              <w:jc w:val="center"/>
              <w:rPr>
                <w:b/>
                <w:bCs/>
                <w:iCs/>
                <w:sz w:val="18"/>
                <w:szCs w:val="18"/>
              </w:rPr>
            </w:pPr>
            <w:r w:rsidRPr="004236A1">
              <w:rPr>
                <w:b/>
                <w:bCs/>
                <w:iCs/>
                <w:sz w:val="18"/>
                <w:szCs w:val="18"/>
              </w:rPr>
              <w:t>Weighting</w:t>
            </w:r>
          </w:p>
        </w:tc>
        <w:tc>
          <w:tcPr>
            <w:tcW w:w="0" w:type="auto"/>
            <w:shd w:val="clear" w:color="auto" w:fill="auto"/>
            <w:vAlign w:val="center"/>
          </w:tcPr>
          <w:p w14:paraId="69C04189" w14:textId="77777777" w:rsidR="00BE78FD" w:rsidRPr="004236A1" w:rsidRDefault="00BE78FD" w:rsidP="00E00CF1">
            <w:pPr>
              <w:jc w:val="center"/>
              <w:rPr>
                <w:b/>
                <w:bCs/>
                <w:iCs/>
                <w:sz w:val="18"/>
                <w:szCs w:val="18"/>
              </w:rPr>
            </w:pPr>
            <w:r>
              <w:rPr>
                <w:b/>
                <w:bCs/>
                <w:iCs/>
                <w:sz w:val="18"/>
                <w:szCs w:val="18"/>
              </w:rPr>
              <w:t>2019</w:t>
            </w:r>
            <w:r w:rsidRPr="004236A1">
              <w:rPr>
                <w:b/>
                <w:bCs/>
                <w:iCs/>
                <w:sz w:val="18"/>
                <w:szCs w:val="18"/>
              </w:rPr>
              <w:t xml:space="preserve"> Target</w:t>
            </w:r>
          </w:p>
        </w:tc>
      </w:tr>
      <w:tr w:rsidR="00BE78FD" w:rsidRPr="004236A1" w14:paraId="300B77F0" w14:textId="77777777" w:rsidTr="008267E8">
        <w:trPr>
          <w:trHeight w:val="20"/>
          <w:jc w:val="center"/>
        </w:trPr>
        <w:tc>
          <w:tcPr>
            <w:tcW w:w="1818" w:type="dxa"/>
            <w:vMerge w:val="restart"/>
            <w:shd w:val="clear" w:color="auto" w:fill="auto"/>
            <w:vAlign w:val="center"/>
          </w:tcPr>
          <w:p w14:paraId="640FFC05" w14:textId="77777777" w:rsidR="00BE78FD" w:rsidRPr="004236A1" w:rsidRDefault="00BE78FD" w:rsidP="00E00CF1">
            <w:pPr>
              <w:rPr>
                <w:iCs/>
                <w:sz w:val="18"/>
                <w:szCs w:val="18"/>
              </w:rPr>
            </w:pPr>
            <w:r w:rsidRPr="004236A1">
              <w:rPr>
                <w:iCs/>
                <w:sz w:val="18"/>
                <w:szCs w:val="18"/>
              </w:rPr>
              <w:t>Planning -- Approval</w:t>
            </w:r>
          </w:p>
        </w:tc>
        <w:tc>
          <w:tcPr>
            <w:tcW w:w="5641" w:type="dxa"/>
            <w:shd w:val="clear" w:color="auto" w:fill="auto"/>
            <w:vAlign w:val="center"/>
          </w:tcPr>
          <w:p w14:paraId="5444376A" w14:textId="77777777" w:rsidR="00BE78FD" w:rsidRPr="004236A1" w:rsidRDefault="00BE78FD" w:rsidP="00E00CF1">
            <w:pPr>
              <w:rPr>
                <w:iCs/>
                <w:sz w:val="18"/>
                <w:szCs w:val="18"/>
              </w:rPr>
            </w:pPr>
            <w:r w:rsidRPr="004236A1">
              <w:rPr>
                <w:iCs/>
                <w:sz w:val="18"/>
                <w:szCs w:val="18"/>
              </w:rPr>
              <w:t>Tranches of previously approved multi-year agreements to be approved in 201</w:t>
            </w:r>
            <w:r>
              <w:rPr>
                <w:iCs/>
                <w:sz w:val="18"/>
                <w:szCs w:val="18"/>
              </w:rPr>
              <w:t>9</w:t>
            </w:r>
          </w:p>
        </w:tc>
        <w:tc>
          <w:tcPr>
            <w:tcW w:w="0" w:type="auto"/>
            <w:shd w:val="clear" w:color="auto" w:fill="auto"/>
            <w:noWrap/>
            <w:vAlign w:val="center"/>
          </w:tcPr>
          <w:p w14:paraId="580EB10D" w14:textId="77777777" w:rsidR="00BE78FD" w:rsidRPr="004236A1" w:rsidRDefault="00BE78FD" w:rsidP="00E00CF1">
            <w:pPr>
              <w:jc w:val="center"/>
              <w:rPr>
                <w:iCs/>
                <w:sz w:val="18"/>
                <w:szCs w:val="18"/>
              </w:rPr>
            </w:pPr>
            <w:r w:rsidRPr="004236A1">
              <w:rPr>
                <w:iCs/>
                <w:sz w:val="18"/>
                <w:szCs w:val="18"/>
              </w:rPr>
              <w:t>10</w:t>
            </w:r>
          </w:p>
        </w:tc>
        <w:tc>
          <w:tcPr>
            <w:tcW w:w="0" w:type="auto"/>
            <w:shd w:val="clear" w:color="auto" w:fill="auto"/>
            <w:noWrap/>
            <w:vAlign w:val="center"/>
          </w:tcPr>
          <w:p w14:paraId="46AB2DDE" w14:textId="77777777" w:rsidR="00BE78FD" w:rsidRPr="00BA4CFA" w:rsidRDefault="00BE78FD" w:rsidP="00E00CF1">
            <w:pPr>
              <w:jc w:val="center"/>
              <w:rPr>
                <w:iCs/>
                <w:sz w:val="18"/>
                <w:szCs w:val="18"/>
                <w:lang w:eastAsia="zh-CN"/>
              </w:rPr>
            </w:pPr>
            <w:r>
              <w:rPr>
                <w:iCs/>
                <w:sz w:val="18"/>
                <w:szCs w:val="18"/>
                <w:lang w:eastAsia="zh-CN"/>
              </w:rPr>
              <w:t>3</w:t>
            </w:r>
          </w:p>
        </w:tc>
      </w:tr>
      <w:tr w:rsidR="00BE78FD" w:rsidRPr="004236A1" w14:paraId="6A14F12A" w14:textId="77777777" w:rsidTr="008267E8">
        <w:trPr>
          <w:trHeight w:val="20"/>
          <w:jc w:val="center"/>
        </w:trPr>
        <w:tc>
          <w:tcPr>
            <w:tcW w:w="1818" w:type="dxa"/>
            <w:vMerge/>
            <w:shd w:val="clear" w:color="auto" w:fill="auto"/>
            <w:vAlign w:val="center"/>
          </w:tcPr>
          <w:p w14:paraId="4305074E" w14:textId="77777777" w:rsidR="00BE78FD" w:rsidRPr="004236A1" w:rsidRDefault="00BE78FD" w:rsidP="00E00CF1">
            <w:pPr>
              <w:rPr>
                <w:iCs/>
                <w:sz w:val="18"/>
                <w:szCs w:val="18"/>
              </w:rPr>
            </w:pPr>
          </w:p>
        </w:tc>
        <w:tc>
          <w:tcPr>
            <w:tcW w:w="5641" w:type="dxa"/>
            <w:shd w:val="clear" w:color="auto" w:fill="auto"/>
            <w:vAlign w:val="center"/>
          </w:tcPr>
          <w:p w14:paraId="32F6225D" w14:textId="77777777" w:rsidR="00BE78FD" w:rsidRPr="004236A1" w:rsidRDefault="00BE78FD" w:rsidP="00E00CF1">
            <w:pPr>
              <w:rPr>
                <w:iCs/>
                <w:sz w:val="18"/>
                <w:szCs w:val="18"/>
                <w:lang w:eastAsia="zh-CN"/>
              </w:rPr>
            </w:pPr>
            <w:r w:rsidRPr="004236A1">
              <w:rPr>
                <w:iCs/>
                <w:sz w:val="18"/>
                <w:szCs w:val="18"/>
              </w:rPr>
              <w:t>Number of projects/ activities (investment and demonstration projects, TAS, PRP, IS) approved vs. planned</w:t>
            </w:r>
            <w:r w:rsidRPr="004236A1">
              <w:rPr>
                <w:rFonts w:hint="eastAsia"/>
                <w:iCs/>
                <w:sz w:val="18"/>
                <w:szCs w:val="18"/>
                <w:lang w:eastAsia="zh-CN"/>
              </w:rPr>
              <w:t xml:space="preserve"> </w:t>
            </w:r>
          </w:p>
        </w:tc>
        <w:tc>
          <w:tcPr>
            <w:tcW w:w="0" w:type="auto"/>
            <w:shd w:val="clear" w:color="auto" w:fill="auto"/>
            <w:noWrap/>
            <w:vAlign w:val="center"/>
          </w:tcPr>
          <w:p w14:paraId="27911A43" w14:textId="77777777" w:rsidR="00BE78FD" w:rsidRPr="004236A1" w:rsidRDefault="00BE78FD" w:rsidP="00E00CF1">
            <w:pPr>
              <w:jc w:val="center"/>
              <w:rPr>
                <w:iCs/>
                <w:sz w:val="18"/>
                <w:szCs w:val="18"/>
              </w:rPr>
            </w:pPr>
            <w:r w:rsidRPr="004236A1">
              <w:rPr>
                <w:iCs/>
                <w:sz w:val="18"/>
                <w:szCs w:val="18"/>
              </w:rPr>
              <w:t>10</w:t>
            </w:r>
          </w:p>
        </w:tc>
        <w:tc>
          <w:tcPr>
            <w:tcW w:w="0" w:type="auto"/>
            <w:shd w:val="clear" w:color="auto" w:fill="auto"/>
            <w:noWrap/>
            <w:vAlign w:val="center"/>
          </w:tcPr>
          <w:p w14:paraId="04A932F7" w14:textId="77777777" w:rsidR="00BE78FD" w:rsidRPr="00BA4CFA" w:rsidRDefault="00BE78FD" w:rsidP="00E00CF1">
            <w:pPr>
              <w:jc w:val="center"/>
              <w:rPr>
                <w:iCs/>
                <w:sz w:val="18"/>
                <w:szCs w:val="18"/>
                <w:lang w:eastAsia="zh-CN"/>
              </w:rPr>
            </w:pPr>
            <w:r>
              <w:rPr>
                <w:iCs/>
                <w:sz w:val="18"/>
                <w:szCs w:val="18"/>
                <w:lang w:eastAsia="zh-CN"/>
              </w:rPr>
              <w:t>2</w:t>
            </w:r>
          </w:p>
        </w:tc>
      </w:tr>
      <w:tr w:rsidR="00BE78FD" w:rsidRPr="004236A1" w14:paraId="2C2F0A25" w14:textId="77777777" w:rsidTr="008267E8">
        <w:trPr>
          <w:trHeight w:val="20"/>
          <w:jc w:val="center"/>
        </w:trPr>
        <w:tc>
          <w:tcPr>
            <w:tcW w:w="1818" w:type="dxa"/>
            <w:vMerge w:val="restart"/>
            <w:shd w:val="clear" w:color="auto" w:fill="auto"/>
            <w:vAlign w:val="center"/>
          </w:tcPr>
          <w:p w14:paraId="4074C461" w14:textId="77777777" w:rsidR="00BE78FD" w:rsidRPr="004236A1" w:rsidRDefault="00BE78FD" w:rsidP="00E00CF1">
            <w:pPr>
              <w:rPr>
                <w:iCs/>
                <w:sz w:val="18"/>
                <w:szCs w:val="18"/>
              </w:rPr>
            </w:pPr>
            <w:r w:rsidRPr="004236A1">
              <w:rPr>
                <w:iCs/>
                <w:sz w:val="18"/>
                <w:szCs w:val="18"/>
              </w:rPr>
              <w:t>Implementation</w:t>
            </w:r>
          </w:p>
        </w:tc>
        <w:tc>
          <w:tcPr>
            <w:tcW w:w="5641" w:type="dxa"/>
            <w:shd w:val="clear" w:color="auto" w:fill="auto"/>
            <w:vAlign w:val="center"/>
          </w:tcPr>
          <w:p w14:paraId="5A9E9B32" w14:textId="77777777" w:rsidR="00BE78FD" w:rsidRPr="004236A1" w:rsidRDefault="00BE78FD" w:rsidP="00E00CF1">
            <w:pPr>
              <w:rPr>
                <w:iCs/>
                <w:sz w:val="18"/>
                <w:szCs w:val="18"/>
              </w:rPr>
            </w:pPr>
            <w:r w:rsidRPr="004236A1">
              <w:rPr>
                <w:iCs/>
                <w:sz w:val="18"/>
                <w:szCs w:val="18"/>
              </w:rPr>
              <w:t>Funds disbursed based on estimated disbursement in progress report</w:t>
            </w:r>
          </w:p>
        </w:tc>
        <w:tc>
          <w:tcPr>
            <w:tcW w:w="0" w:type="auto"/>
            <w:shd w:val="clear" w:color="auto" w:fill="auto"/>
            <w:noWrap/>
            <w:vAlign w:val="center"/>
          </w:tcPr>
          <w:p w14:paraId="11B4C4D4" w14:textId="77777777" w:rsidR="00BE78FD" w:rsidRPr="004236A1" w:rsidRDefault="00BE78FD" w:rsidP="00E00CF1">
            <w:pPr>
              <w:jc w:val="center"/>
              <w:rPr>
                <w:iCs/>
                <w:sz w:val="18"/>
                <w:szCs w:val="18"/>
              </w:rPr>
            </w:pPr>
            <w:r w:rsidRPr="004236A1">
              <w:rPr>
                <w:iCs/>
                <w:sz w:val="18"/>
                <w:szCs w:val="18"/>
              </w:rPr>
              <w:t>15</w:t>
            </w:r>
          </w:p>
        </w:tc>
        <w:tc>
          <w:tcPr>
            <w:tcW w:w="0" w:type="auto"/>
            <w:shd w:val="clear" w:color="auto" w:fill="auto"/>
            <w:noWrap/>
            <w:vAlign w:val="center"/>
          </w:tcPr>
          <w:p w14:paraId="5EEFAF90" w14:textId="77777777" w:rsidR="00BE78FD" w:rsidRPr="00BA4CFA" w:rsidRDefault="00BE78FD" w:rsidP="00E00CF1">
            <w:pPr>
              <w:jc w:val="center"/>
              <w:rPr>
                <w:iCs/>
                <w:sz w:val="18"/>
                <w:szCs w:val="18"/>
                <w:lang w:eastAsia="zh-CN"/>
              </w:rPr>
            </w:pPr>
            <w:r>
              <w:rPr>
                <w:iCs/>
                <w:sz w:val="18"/>
                <w:szCs w:val="18"/>
                <w:lang w:eastAsia="zh-CN"/>
              </w:rPr>
              <w:t>20.3</w:t>
            </w:r>
          </w:p>
        </w:tc>
      </w:tr>
      <w:tr w:rsidR="00BE78FD" w:rsidRPr="004236A1" w14:paraId="692A06E1" w14:textId="77777777" w:rsidTr="008267E8">
        <w:trPr>
          <w:trHeight w:val="20"/>
          <w:jc w:val="center"/>
        </w:trPr>
        <w:tc>
          <w:tcPr>
            <w:tcW w:w="1818" w:type="dxa"/>
            <w:vMerge/>
            <w:shd w:val="clear" w:color="auto" w:fill="auto"/>
            <w:vAlign w:val="center"/>
          </w:tcPr>
          <w:p w14:paraId="23A4F753" w14:textId="77777777" w:rsidR="00BE78FD" w:rsidRPr="004236A1" w:rsidRDefault="00BE78FD" w:rsidP="00E00CF1">
            <w:pPr>
              <w:rPr>
                <w:iCs/>
                <w:sz w:val="18"/>
                <w:szCs w:val="18"/>
              </w:rPr>
            </w:pPr>
          </w:p>
        </w:tc>
        <w:tc>
          <w:tcPr>
            <w:tcW w:w="5641" w:type="dxa"/>
            <w:shd w:val="clear" w:color="auto" w:fill="auto"/>
            <w:vAlign w:val="center"/>
          </w:tcPr>
          <w:p w14:paraId="0AB0E261" w14:textId="77777777" w:rsidR="00BE78FD" w:rsidRPr="004236A1" w:rsidRDefault="00BE78FD" w:rsidP="00E00CF1">
            <w:pPr>
              <w:rPr>
                <w:iCs/>
                <w:sz w:val="18"/>
                <w:szCs w:val="18"/>
              </w:rPr>
            </w:pPr>
            <w:r w:rsidRPr="004236A1">
              <w:rPr>
                <w:iCs/>
                <w:sz w:val="18"/>
                <w:szCs w:val="18"/>
              </w:rPr>
              <w:t>ODP phase-out for the tranche vs. that planned per progress reports</w:t>
            </w:r>
          </w:p>
        </w:tc>
        <w:tc>
          <w:tcPr>
            <w:tcW w:w="0" w:type="auto"/>
            <w:shd w:val="clear" w:color="auto" w:fill="auto"/>
            <w:noWrap/>
            <w:vAlign w:val="center"/>
          </w:tcPr>
          <w:p w14:paraId="3EE951B2" w14:textId="77777777" w:rsidR="00BE78FD" w:rsidRPr="004236A1" w:rsidRDefault="00BE78FD" w:rsidP="00E00CF1">
            <w:pPr>
              <w:jc w:val="center"/>
              <w:rPr>
                <w:iCs/>
                <w:sz w:val="18"/>
                <w:szCs w:val="18"/>
              </w:rPr>
            </w:pPr>
            <w:r w:rsidRPr="004236A1">
              <w:rPr>
                <w:iCs/>
                <w:sz w:val="18"/>
                <w:szCs w:val="18"/>
              </w:rPr>
              <w:t>25</w:t>
            </w:r>
          </w:p>
        </w:tc>
        <w:tc>
          <w:tcPr>
            <w:tcW w:w="0" w:type="auto"/>
            <w:shd w:val="clear" w:color="auto" w:fill="auto"/>
            <w:noWrap/>
            <w:vAlign w:val="center"/>
          </w:tcPr>
          <w:p w14:paraId="17EFE4D2" w14:textId="77777777" w:rsidR="00BE78FD" w:rsidRPr="00BA4CFA" w:rsidRDefault="00BE78FD" w:rsidP="00E00CF1">
            <w:pPr>
              <w:jc w:val="center"/>
              <w:rPr>
                <w:iCs/>
                <w:sz w:val="18"/>
                <w:szCs w:val="18"/>
                <w:lang w:eastAsia="zh-CN"/>
              </w:rPr>
            </w:pPr>
            <w:r>
              <w:rPr>
                <w:iCs/>
                <w:sz w:val="18"/>
                <w:szCs w:val="18"/>
                <w:lang w:eastAsia="zh-CN"/>
              </w:rPr>
              <w:t>224.6</w:t>
            </w:r>
          </w:p>
        </w:tc>
      </w:tr>
      <w:tr w:rsidR="00BE78FD" w:rsidRPr="004236A1" w14:paraId="0A3F6185" w14:textId="77777777" w:rsidTr="008267E8">
        <w:trPr>
          <w:trHeight w:val="424"/>
          <w:jc w:val="center"/>
        </w:trPr>
        <w:tc>
          <w:tcPr>
            <w:tcW w:w="1818" w:type="dxa"/>
            <w:vMerge/>
            <w:shd w:val="clear" w:color="auto" w:fill="auto"/>
            <w:vAlign w:val="center"/>
          </w:tcPr>
          <w:p w14:paraId="0C56E798" w14:textId="77777777" w:rsidR="00BE78FD" w:rsidRPr="004236A1" w:rsidRDefault="00BE78FD" w:rsidP="00E00CF1">
            <w:pPr>
              <w:rPr>
                <w:iCs/>
                <w:sz w:val="18"/>
                <w:szCs w:val="18"/>
              </w:rPr>
            </w:pPr>
          </w:p>
        </w:tc>
        <w:tc>
          <w:tcPr>
            <w:tcW w:w="5641" w:type="dxa"/>
            <w:shd w:val="clear" w:color="auto" w:fill="auto"/>
            <w:vAlign w:val="center"/>
          </w:tcPr>
          <w:p w14:paraId="7CFF5D60" w14:textId="77777777" w:rsidR="00BE78FD" w:rsidRPr="004236A1" w:rsidRDefault="00BE78FD" w:rsidP="00E00CF1">
            <w:pPr>
              <w:rPr>
                <w:iCs/>
                <w:sz w:val="18"/>
                <w:szCs w:val="18"/>
              </w:rPr>
            </w:pPr>
            <w:r w:rsidRPr="004236A1">
              <w:rPr>
                <w:iCs/>
                <w:sz w:val="18"/>
                <w:szCs w:val="18"/>
              </w:rPr>
              <w:t>Project completion vs. those planned per progress reports (excluding preparation)</w:t>
            </w:r>
          </w:p>
        </w:tc>
        <w:tc>
          <w:tcPr>
            <w:tcW w:w="0" w:type="auto"/>
            <w:shd w:val="clear" w:color="auto" w:fill="auto"/>
            <w:noWrap/>
            <w:vAlign w:val="center"/>
          </w:tcPr>
          <w:p w14:paraId="6BAE1DB0" w14:textId="77777777" w:rsidR="00BE78FD" w:rsidRPr="004236A1" w:rsidRDefault="00BE78FD" w:rsidP="00E00CF1">
            <w:pPr>
              <w:jc w:val="center"/>
              <w:rPr>
                <w:iCs/>
                <w:sz w:val="18"/>
                <w:szCs w:val="18"/>
              </w:rPr>
            </w:pPr>
            <w:r w:rsidRPr="004236A1">
              <w:rPr>
                <w:iCs/>
                <w:sz w:val="18"/>
                <w:szCs w:val="18"/>
              </w:rPr>
              <w:t>20</w:t>
            </w:r>
          </w:p>
        </w:tc>
        <w:tc>
          <w:tcPr>
            <w:tcW w:w="0" w:type="auto"/>
            <w:shd w:val="clear" w:color="auto" w:fill="auto"/>
            <w:noWrap/>
            <w:vAlign w:val="center"/>
          </w:tcPr>
          <w:p w14:paraId="11B5E5D9" w14:textId="77777777" w:rsidR="00BE78FD" w:rsidRPr="00BA4CFA" w:rsidRDefault="00BE78FD" w:rsidP="00E00CF1">
            <w:pPr>
              <w:jc w:val="center"/>
              <w:rPr>
                <w:iCs/>
                <w:sz w:val="18"/>
                <w:szCs w:val="18"/>
              </w:rPr>
            </w:pPr>
            <w:r>
              <w:rPr>
                <w:iCs/>
                <w:sz w:val="18"/>
                <w:szCs w:val="18"/>
              </w:rPr>
              <w:t>3</w:t>
            </w:r>
          </w:p>
        </w:tc>
      </w:tr>
      <w:tr w:rsidR="00BE78FD" w:rsidRPr="004236A1" w14:paraId="248D5FE0" w14:textId="77777777" w:rsidTr="008267E8">
        <w:trPr>
          <w:trHeight w:val="20"/>
          <w:jc w:val="center"/>
        </w:trPr>
        <w:tc>
          <w:tcPr>
            <w:tcW w:w="1818" w:type="dxa"/>
            <w:vMerge w:val="restart"/>
            <w:shd w:val="clear" w:color="auto" w:fill="auto"/>
            <w:vAlign w:val="center"/>
          </w:tcPr>
          <w:p w14:paraId="3C8CDAD2" w14:textId="77777777" w:rsidR="00BE78FD" w:rsidRPr="004236A1" w:rsidRDefault="00BE78FD" w:rsidP="00E00CF1">
            <w:pPr>
              <w:rPr>
                <w:iCs/>
                <w:sz w:val="18"/>
                <w:szCs w:val="18"/>
              </w:rPr>
            </w:pPr>
            <w:r w:rsidRPr="004236A1">
              <w:rPr>
                <w:iCs/>
                <w:sz w:val="18"/>
                <w:szCs w:val="18"/>
              </w:rPr>
              <w:t>Administrative</w:t>
            </w:r>
          </w:p>
        </w:tc>
        <w:tc>
          <w:tcPr>
            <w:tcW w:w="5641" w:type="dxa"/>
            <w:shd w:val="clear" w:color="auto" w:fill="auto"/>
            <w:vAlign w:val="center"/>
          </w:tcPr>
          <w:p w14:paraId="02B38A47" w14:textId="77777777" w:rsidR="00BE78FD" w:rsidRPr="004236A1" w:rsidRDefault="00BE78FD" w:rsidP="00E00CF1">
            <w:pPr>
              <w:rPr>
                <w:iCs/>
                <w:sz w:val="18"/>
                <w:szCs w:val="18"/>
              </w:rPr>
            </w:pPr>
            <w:r w:rsidRPr="004236A1">
              <w:rPr>
                <w:iCs/>
                <w:sz w:val="18"/>
                <w:szCs w:val="18"/>
              </w:rPr>
              <w:t>Speed of financial completion after project completion</w:t>
            </w:r>
          </w:p>
        </w:tc>
        <w:tc>
          <w:tcPr>
            <w:tcW w:w="0" w:type="auto"/>
            <w:shd w:val="clear" w:color="auto" w:fill="auto"/>
            <w:noWrap/>
            <w:vAlign w:val="center"/>
          </w:tcPr>
          <w:p w14:paraId="3CCC6D0E" w14:textId="77777777" w:rsidR="00BE78FD" w:rsidRPr="004236A1" w:rsidRDefault="00BE78FD" w:rsidP="00E00CF1">
            <w:pPr>
              <w:jc w:val="center"/>
              <w:rPr>
                <w:iCs/>
                <w:sz w:val="18"/>
                <w:szCs w:val="18"/>
              </w:rPr>
            </w:pPr>
            <w:r w:rsidRPr="004236A1">
              <w:rPr>
                <w:iCs/>
                <w:sz w:val="18"/>
                <w:szCs w:val="18"/>
              </w:rPr>
              <w:t>10</w:t>
            </w:r>
          </w:p>
        </w:tc>
        <w:tc>
          <w:tcPr>
            <w:tcW w:w="0" w:type="auto"/>
            <w:shd w:val="clear" w:color="auto" w:fill="auto"/>
            <w:noWrap/>
            <w:vAlign w:val="center"/>
          </w:tcPr>
          <w:p w14:paraId="098092D3" w14:textId="77777777" w:rsidR="00BE78FD" w:rsidRPr="004236A1" w:rsidRDefault="00BE78FD" w:rsidP="00E00CF1">
            <w:pPr>
              <w:jc w:val="center"/>
              <w:rPr>
                <w:iCs/>
                <w:sz w:val="18"/>
                <w:szCs w:val="18"/>
              </w:rPr>
            </w:pPr>
            <w:r w:rsidRPr="004236A1">
              <w:rPr>
                <w:iCs/>
                <w:sz w:val="18"/>
                <w:szCs w:val="18"/>
              </w:rPr>
              <w:t>90%</w:t>
            </w:r>
          </w:p>
        </w:tc>
      </w:tr>
      <w:tr w:rsidR="00BE78FD" w:rsidRPr="004236A1" w14:paraId="27498CE1" w14:textId="77777777" w:rsidTr="008267E8">
        <w:trPr>
          <w:trHeight w:val="20"/>
          <w:jc w:val="center"/>
        </w:trPr>
        <w:tc>
          <w:tcPr>
            <w:tcW w:w="1818" w:type="dxa"/>
            <w:vMerge/>
            <w:shd w:val="clear" w:color="auto" w:fill="auto"/>
            <w:vAlign w:val="center"/>
          </w:tcPr>
          <w:p w14:paraId="5EA3E931" w14:textId="77777777" w:rsidR="00BE78FD" w:rsidRPr="004236A1" w:rsidRDefault="00BE78FD" w:rsidP="00E00CF1">
            <w:pPr>
              <w:rPr>
                <w:iCs/>
                <w:sz w:val="18"/>
                <w:szCs w:val="18"/>
              </w:rPr>
            </w:pPr>
          </w:p>
        </w:tc>
        <w:tc>
          <w:tcPr>
            <w:tcW w:w="5641" w:type="dxa"/>
            <w:shd w:val="clear" w:color="auto" w:fill="auto"/>
            <w:vAlign w:val="center"/>
          </w:tcPr>
          <w:p w14:paraId="5135EE51" w14:textId="77777777" w:rsidR="00BE78FD" w:rsidRPr="004236A1" w:rsidRDefault="00BE78FD" w:rsidP="00E00CF1">
            <w:pPr>
              <w:rPr>
                <w:iCs/>
                <w:sz w:val="18"/>
                <w:szCs w:val="18"/>
              </w:rPr>
            </w:pPr>
            <w:r w:rsidRPr="004236A1">
              <w:rPr>
                <w:iCs/>
                <w:sz w:val="18"/>
                <w:szCs w:val="18"/>
              </w:rPr>
              <w:t>Timely submission of project completion reports</w:t>
            </w:r>
          </w:p>
        </w:tc>
        <w:tc>
          <w:tcPr>
            <w:tcW w:w="0" w:type="auto"/>
            <w:shd w:val="clear" w:color="auto" w:fill="auto"/>
            <w:noWrap/>
            <w:vAlign w:val="center"/>
          </w:tcPr>
          <w:p w14:paraId="1D047A63" w14:textId="77777777" w:rsidR="00BE78FD" w:rsidRPr="004236A1" w:rsidRDefault="00BE78FD" w:rsidP="00E00CF1">
            <w:pPr>
              <w:jc w:val="center"/>
              <w:rPr>
                <w:iCs/>
                <w:sz w:val="18"/>
                <w:szCs w:val="18"/>
              </w:rPr>
            </w:pPr>
            <w:r w:rsidRPr="004236A1">
              <w:rPr>
                <w:iCs/>
                <w:sz w:val="18"/>
                <w:szCs w:val="18"/>
              </w:rPr>
              <w:t>5</w:t>
            </w:r>
          </w:p>
        </w:tc>
        <w:tc>
          <w:tcPr>
            <w:tcW w:w="0" w:type="auto"/>
            <w:shd w:val="clear" w:color="auto" w:fill="auto"/>
            <w:noWrap/>
            <w:vAlign w:val="center"/>
          </w:tcPr>
          <w:p w14:paraId="4FD7DD17" w14:textId="77777777" w:rsidR="00BE78FD" w:rsidRPr="004236A1" w:rsidRDefault="00BE78FD" w:rsidP="00E00CF1">
            <w:pPr>
              <w:jc w:val="center"/>
              <w:rPr>
                <w:iCs/>
                <w:sz w:val="18"/>
                <w:szCs w:val="18"/>
              </w:rPr>
            </w:pPr>
            <w:r w:rsidRPr="004236A1">
              <w:rPr>
                <w:iCs/>
                <w:sz w:val="18"/>
                <w:szCs w:val="18"/>
              </w:rPr>
              <w:t>On time</w:t>
            </w:r>
          </w:p>
        </w:tc>
      </w:tr>
      <w:tr w:rsidR="00BE78FD" w:rsidRPr="00BF4B5B" w14:paraId="7BB3A99F" w14:textId="77777777" w:rsidTr="008267E8">
        <w:trPr>
          <w:trHeight w:val="20"/>
          <w:jc w:val="center"/>
        </w:trPr>
        <w:tc>
          <w:tcPr>
            <w:tcW w:w="1818" w:type="dxa"/>
            <w:vMerge/>
            <w:shd w:val="clear" w:color="auto" w:fill="auto"/>
            <w:vAlign w:val="center"/>
          </w:tcPr>
          <w:p w14:paraId="4BAE5F31" w14:textId="77777777" w:rsidR="00BE78FD" w:rsidRPr="004236A1" w:rsidRDefault="00BE78FD" w:rsidP="00E00CF1">
            <w:pPr>
              <w:rPr>
                <w:iCs/>
                <w:sz w:val="18"/>
                <w:szCs w:val="18"/>
              </w:rPr>
            </w:pPr>
          </w:p>
        </w:tc>
        <w:tc>
          <w:tcPr>
            <w:tcW w:w="5641" w:type="dxa"/>
            <w:shd w:val="clear" w:color="auto" w:fill="auto"/>
            <w:vAlign w:val="center"/>
          </w:tcPr>
          <w:p w14:paraId="7B86B144" w14:textId="77777777" w:rsidR="00BE78FD" w:rsidRPr="004236A1" w:rsidRDefault="00BE78FD" w:rsidP="00E00CF1">
            <w:pPr>
              <w:rPr>
                <w:iCs/>
                <w:sz w:val="18"/>
                <w:szCs w:val="18"/>
              </w:rPr>
            </w:pPr>
            <w:r w:rsidRPr="004236A1">
              <w:rPr>
                <w:iCs/>
                <w:sz w:val="18"/>
                <w:szCs w:val="18"/>
              </w:rPr>
              <w:t xml:space="preserve">Timely submission of progress reports </w:t>
            </w:r>
          </w:p>
        </w:tc>
        <w:tc>
          <w:tcPr>
            <w:tcW w:w="0" w:type="auto"/>
            <w:shd w:val="clear" w:color="auto" w:fill="auto"/>
            <w:noWrap/>
            <w:vAlign w:val="center"/>
          </w:tcPr>
          <w:p w14:paraId="794B6F11" w14:textId="77777777" w:rsidR="00BE78FD" w:rsidRPr="004236A1" w:rsidRDefault="00BE78FD" w:rsidP="00E00CF1">
            <w:pPr>
              <w:jc w:val="center"/>
              <w:rPr>
                <w:iCs/>
                <w:sz w:val="18"/>
                <w:szCs w:val="18"/>
              </w:rPr>
            </w:pPr>
            <w:r w:rsidRPr="004236A1">
              <w:rPr>
                <w:iCs/>
                <w:sz w:val="18"/>
                <w:szCs w:val="18"/>
              </w:rPr>
              <w:t>5</w:t>
            </w:r>
          </w:p>
        </w:tc>
        <w:tc>
          <w:tcPr>
            <w:tcW w:w="0" w:type="auto"/>
            <w:shd w:val="clear" w:color="auto" w:fill="auto"/>
            <w:noWrap/>
            <w:vAlign w:val="center"/>
          </w:tcPr>
          <w:p w14:paraId="5DF0D8A2" w14:textId="77777777" w:rsidR="00BE78FD" w:rsidRPr="004236A1" w:rsidRDefault="00BE78FD" w:rsidP="00E00CF1">
            <w:pPr>
              <w:jc w:val="center"/>
              <w:rPr>
                <w:iCs/>
                <w:sz w:val="18"/>
                <w:szCs w:val="18"/>
              </w:rPr>
            </w:pPr>
            <w:r w:rsidRPr="004236A1">
              <w:rPr>
                <w:iCs/>
                <w:sz w:val="18"/>
                <w:szCs w:val="18"/>
              </w:rPr>
              <w:t>On time</w:t>
            </w:r>
          </w:p>
        </w:tc>
      </w:tr>
    </w:tbl>
    <w:p w14:paraId="367F32BF" w14:textId="77777777" w:rsidR="00BE78FD" w:rsidRDefault="00BE78FD" w:rsidP="00BE78FD">
      <w:pPr>
        <w:jc w:val="center"/>
        <w:rPr>
          <w:iCs/>
        </w:rPr>
      </w:pPr>
    </w:p>
    <w:p w14:paraId="48CA9823" w14:textId="77777777" w:rsidR="00BE78FD" w:rsidRPr="00784885" w:rsidRDefault="00BE78FD" w:rsidP="00BE78FD">
      <w:pPr>
        <w:autoSpaceDE w:val="0"/>
        <w:autoSpaceDN w:val="0"/>
        <w:adjustRightInd w:val="0"/>
      </w:pPr>
    </w:p>
    <w:p w14:paraId="1F3B4CE2" w14:textId="77777777" w:rsidR="00BE78FD" w:rsidRPr="00E60BB1" w:rsidRDefault="00BE78FD" w:rsidP="00BE78FD">
      <w:pPr>
        <w:pStyle w:val="Heading1"/>
        <w:keepNext/>
        <w:numPr>
          <w:ilvl w:val="0"/>
          <w:numId w:val="21"/>
        </w:numPr>
        <w:spacing w:before="240"/>
        <w:jc w:val="left"/>
        <w:rPr>
          <w:rFonts w:eastAsia="SimSun"/>
          <w:b/>
          <w:bCs/>
          <w:sz w:val="28"/>
          <w:szCs w:val="24"/>
          <w:lang w:val="en-US"/>
        </w:rPr>
      </w:pPr>
      <w:bookmarkStart w:id="15" w:name="_Toc395519926"/>
      <w:bookmarkEnd w:id="12"/>
      <w:r w:rsidRPr="00E60BB1">
        <w:rPr>
          <w:rFonts w:eastAsia="SimSun"/>
          <w:b/>
          <w:bCs/>
          <w:sz w:val="28"/>
          <w:szCs w:val="24"/>
          <w:lang w:val="en-US"/>
        </w:rPr>
        <w:t>POLICY ISSUES</w:t>
      </w:r>
      <w:bookmarkEnd w:id="15"/>
    </w:p>
    <w:p w14:paraId="41014F98" w14:textId="77777777" w:rsidR="00BE78FD" w:rsidRPr="00716F22" w:rsidRDefault="00BE78FD" w:rsidP="00BE78FD">
      <w:pPr>
        <w:pStyle w:val="ListParagraph"/>
        <w:numPr>
          <w:ilvl w:val="0"/>
          <w:numId w:val="22"/>
        </w:numPr>
        <w:spacing w:after="120" w:line="276" w:lineRule="auto"/>
        <w:ind w:left="0" w:firstLine="0"/>
        <w:rPr>
          <w:sz w:val="22"/>
          <w:szCs w:val="22"/>
        </w:rPr>
      </w:pPr>
      <w:r>
        <w:t>There are no policy issues to raise at the time of submission.</w:t>
      </w:r>
    </w:p>
    <w:p w14:paraId="6A575DB9" w14:textId="77777777" w:rsidR="00BE78FD" w:rsidRDefault="00BE78FD" w:rsidP="00BE78FD">
      <w:pPr>
        <w:pStyle w:val="ListParagraph"/>
        <w:spacing w:after="120" w:line="276" w:lineRule="auto"/>
        <w:ind w:left="0"/>
        <w:rPr>
          <w:sz w:val="22"/>
          <w:szCs w:val="22"/>
        </w:rPr>
      </w:pPr>
    </w:p>
    <w:p w14:paraId="34B36470" w14:textId="77777777" w:rsidR="00BE78FD" w:rsidRPr="00210901" w:rsidRDefault="00BE78FD" w:rsidP="00BE78FD">
      <w:pPr>
        <w:rPr>
          <w:lang w:val="en-US"/>
        </w:rPr>
      </w:pPr>
    </w:p>
    <w:p w14:paraId="4A601EE2" w14:textId="77777777" w:rsidR="004E7F9C" w:rsidRDefault="004E7F9C" w:rsidP="004E7F9C">
      <w:pPr>
        <w:pStyle w:val="Heading1"/>
        <w:numPr>
          <w:ilvl w:val="0"/>
          <w:numId w:val="0"/>
        </w:numPr>
      </w:pPr>
    </w:p>
    <w:p w14:paraId="648D9CBD" w14:textId="77777777" w:rsidR="008C5738" w:rsidRDefault="008C5738" w:rsidP="004E7F9C">
      <w:pPr>
        <w:pStyle w:val="StyleHeader4Para4Left0Firstline0"/>
        <w:numPr>
          <w:ilvl w:val="0"/>
          <w:numId w:val="0"/>
        </w:numPr>
      </w:pPr>
    </w:p>
    <w:p w14:paraId="3F2754FE" w14:textId="77777777" w:rsidR="00E85409" w:rsidRPr="00B04161" w:rsidRDefault="00E85409" w:rsidP="004E7F9C">
      <w:pPr>
        <w:rPr>
          <w:lang w:val="en-CA"/>
        </w:rPr>
      </w:pPr>
    </w:p>
    <w:sectPr w:rsidR="00E85409" w:rsidRPr="00B04161" w:rsidSect="00BE78FD">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B6FE" w14:textId="77777777" w:rsidR="00BE78FD" w:rsidRDefault="00BE78FD" w:rsidP="004A504B">
      <w:r>
        <w:separator/>
      </w:r>
    </w:p>
  </w:endnote>
  <w:endnote w:type="continuationSeparator" w:id="0">
    <w:p w14:paraId="16C077C5" w14:textId="77777777" w:rsidR="00BE78FD" w:rsidRDefault="00BE78F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Andes">
    <w:altName w:val="Calibri"/>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5ADD" w14:textId="6C1C17E6" w:rsidR="00BE78FD" w:rsidRPr="0033525D" w:rsidRDefault="00BE78FD">
    <w:pPr>
      <w:jc w:val="center"/>
    </w:pPr>
    <w:r>
      <w:fldChar w:fldCharType="begin"/>
    </w:r>
    <w:r>
      <w:instrText xml:space="preserve"> PAGE </w:instrText>
    </w:r>
    <w:r>
      <w:fldChar w:fldCharType="separate"/>
    </w:r>
    <w:r w:rsidR="006B1727">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7727" w14:textId="71517818" w:rsidR="00BE78FD" w:rsidRPr="0033525D" w:rsidRDefault="00BE78FD">
    <w:pPr>
      <w:jc w:val="center"/>
    </w:pPr>
    <w:r>
      <w:fldChar w:fldCharType="begin"/>
    </w:r>
    <w:r>
      <w:instrText xml:space="preserve"> PAGE </w:instrText>
    </w:r>
    <w:r>
      <w:fldChar w:fldCharType="separate"/>
    </w:r>
    <w:r w:rsidR="006B1727">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C4B01" w14:textId="77777777" w:rsidR="00BE78FD" w:rsidRDefault="00BE78FD"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54461325" w14:textId="77777777" w:rsidR="00BE78FD" w:rsidRDefault="00BE78FD"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26246"/>
      <w:docPartObj>
        <w:docPartGallery w:val="Page Numbers (Bottom of Page)"/>
        <w:docPartUnique/>
      </w:docPartObj>
    </w:sdtPr>
    <w:sdtEndPr>
      <w:rPr>
        <w:noProof/>
        <w:sz w:val="20"/>
        <w:szCs w:val="20"/>
      </w:rPr>
    </w:sdtEndPr>
    <w:sdtContent>
      <w:p w14:paraId="3FB658FE" w14:textId="77777777" w:rsidR="00BE78FD" w:rsidRPr="00F84C58" w:rsidRDefault="00BE78FD">
        <w:pPr>
          <w:pStyle w:val="Footer"/>
          <w:jc w:val="right"/>
          <w:rPr>
            <w:sz w:val="20"/>
            <w:szCs w:val="20"/>
          </w:rPr>
        </w:pPr>
        <w:r w:rsidRPr="00F84C58">
          <w:rPr>
            <w:sz w:val="20"/>
            <w:szCs w:val="20"/>
          </w:rPr>
          <w:fldChar w:fldCharType="begin"/>
        </w:r>
        <w:r w:rsidRPr="00F84C58">
          <w:rPr>
            <w:sz w:val="20"/>
            <w:szCs w:val="20"/>
          </w:rPr>
          <w:instrText xml:space="preserve"> PAGE   \* MERGEFORMAT </w:instrText>
        </w:r>
        <w:r w:rsidRPr="00F84C58">
          <w:rPr>
            <w:sz w:val="20"/>
            <w:szCs w:val="20"/>
          </w:rPr>
          <w:fldChar w:fldCharType="separate"/>
        </w:r>
        <w:r>
          <w:rPr>
            <w:noProof/>
            <w:sz w:val="20"/>
            <w:szCs w:val="20"/>
          </w:rPr>
          <w:t>3</w:t>
        </w:r>
        <w:r w:rsidRPr="00F84C58">
          <w:rPr>
            <w:noProof/>
            <w:sz w:val="20"/>
            <w:szCs w:val="20"/>
          </w:rPr>
          <w:fldChar w:fldCharType="end"/>
        </w:r>
      </w:p>
    </w:sdtContent>
  </w:sdt>
  <w:p w14:paraId="5180E063" w14:textId="77777777" w:rsidR="00BE78FD" w:rsidRDefault="00BE78F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415782"/>
      <w:docPartObj>
        <w:docPartGallery w:val="Page Numbers (Bottom of Page)"/>
        <w:docPartUnique/>
      </w:docPartObj>
    </w:sdtPr>
    <w:sdtEndPr>
      <w:rPr>
        <w:noProof/>
      </w:rPr>
    </w:sdtEndPr>
    <w:sdtContent>
      <w:p w14:paraId="5744FB28" w14:textId="34B5E89D" w:rsidR="00BE78FD" w:rsidRDefault="00BE78FD">
        <w:pPr>
          <w:pStyle w:val="Footer"/>
          <w:jc w:val="right"/>
        </w:pPr>
        <w:r>
          <w:fldChar w:fldCharType="begin"/>
        </w:r>
        <w:r>
          <w:instrText xml:space="preserve"> PAGE   \* MERGEFORMAT </w:instrText>
        </w:r>
        <w:r>
          <w:fldChar w:fldCharType="separate"/>
        </w:r>
        <w:r w:rsidR="006B1727">
          <w:rPr>
            <w:noProof/>
          </w:rPr>
          <w:t>1</w:t>
        </w:r>
        <w:r>
          <w:rPr>
            <w:noProof/>
          </w:rPr>
          <w:fldChar w:fldCharType="end"/>
        </w:r>
      </w:p>
    </w:sdtContent>
  </w:sdt>
  <w:p w14:paraId="0C641982" w14:textId="77777777" w:rsidR="00BE78FD" w:rsidRPr="00E60BB1" w:rsidRDefault="00BE78FD" w:rsidP="00E60BB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163145"/>
      <w:docPartObj>
        <w:docPartGallery w:val="Page Numbers (Bottom of Page)"/>
        <w:docPartUnique/>
      </w:docPartObj>
    </w:sdtPr>
    <w:sdtEndPr>
      <w:rPr>
        <w:noProof/>
      </w:rPr>
    </w:sdtEndPr>
    <w:sdtContent>
      <w:p w14:paraId="027FDB8B" w14:textId="7D7BBE9A" w:rsidR="00BE78FD" w:rsidRDefault="00BE78FD">
        <w:pPr>
          <w:pStyle w:val="Footer"/>
          <w:jc w:val="right"/>
        </w:pPr>
        <w:r>
          <w:fldChar w:fldCharType="begin"/>
        </w:r>
        <w:r>
          <w:instrText xml:space="preserve"> PAGE   \* MERGEFORMAT </w:instrText>
        </w:r>
        <w:r>
          <w:fldChar w:fldCharType="separate"/>
        </w:r>
        <w:r w:rsidR="006B1727">
          <w:rPr>
            <w:noProof/>
          </w:rPr>
          <w:t>6</w:t>
        </w:r>
        <w:r>
          <w:rPr>
            <w:noProof/>
          </w:rPr>
          <w:fldChar w:fldCharType="end"/>
        </w:r>
      </w:p>
    </w:sdtContent>
  </w:sdt>
  <w:p w14:paraId="7EC99DF4" w14:textId="499F6203" w:rsidR="00DC6A10" w:rsidRPr="0033525D" w:rsidRDefault="00DC6A10">
    <w:pPr>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933916"/>
      <w:docPartObj>
        <w:docPartGallery w:val="Page Numbers (Bottom of Page)"/>
        <w:docPartUnique/>
      </w:docPartObj>
    </w:sdtPr>
    <w:sdtEndPr>
      <w:rPr>
        <w:noProof/>
      </w:rPr>
    </w:sdtEndPr>
    <w:sdtContent>
      <w:p w14:paraId="02725502" w14:textId="61781C2C" w:rsidR="00BE78FD" w:rsidRDefault="00BE78FD">
        <w:pPr>
          <w:pStyle w:val="Footer"/>
          <w:jc w:val="right"/>
        </w:pPr>
        <w:r>
          <w:fldChar w:fldCharType="begin"/>
        </w:r>
        <w:r>
          <w:instrText xml:space="preserve"> PAGE   \* MERGEFORMAT </w:instrText>
        </w:r>
        <w:r>
          <w:fldChar w:fldCharType="separate"/>
        </w:r>
        <w:r w:rsidR="006B1727">
          <w:rPr>
            <w:noProof/>
          </w:rPr>
          <w:t>7</w:t>
        </w:r>
        <w:r>
          <w:rPr>
            <w:noProof/>
          </w:rPr>
          <w:fldChar w:fldCharType="end"/>
        </w:r>
      </w:p>
    </w:sdtContent>
  </w:sdt>
  <w:p w14:paraId="61E5ECA4" w14:textId="212779A4" w:rsidR="00DC6A10" w:rsidRPr="0033525D" w:rsidRDefault="00DC6A10">
    <w:pPr>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897106"/>
      <w:docPartObj>
        <w:docPartGallery w:val="Page Numbers (Bottom of Page)"/>
        <w:docPartUnique/>
      </w:docPartObj>
    </w:sdtPr>
    <w:sdtEndPr>
      <w:rPr>
        <w:noProof/>
      </w:rPr>
    </w:sdtEndPr>
    <w:sdtContent>
      <w:p w14:paraId="0F282E49" w14:textId="291ED5B1" w:rsidR="00BE78FD" w:rsidRDefault="00BE78FD">
        <w:pPr>
          <w:pStyle w:val="Footer"/>
          <w:jc w:val="right"/>
        </w:pPr>
        <w:r>
          <w:fldChar w:fldCharType="begin"/>
        </w:r>
        <w:r>
          <w:instrText xml:space="preserve"> PAGE   \* MERGEFORMAT </w:instrText>
        </w:r>
        <w:r>
          <w:fldChar w:fldCharType="separate"/>
        </w:r>
        <w:r w:rsidR="006B1727">
          <w:rPr>
            <w:noProof/>
          </w:rPr>
          <w:t>1</w:t>
        </w:r>
        <w:r>
          <w:rPr>
            <w:noProof/>
          </w:rPr>
          <w:fldChar w:fldCharType="end"/>
        </w:r>
      </w:p>
    </w:sdtContent>
  </w:sdt>
  <w:p w14:paraId="395B6E98" w14:textId="77777777" w:rsidR="004E7F9C" w:rsidRPr="00BE78FD" w:rsidRDefault="004E7F9C" w:rsidP="00BE78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AF313" w14:textId="77777777" w:rsidR="00BE78FD" w:rsidRDefault="00BE78FD" w:rsidP="004A504B">
      <w:r>
        <w:separator/>
      </w:r>
    </w:p>
  </w:footnote>
  <w:footnote w:type="continuationSeparator" w:id="0">
    <w:p w14:paraId="496BC0AC" w14:textId="77777777" w:rsidR="00BE78FD" w:rsidRDefault="00BE78FD" w:rsidP="004A504B">
      <w:r>
        <w:continuationSeparator/>
      </w:r>
    </w:p>
  </w:footnote>
  <w:footnote w:id="1">
    <w:p w14:paraId="5CDE7E8B" w14:textId="77777777" w:rsidR="00BE78FD" w:rsidRPr="005F3DC7" w:rsidRDefault="00BE78FD" w:rsidP="00BE78FD">
      <w:pPr>
        <w:pStyle w:val="FootnoteText"/>
      </w:pPr>
      <w:r w:rsidRPr="005F3DC7">
        <w:rPr>
          <w:rStyle w:val="FootnoteReference"/>
        </w:rPr>
        <w:footnoteRef/>
      </w:r>
      <w:r w:rsidRPr="005F3DC7">
        <w:t xml:space="preserve"> A draft business plan for 2019</w:t>
      </w:r>
      <w:r w:rsidRPr="001F613A">
        <w:t>–</w:t>
      </w:r>
      <w:r w:rsidRPr="005F3DC7">
        <w:t>2021 of the World Bank was discussed at the Inter-agency coordination meeting (IACM) held in Montreal from 4 to 6 September 2018. The business plan contained in this document has addressed the issues raised at the meeting.</w:t>
      </w:r>
    </w:p>
  </w:footnote>
  <w:footnote w:id="2">
    <w:p w14:paraId="5EA981D2" w14:textId="77777777" w:rsidR="00BE78FD" w:rsidRPr="00AA13B2" w:rsidRDefault="00BE78FD" w:rsidP="00BE78FD">
      <w:pPr>
        <w:pStyle w:val="FootnoteText"/>
      </w:pPr>
      <w:r>
        <w:rPr>
          <w:rStyle w:val="FootnoteReference"/>
        </w:rPr>
        <w:footnoteRef/>
      </w:r>
      <w:r>
        <w:t xml:space="preserve"> Decision 81/71(b) and (c)</w:t>
      </w:r>
    </w:p>
  </w:footnote>
  <w:footnote w:id="3">
    <w:p w14:paraId="27E641A3" w14:textId="77777777" w:rsidR="00BE78FD" w:rsidRPr="005F3DC7" w:rsidRDefault="00BE78FD" w:rsidP="00BE78FD">
      <w:pPr>
        <w:pStyle w:val="FootnoteText"/>
      </w:pPr>
      <w:r w:rsidRPr="005F3DC7">
        <w:rPr>
          <w:rStyle w:val="FootnoteReference"/>
        </w:rPr>
        <w:footnoteRef/>
      </w:r>
      <w:r w:rsidRPr="005F3DC7">
        <w:t xml:space="preserve"> </w:t>
      </w:r>
      <w:r w:rsidRPr="005F3DC7">
        <w:rPr>
          <w:lang w:val="en-US"/>
        </w:rPr>
        <w:t>US $385 million plus agency support costs of US $21.56 million (calculated at 5.6 per cent of the project cost).</w:t>
      </w:r>
    </w:p>
  </w:footnote>
  <w:footnote w:id="4">
    <w:p w14:paraId="4770D6B7" w14:textId="4FA2EB10" w:rsidR="00BE78FD" w:rsidRPr="00DB38ED" w:rsidRDefault="00BE78FD" w:rsidP="00BE78FD">
      <w:pPr>
        <w:pStyle w:val="FootnoteText"/>
      </w:pPr>
      <w:r>
        <w:rPr>
          <w:rStyle w:val="FootnoteReference"/>
        </w:rPr>
        <w:footnoteRef/>
      </w:r>
      <w:r>
        <w:t xml:space="preserve"> Stage II of the HPMP for Thailand has been submitted to the 82</w:t>
      </w:r>
      <w:r w:rsidRPr="00DB38ED">
        <w:rPr>
          <w:vertAlign w:val="superscript"/>
        </w:rPr>
        <w:t>nd</w:t>
      </w:r>
      <w:r>
        <w:t xml:space="preserve"> meeting (</w:t>
      </w:r>
      <w:r w:rsidRPr="00DB38ED">
        <w:t>UNEP/</w:t>
      </w:r>
      <w:proofErr w:type="spellStart"/>
      <w:r w:rsidRPr="00DB38ED">
        <w:t>OzL.Pro</w:t>
      </w:r>
      <w:proofErr w:type="spellEnd"/>
      <w:r w:rsidRPr="00DB38ED">
        <w:t>/</w:t>
      </w:r>
      <w:proofErr w:type="spellStart"/>
      <w:r w:rsidRPr="00DB38ED">
        <w:t>ExCom</w:t>
      </w:r>
      <w:proofErr w:type="spellEnd"/>
      <w:r w:rsidRPr="00DB38ED">
        <w:t>/82/</w:t>
      </w:r>
      <w:r w:rsidR="00685CF5">
        <w:t>59</w:t>
      </w:r>
      <w:r>
        <w:t>).</w:t>
      </w:r>
    </w:p>
  </w:footnote>
  <w:footnote w:id="5">
    <w:p w14:paraId="4EEA15C7" w14:textId="77777777" w:rsidR="00BE78FD" w:rsidRPr="005F3DC7" w:rsidRDefault="00BE78FD" w:rsidP="00BE78FD">
      <w:pPr>
        <w:pStyle w:val="FootnoteText"/>
        <w:rPr>
          <w:lang w:val="en-CA"/>
        </w:rPr>
      </w:pPr>
      <w:r w:rsidRPr="005F3DC7">
        <w:rPr>
          <w:rStyle w:val="FootnoteReference"/>
        </w:rPr>
        <w:footnoteRef/>
      </w:r>
      <w:r w:rsidRPr="005F3DC7">
        <w:rPr>
          <w:lang w:val="en-CA"/>
        </w:rPr>
        <w:t xml:space="preserve"> The World Bank’s 2019 core unit cost request has been submitted to the 82</w:t>
      </w:r>
      <w:r w:rsidRPr="005F3DC7">
        <w:rPr>
          <w:vertAlign w:val="superscript"/>
          <w:lang w:val="en-CA"/>
        </w:rPr>
        <w:t>nd</w:t>
      </w:r>
      <w:r w:rsidRPr="005F3DC7">
        <w:rPr>
          <w:lang w:val="en-CA"/>
        </w:rPr>
        <w:t xml:space="preserve"> meeting (UNEP/</w:t>
      </w:r>
      <w:proofErr w:type="spellStart"/>
      <w:r w:rsidRPr="005F3DC7">
        <w:rPr>
          <w:lang w:val="en-CA"/>
        </w:rPr>
        <w:t>OzL.Pro</w:t>
      </w:r>
      <w:proofErr w:type="spellEnd"/>
      <w:r w:rsidRPr="005F3DC7">
        <w:rPr>
          <w:lang w:val="en-CA"/>
        </w:rPr>
        <w:t>/</w:t>
      </w:r>
      <w:proofErr w:type="spellStart"/>
      <w:r w:rsidRPr="005F3DC7">
        <w:rPr>
          <w:lang w:val="en-CA"/>
        </w:rPr>
        <w:t>ExCom</w:t>
      </w:r>
      <w:proofErr w:type="spellEnd"/>
      <w:r w:rsidRPr="005F3DC7">
        <w:rPr>
          <w:lang w:val="en-CA"/>
        </w:rPr>
        <w:t>/82/38).</w:t>
      </w:r>
    </w:p>
  </w:footnote>
  <w:footnote w:id="6">
    <w:p w14:paraId="05525155" w14:textId="77777777" w:rsidR="00BE78FD" w:rsidRPr="007F5EDA" w:rsidRDefault="00BE78FD" w:rsidP="00BE78FD">
      <w:pPr>
        <w:pStyle w:val="FootnoteText"/>
        <w:rPr>
          <w:lang w:val="en-CA"/>
        </w:rPr>
      </w:pPr>
      <w:r w:rsidRPr="005F3DC7">
        <w:rPr>
          <w:rStyle w:val="FootnoteReference"/>
        </w:rPr>
        <w:footnoteRef/>
      </w:r>
      <w:r w:rsidRPr="005F3DC7">
        <w:t xml:space="preserve"> UNEP/</w:t>
      </w:r>
      <w:proofErr w:type="spellStart"/>
      <w:r w:rsidRPr="005F3DC7">
        <w:t>OzL.Pro</w:t>
      </w:r>
      <w:proofErr w:type="spellEnd"/>
      <w:r w:rsidRPr="005F3DC7">
        <w:t>/</w:t>
      </w:r>
      <w:proofErr w:type="spellStart"/>
      <w:r w:rsidRPr="005F3DC7">
        <w:t>ExCom</w:t>
      </w:r>
      <w:proofErr w:type="spellEnd"/>
      <w:r w:rsidRPr="005F3DC7">
        <w:t>/82/25.</w:t>
      </w:r>
    </w:p>
  </w:footnote>
  <w:footnote w:id="7">
    <w:p w14:paraId="4206DBC8" w14:textId="77777777" w:rsidR="00BE78FD" w:rsidRDefault="00BE78FD" w:rsidP="00BE78FD">
      <w:pPr>
        <w:pStyle w:val="FootnoteText"/>
      </w:pPr>
      <w:r>
        <w:rPr>
          <w:rStyle w:val="FootnoteReference"/>
        </w:rPr>
        <w:footnoteRef/>
      </w:r>
      <w:r>
        <w:t xml:space="preserve"> Pending approval of HPMP Stage II at the 82</w:t>
      </w:r>
      <w:r w:rsidRPr="00F312C7">
        <w:rPr>
          <w:vertAlign w:val="superscript"/>
        </w:rPr>
        <w:t>nd</w:t>
      </w:r>
      <w:r>
        <w:t xml:space="preserve"> ExCom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6073" w14:textId="71361DB0" w:rsidR="00BE78FD" w:rsidRPr="0033525D" w:rsidRDefault="00BE78FD">
    <w:r>
      <w:fldChar w:fldCharType="begin"/>
    </w:r>
    <w:r>
      <w:instrText xml:space="preserve"> DOCPROPERTY "Document number"  \* MERGEFORMAT </w:instrText>
    </w:r>
    <w:r>
      <w:fldChar w:fldCharType="separate"/>
    </w:r>
    <w:r w:rsidR="006B1727">
      <w:t>UNEP/</w:t>
    </w:r>
    <w:proofErr w:type="spellStart"/>
    <w:r w:rsidR="006B1727">
      <w:t>OzL.Pro</w:t>
    </w:r>
    <w:proofErr w:type="spellEnd"/>
    <w:r w:rsidR="006B1727">
      <w:t>/</w:t>
    </w:r>
    <w:proofErr w:type="spellStart"/>
    <w:r w:rsidR="006B1727">
      <w:t>ExCom</w:t>
    </w:r>
    <w:proofErr w:type="spellEnd"/>
    <w:r w:rsidR="006B1727">
      <w:t>/82/30</w:t>
    </w:r>
    <w:r>
      <w:fldChar w:fldCharType="end"/>
    </w:r>
  </w:p>
  <w:p w14:paraId="20C2D89F" w14:textId="77777777" w:rsidR="00BE78FD" w:rsidRPr="0033525D" w:rsidRDefault="00BE78FD"/>
  <w:p w14:paraId="6DFD121E" w14:textId="77777777" w:rsidR="00BE78FD" w:rsidRPr="0033525D" w:rsidRDefault="00BE78F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395E" w14:textId="48DC6EF7" w:rsidR="00BE78FD" w:rsidRPr="0033525D" w:rsidRDefault="00BE78FD">
    <w:pPr>
      <w:jc w:val="right"/>
    </w:pPr>
    <w:r>
      <w:fldChar w:fldCharType="begin"/>
    </w:r>
    <w:r>
      <w:instrText xml:space="preserve"> DOCPROPERTY "Document number"  \* MERGEFORMAT </w:instrText>
    </w:r>
    <w:r>
      <w:fldChar w:fldCharType="separate"/>
    </w:r>
    <w:r w:rsidR="006B1727">
      <w:t>UNEP/</w:t>
    </w:r>
    <w:proofErr w:type="spellStart"/>
    <w:r w:rsidR="006B1727">
      <w:t>OzL.Pro</w:t>
    </w:r>
    <w:proofErr w:type="spellEnd"/>
    <w:r w:rsidR="006B1727">
      <w:t>/</w:t>
    </w:r>
    <w:proofErr w:type="spellStart"/>
    <w:r w:rsidR="006B1727">
      <w:t>ExCom</w:t>
    </w:r>
    <w:proofErr w:type="spellEnd"/>
    <w:r w:rsidR="006B1727">
      <w:t>/82/30</w:t>
    </w:r>
    <w:r>
      <w:fldChar w:fldCharType="end"/>
    </w:r>
  </w:p>
  <w:p w14:paraId="1DF192A2" w14:textId="77777777" w:rsidR="00BE78FD" w:rsidRPr="0033525D" w:rsidRDefault="00BE78FD"/>
  <w:p w14:paraId="57930F44" w14:textId="77777777" w:rsidR="00BE78FD" w:rsidRPr="0033525D" w:rsidRDefault="00BE78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6C94" w14:textId="0516ABC0" w:rsidR="00DC6A10" w:rsidRDefault="00DC6A10"/>
  <w:p w14:paraId="51C78E7C" w14:textId="610DCA72" w:rsidR="00BE394B" w:rsidRDefault="00BE394B"/>
  <w:p w14:paraId="691C6DF3" w14:textId="77777777" w:rsidR="00BE394B" w:rsidRPr="0033525D" w:rsidRDefault="00BE394B"/>
  <w:p w14:paraId="475C66D2" w14:textId="77777777" w:rsidR="00DC6A10" w:rsidRPr="0033525D" w:rsidRDefault="00DC6A1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4ED1" w14:textId="571669C8" w:rsidR="00DC6A10" w:rsidRDefault="00DC6A10"/>
  <w:p w14:paraId="11E508E2" w14:textId="77777777" w:rsidR="00BE394B" w:rsidRPr="0033525D" w:rsidRDefault="00BE394B"/>
  <w:p w14:paraId="795294DE" w14:textId="77777777" w:rsidR="00DC6A10" w:rsidRPr="0033525D" w:rsidRDefault="00DC6A1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ED3C" w14:textId="7F615DA0" w:rsidR="00F87C43" w:rsidRDefault="00F87C43">
    <w:pPr>
      <w:pStyle w:val="Header"/>
    </w:pPr>
  </w:p>
  <w:p w14:paraId="5551CDD1" w14:textId="3E51B8B2" w:rsidR="00BE394B" w:rsidRDefault="00BE394B">
    <w:pPr>
      <w:pStyle w:val="Header"/>
    </w:pPr>
  </w:p>
  <w:p w14:paraId="60276279" w14:textId="77777777" w:rsidR="00BE394B" w:rsidRDefault="00BE39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52850D4"/>
    <w:multiLevelType w:val="multilevel"/>
    <w:tmpl w:val="2658830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521C5C"/>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7"/>
  </w:num>
  <w:num w:numId="20">
    <w:abstractNumId w:val="14"/>
  </w:num>
  <w:num w:numId="21">
    <w:abstractNumId w:val="13"/>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BE78FD"/>
    <w:rsid w:val="00000FED"/>
    <w:rsid w:val="0000434E"/>
    <w:rsid w:val="000211A9"/>
    <w:rsid w:val="00031260"/>
    <w:rsid w:val="0003681A"/>
    <w:rsid w:val="00061EC2"/>
    <w:rsid w:val="00080ED0"/>
    <w:rsid w:val="00085B8F"/>
    <w:rsid w:val="00090481"/>
    <w:rsid w:val="000A6C26"/>
    <w:rsid w:val="000D52A4"/>
    <w:rsid w:val="000E07BC"/>
    <w:rsid w:val="000F1CD4"/>
    <w:rsid w:val="000F4103"/>
    <w:rsid w:val="000F70A7"/>
    <w:rsid w:val="00113CCA"/>
    <w:rsid w:val="00122F25"/>
    <w:rsid w:val="00135980"/>
    <w:rsid w:val="00164719"/>
    <w:rsid w:val="00166FC4"/>
    <w:rsid w:val="001677AC"/>
    <w:rsid w:val="001804EA"/>
    <w:rsid w:val="00190A61"/>
    <w:rsid w:val="001A3342"/>
    <w:rsid w:val="001A3E3D"/>
    <w:rsid w:val="001A7049"/>
    <w:rsid w:val="001B1E40"/>
    <w:rsid w:val="001C764E"/>
    <w:rsid w:val="001E1052"/>
    <w:rsid w:val="001E21B1"/>
    <w:rsid w:val="001E2F93"/>
    <w:rsid w:val="001E61E5"/>
    <w:rsid w:val="001F2159"/>
    <w:rsid w:val="00214863"/>
    <w:rsid w:val="002156B4"/>
    <w:rsid w:val="00253222"/>
    <w:rsid w:val="00262847"/>
    <w:rsid w:val="00281BB2"/>
    <w:rsid w:val="002B72E9"/>
    <w:rsid w:val="002C7998"/>
    <w:rsid w:val="002F1E53"/>
    <w:rsid w:val="002F2CAA"/>
    <w:rsid w:val="0030052C"/>
    <w:rsid w:val="003306E1"/>
    <w:rsid w:val="003320E4"/>
    <w:rsid w:val="0033525D"/>
    <w:rsid w:val="003414F3"/>
    <w:rsid w:val="0035613E"/>
    <w:rsid w:val="00363EE9"/>
    <w:rsid w:val="00376128"/>
    <w:rsid w:val="0037742E"/>
    <w:rsid w:val="0038245A"/>
    <w:rsid w:val="00385CFC"/>
    <w:rsid w:val="0039337A"/>
    <w:rsid w:val="003A3189"/>
    <w:rsid w:val="003B33BD"/>
    <w:rsid w:val="003B569D"/>
    <w:rsid w:val="003C3C0E"/>
    <w:rsid w:val="003D4FAC"/>
    <w:rsid w:val="003E7906"/>
    <w:rsid w:val="003F3C50"/>
    <w:rsid w:val="00406A6A"/>
    <w:rsid w:val="00406B22"/>
    <w:rsid w:val="004328A7"/>
    <w:rsid w:val="00434C74"/>
    <w:rsid w:val="00456EB4"/>
    <w:rsid w:val="004718F3"/>
    <w:rsid w:val="00475040"/>
    <w:rsid w:val="00493D40"/>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33796"/>
    <w:rsid w:val="00555D75"/>
    <w:rsid w:val="00560DF0"/>
    <w:rsid w:val="0056759C"/>
    <w:rsid w:val="0059513E"/>
    <w:rsid w:val="005B48FF"/>
    <w:rsid w:val="00604C15"/>
    <w:rsid w:val="006158D5"/>
    <w:rsid w:val="00625D83"/>
    <w:rsid w:val="006623E7"/>
    <w:rsid w:val="00662B80"/>
    <w:rsid w:val="00670F6C"/>
    <w:rsid w:val="006852C7"/>
    <w:rsid w:val="00685CF5"/>
    <w:rsid w:val="006B1727"/>
    <w:rsid w:val="006C1727"/>
    <w:rsid w:val="006C32FD"/>
    <w:rsid w:val="006C39CE"/>
    <w:rsid w:val="006D0FCC"/>
    <w:rsid w:val="006E1FC3"/>
    <w:rsid w:val="0070616B"/>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3D33"/>
    <w:rsid w:val="007D294A"/>
    <w:rsid w:val="007D47D2"/>
    <w:rsid w:val="007D6EC0"/>
    <w:rsid w:val="007D7E1D"/>
    <w:rsid w:val="00831979"/>
    <w:rsid w:val="00851352"/>
    <w:rsid w:val="00863230"/>
    <w:rsid w:val="008717D8"/>
    <w:rsid w:val="0087215C"/>
    <w:rsid w:val="00880E35"/>
    <w:rsid w:val="008875FE"/>
    <w:rsid w:val="00887F8E"/>
    <w:rsid w:val="00896234"/>
    <w:rsid w:val="00897E43"/>
    <w:rsid w:val="008C5738"/>
    <w:rsid w:val="008C7EAD"/>
    <w:rsid w:val="008D0CFE"/>
    <w:rsid w:val="008D6152"/>
    <w:rsid w:val="008F0F81"/>
    <w:rsid w:val="008F27BF"/>
    <w:rsid w:val="009142EC"/>
    <w:rsid w:val="009154C3"/>
    <w:rsid w:val="00923540"/>
    <w:rsid w:val="00926767"/>
    <w:rsid w:val="009361D5"/>
    <w:rsid w:val="009428A4"/>
    <w:rsid w:val="009659F4"/>
    <w:rsid w:val="00970D60"/>
    <w:rsid w:val="009960E5"/>
    <w:rsid w:val="009A5596"/>
    <w:rsid w:val="009A7ADC"/>
    <w:rsid w:val="009C19B7"/>
    <w:rsid w:val="009D7C51"/>
    <w:rsid w:val="009E196C"/>
    <w:rsid w:val="009F36BF"/>
    <w:rsid w:val="00A111B6"/>
    <w:rsid w:val="00A26D27"/>
    <w:rsid w:val="00A376EE"/>
    <w:rsid w:val="00A42A99"/>
    <w:rsid w:val="00A5151A"/>
    <w:rsid w:val="00A57E0A"/>
    <w:rsid w:val="00A823F6"/>
    <w:rsid w:val="00AA0A89"/>
    <w:rsid w:val="00AA6429"/>
    <w:rsid w:val="00AC01AA"/>
    <w:rsid w:val="00AC4F72"/>
    <w:rsid w:val="00AF741A"/>
    <w:rsid w:val="00B01ADB"/>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E394B"/>
    <w:rsid w:val="00BE78FD"/>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A2EAE"/>
    <w:rsid w:val="00CA4AC1"/>
    <w:rsid w:val="00CB0316"/>
    <w:rsid w:val="00CB0B11"/>
    <w:rsid w:val="00CB5354"/>
    <w:rsid w:val="00CC6A14"/>
    <w:rsid w:val="00CC70A3"/>
    <w:rsid w:val="00CD4442"/>
    <w:rsid w:val="00CD53C3"/>
    <w:rsid w:val="00CD574E"/>
    <w:rsid w:val="00CE4C22"/>
    <w:rsid w:val="00CF41EC"/>
    <w:rsid w:val="00CF5D04"/>
    <w:rsid w:val="00D04DE4"/>
    <w:rsid w:val="00D063F1"/>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250F1"/>
    <w:rsid w:val="00E3550D"/>
    <w:rsid w:val="00E614E0"/>
    <w:rsid w:val="00E73F7F"/>
    <w:rsid w:val="00E85409"/>
    <w:rsid w:val="00EA429F"/>
    <w:rsid w:val="00EA4F9E"/>
    <w:rsid w:val="00EA63CA"/>
    <w:rsid w:val="00EA6D3B"/>
    <w:rsid w:val="00EB00AD"/>
    <w:rsid w:val="00EB136C"/>
    <w:rsid w:val="00EB480E"/>
    <w:rsid w:val="00EB5EC6"/>
    <w:rsid w:val="00EB7FC9"/>
    <w:rsid w:val="00ED27E8"/>
    <w:rsid w:val="00ED7137"/>
    <w:rsid w:val="00F21088"/>
    <w:rsid w:val="00F327E7"/>
    <w:rsid w:val="00F35746"/>
    <w:rsid w:val="00F447C7"/>
    <w:rsid w:val="00F5211B"/>
    <w:rsid w:val="00F554A9"/>
    <w:rsid w:val="00F716FD"/>
    <w:rsid w:val="00F80355"/>
    <w:rsid w:val="00F87C43"/>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0EA74813"/>
  <w15:docId w15:val="{5ADE8D56-15BC-4936-A777-94338281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Title2">
    <w:name w:val="Title2"/>
    <w:rsid w:val="00BE78FD"/>
    <w:pPr>
      <w:jc w:val="center"/>
      <w:outlineLvl w:val="0"/>
    </w:pPr>
    <w:rPr>
      <w:b/>
      <w:caps/>
      <w:sz w:val="22"/>
      <w:szCs w:val="22"/>
      <w:lang w:val="en-GB"/>
    </w:rPr>
  </w:style>
  <w:style w:type="paragraph" w:customStyle="1" w:styleId="subhead">
    <w:name w:val="subhead"/>
    <w:basedOn w:val="Normal"/>
    <w:next w:val="Normal"/>
    <w:uiPriority w:val="99"/>
    <w:rsid w:val="00BE78FD"/>
    <w:pPr>
      <w:tabs>
        <w:tab w:val="left" w:pos="-720"/>
        <w:tab w:val="left" w:pos="0"/>
        <w:tab w:val="left" w:pos="720"/>
        <w:tab w:val="left" w:pos="1440"/>
        <w:tab w:val="left" w:pos="2160"/>
        <w:tab w:val="left" w:pos="2880"/>
        <w:tab w:val="left" w:pos="3600"/>
      </w:tabs>
      <w:jc w:val="center"/>
    </w:pPr>
    <w:rPr>
      <w:sz w:val="24"/>
      <w:szCs w:val="24"/>
      <w:lang w:val="en-US"/>
    </w:rPr>
  </w:style>
  <w:style w:type="paragraph" w:styleId="FootnoteText">
    <w:name w:val="footnote text"/>
    <w:basedOn w:val="Normal"/>
    <w:link w:val="FootnoteTextChar"/>
    <w:semiHidden/>
    <w:rsid w:val="00BE78FD"/>
    <w:rPr>
      <w:sz w:val="20"/>
      <w:szCs w:val="20"/>
    </w:rPr>
  </w:style>
  <w:style w:type="character" w:customStyle="1" w:styleId="FootnoteTextChar">
    <w:name w:val="Footnote Text Char"/>
    <w:basedOn w:val="DefaultParagraphFont"/>
    <w:link w:val="FootnoteText"/>
    <w:semiHidden/>
    <w:rsid w:val="00BE78FD"/>
    <w:rPr>
      <w:lang w:val="en-GB"/>
    </w:rPr>
  </w:style>
  <w:style w:type="character" w:styleId="FootnoteReference">
    <w:name w:val="footnote reference"/>
    <w:semiHidden/>
    <w:rsid w:val="00BE78FD"/>
    <w:rPr>
      <w:vertAlign w:val="superscript"/>
    </w:rPr>
  </w:style>
  <w:style w:type="paragraph" w:styleId="ListParagraph">
    <w:name w:val="List Paragraph"/>
    <w:basedOn w:val="Normal"/>
    <w:uiPriority w:val="34"/>
    <w:qFormat/>
    <w:rsid w:val="00BE78FD"/>
    <w:pPr>
      <w:ind w:left="720"/>
      <w:jc w:val="left"/>
    </w:pPr>
    <w:rPr>
      <w:rFonts w:eastAsia="SimSun"/>
      <w:sz w:val="24"/>
      <w:szCs w:val="24"/>
      <w:lang w:val="en-US"/>
    </w:rPr>
  </w:style>
  <w:style w:type="character" w:customStyle="1" w:styleId="FooterChar">
    <w:name w:val="Footer Char"/>
    <w:basedOn w:val="DefaultParagraphFont"/>
    <w:link w:val="Footer"/>
    <w:uiPriority w:val="99"/>
    <w:rsid w:val="00BE78F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8.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2nd\Templates\Eec82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UNEP/OzL.Pro/ExCom/82/30</Document_x0020_Number>
    <FileType xmlns="89241aeb-a0fc-4d28-aa20-d0d0ed30b803">Word</FileType>
    <DocumentType xmlns="64e33b30-101d-41de-b951-961aab25ea29">Pre-session</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A9359-2A78-43D4-881E-E6DD3C027D50}"/>
</file>

<file path=customXml/itemProps2.xml><?xml version="1.0" encoding="utf-8"?>
<ds:datastoreItem xmlns:ds="http://schemas.openxmlformats.org/officeDocument/2006/customXml" ds:itemID="{42A97D78-310F-4F3C-8C88-9CA3D0846595}"/>
</file>

<file path=customXml/itemProps3.xml><?xml version="1.0" encoding="utf-8"?>
<ds:datastoreItem xmlns:ds="http://schemas.openxmlformats.org/officeDocument/2006/customXml" ds:itemID="{2FA5F287-9FF7-4739-AB4E-5C122E83E94D}"/>
</file>

<file path=customXml/itemProps4.xml><?xml version="1.0" encoding="utf-8"?>
<ds:datastoreItem xmlns:ds="http://schemas.openxmlformats.org/officeDocument/2006/customXml" ds:itemID="{EBFE7F5B-3786-432F-8385-D85BAE11C8C2}"/>
</file>

<file path=docProps/app.xml><?xml version="1.0" encoding="utf-8"?>
<Properties xmlns="http://schemas.openxmlformats.org/officeDocument/2006/extended-properties" xmlns:vt="http://schemas.openxmlformats.org/officeDocument/2006/docPropsVTypes">
  <Template>Eec82G</Template>
  <TotalTime>10</TotalTime>
  <Pages>13</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World Bank business plan for 2019–2021</vt:lpstr>
    </vt:vector>
  </TitlesOfParts>
  <Company>UNMFS</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Bank business plan for 2019–2021</dc:title>
  <dc:creator>Muriel Aguiar</dc:creator>
  <cp:lastModifiedBy>Muriel Aguiar</cp:lastModifiedBy>
  <cp:revision>5</cp:revision>
  <cp:lastPrinted>2018-11-01T18:56:00Z</cp:lastPrinted>
  <dcterms:created xsi:type="dcterms:W3CDTF">2018-10-30T21:01:00Z</dcterms:created>
  <dcterms:modified xsi:type="dcterms:W3CDTF">2018-11-01T18:57:00Z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UNEP/OzL.Pro/ExCom/82/30</vt:lpwstr>
  </property>
  <property fmtid="{D5CDD505-2E9C-101B-9397-08002B2CF9AE}" pid="3" name="Revision date">
    <vt:lpwstr>11/1/2018</vt:lpwstr>
  </property>
  <property fmtid="{D5CDD505-2E9C-101B-9397-08002B2CF9AE}" pid="4" name="ContentTypeId">
    <vt:lpwstr>0x010100E84C8415FE8D8F42AA10616BA921B3F7</vt:lpwstr>
  </property>
</Properties>
</file>