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4A0" w:firstRow="1" w:lastRow="0" w:firstColumn="1" w:lastColumn="0" w:noHBand="0" w:noVBand="1"/>
      </w:tblPr>
      <w:tblGrid>
        <w:gridCol w:w="2070"/>
        <w:gridCol w:w="3420"/>
        <w:gridCol w:w="4590"/>
      </w:tblGrid>
      <w:tr w:rsidR="0097283E" w:rsidRPr="00D104B4" w14:paraId="62C0796F" w14:textId="77777777" w:rsidTr="0097283E">
        <w:trPr>
          <w:trHeight w:val="720"/>
        </w:trPr>
        <w:tc>
          <w:tcPr>
            <w:tcW w:w="5490" w:type="dxa"/>
            <w:gridSpan w:val="2"/>
            <w:tcBorders>
              <w:top w:val="nil"/>
              <w:left w:val="nil"/>
              <w:bottom w:val="single" w:sz="18" w:space="0" w:color="auto"/>
              <w:right w:val="nil"/>
            </w:tcBorders>
            <w:hideMark/>
          </w:tcPr>
          <w:p w14:paraId="690DDE08" w14:textId="77777777" w:rsidR="0097283E" w:rsidRPr="00D104B4" w:rsidRDefault="0097283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D104B4">
              <w:rPr>
                <w:rFonts w:ascii="Univers" w:hAnsi="Univers"/>
                <w:b/>
                <w:sz w:val="28"/>
                <w:szCs w:val="28"/>
                <w:lang w:val="en-CA"/>
              </w:rPr>
              <w:t>UNITED</w:t>
            </w:r>
            <w:r w:rsidRPr="00D104B4">
              <w:rPr>
                <w:rFonts w:ascii="Univers" w:hAnsi="Univers"/>
                <w:b/>
                <w:sz w:val="28"/>
                <w:szCs w:val="28"/>
                <w:lang w:val="en-CA"/>
              </w:rPr>
              <w:br/>
              <w:t>NATIONS</w:t>
            </w:r>
          </w:p>
        </w:tc>
        <w:tc>
          <w:tcPr>
            <w:tcW w:w="4590" w:type="dxa"/>
            <w:tcBorders>
              <w:top w:val="nil"/>
              <w:left w:val="nil"/>
              <w:bottom w:val="single" w:sz="18" w:space="0" w:color="auto"/>
              <w:right w:val="nil"/>
            </w:tcBorders>
            <w:hideMark/>
          </w:tcPr>
          <w:p w14:paraId="540BC63A" w14:textId="77777777" w:rsidR="0097283E" w:rsidRPr="00D104B4" w:rsidRDefault="0097283E">
            <w:pPr>
              <w:jc w:val="right"/>
              <w:rPr>
                <w:sz w:val="52"/>
                <w:szCs w:val="52"/>
                <w:lang w:val="en-CA"/>
              </w:rPr>
            </w:pPr>
            <w:r w:rsidRPr="00D104B4">
              <w:rPr>
                <w:rFonts w:ascii="Univers Bold" w:hAnsi="Univers Bold"/>
                <w:b/>
                <w:sz w:val="72"/>
                <w:lang w:val="en-CA"/>
              </w:rPr>
              <w:t>EP</w:t>
            </w:r>
          </w:p>
        </w:tc>
      </w:tr>
      <w:tr w:rsidR="0097283E" w:rsidRPr="00D104B4" w14:paraId="071545DB" w14:textId="77777777" w:rsidTr="0097283E">
        <w:trPr>
          <w:trHeight w:val="2718"/>
        </w:trPr>
        <w:tc>
          <w:tcPr>
            <w:tcW w:w="2070" w:type="dxa"/>
            <w:tcBorders>
              <w:top w:val="nil"/>
              <w:left w:val="nil"/>
              <w:bottom w:val="single" w:sz="36" w:space="0" w:color="auto"/>
              <w:right w:val="nil"/>
            </w:tcBorders>
            <w:hideMark/>
          </w:tcPr>
          <w:p w14:paraId="0CFF736A" w14:textId="2AD7472E" w:rsidR="0097283E" w:rsidRPr="00D104B4" w:rsidRDefault="0097283E">
            <w:pPr>
              <w:rPr>
                <w:lang w:val="en-CA"/>
              </w:rPr>
            </w:pPr>
            <w:r w:rsidRPr="00D104B4">
              <w:rPr>
                <w:noProof/>
                <w:lang w:val="en-CA" w:eastAsia="en-CA"/>
              </w:rPr>
              <w:drawing>
                <wp:anchor distT="0" distB="0" distL="114300" distR="114300" simplePos="0" relativeHeight="251657216" behindDoc="0" locked="0" layoutInCell="1" allowOverlap="1" wp14:anchorId="4C5A8E94" wp14:editId="3291C317">
                  <wp:simplePos x="0" y="0"/>
                  <wp:positionH relativeFrom="column">
                    <wp:posOffset>19050</wp:posOffset>
                  </wp:positionH>
                  <wp:positionV relativeFrom="paragraph">
                    <wp:posOffset>823595</wp:posOffset>
                  </wp:positionV>
                  <wp:extent cx="880110" cy="775970"/>
                  <wp:effectExtent l="0" t="0" r="0" b="508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110" cy="775970"/>
                          </a:xfrm>
                          <a:prstGeom prst="rect">
                            <a:avLst/>
                          </a:prstGeom>
                          <a:noFill/>
                        </pic:spPr>
                      </pic:pic>
                    </a:graphicData>
                  </a:graphic>
                  <wp14:sizeRelH relativeFrom="margin">
                    <wp14:pctWidth>0</wp14:pctWidth>
                  </wp14:sizeRelH>
                  <wp14:sizeRelV relativeFrom="margin">
                    <wp14:pctHeight>0</wp14:pctHeight>
                  </wp14:sizeRelV>
                </wp:anchor>
              </w:drawing>
            </w:r>
            <w:r w:rsidRPr="00D104B4">
              <w:rPr>
                <w:noProof/>
                <w:lang w:val="en-CA" w:eastAsia="en-CA"/>
              </w:rPr>
              <w:drawing>
                <wp:anchor distT="0" distB="0" distL="114300" distR="114300" simplePos="0" relativeHeight="251658240" behindDoc="1" locked="0" layoutInCell="0" allowOverlap="1" wp14:anchorId="491C985C" wp14:editId="31AD03DF">
                  <wp:simplePos x="0" y="0"/>
                  <wp:positionH relativeFrom="column">
                    <wp:posOffset>0</wp:posOffset>
                  </wp:positionH>
                  <wp:positionV relativeFrom="paragraph">
                    <wp:posOffset>114300</wp:posOffset>
                  </wp:positionV>
                  <wp:extent cx="82296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pic:spPr>
                      </pic:pic>
                    </a:graphicData>
                  </a:graphic>
                  <wp14:sizeRelH relativeFrom="page">
                    <wp14:pctWidth>0</wp14:pctWidth>
                  </wp14:sizeRelH>
                  <wp14:sizeRelV relativeFrom="page">
                    <wp14:pctHeight>0</wp14:pctHeight>
                  </wp14:sizeRelV>
                </wp:anchor>
              </w:drawing>
            </w:r>
          </w:p>
        </w:tc>
        <w:tc>
          <w:tcPr>
            <w:tcW w:w="3420" w:type="dxa"/>
            <w:tcBorders>
              <w:top w:val="nil"/>
              <w:left w:val="nil"/>
              <w:bottom w:val="single" w:sz="36" w:space="0" w:color="auto"/>
              <w:right w:val="nil"/>
            </w:tcBorders>
          </w:tcPr>
          <w:p w14:paraId="3EFB660D" w14:textId="77777777" w:rsidR="0097283E" w:rsidRPr="00D104B4" w:rsidRDefault="0097283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D104B4">
              <w:rPr>
                <w:rFonts w:ascii="Univers" w:hAnsi="Univers"/>
                <w:b/>
                <w:sz w:val="32"/>
                <w:lang w:val="en-CA"/>
              </w:rPr>
              <w:t>United Nations</w:t>
            </w:r>
          </w:p>
          <w:p w14:paraId="4D86D192" w14:textId="77777777" w:rsidR="0097283E" w:rsidRPr="00D104B4" w:rsidRDefault="0097283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D104B4">
              <w:rPr>
                <w:rFonts w:ascii="Univers" w:hAnsi="Univers"/>
                <w:b/>
                <w:sz w:val="32"/>
                <w:lang w:val="en-CA"/>
              </w:rPr>
              <w:t>Environment</w:t>
            </w:r>
          </w:p>
          <w:p w14:paraId="4822A781" w14:textId="77777777" w:rsidR="0097283E" w:rsidRPr="00D104B4" w:rsidRDefault="0097283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D104B4">
              <w:rPr>
                <w:rFonts w:ascii="Univers" w:hAnsi="Univers"/>
                <w:b/>
                <w:sz w:val="32"/>
                <w:lang w:val="en-CA"/>
              </w:rPr>
              <w:t>Programme</w:t>
            </w:r>
          </w:p>
          <w:p w14:paraId="7480D50E" w14:textId="77777777" w:rsidR="0097283E" w:rsidRPr="00D104B4" w:rsidRDefault="0097283E">
            <w:pPr>
              <w:spacing w:before="720"/>
              <w:ind w:left="158"/>
              <w:rPr>
                <w:lang w:val="en-CA"/>
              </w:rPr>
            </w:pPr>
          </w:p>
        </w:tc>
        <w:tc>
          <w:tcPr>
            <w:tcW w:w="4590" w:type="dxa"/>
            <w:tcBorders>
              <w:top w:val="nil"/>
              <w:left w:val="nil"/>
              <w:bottom w:val="single" w:sz="36" w:space="0" w:color="auto"/>
              <w:right w:val="nil"/>
            </w:tcBorders>
          </w:tcPr>
          <w:p w14:paraId="0D7A6816" w14:textId="77777777" w:rsidR="0097283E" w:rsidRPr="00D104B4" w:rsidRDefault="0097283E">
            <w:pPr>
              <w:rPr>
                <w:lang w:val="en-CA"/>
              </w:rPr>
            </w:pPr>
            <w:r w:rsidRPr="00D104B4">
              <w:rPr>
                <w:lang w:val="en-CA"/>
              </w:rPr>
              <w:t>Distr.</w:t>
            </w:r>
          </w:p>
          <w:p w14:paraId="2BF7B9FB" w14:textId="77777777" w:rsidR="0097283E" w:rsidRPr="00D104B4" w:rsidRDefault="0097283E">
            <w:pPr>
              <w:rPr>
                <w:lang w:val="en-CA"/>
              </w:rPr>
            </w:pPr>
            <w:r w:rsidRPr="00D104B4">
              <w:rPr>
                <w:lang w:val="en-CA"/>
              </w:rPr>
              <w:t>GENERAL</w:t>
            </w:r>
          </w:p>
          <w:p w14:paraId="59A6AF8B" w14:textId="77777777" w:rsidR="0097283E" w:rsidRPr="00D104B4" w:rsidRDefault="0097283E">
            <w:pPr>
              <w:rPr>
                <w:lang w:val="en-CA"/>
              </w:rPr>
            </w:pPr>
          </w:p>
          <w:p w14:paraId="6AA94DC5" w14:textId="77777777" w:rsidR="0097283E" w:rsidRPr="00D104B4" w:rsidRDefault="0097283E">
            <w:pPr>
              <w:rPr>
                <w:lang w:val="en-CA"/>
              </w:rPr>
            </w:pPr>
          </w:p>
          <w:p w14:paraId="7C197C71" w14:textId="4BC05353" w:rsidR="0097283E" w:rsidRPr="00D104B4" w:rsidRDefault="00AA2249">
            <w:pPr>
              <w:rPr>
                <w:lang w:val="en-CA"/>
              </w:rPr>
            </w:pPr>
            <w:r w:rsidRPr="00D104B4">
              <w:rPr>
                <w:lang w:val="en-CA"/>
              </w:rPr>
              <w:fldChar w:fldCharType="begin"/>
            </w:r>
            <w:r w:rsidRPr="00D104B4">
              <w:rPr>
                <w:lang w:val="en-CA"/>
              </w:rPr>
              <w:instrText xml:space="preserve"> DOCPROPERTY "Document number"  \* MERGEFORMAT </w:instrText>
            </w:r>
            <w:r w:rsidRPr="00D104B4">
              <w:rPr>
                <w:lang w:val="en-CA"/>
              </w:rPr>
              <w:fldChar w:fldCharType="separate"/>
            </w:r>
            <w:r w:rsidR="00091FB0">
              <w:rPr>
                <w:lang w:val="en-CA"/>
              </w:rPr>
              <w:t>UNEP/</w:t>
            </w:r>
            <w:proofErr w:type="spellStart"/>
            <w:r w:rsidR="00091FB0">
              <w:rPr>
                <w:lang w:val="en-CA"/>
              </w:rPr>
              <w:t>OzL.Pro</w:t>
            </w:r>
            <w:proofErr w:type="spellEnd"/>
            <w:r w:rsidR="00091FB0">
              <w:rPr>
                <w:lang w:val="en-CA"/>
              </w:rPr>
              <w:t>/</w:t>
            </w:r>
            <w:proofErr w:type="spellStart"/>
            <w:r w:rsidR="00091FB0">
              <w:rPr>
                <w:lang w:val="en-CA"/>
              </w:rPr>
              <w:t>ExCom</w:t>
            </w:r>
            <w:proofErr w:type="spellEnd"/>
            <w:r w:rsidR="00091FB0">
              <w:rPr>
                <w:lang w:val="en-CA"/>
              </w:rPr>
              <w:t>/82/68</w:t>
            </w:r>
            <w:r w:rsidRPr="00D104B4">
              <w:rPr>
                <w:lang w:val="en-CA"/>
              </w:rPr>
              <w:fldChar w:fldCharType="end"/>
            </w:r>
          </w:p>
          <w:p w14:paraId="78C8013F" w14:textId="2303DE7C" w:rsidR="0097283E" w:rsidRPr="00D104B4" w:rsidRDefault="0097283E">
            <w:pPr>
              <w:rPr>
                <w:lang w:val="en-CA"/>
              </w:rPr>
            </w:pPr>
            <w:r w:rsidRPr="00D104B4">
              <w:rPr>
                <w:lang w:val="en-CA"/>
              </w:rPr>
              <w:fldChar w:fldCharType="begin"/>
            </w:r>
            <w:r w:rsidRPr="00D104B4">
              <w:rPr>
                <w:lang w:val="en-CA"/>
              </w:rPr>
              <w:instrText xml:space="preserve"> DOCPROPERTY "Revision date" \@ "d MMMM YYYY"  \* MERGEFORMAT </w:instrText>
            </w:r>
            <w:r w:rsidRPr="00D104B4">
              <w:rPr>
                <w:lang w:val="en-CA"/>
              </w:rPr>
              <w:fldChar w:fldCharType="separate"/>
            </w:r>
            <w:r w:rsidR="001C1B39">
              <w:rPr>
                <w:lang w:val="en-CA"/>
              </w:rPr>
              <w:t>1 November 2018</w:t>
            </w:r>
            <w:r w:rsidRPr="00D104B4">
              <w:rPr>
                <w:lang w:val="en-CA"/>
              </w:rPr>
              <w:fldChar w:fldCharType="end"/>
            </w:r>
          </w:p>
          <w:p w14:paraId="2BE4B404" w14:textId="77777777" w:rsidR="0097283E" w:rsidRPr="00D104B4" w:rsidRDefault="0097283E">
            <w:pPr>
              <w:rPr>
                <w:caps/>
                <w:lang w:val="en-CA"/>
              </w:rPr>
            </w:pPr>
          </w:p>
          <w:p w14:paraId="7FDAC71B" w14:textId="77777777" w:rsidR="0097283E" w:rsidRPr="00D104B4" w:rsidRDefault="0097283E">
            <w:pPr>
              <w:rPr>
                <w:lang w:val="en-CA"/>
              </w:rPr>
            </w:pPr>
            <w:r w:rsidRPr="00D104B4">
              <w:rPr>
                <w:lang w:val="en-CA"/>
              </w:rPr>
              <w:t>ORIGINAL: ENGLISH</w:t>
            </w:r>
          </w:p>
        </w:tc>
      </w:tr>
    </w:tbl>
    <w:p w14:paraId="56259D87" w14:textId="77777777" w:rsidR="0097283E" w:rsidRPr="00D104B4" w:rsidRDefault="0097283E" w:rsidP="0097283E">
      <w:pPr>
        <w:jc w:val="left"/>
        <w:rPr>
          <w:lang w:val="en-CA"/>
        </w:rPr>
      </w:pPr>
      <w:r w:rsidRPr="00D104B4">
        <w:rPr>
          <w:lang w:val="en-CA"/>
        </w:rPr>
        <w:t>EXECUTIVE COMMITTEE OF</w:t>
      </w:r>
      <w:r w:rsidRPr="00D104B4">
        <w:rPr>
          <w:lang w:val="en-CA"/>
        </w:rPr>
        <w:br/>
        <w:t xml:space="preserve"> THE MULTILATERAL FUND FOR THE</w:t>
      </w:r>
      <w:r w:rsidRPr="00D104B4">
        <w:rPr>
          <w:lang w:val="en-CA"/>
        </w:rPr>
        <w:br/>
        <w:t xml:space="preserve"> IMPLEMENTATION OF THE MONTREAL PROTOCOL</w:t>
      </w:r>
      <w:r w:rsidRPr="00D104B4">
        <w:rPr>
          <w:lang w:val="en-CA"/>
        </w:rPr>
        <w:br/>
        <w:t>Eighty-second Meeting</w:t>
      </w:r>
    </w:p>
    <w:p w14:paraId="7C191C01" w14:textId="77777777" w:rsidR="0097283E" w:rsidRPr="00D104B4" w:rsidRDefault="0097283E" w:rsidP="0097283E">
      <w:pPr>
        <w:jc w:val="left"/>
        <w:rPr>
          <w:lang w:val="en-CA"/>
        </w:rPr>
      </w:pPr>
      <w:r w:rsidRPr="00D104B4">
        <w:rPr>
          <w:lang w:val="en-CA"/>
        </w:rPr>
        <w:t>Montreal, 3-7 December 2018</w:t>
      </w:r>
    </w:p>
    <w:p w14:paraId="4F1FEE88" w14:textId="77777777" w:rsidR="00C15867" w:rsidRPr="00D104B4" w:rsidRDefault="00C15867" w:rsidP="009960E5">
      <w:pPr>
        <w:jc w:val="left"/>
        <w:rPr>
          <w:lang w:val="en-CA"/>
        </w:rPr>
      </w:pPr>
    </w:p>
    <w:p w14:paraId="2AB823CB" w14:textId="52B01757" w:rsidR="00C57806" w:rsidRPr="00D104B4" w:rsidRDefault="00C57806" w:rsidP="00C57806">
      <w:pPr>
        <w:pStyle w:val="Heading1"/>
        <w:numPr>
          <w:ilvl w:val="0"/>
          <w:numId w:val="0"/>
        </w:numPr>
        <w:spacing w:after="0"/>
        <w:rPr>
          <w:lang w:val="en-CA"/>
        </w:rPr>
      </w:pPr>
    </w:p>
    <w:p w14:paraId="487C3A06" w14:textId="77777777" w:rsidR="00A538DA" w:rsidRPr="00D104B4" w:rsidRDefault="00A538DA" w:rsidP="00A538DA">
      <w:pPr>
        <w:rPr>
          <w:lang w:val="en-CA"/>
        </w:rPr>
      </w:pPr>
    </w:p>
    <w:p w14:paraId="4E13A1FE" w14:textId="48D984B7" w:rsidR="0097283E" w:rsidRPr="00D104B4" w:rsidRDefault="0097283E" w:rsidP="0097283E">
      <w:pPr>
        <w:jc w:val="center"/>
        <w:rPr>
          <w:b/>
          <w:caps/>
          <w:lang w:val="en-CA"/>
        </w:rPr>
      </w:pPr>
      <w:r w:rsidRPr="00D104B4">
        <w:rPr>
          <w:b/>
          <w:caps/>
          <w:lang w:val="en-CA"/>
        </w:rPr>
        <w:t>cost-effective options for contro</w:t>
      </w:r>
      <w:r w:rsidR="00031C48" w:rsidRPr="00D104B4">
        <w:rPr>
          <w:b/>
          <w:caps/>
          <w:lang w:val="en-CA"/>
        </w:rPr>
        <w:t>L</w:t>
      </w:r>
      <w:r w:rsidRPr="00D104B4">
        <w:rPr>
          <w:b/>
          <w:caps/>
          <w:lang w:val="en-CA"/>
        </w:rPr>
        <w:t xml:space="preserve">ling HFC-23 by-product </w:t>
      </w:r>
      <w:r w:rsidR="000D1150" w:rsidRPr="00D104B4">
        <w:rPr>
          <w:b/>
          <w:caps/>
          <w:lang w:val="en-CA"/>
        </w:rPr>
        <w:t>Emissions</w:t>
      </w:r>
    </w:p>
    <w:p w14:paraId="623A5D5F" w14:textId="08CA0DD5" w:rsidR="0097283E" w:rsidRPr="00D104B4" w:rsidRDefault="0097283E" w:rsidP="0097283E">
      <w:pPr>
        <w:jc w:val="center"/>
        <w:rPr>
          <w:b/>
          <w:lang w:val="en-CA"/>
        </w:rPr>
      </w:pPr>
      <w:r w:rsidRPr="00D104B4">
        <w:rPr>
          <w:b/>
          <w:caps/>
          <w:lang w:val="en-CA"/>
        </w:rPr>
        <w:t>(</w:t>
      </w:r>
      <w:r w:rsidRPr="00D104B4">
        <w:rPr>
          <w:b/>
          <w:lang w:val="en-CA"/>
        </w:rPr>
        <w:t>DECISION</w:t>
      </w:r>
      <w:r w:rsidR="000D1150" w:rsidRPr="00D104B4">
        <w:rPr>
          <w:b/>
          <w:lang w:val="en-CA"/>
        </w:rPr>
        <w:t xml:space="preserve"> 81</w:t>
      </w:r>
      <w:r w:rsidRPr="00D104B4">
        <w:rPr>
          <w:b/>
          <w:lang w:val="en-CA"/>
        </w:rPr>
        <w:t>/</w:t>
      </w:r>
      <w:r w:rsidR="000D1150" w:rsidRPr="00D104B4">
        <w:rPr>
          <w:b/>
          <w:lang w:val="en-CA"/>
        </w:rPr>
        <w:t>68(e</w:t>
      </w:r>
      <w:r w:rsidRPr="00D104B4">
        <w:rPr>
          <w:b/>
          <w:lang w:val="en-CA"/>
        </w:rPr>
        <w:t>)</w:t>
      </w:r>
      <w:r w:rsidR="000D1150" w:rsidRPr="00D104B4">
        <w:rPr>
          <w:b/>
          <w:lang w:val="en-CA"/>
        </w:rPr>
        <w:t>)</w:t>
      </w:r>
    </w:p>
    <w:p w14:paraId="672FEAC8" w14:textId="2C2E198C" w:rsidR="00DA23DD" w:rsidRPr="00D104B4" w:rsidRDefault="00A22F23" w:rsidP="00A22F23">
      <w:pPr>
        <w:tabs>
          <w:tab w:val="left" w:pos="3064"/>
        </w:tabs>
        <w:rPr>
          <w:b/>
          <w:lang w:val="en-CA"/>
        </w:rPr>
      </w:pPr>
      <w:r>
        <w:rPr>
          <w:b/>
          <w:lang w:val="en-CA"/>
        </w:rPr>
        <w:tab/>
      </w:r>
    </w:p>
    <w:p w14:paraId="344EF8C3" w14:textId="77777777" w:rsidR="00DA23DD" w:rsidRPr="00D104B4" w:rsidRDefault="00DA23DD" w:rsidP="00DA23DD">
      <w:pPr>
        <w:rPr>
          <w:b/>
          <w:lang w:val="en-CA"/>
        </w:rPr>
      </w:pPr>
      <w:r w:rsidRPr="00D104B4">
        <w:rPr>
          <w:b/>
          <w:lang w:val="en-CA"/>
        </w:rPr>
        <w:t>Background</w:t>
      </w:r>
    </w:p>
    <w:p w14:paraId="54AA1F37" w14:textId="63EEC6D7" w:rsidR="00DA23DD" w:rsidRPr="00D104B4" w:rsidRDefault="00DA23DD" w:rsidP="000D1150">
      <w:pPr>
        <w:rPr>
          <w:b/>
          <w:lang w:val="en-CA"/>
        </w:rPr>
      </w:pPr>
    </w:p>
    <w:p w14:paraId="46AF3C38" w14:textId="5306200A" w:rsidR="00FF77E5" w:rsidRPr="005B50C6" w:rsidRDefault="00121893" w:rsidP="005B50C6">
      <w:pPr>
        <w:pStyle w:val="Heading1"/>
        <w:rPr>
          <w:lang w:val="en-CA"/>
        </w:rPr>
      </w:pPr>
      <w:r w:rsidRPr="005B50C6">
        <w:rPr>
          <w:lang w:val="en-CA"/>
        </w:rPr>
        <w:t xml:space="preserve">Pursuant to </w:t>
      </w:r>
      <w:r w:rsidR="00D104B4" w:rsidRPr="005B50C6">
        <w:rPr>
          <w:lang w:val="en-CA"/>
        </w:rPr>
        <w:t>paragraph </w:t>
      </w:r>
      <w:r w:rsidRPr="005B50C6">
        <w:rPr>
          <w:lang w:val="en-CA"/>
        </w:rPr>
        <w:t xml:space="preserve">15(b)(viii) of </w:t>
      </w:r>
      <w:r w:rsidR="0079685C" w:rsidRPr="005B50C6">
        <w:rPr>
          <w:lang w:val="en-CA"/>
        </w:rPr>
        <w:t>decision </w:t>
      </w:r>
      <w:r w:rsidRPr="005B50C6">
        <w:rPr>
          <w:lang w:val="en-CA"/>
        </w:rPr>
        <w:t xml:space="preserve">XXVIII/2, </w:t>
      </w:r>
      <w:r w:rsidR="00DA23DD" w:rsidRPr="005B50C6">
        <w:rPr>
          <w:lang w:val="en-CA"/>
        </w:rPr>
        <w:t>the costs of reducing emissions of HFC</w:t>
      </w:r>
      <w:r w:rsidR="000D1150" w:rsidRPr="005B50C6">
        <w:rPr>
          <w:lang w:val="en-CA"/>
        </w:rPr>
        <w:noBreakHyphen/>
      </w:r>
      <w:r w:rsidR="00DA23DD" w:rsidRPr="005B50C6">
        <w:rPr>
          <w:lang w:val="en-CA"/>
        </w:rPr>
        <w:t>23</w:t>
      </w:r>
      <w:r w:rsidR="000D1150" w:rsidRPr="005B50C6">
        <w:rPr>
          <w:lang w:val="en-CA"/>
        </w:rPr>
        <w:t>,</w:t>
      </w:r>
      <w:r w:rsidR="00DA23DD" w:rsidRPr="005B50C6">
        <w:rPr>
          <w:lang w:val="en-CA"/>
        </w:rPr>
        <w:t xml:space="preserve"> a by-product from the production process of HCFC-22, should be funded by the Multilateral Fund to meet the obligations of Article 5 Parties</w:t>
      </w:r>
      <w:r w:rsidR="009A6B2B" w:rsidRPr="005B50C6">
        <w:rPr>
          <w:lang w:val="en-CA"/>
        </w:rPr>
        <w:t>.</w:t>
      </w:r>
      <w:r w:rsidR="005B50C6" w:rsidRPr="005B50C6">
        <w:rPr>
          <w:lang w:val="en-CA"/>
        </w:rPr>
        <w:t xml:space="preserve"> </w:t>
      </w:r>
      <w:r w:rsidR="000D1150" w:rsidRPr="005B50C6">
        <w:rPr>
          <w:lang w:val="en-CA"/>
        </w:rPr>
        <w:t xml:space="preserve">In addressing this decision, at its </w:t>
      </w:r>
      <w:r w:rsidR="00FF77E5" w:rsidRPr="005B50C6">
        <w:rPr>
          <w:lang w:val="en-CA"/>
        </w:rPr>
        <w:t>77</w:t>
      </w:r>
      <w:r w:rsidR="00FF77E5" w:rsidRPr="005B50C6">
        <w:rPr>
          <w:vertAlign w:val="superscript"/>
          <w:lang w:val="en-CA"/>
        </w:rPr>
        <w:t>th</w:t>
      </w:r>
      <w:r w:rsidR="000A1169" w:rsidRPr="005B50C6">
        <w:rPr>
          <w:lang w:val="en-CA"/>
        </w:rPr>
        <w:t> meeting</w:t>
      </w:r>
      <w:r w:rsidR="00FF77E5" w:rsidRPr="00D104B4">
        <w:rPr>
          <w:rStyle w:val="FootnoteReference"/>
          <w:lang w:val="en-CA"/>
        </w:rPr>
        <w:footnoteReference w:id="1"/>
      </w:r>
      <w:r w:rsidR="00FF77E5" w:rsidRPr="005B50C6">
        <w:rPr>
          <w:lang w:val="en-CA"/>
        </w:rPr>
        <w:t xml:space="preserve"> the Executive Committee requested the Secretariat </w:t>
      </w:r>
      <w:r w:rsidR="009A4012" w:rsidRPr="005B50C6">
        <w:rPr>
          <w:lang w:val="en-CA"/>
        </w:rPr>
        <w:t xml:space="preserve">to </w:t>
      </w:r>
      <w:r w:rsidR="00FF77E5" w:rsidRPr="005B50C6">
        <w:rPr>
          <w:lang w:val="en-CA"/>
        </w:rPr>
        <w:t xml:space="preserve">prepare a document containing preliminary information, </w:t>
      </w:r>
      <w:r w:rsidR="00FF77E5" w:rsidRPr="005B50C6">
        <w:rPr>
          <w:i/>
          <w:lang w:val="en-CA"/>
        </w:rPr>
        <w:t xml:space="preserve">inter alia, </w:t>
      </w:r>
      <w:r w:rsidR="00FF77E5" w:rsidRPr="005B50C6">
        <w:rPr>
          <w:lang w:val="en-CA"/>
        </w:rPr>
        <w:t>on key aspects related to HFC-23 by</w:t>
      </w:r>
      <w:r w:rsidR="00FF77E5" w:rsidRPr="005B50C6">
        <w:rPr>
          <w:lang w:val="en-CA"/>
        </w:rPr>
        <w:noBreakHyphen/>
        <w:t>product-control technologies (</w:t>
      </w:r>
      <w:r w:rsidR="0079685C" w:rsidRPr="005B50C6">
        <w:rPr>
          <w:lang w:val="en-CA"/>
        </w:rPr>
        <w:t>decision </w:t>
      </w:r>
      <w:r w:rsidR="000D1150" w:rsidRPr="005B50C6">
        <w:rPr>
          <w:lang w:val="en-CA"/>
        </w:rPr>
        <w:t>77/59(b)(</w:t>
      </w:r>
      <w:proofErr w:type="spellStart"/>
      <w:r w:rsidR="000D1150" w:rsidRPr="005B50C6">
        <w:rPr>
          <w:lang w:val="en-CA"/>
        </w:rPr>
        <w:t>i</w:t>
      </w:r>
      <w:proofErr w:type="spellEnd"/>
      <w:r w:rsidR="000D1150" w:rsidRPr="005B50C6">
        <w:rPr>
          <w:lang w:val="en-CA"/>
        </w:rPr>
        <w:t>) and (iii)), which was subsequently presented to the 78</w:t>
      </w:r>
      <w:r w:rsidR="000D1150" w:rsidRPr="005B50C6">
        <w:rPr>
          <w:vertAlign w:val="superscript"/>
          <w:lang w:val="en-CA"/>
        </w:rPr>
        <w:t>th</w:t>
      </w:r>
      <w:r w:rsidR="000A1169" w:rsidRPr="005B50C6">
        <w:rPr>
          <w:lang w:val="en-CA"/>
        </w:rPr>
        <w:t> meeting</w:t>
      </w:r>
      <w:r w:rsidR="000D1150" w:rsidRPr="005B50C6">
        <w:rPr>
          <w:lang w:val="en-CA"/>
        </w:rPr>
        <w:t>.</w:t>
      </w:r>
      <w:r w:rsidR="000D1150" w:rsidRPr="00D104B4">
        <w:rPr>
          <w:rStyle w:val="FootnoteReference"/>
          <w:lang w:val="en-CA"/>
        </w:rPr>
        <w:footnoteReference w:id="2"/>
      </w:r>
      <w:r w:rsidR="002A600F" w:rsidRPr="005B50C6">
        <w:rPr>
          <w:lang w:val="en-CA"/>
        </w:rPr>
        <w:t xml:space="preserve">  Since then, issues related to the HFC-23 by-product emissions have been considered at each meeting of the Executive Committee.</w:t>
      </w:r>
      <w:r w:rsidR="002A600F">
        <w:rPr>
          <w:rStyle w:val="FootnoteReference"/>
          <w:lang w:val="en-CA"/>
        </w:rPr>
        <w:footnoteReference w:id="3"/>
      </w:r>
    </w:p>
    <w:p w14:paraId="563B39A4" w14:textId="31D5E751" w:rsidR="00066784" w:rsidRPr="00D104B4" w:rsidRDefault="00066784" w:rsidP="00066784">
      <w:pPr>
        <w:rPr>
          <w:u w:val="single"/>
          <w:lang w:val="en-CA"/>
        </w:rPr>
      </w:pPr>
      <w:r w:rsidRPr="00D104B4">
        <w:rPr>
          <w:u w:val="single"/>
          <w:lang w:val="en-CA"/>
        </w:rPr>
        <w:t>Discussion at the 81</w:t>
      </w:r>
      <w:r w:rsidRPr="00D104B4">
        <w:rPr>
          <w:u w:val="single"/>
          <w:vertAlign w:val="superscript"/>
          <w:lang w:val="en-CA"/>
        </w:rPr>
        <w:t>st</w:t>
      </w:r>
      <w:r w:rsidR="000A1169" w:rsidRPr="00D104B4">
        <w:rPr>
          <w:u w:val="single"/>
          <w:lang w:val="en-CA"/>
        </w:rPr>
        <w:t> meeting</w:t>
      </w:r>
    </w:p>
    <w:p w14:paraId="68A9E4B8" w14:textId="77777777" w:rsidR="008F515C" w:rsidRPr="00D104B4" w:rsidRDefault="008F515C" w:rsidP="000064BB">
      <w:pPr>
        <w:pStyle w:val="0Heading0"/>
        <w:rPr>
          <w:lang w:val="en-CA"/>
        </w:rPr>
      </w:pPr>
    </w:p>
    <w:p w14:paraId="26626AC7" w14:textId="539A2E64" w:rsidR="009F7568" w:rsidRPr="00D104B4" w:rsidRDefault="009F7568" w:rsidP="00066784">
      <w:pPr>
        <w:pStyle w:val="Heading1"/>
        <w:rPr>
          <w:lang w:val="en-CA"/>
        </w:rPr>
      </w:pPr>
      <w:r w:rsidRPr="00D104B4">
        <w:rPr>
          <w:lang w:val="en-CA"/>
        </w:rPr>
        <w:t>At its 8</w:t>
      </w:r>
      <w:r w:rsidR="00066784" w:rsidRPr="00D104B4">
        <w:rPr>
          <w:lang w:val="en-CA"/>
        </w:rPr>
        <w:t>1</w:t>
      </w:r>
      <w:r w:rsidR="00066784" w:rsidRPr="00D104B4">
        <w:rPr>
          <w:vertAlign w:val="superscript"/>
          <w:lang w:val="en-CA"/>
        </w:rPr>
        <w:t>st</w:t>
      </w:r>
      <w:r w:rsidR="000A1169" w:rsidRPr="00D104B4">
        <w:rPr>
          <w:lang w:val="en-CA"/>
        </w:rPr>
        <w:t> meeting</w:t>
      </w:r>
      <w:r w:rsidR="00066784" w:rsidRPr="00D104B4">
        <w:rPr>
          <w:lang w:val="en-CA"/>
        </w:rPr>
        <w:t xml:space="preserve">, the Executive Committee discussed the document on key aspects related to HFC-23 by-product control technologies (decisions 78/5(e), 79/47(e) and 80/77(b)), </w:t>
      </w:r>
      <w:r w:rsidRPr="00D104B4">
        <w:rPr>
          <w:lang w:val="en-CA"/>
        </w:rPr>
        <w:t xml:space="preserve">which contained a report produced by a consultant evaluating options for the destruction of HFC-23 from HCFC-22 facilities. </w:t>
      </w:r>
    </w:p>
    <w:p w14:paraId="3045A42A" w14:textId="30D8DEBF" w:rsidR="009F7568" w:rsidRPr="00D104B4" w:rsidRDefault="001C1B39" w:rsidP="00D87F94">
      <w:pPr>
        <w:pStyle w:val="Heading1"/>
        <w:rPr>
          <w:lang w:val="en-CA"/>
        </w:rPr>
      </w:pPr>
      <w:r>
        <w:rPr>
          <w:lang w:val="en-CA"/>
        </w:rPr>
        <w:t>In the ensuing discussion, s</w:t>
      </w:r>
      <w:r w:rsidR="009F7568" w:rsidRPr="00D104B4">
        <w:rPr>
          <w:lang w:val="en-CA"/>
        </w:rPr>
        <w:t>everal members said that there was a need to better understand the costs and management of and conditions relating to HFC-23 emissions destruction and control in other countries</w:t>
      </w:r>
      <w:r w:rsidR="00EB3235">
        <w:rPr>
          <w:lang w:val="en-CA"/>
        </w:rPr>
        <w:t>,</w:t>
      </w:r>
      <w:r w:rsidR="001A5F2D">
        <w:rPr>
          <w:lang w:val="en-CA"/>
        </w:rPr>
        <w:t xml:space="preserve"> and not only in China</w:t>
      </w:r>
      <w:r w:rsidR="009F7568" w:rsidRPr="00D104B4">
        <w:rPr>
          <w:lang w:val="en-CA"/>
        </w:rPr>
        <w:t xml:space="preserve"> where different conditions applied.</w:t>
      </w:r>
      <w:r w:rsidR="00D87F94" w:rsidRPr="00D104B4">
        <w:rPr>
          <w:lang w:val="en-CA"/>
        </w:rPr>
        <w:t xml:space="preserve"> G</w:t>
      </w:r>
      <w:r w:rsidR="009F7568" w:rsidRPr="00D104B4">
        <w:rPr>
          <w:lang w:val="en-CA"/>
        </w:rPr>
        <w:t xml:space="preserve">iven that there were differences between the various countries producing HCFC-22 and generating HFC-23 as a by-product, there was a need to address the issue on a case-by-case basis in order to identify gaps in capacity to manage HFC-23 destruction. </w:t>
      </w:r>
    </w:p>
    <w:p w14:paraId="3656458D" w14:textId="443D3BCA" w:rsidR="009F7568" w:rsidRPr="00D104B4" w:rsidRDefault="009F7568" w:rsidP="0071541B">
      <w:pPr>
        <w:pStyle w:val="Heading1"/>
        <w:keepNext/>
        <w:keepLines/>
        <w:rPr>
          <w:lang w:val="en-CA"/>
        </w:rPr>
      </w:pPr>
      <w:r w:rsidRPr="00D104B4">
        <w:rPr>
          <w:lang w:val="en-CA"/>
        </w:rPr>
        <w:lastRenderedPageBreak/>
        <w:t>In response</w:t>
      </w:r>
      <w:r w:rsidR="001A5F2D">
        <w:rPr>
          <w:lang w:val="en-CA"/>
        </w:rPr>
        <w:t xml:space="preserve"> to questions raised by members</w:t>
      </w:r>
      <w:r w:rsidR="00EB3235">
        <w:rPr>
          <w:lang w:val="en-CA"/>
        </w:rPr>
        <w:t>, the consultant said that</w:t>
      </w:r>
      <w:r w:rsidRPr="00D104B4">
        <w:rPr>
          <w:lang w:val="en-CA"/>
        </w:rPr>
        <w:t xml:space="preserve"> no factory-by-factory analysis had been conducted, but data on the average production of all enterprises producing HCFC-22 and generating HFC-23 as a by-product in </w:t>
      </w:r>
      <w:r w:rsidR="001E50CF" w:rsidRPr="001E50CF">
        <w:t>Argentina, China, India and Mexico</w:t>
      </w:r>
      <w:r w:rsidR="001E50CF">
        <w:t xml:space="preserve"> </w:t>
      </w:r>
      <w:r w:rsidRPr="00D104B4">
        <w:rPr>
          <w:lang w:val="en-CA"/>
        </w:rPr>
        <w:t xml:space="preserve">had been examined. The report had found that, in </w:t>
      </w:r>
      <w:r w:rsidR="001E50CF">
        <w:rPr>
          <w:lang w:val="en-CA"/>
        </w:rPr>
        <w:t>HCFC-22 production lines with an on-site incineration facility</w:t>
      </w:r>
      <w:r w:rsidRPr="00D104B4">
        <w:rPr>
          <w:lang w:val="en-CA"/>
        </w:rPr>
        <w:t xml:space="preserve">, HFC-23 would be transferred through pipes, and any leaks would either not occur or could be fixed mechanically. </w:t>
      </w:r>
      <w:r w:rsidR="001A5F2D">
        <w:rPr>
          <w:lang w:val="en-CA"/>
        </w:rPr>
        <w:t xml:space="preserve">For </w:t>
      </w:r>
      <w:r w:rsidRPr="00D104B4">
        <w:rPr>
          <w:lang w:val="en-CA"/>
        </w:rPr>
        <w:t>HCFC</w:t>
      </w:r>
      <w:r w:rsidR="0071541B">
        <w:rPr>
          <w:lang w:val="en-CA"/>
        </w:rPr>
        <w:noBreakHyphen/>
      </w:r>
      <w:r w:rsidRPr="00D104B4">
        <w:rPr>
          <w:lang w:val="en-CA"/>
        </w:rPr>
        <w:t>22 plants that did not have the capacity to continuously destroy HFC-23, as long as such facilities had sufficient capacity to store compressed HFC</w:t>
      </w:r>
      <w:r w:rsidR="001A5F2D">
        <w:rPr>
          <w:lang w:val="en-CA"/>
        </w:rPr>
        <w:noBreakHyphen/>
      </w:r>
      <w:r w:rsidRPr="00D104B4">
        <w:rPr>
          <w:lang w:val="en-CA"/>
        </w:rPr>
        <w:t>23, no HFC-23 would be emitted into the atmosphere</w:t>
      </w:r>
      <w:r w:rsidR="001C1B39">
        <w:rPr>
          <w:lang w:val="en-CA"/>
        </w:rPr>
        <w:t>. T</w:t>
      </w:r>
      <w:r w:rsidR="001A5F2D">
        <w:rPr>
          <w:lang w:val="en-CA"/>
        </w:rPr>
        <w:t xml:space="preserve">he most cost-efficient solution to extend </w:t>
      </w:r>
      <w:r w:rsidRPr="00D104B4">
        <w:rPr>
          <w:lang w:val="en-CA"/>
        </w:rPr>
        <w:t>the life of incinerators and reduce factory costs</w:t>
      </w:r>
      <w:r w:rsidR="001A5F2D">
        <w:rPr>
          <w:lang w:val="en-CA"/>
        </w:rPr>
        <w:t xml:space="preserve"> would be</w:t>
      </w:r>
      <w:r w:rsidRPr="00D104B4">
        <w:rPr>
          <w:lang w:val="en-CA"/>
        </w:rPr>
        <w:t xml:space="preserve"> to have sufficient storage capacity and to run incinerators continuously at the level needed at each factory.</w:t>
      </w:r>
      <w:r w:rsidR="00D87F94" w:rsidRPr="00D104B4">
        <w:rPr>
          <w:lang w:val="en-CA"/>
        </w:rPr>
        <w:t xml:space="preserve"> </w:t>
      </w:r>
    </w:p>
    <w:p w14:paraId="571CA9F3" w14:textId="1B34A888" w:rsidR="007E24FC" w:rsidRPr="00D104B4" w:rsidRDefault="007E24FC" w:rsidP="00031C48">
      <w:pPr>
        <w:pStyle w:val="Heading1"/>
        <w:rPr>
          <w:lang w:val="en-CA"/>
        </w:rPr>
      </w:pPr>
      <w:r w:rsidRPr="00D104B4">
        <w:rPr>
          <w:lang w:val="en-CA"/>
        </w:rPr>
        <w:t>T</w:t>
      </w:r>
      <w:r w:rsidR="009F7568" w:rsidRPr="00D104B4">
        <w:rPr>
          <w:lang w:val="en-CA"/>
        </w:rPr>
        <w:t>he Executive Committee establish</w:t>
      </w:r>
      <w:r w:rsidRPr="00D104B4">
        <w:rPr>
          <w:lang w:val="en-CA"/>
        </w:rPr>
        <w:t>ed</w:t>
      </w:r>
      <w:r w:rsidR="009F7568" w:rsidRPr="00D104B4">
        <w:rPr>
          <w:lang w:val="en-CA"/>
        </w:rPr>
        <w:t xml:space="preserve"> a contact group to further discuss the report.</w:t>
      </w:r>
      <w:r w:rsidRPr="00D104B4">
        <w:rPr>
          <w:lang w:val="en-CA"/>
        </w:rPr>
        <w:t xml:space="preserve"> Subsequently, the Committee </w:t>
      </w:r>
      <w:r w:rsidRPr="00D104B4">
        <w:rPr>
          <w:i/>
          <w:lang w:val="en-CA"/>
        </w:rPr>
        <w:t xml:space="preserve">inter alia </w:t>
      </w:r>
      <w:r w:rsidRPr="00D104B4">
        <w:rPr>
          <w:lang w:val="en-CA"/>
        </w:rPr>
        <w:t>requested the Secretariat to prepare a document for the 82</w:t>
      </w:r>
      <w:r w:rsidRPr="00D104B4">
        <w:rPr>
          <w:vertAlign w:val="superscript"/>
          <w:lang w:val="en-CA"/>
        </w:rPr>
        <w:t>nd</w:t>
      </w:r>
      <w:r w:rsidR="000A1169" w:rsidRPr="00D104B4">
        <w:rPr>
          <w:lang w:val="en-CA"/>
        </w:rPr>
        <w:t> meeting</w:t>
      </w:r>
      <w:r w:rsidRPr="00D104B4">
        <w:rPr>
          <w:lang w:val="en-CA"/>
        </w:rPr>
        <w:t xml:space="preserve">, based on </w:t>
      </w:r>
      <w:r w:rsidR="000A1169" w:rsidRPr="00D104B4">
        <w:rPr>
          <w:lang w:val="en-CA"/>
        </w:rPr>
        <w:t>document </w:t>
      </w:r>
      <w:r w:rsidRPr="00D104B4">
        <w:rPr>
          <w:lang w:val="en-CA"/>
        </w:rPr>
        <w:t>UNEP/</w:t>
      </w:r>
      <w:proofErr w:type="spellStart"/>
      <w:r w:rsidRPr="00D104B4">
        <w:rPr>
          <w:lang w:val="en-CA"/>
        </w:rPr>
        <w:t>OzL.Pro</w:t>
      </w:r>
      <w:proofErr w:type="spellEnd"/>
      <w:r w:rsidRPr="00D104B4">
        <w:rPr>
          <w:lang w:val="en-CA"/>
        </w:rPr>
        <w:t>/</w:t>
      </w:r>
      <w:proofErr w:type="spellStart"/>
      <w:r w:rsidRPr="00D104B4">
        <w:rPr>
          <w:lang w:val="en-CA"/>
        </w:rPr>
        <w:t>ExCom</w:t>
      </w:r>
      <w:proofErr w:type="spellEnd"/>
      <w:r w:rsidRPr="00D104B4">
        <w:rPr>
          <w:lang w:val="en-CA"/>
        </w:rPr>
        <w:t>/79/48, on cost</w:t>
      </w:r>
      <w:r w:rsidR="00537CEC">
        <w:rPr>
          <w:lang w:val="en-CA"/>
        </w:rPr>
        <w:t>-</w:t>
      </w:r>
      <w:r w:rsidRPr="00D104B4">
        <w:rPr>
          <w:lang w:val="en-CA"/>
        </w:rPr>
        <w:t>effective options for controlling HFC</w:t>
      </w:r>
      <w:r w:rsidR="00A538DA" w:rsidRPr="00D104B4">
        <w:rPr>
          <w:lang w:val="en-CA"/>
        </w:rPr>
        <w:t>-</w:t>
      </w:r>
      <w:r w:rsidRPr="00D104B4">
        <w:rPr>
          <w:lang w:val="en-CA"/>
        </w:rPr>
        <w:t>23 by product emissions, including information relevant to the cost of closure of HCFC</w:t>
      </w:r>
      <w:r w:rsidR="00A538DA" w:rsidRPr="00D104B4">
        <w:rPr>
          <w:lang w:val="en-CA"/>
        </w:rPr>
        <w:t>-</w:t>
      </w:r>
      <w:r w:rsidRPr="00D104B4">
        <w:rPr>
          <w:lang w:val="en-CA"/>
        </w:rPr>
        <w:t>22 production swing plants, and options for monitoring, in light of the report by the consultant submitted to the 81</w:t>
      </w:r>
      <w:r w:rsidRPr="00D104B4">
        <w:rPr>
          <w:vertAlign w:val="superscript"/>
          <w:lang w:val="en-CA"/>
        </w:rPr>
        <w:t>st</w:t>
      </w:r>
      <w:r w:rsidR="000A1169" w:rsidRPr="00D104B4">
        <w:rPr>
          <w:lang w:val="en-CA"/>
        </w:rPr>
        <w:t> meeting</w:t>
      </w:r>
      <w:r w:rsidRPr="00D104B4">
        <w:rPr>
          <w:lang w:val="en-CA"/>
        </w:rPr>
        <w:t xml:space="preserve"> and other relevant reports (</w:t>
      </w:r>
      <w:r w:rsidR="000A1169" w:rsidRPr="00D104B4">
        <w:rPr>
          <w:lang w:val="en-CA"/>
        </w:rPr>
        <w:t>decision </w:t>
      </w:r>
      <w:r w:rsidRPr="00D104B4">
        <w:rPr>
          <w:lang w:val="en-CA"/>
        </w:rPr>
        <w:t>81/68(a) and (e)).</w:t>
      </w:r>
    </w:p>
    <w:p w14:paraId="5D967D2A" w14:textId="14939125" w:rsidR="007E24FC" w:rsidRPr="00D104B4" w:rsidRDefault="007E24FC" w:rsidP="007E24FC">
      <w:pPr>
        <w:pStyle w:val="Heading1"/>
        <w:rPr>
          <w:lang w:val="en-CA"/>
        </w:rPr>
      </w:pPr>
      <w:r w:rsidRPr="00D104B4">
        <w:rPr>
          <w:lang w:val="en-CA"/>
        </w:rPr>
        <w:t xml:space="preserve">In response to </w:t>
      </w:r>
      <w:r w:rsidR="000A1169" w:rsidRPr="00D104B4">
        <w:rPr>
          <w:lang w:val="en-CA"/>
        </w:rPr>
        <w:t>decision </w:t>
      </w:r>
      <w:r w:rsidRPr="00D104B4">
        <w:rPr>
          <w:lang w:val="en-CA"/>
        </w:rPr>
        <w:t>81/68(e), the Secretariat has submitted the present document to the 82</w:t>
      </w:r>
      <w:r w:rsidRPr="00D104B4">
        <w:rPr>
          <w:vertAlign w:val="superscript"/>
          <w:lang w:val="en-CA"/>
        </w:rPr>
        <w:t>nd</w:t>
      </w:r>
      <w:r w:rsidR="00A538DA" w:rsidRPr="00D104B4">
        <w:rPr>
          <w:vertAlign w:val="superscript"/>
          <w:lang w:val="en-CA"/>
        </w:rPr>
        <w:t> </w:t>
      </w:r>
      <w:r w:rsidRPr="00D104B4">
        <w:rPr>
          <w:lang w:val="en-CA"/>
        </w:rPr>
        <w:t>meeting.</w:t>
      </w:r>
    </w:p>
    <w:p w14:paraId="2AE40C4C" w14:textId="42CA1976" w:rsidR="009F7568" w:rsidRPr="00D104B4" w:rsidRDefault="007E24FC" w:rsidP="008A0459">
      <w:pPr>
        <w:rPr>
          <w:u w:val="single"/>
          <w:lang w:val="en-CA"/>
        </w:rPr>
      </w:pPr>
      <w:r w:rsidRPr="00D104B4">
        <w:rPr>
          <w:u w:val="single"/>
          <w:lang w:val="en-CA"/>
        </w:rPr>
        <w:t>Scope of the document</w:t>
      </w:r>
    </w:p>
    <w:p w14:paraId="5E3F8CB2" w14:textId="77777777" w:rsidR="008A0459" w:rsidRPr="00D104B4" w:rsidRDefault="008A0459" w:rsidP="008A0459">
      <w:pPr>
        <w:rPr>
          <w:lang w:val="en-CA"/>
        </w:rPr>
      </w:pPr>
    </w:p>
    <w:p w14:paraId="420F625B" w14:textId="0E87C660" w:rsidR="00031C48" w:rsidRPr="00913B0B" w:rsidRDefault="00031C48" w:rsidP="00537CEC">
      <w:pPr>
        <w:pStyle w:val="Heading1"/>
        <w:rPr>
          <w:lang w:val="en-CA"/>
        </w:rPr>
      </w:pPr>
      <w:r w:rsidRPr="00D104B4">
        <w:rPr>
          <w:lang w:val="en-CA"/>
        </w:rPr>
        <w:t>The document has been prepared based on the documents on key aspects of HFC-23 by-product control technologies submitted to the 79</w:t>
      </w:r>
      <w:r w:rsidRPr="00D104B4">
        <w:rPr>
          <w:vertAlign w:val="superscript"/>
          <w:lang w:val="en-CA"/>
        </w:rPr>
        <w:t>th</w:t>
      </w:r>
      <w:r w:rsidRPr="00D104B4">
        <w:rPr>
          <w:lang w:val="en-CA"/>
        </w:rPr>
        <w:t xml:space="preserve"> and 81</w:t>
      </w:r>
      <w:r w:rsidRPr="00D104B4">
        <w:rPr>
          <w:vertAlign w:val="superscript"/>
          <w:lang w:val="en-CA"/>
        </w:rPr>
        <w:t>st</w:t>
      </w:r>
      <w:r w:rsidRPr="00D104B4">
        <w:rPr>
          <w:lang w:val="en-CA"/>
        </w:rPr>
        <w:t xml:space="preserve"> meeting</w:t>
      </w:r>
      <w:r w:rsidR="000A1169" w:rsidRPr="00D104B4">
        <w:rPr>
          <w:lang w:val="en-CA"/>
        </w:rPr>
        <w:t>s</w:t>
      </w:r>
      <w:r w:rsidR="001E50CF">
        <w:rPr>
          <w:lang w:val="en-CA"/>
        </w:rPr>
        <w:t>;</w:t>
      </w:r>
      <w:r w:rsidR="00F37339" w:rsidRPr="00D104B4">
        <w:rPr>
          <w:lang w:val="en-CA"/>
        </w:rPr>
        <w:t xml:space="preserve"> information included in verification reports</w:t>
      </w:r>
      <w:r w:rsidR="001E50CF">
        <w:rPr>
          <w:lang w:val="en-CA"/>
        </w:rPr>
        <w:t>;</w:t>
      </w:r>
      <w:r w:rsidR="00F37339" w:rsidRPr="00D104B4">
        <w:rPr>
          <w:lang w:val="en-CA"/>
        </w:rPr>
        <w:t xml:space="preserve"> information gathered during a site visit to one swing plant</w:t>
      </w:r>
      <w:r w:rsidR="00537CEC">
        <w:rPr>
          <w:lang w:val="en-CA"/>
        </w:rPr>
        <w:t xml:space="preserve"> in an Article-5 country</w:t>
      </w:r>
      <w:r w:rsidR="001E50CF">
        <w:rPr>
          <w:lang w:val="en-CA"/>
        </w:rPr>
        <w:t>;</w:t>
      </w:r>
      <w:r w:rsidR="00653F5C" w:rsidRPr="00D104B4">
        <w:rPr>
          <w:lang w:val="en-CA"/>
        </w:rPr>
        <w:t xml:space="preserve"> Article 7 data reporting</w:t>
      </w:r>
      <w:r w:rsidR="001E50CF">
        <w:rPr>
          <w:lang w:val="en-CA"/>
        </w:rPr>
        <w:t>;</w:t>
      </w:r>
      <w:r w:rsidR="00653F5C" w:rsidRPr="00D104B4">
        <w:rPr>
          <w:lang w:val="en-CA"/>
        </w:rPr>
        <w:t xml:space="preserve"> and </w:t>
      </w:r>
      <w:r w:rsidR="00F37339" w:rsidRPr="00D104B4">
        <w:rPr>
          <w:lang w:val="en-CA"/>
        </w:rPr>
        <w:t>publicly available information.</w:t>
      </w:r>
      <w:r w:rsidRPr="00D104B4">
        <w:rPr>
          <w:lang w:val="en-CA"/>
        </w:rPr>
        <w:t xml:space="preserve"> </w:t>
      </w:r>
      <w:r w:rsidR="00537CEC" w:rsidRPr="00913B0B">
        <w:rPr>
          <w:lang w:val="en-CA"/>
        </w:rPr>
        <w:t xml:space="preserve">The document contains </w:t>
      </w:r>
      <w:r w:rsidR="001E50CF" w:rsidRPr="00913B0B">
        <w:rPr>
          <w:lang w:val="en-CA"/>
        </w:rPr>
        <w:t xml:space="preserve">information on the level of </w:t>
      </w:r>
      <w:r w:rsidR="00537CEC" w:rsidRPr="00913B0B">
        <w:rPr>
          <w:lang w:val="en-CA"/>
        </w:rPr>
        <w:t>HCFC-22 production and HFC-23 by-product generation, cost-effective options for controlling HFC-23 by-product emissions, information relevant to the cost of closure of HCFC-22 production swing plants, options for monitoring, and concludes with the Secretariat’s recommendation.</w:t>
      </w:r>
    </w:p>
    <w:p w14:paraId="25BE43EC" w14:textId="77777777" w:rsidR="001C1B39" w:rsidRDefault="00537CEC" w:rsidP="00E75314">
      <w:pPr>
        <w:pStyle w:val="Heading1"/>
        <w:rPr>
          <w:lang w:val="en-CA"/>
        </w:rPr>
      </w:pPr>
      <w:r w:rsidRPr="00913B0B">
        <w:rPr>
          <w:lang w:val="en-CA"/>
        </w:rPr>
        <w:t>The document include</w:t>
      </w:r>
      <w:r>
        <w:rPr>
          <w:lang w:val="en-CA"/>
        </w:rPr>
        <w:t>s two annexes</w:t>
      </w:r>
      <w:r w:rsidR="001C1B39">
        <w:rPr>
          <w:lang w:val="en-CA"/>
        </w:rPr>
        <w:t xml:space="preserve">: </w:t>
      </w:r>
    </w:p>
    <w:p w14:paraId="4473F247" w14:textId="19DD8098" w:rsidR="001C1B39" w:rsidRDefault="00661A71" w:rsidP="001C1B39">
      <w:pPr>
        <w:pStyle w:val="Heading2"/>
        <w:rPr>
          <w:lang w:val="en-CA"/>
        </w:rPr>
      </w:pPr>
      <w:r w:rsidRPr="00D104B4">
        <w:rPr>
          <w:lang w:val="en-CA"/>
        </w:rPr>
        <w:t>Annex </w:t>
      </w:r>
      <w:r w:rsidR="00FE761F" w:rsidRPr="00D104B4">
        <w:rPr>
          <w:lang w:val="en-CA"/>
        </w:rPr>
        <w:t>I</w:t>
      </w:r>
      <w:r w:rsidR="00537CEC">
        <w:rPr>
          <w:lang w:val="en-CA"/>
        </w:rPr>
        <w:t xml:space="preserve">: </w:t>
      </w:r>
      <w:r w:rsidR="001C1B39">
        <w:rPr>
          <w:lang w:val="en-CA"/>
        </w:rPr>
        <w:t xml:space="preserve">an </w:t>
      </w:r>
      <w:r w:rsidR="00585B7E">
        <w:rPr>
          <w:lang w:val="en-CA"/>
        </w:rPr>
        <w:t>extract from document</w:t>
      </w:r>
      <w:r w:rsidR="00091FB0">
        <w:rPr>
          <w:lang w:val="en-CA"/>
        </w:rPr>
        <w:t> </w:t>
      </w:r>
      <w:r w:rsidR="00585B7E" w:rsidRPr="00585B7E">
        <w:rPr>
          <w:lang w:val="en-CA"/>
        </w:rPr>
        <w:t>UNEP/</w:t>
      </w:r>
      <w:proofErr w:type="spellStart"/>
      <w:r w:rsidR="00585B7E" w:rsidRPr="00585B7E">
        <w:rPr>
          <w:lang w:val="en-CA"/>
        </w:rPr>
        <w:t>OzL.Pro</w:t>
      </w:r>
      <w:proofErr w:type="spellEnd"/>
      <w:r w:rsidR="00585B7E" w:rsidRPr="00585B7E">
        <w:rPr>
          <w:lang w:val="en-CA"/>
        </w:rPr>
        <w:t>/</w:t>
      </w:r>
      <w:proofErr w:type="spellStart"/>
      <w:r w:rsidR="00585B7E" w:rsidRPr="00585B7E">
        <w:rPr>
          <w:lang w:val="en-CA"/>
        </w:rPr>
        <w:t>ExCom</w:t>
      </w:r>
      <w:proofErr w:type="spellEnd"/>
      <w:r w:rsidR="00585B7E" w:rsidRPr="00585B7E">
        <w:rPr>
          <w:lang w:val="en-CA"/>
        </w:rPr>
        <w:t>/81/54</w:t>
      </w:r>
      <w:r w:rsidR="00585B7E">
        <w:rPr>
          <w:lang w:val="en-CA"/>
        </w:rPr>
        <w:t xml:space="preserve">, which summarizes </w:t>
      </w:r>
      <w:r w:rsidR="00FE761F" w:rsidRPr="00D104B4">
        <w:rPr>
          <w:lang w:val="en-CA"/>
        </w:rPr>
        <w:t>the report of the independent consultant evaluating options for the destruction of HFC-23 from HCFC-22 facilities</w:t>
      </w:r>
      <w:r w:rsidR="001C1B39">
        <w:rPr>
          <w:lang w:val="en-CA"/>
        </w:rPr>
        <w:t>; and</w:t>
      </w:r>
    </w:p>
    <w:p w14:paraId="3EA28141" w14:textId="370A77AD" w:rsidR="00031C48" w:rsidRPr="00D104B4" w:rsidRDefault="00313F16" w:rsidP="001C1B39">
      <w:pPr>
        <w:pStyle w:val="Heading2"/>
        <w:rPr>
          <w:lang w:val="en-CA"/>
        </w:rPr>
      </w:pPr>
      <w:r>
        <w:rPr>
          <w:lang w:val="en-CA"/>
        </w:rPr>
        <w:t>A</w:t>
      </w:r>
      <w:r w:rsidR="002B1594" w:rsidRPr="00D104B4">
        <w:rPr>
          <w:lang w:val="en-CA"/>
        </w:rPr>
        <w:t>nnex</w:t>
      </w:r>
      <w:r>
        <w:rPr>
          <w:lang w:val="en-CA"/>
        </w:rPr>
        <w:t> </w:t>
      </w:r>
      <w:r w:rsidR="002B1594" w:rsidRPr="00D104B4">
        <w:rPr>
          <w:lang w:val="en-CA"/>
        </w:rPr>
        <w:t>II</w:t>
      </w:r>
      <w:r w:rsidR="002F3169">
        <w:rPr>
          <w:lang w:val="en-CA"/>
        </w:rPr>
        <w:t xml:space="preserve">: </w:t>
      </w:r>
      <w:r w:rsidR="00091FB0">
        <w:rPr>
          <w:lang w:val="en-CA"/>
        </w:rPr>
        <w:t>a</w:t>
      </w:r>
      <w:r w:rsidR="00E75314" w:rsidRPr="00D104B4">
        <w:rPr>
          <w:lang w:val="en-CA"/>
        </w:rPr>
        <w:t>n extract from Chapter</w:t>
      </w:r>
      <w:r w:rsidR="00091FB0">
        <w:rPr>
          <w:lang w:val="en-CA"/>
        </w:rPr>
        <w:t> </w:t>
      </w:r>
      <w:r w:rsidR="00E75314" w:rsidRPr="00D104B4">
        <w:rPr>
          <w:lang w:val="en-CA"/>
        </w:rPr>
        <w:t>7 of the Report of the TEAP, May</w:t>
      </w:r>
      <w:r w:rsidR="00737BFF">
        <w:rPr>
          <w:lang w:val="en-CA"/>
        </w:rPr>
        <w:t> </w:t>
      </w:r>
      <w:r w:rsidR="00E75314" w:rsidRPr="00D104B4">
        <w:rPr>
          <w:lang w:val="en-CA"/>
        </w:rPr>
        <w:t>2017, Volume 4: Assessment of the funding requirement for the replenishment of the Multilateral Fund for the period 2018</w:t>
      </w:r>
      <w:r w:rsidR="00E75314" w:rsidRPr="00D104B4">
        <w:rPr>
          <w:lang w:val="en-CA"/>
        </w:rPr>
        <w:noBreakHyphen/>
        <w:t>2020 on the methodology for determining funding for HFC-23 mitigation as of 2020</w:t>
      </w:r>
      <w:r w:rsidR="002B1594" w:rsidRPr="00D104B4">
        <w:rPr>
          <w:lang w:val="en-CA"/>
        </w:rPr>
        <w:t>.</w:t>
      </w:r>
      <w:r w:rsidR="00E75314" w:rsidRPr="00D104B4">
        <w:rPr>
          <w:rStyle w:val="FootnoteReference"/>
          <w:b/>
          <w:lang w:val="en-CA"/>
        </w:rPr>
        <w:footnoteReference w:id="4"/>
      </w:r>
    </w:p>
    <w:p w14:paraId="7A4BC02A" w14:textId="3901DB87" w:rsidR="00201F7E" w:rsidRPr="00D104B4" w:rsidRDefault="00201F7E" w:rsidP="00C419CC">
      <w:pPr>
        <w:pStyle w:val="Heading2"/>
        <w:numPr>
          <w:ilvl w:val="0"/>
          <w:numId w:val="0"/>
        </w:numPr>
        <w:rPr>
          <w:b/>
          <w:lang w:val="en-CA"/>
        </w:rPr>
      </w:pPr>
      <w:r w:rsidRPr="00D104B4">
        <w:rPr>
          <w:b/>
          <w:lang w:val="en-CA"/>
        </w:rPr>
        <w:t xml:space="preserve">HCFC-22 level of production and HFC-23 </w:t>
      </w:r>
      <w:r w:rsidR="00567FD0" w:rsidRPr="00D104B4">
        <w:rPr>
          <w:b/>
          <w:lang w:val="en-CA"/>
        </w:rPr>
        <w:t>by-product generation</w:t>
      </w:r>
    </w:p>
    <w:p w14:paraId="371EF6DD" w14:textId="2BCBC31F" w:rsidR="00412D2B" w:rsidRPr="00D104B4" w:rsidRDefault="00412D2B" w:rsidP="00201F7E">
      <w:pPr>
        <w:pStyle w:val="Heading1"/>
        <w:rPr>
          <w:lang w:val="en-CA"/>
        </w:rPr>
      </w:pPr>
      <w:r w:rsidRPr="00D104B4">
        <w:rPr>
          <w:lang w:val="en-CA"/>
        </w:rPr>
        <w:t xml:space="preserve">According to the </w:t>
      </w:r>
      <w:r w:rsidR="002F3169">
        <w:rPr>
          <w:lang w:val="en-CA"/>
        </w:rPr>
        <w:t xml:space="preserve">data reported under </w:t>
      </w:r>
      <w:r w:rsidRPr="00D104B4">
        <w:rPr>
          <w:lang w:val="en-CA"/>
        </w:rPr>
        <w:t>Article 7</w:t>
      </w:r>
      <w:r w:rsidR="002F3169">
        <w:rPr>
          <w:lang w:val="en-CA"/>
        </w:rPr>
        <w:t xml:space="preserve"> of the Protocol</w:t>
      </w:r>
      <w:r w:rsidRPr="00E55D89">
        <w:rPr>
          <w:lang w:val="en-CA"/>
        </w:rPr>
        <w:t xml:space="preserve">, </w:t>
      </w:r>
      <w:r w:rsidR="00C52F53" w:rsidRPr="00E55D89">
        <w:rPr>
          <w:lang w:val="en-CA"/>
        </w:rPr>
        <w:t>1</w:t>
      </w:r>
      <w:r w:rsidR="00E55D89" w:rsidRPr="00E55D89">
        <w:rPr>
          <w:lang w:val="en-CA"/>
        </w:rPr>
        <w:t>4</w:t>
      </w:r>
      <w:r w:rsidRPr="00E55D89">
        <w:rPr>
          <w:lang w:val="en-CA"/>
        </w:rPr>
        <w:t xml:space="preserve"> countries (s</w:t>
      </w:r>
      <w:r w:rsidRPr="00D104B4">
        <w:rPr>
          <w:lang w:val="en-CA"/>
        </w:rPr>
        <w:t>even Article</w:t>
      </w:r>
      <w:r w:rsidR="002F3169">
        <w:rPr>
          <w:lang w:val="en-CA"/>
        </w:rPr>
        <w:t> 5</w:t>
      </w:r>
      <w:r w:rsidRPr="00D104B4">
        <w:rPr>
          <w:lang w:val="en-CA"/>
        </w:rPr>
        <w:t xml:space="preserve"> and </w:t>
      </w:r>
      <w:r w:rsidR="00E55D89">
        <w:rPr>
          <w:lang w:val="en-CA"/>
        </w:rPr>
        <w:t>seven</w:t>
      </w:r>
      <w:r w:rsidRPr="00D104B4">
        <w:rPr>
          <w:lang w:val="en-CA"/>
        </w:rPr>
        <w:t xml:space="preserve"> non-Article </w:t>
      </w:r>
      <w:r w:rsidR="00E55D89">
        <w:rPr>
          <w:lang w:val="en-CA"/>
        </w:rPr>
        <w:t>5</w:t>
      </w:r>
      <w:r w:rsidRPr="00D104B4">
        <w:rPr>
          <w:lang w:val="en-CA"/>
        </w:rPr>
        <w:t xml:space="preserve"> countries) produced HCFC-22 in 2017. The global HCFC-22 production in 2017 amounted to 8</w:t>
      </w:r>
      <w:r w:rsidR="002455C1" w:rsidRPr="00D104B4">
        <w:rPr>
          <w:lang w:val="en-CA"/>
        </w:rPr>
        <w:t>95,459</w:t>
      </w:r>
      <w:r w:rsidRPr="00D104B4">
        <w:rPr>
          <w:lang w:val="en-CA"/>
        </w:rPr>
        <w:t> metric tonnes (</w:t>
      </w:r>
      <w:proofErr w:type="spellStart"/>
      <w:r w:rsidRPr="00D104B4">
        <w:rPr>
          <w:lang w:val="en-CA"/>
        </w:rPr>
        <w:t>mt</w:t>
      </w:r>
      <w:proofErr w:type="spellEnd"/>
      <w:r w:rsidRPr="00D104B4">
        <w:rPr>
          <w:lang w:val="en-CA"/>
        </w:rPr>
        <w:t>) as shown in Table 1</w:t>
      </w:r>
      <w:r w:rsidR="00CA700E" w:rsidRPr="00D104B4">
        <w:rPr>
          <w:lang w:val="en-CA"/>
        </w:rPr>
        <w:t>.</w:t>
      </w:r>
    </w:p>
    <w:p w14:paraId="181AF8D9" w14:textId="6883A43E" w:rsidR="00F6669D" w:rsidRDefault="00F6669D" w:rsidP="001C1B39">
      <w:pPr>
        <w:keepNext/>
        <w:keepLines/>
        <w:rPr>
          <w:b/>
          <w:lang w:val="en-CA"/>
        </w:rPr>
      </w:pPr>
    </w:p>
    <w:p w14:paraId="1D40D669" w14:textId="77777777" w:rsidR="00F6669D" w:rsidRDefault="00F6669D" w:rsidP="001C1B39">
      <w:pPr>
        <w:keepNext/>
        <w:keepLines/>
        <w:rPr>
          <w:b/>
          <w:lang w:val="en-CA"/>
        </w:rPr>
      </w:pPr>
    </w:p>
    <w:p w14:paraId="2E4E394D" w14:textId="384DB4B9" w:rsidR="002C1608" w:rsidRPr="00D104B4" w:rsidRDefault="002C1608" w:rsidP="001C1B39">
      <w:pPr>
        <w:keepNext/>
        <w:keepLines/>
        <w:rPr>
          <w:lang w:val="en-CA"/>
        </w:rPr>
      </w:pPr>
      <w:r w:rsidRPr="0030201A">
        <w:rPr>
          <w:b/>
          <w:lang w:val="en-CA"/>
        </w:rPr>
        <w:t>Table 1. Total</w:t>
      </w:r>
      <w:r w:rsidR="00532AB6" w:rsidRPr="0030201A">
        <w:rPr>
          <w:b/>
          <w:lang w:val="en-CA"/>
        </w:rPr>
        <w:t>*</w:t>
      </w:r>
      <w:r w:rsidRPr="0030201A">
        <w:rPr>
          <w:b/>
          <w:lang w:val="en-CA"/>
        </w:rPr>
        <w:t xml:space="preserve"> HCFC-22 production for the period of 2009 to 2017 (</w:t>
      </w:r>
      <w:proofErr w:type="spellStart"/>
      <w:r w:rsidRPr="0030201A">
        <w:rPr>
          <w:b/>
          <w:lang w:val="en-CA"/>
        </w:rPr>
        <w:t>mt</w:t>
      </w:r>
      <w:proofErr w:type="spellEnd"/>
      <w:r w:rsidRPr="0030201A">
        <w:rPr>
          <w:b/>
          <w:lang w:val="en-CA"/>
        </w:rPr>
        <w:t>) (Article 7 data)</w:t>
      </w:r>
    </w:p>
    <w:tbl>
      <w:tblPr>
        <w:tblW w:w="5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64"/>
        <w:gridCol w:w="864"/>
        <w:gridCol w:w="864"/>
        <w:gridCol w:w="864"/>
        <w:gridCol w:w="863"/>
        <w:gridCol w:w="863"/>
        <w:gridCol w:w="863"/>
        <w:gridCol w:w="863"/>
        <w:gridCol w:w="863"/>
      </w:tblGrid>
      <w:tr w:rsidR="00A538DA" w:rsidRPr="00737BFF" w14:paraId="42A5D451" w14:textId="77777777" w:rsidTr="00737BFF">
        <w:trPr>
          <w:trHeight w:val="143"/>
        </w:trPr>
        <w:tc>
          <w:tcPr>
            <w:tcW w:w="1182" w:type="pct"/>
            <w:shd w:val="clear" w:color="auto" w:fill="auto"/>
            <w:noWrap/>
            <w:vAlign w:val="center"/>
            <w:hideMark/>
          </w:tcPr>
          <w:p w14:paraId="2ABD2A9E" w14:textId="77777777" w:rsidR="00831E2A" w:rsidRPr="00737BFF" w:rsidRDefault="00831E2A" w:rsidP="001C1B39">
            <w:pPr>
              <w:keepNext/>
              <w:keepLines/>
              <w:jc w:val="center"/>
              <w:rPr>
                <w:b/>
                <w:bCs/>
                <w:color w:val="000000"/>
                <w:sz w:val="18"/>
                <w:szCs w:val="18"/>
                <w:lang w:val="en-CA" w:eastAsia="en-CA"/>
              </w:rPr>
            </w:pPr>
            <w:r w:rsidRPr="00737BFF">
              <w:rPr>
                <w:b/>
                <w:bCs/>
                <w:color w:val="000000"/>
                <w:sz w:val="18"/>
                <w:szCs w:val="18"/>
                <w:lang w:val="en-CA" w:eastAsia="zh-CN"/>
              </w:rPr>
              <w:t>Country</w:t>
            </w:r>
          </w:p>
        </w:tc>
        <w:tc>
          <w:tcPr>
            <w:tcW w:w="424" w:type="pct"/>
            <w:shd w:val="clear" w:color="auto" w:fill="auto"/>
            <w:noWrap/>
            <w:vAlign w:val="center"/>
            <w:hideMark/>
          </w:tcPr>
          <w:p w14:paraId="3618B156" w14:textId="77777777" w:rsidR="00831E2A" w:rsidRPr="00737BFF" w:rsidRDefault="00831E2A" w:rsidP="001C1B39">
            <w:pPr>
              <w:keepNext/>
              <w:keepLines/>
              <w:jc w:val="center"/>
              <w:rPr>
                <w:b/>
                <w:bCs/>
                <w:color w:val="000000"/>
                <w:sz w:val="18"/>
                <w:szCs w:val="18"/>
                <w:lang w:val="en-CA" w:eastAsia="en-CA"/>
              </w:rPr>
            </w:pPr>
            <w:r w:rsidRPr="00737BFF">
              <w:rPr>
                <w:b/>
                <w:bCs/>
                <w:color w:val="000000"/>
                <w:sz w:val="18"/>
                <w:szCs w:val="18"/>
                <w:lang w:val="en-CA" w:eastAsia="zh-CN"/>
              </w:rPr>
              <w:t>2009</w:t>
            </w:r>
          </w:p>
        </w:tc>
        <w:tc>
          <w:tcPr>
            <w:tcW w:w="424" w:type="pct"/>
            <w:shd w:val="clear" w:color="auto" w:fill="auto"/>
            <w:noWrap/>
            <w:vAlign w:val="center"/>
            <w:hideMark/>
          </w:tcPr>
          <w:p w14:paraId="6C580416" w14:textId="77777777" w:rsidR="00831E2A" w:rsidRPr="00737BFF" w:rsidRDefault="00831E2A" w:rsidP="001C1B39">
            <w:pPr>
              <w:keepNext/>
              <w:keepLines/>
              <w:jc w:val="center"/>
              <w:rPr>
                <w:b/>
                <w:bCs/>
                <w:color w:val="000000"/>
                <w:sz w:val="18"/>
                <w:szCs w:val="18"/>
                <w:lang w:val="en-CA" w:eastAsia="en-CA"/>
              </w:rPr>
            </w:pPr>
            <w:r w:rsidRPr="00737BFF">
              <w:rPr>
                <w:b/>
                <w:bCs/>
                <w:color w:val="000000"/>
                <w:sz w:val="18"/>
                <w:szCs w:val="18"/>
                <w:lang w:val="en-CA" w:eastAsia="zh-CN"/>
              </w:rPr>
              <w:t>2010</w:t>
            </w:r>
          </w:p>
        </w:tc>
        <w:tc>
          <w:tcPr>
            <w:tcW w:w="424" w:type="pct"/>
            <w:shd w:val="clear" w:color="auto" w:fill="auto"/>
            <w:noWrap/>
            <w:vAlign w:val="center"/>
            <w:hideMark/>
          </w:tcPr>
          <w:p w14:paraId="07A1A3A7" w14:textId="77777777" w:rsidR="00831E2A" w:rsidRPr="00737BFF" w:rsidRDefault="00831E2A" w:rsidP="001C1B39">
            <w:pPr>
              <w:keepNext/>
              <w:keepLines/>
              <w:jc w:val="center"/>
              <w:rPr>
                <w:b/>
                <w:bCs/>
                <w:color w:val="000000"/>
                <w:sz w:val="18"/>
                <w:szCs w:val="18"/>
                <w:lang w:val="en-CA" w:eastAsia="en-CA"/>
              </w:rPr>
            </w:pPr>
            <w:r w:rsidRPr="00737BFF">
              <w:rPr>
                <w:b/>
                <w:bCs/>
                <w:color w:val="000000"/>
                <w:sz w:val="18"/>
                <w:szCs w:val="18"/>
                <w:lang w:val="en-CA" w:eastAsia="zh-CN"/>
              </w:rPr>
              <w:t>2011</w:t>
            </w:r>
          </w:p>
        </w:tc>
        <w:tc>
          <w:tcPr>
            <w:tcW w:w="424" w:type="pct"/>
            <w:shd w:val="clear" w:color="auto" w:fill="auto"/>
            <w:noWrap/>
            <w:vAlign w:val="center"/>
            <w:hideMark/>
          </w:tcPr>
          <w:p w14:paraId="5F0FE142" w14:textId="77777777" w:rsidR="00831E2A" w:rsidRPr="00737BFF" w:rsidRDefault="00831E2A" w:rsidP="001C1B39">
            <w:pPr>
              <w:keepNext/>
              <w:keepLines/>
              <w:jc w:val="center"/>
              <w:rPr>
                <w:b/>
                <w:bCs/>
                <w:color w:val="000000"/>
                <w:sz w:val="18"/>
                <w:szCs w:val="18"/>
                <w:lang w:val="en-CA" w:eastAsia="en-CA"/>
              </w:rPr>
            </w:pPr>
            <w:r w:rsidRPr="00737BFF">
              <w:rPr>
                <w:b/>
                <w:bCs/>
                <w:color w:val="000000"/>
                <w:sz w:val="18"/>
                <w:szCs w:val="18"/>
                <w:lang w:val="en-CA" w:eastAsia="zh-CN"/>
              </w:rPr>
              <w:t>2012</w:t>
            </w:r>
          </w:p>
        </w:tc>
        <w:tc>
          <w:tcPr>
            <w:tcW w:w="424" w:type="pct"/>
            <w:shd w:val="clear" w:color="auto" w:fill="auto"/>
            <w:noWrap/>
            <w:vAlign w:val="center"/>
            <w:hideMark/>
          </w:tcPr>
          <w:p w14:paraId="7F418587" w14:textId="77777777" w:rsidR="00831E2A" w:rsidRPr="00737BFF" w:rsidRDefault="00831E2A" w:rsidP="001C1B39">
            <w:pPr>
              <w:keepNext/>
              <w:keepLines/>
              <w:jc w:val="center"/>
              <w:rPr>
                <w:b/>
                <w:bCs/>
                <w:color w:val="000000"/>
                <w:sz w:val="18"/>
                <w:szCs w:val="18"/>
                <w:lang w:val="en-CA" w:eastAsia="en-CA"/>
              </w:rPr>
            </w:pPr>
            <w:r w:rsidRPr="00737BFF">
              <w:rPr>
                <w:b/>
                <w:bCs/>
                <w:color w:val="000000"/>
                <w:sz w:val="18"/>
                <w:szCs w:val="18"/>
                <w:lang w:val="en-CA" w:eastAsia="zh-CN"/>
              </w:rPr>
              <w:t>2013</w:t>
            </w:r>
          </w:p>
        </w:tc>
        <w:tc>
          <w:tcPr>
            <w:tcW w:w="424" w:type="pct"/>
            <w:shd w:val="clear" w:color="auto" w:fill="auto"/>
            <w:noWrap/>
            <w:vAlign w:val="center"/>
            <w:hideMark/>
          </w:tcPr>
          <w:p w14:paraId="0FAC831B" w14:textId="77777777" w:rsidR="00831E2A" w:rsidRPr="00737BFF" w:rsidRDefault="00831E2A" w:rsidP="001C1B39">
            <w:pPr>
              <w:keepNext/>
              <w:keepLines/>
              <w:jc w:val="center"/>
              <w:rPr>
                <w:b/>
                <w:bCs/>
                <w:color w:val="000000"/>
                <w:sz w:val="18"/>
                <w:szCs w:val="18"/>
                <w:lang w:val="en-CA" w:eastAsia="en-CA"/>
              </w:rPr>
            </w:pPr>
            <w:r w:rsidRPr="00737BFF">
              <w:rPr>
                <w:b/>
                <w:bCs/>
                <w:color w:val="000000"/>
                <w:sz w:val="18"/>
                <w:szCs w:val="18"/>
                <w:lang w:val="en-CA" w:eastAsia="zh-CN"/>
              </w:rPr>
              <w:t>2014</w:t>
            </w:r>
          </w:p>
        </w:tc>
        <w:tc>
          <w:tcPr>
            <w:tcW w:w="424" w:type="pct"/>
            <w:shd w:val="clear" w:color="auto" w:fill="auto"/>
            <w:noWrap/>
            <w:vAlign w:val="center"/>
            <w:hideMark/>
          </w:tcPr>
          <w:p w14:paraId="682E6E69" w14:textId="77777777" w:rsidR="00831E2A" w:rsidRPr="00737BFF" w:rsidRDefault="00831E2A" w:rsidP="001C1B39">
            <w:pPr>
              <w:keepNext/>
              <w:keepLines/>
              <w:jc w:val="center"/>
              <w:rPr>
                <w:b/>
                <w:bCs/>
                <w:color w:val="000000"/>
                <w:sz w:val="18"/>
                <w:szCs w:val="18"/>
                <w:lang w:val="en-CA" w:eastAsia="en-CA"/>
              </w:rPr>
            </w:pPr>
            <w:r w:rsidRPr="00737BFF">
              <w:rPr>
                <w:b/>
                <w:bCs/>
                <w:color w:val="000000"/>
                <w:sz w:val="18"/>
                <w:szCs w:val="18"/>
                <w:lang w:val="en-CA" w:eastAsia="zh-CN"/>
              </w:rPr>
              <w:t>2015</w:t>
            </w:r>
          </w:p>
        </w:tc>
        <w:tc>
          <w:tcPr>
            <w:tcW w:w="424" w:type="pct"/>
            <w:shd w:val="clear" w:color="auto" w:fill="auto"/>
            <w:noWrap/>
            <w:vAlign w:val="center"/>
            <w:hideMark/>
          </w:tcPr>
          <w:p w14:paraId="584E968C" w14:textId="77777777" w:rsidR="00831E2A" w:rsidRPr="00737BFF" w:rsidRDefault="00831E2A" w:rsidP="001C1B39">
            <w:pPr>
              <w:keepNext/>
              <w:keepLines/>
              <w:jc w:val="center"/>
              <w:rPr>
                <w:b/>
                <w:bCs/>
                <w:color w:val="000000"/>
                <w:sz w:val="18"/>
                <w:szCs w:val="18"/>
                <w:lang w:val="en-CA" w:eastAsia="en-CA"/>
              </w:rPr>
            </w:pPr>
            <w:r w:rsidRPr="00737BFF">
              <w:rPr>
                <w:b/>
                <w:bCs/>
                <w:color w:val="000000"/>
                <w:sz w:val="18"/>
                <w:szCs w:val="18"/>
                <w:lang w:val="en-CA" w:eastAsia="en-CA"/>
              </w:rPr>
              <w:t>2016</w:t>
            </w:r>
          </w:p>
        </w:tc>
        <w:tc>
          <w:tcPr>
            <w:tcW w:w="424" w:type="pct"/>
            <w:shd w:val="clear" w:color="auto" w:fill="auto"/>
            <w:noWrap/>
            <w:vAlign w:val="center"/>
            <w:hideMark/>
          </w:tcPr>
          <w:p w14:paraId="59F261FC" w14:textId="77777777" w:rsidR="00831E2A" w:rsidRPr="00737BFF" w:rsidRDefault="00831E2A" w:rsidP="001C1B39">
            <w:pPr>
              <w:keepNext/>
              <w:keepLines/>
              <w:jc w:val="center"/>
              <w:rPr>
                <w:b/>
                <w:bCs/>
                <w:color w:val="000000"/>
                <w:sz w:val="18"/>
                <w:szCs w:val="18"/>
                <w:lang w:val="en-CA" w:eastAsia="en-CA"/>
              </w:rPr>
            </w:pPr>
            <w:r w:rsidRPr="00737BFF">
              <w:rPr>
                <w:b/>
                <w:bCs/>
                <w:color w:val="000000"/>
                <w:sz w:val="18"/>
                <w:szCs w:val="18"/>
                <w:lang w:val="en-CA" w:eastAsia="en-CA"/>
              </w:rPr>
              <w:t>2017</w:t>
            </w:r>
          </w:p>
        </w:tc>
      </w:tr>
      <w:tr w:rsidR="00A538DA" w:rsidRPr="00737BFF" w14:paraId="4429949C" w14:textId="77777777" w:rsidTr="00E46315">
        <w:trPr>
          <w:trHeight w:val="154"/>
        </w:trPr>
        <w:tc>
          <w:tcPr>
            <w:tcW w:w="1182" w:type="pct"/>
            <w:shd w:val="clear" w:color="auto" w:fill="auto"/>
            <w:noWrap/>
            <w:hideMark/>
          </w:tcPr>
          <w:p w14:paraId="6ECF041C" w14:textId="77777777" w:rsidR="00831E2A" w:rsidRPr="00737BFF" w:rsidRDefault="00831E2A" w:rsidP="001C1B39">
            <w:pPr>
              <w:keepNext/>
              <w:keepLines/>
              <w:jc w:val="left"/>
              <w:rPr>
                <w:color w:val="000000"/>
                <w:sz w:val="18"/>
                <w:szCs w:val="18"/>
                <w:lang w:val="en-CA" w:eastAsia="en-CA"/>
              </w:rPr>
            </w:pPr>
            <w:r w:rsidRPr="00737BFF">
              <w:rPr>
                <w:color w:val="000000"/>
                <w:sz w:val="18"/>
                <w:szCs w:val="18"/>
                <w:lang w:val="en-CA" w:eastAsia="zh-CN"/>
              </w:rPr>
              <w:t>Argentina</w:t>
            </w:r>
          </w:p>
        </w:tc>
        <w:tc>
          <w:tcPr>
            <w:tcW w:w="424" w:type="pct"/>
            <w:shd w:val="clear" w:color="auto" w:fill="auto"/>
            <w:noWrap/>
            <w:hideMark/>
          </w:tcPr>
          <w:p w14:paraId="16DD9A77"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3,914</w:t>
            </w:r>
          </w:p>
        </w:tc>
        <w:tc>
          <w:tcPr>
            <w:tcW w:w="424" w:type="pct"/>
            <w:shd w:val="clear" w:color="auto" w:fill="auto"/>
            <w:noWrap/>
            <w:hideMark/>
          </w:tcPr>
          <w:p w14:paraId="4E7B771C"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4,251</w:t>
            </w:r>
          </w:p>
        </w:tc>
        <w:tc>
          <w:tcPr>
            <w:tcW w:w="424" w:type="pct"/>
            <w:shd w:val="clear" w:color="auto" w:fill="auto"/>
            <w:noWrap/>
            <w:hideMark/>
          </w:tcPr>
          <w:p w14:paraId="719549A1"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4,018</w:t>
            </w:r>
          </w:p>
        </w:tc>
        <w:tc>
          <w:tcPr>
            <w:tcW w:w="424" w:type="pct"/>
            <w:shd w:val="clear" w:color="auto" w:fill="auto"/>
            <w:noWrap/>
            <w:hideMark/>
          </w:tcPr>
          <w:p w14:paraId="0736AB3D"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4,190</w:t>
            </w:r>
          </w:p>
        </w:tc>
        <w:tc>
          <w:tcPr>
            <w:tcW w:w="424" w:type="pct"/>
            <w:shd w:val="clear" w:color="auto" w:fill="auto"/>
            <w:noWrap/>
            <w:hideMark/>
          </w:tcPr>
          <w:p w14:paraId="5753FF7A"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1,951</w:t>
            </w:r>
          </w:p>
        </w:tc>
        <w:tc>
          <w:tcPr>
            <w:tcW w:w="424" w:type="pct"/>
            <w:shd w:val="clear" w:color="auto" w:fill="auto"/>
            <w:noWrap/>
            <w:hideMark/>
          </w:tcPr>
          <w:p w14:paraId="4C7CCDA0"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2,286</w:t>
            </w:r>
          </w:p>
        </w:tc>
        <w:tc>
          <w:tcPr>
            <w:tcW w:w="424" w:type="pct"/>
            <w:shd w:val="clear" w:color="auto" w:fill="auto"/>
            <w:noWrap/>
            <w:hideMark/>
          </w:tcPr>
          <w:p w14:paraId="6AE958F3"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2,446</w:t>
            </w:r>
          </w:p>
        </w:tc>
        <w:tc>
          <w:tcPr>
            <w:tcW w:w="424" w:type="pct"/>
            <w:shd w:val="clear" w:color="auto" w:fill="auto"/>
            <w:noWrap/>
            <w:hideMark/>
          </w:tcPr>
          <w:p w14:paraId="15065CB7" w14:textId="60A44182"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 xml:space="preserve">1,743 </w:t>
            </w:r>
          </w:p>
        </w:tc>
        <w:tc>
          <w:tcPr>
            <w:tcW w:w="424" w:type="pct"/>
            <w:shd w:val="clear" w:color="auto" w:fill="auto"/>
            <w:noWrap/>
            <w:hideMark/>
          </w:tcPr>
          <w:p w14:paraId="301F8477" w14:textId="4A3A80AC"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 xml:space="preserve">1,823 </w:t>
            </w:r>
          </w:p>
        </w:tc>
      </w:tr>
      <w:tr w:rsidR="00A538DA" w:rsidRPr="00737BFF" w14:paraId="280959AB" w14:textId="77777777" w:rsidTr="00737BFF">
        <w:trPr>
          <w:trHeight w:val="285"/>
        </w:trPr>
        <w:tc>
          <w:tcPr>
            <w:tcW w:w="1182" w:type="pct"/>
            <w:shd w:val="clear" w:color="auto" w:fill="auto"/>
            <w:noWrap/>
            <w:hideMark/>
          </w:tcPr>
          <w:p w14:paraId="0A36F42D" w14:textId="77777777" w:rsidR="00831E2A" w:rsidRPr="00737BFF" w:rsidRDefault="00831E2A" w:rsidP="001C1B39">
            <w:pPr>
              <w:keepNext/>
              <w:keepLines/>
              <w:jc w:val="left"/>
              <w:rPr>
                <w:color w:val="000000"/>
                <w:sz w:val="18"/>
                <w:szCs w:val="18"/>
                <w:lang w:val="en-CA" w:eastAsia="en-CA"/>
              </w:rPr>
            </w:pPr>
            <w:r w:rsidRPr="00737BFF">
              <w:rPr>
                <w:color w:val="000000"/>
                <w:sz w:val="18"/>
                <w:szCs w:val="18"/>
                <w:lang w:val="en-CA" w:eastAsia="zh-CN"/>
              </w:rPr>
              <w:t>China</w:t>
            </w:r>
          </w:p>
        </w:tc>
        <w:tc>
          <w:tcPr>
            <w:tcW w:w="424" w:type="pct"/>
            <w:shd w:val="clear" w:color="auto" w:fill="auto"/>
            <w:noWrap/>
            <w:hideMark/>
          </w:tcPr>
          <w:p w14:paraId="79420B1B"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483,982</w:t>
            </w:r>
          </w:p>
        </w:tc>
        <w:tc>
          <w:tcPr>
            <w:tcW w:w="424" w:type="pct"/>
            <w:shd w:val="clear" w:color="auto" w:fill="auto"/>
            <w:noWrap/>
            <w:hideMark/>
          </w:tcPr>
          <w:p w14:paraId="75B103D1"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549,265</w:t>
            </w:r>
          </w:p>
        </w:tc>
        <w:tc>
          <w:tcPr>
            <w:tcW w:w="424" w:type="pct"/>
            <w:shd w:val="clear" w:color="auto" w:fill="auto"/>
            <w:noWrap/>
            <w:hideMark/>
          </w:tcPr>
          <w:p w14:paraId="22EC5041"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596,984</w:t>
            </w:r>
          </w:p>
        </w:tc>
        <w:tc>
          <w:tcPr>
            <w:tcW w:w="424" w:type="pct"/>
            <w:shd w:val="clear" w:color="auto" w:fill="auto"/>
            <w:noWrap/>
            <w:hideMark/>
          </w:tcPr>
          <w:p w14:paraId="5ECF93AB"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644,485</w:t>
            </w:r>
          </w:p>
        </w:tc>
        <w:tc>
          <w:tcPr>
            <w:tcW w:w="424" w:type="pct"/>
            <w:shd w:val="clear" w:color="auto" w:fill="auto"/>
            <w:noWrap/>
            <w:hideMark/>
          </w:tcPr>
          <w:p w14:paraId="5C6100F4"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615,901</w:t>
            </w:r>
          </w:p>
        </w:tc>
        <w:tc>
          <w:tcPr>
            <w:tcW w:w="424" w:type="pct"/>
            <w:shd w:val="clear" w:color="auto" w:fill="auto"/>
            <w:noWrap/>
            <w:hideMark/>
          </w:tcPr>
          <w:p w14:paraId="106E77D2"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623,899</w:t>
            </w:r>
          </w:p>
        </w:tc>
        <w:tc>
          <w:tcPr>
            <w:tcW w:w="424" w:type="pct"/>
            <w:shd w:val="clear" w:color="auto" w:fill="auto"/>
            <w:noWrap/>
            <w:hideMark/>
          </w:tcPr>
          <w:p w14:paraId="78F76B55" w14:textId="77777777"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534,930</w:t>
            </w:r>
          </w:p>
        </w:tc>
        <w:tc>
          <w:tcPr>
            <w:tcW w:w="424" w:type="pct"/>
            <w:shd w:val="clear" w:color="auto" w:fill="auto"/>
            <w:noWrap/>
            <w:hideMark/>
          </w:tcPr>
          <w:p w14:paraId="46DD96FC" w14:textId="1D32CD02" w:rsidR="00831E2A" w:rsidRPr="00737BFF" w:rsidRDefault="00831E2A" w:rsidP="001C1B39">
            <w:pPr>
              <w:keepNext/>
              <w:keepLines/>
              <w:jc w:val="right"/>
              <w:rPr>
                <w:color w:val="000000"/>
                <w:sz w:val="18"/>
                <w:szCs w:val="18"/>
                <w:lang w:val="en-CA" w:eastAsia="en-CA"/>
              </w:rPr>
            </w:pPr>
            <w:r w:rsidRPr="00737BFF">
              <w:rPr>
                <w:color w:val="000000"/>
                <w:sz w:val="18"/>
                <w:szCs w:val="18"/>
                <w:lang w:val="en-CA" w:eastAsia="en-CA"/>
              </w:rPr>
              <w:t xml:space="preserve">571,976 </w:t>
            </w:r>
          </w:p>
        </w:tc>
        <w:tc>
          <w:tcPr>
            <w:tcW w:w="424" w:type="pct"/>
            <w:shd w:val="clear" w:color="auto" w:fill="auto"/>
            <w:noWrap/>
            <w:hideMark/>
          </w:tcPr>
          <w:p w14:paraId="3DF62C2C" w14:textId="6F656E8D" w:rsidR="00831E2A" w:rsidRPr="00737BFF" w:rsidRDefault="00AA6697" w:rsidP="001C1B39">
            <w:pPr>
              <w:keepNext/>
              <w:keepLines/>
              <w:jc w:val="right"/>
              <w:rPr>
                <w:color w:val="000000"/>
                <w:sz w:val="18"/>
                <w:szCs w:val="18"/>
                <w:lang w:val="en-CA" w:eastAsia="en-CA"/>
              </w:rPr>
            </w:pPr>
            <w:r w:rsidRPr="00737BFF">
              <w:rPr>
                <w:color w:val="000000"/>
                <w:sz w:val="18"/>
                <w:szCs w:val="18"/>
                <w:lang w:val="en-CA" w:eastAsia="en-CA"/>
              </w:rPr>
              <w:t>593,047</w:t>
            </w:r>
            <w:r w:rsidR="00517E74" w:rsidRPr="00737BFF">
              <w:rPr>
                <w:color w:val="000000"/>
                <w:sz w:val="18"/>
                <w:szCs w:val="18"/>
                <w:lang w:val="en-CA" w:eastAsia="en-CA"/>
              </w:rPr>
              <w:t>**</w:t>
            </w:r>
            <w:r w:rsidR="00831E2A" w:rsidRPr="00737BFF">
              <w:rPr>
                <w:color w:val="000000"/>
                <w:sz w:val="18"/>
                <w:szCs w:val="18"/>
                <w:lang w:val="en-CA" w:eastAsia="en-CA"/>
              </w:rPr>
              <w:t xml:space="preserve"> </w:t>
            </w:r>
          </w:p>
        </w:tc>
      </w:tr>
      <w:tr w:rsidR="00A538DA" w:rsidRPr="00737BFF" w14:paraId="4270A88C" w14:textId="77777777" w:rsidTr="00737BFF">
        <w:trPr>
          <w:trHeight w:val="405"/>
        </w:trPr>
        <w:tc>
          <w:tcPr>
            <w:tcW w:w="1182" w:type="pct"/>
            <w:shd w:val="clear" w:color="auto" w:fill="auto"/>
            <w:hideMark/>
          </w:tcPr>
          <w:p w14:paraId="09C1CC1E" w14:textId="77777777" w:rsidR="00831E2A" w:rsidRPr="00737BFF" w:rsidRDefault="00831E2A" w:rsidP="00831E2A">
            <w:pPr>
              <w:jc w:val="left"/>
              <w:rPr>
                <w:color w:val="000000"/>
                <w:sz w:val="18"/>
                <w:szCs w:val="18"/>
                <w:lang w:val="en-CA" w:eastAsia="en-CA"/>
              </w:rPr>
            </w:pPr>
            <w:r w:rsidRPr="00737BFF">
              <w:rPr>
                <w:color w:val="000000"/>
                <w:sz w:val="18"/>
                <w:szCs w:val="18"/>
                <w:lang w:val="en-CA" w:eastAsia="zh-CN"/>
              </w:rPr>
              <w:t>Democratic People's Republic of Korea (the)</w:t>
            </w:r>
          </w:p>
        </w:tc>
        <w:tc>
          <w:tcPr>
            <w:tcW w:w="424" w:type="pct"/>
            <w:shd w:val="clear" w:color="auto" w:fill="auto"/>
            <w:noWrap/>
            <w:hideMark/>
          </w:tcPr>
          <w:p w14:paraId="6AC049F3"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504</w:t>
            </w:r>
          </w:p>
        </w:tc>
        <w:tc>
          <w:tcPr>
            <w:tcW w:w="424" w:type="pct"/>
            <w:shd w:val="clear" w:color="auto" w:fill="auto"/>
            <w:noWrap/>
            <w:hideMark/>
          </w:tcPr>
          <w:p w14:paraId="6DE1F22D"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498</w:t>
            </w:r>
          </w:p>
        </w:tc>
        <w:tc>
          <w:tcPr>
            <w:tcW w:w="424" w:type="pct"/>
            <w:shd w:val="clear" w:color="auto" w:fill="auto"/>
            <w:noWrap/>
            <w:hideMark/>
          </w:tcPr>
          <w:p w14:paraId="10148EB4"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480</w:t>
            </w:r>
          </w:p>
        </w:tc>
        <w:tc>
          <w:tcPr>
            <w:tcW w:w="424" w:type="pct"/>
            <w:shd w:val="clear" w:color="auto" w:fill="auto"/>
            <w:noWrap/>
            <w:hideMark/>
          </w:tcPr>
          <w:p w14:paraId="7FB347A9"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521</w:t>
            </w:r>
          </w:p>
        </w:tc>
        <w:tc>
          <w:tcPr>
            <w:tcW w:w="424" w:type="pct"/>
            <w:shd w:val="clear" w:color="auto" w:fill="auto"/>
            <w:noWrap/>
            <w:hideMark/>
          </w:tcPr>
          <w:p w14:paraId="1BD1080C"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579</w:t>
            </w:r>
          </w:p>
        </w:tc>
        <w:tc>
          <w:tcPr>
            <w:tcW w:w="424" w:type="pct"/>
            <w:shd w:val="clear" w:color="auto" w:fill="auto"/>
            <w:noWrap/>
            <w:hideMark/>
          </w:tcPr>
          <w:p w14:paraId="3D2E6C55"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526</w:t>
            </w:r>
          </w:p>
        </w:tc>
        <w:tc>
          <w:tcPr>
            <w:tcW w:w="424" w:type="pct"/>
            <w:shd w:val="clear" w:color="auto" w:fill="auto"/>
            <w:noWrap/>
            <w:hideMark/>
          </w:tcPr>
          <w:p w14:paraId="38FEC6A8"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498</w:t>
            </w:r>
          </w:p>
        </w:tc>
        <w:tc>
          <w:tcPr>
            <w:tcW w:w="424" w:type="pct"/>
            <w:shd w:val="clear" w:color="auto" w:fill="auto"/>
            <w:noWrap/>
            <w:hideMark/>
          </w:tcPr>
          <w:p w14:paraId="2117E357" w14:textId="24FCFEDE" w:rsidR="00831E2A" w:rsidRPr="00737BFF" w:rsidRDefault="00831E2A" w:rsidP="00FE5F39">
            <w:pPr>
              <w:jc w:val="right"/>
              <w:rPr>
                <w:color w:val="000000"/>
                <w:sz w:val="18"/>
                <w:szCs w:val="18"/>
                <w:lang w:val="en-CA" w:eastAsia="en-CA"/>
              </w:rPr>
            </w:pPr>
            <w:r w:rsidRPr="00737BFF">
              <w:rPr>
                <w:color w:val="000000"/>
                <w:sz w:val="18"/>
                <w:szCs w:val="18"/>
                <w:lang w:val="en-CA" w:eastAsia="en-CA"/>
              </w:rPr>
              <w:t xml:space="preserve"> 451 </w:t>
            </w:r>
          </w:p>
        </w:tc>
        <w:tc>
          <w:tcPr>
            <w:tcW w:w="424" w:type="pct"/>
            <w:shd w:val="clear" w:color="auto" w:fill="auto"/>
            <w:noWrap/>
            <w:hideMark/>
          </w:tcPr>
          <w:p w14:paraId="2C793EF3" w14:textId="785FAEAF" w:rsidR="00831E2A" w:rsidRPr="00737BFF" w:rsidRDefault="00831E2A" w:rsidP="00FE5F39">
            <w:pPr>
              <w:jc w:val="right"/>
              <w:rPr>
                <w:color w:val="000000"/>
                <w:sz w:val="18"/>
                <w:szCs w:val="18"/>
                <w:lang w:val="en-CA" w:eastAsia="en-CA"/>
              </w:rPr>
            </w:pPr>
            <w:r w:rsidRPr="00737BFF">
              <w:rPr>
                <w:color w:val="000000"/>
                <w:sz w:val="18"/>
                <w:szCs w:val="18"/>
                <w:lang w:val="en-CA" w:eastAsia="en-CA"/>
              </w:rPr>
              <w:t xml:space="preserve"> 451 </w:t>
            </w:r>
          </w:p>
        </w:tc>
      </w:tr>
      <w:tr w:rsidR="00A538DA" w:rsidRPr="00737BFF" w14:paraId="0AE589F6" w14:textId="77777777" w:rsidTr="00737BFF">
        <w:trPr>
          <w:trHeight w:val="285"/>
        </w:trPr>
        <w:tc>
          <w:tcPr>
            <w:tcW w:w="1182" w:type="pct"/>
            <w:shd w:val="clear" w:color="auto" w:fill="auto"/>
            <w:noWrap/>
            <w:hideMark/>
          </w:tcPr>
          <w:p w14:paraId="76FEEC81" w14:textId="77777777" w:rsidR="00831E2A" w:rsidRPr="00737BFF" w:rsidRDefault="00831E2A" w:rsidP="00831E2A">
            <w:pPr>
              <w:jc w:val="left"/>
              <w:rPr>
                <w:color w:val="000000"/>
                <w:sz w:val="18"/>
                <w:szCs w:val="18"/>
                <w:lang w:val="en-CA" w:eastAsia="en-CA"/>
              </w:rPr>
            </w:pPr>
            <w:r w:rsidRPr="00737BFF">
              <w:rPr>
                <w:color w:val="000000"/>
                <w:sz w:val="18"/>
                <w:szCs w:val="18"/>
                <w:lang w:val="en-CA" w:eastAsia="zh-CN"/>
              </w:rPr>
              <w:t>India</w:t>
            </w:r>
          </w:p>
        </w:tc>
        <w:tc>
          <w:tcPr>
            <w:tcW w:w="424" w:type="pct"/>
            <w:shd w:val="clear" w:color="auto" w:fill="auto"/>
            <w:noWrap/>
            <w:hideMark/>
          </w:tcPr>
          <w:p w14:paraId="2CC4156A"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47,657</w:t>
            </w:r>
          </w:p>
        </w:tc>
        <w:tc>
          <w:tcPr>
            <w:tcW w:w="424" w:type="pct"/>
            <w:shd w:val="clear" w:color="auto" w:fill="auto"/>
            <w:noWrap/>
            <w:hideMark/>
          </w:tcPr>
          <w:p w14:paraId="7976436B"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47,613</w:t>
            </w:r>
          </w:p>
        </w:tc>
        <w:tc>
          <w:tcPr>
            <w:tcW w:w="424" w:type="pct"/>
            <w:shd w:val="clear" w:color="auto" w:fill="auto"/>
            <w:noWrap/>
            <w:hideMark/>
          </w:tcPr>
          <w:p w14:paraId="49055DC0"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48,477</w:t>
            </w:r>
          </w:p>
        </w:tc>
        <w:tc>
          <w:tcPr>
            <w:tcW w:w="424" w:type="pct"/>
            <w:shd w:val="clear" w:color="auto" w:fill="auto"/>
            <w:noWrap/>
            <w:hideMark/>
          </w:tcPr>
          <w:p w14:paraId="6DEA6E95"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48,178</w:t>
            </w:r>
          </w:p>
        </w:tc>
        <w:tc>
          <w:tcPr>
            <w:tcW w:w="424" w:type="pct"/>
            <w:shd w:val="clear" w:color="auto" w:fill="auto"/>
            <w:noWrap/>
            <w:hideMark/>
          </w:tcPr>
          <w:p w14:paraId="55A1302E"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40,651</w:t>
            </w:r>
          </w:p>
        </w:tc>
        <w:tc>
          <w:tcPr>
            <w:tcW w:w="424" w:type="pct"/>
            <w:shd w:val="clear" w:color="auto" w:fill="auto"/>
            <w:noWrap/>
            <w:hideMark/>
          </w:tcPr>
          <w:p w14:paraId="23C23DD6"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54,938</w:t>
            </w:r>
          </w:p>
        </w:tc>
        <w:tc>
          <w:tcPr>
            <w:tcW w:w="424" w:type="pct"/>
            <w:shd w:val="clear" w:color="auto" w:fill="auto"/>
            <w:noWrap/>
            <w:hideMark/>
          </w:tcPr>
          <w:p w14:paraId="6DCB0E82"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53,314</w:t>
            </w:r>
          </w:p>
        </w:tc>
        <w:tc>
          <w:tcPr>
            <w:tcW w:w="424" w:type="pct"/>
            <w:shd w:val="clear" w:color="auto" w:fill="auto"/>
            <w:noWrap/>
            <w:hideMark/>
          </w:tcPr>
          <w:p w14:paraId="21F89447" w14:textId="33D36F8B" w:rsidR="00831E2A" w:rsidRPr="00737BFF" w:rsidRDefault="00831E2A" w:rsidP="00FE5F39">
            <w:pPr>
              <w:jc w:val="right"/>
              <w:rPr>
                <w:color w:val="000000"/>
                <w:sz w:val="18"/>
                <w:szCs w:val="18"/>
                <w:lang w:val="en-CA" w:eastAsia="en-CA"/>
              </w:rPr>
            </w:pPr>
            <w:r w:rsidRPr="00737BFF">
              <w:rPr>
                <w:color w:val="000000"/>
                <w:sz w:val="18"/>
                <w:szCs w:val="18"/>
                <w:lang w:val="en-CA" w:eastAsia="en-CA"/>
              </w:rPr>
              <w:t xml:space="preserve">56,959 </w:t>
            </w:r>
          </w:p>
        </w:tc>
        <w:tc>
          <w:tcPr>
            <w:tcW w:w="424" w:type="pct"/>
            <w:shd w:val="clear" w:color="auto" w:fill="auto"/>
            <w:noWrap/>
            <w:hideMark/>
          </w:tcPr>
          <w:p w14:paraId="585D35CB" w14:textId="5FD86826" w:rsidR="00831E2A" w:rsidRPr="00737BFF" w:rsidRDefault="00831E2A" w:rsidP="00FE5F39">
            <w:pPr>
              <w:jc w:val="right"/>
              <w:rPr>
                <w:color w:val="000000"/>
                <w:sz w:val="18"/>
                <w:szCs w:val="18"/>
                <w:lang w:val="en-CA" w:eastAsia="en-CA"/>
              </w:rPr>
            </w:pPr>
            <w:r w:rsidRPr="00737BFF">
              <w:rPr>
                <w:color w:val="000000"/>
                <w:sz w:val="18"/>
                <w:szCs w:val="18"/>
                <w:lang w:val="en-CA" w:eastAsia="en-CA"/>
              </w:rPr>
              <w:t xml:space="preserve">64,509 </w:t>
            </w:r>
          </w:p>
        </w:tc>
      </w:tr>
      <w:tr w:rsidR="00A538DA" w:rsidRPr="00737BFF" w14:paraId="6E79944E" w14:textId="77777777" w:rsidTr="00E46315">
        <w:trPr>
          <w:trHeight w:val="79"/>
        </w:trPr>
        <w:tc>
          <w:tcPr>
            <w:tcW w:w="1182" w:type="pct"/>
            <w:shd w:val="clear" w:color="auto" w:fill="auto"/>
            <w:noWrap/>
            <w:hideMark/>
          </w:tcPr>
          <w:p w14:paraId="22EA5459" w14:textId="77777777" w:rsidR="00831E2A" w:rsidRPr="00737BFF" w:rsidRDefault="00831E2A" w:rsidP="00831E2A">
            <w:pPr>
              <w:jc w:val="left"/>
              <w:rPr>
                <w:color w:val="000000"/>
                <w:sz w:val="18"/>
                <w:szCs w:val="18"/>
                <w:lang w:val="en-CA" w:eastAsia="en-CA"/>
              </w:rPr>
            </w:pPr>
            <w:r w:rsidRPr="00737BFF">
              <w:rPr>
                <w:color w:val="000000"/>
                <w:sz w:val="18"/>
                <w:szCs w:val="18"/>
                <w:lang w:val="en-CA" w:eastAsia="zh-CN"/>
              </w:rPr>
              <w:t>Mexico</w:t>
            </w:r>
          </w:p>
        </w:tc>
        <w:tc>
          <w:tcPr>
            <w:tcW w:w="424" w:type="pct"/>
            <w:shd w:val="clear" w:color="auto" w:fill="auto"/>
            <w:noWrap/>
            <w:hideMark/>
          </w:tcPr>
          <w:p w14:paraId="12B293BB"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12,725</w:t>
            </w:r>
          </w:p>
        </w:tc>
        <w:tc>
          <w:tcPr>
            <w:tcW w:w="424" w:type="pct"/>
            <w:shd w:val="clear" w:color="auto" w:fill="auto"/>
            <w:noWrap/>
            <w:hideMark/>
          </w:tcPr>
          <w:p w14:paraId="67DA25A7"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12,619</w:t>
            </w:r>
          </w:p>
        </w:tc>
        <w:tc>
          <w:tcPr>
            <w:tcW w:w="424" w:type="pct"/>
            <w:shd w:val="clear" w:color="auto" w:fill="auto"/>
            <w:noWrap/>
            <w:hideMark/>
          </w:tcPr>
          <w:p w14:paraId="36E364C4"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11,813</w:t>
            </w:r>
          </w:p>
        </w:tc>
        <w:tc>
          <w:tcPr>
            <w:tcW w:w="424" w:type="pct"/>
            <w:shd w:val="clear" w:color="auto" w:fill="auto"/>
            <w:noWrap/>
            <w:hideMark/>
          </w:tcPr>
          <w:p w14:paraId="4C9D78A9"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7,872</w:t>
            </w:r>
          </w:p>
        </w:tc>
        <w:tc>
          <w:tcPr>
            <w:tcW w:w="424" w:type="pct"/>
            <w:shd w:val="clear" w:color="auto" w:fill="auto"/>
            <w:noWrap/>
            <w:hideMark/>
          </w:tcPr>
          <w:p w14:paraId="502AD3D8"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7,378</w:t>
            </w:r>
          </w:p>
        </w:tc>
        <w:tc>
          <w:tcPr>
            <w:tcW w:w="424" w:type="pct"/>
            <w:shd w:val="clear" w:color="auto" w:fill="auto"/>
            <w:noWrap/>
            <w:hideMark/>
          </w:tcPr>
          <w:p w14:paraId="160DE741"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9,214</w:t>
            </w:r>
          </w:p>
        </w:tc>
        <w:tc>
          <w:tcPr>
            <w:tcW w:w="424" w:type="pct"/>
            <w:shd w:val="clear" w:color="auto" w:fill="auto"/>
            <w:noWrap/>
            <w:hideMark/>
          </w:tcPr>
          <w:p w14:paraId="2E6D5DAA"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4,752</w:t>
            </w:r>
          </w:p>
        </w:tc>
        <w:tc>
          <w:tcPr>
            <w:tcW w:w="424" w:type="pct"/>
            <w:shd w:val="clear" w:color="auto" w:fill="auto"/>
            <w:noWrap/>
            <w:hideMark/>
          </w:tcPr>
          <w:p w14:paraId="34AF0D50" w14:textId="08C0BF82" w:rsidR="00831E2A" w:rsidRPr="00737BFF" w:rsidRDefault="00831E2A" w:rsidP="00FE5F39">
            <w:pPr>
              <w:jc w:val="right"/>
              <w:rPr>
                <w:color w:val="000000"/>
                <w:sz w:val="18"/>
                <w:szCs w:val="18"/>
                <w:lang w:val="en-CA" w:eastAsia="en-CA"/>
              </w:rPr>
            </w:pPr>
            <w:r w:rsidRPr="00737BFF">
              <w:rPr>
                <w:color w:val="000000"/>
                <w:sz w:val="18"/>
                <w:szCs w:val="18"/>
                <w:lang w:val="en-CA" w:eastAsia="en-CA"/>
              </w:rPr>
              <w:t xml:space="preserve">4,791 </w:t>
            </w:r>
          </w:p>
        </w:tc>
        <w:tc>
          <w:tcPr>
            <w:tcW w:w="424" w:type="pct"/>
            <w:shd w:val="clear" w:color="auto" w:fill="auto"/>
            <w:noWrap/>
            <w:hideMark/>
          </w:tcPr>
          <w:p w14:paraId="3A9E85A3" w14:textId="424B1831" w:rsidR="00831E2A" w:rsidRPr="00737BFF" w:rsidRDefault="00831E2A" w:rsidP="00FE5F39">
            <w:pPr>
              <w:jc w:val="right"/>
              <w:rPr>
                <w:color w:val="000000"/>
                <w:sz w:val="18"/>
                <w:szCs w:val="18"/>
                <w:lang w:val="en-CA" w:eastAsia="en-CA"/>
              </w:rPr>
            </w:pPr>
            <w:r w:rsidRPr="00737BFF">
              <w:rPr>
                <w:color w:val="000000"/>
                <w:sz w:val="18"/>
                <w:szCs w:val="18"/>
                <w:lang w:val="en-CA" w:eastAsia="en-CA"/>
              </w:rPr>
              <w:t xml:space="preserve">5,965 </w:t>
            </w:r>
          </w:p>
        </w:tc>
      </w:tr>
      <w:tr w:rsidR="00A538DA" w:rsidRPr="00737BFF" w14:paraId="0E4B9584" w14:textId="77777777" w:rsidTr="00737BFF">
        <w:trPr>
          <w:trHeight w:val="285"/>
        </w:trPr>
        <w:tc>
          <w:tcPr>
            <w:tcW w:w="1182" w:type="pct"/>
            <w:shd w:val="clear" w:color="auto" w:fill="auto"/>
            <w:noWrap/>
            <w:hideMark/>
          </w:tcPr>
          <w:p w14:paraId="493B6939" w14:textId="77777777" w:rsidR="00831E2A" w:rsidRPr="00737BFF" w:rsidRDefault="00831E2A" w:rsidP="00831E2A">
            <w:pPr>
              <w:jc w:val="left"/>
              <w:rPr>
                <w:color w:val="000000"/>
                <w:sz w:val="18"/>
                <w:szCs w:val="18"/>
                <w:lang w:val="en-CA" w:eastAsia="en-CA"/>
              </w:rPr>
            </w:pPr>
            <w:r w:rsidRPr="00737BFF">
              <w:rPr>
                <w:color w:val="000000"/>
                <w:sz w:val="18"/>
                <w:szCs w:val="18"/>
                <w:lang w:val="en-CA" w:eastAsia="zh-CN"/>
              </w:rPr>
              <w:t>Venezuela (Bolivarian Republic of)</w:t>
            </w:r>
          </w:p>
        </w:tc>
        <w:tc>
          <w:tcPr>
            <w:tcW w:w="424" w:type="pct"/>
            <w:shd w:val="clear" w:color="auto" w:fill="auto"/>
            <w:noWrap/>
            <w:hideMark/>
          </w:tcPr>
          <w:p w14:paraId="07409756"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2,307</w:t>
            </w:r>
          </w:p>
        </w:tc>
        <w:tc>
          <w:tcPr>
            <w:tcW w:w="424" w:type="pct"/>
            <w:shd w:val="clear" w:color="auto" w:fill="auto"/>
            <w:noWrap/>
            <w:hideMark/>
          </w:tcPr>
          <w:p w14:paraId="53FA79BC"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2,167</w:t>
            </w:r>
          </w:p>
        </w:tc>
        <w:tc>
          <w:tcPr>
            <w:tcW w:w="424" w:type="pct"/>
            <w:shd w:val="clear" w:color="auto" w:fill="auto"/>
            <w:noWrap/>
            <w:hideMark/>
          </w:tcPr>
          <w:p w14:paraId="4B1D03AD"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2,443</w:t>
            </w:r>
          </w:p>
        </w:tc>
        <w:tc>
          <w:tcPr>
            <w:tcW w:w="424" w:type="pct"/>
            <w:shd w:val="clear" w:color="auto" w:fill="auto"/>
            <w:noWrap/>
            <w:hideMark/>
          </w:tcPr>
          <w:p w14:paraId="3322F0A5"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2,914</w:t>
            </w:r>
          </w:p>
        </w:tc>
        <w:tc>
          <w:tcPr>
            <w:tcW w:w="424" w:type="pct"/>
            <w:shd w:val="clear" w:color="auto" w:fill="auto"/>
            <w:noWrap/>
            <w:hideMark/>
          </w:tcPr>
          <w:p w14:paraId="5E76B9E3"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2,204</w:t>
            </w:r>
          </w:p>
        </w:tc>
        <w:tc>
          <w:tcPr>
            <w:tcW w:w="424" w:type="pct"/>
            <w:shd w:val="clear" w:color="auto" w:fill="auto"/>
            <w:noWrap/>
            <w:hideMark/>
          </w:tcPr>
          <w:p w14:paraId="0BC63267"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1,566</w:t>
            </w:r>
          </w:p>
        </w:tc>
        <w:tc>
          <w:tcPr>
            <w:tcW w:w="424" w:type="pct"/>
            <w:shd w:val="clear" w:color="auto" w:fill="auto"/>
            <w:noWrap/>
            <w:hideMark/>
          </w:tcPr>
          <w:p w14:paraId="4D885356"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677</w:t>
            </w:r>
          </w:p>
        </w:tc>
        <w:tc>
          <w:tcPr>
            <w:tcW w:w="424" w:type="pct"/>
            <w:shd w:val="clear" w:color="auto" w:fill="auto"/>
            <w:noWrap/>
            <w:hideMark/>
          </w:tcPr>
          <w:p w14:paraId="01F1F3BF" w14:textId="47C2EE41" w:rsidR="00831E2A" w:rsidRPr="00737BFF" w:rsidRDefault="00831E2A" w:rsidP="00FE5F39">
            <w:pPr>
              <w:jc w:val="right"/>
              <w:rPr>
                <w:color w:val="000000"/>
                <w:sz w:val="18"/>
                <w:szCs w:val="18"/>
                <w:lang w:val="en-CA" w:eastAsia="en-CA"/>
              </w:rPr>
            </w:pPr>
            <w:r w:rsidRPr="00737BFF">
              <w:rPr>
                <w:color w:val="000000"/>
                <w:sz w:val="18"/>
                <w:szCs w:val="18"/>
                <w:lang w:val="en-CA" w:eastAsia="en-CA"/>
              </w:rPr>
              <w:t xml:space="preserve">260 </w:t>
            </w:r>
          </w:p>
        </w:tc>
        <w:tc>
          <w:tcPr>
            <w:tcW w:w="424" w:type="pct"/>
            <w:shd w:val="clear" w:color="auto" w:fill="auto"/>
            <w:noWrap/>
            <w:hideMark/>
          </w:tcPr>
          <w:p w14:paraId="3A209046" w14:textId="290D2B8E" w:rsidR="00831E2A" w:rsidRPr="00737BFF" w:rsidRDefault="00831E2A" w:rsidP="00FE5F39">
            <w:pPr>
              <w:jc w:val="right"/>
              <w:rPr>
                <w:color w:val="000000"/>
                <w:sz w:val="18"/>
                <w:szCs w:val="18"/>
                <w:lang w:val="en-CA" w:eastAsia="en-CA"/>
              </w:rPr>
            </w:pPr>
            <w:r w:rsidRPr="00737BFF">
              <w:rPr>
                <w:color w:val="000000"/>
                <w:sz w:val="18"/>
                <w:szCs w:val="18"/>
                <w:lang w:val="en-CA" w:eastAsia="en-CA"/>
              </w:rPr>
              <w:t xml:space="preserve">273 </w:t>
            </w:r>
          </w:p>
        </w:tc>
      </w:tr>
      <w:tr w:rsidR="00A538DA" w:rsidRPr="00737BFF" w14:paraId="318F9A24" w14:textId="77777777" w:rsidTr="00E46315">
        <w:trPr>
          <w:trHeight w:val="159"/>
        </w:trPr>
        <w:tc>
          <w:tcPr>
            <w:tcW w:w="1182" w:type="pct"/>
            <w:shd w:val="clear" w:color="auto" w:fill="auto"/>
            <w:noWrap/>
            <w:hideMark/>
          </w:tcPr>
          <w:p w14:paraId="04B3A965" w14:textId="77777777" w:rsidR="00831E2A" w:rsidRPr="00737BFF" w:rsidRDefault="00831E2A" w:rsidP="00831E2A">
            <w:pPr>
              <w:jc w:val="left"/>
              <w:rPr>
                <w:color w:val="000000"/>
                <w:sz w:val="18"/>
                <w:szCs w:val="18"/>
                <w:lang w:val="en-CA" w:eastAsia="en-CA"/>
              </w:rPr>
            </w:pPr>
            <w:r w:rsidRPr="00737BFF">
              <w:rPr>
                <w:color w:val="000000"/>
                <w:sz w:val="18"/>
                <w:szCs w:val="18"/>
                <w:lang w:val="en-CA" w:eastAsia="zh-CN"/>
              </w:rPr>
              <w:t>Republic of Korea</w:t>
            </w:r>
          </w:p>
        </w:tc>
        <w:tc>
          <w:tcPr>
            <w:tcW w:w="424" w:type="pct"/>
            <w:shd w:val="clear" w:color="auto" w:fill="auto"/>
            <w:noWrap/>
            <w:hideMark/>
          </w:tcPr>
          <w:p w14:paraId="7B764342"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6,913</w:t>
            </w:r>
          </w:p>
        </w:tc>
        <w:tc>
          <w:tcPr>
            <w:tcW w:w="424" w:type="pct"/>
            <w:shd w:val="clear" w:color="auto" w:fill="auto"/>
            <w:noWrap/>
            <w:hideMark/>
          </w:tcPr>
          <w:p w14:paraId="02FF2454"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7,634</w:t>
            </w:r>
          </w:p>
        </w:tc>
        <w:tc>
          <w:tcPr>
            <w:tcW w:w="424" w:type="pct"/>
            <w:shd w:val="clear" w:color="auto" w:fill="auto"/>
            <w:noWrap/>
            <w:hideMark/>
          </w:tcPr>
          <w:p w14:paraId="11216CFB"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7,262</w:t>
            </w:r>
          </w:p>
        </w:tc>
        <w:tc>
          <w:tcPr>
            <w:tcW w:w="424" w:type="pct"/>
            <w:shd w:val="clear" w:color="auto" w:fill="auto"/>
            <w:noWrap/>
            <w:hideMark/>
          </w:tcPr>
          <w:p w14:paraId="4A5E9115"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5,704</w:t>
            </w:r>
          </w:p>
        </w:tc>
        <w:tc>
          <w:tcPr>
            <w:tcW w:w="424" w:type="pct"/>
            <w:shd w:val="clear" w:color="auto" w:fill="auto"/>
            <w:noWrap/>
            <w:hideMark/>
          </w:tcPr>
          <w:p w14:paraId="28F0B071"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6,673</w:t>
            </w:r>
          </w:p>
        </w:tc>
        <w:tc>
          <w:tcPr>
            <w:tcW w:w="424" w:type="pct"/>
            <w:shd w:val="clear" w:color="auto" w:fill="auto"/>
            <w:noWrap/>
            <w:hideMark/>
          </w:tcPr>
          <w:p w14:paraId="34ADA26A"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6,833</w:t>
            </w:r>
          </w:p>
        </w:tc>
        <w:tc>
          <w:tcPr>
            <w:tcW w:w="424" w:type="pct"/>
            <w:shd w:val="clear" w:color="auto" w:fill="auto"/>
            <w:noWrap/>
            <w:hideMark/>
          </w:tcPr>
          <w:p w14:paraId="043C7B4D"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7,180</w:t>
            </w:r>
          </w:p>
        </w:tc>
        <w:tc>
          <w:tcPr>
            <w:tcW w:w="424" w:type="pct"/>
            <w:shd w:val="clear" w:color="auto" w:fill="auto"/>
            <w:noWrap/>
            <w:hideMark/>
          </w:tcPr>
          <w:p w14:paraId="1F52F4B1" w14:textId="3634EF9D" w:rsidR="00831E2A" w:rsidRPr="00737BFF" w:rsidRDefault="00831E2A" w:rsidP="00FE5F39">
            <w:pPr>
              <w:jc w:val="right"/>
              <w:rPr>
                <w:color w:val="000000"/>
                <w:sz w:val="18"/>
                <w:szCs w:val="18"/>
                <w:lang w:val="en-CA" w:eastAsia="en-CA"/>
              </w:rPr>
            </w:pPr>
            <w:r w:rsidRPr="00737BFF">
              <w:rPr>
                <w:color w:val="000000"/>
                <w:sz w:val="18"/>
                <w:szCs w:val="18"/>
                <w:lang w:val="en-CA" w:eastAsia="en-CA"/>
              </w:rPr>
              <w:t xml:space="preserve"> 7,344 </w:t>
            </w:r>
          </w:p>
        </w:tc>
        <w:tc>
          <w:tcPr>
            <w:tcW w:w="424" w:type="pct"/>
            <w:shd w:val="clear" w:color="auto" w:fill="auto"/>
            <w:noWrap/>
            <w:hideMark/>
          </w:tcPr>
          <w:p w14:paraId="4C81FB39" w14:textId="12C6E544" w:rsidR="00831E2A" w:rsidRPr="00737BFF" w:rsidRDefault="00831E2A" w:rsidP="00FE5F39">
            <w:pPr>
              <w:jc w:val="right"/>
              <w:rPr>
                <w:color w:val="000000"/>
                <w:sz w:val="18"/>
                <w:szCs w:val="18"/>
                <w:lang w:val="en-CA" w:eastAsia="en-CA"/>
              </w:rPr>
            </w:pPr>
            <w:r w:rsidRPr="00737BFF">
              <w:rPr>
                <w:color w:val="000000"/>
                <w:sz w:val="18"/>
                <w:szCs w:val="18"/>
                <w:lang w:val="en-CA" w:eastAsia="en-CA"/>
              </w:rPr>
              <w:t xml:space="preserve">7,587 </w:t>
            </w:r>
          </w:p>
        </w:tc>
      </w:tr>
      <w:tr w:rsidR="00A538DA" w:rsidRPr="00737BFF" w14:paraId="06E4513B" w14:textId="77777777" w:rsidTr="00737BFF">
        <w:trPr>
          <w:trHeight w:val="285"/>
        </w:trPr>
        <w:tc>
          <w:tcPr>
            <w:tcW w:w="1182" w:type="pct"/>
            <w:shd w:val="clear" w:color="auto" w:fill="auto"/>
            <w:noWrap/>
            <w:hideMark/>
          </w:tcPr>
          <w:p w14:paraId="6D192826" w14:textId="35BC0DFF" w:rsidR="00831E2A" w:rsidRPr="00737BFF" w:rsidRDefault="00831E2A" w:rsidP="00831E2A">
            <w:pPr>
              <w:jc w:val="left"/>
              <w:rPr>
                <w:b/>
                <w:color w:val="000000"/>
                <w:sz w:val="18"/>
                <w:szCs w:val="18"/>
                <w:lang w:val="en-CA" w:eastAsia="en-CA"/>
              </w:rPr>
            </w:pPr>
            <w:r w:rsidRPr="00737BFF">
              <w:rPr>
                <w:b/>
                <w:color w:val="000000"/>
                <w:sz w:val="18"/>
                <w:szCs w:val="18"/>
                <w:lang w:val="en-CA" w:eastAsia="zh-CN"/>
              </w:rPr>
              <w:t xml:space="preserve">Sub-total </w:t>
            </w:r>
            <w:r w:rsidR="008B5A7F" w:rsidRPr="00737BFF">
              <w:rPr>
                <w:b/>
                <w:color w:val="000000"/>
                <w:sz w:val="18"/>
                <w:szCs w:val="18"/>
                <w:lang w:val="en-CA" w:eastAsia="zh-CN"/>
              </w:rPr>
              <w:t xml:space="preserve">for </w:t>
            </w:r>
            <w:r w:rsidRPr="00737BFF">
              <w:rPr>
                <w:b/>
                <w:color w:val="000000"/>
                <w:sz w:val="18"/>
                <w:szCs w:val="18"/>
                <w:lang w:val="en-CA" w:eastAsia="zh-CN"/>
              </w:rPr>
              <w:t>Article 5 countries</w:t>
            </w:r>
          </w:p>
        </w:tc>
        <w:tc>
          <w:tcPr>
            <w:tcW w:w="424" w:type="pct"/>
            <w:shd w:val="clear" w:color="auto" w:fill="auto"/>
            <w:noWrap/>
            <w:hideMark/>
          </w:tcPr>
          <w:p w14:paraId="7926282C" w14:textId="77777777" w:rsidR="00831E2A" w:rsidRPr="00737BFF" w:rsidRDefault="00831E2A" w:rsidP="00FE5F39">
            <w:pPr>
              <w:jc w:val="right"/>
              <w:rPr>
                <w:b/>
                <w:color w:val="000000"/>
                <w:sz w:val="18"/>
                <w:szCs w:val="18"/>
                <w:lang w:val="en-CA" w:eastAsia="en-CA"/>
              </w:rPr>
            </w:pPr>
            <w:r w:rsidRPr="00737BFF">
              <w:rPr>
                <w:b/>
                <w:color w:val="000000"/>
                <w:sz w:val="18"/>
                <w:szCs w:val="18"/>
                <w:lang w:val="en-CA" w:eastAsia="en-CA"/>
              </w:rPr>
              <w:t>558,002</w:t>
            </w:r>
          </w:p>
        </w:tc>
        <w:tc>
          <w:tcPr>
            <w:tcW w:w="424" w:type="pct"/>
            <w:shd w:val="clear" w:color="auto" w:fill="auto"/>
            <w:noWrap/>
            <w:hideMark/>
          </w:tcPr>
          <w:p w14:paraId="47E00F41" w14:textId="77777777" w:rsidR="00831E2A" w:rsidRPr="00737BFF" w:rsidRDefault="00831E2A" w:rsidP="00FE5F39">
            <w:pPr>
              <w:jc w:val="right"/>
              <w:rPr>
                <w:b/>
                <w:color w:val="000000"/>
                <w:sz w:val="18"/>
                <w:szCs w:val="18"/>
                <w:lang w:val="en-CA" w:eastAsia="en-CA"/>
              </w:rPr>
            </w:pPr>
            <w:r w:rsidRPr="00737BFF">
              <w:rPr>
                <w:b/>
                <w:color w:val="000000"/>
                <w:sz w:val="18"/>
                <w:szCs w:val="18"/>
                <w:lang w:val="en-CA" w:eastAsia="en-CA"/>
              </w:rPr>
              <w:t>624,047</w:t>
            </w:r>
          </w:p>
        </w:tc>
        <w:tc>
          <w:tcPr>
            <w:tcW w:w="424" w:type="pct"/>
            <w:shd w:val="clear" w:color="auto" w:fill="auto"/>
            <w:noWrap/>
            <w:hideMark/>
          </w:tcPr>
          <w:p w14:paraId="79B60069" w14:textId="77777777" w:rsidR="00831E2A" w:rsidRPr="00737BFF" w:rsidRDefault="00831E2A" w:rsidP="00FE5F39">
            <w:pPr>
              <w:jc w:val="right"/>
              <w:rPr>
                <w:b/>
                <w:color w:val="000000"/>
                <w:sz w:val="18"/>
                <w:szCs w:val="18"/>
                <w:lang w:val="en-CA" w:eastAsia="en-CA"/>
              </w:rPr>
            </w:pPr>
            <w:r w:rsidRPr="00737BFF">
              <w:rPr>
                <w:b/>
                <w:color w:val="000000"/>
                <w:sz w:val="18"/>
                <w:szCs w:val="18"/>
                <w:lang w:val="en-CA" w:eastAsia="en-CA"/>
              </w:rPr>
              <w:t>671,475</w:t>
            </w:r>
          </w:p>
        </w:tc>
        <w:tc>
          <w:tcPr>
            <w:tcW w:w="424" w:type="pct"/>
            <w:shd w:val="clear" w:color="auto" w:fill="auto"/>
            <w:noWrap/>
            <w:hideMark/>
          </w:tcPr>
          <w:p w14:paraId="563AA724" w14:textId="77777777" w:rsidR="00831E2A" w:rsidRPr="00737BFF" w:rsidRDefault="00831E2A" w:rsidP="00FE5F39">
            <w:pPr>
              <w:jc w:val="right"/>
              <w:rPr>
                <w:b/>
                <w:color w:val="000000"/>
                <w:sz w:val="18"/>
                <w:szCs w:val="18"/>
                <w:lang w:val="en-CA" w:eastAsia="en-CA"/>
              </w:rPr>
            </w:pPr>
            <w:r w:rsidRPr="00737BFF">
              <w:rPr>
                <w:b/>
                <w:color w:val="000000"/>
                <w:sz w:val="18"/>
                <w:szCs w:val="18"/>
                <w:lang w:val="en-CA" w:eastAsia="en-CA"/>
              </w:rPr>
              <w:t>713,864</w:t>
            </w:r>
          </w:p>
        </w:tc>
        <w:tc>
          <w:tcPr>
            <w:tcW w:w="424" w:type="pct"/>
            <w:shd w:val="clear" w:color="auto" w:fill="auto"/>
            <w:noWrap/>
            <w:hideMark/>
          </w:tcPr>
          <w:p w14:paraId="232AF89B" w14:textId="77777777" w:rsidR="00831E2A" w:rsidRPr="00737BFF" w:rsidRDefault="00831E2A" w:rsidP="00FE5F39">
            <w:pPr>
              <w:jc w:val="right"/>
              <w:rPr>
                <w:b/>
                <w:color w:val="000000"/>
                <w:sz w:val="18"/>
                <w:szCs w:val="18"/>
                <w:lang w:val="en-CA" w:eastAsia="en-CA"/>
              </w:rPr>
            </w:pPr>
            <w:r w:rsidRPr="00737BFF">
              <w:rPr>
                <w:b/>
                <w:color w:val="000000"/>
                <w:sz w:val="18"/>
                <w:szCs w:val="18"/>
                <w:lang w:val="en-CA" w:eastAsia="en-CA"/>
              </w:rPr>
              <w:t>675,336</w:t>
            </w:r>
          </w:p>
        </w:tc>
        <w:tc>
          <w:tcPr>
            <w:tcW w:w="424" w:type="pct"/>
            <w:shd w:val="clear" w:color="auto" w:fill="auto"/>
            <w:noWrap/>
            <w:hideMark/>
          </w:tcPr>
          <w:p w14:paraId="429014B2" w14:textId="77777777" w:rsidR="00831E2A" w:rsidRPr="00737BFF" w:rsidRDefault="00831E2A" w:rsidP="00FE5F39">
            <w:pPr>
              <w:jc w:val="right"/>
              <w:rPr>
                <w:b/>
                <w:color w:val="000000"/>
                <w:sz w:val="18"/>
                <w:szCs w:val="18"/>
                <w:lang w:val="en-CA" w:eastAsia="en-CA"/>
              </w:rPr>
            </w:pPr>
            <w:r w:rsidRPr="00737BFF">
              <w:rPr>
                <w:b/>
                <w:color w:val="000000"/>
                <w:sz w:val="18"/>
                <w:szCs w:val="18"/>
                <w:lang w:val="en-CA" w:eastAsia="en-CA"/>
              </w:rPr>
              <w:t>699,262</w:t>
            </w:r>
          </w:p>
        </w:tc>
        <w:tc>
          <w:tcPr>
            <w:tcW w:w="424" w:type="pct"/>
            <w:shd w:val="clear" w:color="auto" w:fill="auto"/>
            <w:noWrap/>
            <w:hideMark/>
          </w:tcPr>
          <w:p w14:paraId="2C76C7F5" w14:textId="77777777" w:rsidR="00831E2A" w:rsidRPr="00737BFF" w:rsidRDefault="00831E2A" w:rsidP="00FE5F39">
            <w:pPr>
              <w:jc w:val="right"/>
              <w:rPr>
                <w:b/>
                <w:color w:val="000000"/>
                <w:sz w:val="18"/>
                <w:szCs w:val="18"/>
                <w:lang w:val="en-CA" w:eastAsia="en-CA"/>
              </w:rPr>
            </w:pPr>
            <w:r w:rsidRPr="00737BFF">
              <w:rPr>
                <w:b/>
                <w:color w:val="000000"/>
                <w:sz w:val="18"/>
                <w:szCs w:val="18"/>
                <w:lang w:val="en-CA" w:eastAsia="en-CA"/>
              </w:rPr>
              <w:t>603,796</w:t>
            </w:r>
          </w:p>
        </w:tc>
        <w:tc>
          <w:tcPr>
            <w:tcW w:w="424" w:type="pct"/>
            <w:shd w:val="clear" w:color="auto" w:fill="auto"/>
            <w:noWrap/>
            <w:hideMark/>
          </w:tcPr>
          <w:p w14:paraId="63E1CCEE" w14:textId="77777777" w:rsidR="00831E2A" w:rsidRPr="00737BFF" w:rsidRDefault="00831E2A" w:rsidP="00FE5F39">
            <w:pPr>
              <w:jc w:val="right"/>
              <w:rPr>
                <w:b/>
                <w:color w:val="000000"/>
                <w:sz w:val="18"/>
                <w:szCs w:val="18"/>
                <w:lang w:val="en-CA" w:eastAsia="en-CA"/>
              </w:rPr>
            </w:pPr>
            <w:r w:rsidRPr="00737BFF">
              <w:rPr>
                <w:b/>
                <w:color w:val="000000"/>
                <w:sz w:val="18"/>
                <w:szCs w:val="18"/>
                <w:lang w:val="en-CA" w:eastAsia="en-CA"/>
              </w:rPr>
              <w:t>643,523</w:t>
            </w:r>
          </w:p>
        </w:tc>
        <w:tc>
          <w:tcPr>
            <w:tcW w:w="424" w:type="pct"/>
            <w:shd w:val="clear" w:color="auto" w:fill="auto"/>
            <w:noWrap/>
            <w:hideMark/>
          </w:tcPr>
          <w:p w14:paraId="687FB8E0" w14:textId="2F863FBE" w:rsidR="00831E2A" w:rsidRPr="00737BFF" w:rsidRDefault="00AA6697" w:rsidP="00FE5F39">
            <w:pPr>
              <w:jc w:val="right"/>
              <w:rPr>
                <w:b/>
                <w:color w:val="000000"/>
                <w:sz w:val="18"/>
                <w:szCs w:val="18"/>
                <w:lang w:val="en-CA" w:eastAsia="en-CA"/>
              </w:rPr>
            </w:pPr>
            <w:r w:rsidRPr="00737BFF">
              <w:rPr>
                <w:b/>
                <w:color w:val="000000"/>
                <w:sz w:val="18"/>
                <w:szCs w:val="18"/>
                <w:lang w:val="en-CA" w:eastAsia="en-CA"/>
              </w:rPr>
              <w:t>673,656</w:t>
            </w:r>
          </w:p>
        </w:tc>
      </w:tr>
      <w:tr w:rsidR="00A538DA" w:rsidRPr="00737BFF" w14:paraId="50B0924A" w14:textId="77777777" w:rsidTr="00E46315">
        <w:trPr>
          <w:trHeight w:val="211"/>
        </w:trPr>
        <w:tc>
          <w:tcPr>
            <w:tcW w:w="1182" w:type="pct"/>
            <w:shd w:val="clear" w:color="auto" w:fill="auto"/>
            <w:noWrap/>
            <w:hideMark/>
          </w:tcPr>
          <w:p w14:paraId="000CEE79" w14:textId="70D1BD98" w:rsidR="00831E2A" w:rsidRPr="00737BFF" w:rsidRDefault="00831E2A" w:rsidP="00E46315">
            <w:pPr>
              <w:jc w:val="left"/>
              <w:rPr>
                <w:color w:val="000000"/>
                <w:sz w:val="18"/>
                <w:szCs w:val="18"/>
                <w:lang w:val="en-CA" w:eastAsia="en-CA"/>
              </w:rPr>
            </w:pPr>
            <w:r w:rsidRPr="00737BFF">
              <w:rPr>
                <w:color w:val="000000"/>
                <w:sz w:val="18"/>
                <w:szCs w:val="18"/>
                <w:lang w:val="en-CA" w:eastAsia="zh-CN"/>
              </w:rPr>
              <w:t>Non-</w:t>
            </w:r>
            <w:r w:rsidR="00E46315">
              <w:rPr>
                <w:color w:val="000000"/>
                <w:sz w:val="18"/>
                <w:szCs w:val="18"/>
                <w:lang w:val="en-CA" w:eastAsia="zh-CN"/>
              </w:rPr>
              <w:t>a</w:t>
            </w:r>
            <w:r w:rsidRPr="00737BFF">
              <w:rPr>
                <w:color w:val="000000"/>
                <w:sz w:val="18"/>
                <w:szCs w:val="18"/>
                <w:lang w:val="en-CA" w:eastAsia="zh-CN"/>
              </w:rPr>
              <w:t>rticle 5 countries</w:t>
            </w:r>
          </w:p>
        </w:tc>
        <w:tc>
          <w:tcPr>
            <w:tcW w:w="424" w:type="pct"/>
            <w:shd w:val="clear" w:color="auto" w:fill="auto"/>
            <w:noWrap/>
            <w:hideMark/>
          </w:tcPr>
          <w:p w14:paraId="0B25479D"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195,796</w:t>
            </w:r>
          </w:p>
        </w:tc>
        <w:tc>
          <w:tcPr>
            <w:tcW w:w="424" w:type="pct"/>
            <w:shd w:val="clear" w:color="auto" w:fill="auto"/>
            <w:noWrap/>
            <w:hideMark/>
          </w:tcPr>
          <w:p w14:paraId="30391998"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229,863</w:t>
            </w:r>
          </w:p>
        </w:tc>
        <w:tc>
          <w:tcPr>
            <w:tcW w:w="424" w:type="pct"/>
            <w:shd w:val="clear" w:color="auto" w:fill="auto"/>
            <w:noWrap/>
            <w:hideMark/>
          </w:tcPr>
          <w:p w14:paraId="1997AF43"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241,783</w:t>
            </w:r>
          </w:p>
        </w:tc>
        <w:tc>
          <w:tcPr>
            <w:tcW w:w="424" w:type="pct"/>
            <w:shd w:val="clear" w:color="auto" w:fill="auto"/>
            <w:noWrap/>
            <w:hideMark/>
          </w:tcPr>
          <w:p w14:paraId="6B2B52D6"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219,909</w:t>
            </w:r>
          </w:p>
        </w:tc>
        <w:tc>
          <w:tcPr>
            <w:tcW w:w="424" w:type="pct"/>
            <w:shd w:val="clear" w:color="auto" w:fill="auto"/>
            <w:noWrap/>
            <w:hideMark/>
          </w:tcPr>
          <w:p w14:paraId="7815D01A"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193,519</w:t>
            </w:r>
          </w:p>
        </w:tc>
        <w:tc>
          <w:tcPr>
            <w:tcW w:w="424" w:type="pct"/>
            <w:shd w:val="clear" w:color="auto" w:fill="auto"/>
            <w:noWrap/>
            <w:hideMark/>
          </w:tcPr>
          <w:p w14:paraId="77DD7917"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210,042</w:t>
            </w:r>
          </w:p>
        </w:tc>
        <w:tc>
          <w:tcPr>
            <w:tcW w:w="424" w:type="pct"/>
            <w:shd w:val="clear" w:color="auto" w:fill="auto"/>
            <w:noWrap/>
            <w:hideMark/>
          </w:tcPr>
          <w:p w14:paraId="067B6D1B"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225,155</w:t>
            </w:r>
          </w:p>
        </w:tc>
        <w:tc>
          <w:tcPr>
            <w:tcW w:w="424" w:type="pct"/>
            <w:shd w:val="clear" w:color="auto" w:fill="auto"/>
            <w:noWrap/>
            <w:hideMark/>
          </w:tcPr>
          <w:p w14:paraId="48156120" w14:textId="189166E9" w:rsidR="00831E2A" w:rsidRPr="00737BFF" w:rsidRDefault="00517E74" w:rsidP="00FE5F39">
            <w:pPr>
              <w:jc w:val="right"/>
              <w:rPr>
                <w:color w:val="000000"/>
                <w:sz w:val="18"/>
                <w:szCs w:val="18"/>
                <w:lang w:val="en-CA" w:eastAsia="en-CA"/>
              </w:rPr>
            </w:pPr>
            <w:r w:rsidRPr="00737BFF">
              <w:rPr>
                <w:color w:val="000000"/>
                <w:sz w:val="18"/>
                <w:szCs w:val="18"/>
                <w:lang w:val="en-CA" w:eastAsia="en-CA"/>
              </w:rPr>
              <w:t>208,817</w:t>
            </w:r>
          </w:p>
        </w:tc>
        <w:tc>
          <w:tcPr>
            <w:tcW w:w="424" w:type="pct"/>
            <w:shd w:val="clear" w:color="auto" w:fill="auto"/>
            <w:noWrap/>
            <w:hideMark/>
          </w:tcPr>
          <w:p w14:paraId="773BEAEE" w14:textId="2BF52BFB" w:rsidR="00831E2A" w:rsidRPr="00737BFF" w:rsidRDefault="00FA34B3" w:rsidP="00FE5F39">
            <w:pPr>
              <w:jc w:val="right"/>
              <w:rPr>
                <w:color w:val="000000"/>
                <w:sz w:val="18"/>
                <w:szCs w:val="18"/>
                <w:lang w:val="en-CA" w:eastAsia="en-CA"/>
              </w:rPr>
            </w:pPr>
            <w:r w:rsidRPr="00737BFF">
              <w:rPr>
                <w:color w:val="000000"/>
                <w:sz w:val="18"/>
                <w:szCs w:val="18"/>
                <w:lang w:val="en-CA" w:eastAsia="en-CA"/>
              </w:rPr>
              <w:t>221,803</w:t>
            </w:r>
          </w:p>
        </w:tc>
      </w:tr>
      <w:tr w:rsidR="00A538DA" w:rsidRPr="00737BFF" w14:paraId="7BC94F3F" w14:textId="77777777" w:rsidTr="00E46315">
        <w:trPr>
          <w:trHeight w:val="142"/>
        </w:trPr>
        <w:tc>
          <w:tcPr>
            <w:tcW w:w="1182" w:type="pct"/>
            <w:shd w:val="clear" w:color="auto" w:fill="auto"/>
            <w:noWrap/>
            <w:hideMark/>
          </w:tcPr>
          <w:p w14:paraId="20E8F508" w14:textId="77777777" w:rsidR="00831E2A" w:rsidRPr="00737BFF" w:rsidRDefault="00831E2A" w:rsidP="00831E2A">
            <w:pPr>
              <w:jc w:val="left"/>
              <w:rPr>
                <w:color w:val="000000"/>
                <w:sz w:val="18"/>
                <w:szCs w:val="18"/>
                <w:lang w:val="en-CA" w:eastAsia="en-CA"/>
              </w:rPr>
            </w:pPr>
            <w:r w:rsidRPr="00737BFF">
              <w:rPr>
                <w:color w:val="000000"/>
                <w:sz w:val="18"/>
                <w:szCs w:val="18"/>
                <w:lang w:val="en-CA" w:eastAsia="zh-CN"/>
              </w:rPr>
              <w:t>Total</w:t>
            </w:r>
          </w:p>
        </w:tc>
        <w:tc>
          <w:tcPr>
            <w:tcW w:w="424" w:type="pct"/>
            <w:shd w:val="clear" w:color="auto" w:fill="auto"/>
            <w:noWrap/>
            <w:hideMark/>
          </w:tcPr>
          <w:p w14:paraId="240CE6B6"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753,798</w:t>
            </w:r>
          </w:p>
        </w:tc>
        <w:tc>
          <w:tcPr>
            <w:tcW w:w="424" w:type="pct"/>
            <w:shd w:val="clear" w:color="auto" w:fill="auto"/>
            <w:noWrap/>
            <w:hideMark/>
          </w:tcPr>
          <w:p w14:paraId="1DFB8D71"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853,910</w:t>
            </w:r>
          </w:p>
        </w:tc>
        <w:tc>
          <w:tcPr>
            <w:tcW w:w="424" w:type="pct"/>
            <w:shd w:val="clear" w:color="auto" w:fill="auto"/>
            <w:noWrap/>
            <w:hideMark/>
          </w:tcPr>
          <w:p w14:paraId="566DD9CD"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913,258</w:t>
            </w:r>
          </w:p>
        </w:tc>
        <w:tc>
          <w:tcPr>
            <w:tcW w:w="424" w:type="pct"/>
            <w:shd w:val="clear" w:color="auto" w:fill="auto"/>
            <w:noWrap/>
            <w:hideMark/>
          </w:tcPr>
          <w:p w14:paraId="4F497EB0"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933,773</w:t>
            </w:r>
          </w:p>
        </w:tc>
        <w:tc>
          <w:tcPr>
            <w:tcW w:w="424" w:type="pct"/>
            <w:shd w:val="clear" w:color="auto" w:fill="auto"/>
            <w:noWrap/>
            <w:hideMark/>
          </w:tcPr>
          <w:p w14:paraId="518E1162"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868,856</w:t>
            </w:r>
          </w:p>
        </w:tc>
        <w:tc>
          <w:tcPr>
            <w:tcW w:w="424" w:type="pct"/>
            <w:shd w:val="clear" w:color="auto" w:fill="auto"/>
            <w:noWrap/>
            <w:hideMark/>
          </w:tcPr>
          <w:p w14:paraId="523DC893"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909,304</w:t>
            </w:r>
          </w:p>
        </w:tc>
        <w:tc>
          <w:tcPr>
            <w:tcW w:w="424" w:type="pct"/>
            <w:shd w:val="clear" w:color="auto" w:fill="auto"/>
            <w:noWrap/>
            <w:hideMark/>
          </w:tcPr>
          <w:p w14:paraId="27447F6D" w14:textId="77777777" w:rsidR="00831E2A" w:rsidRPr="00737BFF" w:rsidRDefault="00831E2A" w:rsidP="00FE5F39">
            <w:pPr>
              <w:jc w:val="right"/>
              <w:rPr>
                <w:color w:val="000000"/>
                <w:sz w:val="18"/>
                <w:szCs w:val="18"/>
                <w:lang w:val="en-CA" w:eastAsia="en-CA"/>
              </w:rPr>
            </w:pPr>
            <w:r w:rsidRPr="00737BFF">
              <w:rPr>
                <w:color w:val="000000"/>
                <w:sz w:val="18"/>
                <w:szCs w:val="18"/>
                <w:lang w:val="en-CA" w:eastAsia="en-CA"/>
              </w:rPr>
              <w:t>828,952</w:t>
            </w:r>
          </w:p>
        </w:tc>
        <w:tc>
          <w:tcPr>
            <w:tcW w:w="424" w:type="pct"/>
            <w:shd w:val="clear" w:color="auto" w:fill="auto"/>
            <w:noWrap/>
            <w:hideMark/>
          </w:tcPr>
          <w:p w14:paraId="09D95224" w14:textId="19E3ABCF" w:rsidR="00831E2A" w:rsidRPr="00737BFF" w:rsidRDefault="001B4D19" w:rsidP="0019369C">
            <w:pPr>
              <w:jc w:val="right"/>
              <w:rPr>
                <w:color w:val="000000"/>
                <w:sz w:val="18"/>
                <w:szCs w:val="18"/>
                <w:lang w:val="en-CA" w:eastAsia="en-CA"/>
              </w:rPr>
            </w:pPr>
            <w:r w:rsidRPr="00737BFF">
              <w:rPr>
                <w:color w:val="000000"/>
                <w:sz w:val="18"/>
                <w:szCs w:val="18"/>
                <w:lang w:val="en-CA" w:eastAsia="en-CA"/>
              </w:rPr>
              <w:t>8</w:t>
            </w:r>
            <w:r w:rsidR="00517E74" w:rsidRPr="00737BFF">
              <w:rPr>
                <w:color w:val="000000"/>
                <w:sz w:val="18"/>
                <w:szCs w:val="18"/>
                <w:lang w:val="en-CA" w:eastAsia="en-CA"/>
              </w:rPr>
              <w:t>52,340</w:t>
            </w:r>
          </w:p>
        </w:tc>
        <w:tc>
          <w:tcPr>
            <w:tcW w:w="424" w:type="pct"/>
            <w:shd w:val="clear" w:color="auto" w:fill="auto"/>
            <w:noWrap/>
            <w:hideMark/>
          </w:tcPr>
          <w:p w14:paraId="7130E4E0" w14:textId="46291439" w:rsidR="00831E2A" w:rsidRPr="00737BFF" w:rsidRDefault="00FA34B3" w:rsidP="00FE5F39">
            <w:pPr>
              <w:jc w:val="right"/>
              <w:rPr>
                <w:color w:val="000000"/>
                <w:sz w:val="18"/>
                <w:szCs w:val="18"/>
                <w:lang w:val="en-CA" w:eastAsia="en-CA"/>
              </w:rPr>
            </w:pPr>
            <w:r w:rsidRPr="00737BFF">
              <w:rPr>
                <w:color w:val="000000"/>
                <w:sz w:val="18"/>
                <w:szCs w:val="18"/>
                <w:lang w:val="en-CA" w:eastAsia="en-CA"/>
              </w:rPr>
              <w:t>895,459</w:t>
            </w:r>
          </w:p>
        </w:tc>
      </w:tr>
    </w:tbl>
    <w:p w14:paraId="0848C01F" w14:textId="7A1B895F" w:rsidR="00412D2B" w:rsidRPr="00D104B4" w:rsidRDefault="00A538DA" w:rsidP="00E75314">
      <w:pPr>
        <w:rPr>
          <w:sz w:val="16"/>
          <w:szCs w:val="16"/>
          <w:lang w:val="en-CA"/>
        </w:rPr>
      </w:pPr>
      <w:r w:rsidRPr="00D104B4">
        <w:rPr>
          <w:sz w:val="16"/>
          <w:szCs w:val="16"/>
          <w:lang w:val="en-CA"/>
        </w:rPr>
        <w:t>*Total production includes all production for controlled and for feedstock uses, and does not subtract any HCFC-22 that may have been produced but subsequently destroyed.</w:t>
      </w:r>
    </w:p>
    <w:p w14:paraId="0D71F115" w14:textId="1CE95D8C" w:rsidR="00517E74" w:rsidRPr="00D104B4" w:rsidRDefault="00517E74" w:rsidP="00E75314">
      <w:pPr>
        <w:rPr>
          <w:sz w:val="16"/>
          <w:szCs w:val="16"/>
          <w:lang w:val="en-CA"/>
        </w:rPr>
      </w:pPr>
      <w:r w:rsidRPr="00D104B4">
        <w:rPr>
          <w:sz w:val="16"/>
          <w:szCs w:val="16"/>
          <w:lang w:val="en-CA"/>
        </w:rPr>
        <w:t xml:space="preserve">** As reported in the 2017 verification report, which is different from the total production reported under Article 7. </w:t>
      </w:r>
    </w:p>
    <w:p w14:paraId="0CF95DFE" w14:textId="77777777" w:rsidR="00A538DA" w:rsidRPr="00D104B4" w:rsidRDefault="00A538DA" w:rsidP="00412D2B">
      <w:pPr>
        <w:rPr>
          <w:lang w:val="en-CA"/>
        </w:rPr>
      </w:pPr>
    </w:p>
    <w:p w14:paraId="460BA21E" w14:textId="2C1520E6" w:rsidR="00201F7E" w:rsidRPr="00D104B4" w:rsidRDefault="00201F7E" w:rsidP="00201F7E">
      <w:pPr>
        <w:pStyle w:val="Heading1"/>
        <w:rPr>
          <w:lang w:val="en-CA"/>
        </w:rPr>
      </w:pPr>
      <w:r w:rsidRPr="00D104B4">
        <w:rPr>
          <w:lang w:val="en-CA"/>
        </w:rPr>
        <w:t>Based on HCFC-22 production reported under Article 7</w:t>
      </w:r>
      <w:r w:rsidR="00B81667" w:rsidRPr="00D104B4">
        <w:rPr>
          <w:lang w:val="en-CA"/>
        </w:rPr>
        <w:t>,</w:t>
      </w:r>
      <w:r w:rsidR="00B24EAB" w:rsidRPr="00D104B4">
        <w:rPr>
          <w:lang w:val="en-CA"/>
        </w:rPr>
        <w:t xml:space="preserve"> and</w:t>
      </w:r>
      <w:r w:rsidRPr="00D104B4">
        <w:rPr>
          <w:lang w:val="en-CA"/>
        </w:rPr>
        <w:t xml:space="preserve"> information </w:t>
      </w:r>
      <w:r w:rsidR="00B24EAB" w:rsidRPr="00D104B4">
        <w:rPr>
          <w:lang w:val="en-CA"/>
        </w:rPr>
        <w:t xml:space="preserve">on </w:t>
      </w:r>
      <w:r w:rsidRPr="00D104B4">
        <w:rPr>
          <w:lang w:val="en-CA"/>
        </w:rPr>
        <w:t>the HFC-23</w:t>
      </w:r>
      <w:r w:rsidR="00B24EAB" w:rsidRPr="00D104B4">
        <w:rPr>
          <w:lang w:val="en-CA"/>
        </w:rPr>
        <w:t xml:space="preserve"> by</w:t>
      </w:r>
      <w:r w:rsidR="00B81667" w:rsidRPr="00D104B4">
        <w:rPr>
          <w:lang w:val="en-CA"/>
        </w:rPr>
        <w:noBreakHyphen/>
      </w:r>
      <w:r w:rsidR="00B24EAB" w:rsidRPr="00D104B4">
        <w:rPr>
          <w:lang w:val="en-CA"/>
        </w:rPr>
        <w:t xml:space="preserve">product </w:t>
      </w:r>
      <w:r w:rsidRPr="00D104B4">
        <w:rPr>
          <w:lang w:val="en-CA"/>
        </w:rPr>
        <w:t>generation rate (</w:t>
      </w:r>
      <w:r w:rsidR="002F7EDF" w:rsidRPr="00D104B4">
        <w:rPr>
          <w:i/>
          <w:lang w:val="en-CA"/>
        </w:rPr>
        <w:t>w</w:t>
      </w:r>
      <w:r w:rsidR="00F139DC" w:rsidRPr="00D104B4">
        <w:rPr>
          <w:i/>
          <w:lang w:val="en-CA"/>
        </w:rPr>
        <w:t xml:space="preserve"> </w:t>
      </w:r>
      <w:r w:rsidR="00F139DC" w:rsidRPr="00D104B4">
        <w:rPr>
          <w:lang w:val="en-CA"/>
        </w:rPr>
        <w:t>rate</w:t>
      </w:r>
      <w:r w:rsidR="008C19F8" w:rsidRPr="00D104B4">
        <w:rPr>
          <w:rStyle w:val="FootnoteReference"/>
          <w:lang w:val="en-CA"/>
        </w:rPr>
        <w:footnoteReference w:id="5"/>
      </w:r>
      <w:r w:rsidRPr="00D104B4">
        <w:rPr>
          <w:lang w:val="en-CA"/>
        </w:rPr>
        <w:t>), the amount</w:t>
      </w:r>
      <w:r w:rsidR="006235B7" w:rsidRPr="00D104B4">
        <w:rPr>
          <w:lang w:val="en-CA"/>
        </w:rPr>
        <w:t>s</w:t>
      </w:r>
      <w:r w:rsidRPr="00D104B4">
        <w:rPr>
          <w:lang w:val="en-CA"/>
        </w:rPr>
        <w:t xml:space="preserve"> of HFC-23 </w:t>
      </w:r>
      <w:r w:rsidR="006235B7" w:rsidRPr="00D104B4">
        <w:rPr>
          <w:lang w:val="en-CA"/>
        </w:rPr>
        <w:t>are</w:t>
      </w:r>
      <w:r w:rsidRPr="00D104B4">
        <w:rPr>
          <w:lang w:val="en-CA"/>
        </w:rPr>
        <w:t xml:space="preserve"> estimated and presented in Table </w:t>
      </w:r>
      <w:r w:rsidR="002455C1" w:rsidRPr="00D104B4">
        <w:rPr>
          <w:lang w:val="en-CA"/>
        </w:rPr>
        <w:t>2</w:t>
      </w:r>
      <w:r w:rsidRPr="00D104B4">
        <w:rPr>
          <w:lang w:val="en-CA"/>
        </w:rPr>
        <w:t xml:space="preserve">. </w:t>
      </w:r>
    </w:p>
    <w:p w14:paraId="47574013" w14:textId="5A031AFF" w:rsidR="00201F7E" w:rsidRPr="00D104B4" w:rsidRDefault="00201F7E" w:rsidP="00201F7E">
      <w:pPr>
        <w:rPr>
          <w:b/>
          <w:lang w:val="en-CA"/>
        </w:rPr>
      </w:pPr>
      <w:r w:rsidRPr="00D104B4">
        <w:rPr>
          <w:b/>
          <w:lang w:val="en-CA"/>
        </w:rPr>
        <w:t xml:space="preserve">Table </w:t>
      </w:r>
      <w:r w:rsidR="00956B31" w:rsidRPr="00D104B4">
        <w:rPr>
          <w:b/>
          <w:lang w:val="en-CA"/>
        </w:rPr>
        <w:t>2</w:t>
      </w:r>
      <w:r w:rsidR="0079685C" w:rsidRPr="00D104B4">
        <w:rPr>
          <w:b/>
          <w:lang w:val="en-CA"/>
        </w:rPr>
        <w:t>.</w:t>
      </w:r>
      <w:r w:rsidRPr="00D104B4">
        <w:rPr>
          <w:b/>
          <w:lang w:val="en-CA"/>
        </w:rPr>
        <w:t xml:space="preserve"> Amounts of HFC-23 generated from HCFC-22 production (</w:t>
      </w:r>
      <w:proofErr w:type="spellStart"/>
      <w:r w:rsidRPr="00D104B4">
        <w:rPr>
          <w:b/>
          <w:lang w:val="en-CA"/>
        </w:rPr>
        <w:t>mt</w:t>
      </w:r>
      <w:proofErr w:type="spellEnd"/>
      <w:r w:rsidRPr="00D104B4">
        <w:rPr>
          <w:b/>
          <w:lang w:val="en-CA"/>
        </w:rPr>
        <w:t>)</w:t>
      </w:r>
    </w:p>
    <w:tbl>
      <w:tblPr>
        <w:tblW w:w="5000" w:type="pct"/>
        <w:tblLayout w:type="fixed"/>
        <w:tblLook w:val="04A0" w:firstRow="1" w:lastRow="0" w:firstColumn="1" w:lastColumn="0" w:noHBand="0" w:noVBand="1"/>
      </w:tblPr>
      <w:tblGrid>
        <w:gridCol w:w="2327"/>
        <w:gridCol w:w="744"/>
        <w:gridCol w:w="1032"/>
        <w:gridCol w:w="1049"/>
        <w:gridCol w:w="1051"/>
        <w:gridCol w:w="1051"/>
        <w:gridCol w:w="1049"/>
        <w:gridCol w:w="1047"/>
      </w:tblGrid>
      <w:tr w:rsidR="00AA6697" w:rsidRPr="00D104B4" w14:paraId="0191DB83" w14:textId="77777777" w:rsidTr="002F3169">
        <w:trPr>
          <w:trHeight w:val="53"/>
          <w:tblHeader/>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941F74F" w14:textId="77777777" w:rsidR="00AA6697" w:rsidRPr="00D104B4" w:rsidRDefault="00AA6697" w:rsidP="00AA6697">
            <w:pPr>
              <w:jc w:val="left"/>
              <w:rPr>
                <w:b/>
                <w:bCs/>
                <w:color w:val="000000"/>
                <w:sz w:val="18"/>
                <w:szCs w:val="18"/>
                <w:lang w:val="en-CA" w:eastAsia="zh-CN"/>
              </w:rPr>
            </w:pPr>
            <w:r w:rsidRPr="00D104B4">
              <w:rPr>
                <w:b/>
                <w:bCs/>
                <w:color w:val="000000"/>
                <w:sz w:val="18"/>
                <w:szCs w:val="18"/>
                <w:lang w:val="en-CA" w:eastAsia="zh-CN"/>
              </w:rPr>
              <w:t>Country</w:t>
            </w:r>
          </w:p>
        </w:tc>
        <w:tc>
          <w:tcPr>
            <w:tcW w:w="398" w:type="pct"/>
            <w:tcBorders>
              <w:top w:val="single" w:sz="4" w:space="0" w:color="auto"/>
              <w:left w:val="nil"/>
              <w:bottom w:val="single" w:sz="4" w:space="0" w:color="auto"/>
              <w:right w:val="single" w:sz="4" w:space="0" w:color="auto"/>
            </w:tcBorders>
            <w:shd w:val="clear" w:color="auto" w:fill="auto"/>
            <w:noWrap/>
            <w:hideMark/>
          </w:tcPr>
          <w:p w14:paraId="72B98CCE" w14:textId="653F3EA8" w:rsidR="00AA6697" w:rsidRPr="00D104B4" w:rsidRDefault="00AA6697" w:rsidP="00AA6697">
            <w:pPr>
              <w:jc w:val="center"/>
              <w:rPr>
                <w:b/>
                <w:bCs/>
                <w:color w:val="000000"/>
                <w:sz w:val="18"/>
                <w:szCs w:val="18"/>
                <w:lang w:val="en-CA" w:eastAsia="zh-CN"/>
              </w:rPr>
            </w:pPr>
            <w:r w:rsidRPr="00D104B4">
              <w:rPr>
                <w:b/>
                <w:bCs/>
                <w:color w:val="000000"/>
                <w:sz w:val="18"/>
                <w:szCs w:val="18"/>
                <w:lang w:val="en-CA" w:eastAsia="zh-CN"/>
              </w:rPr>
              <w:t>Lines</w:t>
            </w:r>
          </w:p>
        </w:tc>
        <w:tc>
          <w:tcPr>
            <w:tcW w:w="552" w:type="pct"/>
            <w:tcBorders>
              <w:top w:val="single" w:sz="4" w:space="0" w:color="auto"/>
              <w:left w:val="nil"/>
              <w:bottom w:val="single" w:sz="4" w:space="0" w:color="auto"/>
              <w:right w:val="single" w:sz="4" w:space="0" w:color="auto"/>
            </w:tcBorders>
            <w:shd w:val="clear" w:color="auto" w:fill="auto"/>
            <w:noWrap/>
            <w:hideMark/>
          </w:tcPr>
          <w:p w14:paraId="535BA575" w14:textId="2B79E629" w:rsidR="00AA6697" w:rsidRPr="00D104B4" w:rsidRDefault="00AA6697" w:rsidP="002F3169">
            <w:pPr>
              <w:jc w:val="center"/>
              <w:rPr>
                <w:b/>
                <w:bCs/>
                <w:color w:val="000000"/>
                <w:sz w:val="18"/>
                <w:szCs w:val="18"/>
                <w:lang w:val="en-CA" w:eastAsia="zh-CN"/>
              </w:rPr>
            </w:pPr>
            <w:r w:rsidRPr="002F3169">
              <w:rPr>
                <w:b/>
                <w:bCs/>
                <w:i/>
                <w:color w:val="000000"/>
                <w:sz w:val="18"/>
                <w:szCs w:val="18"/>
                <w:lang w:val="en-CA" w:eastAsia="zh-CN"/>
              </w:rPr>
              <w:t>w</w:t>
            </w:r>
            <w:r w:rsidRPr="002F3169">
              <w:rPr>
                <w:b/>
                <w:bCs/>
                <w:color w:val="000000"/>
                <w:sz w:val="18"/>
                <w:szCs w:val="18"/>
                <w:lang w:val="en-CA" w:eastAsia="zh-CN"/>
              </w:rPr>
              <w:t xml:space="preserve"> (%)</w:t>
            </w:r>
            <w:r w:rsidR="002A600F" w:rsidRPr="002F3169">
              <w:rPr>
                <w:b/>
                <w:bCs/>
                <w:color w:val="000000"/>
                <w:sz w:val="18"/>
                <w:szCs w:val="18"/>
                <w:vertAlign w:val="superscript"/>
                <w:lang w:val="en-CA" w:eastAsia="zh-CN"/>
              </w:rPr>
              <w:t>a</w:t>
            </w:r>
          </w:p>
        </w:tc>
        <w:tc>
          <w:tcPr>
            <w:tcW w:w="561" w:type="pct"/>
            <w:tcBorders>
              <w:top w:val="single" w:sz="4" w:space="0" w:color="auto"/>
              <w:left w:val="nil"/>
              <w:bottom w:val="single" w:sz="4" w:space="0" w:color="auto"/>
              <w:right w:val="single" w:sz="4" w:space="0" w:color="auto"/>
            </w:tcBorders>
            <w:shd w:val="clear" w:color="auto" w:fill="auto"/>
            <w:vAlign w:val="center"/>
          </w:tcPr>
          <w:p w14:paraId="1FDC0796" w14:textId="0011F5C9" w:rsidR="00AA6697" w:rsidRPr="00D104B4" w:rsidRDefault="00AA6697" w:rsidP="00AA6697">
            <w:pPr>
              <w:jc w:val="center"/>
              <w:rPr>
                <w:b/>
                <w:bCs/>
                <w:color w:val="000000"/>
                <w:sz w:val="18"/>
                <w:szCs w:val="18"/>
                <w:lang w:val="en-CA" w:eastAsia="zh-CN"/>
              </w:rPr>
            </w:pPr>
            <w:r w:rsidRPr="00D104B4">
              <w:rPr>
                <w:b/>
                <w:bCs/>
                <w:color w:val="000000"/>
                <w:sz w:val="18"/>
                <w:szCs w:val="18"/>
                <w:lang w:val="en-CA"/>
              </w:rPr>
              <w:t>2013</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5F9CE24E" w14:textId="70F9B39E" w:rsidR="00AA6697" w:rsidRPr="00D104B4" w:rsidRDefault="00AA6697" w:rsidP="00AA6697">
            <w:pPr>
              <w:jc w:val="center"/>
              <w:rPr>
                <w:b/>
                <w:bCs/>
                <w:color w:val="000000"/>
                <w:sz w:val="18"/>
                <w:szCs w:val="18"/>
                <w:lang w:val="en-CA" w:eastAsia="zh-CN"/>
              </w:rPr>
            </w:pPr>
            <w:r w:rsidRPr="00D104B4">
              <w:rPr>
                <w:b/>
                <w:bCs/>
                <w:color w:val="000000"/>
                <w:sz w:val="18"/>
                <w:szCs w:val="18"/>
                <w:lang w:val="en-CA"/>
              </w:rPr>
              <w:t>2014</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20A2BFFA" w14:textId="7FD2B24C" w:rsidR="00AA6697" w:rsidRPr="00D104B4" w:rsidRDefault="00AA6697" w:rsidP="00AA6697">
            <w:pPr>
              <w:jc w:val="center"/>
              <w:rPr>
                <w:b/>
                <w:bCs/>
                <w:color w:val="000000"/>
                <w:sz w:val="18"/>
                <w:szCs w:val="18"/>
                <w:lang w:val="en-CA" w:eastAsia="zh-CN"/>
              </w:rPr>
            </w:pPr>
            <w:r w:rsidRPr="00D104B4">
              <w:rPr>
                <w:b/>
                <w:bCs/>
                <w:color w:val="000000"/>
                <w:sz w:val="18"/>
                <w:szCs w:val="18"/>
                <w:lang w:val="en-CA"/>
              </w:rPr>
              <w:t>2015</w:t>
            </w:r>
          </w:p>
        </w:tc>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7AC1E270" w14:textId="696194F8" w:rsidR="00AA6697" w:rsidRPr="00D104B4" w:rsidRDefault="00AA6697" w:rsidP="00AA6697">
            <w:pPr>
              <w:jc w:val="center"/>
              <w:rPr>
                <w:b/>
                <w:bCs/>
                <w:color w:val="000000"/>
                <w:sz w:val="18"/>
                <w:szCs w:val="18"/>
                <w:lang w:val="en-CA" w:eastAsia="zh-CN"/>
              </w:rPr>
            </w:pPr>
            <w:r w:rsidRPr="00D104B4">
              <w:rPr>
                <w:b/>
                <w:bCs/>
                <w:color w:val="000000"/>
                <w:sz w:val="18"/>
                <w:szCs w:val="18"/>
                <w:lang w:val="en-CA" w:eastAsia="zh-CN"/>
              </w:rPr>
              <w:t>2016</w:t>
            </w:r>
          </w:p>
        </w:tc>
        <w:tc>
          <w:tcPr>
            <w:tcW w:w="560" w:type="pct"/>
            <w:tcBorders>
              <w:top w:val="single" w:sz="4" w:space="0" w:color="auto"/>
              <w:left w:val="nil"/>
              <w:bottom w:val="single" w:sz="4" w:space="0" w:color="auto"/>
              <w:right w:val="single" w:sz="4" w:space="0" w:color="auto"/>
            </w:tcBorders>
            <w:shd w:val="clear" w:color="auto" w:fill="auto"/>
            <w:noWrap/>
            <w:hideMark/>
          </w:tcPr>
          <w:p w14:paraId="7B18CD88" w14:textId="447DFA82" w:rsidR="00AA6697" w:rsidRPr="00D104B4" w:rsidRDefault="00AA6697" w:rsidP="00AA6697">
            <w:pPr>
              <w:jc w:val="center"/>
              <w:rPr>
                <w:b/>
                <w:bCs/>
                <w:color w:val="000000"/>
                <w:sz w:val="18"/>
                <w:szCs w:val="18"/>
                <w:lang w:val="en-CA" w:eastAsia="zh-CN"/>
              </w:rPr>
            </w:pPr>
            <w:r w:rsidRPr="00D104B4">
              <w:rPr>
                <w:b/>
                <w:bCs/>
                <w:color w:val="000000"/>
                <w:sz w:val="18"/>
                <w:szCs w:val="18"/>
                <w:lang w:val="en-CA" w:eastAsia="zh-CN"/>
              </w:rPr>
              <w:t>2017</w:t>
            </w:r>
          </w:p>
        </w:tc>
      </w:tr>
      <w:tr w:rsidR="00884036" w:rsidRPr="00D104B4" w14:paraId="14002F97" w14:textId="77777777" w:rsidTr="002F3169">
        <w:trPr>
          <w:trHeight w:val="53"/>
        </w:trPr>
        <w:tc>
          <w:tcPr>
            <w:tcW w:w="1244" w:type="pct"/>
            <w:tcBorders>
              <w:top w:val="nil"/>
              <w:left w:val="single" w:sz="4" w:space="0" w:color="auto"/>
              <w:bottom w:val="single" w:sz="4" w:space="0" w:color="auto"/>
              <w:right w:val="single" w:sz="4" w:space="0" w:color="auto"/>
            </w:tcBorders>
            <w:shd w:val="clear" w:color="auto" w:fill="auto"/>
            <w:noWrap/>
            <w:hideMark/>
          </w:tcPr>
          <w:p w14:paraId="539EE2DE" w14:textId="77777777" w:rsidR="00884036" w:rsidRPr="00D104B4" w:rsidRDefault="00884036" w:rsidP="00884036">
            <w:pPr>
              <w:jc w:val="left"/>
              <w:rPr>
                <w:color w:val="000000"/>
                <w:sz w:val="18"/>
                <w:szCs w:val="18"/>
                <w:lang w:val="en-CA" w:eastAsia="zh-CN"/>
              </w:rPr>
            </w:pPr>
            <w:r w:rsidRPr="00D104B4">
              <w:rPr>
                <w:color w:val="000000"/>
                <w:sz w:val="18"/>
                <w:szCs w:val="18"/>
                <w:lang w:val="en-CA" w:eastAsia="zh-CN"/>
              </w:rPr>
              <w:t>Argentina</w:t>
            </w:r>
          </w:p>
        </w:tc>
        <w:tc>
          <w:tcPr>
            <w:tcW w:w="398" w:type="pct"/>
            <w:tcBorders>
              <w:top w:val="nil"/>
              <w:left w:val="nil"/>
              <w:bottom w:val="single" w:sz="4" w:space="0" w:color="auto"/>
              <w:right w:val="single" w:sz="4" w:space="0" w:color="auto"/>
            </w:tcBorders>
            <w:shd w:val="clear" w:color="auto" w:fill="auto"/>
            <w:noWrap/>
            <w:hideMark/>
          </w:tcPr>
          <w:p w14:paraId="117233EC" w14:textId="77777777" w:rsidR="00884036" w:rsidRPr="00D104B4" w:rsidRDefault="00884036" w:rsidP="00884036">
            <w:pPr>
              <w:jc w:val="right"/>
              <w:rPr>
                <w:color w:val="000000"/>
                <w:sz w:val="18"/>
                <w:szCs w:val="18"/>
                <w:lang w:val="en-CA" w:eastAsia="zh-CN"/>
              </w:rPr>
            </w:pPr>
            <w:r w:rsidRPr="00D104B4">
              <w:rPr>
                <w:color w:val="000000"/>
                <w:sz w:val="18"/>
                <w:szCs w:val="18"/>
                <w:lang w:val="en-CA" w:eastAsia="zh-CN"/>
              </w:rPr>
              <w:t>1</w:t>
            </w:r>
          </w:p>
        </w:tc>
        <w:tc>
          <w:tcPr>
            <w:tcW w:w="552" w:type="pct"/>
            <w:tcBorders>
              <w:top w:val="nil"/>
              <w:left w:val="nil"/>
              <w:bottom w:val="single" w:sz="4" w:space="0" w:color="auto"/>
              <w:right w:val="single" w:sz="4" w:space="0" w:color="auto"/>
            </w:tcBorders>
            <w:shd w:val="clear" w:color="auto" w:fill="auto"/>
            <w:noWrap/>
            <w:hideMark/>
          </w:tcPr>
          <w:p w14:paraId="653E986F" w14:textId="5EA1A449" w:rsidR="00884036" w:rsidRPr="00D104B4" w:rsidRDefault="00884036" w:rsidP="00B53BEB">
            <w:pPr>
              <w:jc w:val="right"/>
              <w:rPr>
                <w:color w:val="000000"/>
                <w:sz w:val="18"/>
                <w:szCs w:val="18"/>
                <w:lang w:val="en-CA" w:eastAsia="zh-CN"/>
              </w:rPr>
            </w:pPr>
            <w:r w:rsidRPr="00D104B4">
              <w:rPr>
                <w:color w:val="000000"/>
                <w:sz w:val="18"/>
                <w:szCs w:val="18"/>
                <w:lang w:val="en-CA" w:eastAsia="zh-CN"/>
              </w:rPr>
              <w:t>3.</w:t>
            </w:r>
            <w:r w:rsidR="00B53BEB">
              <w:rPr>
                <w:color w:val="000000"/>
                <w:sz w:val="18"/>
                <w:szCs w:val="18"/>
                <w:lang w:val="en-CA" w:eastAsia="zh-CN"/>
              </w:rPr>
              <w:t>3</w:t>
            </w:r>
          </w:p>
        </w:tc>
        <w:tc>
          <w:tcPr>
            <w:tcW w:w="561" w:type="pct"/>
            <w:tcBorders>
              <w:top w:val="single" w:sz="4" w:space="0" w:color="auto"/>
              <w:left w:val="nil"/>
              <w:bottom w:val="single" w:sz="4" w:space="0" w:color="auto"/>
              <w:right w:val="single" w:sz="4" w:space="0" w:color="auto"/>
            </w:tcBorders>
            <w:shd w:val="clear" w:color="auto" w:fill="auto"/>
          </w:tcPr>
          <w:p w14:paraId="61FD80F0" w14:textId="07E206C3" w:rsidR="00884036" w:rsidRPr="00D104B4" w:rsidRDefault="00884036" w:rsidP="00741A52">
            <w:pPr>
              <w:jc w:val="right"/>
              <w:rPr>
                <w:color w:val="000000"/>
                <w:sz w:val="18"/>
                <w:szCs w:val="18"/>
                <w:lang w:val="en-CA"/>
              </w:rPr>
            </w:pPr>
            <w:r w:rsidRPr="00D104B4">
              <w:rPr>
                <w:sz w:val="18"/>
                <w:szCs w:val="18"/>
                <w:lang w:val="en-CA"/>
              </w:rPr>
              <w:t xml:space="preserve"> </w:t>
            </w:r>
            <w:r w:rsidR="00741A52">
              <w:rPr>
                <w:sz w:val="18"/>
                <w:szCs w:val="18"/>
                <w:lang w:val="en-CA"/>
              </w:rPr>
              <w:t>65</w:t>
            </w:r>
            <w:r w:rsidR="00741A52" w:rsidRPr="00741A52">
              <w:rPr>
                <w:sz w:val="18"/>
                <w:szCs w:val="18"/>
                <w:vertAlign w:val="superscript"/>
                <w:lang w:val="en-CA"/>
              </w:rPr>
              <w:t>b</w:t>
            </w:r>
            <w:r w:rsidRPr="00D104B4">
              <w:rPr>
                <w:sz w:val="18"/>
                <w:szCs w:val="18"/>
                <w:lang w:val="en-CA"/>
              </w:rPr>
              <w:t xml:space="preserve">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75B22A5" w14:textId="77F3576C" w:rsidR="00884036" w:rsidRPr="00D104B4" w:rsidRDefault="00884036" w:rsidP="00741A52">
            <w:pPr>
              <w:jc w:val="right"/>
              <w:rPr>
                <w:color w:val="000000"/>
                <w:sz w:val="18"/>
                <w:szCs w:val="18"/>
                <w:lang w:val="en-CA"/>
              </w:rPr>
            </w:pPr>
            <w:r w:rsidRPr="00D104B4">
              <w:rPr>
                <w:sz w:val="18"/>
                <w:szCs w:val="18"/>
                <w:lang w:val="en-CA"/>
              </w:rPr>
              <w:t xml:space="preserve"> </w:t>
            </w:r>
            <w:r w:rsidR="00741A52">
              <w:rPr>
                <w:sz w:val="18"/>
                <w:szCs w:val="18"/>
                <w:lang w:val="en-CA"/>
              </w:rPr>
              <w:t>76</w:t>
            </w:r>
            <w:r w:rsidR="00741A52" w:rsidRPr="00741A52">
              <w:rPr>
                <w:sz w:val="18"/>
                <w:szCs w:val="18"/>
                <w:vertAlign w:val="superscript"/>
                <w:lang w:val="en-CA"/>
              </w:rPr>
              <w:t>b</w:t>
            </w:r>
            <w:r w:rsidRPr="00D104B4">
              <w:rPr>
                <w:sz w:val="18"/>
                <w:szCs w:val="18"/>
                <w:lang w:val="en-CA"/>
              </w:rPr>
              <w:t xml:space="preserve">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E4CD3B5" w14:textId="01625958" w:rsidR="00884036" w:rsidRPr="00D104B4" w:rsidRDefault="00884036" w:rsidP="00741A52">
            <w:pPr>
              <w:jc w:val="right"/>
              <w:rPr>
                <w:color w:val="000000"/>
                <w:sz w:val="18"/>
                <w:szCs w:val="18"/>
                <w:lang w:val="en-CA"/>
              </w:rPr>
            </w:pPr>
            <w:r w:rsidRPr="00D104B4">
              <w:rPr>
                <w:sz w:val="18"/>
                <w:szCs w:val="18"/>
                <w:lang w:val="en-CA"/>
              </w:rPr>
              <w:t xml:space="preserve"> </w:t>
            </w:r>
            <w:r w:rsidR="00741A52">
              <w:rPr>
                <w:sz w:val="18"/>
                <w:szCs w:val="18"/>
                <w:lang w:val="en-CA"/>
              </w:rPr>
              <w:t>81</w:t>
            </w:r>
            <w:r w:rsidR="00741A52" w:rsidRPr="00741A52">
              <w:rPr>
                <w:sz w:val="18"/>
                <w:szCs w:val="18"/>
                <w:vertAlign w:val="superscript"/>
                <w:lang w:val="en-CA"/>
              </w:rPr>
              <w:t>b</w:t>
            </w:r>
            <w:r w:rsidRPr="00D104B4">
              <w:rPr>
                <w:sz w:val="18"/>
                <w:szCs w:val="18"/>
                <w:lang w:val="en-CA"/>
              </w:rPr>
              <w:t xml:space="preserve"> </w:t>
            </w:r>
          </w:p>
        </w:tc>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3DB75543" w14:textId="76163A02" w:rsidR="00884036" w:rsidRPr="00D104B4" w:rsidRDefault="00884036" w:rsidP="00884036">
            <w:pPr>
              <w:jc w:val="right"/>
              <w:rPr>
                <w:color w:val="000000"/>
                <w:sz w:val="18"/>
                <w:szCs w:val="18"/>
                <w:lang w:val="en-CA"/>
              </w:rPr>
            </w:pPr>
            <w:r w:rsidRPr="00D104B4">
              <w:rPr>
                <w:sz w:val="18"/>
                <w:szCs w:val="18"/>
                <w:lang w:val="en-CA"/>
              </w:rPr>
              <w:t xml:space="preserve"> 58 </w:t>
            </w:r>
          </w:p>
        </w:tc>
        <w:tc>
          <w:tcPr>
            <w:tcW w:w="560" w:type="pct"/>
            <w:tcBorders>
              <w:top w:val="nil"/>
              <w:left w:val="nil"/>
              <w:bottom w:val="single" w:sz="4" w:space="0" w:color="auto"/>
              <w:right w:val="single" w:sz="4" w:space="0" w:color="auto"/>
            </w:tcBorders>
            <w:shd w:val="clear" w:color="auto" w:fill="auto"/>
            <w:noWrap/>
            <w:hideMark/>
          </w:tcPr>
          <w:p w14:paraId="3D4ED2F7" w14:textId="5C9BC857" w:rsidR="00884036" w:rsidRPr="00D104B4" w:rsidRDefault="00884036" w:rsidP="00B53BEB">
            <w:pPr>
              <w:jc w:val="right"/>
              <w:rPr>
                <w:color w:val="000000"/>
                <w:sz w:val="18"/>
                <w:szCs w:val="18"/>
                <w:lang w:val="en-CA"/>
              </w:rPr>
            </w:pPr>
            <w:r w:rsidRPr="00D104B4">
              <w:rPr>
                <w:sz w:val="18"/>
                <w:szCs w:val="18"/>
                <w:lang w:val="en-CA"/>
              </w:rPr>
              <w:t xml:space="preserve"> 6</w:t>
            </w:r>
            <w:r w:rsidR="00741A52">
              <w:rPr>
                <w:sz w:val="18"/>
                <w:szCs w:val="18"/>
                <w:lang w:val="en-CA"/>
              </w:rPr>
              <w:t>1</w:t>
            </w:r>
            <w:r w:rsidRPr="00D104B4">
              <w:rPr>
                <w:sz w:val="18"/>
                <w:szCs w:val="18"/>
                <w:lang w:val="en-CA"/>
              </w:rPr>
              <w:t xml:space="preserve"> </w:t>
            </w:r>
          </w:p>
        </w:tc>
      </w:tr>
      <w:tr w:rsidR="00884036" w:rsidRPr="00D104B4" w14:paraId="421CE39D" w14:textId="77777777" w:rsidTr="002F3169">
        <w:trPr>
          <w:trHeight w:val="53"/>
        </w:trPr>
        <w:tc>
          <w:tcPr>
            <w:tcW w:w="1244" w:type="pct"/>
            <w:tcBorders>
              <w:top w:val="nil"/>
              <w:left w:val="single" w:sz="4" w:space="0" w:color="auto"/>
              <w:bottom w:val="single" w:sz="4" w:space="0" w:color="auto"/>
              <w:right w:val="single" w:sz="4" w:space="0" w:color="auto"/>
            </w:tcBorders>
            <w:shd w:val="clear" w:color="auto" w:fill="auto"/>
            <w:noWrap/>
            <w:hideMark/>
          </w:tcPr>
          <w:p w14:paraId="662E6FDF" w14:textId="77777777" w:rsidR="00884036" w:rsidRPr="00D104B4" w:rsidRDefault="00884036" w:rsidP="00884036">
            <w:pPr>
              <w:jc w:val="left"/>
              <w:rPr>
                <w:color w:val="000000"/>
                <w:sz w:val="18"/>
                <w:szCs w:val="18"/>
                <w:lang w:val="en-CA" w:eastAsia="zh-CN"/>
              </w:rPr>
            </w:pPr>
            <w:r w:rsidRPr="00D104B4">
              <w:rPr>
                <w:color w:val="000000"/>
                <w:sz w:val="18"/>
                <w:szCs w:val="18"/>
                <w:lang w:val="en-CA" w:eastAsia="zh-CN"/>
              </w:rPr>
              <w:t>China</w:t>
            </w:r>
          </w:p>
        </w:tc>
        <w:tc>
          <w:tcPr>
            <w:tcW w:w="398" w:type="pct"/>
            <w:tcBorders>
              <w:top w:val="nil"/>
              <w:left w:val="nil"/>
              <w:bottom w:val="single" w:sz="4" w:space="0" w:color="auto"/>
              <w:right w:val="single" w:sz="4" w:space="0" w:color="auto"/>
            </w:tcBorders>
            <w:shd w:val="clear" w:color="auto" w:fill="auto"/>
            <w:noWrap/>
            <w:hideMark/>
          </w:tcPr>
          <w:p w14:paraId="1E86AACF" w14:textId="77777777" w:rsidR="00884036" w:rsidRPr="00D104B4" w:rsidRDefault="00884036" w:rsidP="00884036">
            <w:pPr>
              <w:jc w:val="right"/>
              <w:rPr>
                <w:color w:val="000000"/>
                <w:sz w:val="18"/>
                <w:szCs w:val="18"/>
                <w:lang w:val="en-CA" w:eastAsia="zh-CN"/>
              </w:rPr>
            </w:pPr>
            <w:r w:rsidRPr="00D104B4">
              <w:rPr>
                <w:color w:val="000000"/>
                <w:sz w:val="18"/>
                <w:szCs w:val="18"/>
                <w:lang w:val="en-CA" w:eastAsia="zh-CN"/>
              </w:rPr>
              <w:t>32</w:t>
            </w:r>
          </w:p>
        </w:tc>
        <w:tc>
          <w:tcPr>
            <w:tcW w:w="552" w:type="pct"/>
            <w:tcBorders>
              <w:top w:val="nil"/>
              <w:left w:val="nil"/>
              <w:bottom w:val="single" w:sz="4" w:space="0" w:color="auto"/>
              <w:right w:val="single" w:sz="4" w:space="0" w:color="auto"/>
            </w:tcBorders>
            <w:shd w:val="clear" w:color="auto" w:fill="auto"/>
            <w:noWrap/>
            <w:hideMark/>
          </w:tcPr>
          <w:p w14:paraId="2F539726" w14:textId="3DD4409A" w:rsidR="00884036" w:rsidRPr="00D104B4" w:rsidRDefault="00884036" w:rsidP="00884036">
            <w:pPr>
              <w:ind w:right="-17"/>
              <w:jc w:val="right"/>
              <w:rPr>
                <w:color w:val="000000"/>
                <w:sz w:val="18"/>
                <w:szCs w:val="18"/>
                <w:lang w:val="en-CA" w:eastAsia="zh-CN"/>
              </w:rPr>
            </w:pPr>
            <w:r w:rsidRPr="00D104B4">
              <w:rPr>
                <w:color w:val="000000"/>
                <w:sz w:val="18"/>
                <w:szCs w:val="18"/>
                <w:lang w:val="en-CA" w:eastAsia="zh-CN"/>
              </w:rPr>
              <w:t>2.44</w:t>
            </w:r>
            <w:r w:rsidR="00D56CD3">
              <w:rPr>
                <w:color w:val="000000"/>
                <w:sz w:val="18"/>
                <w:szCs w:val="18"/>
                <w:vertAlign w:val="superscript"/>
                <w:lang w:val="en-CA" w:eastAsia="zh-CN"/>
              </w:rPr>
              <w:t>c</w:t>
            </w:r>
            <w:r w:rsidRPr="00D104B4">
              <w:rPr>
                <w:color w:val="000000"/>
                <w:sz w:val="18"/>
                <w:szCs w:val="18"/>
                <w:lang w:val="en-CA" w:eastAsia="zh-CN"/>
              </w:rPr>
              <w:t>, 2.36</w:t>
            </w:r>
            <w:r w:rsidR="00D56CD3">
              <w:rPr>
                <w:color w:val="000000"/>
                <w:sz w:val="18"/>
                <w:szCs w:val="18"/>
                <w:vertAlign w:val="superscript"/>
                <w:lang w:val="en-CA" w:eastAsia="zh-CN"/>
              </w:rPr>
              <w:t>d</w:t>
            </w:r>
          </w:p>
        </w:tc>
        <w:tc>
          <w:tcPr>
            <w:tcW w:w="561" w:type="pct"/>
            <w:tcBorders>
              <w:top w:val="single" w:sz="4" w:space="0" w:color="auto"/>
              <w:left w:val="nil"/>
              <w:bottom w:val="single" w:sz="4" w:space="0" w:color="auto"/>
              <w:right w:val="single" w:sz="4" w:space="0" w:color="auto"/>
            </w:tcBorders>
            <w:shd w:val="clear" w:color="auto" w:fill="auto"/>
          </w:tcPr>
          <w:p w14:paraId="56C8B821" w14:textId="3624A725" w:rsidR="00884036" w:rsidRPr="00D104B4" w:rsidRDefault="00884036" w:rsidP="00884036">
            <w:pPr>
              <w:jc w:val="right"/>
              <w:rPr>
                <w:color w:val="000000"/>
                <w:sz w:val="18"/>
                <w:szCs w:val="18"/>
                <w:lang w:val="en-CA"/>
              </w:rPr>
            </w:pPr>
            <w:r w:rsidRPr="00D104B4">
              <w:rPr>
                <w:sz w:val="18"/>
                <w:szCs w:val="18"/>
                <w:lang w:val="en-CA"/>
              </w:rPr>
              <w:t xml:space="preserve"> 17,129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447F4F4" w14:textId="550D6064" w:rsidR="00884036" w:rsidRPr="00D104B4" w:rsidRDefault="00884036" w:rsidP="00884036">
            <w:pPr>
              <w:jc w:val="right"/>
              <w:rPr>
                <w:color w:val="000000"/>
                <w:sz w:val="18"/>
                <w:szCs w:val="18"/>
                <w:lang w:val="en-CA"/>
              </w:rPr>
            </w:pPr>
            <w:r w:rsidRPr="00D104B4">
              <w:rPr>
                <w:sz w:val="18"/>
                <w:szCs w:val="18"/>
                <w:lang w:val="en-CA"/>
              </w:rPr>
              <w:t xml:space="preserve"> 17,351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78D19F3" w14:textId="5DB8FCC4" w:rsidR="00884036" w:rsidRPr="00D104B4" w:rsidRDefault="00884036" w:rsidP="00884036">
            <w:pPr>
              <w:jc w:val="right"/>
              <w:rPr>
                <w:color w:val="000000"/>
                <w:sz w:val="18"/>
                <w:szCs w:val="18"/>
                <w:lang w:val="en-CA"/>
              </w:rPr>
            </w:pPr>
            <w:r w:rsidRPr="00D104B4">
              <w:rPr>
                <w:sz w:val="18"/>
                <w:szCs w:val="18"/>
                <w:lang w:val="en-CA"/>
              </w:rPr>
              <w:t xml:space="preserve"> 13,604 </w:t>
            </w:r>
          </w:p>
        </w:tc>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1883D608" w14:textId="6B783968" w:rsidR="00884036" w:rsidRPr="00D104B4" w:rsidRDefault="00884036" w:rsidP="00884036">
            <w:pPr>
              <w:jc w:val="right"/>
              <w:rPr>
                <w:color w:val="000000"/>
                <w:sz w:val="18"/>
                <w:szCs w:val="18"/>
                <w:lang w:val="en-CA"/>
              </w:rPr>
            </w:pPr>
            <w:r w:rsidRPr="00D104B4">
              <w:rPr>
                <w:sz w:val="18"/>
                <w:szCs w:val="18"/>
                <w:lang w:val="en-CA"/>
              </w:rPr>
              <w:t xml:space="preserve"> 13,949 </w:t>
            </w:r>
          </w:p>
        </w:tc>
        <w:tc>
          <w:tcPr>
            <w:tcW w:w="560" w:type="pct"/>
            <w:tcBorders>
              <w:top w:val="nil"/>
              <w:left w:val="nil"/>
              <w:bottom w:val="single" w:sz="4" w:space="0" w:color="auto"/>
              <w:right w:val="single" w:sz="4" w:space="0" w:color="auto"/>
            </w:tcBorders>
            <w:shd w:val="clear" w:color="auto" w:fill="auto"/>
            <w:noWrap/>
            <w:hideMark/>
          </w:tcPr>
          <w:p w14:paraId="14B6C128" w14:textId="5938A4D1" w:rsidR="00884036" w:rsidRPr="00D104B4" w:rsidRDefault="00884036" w:rsidP="00884036">
            <w:pPr>
              <w:jc w:val="right"/>
              <w:rPr>
                <w:color w:val="000000"/>
                <w:sz w:val="18"/>
                <w:szCs w:val="18"/>
                <w:lang w:val="en-CA"/>
              </w:rPr>
            </w:pPr>
            <w:r w:rsidRPr="00D104B4">
              <w:rPr>
                <w:sz w:val="18"/>
                <w:szCs w:val="18"/>
                <w:lang w:val="en-CA"/>
              </w:rPr>
              <w:t xml:space="preserve"> 13,966 </w:t>
            </w:r>
          </w:p>
        </w:tc>
      </w:tr>
      <w:tr w:rsidR="00884036" w:rsidRPr="00D104B4" w14:paraId="38F05674" w14:textId="77777777" w:rsidTr="002F3169">
        <w:trPr>
          <w:trHeight w:val="53"/>
        </w:trPr>
        <w:tc>
          <w:tcPr>
            <w:tcW w:w="1244" w:type="pct"/>
            <w:tcBorders>
              <w:top w:val="nil"/>
              <w:left w:val="single" w:sz="4" w:space="0" w:color="auto"/>
              <w:bottom w:val="single" w:sz="4" w:space="0" w:color="auto"/>
              <w:right w:val="single" w:sz="4" w:space="0" w:color="auto"/>
            </w:tcBorders>
            <w:shd w:val="clear" w:color="auto" w:fill="auto"/>
            <w:noWrap/>
            <w:hideMark/>
          </w:tcPr>
          <w:p w14:paraId="6954CDD5" w14:textId="77777777" w:rsidR="00884036" w:rsidRPr="00D104B4" w:rsidRDefault="00884036" w:rsidP="00884036">
            <w:pPr>
              <w:jc w:val="left"/>
              <w:rPr>
                <w:color w:val="000000"/>
                <w:sz w:val="18"/>
                <w:szCs w:val="18"/>
                <w:lang w:val="en-CA" w:eastAsia="zh-CN"/>
              </w:rPr>
            </w:pPr>
            <w:r w:rsidRPr="00D104B4">
              <w:rPr>
                <w:color w:val="000000"/>
                <w:sz w:val="18"/>
                <w:szCs w:val="18"/>
                <w:lang w:val="en-CA" w:eastAsia="zh-CN"/>
              </w:rPr>
              <w:t>Democratic People's Republic of Korea (the)</w:t>
            </w:r>
          </w:p>
        </w:tc>
        <w:tc>
          <w:tcPr>
            <w:tcW w:w="398" w:type="pct"/>
            <w:tcBorders>
              <w:top w:val="nil"/>
              <w:left w:val="nil"/>
              <w:bottom w:val="single" w:sz="4" w:space="0" w:color="auto"/>
              <w:right w:val="single" w:sz="4" w:space="0" w:color="auto"/>
            </w:tcBorders>
            <w:shd w:val="clear" w:color="auto" w:fill="auto"/>
            <w:noWrap/>
            <w:hideMark/>
          </w:tcPr>
          <w:p w14:paraId="75694F60" w14:textId="77777777" w:rsidR="00884036" w:rsidRPr="00D104B4" w:rsidRDefault="00884036" w:rsidP="00884036">
            <w:pPr>
              <w:jc w:val="right"/>
              <w:rPr>
                <w:color w:val="000000"/>
                <w:sz w:val="18"/>
                <w:szCs w:val="18"/>
                <w:lang w:val="en-CA" w:eastAsia="zh-CN"/>
              </w:rPr>
            </w:pPr>
            <w:r w:rsidRPr="00D104B4">
              <w:rPr>
                <w:color w:val="000000"/>
                <w:sz w:val="18"/>
                <w:szCs w:val="18"/>
                <w:lang w:val="en-CA" w:eastAsia="zh-CN"/>
              </w:rPr>
              <w:t>1</w:t>
            </w:r>
          </w:p>
        </w:tc>
        <w:tc>
          <w:tcPr>
            <w:tcW w:w="552" w:type="pct"/>
            <w:tcBorders>
              <w:top w:val="nil"/>
              <w:left w:val="nil"/>
              <w:bottom w:val="single" w:sz="4" w:space="0" w:color="auto"/>
              <w:right w:val="single" w:sz="4" w:space="0" w:color="auto"/>
            </w:tcBorders>
            <w:shd w:val="clear" w:color="auto" w:fill="auto"/>
            <w:noWrap/>
            <w:hideMark/>
          </w:tcPr>
          <w:p w14:paraId="6416FE66" w14:textId="2BC1B256" w:rsidR="00884036" w:rsidRPr="00D104B4" w:rsidRDefault="00884036" w:rsidP="00884036">
            <w:pPr>
              <w:jc w:val="right"/>
              <w:rPr>
                <w:color w:val="000000"/>
                <w:sz w:val="18"/>
                <w:szCs w:val="18"/>
                <w:lang w:val="en-CA" w:eastAsia="zh-CN"/>
              </w:rPr>
            </w:pPr>
            <w:r w:rsidRPr="00D104B4">
              <w:rPr>
                <w:color w:val="000000"/>
                <w:sz w:val="18"/>
                <w:szCs w:val="18"/>
                <w:lang w:val="en-CA" w:eastAsia="zh-CN"/>
              </w:rPr>
              <w:t>1.49</w:t>
            </w:r>
          </w:p>
        </w:tc>
        <w:tc>
          <w:tcPr>
            <w:tcW w:w="561" w:type="pct"/>
            <w:tcBorders>
              <w:top w:val="single" w:sz="4" w:space="0" w:color="auto"/>
              <w:left w:val="nil"/>
              <w:bottom w:val="single" w:sz="4" w:space="0" w:color="auto"/>
              <w:right w:val="single" w:sz="4" w:space="0" w:color="auto"/>
            </w:tcBorders>
            <w:shd w:val="clear" w:color="auto" w:fill="auto"/>
          </w:tcPr>
          <w:p w14:paraId="336908D5" w14:textId="430D94E9" w:rsidR="00884036" w:rsidRPr="00D104B4" w:rsidRDefault="00884036" w:rsidP="00884036">
            <w:pPr>
              <w:jc w:val="right"/>
              <w:rPr>
                <w:color w:val="000000"/>
                <w:sz w:val="18"/>
                <w:szCs w:val="18"/>
                <w:lang w:val="en-CA"/>
              </w:rPr>
            </w:pPr>
            <w:r w:rsidRPr="00D104B4">
              <w:rPr>
                <w:sz w:val="18"/>
                <w:szCs w:val="18"/>
                <w:lang w:val="en-CA"/>
              </w:rPr>
              <w:t xml:space="preserve"> 11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42003B9" w14:textId="29A4588D" w:rsidR="00884036" w:rsidRPr="00D104B4" w:rsidRDefault="00884036" w:rsidP="00884036">
            <w:pPr>
              <w:jc w:val="right"/>
              <w:rPr>
                <w:color w:val="000000"/>
                <w:sz w:val="18"/>
                <w:szCs w:val="18"/>
                <w:lang w:val="en-CA"/>
              </w:rPr>
            </w:pPr>
            <w:r w:rsidRPr="00D104B4">
              <w:rPr>
                <w:sz w:val="18"/>
                <w:szCs w:val="18"/>
                <w:lang w:val="en-CA"/>
              </w:rPr>
              <w:t xml:space="preserve"> 8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5B3B8B06" w14:textId="2BD0B65B" w:rsidR="00884036" w:rsidRPr="00D104B4" w:rsidRDefault="00884036" w:rsidP="00884036">
            <w:pPr>
              <w:jc w:val="right"/>
              <w:rPr>
                <w:color w:val="000000"/>
                <w:sz w:val="18"/>
                <w:szCs w:val="18"/>
                <w:lang w:val="en-CA"/>
              </w:rPr>
            </w:pPr>
            <w:r w:rsidRPr="00D104B4">
              <w:rPr>
                <w:sz w:val="18"/>
                <w:szCs w:val="18"/>
                <w:lang w:val="en-CA"/>
              </w:rPr>
              <w:t xml:space="preserve"> 7 </w:t>
            </w:r>
          </w:p>
        </w:tc>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526FB3CE" w14:textId="25F82352" w:rsidR="00884036" w:rsidRPr="00D104B4" w:rsidRDefault="00884036" w:rsidP="00884036">
            <w:pPr>
              <w:jc w:val="right"/>
              <w:rPr>
                <w:color w:val="000000"/>
                <w:sz w:val="18"/>
                <w:szCs w:val="18"/>
                <w:lang w:val="en-CA"/>
              </w:rPr>
            </w:pPr>
            <w:r w:rsidRPr="00D104B4">
              <w:rPr>
                <w:sz w:val="18"/>
                <w:szCs w:val="18"/>
                <w:lang w:val="en-CA"/>
              </w:rPr>
              <w:t xml:space="preserve"> 7 </w:t>
            </w:r>
          </w:p>
        </w:tc>
        <w:tc>
          <w:tcPr>
            <w:tcW w:w="560" w:type="pct"/>
            <w:tcBorders>
              <w:top w:val="nil"/>
              <w:left w:val="nil"/>
              <w:bottom w:val="single" w:sz="4" w:space="0" w:color="auto"/>
              <w:right w:val="single" w:sz="4" w:space="0" w:color="auto"/>
            </w:tcBorders>
            <w:shd w:val="clear" w:color="auto" w:fill="auto"/>
            <w:noWrap/>
            <w:hideMark/>
          </w:tcPr>
          <w:p w14:paraId="2251D8A1" w14:textId="490CDEBC" w:rsidR="00884036" w:rsidRPr="00D104B4" w:rsidRDefault="00884036" w:rsidP="00884036">
            <w:pPr>
              <w:jc w:val="right"/>
              <w:rPr>
                <w:color w:val="000000"/>
                <w:sz w:val="18"/>
                <w:szCs w:val="18"/>
                <w:lang w:val="en-CA"/>
              </w:rPr>
            </w:pPr>
            <w:r w:rsidRPr="00D104B4">
              <w:rPr>
                <w:sz w:val="18"/>
                <w:szCs w:val="18"/>
                <w:lang w:val="en-CA"/>
              </w:rPr>
              <w:t xml:space="preserve"> 7 </w:t>
            </w:r>
          </w:p>
        </w:tc>
      </w:tr>
      <w:tr w:rsidR="00884036" w:rsidRPr="00D104B4" w14:paraId="7BB3A6FD" w14:textId="77777777" w:rsidTr="002F3169">
        <w:trPr>
          <w:trHeight w:val="144"/>
        </w:trPr>
        <w:tc>
          <w:tcPr>
            <w:tcW w:w="1244" w:type="pct"/>
            <w:tcBorders>
              <w:top w:val="nil"/>
              <w:left w:val="single" w:sz="4" w:space="0" w:color="auto"/>
              <w:bottom w:val="single" w:sz="4" w:space="0" w:color="auto"/>
              <w:right w:val="single" w:sz="4" w:space="0" w:color="auto"/>
            </w:tcBorders>
            <w:shd w:val="clear" w:color="auto" w:fill="auto"/>
            <w:noWrap/>
            <w:hideMark/>
          </w:tcPr>
          <w:p w14:paraId="7731824B" w14:textId="77777777" w:rsidR="00884036" w:rsidRPr="00D104B4" w:rsidRDefault="00884036" w:rsidP="00884036">
            <w:pPr>
              <w:jc w:val="left"/>
              <w:rPr>
                <w:color w:val="000000"/>
                <w:sz w:val="18"/>
                <w:szCs w:val="18"/>
                <w:lang w:val="en-CA" w:eastAsia="zh-CN"/>
              </w:rPr>
            </w:pPr>
            <w:r w:rsidRPr="00D104B4">
              <w:rPr>
                <w:color w:val="000000"/>
                <w:sz w:val="18"/>
                <w:szCs w:val="18"/>
                <w:lang w:val="en-CA" w:eastAsia="zh-CN"/>
              </w:rPr>
              <w:t>India</w:t>
            </w:r>
          </w:p>
        </w:tc>
        <w:tc>
          <w:tcPr>
            <w:tcW w:w="398" w:type="pct"/>
            <w:tcBorders>
              <w:top w:val="nil"/>
              <w:left w:val="nil"/>
              <w:bottom w:val="single" w:sz="4" w:space="0" w:color="auto"/>
              <w:right w:val="single" w:sz="4" w:space="0" w:color="auto"/>
            </w:tcBorders>
            <w:shd w:val="clear" w:color="auto" w:fill="auto"/>
            <w:noWrap/>
            <w:hideMark/>
          </w:tcPr>
          <w:p w14:paraId="41607580" w14:textId="5638303B" w:rsidR="00884036" w:rsidRPr="00D104B4" w:rsidRDefault="00884036" w:rsidP="00884036">
            <w:pPr>
              <w:jc w:val="right"/>
              <w:rPr>
                <w:color w:val="000000"/>
                <w:sz w:val="18"/>
                <w:szCs w:val="18"/>
                <w:lang w:val="en-CA" w:eastAsia="zh-CN"/>
              </w:rPr>
            </w:pPr>
            <w:r w:rsidRPr="00D104B4">
              <w:rPr>
                <w:color w:val="000000"/>
                <w:sz w:val="18"/>
                <w:szCs w:val="18"/>
                <w:lang w:val="en-CA" w:eastAsia="zh-CN"/>
              </w:rPr>
              <w:t>6</w:t>
            </w:r>
          </w:p>
        </w:tc>
        <w:tc>
          <w:tcPr>
            <w:tcW w:w="552" w:type="pct"/>
            <w:tcBorders>
              <w:top w:val="nil"/>
              <w:left w:val="nil"/>
              <w:bottom w:val="single" w:sz="4" w:space="0" w:color="auto"/>
              <w:right w:val="single" w:sz="4" w:space="0" w:color="auto"/>
            </w:tcBorders>
            <w:shd w:val="clear" w:color="auto" w:fill="auto"/>
            <w:noWrap/>
            <w:hideMark/>
          </w:tcPr>
          <w:p w14:paraId="2C888BE3" w14:textId="0D7523D7" w:rsidR="00884036" w:rsidRPr="00D104B4" w:rsidRDefault="00884036" w:rsidP="00884036">
            <w:pPr>
              <w:jc w:val="right"/>
              <w:rPr>
                <w:color w:val="000000"/>
                <w:sz w:val="18"/>
                <w:szCs w:val="18"/>
                <w:lang w:val="en-CA" w:eastAsia="zh-CN"/>
              </w:rPr>
            </w:pPr>
            <w:r w:rsidRPr="00D104B4">
              <w:rPr>
                <w:color w:val="000000"/>
                <w:sz w:val="18"/>
                <w:szCs w:val="18"/>
                <w:lang w:val="en-CA" w:eastAsia="zh-CN"/>
              </w:rPr>
              <w:t>2.94</w:t>
            </w:r>
          </w:p>
        </w:tc>
        <w:tc>
          <w:tcPr>
            <w:tcW w:w="561" w:type="pct"/>
            <w:tcBorders>
              <w:top w:val="single" w:sz="4" w:space="0" w:color="auto"/>
              <w:left w:val="nil"/>
              <w:bottom w:val="single" w:sz="4" w:space="0" w:color="auto"/>
              <w:right w:val="single" w:sz="4" w:space="0" w:color="auto"/>
            </w:tcBorders>
            <w:shd w:val="clear" w:color="auto" w:fill="auto"/>
          </w:tcPr>
          <w:p w14:paraId="7C5E3866" w14:textId="0F924D39" w:rsidR="00884036" w:rsidRPr="00D104B4" w:rsidRDefault="00884036" w:rsidP="00884036">
            <w:pPr>
              <w:jc w:val="right"/>
              <w:rPr>
                <w:color w:val="000000"/>
                <w:sz w:val="18"/>
                <w:szCs w:val="18"/>
                <w:lang w:val="en-CA"/>
              </w:rPr>
            </w:pPr>
            <w:r w:rsidRPr="00D104B4">
              <w:rPr>
                <w:sz w:val="18"/>
                <w:szCs w:val="18"/>
                <w:lang w:val="en-CA"/>
              </w:rPr>
              <w:t xml:space="preserve"> 1,196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94CAD90" w14:textId="49497126" w:rsidR="00884036" w:rsidRPr="00D104B4" w:rsidRDefault="00884036" w:rsidP="00884036">
            <w:pPr>
              <w:jc w:val="right"/>
              <w:rPr>
                <w:color w:val="000000"/>
                <w:sz w:val="18"/>
                <w:szCs w:val="18"/>
                <w:lang w:val="en-CA"/>
              </w:rPr>
            </w:pPr>
            <w:r w:rsidRPr="00D104B4">
              <w:rPr>
                <w:sz w:val="18"/>
                <w:szCs w:val="18"/>
                <w:lang w:val="en-CA"/>
              </w:rPr>
              <w:t xml:space="preserve"> 1,616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DAB39E4" w14:textId="468BE1BB" w:rsidR="00884036" w:rsidRPr="00D104B4" w:rsidRDefault="00884036" w:rsidP="00884036">
            <w:pPr>
              <w:jc w:val="right"/>
              <w:rPr>
                <w:color w:val="000000"/>
                <w:sz w:val="18"/>
                <w:szCs w:val="18"/>
                <w:lang w:val="en-CA"/>
              </w:rPr>
            </w:pPr>
            <w:r w:rsidRPr="00D104B4">
              <w:rPr>
                <w:sz w:val="18"/>
                <w:szCs w:val="18"/>
                <w:lang w:val="en-CA"/>
              </w:rPr>
              <w:t xml:space="preserve"> 1,568 </w:t>
            </w:r>
          </w:p>
        </w:tc>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16FB8932" w14:textId="112833F3" w:rsidR="00884036" w:rsidRPr="00D104B4" w:rsidRDefault="00884036" w:rsidP="00884036">
            <w:pPr>
              <w:jc w:val="right"/>
              <w:rPr>
                <w:color w:val="000000"/>
                <w:sz w:val="18"/>
                <w:szCs w:val="18"/>
                <w:lang w:val="en-CA"/>
              </w:rPr>
            </w:pPr>
            <w:r w:rsidRPr="00D104B4">
              <w:rPr>
                <w:sz w:val="18"/>
                <w:szCs w:val="18"/>
                <w:lang w:val="en-CA"/>
              </w:rPr>
              <w:t xml:space="preserve"> 1,675 </w:t>
            </w:r>
          </w:p>
        </w:tc>
        <w:tc>
          <w:tcPr>
            <w:tcW w:w="560" w:type="pct"/>
            <w:tcBorders>
              <w:top w:val="nil"/>
              <w:left w:val="nil"/>
              <w:bottom w:val="single" w:sz="4" w:space="0" w:color="auto"/>
              <w:right w:val="single" w:sz="4" w:space="0" w:color="auto"/>
            </w:tcBorders>
            <w:shd w:val="clear" w:color="auto" w:fill="auto"/>
            <w:noWrap/>
            <w:hideMark/>
          </w:tcPr>
          <w:p w14:paraId="4ACB0A45" w14:textId="7CE4AAFC" w:rsidR="00884036" w:rsidRPr="00D104B4" w:rsidRDefault="00884036" w:rsidP="00884036">
            <w:pPr>
              <w:jc w:val="right"/>
              <w:rPr>
                <w:color w:val="000000"/>
                <w:sz w:val="18"/>
                <w:szCs w:val="18"/>
                <w:lang w:val="en-CA"/>
              </w:rPr>
            </w:pPr>
            <w:r w:rsidRPr="00D104B4">
              <w:rPr>
                <w:sz w:val="18"/>
                <w:szCs w:val="18"/>
                <w:lang w:val="en-CA"/>
              </w:rPr>
              <w:t xml:space="preserve"> 1,897 </w:t>
            </w:r>
          </w:p>
        </w:tc>
      </w:tr>
      <w:tr w:rsidR="00884036" w:rsidRPr="00D104B4" w14:paraId="7416B804" w14:textId="77777777" w:rsidTr="002F3169">
        <w:trPr>
          <w:trHeight w:val="53"/>
        </w:trPr>
        <w:tc>
          <w:tcPr>
            <w:tcW w:w="1244" w:type="pct"/>
            <w:tcBorders>
              <w:top w:val="nil"/>
              <w:left w:val="single" w:sz="4" w:space="0" w:color="auto"/>
              <w:bottom w:val="single" w:sz="4" w:space="0" w:color="auto"/>
              <w:right w:val="single" w:sz="4" w:space="0" w:color="auto"/>
            </w:tcBorders>
            <w:shd w:val="clear" w:color="auto" w:fill="auto"/>
            <w:noWrap/>
            <w:hideMark/>
          </w:tcPr>
          <w:p w14:paraId="361A41EE" w14:textId="77777777" w:rsidR="00884036" w:rsidRPr="00D104B4" w:rsidRDefault="00884036" w:rsidP="00884036">
            <w:pPr>
              <w:jc w:val="left"/>
              <w:rPr>
                <w:color w:val="000000"/>
                <w:sz w:val="18"/>
                <w:szCs w:val="18"/>
                <w:lang w:val="en-CA" w:eastAsia="zh-CN"/>
              </w:rPr>
            </w:pPr>
            <w:r w:rsidRPr="00D104B4">
              <w:rPr>
                <w:color w:val="000000"/>
                <w:sz w:val="18"/>
                <w:szCs w:val="18"/>
                <w:lang w:val="en-CA" w:eastAsia="zh-CN"/>
              </w:rPr>
              <w:t>Mexico</w:t>
            </w:r>
          </w:p>
        </w:tc>
        <w:tc>
          <w:tcPr>
            <w:tcW w:w="398" w:type="pct"/>
            <w:tcBorders>
              <w:top w:val="nil"/>
              <w:left w:val="nil"/>
              <w:bottom w:val="single" w:sz="4" w:space="0" w:color="auto"/>
              <w:right w:val="single" w:sz="4" w:space="0" w:color="auto"/>
            </w:tcBorders>
            <w:shd w:val="clear" w:color="auto" w:fill="auto"/>
            <w:noWrap/>
            <w:hideMark/>
          </w:tcPr>
          <w:p w14:paraId="2860116B" w14:textId="77777777" w:rsidR="00884036" w:rsidRPr="00D104B4" w:rsidRDefault="00884036" w:rsidP="00884036">
            <w:pPr>
              <w:jc w:val="right"/>
              <w:rPr>
                <w:color w:val="000000"/>
                <w:sz w:val="18"/>
                <w:szCs w:val="18"/>
                <w:lang w:val="en-CA" w:eastAsia="zh-CN"/>
              </w:rPr>
            </w:pPr>
            <w:r w:rsidRPr="00D104B4">
              <w:rPr>
                <w:color w:val="000000"/>
                <w:sz w:val="18"/>
                <w:szCs w:val="18"/>
                <w:lang w:val="en-CA" w:eastAsia="zh-CN"/>
              </w:rPr>
              <w:t>2</w:t>
            </w:r>
          </w:p>
        </w:tc>
        <w:tc>
          <w:tcPr>
            <w:tcW w:w="552" w:type="pct"/>
            <w:tcBorders>
              <w:top w:val="nil"/>
              <w:left w:val="nil"/>
              <w:bottom w:val="single" w:sz="4" w:space="0" w:color="auto"/>
              <w:right w:val="single" w:sz="4" w:space="0" w:color="auto"/>
            </w:tcBorders>
            <w:shd w:val="clear" w:color="auto" w:fill="auto"/>
            <w:noWrap/>
            <w:hideMark/>
          </w:tcPr>
          <w:p w14:paraId="0888F411" w14:textId="1C2D08E4" w:rsidR="00884036" w:rsidRPr="00D104B4" w:rsidRDefault="00884036" w:rsidP="00884036">
            <w:pPr>
              <w:jc w:val="right"/>
              <w:rPr>
                <w:color w:val="000000"/>
                <w:sz w:val="18"/>
                <w:szCs w:val="18"/>
                <w:lang w:val="en-CA" w:eastAsia="zh-CN"/>
              </w:rPr>
            </w:pPr>
            <w:r w:rsidRPr="00D104B4">
              <w:rPr>
                <w:color w:val="000000"/>
                <w:sz w:val="18"/>
                <w:szCs w:val="18"/>
                <w:lang w:val="en-CA" w:eastAsia="zh-CN"/>
              </w:rPr>
              <w:t>2.20</w:t>
            </w:r>
          </w:p>
        </w:tc>
        <w:tc>
          <w:tcPr>
            <w:tcW w:w="561" w:type="pct"/>
            <w:tcBorders>
              <w:top w:val="single" w:sz="4" w:space="0" w:color="auto"/>
              <w:left w:val="nil"/>
              <w:bottom w:val="single" w:sz="4" w:space="0" w:color="auto"/>
              <w:right w:val="single" w:sz="4" w:space="0" w:color="auto"/>
            </w:tcBorders>
            <w:shd w:val="clear" w:color="auto" w:fill="auto"/>
          </w:tcPr>
          <w:p w14:paraId="20DC1CE3" w14:textId="3B393846" w:rsidR="00884036" w:rsidRPr="00D104B4" w:rsidRDefault="00884036" w:rsidP="00884036">
            <w:pPr>
              <w:jc w:val="right"/>
              <w:rPr>
                <w:color w:val="000000"/>
                <w:sz w:val="18"/>
                <w:szCs w:val="18"/>
                <w:lang w:val="en-CA"/>
              </w:rPr>
            </w:pPr>
            <w:r w:rsidRPr="00D104B4">
              <w:rPr>
                <w:sz w:val="18"/>
                <w:szCs w:val="18"/>
                <w:lang w:val="en-CA"/>
              </w:rPr>
              <w:t xml:space="preserve"> 176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2F40FED9" w14:textId="7158E95F" w:rsidR="00884036" w:rsidRPr="00D104B4" w:rsidRDefault="00884036" w:rsidP="00884036">
            <w:pPr>
              <w:jc w:val="right"/>
              <w:rPr>
                <w:color w:val="000000"/>
                <w:sz w:val="18"/>
                <w:szCs w:val="18"/>
                <w:lang w:val="en-CA"/>
              </w:rPr>
            </w:pPr>
            <w:r w:rsidRPr="00D104B4">
              <w:rPr>
                <w:sz w:val="18"/>
                <w:szCs w:val="18"/>
                <w:lang w:val="en-CA"/>
              </w:rPr>
              <w:t xml:space="preserve"> 203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B7DA378" w14:textId="77420CD0" w:rsidR="00884036" w:rsidRPr="00D104B4" w:rsidRDefault="00884036" w:rsidP="00884036">
            <w:pPr>
              <w:jc w:val="right"/>
              <w:rPr>
                <w:color w:val="000000"/>
                <w:sz w:val="18"/>
                <w:szCs w:val="18"/>
                <w:lang w:val="en-CA"/>
              </w:rPr>
            </w:pPr>
            <w:r w:rsidRPr="00D104B4">
              <w:rPr>
                <w:sz w:val="18"/>
                <w:szCs w:val="18"/>
                <w:lang w:val="en-CA"/>
              </w:rPr>
              <w:t xml:space="preserve"> 101 </w:t>
            </w:r>
          </w:p>
        </w:tc>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4F231F55" w14:textId="610D4A6F" w:rsidR="00884036" w:rsidRPr="00D104B4" w:rsidRDefault="00884036" w:rsidP="00884036">
            <w:pPr>
              <w:jc w:val="right"/>
              <w:rPr>
                <w:color w:val="000000"/>
                <w:sz w:val="18"/>
                <w:szCs w:val="18"/>
                <w:lang w:val="en-CA"/>
              </w:rPr>
            </w:pPr>
            <w:r w:rsidRPr="00D104B4">
              <w:rPr>
                <w:sz w:val="18"/>
                <w:szCs w:val="18"/>
                <w:lang w:val="en-CA"/>
              </w:rPr>
              <w:t xml:space="preserve"> 105 </w:t>
            </w:r>
          </w:p>
        </w:tc>
        <w:tc>
          <w:tcPr>
            <w:tcW w:w="560" w:type="pct"/>
            <w:tcBorders>
              <w:top w:val="nil"/>
              <w:left w:val="nil"/>
              <w:bottom w:val="single" w:sz="4" w:space="0" w:color="auto"/>
              <w:right w:val="single" w:sz="4" w:space="0" w:color="auto"/>
            </w:tcBorders>
            <w:shd w:val="clear" w:color="auto" w:fill="auto"/>
            <w:noWrap/>
            <w:hideMark/>
          </w:tcPr>
          <w:p w14:paraId="1175ED21" w14:textId="0F6A559D" w:rsidR="00884036" w:rsidRPr="00D104B4" w:rsidRDefault="00884036" w:rsidP="00884036">
            <w:pPr>
              <w:jc w:val="right"/>
              <w:rPr>
                <w:color w:val="000000"/>
                <w:sz w:val="18"/>
                <w:szCs w:val="18"/>
                <w:lang w:val="en-CA"/>
              </w:rPr>
            </w:pPr>
            <w:r w:rsidRPr="00D104B4">
              <w:rPr>
                <w:sz w:val="18"/>
                <w:szCs w:val="18"/>
                <w:lang w:val="en-CA"/>
              </w:rPr>
              <w:t xml:space="preserve"> 131 </w:t>
            </w:r>
          </w:p>
        </w:tc>
      </w:tr>
      <w:tr w:rsidR="00884036" w:rsidRPr="00D104B4" w14:paraId="1236C2CE" w14:textId="77777777" w:rsidTr="002F3169">
        <w:trPr>
          <w:trHeight w:val="53"/>
        </w:trPr>
        <w:tc>
          <w:tcPr>
            <w:tcW w:w="1244" w:type="pct"/>
            <w:tcBorders>
              <w:top w:val="nil"/>
              <w:left w:val="single" w:sz="4" w:space="0" w:color="auto"/>
              <w:bottom w:val="single" w:sz="4" w:space="0" w:color="auto"/>
              <w:right w:val="single" w:sz="4" w:space="0" w:color="auto"/>
            </w:tcBorders>
            <w:shd w:val="clear" w:color="auto" w:fill="auto"/>
            <w:noWrap/>
            <w:hideMark/>
          </w:tcPr>
          <w:p w14:paraId="269E7807" w14:textId="6A499217" w:rsidR="00884036" w:rsidRPr="00D104B4" w:rsidRDefault="00884036" w:rsidP="00884036">
            <w:pPr>
              <w:jc w:val="left"/>
              <w:rPr>
                <w:color w:val="000000"/>
                <w:sz w:val="18"/>
                <w:szCs w:val="18"/>
                <w:lang w:val="en-CA" w:eastAsia="zh-CN"/>
              </w:rPr>
            </w:pPr>
            <w:r w:rsidRPr="00D104B4">
              <w:rPr>
                <w:color w:val="000000"/>
                <w:sz w:val="18"/>
                <w:szCs w:val="18"/>
                <w:lang w:val="en-CA" w:eastAsia="zh-CN"/>
              </w:rPr>
              <w:t>Venezuela (Bolivarian Republic of)</w:t>
            </w:r>
          </w:p>
        </w:tc>
        <w:tc>
          <w:tcPr>
            <w:tcW w:w="398" w:type="pct"/>
            <w:tcBorders>
              <w:top w:val="nil"/>
              <w:left w:val="nil"/>
              <w:bottom w:val="single" w:sz="4" w:space="0" w:color="auto"/>
              <w:right w:val="single" w:sz="4" w:space="0" w:color="auto"/>
            </w:tcBorders>
            <w:shd w:val="clear" w:color="auto" w:fill="auto"/>
            <w:noWrap/>
            <w:hideMark/>
          </w:tcPr>
          <w:p w14:paraId="286F60B6" w14:textId="77777777" w:rsidR="00884036" w:rsidRPr="00D104B4" w:rsidRDefault="00884036" w:rsidP="00884036">
            <w:pPr>
              <w:jc w:val="right"/>
              <w:rPr>
                <w:color w:val="000000"/>
                <w:sz w:val="18"/>
                <w:szCs w:val="18"/>
                <w:lang w:val="en-CA" w:eastAsia="zh-CN"/>
              </w:rPr>
            </w:pPr>
            <w:r w:rsidRPr="00D104B4">
              <w:rPr>
                <w:color w:val="000000"/>
                <w:sz w:val="18"/>
                <w:szCs w:val="18"/>
                <w:lang w:val="en-CA" w:eastAsia="zh-CN"/>
              </w:rPr>
              <w:t>1</w:t>
            </w:r>
          </w:p>
        </w:tc>
        <w:tc>
          <w:tcPr>
            <w:tcW w:w="552" w:type="pct"/>
            <w:tcBorders>
              <w:top w:val="nil"/>
              <w:left w:val="nil"/>
              <w:bottom w:val="single" w:sz="4" w:space="0" w:color="auto"/>
              <w:right w:val="single" w:sz="4" w:space="0" w:color="auto"/>
            </w:tcBorders>
            <w:shd w:val="clear" w:color="auto" w:fill="auto"/>
            <w:noWrap/>
            <w:hideMark/>
          </w:tcPr>
          <w:p w14:paraId="53DDFA7C" w14:textId="653AED5B" w:rsidR="00884036" w:rsidRPr="00D104B4" w:rsidRDefault="00884036" w:rsidP="00884036">
            <w:pPr>
              <w:jc w:val="right"/>
              <w:rPr>
                <w:color w:val="000000"/>
                <w:sz w:val="18"/>
                <w:szCs w:val="18"/>
                <w:lang w:val="en-CA" w:eastAsia="zh-CN"/>
              </w:rPr>
            </w:pPr>
            <w:r w:rsidRPr="00D104B4">
              <w:rPr>
                <w:color w:val="000000"/>
                <w:sz w:val="18"/>
                <w:szCs w:val="18"/>
                <w:lang w:val="en-CA" w:eastAsia="zh-CN"/>
              </w:rPr>
              <w:t>3.00</w:t>
            </w:r>
          </w:p>
        </w:tc>
        <w:tc>
          <w:tcPr>
            <w:tcW w:w="561" w:type="pct"/>
            <w:tcBorders>
              <w:top w:val="single" w:sz="4" w:space="0" w:color="auto"/>
              <w:left w:val="nil"/>
              <w:bottom w:val="single" w:sz="4" w:space="0" w:color="auto"/>
              <w:right w:val="single" w:sz="4" w:space="0" w:color="auto"/>
            </w:tcBorders>
            <w:shd w:val="clear" w:color="auto" w:fill="auto"/>
          </w:tcPr>
          <w:p w14:paraId="1CE839AE" w14:textId="5DB3274E" w:rsidR="00884036" w:rsidRPr="00D104B4" w:rsidRDefault="00884036" w:rsidP="00884036">
            <w:pPr>
              <w:jc w:val="right"/>
              <w:rPr>
                <w:color w:val="000000"/>
                <w:sz w:val="18"/>
                <w:szCs w:val="18"/>
                <w:lang w:val="en-CA"/>
              </w:rPr>
            </w:pPr>
            <w:r w:rsidRPr="00D104B4">
              <w:rPr>
                <w:sz w:val="18"/>
                <w:szCs w:val="18"/>
                <w:lang w:val="en-CA"/>
              </w:rPr>
              <w:t xml:space="preserve"> 66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51FB35D2" w14:textId="06F6C520" w:rsidR="00884036" w:rsidRPr="00D104B4" w:rsidRDefault="00884036" w:rsidP="00884036">
            <w:pPr>
              <w:jc w:val="right"/>
              <w:rPr>
                <w:color w:val="000000"/>
                <w:sz w:val="18"/>
                <w:szCs w:val="18"/>
                <w:lang w:val="en-CA"/>
              </w:rPr>
            </w:pPr>
            <w:r w:rsidRPr="00D104B4">
              <w:rPr>
                <w:sz w:val="18"/>
                <w:szCs w:val="18"/>
                <w:lang w:val="en-CA"/>
              </w:rPr>
              <w:t xml:space="preserve"> 47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2D4C8F75" w14:textId="2C12C023" w:rsidR="00884036" w:rsidRPr="00D104B4" w:rsidRDefault="00884036" w:rsidP="00884036">
            <w:pPr>
              <w:jc w:val="right"/>
              <w:rPr>
                <w:color w:val="000000"/>
                <w:sz w:val="18"/>
                <w:szCs w:val="18"/>
                <w:lang w:val="en-CA"/>
              </w:rPr>
            </w:pPr>
            <w:r w:rsidRPr="00D104B4">
              <w:rPr>
                <w:sz w:val="18"/>
                <w:szCs w:val="18"/>
                <w:lang w:val="en-CA"/>
              </w:rPr>
              <w:t xml:space="preserve"> 20 </w:t>
            </w:r>
          </w:p>
        </w:tc>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6BA6C495" w14:textId="4E11C70F" w:rsidR="00884036" w:rsidRPr="00D104B4" w:rsidRDefault="00884036" w:rsidP="00884036">
            <w:pPr>
              <w:jc w:val="right"/>
              <w:rPr>
                <w:color w:val="000000"/>
                <w:sz w:val="18"/>
                <w:szCs w:val="18"/>
                <w:lang w:val="en-CA"/>
              </w:rPr>
            </w:pPr>
            <w:r w:rsidRPr="00D104B4">
              <w:rPr>
                <w:sz w:val="18"/>
                <w:szCs w:val="18"/>
                <w:lang w:val="en-CA"/>
              </w:rPr>
              <w:t xml:space="preserve"> 8 </w:t>
            </w:r>
          </w:p>
        </w:tc>
        <w:tc>
          <w:tcPr>
            <w:tcW w:w="560" w:type="pct"/>
            <w:tcBorders>
              <w:top w:val="nil"/>
              <w:left w:val="nil"/>
              <w:bottom w:val="single" w:sz="4" w:space="0" w:color="auto"/>
              <w:right w:val="single" w:sz="4" w:space="0" w:color="auto"/>
            </w:tcBorders>
            <w:shd w:val="clear" w:color="auto" w:fill="auto"/>
            <w:noWrap/>
            <w:hideMark/>
          </w:tcPr>
          <w:p w14:paraId="77D06EC7" w14:textId="104D1207" w:rsidR="00884036" w:rsidRPr="00D104B4" w:rsidRDefault="00884036" w:rsidP="00884036">
            <w:pPr>
              <w:jc w:val="right"/>
              <w:rPr>
                <w:color w:val="000000"/>
                <w:sz w:val="18"/>
                <w:szCs w:val="18"/>
                <w:lang w:val="en-CA"/>
              </w:rPr>
            </w:pPr>
            <w:r w:rsidRPr="00D104B4">
              <w:rPr>
                <w:sz w:val="18"/>
                <w:szCs w:val="18"/>
                <w:lang w:val="en-CA"/>
              </w:rPr>
              <w:t xml:space="preserve"> 8 </w:t>
            </w:r>
          </w:p>
        </w:tc>
      </w:tr>
      <w:tr w:rsidR="00884036" w:rsidRPr="00D104B4" w14:paraId="404C8F96" w14:textId="77777777" w:rsidTr="002F3169">
        <w:trPr>
          <w:trHeight w:val="53"/>
        </w:trPr>
        <w:tc>
          <w:tcPr>
            <w:tcW w:w="1244" w:type="pct"/>
            <w:tcBorders>
              <w:top w:val="nil"/>
              <w:left w:val="single" w:sz="4" w:space="0" w:color="auto"/>
              <w:bottom w:val="single" w:sz="4" w:space="0" w:color="auto"/>
              <w:right w:val="single" w:sz="4" w:space="0" w:color="auto"/>
            </w:tcBorders>
            <w:shd w:val="clear" w:color="auto" w:fill="auto"/>
            <w:noWrap/>
            <w:hideMark/>
          </w:tcPr>
          <w:p w14:paraId="59DC0BB6" w14:textId="7E3FA27D" w:rsidR="00884036" w:rsidRPr="00D104B4" w:rsidRDefault="00884036" w:rsidP="00884036">
            <w:pPr>
              <w:jc w:val="left"/>
              <w:rPr>
                <w:color w:val="000000"/>
                <w:sz w:val="18"/>
                <w:szCs w:val="18"/>
                <w:lang w:val="en-CA" w:eastAsia="zh-CN"/>
              </w:rPr>
            </w:pPr>
            <w:r w:rsidRPr="00D104B4">
              <w:rPr>
                <w:color w:val="000000"/>
                <w:sz w:val="18"/>
                <w:szCs w:val="18"/>
                <w:lang w:val="en-CA" w:eastAsia="zh-CN"/>
              </w:rPr>
              <w:t>Republic of Korea</w:t>
            </w:r>
          </w:p>
        </w:tc>
        <w:tc>
          <w:tcPr>
            <w:tcW w:w="398" w:type="pct"/>
            <w:tcBorders>
              <w:top w:val="nil"/>
              <w:left w:val="nil"/>
              <w:bottom w:val="single" w:sz="4" w:space="0" w:color="auto"/>
              <w:right w:val="single" w:sz="4" w:space="0" w:color="auto"/>
            </w:tcBorders>
            <w:shd w:val="clear" w:color="auto" w:fill="auto"/>
            <w:noWrap/>
            <w:hideMark/>
          </w:tcPr>
          <w:p w14:paraId="69BA2BC4" w14:textId="77777777" w:rsidR="00884036" w:rsidRPr="00D104B4" w:rsidRDefault="00884036" w:rsidP="00884036">
            <w:pPr>
              <w:jc w:val="right"/>
              <w:rPr>
                <w:color w:val="000000"/>
                <w:sz w:val="18"/>
                <w:szCs w:val="18"/>
                <w:lang w:val="en-CA" w:eastAsia="zh-CN"/>
              </w:rPr>
            </w:pPr>
            <w:r w:rsidRPr="00D104B4">
              <w:rPr>
                <w:color w:val="000000"/>
                <w:sz w:val="18"/>
                <w:szCs w:val="18"/>
                <w:lang w:val="en-CA" w:eastAsia="zh-CN"/>
              </w:rPr>
              <w:t>1</w:t>
            </w:r>
          </w:p>
        </w:tc>
        <w:tc>
          <w:tcPr>
            <w:tcW w:w="552" w:type="pct"/>
            <w:tcBorders>
              <w:top w:val="nil"/>
              <w:left w:val="nil"/>
              <w:bottom w:val="single" w:sz="4" w:space="0" w:color="auto"/>
              <w:right w:val="single" w:sz="4" w:space="0" w:color="auto"/>
            </w:tcBorders>
            <w:shd w:val="clear" w:color="auto" w:fill="auto"/>
            <w:noWrap/>
            <w:hideMark/>
          </w:tcPr>
          <w:p w14:paraId="262DF890" w14:textId="77777777" w:rsidR="00884036" w:rsidRPr="00D104B4" w:rsidRDefault="00884036" w:rsidP="00884036">
            <w:pPr>
              <w:jc w:val="right"/>
              <w:rPr>
                <w:color w:val="000000"/>
                <w:sz w:val="18"/>
                <w:szCs w:val="18"/>
                <w:lang w:val="en-CA" w:eastAsia="zh-CN"/>
              </w:rPr>
            </w:pPr>
            <w:r w:rsidRPr="00D104B4">
              <w:rPr>
                <w:color w:val="000000"/>
                <w:sz w:val="18"/>
                <w:szCs w:val="18"/>
                <w:lang w:val="en-CA" w:eastAsia="zh-CN"/>
              </w:rPr>
              <w:t>3.00</w:t>
            </w:r>
          </w:p>
        </w:tc>
        <w:tc>
          <w:tcPr>
            <w:tcW w:w="561" w:type="pct"/>
            <w:tcBorders>
              <w:top w:val="single" w:sz="4" w:space="0" w:color="auto"/>
              <w:left w:val="nil"/>
              <w:bottom w:val="single" w:sz="4" w:space="0" w:color="auto"/>
              <w:right w:val="single" w:sz="4" w:space="0" w:color="auto"/>
            </w:tcBorders>
            <w:shd w:val="clear" w:color="auto" w:fill="auto"/>
          </w:tcPr>
          <w:p w14:paraId="684F5AF9" w14:textId="1950FF64" w:rsidR="00884036" w:rsidRPr="00D104B4" w:rsidRDefault="00884036" w:rsidP="00884036">
            <w:pPr>
              <w:jc w:val="right"/>
              <w:rPr>
                <w:color w:val="000000"/>
                <w:sz w:val="18"/>
                <w:szCs w:val="18"/>
                <w:lang w:val="en-CA"/>
              </w:rPr>
            </w:pPr>
            <w:r w:rsidRPr="00D104B4">
              <w:rPr>
                <w:sz w:val="18"/>
                <w:szCs w:val="18"/>
                <w:lang w:val="en-CA"/>
              </w:rPr>
              <w:t xml:space="preserve"> 200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EB82A24" w14:textId="7D5782C8" w:rsidR="00884036" w:rsidRPr="00D104B4" w:rsidRDefault="00884036" w:rsidP="00884036">
            <w:pPr>
              <w:jc w:val="right"/>
              <w:rPr>
                <w:color w:val="000000"/>
                <w:sz w:val="18"/>
                <w:szCs w:val="18"/>
                <w:lang w:val="en-CA"/>
              </w:rPr>
            </w:pPr>
            <w:r w:rsidRPr="00D104B4">
              <w:rPr>
                <w:sz w:val="18"/>
                <w:szCs w:val="18"/>
                <w:lang w:val="en-CA"/>
              </w:rPr>
              <w:t xml:space="preserve"> 205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A35894F" w14:textId="5C7FBCB8" w:rsidR="00884036" w:rsidRPr="00D104B4" w:rsidRDefault="00884036" w:rsidP="00884036">
            <w:pPr>
              <w:jc w:val="right"/>
              <w:rPr>
                <w:color w:val="000000"/>
                <w:sz w:val="18"/>
                <w:szCs w:val="18"/>
                <w:lang w:val="en-CA"/>
              </w:rPr>
            </w:pPr>
            <w:r w:rsidRPr="00D104B4">
              <w:rPr>
                <w:sz w:val="18"/>
                <w:szCs w:val="18"/>
                <w:lang w:val="en-CA"/>
              </w:rPr>
              <w:t xml:space="preserve"> 204 </w:t>
            </w:r>
          </w:p>
        </w:tc>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124C03D2" w14:textId="2EEB9598" w:rsidR="00884036" w:rsidRPr="00D104B4" w:rsidRDefault="00884036" w:rsidP="00884036">
            <w:pPr>
              <w:jc w:val="right"/>
              <w:rPr>
                <w:color w:val="000000"/>
                <w:sz w:val="18"/>
                <w:szCs w:val="18"/>
                <w:lang w:val="en-CA"/>
              </w:rPr>
            </w:pPr>
            <w:r w:rsidRPr="00D104B4">
              <w:rPr>
                <w:sz w:val="18"/>
                <w:szCs w:val="18"/>
                <w:lang w:val="en-CA"/>
              </w:rPr>
              <w:t xml:space="preserve"> 220 </w:t>
            </w:r>
          </w:p>
        </w:tc>
        <w:tc>
          <w:tcPr>
            <w:tcW w:w="560" w:type="pct"/>
            <w:tcBorders>
              <w:top w:val="nil"/>
              <w:left w:val="nil"/>
              <w:bottom w:val="single" w:sz="4" w:space="0" w:color="auto"/>
              <w:right w:val="single" w:sz="4" w:space="0" w:color="auto"/>
            </w:tcBorders>
            <w:shd w:val="clear" w:color="auto" w:fill="auto"/>
            <w:noWrap/>
            <w:hideMark/>
          </w:tcPr>
          <w:p w14:paraId="093B3AD4" w14:textId="30442699" w:rsidR="00884036" w:rsidRPr="00D104B4" w:rsidRDefault="00884036" w:rsidP="00884036">
            <w:pPr>
              <w:jc w:val="right"/>
              <w:rPr>
                <w:color w:val="000000"/>
                <w:sz w:val="18"/>
                <w:szCs w:val="18"/>
                <w:lang w:val="en-CA"/>
              </w:rPr>
            </w:pPr>
            <w:r w:rsidRPr="00D104B4">
              <w:rPr>
                <w:sz w:val="18"/>
                <w:szCs w:val="18"/>
                <w:lang w:val="en-CA"/>
              </w:rPr>
              <w:t xml:space="preserve"> 228 </w:t>
            </w:r>
          </w:p>
        </w:tc>
      </w:tr>
      <w:tr w:rsidR="00884036" w:rsidRPr="00D104B4" w14:paraId="538617CA" w14:textId="77777777" w:rsidTr="002F3169">
        <w:trPr>
          <w:trHeight w:val="53"/>
        </w:trPr>
        <w:tc>
          <w:tcPr>
            <w:tcW w:w="1244" w:type="pct"/>
            <w:tcBorders>
              <w:top w:val="nil"/>
              <w:left w:val="single" w:sz="4" w:space="0" w:color="auto"/>
              <w:bottom w:val="single" w:sz="4" w:space="0" w:color="auto"/>
              <w:right w:val="single" w:sz="4" w:space="0" w:color="auto"/>
            </w:tcBorders>
            <w:shd w:val="clear" w:color="auto" w:fill="auto"/>
            <w:noWrap/>
            <w:hideMark/>
          </w:tcPr>
          <w:p w14:paraId="542D4CA6" w14:textId="25243B5C" w:rsidR="00884036" w:rsidRPr="00D104B4" w:rsidRDefault="00884036" w:rsidP="00884036">
            <w:pPr>
              <w:jc w:val="left"/>
              <w:rPr>
                <w:color w:val="000000"/>
                <w:sz w:val="18"/>
                <w:szCs w:val="18"/>
                <w:lang w:val="en-CA" w:eastAsia="zh-CN"/>
              </w:rPr>
            </w:pPr>
            <w:r w:rsidRPr="00D104B4">
              <w:rPr>
                <w:color w:val="000000"/>
                <w:sz w:val="18"/>
                <w:szCs w:val="18"/>
                <w:lang w:val="en-CA" w:eastAsia="zh-CN"/>
              </w:rPr>
              <w:t>Sub-total for Article 5 countries</w:t>
            </w:r>
          </w:p>
        </w:tc>
        <w:tc>
          <w:tcPr>
            <w:tcW w:w="398" w:type="pct"/>
            <w:tcBorders>
              <w:top w:val="nil"/>
              <w:left w:val="nil"/>
              <w:bottom w:val="single" w:sz="4" w:space="0" w:color="auto"/>
              <w:right w:val="single" w:sz="4" w:space="0" w:color="auto"/>
            </w:tcBorders>
            <w:shd w:val="clear" w:color="auto" w:fill="auto"/>
            <w:noWrap/>
            <w:hideMark/>
          </w:tcPr>
          <w:p w14:paraId="68E2705E" w14:textId="77777777" w:rsidR="00884036" w:rsidRPr="00D104B4" w:rsidRDefault="00884036" w:rsidP="00884036">
            <w:pPr>
              <w:jc w:val="right"/>
              <w:rPr>
                <w:color w:val="000000"/>
                <w:sz w:val="18"/>
                <w:szCs w:val="18"/>
                <w:lang w:val="en-CA" w:eastAsia="zh-CN"/>
              </w:rPr>
            </w:pPr>
            <w:r w:rsidRPr="00D104B4">
              <w:rPr>
                <w:color w:val="000000"/>
                <w:sz w:val="18"/>
                <w:szCs w:val="18"/>
                <w:lang w:val="en-CA" w:eastAsia="zh-CN"/>
              </w:rPr>
              <w:t>43</w:t>
            </w:r>
          </w:p>
        </w:tc>
        <w:tc>
          <w:tcPr>
            <w:tcW w:w="552" w:type="pct"/>
            <w:tcBorders>
              <w:top w:val="nil"/>
              <w:left w:val="nil"/>
              <w:bottom w:val="single" w:sz="4" w:space="0" w:color="auto"/>
              <w:right w:val="single" w:sz="4" w:space="0" w:color="auto"/>
            </w:tcBorders>
            <w:shd w:val="clear" w:color="auto" w:fill="auto"/>
            <w:noWrap/>
            <w:hideMark/>
          </w:tcPr>
          <w:p w14:paraId="51FDADD9" w14:textId="77777777" w:rsidR="00884036" w:rsidRPr="00D104B4" w:rsidRDefault="00884036" w:rsidP="00884036">
            <w:pPr>
              <w:jc w:val="right"/>
              <w:rPr>
                <w:color w:val="000000"/>
                <w:sz w:val="18"/>
                <w:szCs w:val="18"/>
                <w:lang w:val="en-CA" w:eastAsia="zh-CN"/>
              </w:rPr>
            </w:pPr>
          </w:p>
        </w:tc>
        <w:tc>
          <w:tcPr>
            <w:tcW w:w="561" w:type="pct"/>
            <w:tcBorders>
              <w:top w:val="single" w:sz="4" w:space="0" w:color="auto"/>
              <w:left w:val="nil"/>
              <w:bottom w:val="single" w:sz="4" w:space="0" w:color="auto"/>
              <w:right w:val="single" w:sz="4" w:space="0" w:color="auto"/>
            </w:tcBorders>
            <w:shd w:val="clear" w:color="auto" w:fill="auto"/>
          </w:tcPr>
          <w:p w14:paraId="147D510C" w14:textId="43D6276C" w:rsidR="00884036" w:rsidRPr="00D104B4" w:rsidRDefault="00884036" w:rsidP="006A5B34">
            <w:pPr>
              <w:jc w:val="right"/>
              <w:rPr>
                <w:color w:val="000000"/>
                <w:sz w:val="18"/>
                <w:szCs w:val="18"/>
                <w:lang w:val="en-CA"/>
              </w:rPr>
            </w:pPr>
            <w:r w:rsidRPr="00D104B4">
              <w:rPr>
                <w:sz w:val="18"/>
                <w:szCs w:val="18"/>
                <w:lang w:val="en-CA"/>
              </w:rPr>
              <w:t xml:space="preserve"> 18,8</w:t>
            </w:r>
            <w:r w:rsidR="006A5B34">
              <w:rPr>
                <w:sz w:val="18"/>
                <w:szCs w:val="18"/>
                <w:lang w:val="en-CA"/>
              </w:rPr>
              <w:t>42</w:t>
            </w:r>
            <w:r w:rsidRPr="00D104B4">
              <w:rPr>
                <w:sz w:val="18"/>
                <w:szCs w:val="18"/>
                <w:lang w:val="en-CA"/>
              </w:rPr>
              <w:t xml:space="preserve">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F279825" w14:textId="0BB98C87" w:rsidR="00884036" w:rsidRPr="00D104B4" w:rsidRDefault="00884036" w:rsidP="00884036">
            <w:pPr>
              <w:jc w:val="right"/>
              <w:rPr>
                <w:color w:val="000000"/>
                <w:sz w:val="18"/>
                <w:szCs w:val="18"/>
                <w:lang w:val="en-CA"/>
              </w:rPr>
            </w:pPr>
            <w:r w:rsidRPr="00D104B4">
              <w:rPr>
                <w:sz w:val="18"/>
                <w:szCs w:val="18"/>
                <w:lang w:val="en-CA"/>
              </w:rPr>
              <w:t xml:space="preserve"> </w:t>
            </w:r>
            <w:r w:rsidR="006A5B34">
              <w:rPr>
                <w:sz w:val="18"/>
                <w:szCs w:val="18"/>
                <w:lang w:val="en-CA"/>
              </w:rPr>
              <w:t>19,506</w:t>
            </w:r>
            <w:r w:rsidRPr="00D104B4">
              <w:rPr>
                <w:sz w:val="18"/>
                <w:szCs w:val="18"/>
                <w:lang w:val="en-CA"/>
              </w:rPr>
              <w:t xml:space="preserve">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D046EE5" w14:textId="6E311CFB" w:rsidR="00884036" w:rsidRPr="00D104B4" w:rsidRDefault="006A5B34" w:rsidP="00884036">
            <w:pPr>
              <w:jc w:val="right"/>
              <w:rPr>
                <w:color w:val="000000"/>
                <w:sz w:val="18"/>
                <w:szCs w:val="18"/>
                <w:lang w:val="en-CA"/>
              </w:rPr>
            </w:pPr>
            <w:r>
              <w:rPr>
                <w:sz w:val="18"/>
                <w:szCs w:val="18"/>
                <w:lang w:val="en-CA"/>
              </w:rPr>
              <w:t xml:space="preserve"> 15,585</w:t>
            </w:r>
            <w:r w:rsidR="00884036" w:rsidRPr="00D104B4">
              <w:rPr>
                <w:sz w:val="18"/>
                <w:szCs w:val="18"/>
                <w:lang w:val="en-CA"/>
              </w:rPr>
              <w:t xml:space="preserve"> </w:t>
            </w:r>
          </w:p>
        </w:tc>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30CBF90E" w14:textId="6025F2A3" w:rsidR="00884036" w:rsidRPr="00D104B4" w:rsidRDefault="00884036" w:rsidP="00884036">
            <w:pPr>
              <w:jc w:val="right"/>
              <w:rPr>
                <w:color w:val="000000"/>
                <w:sz w:val="18"/>
                <w:szCs w:val="18"/>
                <w:lang w:val="en-CA"/>
              </w:rPr>
            </w:pPr>
            <w:r w:rsidRPr="00D104B4">
              <w:rPr>
                <w:sz w:val="18"/>
                <w:szCs w:val="18"/>
                <w:lang w:val="en-CA"/>
              </w:rPr>
              <w:t xml:space="preserve"> 16,022 </w:t>
            </w:r>
          </w:p>
        </w:tc>
        <w:tc>
          <w:tcPr>
            <w:tcW w:w="560" w:type="pct"/>
            <w:tcBorders>
              <w:top w:val="nil"/>
              <w:left w:val="nil"/>
              <w:bottom w:val="single" w:sz="4" w:space="0" w:color="auto"/>
              <w:right w:val="single" w:sz="4" w:space="0" w:color="auto"/>
            </w:tcBorders>
            <w:shd w:val="clear" w:color="auto" w:fill="auto"/>
            <w:noWrap/>
            <w:hideMark/>
          </w:tcPr>
          <w:p w14:paraId="1C1E5A97" w14:textId="1383EAA0" w:rsidR="00884036" w:rsidRPr="00D104B4" w:rsidRDefault="00884036" w:rsidP="00884036">
            <w:pPr>
              <w:jc w:val="right"/>
              <w:rPr>
                <w:color w:val="000000"/>
                <w:sz w:val="18"/>
                <w:szCs w:val="18"/>
                <w:lang w:val="en-CA"/>
              </w:rPr>
            </w:pPr>
            <w:r w:rsidRPr="00D104B4">
              <w:rPr>
                <w:sz w:val="18"/>
                <w:szCs w:val="18"/>
                <w:lang w:val="en-CA"/>
              </w:rPr>
              <w:t xml:space="preserve"> 16,298 </w:t>
            </w:r>
          </w:p>
        </w:tc>
      </w:tr>
      <w:tr w:rsidR="00884036" w:rsidRPr="00D104B4" w14:paraId="35C69EC7" w14:textId="77777777" w:rsidTr="002F3169">
        <w:trPr>
          <w:trHeight w:val="53"/>
        </w:trPr>
        <w:tc>
          <w:tcPr>
            <w:tcW w:w="1244" w:type="pct"/>
            <w:tcBorders>
              <w:top w:val="nil"/>
              <w:left w:val="single" w:sz="4" w:space="0" w:color="auto"/>
              <w:bottom w:val="single" w:sz="4" w:space="0" w:color="auto"/>
              <w:right w:val="single" w:sz="4" w:space="0" w:color="auto"/>
            </w:tcBorders>
            <w:shd w:val="clear" w:color="auto" w:fill="auto"/>
            <w:noWrap/>
            <w:hideMark/>
          </w:tcPr>
          <w:p w14:paraId="5A4B7E6B" w14:textId="77777777" w:rsidR="00884036" w:rsidRPr="00D104B4" w:rsidRDefault="00884036" w:rsidP="00884036">
            <w:pPr>
              <w:jc w:val="left"/>
              <w:rPr>
                <w:color w:val="000000"/>
                <w:sz w:val="18"/>
                <w:szCs w:val="18"/>
                <w:lang w:val="en-CA" w:eastAsia="zh-CN"/>
              </w:rPr>
            </w:pPr>
            <w:r w:rsidRPr="00D104B4">
              <w:rPr>
                <w:color w:val="000000"/>
                <w:sz w:val="18"/>
                <w:szCs w:val="18"/>
                <w:lang w:val="en-CA" w:eastAsia="zh-CN"/>
              </w:rPr>
              <w:t>Non-Article 5 countries</w:t>
            </w:r>
          </w:p>
        </w:tc>
        <w:tc>
          <w:tcPr>
            <w:tcW w:w="398" w:type="pct"/>
            <w:tcBorders>
              <w:top w:val="nil"/>
              <w:left w:val="nil"/>
              <w:bottom w:val="single" w:sz="4" w:space="0" w:color="auto"/>
              <w:right w:val="single" w:sz="4" w:space="0" w:color="auto"/>
            </w:tcBorders>
            <w:shd w:val="clear" w:color="auto" w:fill="auto"/>
            <w:noWrap/>
            <w:hideMark/>
          </w:tcPr>
          <w:p w14:paraId="1D3DA724" w14:textId="77777777" w:rsidR="00884036" w:rsidRPr="00D104B4" w:rsidRDefault="00884036" w:rsidP="00884036">
            <w:pPr>
              <w:jc w:val="right"/>
              <w:rPr>
                <w:color w:val="000000"/>
                <w:sz w:val="18"/>
                <w:szCs w:val="18"/>
                <w:lang w:val="en-CA" w:eastAsia="zh-CN"/>
              </w:rPr>
            </w:pPr>
          </w:p>
        </w:tc>
        <w:tc>
          <w:tcPr>
            <w:tcW w:w="552" w:type="pct"/>
            <w:tcBorders>
              <w:top w:val="nil"/>
              <w:left w:val="nil"/>
              <w:bottom w:val="single" w:sz="4" w:space="0" w:color="auto"/>
              <w:right w:val="single" w:sz="4" w:space="0" w:color="auto"/>
            </w:tcBorders>
            <w:shd w:val="clear" w:color="auto" w:fill="auto"/>
            <w:noWrap/>
            <w:hideMark/>
          </w:tcPr>
          <w:p w14:paraId="6141C281" w14:textId="77777777" w:rsidR="00884036" w:rsidRPr="00D104B4" w:rsidRDefault="00884036" w:rsidP="00884036">
            <w:pPr>
              <w:jc w:val="right"/>
              <w:rPr>
                <w:color w:val="000000"/>
                <w:sz w:val="18"/>
                <w:szCs w:val="18"/>
                <w:lang w:val="en-CA" w:eastAsia="zh-CN"/>
              </w:rPr>
            </w:pPr>
            <w:r w:rsidRPr="00D104B4">
              <w:rPr>
                <w:color w:val="000000"/>
                <w:sz w:val="18"/>
                <w:szCs w:val="18"/>
                <w:lang w:val="en-CA" w:eastAsia="zh-CN"/>
              </w:rPr>
              <w:t>2.00</w:t>
            </w:r>
          </w:p>
        </w:tc>
        <w:tc>
          <w:tcPr>
            <w:tcW w:w="561" w:type="pct"/>
            <w:tcBorders>
              <w:top w:val="single" w:sz="4" w:space="0" w:color="auto"/>
              <w:left w:val="nil"/>
              <w:bottom w:val="single" w:sz="4" w:space="0" w:color="auto"/>
              <w:right w:val="single" w:sz="4" w:space="0" w:color="auto"/>
            </w:tcBorders>
            <w:shd w:val="clear" w:color="auto" w:fill="auto"/>
          </w:tcPr>
          <w:p w14:paraId="2006C4B8" w14:textId="385677A4" w:rsidR="00884036" w:rsidRPr="00D104B4" w:rsidRDefault="00884036" w:rsidP="00884036">
            <w:pPr>
              <w:jc w:val="right"/>
              <w:rPr>
                <w:color w:val="000000"/>
                <w:sz w:val="18"/>
                <w:szCs w:val="18"/>
                <w:lang w:val="en-CA"/>
              </w:rPr>
            </w:pPr>
            <w:r w:rsidRPr="00D104B4">
              <w:rPr>
                <w:sz w:val="18"/>
                <w:szCs w:val="18"/>
                <w:lang w:val="en-CA"/>
              </w:rPr>
              <w:t xml:space="preserve"> 3,870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308282A" w14:textId="5E4EDD50" w:rsidR="00884036" w:rsidRPr="00D104B4" w:rsidRDefault="00884036" w:rsidP="00884036">
            <w:pPr>
              <w:jc w:val="right"/>
              <w:rPr>
                <w:color w:val="000000"/>
                <w:sz w:val="18"/>
                <w:szCs w:val="18"/>
                <w:lang w:val="en-CA"/>
              </w:rPr>
            </w:pPr>
            <w:r w:rsidRPr="00D104B4">
              <w:rPr>
                <w:sz w:val="18"/>
                <w:szCs w:val="18"/>
                <w:lang w:val="en-CA"/>
              </w:rPr>
              <w:t xml:space="preserve"> 4,201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AF9805D" w14:textId="4C5843B8" w:rsidR="00884036" w:rsidRPr="00D104B4" w:rsidRDefault="00884036" w:rsidP="00884036">
            <w:pPr>
              <w:jc w:val="right"/>
              <w:rPr>
                <w:color w:val="000000"/>
                <w:sz w:val="18"/>
                <w:szCs w:val="18"/>
                <w:lang w:val="en-CA"/>
              </w:rPr>
            </w:pPr>
            <w:r w:rsidRPr="00D104B4">
              <w:rPr>
                <w:sz w:val="18"/>
                <w:szCs w:val="18"/>
                <w:lang w:val="en-CA"/>
              </w:rPr>
              <w:t xml:space="preserve"> 4,503 </w:t>
            </w:r>
          </w:p>
        </w:tc>
        <w:tc>
          <w:tcPr>
            <w:tcW w:w="561" w:type="pct"/>
            <w:tcBorders>
              <w:top w:val="single" w:sz="4" w:space="0" w:color="auto"/>
              <w:left w:val="single" w:sz="4" w:space="0" w:color="auto"/>
              <w:bottom w:val="single" w:sz="4" w:space="0" w:color="auto"/>
              <w:right w:val="single" w:sz="4" w:space="0" w:color="auto"/>
            </w:tcBorders>
            <w:shd w:val="clear" w:color="auto" w:fill="auto"/>
            <w:noWrap/>
          </w:tcPr>
          <w:p w14:paraId="451A9A89" w14:textId="0E885A6F" w:rsidR="00884036" w:rsidRPr="00D104B4" w:rsidRDefault="00884036" w:rsidP="00884036">
            <w:pPr>
              <w:jc w:val="right"/>
              <w:rPr>
                <w:color w:val="000000"/>
                <w:sz w:val="18"/>
                <w:szCs w:val="18"/>
                <w:highlight w:val="yellow"/>
                <w:lang w:val="en-CA"/>
              </w:rPr>
            </w:pPr>
            <w:r w:rsidRPr="00D104B4">
              <w:rPr>
                <w:sz w:val="18"/>
                <w:szCs w:val="18"/>
                <w:lang w:val="en-CA"/>
              </w:rPr>
              <w:t xml:space="preserve"> 4,176 </w:t>
            </w:r>
          </w:p>
        </w:tc>
        <w:tc>
          <w:tcPr>
            <w:tcW w:w="560" w:type="pct"/>
            <w:tcBorders>
              <w:top w:val="nil"/>
              <w:left w:val="nil"/>
              <w:bottom w:val="single" w:sz="4" w:space="0" w:color="auto"/>
              <w:right w:val="single" w:sz="4" w:space="0" w:color="auto"/>
            </w:tcBorders>
            <w:shd w:val="clear" w:color="auto" w:fill="auto"/>
            <w:noWrap/>
          </w:tcPr>
          <w:p w14:paraId="28A75077" w14:textId="09650FFA" w:rsidR="00884036" w:rsidRPr="00D104B4" w:rsidRDefault="00884036" w:rsidP="00884036">
            <w:pPr>
              <w:jc w:val="right"/>
              <w:rPr>
                <w:color w:val="000000"/>
                <w:sz w:val="18"/>
                <w:szCs w:val="18"/>
                <w:lang w:val="en-CA"/>
              </w:rPr>
            </w:pPr>
            <w:r w:rsidRPr="00D104B4">
              <w:rPr>
                <w:sz w:val="18"/>
                <w:szCs w:val="18"/>
                <w:lang w:val="en-CA"/>
              </w:rPr>
              <w:t xml:space="preserve"> 4,436 </w:t>
            </w:r>
          </w:p>
        </w:tc>
      </w:tr>
      <w:tr w:rsidR="00884036" w:rsidRPr="00D104B4" w14:paraId="7661A5C5" w14:textId="77777777" w:rsidTr="002F3169">
        <w:trPr>
          <w:trHeight w:val="117"/>
        </w:trPr>
        <w:tc>
          <w:tcPr>
            <w:tcW w:w="1244" w:type="pct"/>
            <w:tcBorders>
              <w:top w:val="nil"/>
              <w:left w:val="single" w:sz="4" w:space="0" w:color="auto"/>
              <w:bottom w:val="single" w:sz="4" w:space="0" w:color="auto"/>
              <w:right w:val="nil"/>
            </w:tcBorders>
            <w:shd w:val="clear" w:color="auto" w:fill="auto"/>
            <w:noWrap/>
            <w:hideMark/>
          </w:tcPr>
          <w:p w14:paraId="1FC5FEF4" w14:textId="77777777" w:rsidR="00884036" w:rsidRPr="00D104B4" w:rsidRDefault="00884036" w:rsidP="00884036">
            <w:pPr>
              <w:jc w:val="left"/>
              <w:rPr>
                <w:color w:val="000000"/>
                <w:sz w:val="18"/>
                <w:szCs w:val="18"/>
                <w:lang w:val="en-CA" w:eastAsia="zh-CN"/>
              </w:rPr>
            </w:pPr>
            <w:r w:rsidRPr="00D104B4">
              <w:rPr>
                <w:color w:val="000000"/>
                <w:sz w:val="18"/>
                <w:szCs w:val="18"/>
                <w:lang w:val="en-CA" w:eastAsia="zh-CN"/>
              </w:rPr>
              <w:t>Total</w:t>
            </w:r>
          </w:p>
        </w:tc>
        <w:tc>
          <w:tcPr>
            <w:tcW w:w="398" w:type="pct"/>
            <w:tcBorders>
              <w:top w:val="nil"/>
              <w:left w:val="single" w:sz="4" w:space="0" w:color="auto"/>
              <w:bottom w:val="single" w:sz="4" w:space="0" w:color="auto"/>
              <w:right w:val="single" w:sz="4" w:space="0" w:color="auto"/>
            </w:tcBorders>
            <w:shd w:val="clear" w:color="auto" w:fill="auto"/>
            <w:noWrap/>
            <w:hideMark/>
          </w:tcPr>
          <w:p w14:paraId="09D29522" w14:textId="77777777" w:rsidR="00884036" w:rsidRPr="00D104B4" w:rsidRDefault="00884036" w:rsidP="00884036">
            <w:pPr>
              <w:jc w:val="right"/>
              <w:rPr>
                <w:color w:val="000000"/>
                <w:sz w:val="18"/>
                <w:szCs w:val="18"/>
                <w:lang w:val="en-CA" w:eastAsia="zh-CN"/>
              </w:rPr>
            </w:pPr>
            <w:r w:rsidRPr="00D104B4">
              <w:rPr>
                <w:color w:val="000000"/>
                <w:sz w:val="18"/>
                <w:szCs w:val="18"/>
                <w:lang w:val="en-CA" w:eastAsia="zh-CN"/>
              </w:rPr>
              <w:t> </w:t>
            </w:r>
          </w:p>
        </w:tc>
        <w:tc>
          <w:tcPr>
            <w:tcW w:w="552" w:type="pct"/>
            <w:tcBorders>
              <w:top w:val="nil"/>
              <w:left w:val="nil"/>
              <w:bottom w:val="single" w:sz="4" w:space="0" w:color="auto"/>
              <w:right w:val="single" w:sz="4" w:space="0" w:color="auto"/>
            </w:tcBorders>
            <w:shd w:val="clear" w:color="auto" w:fill="auto"/>
            <w:noWrap/>
            <w:hideMark/>
          </w:tcPr>
          <w:p w14:paraId="6EAFFF8F" w14:textId="77777777" w:rsidR="00884036" w:rsidRPr="00D104B4" w:rsidRDefault="00884036" w:rsidP="00884036">
            <w:pPr>
              <w:jc w:val="right"/>
              <w:rPr>
                <w:color w:val="000000"/>
                <w:sz w:val="18"/>
                <w:szCs w:val="18"/>
                <w:lang w:val="en-CA" w:eastAsia="zh-CN"/>
              </w:rPr>
            </w:pPr>
            <w:r w:rsidRPr="00D104B4">
              <w:rPr>
                <w:color w:val="000000"/>
                <w:sz w:val="18"/>
                <w:szCs w:val="18"/>
                <w:lang w:val="en-CA" w:eastAsia="zh-CN"/>
              </w:rPr>
              <w:t> </w:t>
            </w:r>
          </w:p>
        </w:tc>
        <w:tc>
          <w:tcPr>
            <w:tcW w:w="561" w:type="pct"/>
            <w:tcBorders>
              <w:top w:val="single" w:sz="4" w:space="0" w:color="auto"/>
              <w:left w:val="nil"/>
              <w:bottom w:val="single" w:sz="4" w:space="0" w:color="auto"/>
              <w:right w:val="single" w:sz="4" w:space="0" w:color="auto"/>
            </w:tcBorders>
            <w:shd w:val="clear" w:color="auto" w:fill="auto"/>
          </w:tcPr>
          <w:p w14:paraId="55643377" w14:textId="7A3CE300" w:rsidR="00884036" w:rsidRPr="00D104B4" w:rsidRDefault="006A5B34" w:rsidP="00884036">
            <w:pPr>
              <w:jc w:val="right"/>
              <w:rPr>
                <w:color w:val="000000"/>
                <w:sz w:val="18"/>
                <w:szCs w:val="18"/>
                <w:lang w:val="en-CA"/>
              </w:rPr>
            </w:pPr>
            <w:r>
              <w:rPr>
                <w:sz w:val="18"/>
                <w:szCs w:val="18"/>
                <w:lang w:val="en-CA"/>
              </w:rPr>
              <w:t xml:space="preserve"> 22,713</w:t>
            </w:r>
            <w:r w:rsidR="00884036" w:rsidRPr="00D104B4">
              <w:rPr>
                <w:sz w:val="18"/>
                <w:szCs w:val="18"/>
                <w:lang w:val="en-CA"/>
              </w:rPr>
              <w:t xml:space="preserve">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211B10C8" w14:textId="1E52F84B" w:rsidR="00884036" w:rsidRPr="00D104B4" w:rsidRDefault="006A5B34" w:rsidP="00884036">
            <w:pPr>
              <w:jc w:val="right"/>
              <w:rPr>
                <w:color w:val="000000"/>
                <w:sz w:val="18"/>
                <w:szCs w:val="18"/>
                <w:lang w:val="en-CA"/>
              </w:rPr>
            </w:pPr>
            <w:r>
              <w:rPr>
                <w:sz w:val="18"/>
                <w:szCs w:val="18"/>
                <w:lang w:val="en-CA"/>
              </w:rPr>
              <w:t xml:space="preserve"> 23,707</w:t>
            </w:r>
            <w:r w:rsidR="00884036" w:rsidRPr="00D104B4">
              <w:rPr>
                <w:sz w:val="18"/>
                <w:szCs w:val="18"/>
                <w:lang w:val="en-CA"/>
              </w:rPr>
              <w:t xml:space="preserve">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265F9456" w14:textId="75568C7D" w:rsidR="00884036" w:rsidRPr="00D104B4" w:rsidRDefault="006A5B34" w:rsidP="00884036">
            <w:pPr>
              <w:jc w:val="right"/>
              <w:rPr>
                <w:color w:val="000000"/>
                <w:sz w:val="18"/>
                <w:szCs w:val="18"/>
                <w:lang w:val="en-CA"/>
              </w:rPr>
            </w:pPr>
            <w:r>
              <w:rPr>
                <w:sz w:val="18"/>
                <w:szCs w:val="18"/>
                <w:lang w:val="en-CA"/>
              </w:rPr>
              <w:t xml:space="preserve"> 20,089</w:t>
            </w:r>
            <w:r w:rsidR="00884036" w:rsidRPr="00D104B4">
              <w:rPr>
                <w:sz w:val="18"/>
                <w:szCs w:val="18"/>
                <w:lang w:val="en-CA"/>
              </w:rPr>
              <w:t xml:space="preserve"> </w:t>
            </w:r>
          </w:p>
        </w:tc>
        <w:tc>
          <w:tcPr>
            <w:tcW w:w="561" w:type="pct"/>
            <w:tcBorders>
              <w:top w:val="single" w:sz="4" w:space="0" w:color="auto"/>
              <w:left w:val="single" w:sz="4" w:space="0" w:color="auto"/>
              <w:bottom w:val="single" w:sz="4" w:space="0" w:color="auto"/>
              <w:right w:val="single" w:sz="4" w:space="0" w:color="auto"/>
            </w:tcBorders>
            <w:shd w:val="clear" w:color="auto" w:fill="auto"/>
            <w:noWrap/>
          </w:tcPr>
          <w:p w14:paraId="4BE4CE82" w14:textId="72A4CECA" w:rsidR="00884036" w:rsidRPr="00D104B4" w:rsidRDefault="00884036" w:rsidP="00884036">
            <w:pPr>
              <w:jc w:val="right"/>
              <w:rPr>
                <w:color w:val="000000"/>
                <w:sz w:val="18"/>
                <w:szCs w:val="18"/>
                <w:highlight w:val="yellow"/>
                <w:lang w:val="en-CA"/>
              </w:rPr>
            </w:pPr>
            <w:r w:rsidRPr="00D104B4">
              <w:rPr>
                <w:sz w:val="18"/>
                <w:szCs w:val="18"/>
                <w:lang w:val="en-CA"/>
              </w:rPr>
              <w:t xml:space="preserve"> 20,199 </w:t>
            </w:r>
          </w:p>
        </w:tc>
        <w:tc>
          <w:tcPr>
            <w:tcW w:w="560" w:type="pct"/>
            <w:tcBorders>
              <w:top w:val="nil"/>
              <w:left w:val="nil"/>
              <w:bottom w:val="single" w:sz="4" w:space="0" w:color="auto"/>
              <w:right w:val="single" w:sz="4" w:space="0" w:color="auto"/>
            </w:tcBorders>
            <w:shd w:val="clear" w:color="auto" w:fill="auto"/>
            <w:noWrap/>
          </w:tcPr>
          <w:p w14:paraId="23D325E6" w14:textId="43060FBF" w:rsidR="00884036" w:rsidRPr="00D104B4" w:rsidRDefault="00884036" w:rsidP="00884036">
            <w:pPr>
              <w:jc w:val="right"/>
              <w:rPr>
                <w:color w:val="000000"/>
                <w:sz w:val="18"/>
                <w:szCs w:val="18"/>
                <w:lang w:val="en-CA"/>
              </w:rPr>
            </w:pPr>
            <w:r w:rsidRPr="00D104B4">
              <w:rPr>
                <w:sz w:val="18"/>
                <w:szCs w:val="18"/>
                <w:lang w:val="en-CA"/>
              </w:rPr>
              <w:t xml:space="preserve"> 20,734 </w:t>
            </w:r>
          </w:p>
        </w:tc>
      </w:tr>
    </w:tbl>
    <w:p w14:paraId="0B1135E2" w14:textId="7041BB57" w:rsidR="002A600F" w:rsidRPr="0030201A" w:rsidRDefault="002A600F" w:rsidP="00201F7E">
      <w:pPr>
        <w:rPr>
          <w:sz w:val="16"/>
          <w:szCs w:val="16"/>
        </w:rPr>
      </w:pPr>
      <w:r w:rsidRPr="0030201A">
        <w:rPr>
          <w:sz w:val="16"/>
          <w:szCs w:val="16"/>
          <w:vertAlign w:val="superscript"/>
          <w:lang w:val="en-CA"/>
        </w:rPr>
        <w:t>a</w:t>
      </w:r>
      <w:r w:rsidRPr="0030201A">
        <w:rPr>
          <w:sz w:val="16"/>
          <w:szCs w:val="16"/>
          <w:lang w:val="en-CA"/>
        </w:rPr>
        <w:t xml:space="preserve"> </w:t>
      </w:r>
      <w:r w:rsidR="0030201A">
        <w:rPr>
          <w:sz w:val="16"/>
          <w:szCs w:val="16"/>
          <w:lang w:val="en-CA"/>
        </w:rPr>
        <w:t>The HFC-23 by-product generation rate</w:t>
      </w:r>
      <w:r w:rsidRPr="0030201A">
        <w:rPr>
          <w:sz w:val="16"/>
          <w:szCs w:val="16"/>
          <w:lang w:val="en-CA"/>
        </w:rPr>
        <w:t xml:space="preserve"> in 2016 and 2017.</w:t>
      </w:r>
    </w:p>
    <w:p w14:paraId="3B095862" w14:textId="73140768" w:rsidR="00474C54" w:rsidRPr="0030201A" w:rsidRDefault="00474C54" w:rsidP="00474C54">
      <w:pPr>
        <w:rPr>
          <w:sz w:val="16"/>
          <w:szCs w:val="16"/>
        </w:rPr>
      </w:pPr>
      <w:r w:rsidRPr="0030201A">
        <w:rPr>
          <w:sz w:val="16"/>
          <w:szCs w:val="16"/>
          <w:vertAlign w:val="superscript"/>
        </w:rPr>
        <w:t>b</w:t>
      </w:r>
      <w:r w:rsidRPr="0030201A">
        <w:rPr>
          <w:sz w:val="16"/>
          <w:szCs w:val="16"/>
        </w:rPr>
        <w:t xml:space="preserve"> The HFC-23 by-product generation rate </w:t>
      </w:r>
      <w:r>
        <w:rPr>
          <w:sz w:val="16"/>
          <w:szCs w:val="16"/>
        </w:rPr>
        <w:t xml:space="preserve">for 2013-2015 is 3.32 per cent based on the data provided in </w:t>
      </w:r>
      <w:r w:rsidRPr="00474C54">
        <w:rPr>
          <w:sz w:val="16"/>
          <w:szCs w:val="16"/>
        </w:rPr>
        <w:t>UNEP/</w:t>
      </w:r>
      <w:proofErr w:type="spellStart"/>
      <w:r w:rsidRPr="00474C54">
        <w:rPr>
          <w:sz w:val="16"/>
          <w:szCs w:val="16"/>
        </w:rPr>
        <w:t>OzL.Pro</w:t>
      </w:r>
      <w:proofErr w:type="spellEnd"/>
      <w:r w:rsidRPr="00474C54">
        <w:rPr>
          <w:sz w:val="16"/>
          <w:szCs w:val="16"/>
        </w:rPr>
        <w:t>/</w:t>
      </w:r>
      <w:proofErr w:type="spellStart"/>
      <w:r w:rsidRPr="00474C54">
        <w:rPr>
          <w:sz w:val="16"/>
          <w:szCs w:val="16"/>
        </w:rPr>
        <w:t>ExCom</w:t>
      </w:r>
      <w:proofErr w:type="spellEnd"/>
      <w:r w:rsidRPr="00474C54">
        <w:rPr>
          <w:sz w:val="16"/>
          <w:szCs w:val="16"/>
        </w:rPr>
        <w:t>/82/69</w:t>
      </w:r>
      <w:r w:rsidRPr="0030201A">
        <w:rPr>
          <w:sz w:val="16"/>
          <w:szCs w:val="16"/>
        </w:rPr>
        <w:t>.</w:t>
      </w:r>
    </w:p>
    <w:p w14:paraId="347E5174" w14:textId="7EBDFE3F" w:rsidR="002A600F" w:rsidRPr="0030201A" w:rsidRDefault="00474C54" w:rsidP="00201F7E">
      <w:pPr>
        <w:rPr>
          <w:sz w:val="16"/>
          <w:szCs w:val="16"/>
        </w:rPr>
      </w:pPr>
      <w:r w:rsidRPr="00474C54">
        <w:rPr>
          <w:sz w:val="16"/>
          <w:szCs w:val="16"/>
          <w:vertAlign w:val="superscript"/>
        </w:rPr>
        <w:t>c</w:t>
      </w:r>
      <w:r w:rsidR="002A600F" w:rsidRPr="0030201A">
        <w:rPr>
          <w:sz w:val="16"/>
          <w:szCs w:val="16"/>
        </w:rPr>
        <w:t xml:space="preserve"> </w:t>
      </w:r>
      <w:r w:rsidR="0030201A" w:rsidRPr="0030201A">
        <w:rPr>
          <w:sz w:val="16"/>
          <w:szCs w:val="16"/>
        </w:rPr>
        <w:t>The HFC-23</w:t>
      </w:r>
      <w:r w:rsidR="002A600F" w:rsidRPr="0030201A">
        <w:rPr>
          <w:sz w:val="16"/>
          <w:szCs w:val="16"/>
        </w:rPr>
        <w:t xml:space="preserve"> </w:t>
      </w:r>
      <w:r w:rsidR="0030201A" w:rsidRPr="0030201A">
        <w:rPr>
          <w:sz w:val="16"/>
          <w:szCs w:val="16"/>
        </w:rPr>
        <w:t xml:space="preserve">by-product generation rate </w:t>
      </w:r>
      <w:r w:rsidR="002A600F" w:rsidRPr="0030201A">
        <w:rPr>
          <w:sz w:val="16"/>
          <w:szCs w:val="16"/>
        </w:rPr>
        <w:t>for 2016.</w:t>
      </w:r>
    </w:p>
    <w:p w14:paraId="04D29360" w14:textId="0A665AC5" w:rsidR="002A600F" w:rsidRPr="002F3169" w:rsidRDefault="00474C54" w:rsidP="00201F7E">
      <w:pPr>
        <w:rPr>
          <w:sz w:val="16"/>
          <w:szCs w:val="16"/>
          <w:lang w:val="en-CA"/>
        </w:rPr>
      </w:pPr>
      <w:r>
        <w:rPr>
          <w:sz w:val="16"/>
          <w:szCs w:val="16"/>
          <w:vertAlign w:val="superscript"/>
        </w:rPr>
        <w:t>d</w:t>
      </w:r>
      <w:r>
        <w:rPr>
          <w:sz w:val="16"/>
          <w:szCs w:val="16"/>
        </w:rPr>
        <w:t xml:space="preserve"> </w:t>
      </w:r>
      <w:r w:rsidR="0030201A" w:rsidRPr="0030201A">
        <w:rPr>
          <w:sz w:val="16"/>
          <w:szCs w:val="16"/>
        </w:rPr>
        <w:t>The HFC-23 by-product generation rate for 2017</w:t>
      </w:r>
      <w:r w:rsidR="002A600F" w:rsidRPr="0030201A">
        <w:rPr>
          <w:sz w:val="16"/>
          <w:szCs w:val="16"/>
        </w:rPr>
        <w:t>.</w:t>
      </w:r>
    </w:p>
    <w:p w14:paraId="0C6CF7B1" w14:textId="77777777" w:rsidR="002A600F" w:rsidRPr="00D104B4" w:rsidRDefault="002A600F" w:rsidP="00201F7E">
      <w:pPr>
        <w:rPr>
          <w:lang w:val="en-CA"/>
        </w:rPr>
      </w:pPr>
    </w:p>
    <w:p w14:paraId="6A63BCF0" w14:textId="6AAA62CA" w:rsidR="00201F7E" w:rsidRPr="00D104B4" w:rsidRDefault="00201F7E" w:rsidP="008B5A7F">
      <w:pPr>
        <w:pStyle w:val="Heading1"/>
        <w:keepNext/>
        <w:keepLines/>
        <w:rPr>
          <w:lang w:val="en-CA"/>
        </w:rPr>
      </w:pPr>
      <w:r w:rsidRPr="00D104B4">
        <w:rPr>
          <w:lang w:val="en-CA"/>
        </w:rPr>
        <w:t>The</w:t>
      </w:r>
      <w:r w:rsidR="00DB720D">
        <w:rPr>
          <w:lang w:val="en-CA"/>
        </w:rPr>
        <w:t xml:space="preserve"> amounts of</w:t>
      </w:r>
      <w:r w:rsidRPr="00D104B4">
        <w:rPr>
          <w:lang w:val="en-CA"/>
        </w:rPr>
        <w:t xml:space="preserve"> HFC-23 </w:t>
      </w:r>
      <w:r w:rsidR="00B24EAB" w:rsidRPr="00D104B4">
        <w:rPr>
          <w:lang w:val="en-CA"/>
        </w:rPr>
        <w:t xml:space="preserve">by-product </w:t>
      </w:r>
      <w:r w:rsidR="00DB720D">
        <w:rPr>
          <w:lang w:val="en-CA"/>
        </w:rPr>
        <w:t>generat</w:t>
      </w:r>
      <w:r w:rsidRPr="00D104B4">
        <w:rPr>
          <w:lang w:val="en-CA"/>
        </w:rPr>
        <w:t xml:space="preserve">ed </w:t>
      </w:r>
      <w:r w:rsidR="0030201A">
        <w:rPr>
          <w:lang w:val="en-CA"/>
        </w:rPr>
        <w:t xml:space="preserve">for </w:t>
      </w:r>
      <w:r w:rsidR="0030201A" w:rsidRPr="0030201A">
        <w:rPr>
          <w:lang w:val="en-US"/>
        </w:rPr>
        <w:t xml:space="preserve">2013-2015 are </w:t>
      </w:r>
      <w:r w:rsidR="0030201A">
        <w:rPr>
          <w:lang w:val="en-US"/>
        </w:rPr>
        <w:t>described in</w:t>
      </w:r>
      <w:r w:rsidR="0030201A" w:rsidRPr="0030201A">
        <w:rPr>
          <w:lang w:val="en-US"/>
        </w:rPr>
        <w:t xml:space="preserve"> paragraph 12 of document </w:t>
      </w:r>
      <w:r w:rsidR="0030201A" w:rsidRPr="0030201A">
        <w:t>UNEP/</w:t>
      </w:r>
      <w:proofErr w:type="spellStart"/>
      <w:r w:rsidR="0030201A" w:rsidRPr="0030201A">
        <w:t>OzL.Pro</w:t>
      </w:r>
      <w:proofErr w:type="spellEnd"/>
      <w:r w:rsidR="0030201A" w:rsidRPr="0030201A">
        <w:t>/</w:t>
      </w:r>
      <w:proofErr w:type="spellStart"/>
      <w:r w:rsidR="0030201A" w:rsidRPr="0030201A">
        <w:t>ExCom</w:t>
      </w:r>
      <w:proofErr w:type="spellEnd"/>
      <w:r w:rsidR="0030201A" w:rsidRPr="0030201A">
        <w:t>/79/48.</w:t>
      </w:r>
      <w:r w:rsidR="0030201A">
        <w:t xml:space="preserve"> The amounts for 2016 and 2017 are</w:t>
      </w:r>
      <w:r w:rsidRPr="00D104B4">
        <w:rPr>
          <w:lang w:val="en-CA"/>
        </w:rPr>
        <w:t xml:space="preserve"> explained below: </w:t>
      </w:r>
    </w:p>
    <w:p w14:paraId="0F54421F" w14:textId="4D75D1D8" w:rsidR="00201F7E" w:rsidRPr="00D104B4" w:rsidRDefault="00201F7E" w:rsidP="008B5A7F">
      <w:pPr>
        <w:pStyle w:val="Heading2"/>
        <w:keepNext/>
        <w:keepLines/>
        <w:rPr>
          <w:lang w:val="en-CA"/>
        </w:rPr>
      </w:pPr>
      <w:r w:rsidRPr="00D104B4">
        <w:rPr>
          <w:lang w:val="en-CA"/>
        </w:rPr>
        <w:t xml:space="preserve">For Argentina, the </w:t>
      </w:r>
      <w:r w:rsidR="002D3B07" w:rsidRPr="00D104B4">
        <w:rPr>
          <w:i/>
          <w:lang w:val="en-CA"/>
        </w:rPr>
        <w:t xml:space="preserve">w </w:t>
      </w:r>
      <w:r w:rsidR="003E55A1" w:rsidRPr="00D104B4">
        <w:rPr>
          <w:lang w:val="en-CA"/>
        </w:rPr>
        <w:t>rate of 3.</w:t>
      </w:r>
      <w:r w:rsidR="00B53BEB">
        <w:rPr>
          <w:lang w:val="en-CA"/>
        </w:rPr>
        <w:t>3</w:t>
      </w:r>
      <w:r w:rsidR="00741A52">
        <w:rPr>
          <w:lang w:val="en-CA"/>
        </w:rPr>
        <w:t>2</w:t>
      </w:r>
      <w:r w:rsidR="000A1169" w:rsidRPr="00D104B4">
        <w:rPr>
          <w:lang w:val="en-CA"/>
        </w:rPr>
        <w:t> </w:t>
      </w:r>
      <w:bookmarkStart w:id="0" w:name="_GoBack"/>
      <w:bookmarkEnd w:id="0"/>
      <w:r w:rsidR="000A1169" w:rsidRPr="00D104B4">
        <w:rPr>
          <w:lang w:val="en-CA"/>
        </w:rPr>
        <w:t>per cent</w:t>
      </w:r>
      <w:r w:rsidRPr="00D104B4">
        <w:rPr>
          <w:lang w:val="en-CA"/>
        </w:rPr>
        <w:t xml:space="preserve"> </w:t>
      </w:r>
      <w:r w:rsidR="00DB720D">
        <w:rPr>
          <w:lang w:val="en-CA"/>
        </w:rPr>
        <w:t xml:space="preserve">was </w:t>
      </w:r>
      <w:r w:rsidR="003E55A1" w:rsidRPr="00D104B4">
        <w:rPr>
          <w:lang w:val="en-CA"/>
        </w:rPr>
        <w:t>based on</w:t>
      </w:r>
      <w:r w:rsidR="00DB720D">
        <w:rPr>
          <w:lang w:val="en-CA"/>
        </w:rPr>
        <w:t xml:space="preserve"> </w:t>
      </w:r>
      <w:r w:rsidR="00B53BEB">
        <w:rPr>
          <w:lang w:val="en-CA"/>
        </w:rPr>
        <w:t>information provided by the HCFC</w:t>
      </w:r>
      <w:r w:rsidR="0071541B">
        <w:rPr>
          <w:lang w:val="en-CA"/>
        </w:rPr>
        <w:noBreakHyphen/>
      </w:r>
      <w:r w:rsidR="00B53BEB">
        <w:rPr>
          <w:lang w:val="en-CA"/>
        </w:rPr>
        <w:t>22 production facility in that country</w:t>
      </w:r>
      <w:r w:rsidRPr="00D104B4">
        <w:rPr>
          <w:lang w:val="en-CA"/>
        </w:rPr>
        <w:t>;</w:t>
      </w:r>
      <w:r w:rsidR="00B53BEB">
        <w:rPr>
          <w:rStyle w:val="FootnoteReference"/>
          <w:lang w:val="en-CA"/>
        </w:rPr>
        <w:footnoteReference w:id="6"/>
      </w:r>
      <w:r w:rsidRPr="00D104B4">
        <w:rPr>
          <w:lang w:val="en-CA"/>
        </w:rPr>
        <w:t xml:space="preserve"> </w:t>
      </w:r>
    </w:p>
    <w:p w14:paraId="2E794733" w14:textId="0F3FAEFE" w:rsidR="00201F7E" w:rsidRPr="00D104B4" w:rsidRDefault="00201F7E" w:rsidP="00201F7E">
      <w:pPr>
        <w:pStyle w:val="Heading2"/>
        <w:rPr>
          <w:lang w:val="en-CA"/>
        </w:rPr>
      </w:pPr>
      <w:r w:rsidRPr="00D104B4">
        <w:rPr>
          <w:lang w:val="en-CA"/>
        </w:rPr>
        <w:t xml:space="preserve">For China, the </w:t>
      </w:r>
      <w:r w:rsidR="00DB720D" w:rsidRPr="00DB720D">
        <w:rPr>
          <w:i/>
          <w:lang w:val="en-CA"/>
        </w:rPr>
        <w:t>w</w:t>
      </w:r>
      <w:r w:rsidR="00DB720D">
        <w:rPr>
          <w:lang w:val="en-CA"/>
        </w:rPr>
        <w:t xml:space="preserve"> rates</w:t>
      </w:r>
      <w:r w:rsidRPr="00D104B4">
        <w:rPr>
          <w:lang w:val="en-CA"/>
        </w:rPr>
        <w:t xml:space="preserve"> reported</w:t>
      </w:r>
      <w:r w:rsidR="00956B31" w:rsidRPr="00D104B4">
        <w:rPr>
          <w:lang w:val="en-CA"/>
        </w:rPr>
        <w:t xml:space="preserve"> in the verification reports submitted in line with the Agreement on the HCFC production phase-out management plan</w:t>
      </w:r>
      <w:r w:rsidR="004947C6" w:rsidRPr="00D104B4">
        <w:rPr>
          <w:lang w:val="en-CA"/>
        </w:rPr>
        <w:t xml:space="preserve"> (HPPMP)</w:t>
      </w:r>
      <w:r w:rsidR="006647F3" w:rsidRPr="00D104B4">
        <w:rPr>
          <w:lang w:val="en-CA"/>
        </w:rPr>
        <w:t xml:space="preserve">. The amounts of HFC-23 are measured in some plants through meters; where no meters are installed, the </w:t>
      </w:r>
      <w:r w:rsidR="006647F3" w:rsidRPr="00D104B4">
        <w:rPr>
          <w:lang w:val="en-CA"/>
        </w:rPr>
        <w:lastRenderedPageBreak/>
        <w:t xml:space="preserve">amounts of HFC-23 are estimated using </w:t>
      </w:r>
      <w:r w:rsidR="006647F3" w:rsidRPr="00D104B4">
        <w:rPr>
          <w:i/>
          <w:lang w:val="en-CA"/>
        </w:rPr>
        <w:t xml:space="preserve">w </w:t>
      </w:r>
      <w:r w:rsidR="006647F3" w:rsidRPr="00D104B4">
        <w:rPr>
          <w:lang w:val="en-CA"/>
        </w:rPr>
        <w:t xml:space="preserve">rate of 3 per cent. The </w:t>
      </w:r>
      <w:r w:rsidR="00DB720D" w:rsidRPr="00DB720D">
        <w:rPr>
          <w:i/>
          <w:lang w:val="en-CA"/>
        </w:rPr>
        <w:t>w</w:t>
      </w:r>
      <w:r w:rsidR="00DB720D">
        <w:rPr>
          <w:lang w:val="en-CA"/>
        </w:rPr>
        <w:t xml:space="preserve"> rate</w:t>
      </w:r>
      <w:r w:rsidR="006647F3" w:rsidRPr="00D104B4">
        <w:rPr>
          <w:lang w:val="en-CA"/>
        </w:rPr>
        <w:t xml:space="preserve"> has been decreasing in the last few years, with an average of 2.36 per cent in 2017</w:t>
      </w:r>
      <w:r w:rsidR="00956B31" w:rsidRPr="00D104B4">
        <w:rPr>
          <w:lang w:val="en-CA"/>
        </w:rPr>
        <w:t xml:space="preserve">; </w:t>
      </w:r>
    </w:p>
    <w:p w14:paraId="7DAD423F" w14:textId="53EBE36E" w:rsidR="00201F7E" w:rsidRPr="00D104B4" w:rsidRDefault="00201F7E" w:rsidP="00200A7B">
      <w:pPr>
        <w:pStyle w:val="Heading2"/>
        <w:rPr>
          <w:lang w:val="en-CA"/>
        </w:rPr>
      </w:pPr>
      <w:r w:rsidRPr="00D104B4">
        <w:rPr>
          <w:lang w:val="en-CA"/>
        </w:rPr>
        <w:t xml:space="preserve">For the </w:t>
      </w:r>
      <w:r w:rsidR="00200A7B" w:rsidRPr="00D104B4">
        <w:rPr>
          <w:lang w:val="en-CA"/>
        </w:rPr>
        <w:t>Democratic People's Republic of Korea</w:t>
      </w:r>
      <w:r w:rsidRPr="00D104B4">
        <w:rPr>
          <w:lang w:val="en-CA"/>
        </w:rPr>
        <w:t xml:space="preserve">, the </w:t>
      </w:r>
      <w:r w:rsidR="00956B31" w:rsidRPr="00D104B4">
        <w:rPr>
          <w:i/>
          <w:lang w:val="en-CA"/>
        </w:rPr>
        <w:t>w</w:t>
      </w:r>
      <w:r w:rsidR="00956B31" w:rsidRPr="00D104B4">
        <w:rPr>
          <w:lang w:val="en-CA"/>
        </w:rPr>
        <w:t xml:space="preserve"> rate</w:t>
      </w:r>
      <w:r w:rsidR="00DB720D">
        <w:rPr>
          <w:lang w:val="en-CA"/>
        </w:rPr>
        <w:t xml:space="preserve"> </w:t>
      </w:r>
      <w:r w:rsidRPr="00D104B4">
        <w:rPr>
          <w:lang w:val="en-CA"/>
        </w:rPr>
        <w:t>reported by the Government</w:t>
      </w:r>
      <w:r w:rsidR="00956B31" w:rsidRPr="00D104B4">
        <w:rPr>
          <w:lang w:val="en-CA"/>
        </w:rPr>
        <w:t xml:space="preserve"> </w:t>
      </w:r>
      <w:r w:rsidR="00DB720D">
        <w:rPr>
          <w:lang w:val="en-CA"/>
        </w:rPr>
        <w:t>for 2015</w:t>
      </w:r>
      <w:r w:rsidR="001142F3">
        <w:rPr>
          <w:lang w:val="en-CA"/>
        </w:rPr>
        <w:t xml:space="preserve"> was applied to 2016 and 2017</w:t>
      </w:r>
      <w:r w:rsidRPr="00D104B4">
        <w:rPr>
          <w:lang w:val="en-CA"/>
        </w:rPr>
        <w:t xml:space="preserve">; </w:t>
      </w:r>
    </w:p>
    <w:p w14:paraId="7AD3591A" w14:textId="7BC361CC" w:rsidR="00201F7E" w:rsidRPr="00D104B4" w:rsidRDefault="00201F7E" w:rsidP="00C4395C">
      <w:pPr>
        <w:pStyle w:val="Heading2"/>
        <w:rPr>
          <w:lang w:val="en-CA"/>
        </w:rPr>
      </w:pPr>
      <w:r w:rsidRPr="00D104B4">
        <w:rPr>
          <w:lang w:val="en-CA"/>
        </w:rPr>
        <w:t xml:space="preserve">For India, the </w:t>
      </w:r>
      <w:r w:rsidR="002D3B07" w:rsidRPr="00D104B4">
        <w:rPr>
          <w:i/>
          <w:lang w:val="en-CA"/>
        </w:rPr>
        <w:t xml:space="preserve">w </w:t>
      </w:r>
      <w:r w:rsidR="002D3B07" w:rsidRPr="00D104B4">
        <w:rPr>
          <w:lang w:val="en-CA"/>
        </w:rPr>
        <w:t xml:space="preserve">rate </w:t>
      </w:r>
      <w:r w:rsidR="007465BB">
        <w:rPr>
          <w:lang w:val="en-CA"/>
        </w:rPr>
        <w:t>was</w:t>
      </w:r>
      <w:r w:rsidRPr="00D104B4">
        <w:rPr>
          <w:lang w:val="en-CA"/>
        </w:rPr>
        <w:t xml:space="preserve"> based on the</w:t>
      </w:r>
      <w:r w:rsidR="007465BB">
        <w:rPr>
          <w:lang w:val="en-CA"/>
        </w:rPr>
        <w:t xml:space="preserve"> average</w:t>
      </w:r>
      <w:r w:rsidRPr="00D104B4">
        <w:rPr>
          <w:lang w:val="en-CA"/>
        </w:rPr>
        <w:t xml:space="preserve"> data from the CDM monitoring reports;</w:t>
      </w:r>
    </w:p>
    <w:p w14:paraId="190E4225" w14:textId="5E948749" w:rsidR="00201F7E" w:rsidRPr="00D104B4" w:rsidRDefault="00201F7E" w:rsidP="00201F7E">
      <w:pPr>
        <w:pStyle w:val="Heading2"/>
        <w:rPr>
          <w:lang w:val="en-CA"/>
        </w:rPr>
      </w:pPr>
      <w:r w:rsidRPr="00D104B4">
        <w:rPr>
          <w:lang w:val="en-CA"/>
        </w:rPr>
        <w:t xml:space="preserve">For Mexico, the </w:t>
      </w:r>
      <w:r w:rsidR="003E55A1" w:rsidRPr="00D104B4">
        <w:rPr>
          <w:i/>
          <w:lang w:val="en-CA"/>
        </w:rPr>
        <w:t>w</w:t>
      </w:r>
      <w:r w:rsidR="003E55A1" w:rsidRPr="00D104B4">
        <w:rPr>
          <w:lang w:val="en-CA"/>
        </w:rPr>
        <w:t xml:space="preserve"> rate reported by the Government</w:t>
      </w:r>
      <w:r w:rsidR="007465BB">
        <w:rPr>
          <w:lang w:val="en-CA"/>
        </w:rPr>
        <w:t xml:space="preserve"> for 2015</w:t>
      </w:r>
      <w:r w:rsidR="001142F3" w:rsidRPr="001142F3">
        <w:rPr>
          <w:lang w:val="en-CA"/>
        </w:rPr>
        <w:t xml:space="preserve"> </w:t>
      </w:r>
      <w:r w:rsidR="001142F3">
        <w:rPr>
          <w:lang w:val="en-CA"/>
        </w:rPr>
        <w:t>was applied to 2016 and 2017</w:t>
      </w:r>
      <w:r w:rsidRPr="00D104B4">
        <w:rPr>
          <w:lang w:val="en-CA"/>
        </w:rPr>
        <w:t xml:space="preserve">; </w:t>
      </w:r>
    </w:p>
    <w:p w14:paraId="16AB6426" w14:textId="30FBA17C" w:rsidR="00201F7E" w:rsidRPr="00D104B4" w:rsidRDefault="00201F7E" w:rsidP="00AA7D0F">
      <w:pPr>
        <w:pStyle w:val="Heading2"/>
        <w:rPr>
          <w:lang w:val="en-CA"/>
        </w:rPr>
      </w:pPr>
      <w:r w:rsidRPr="00D104B4">
        <w:rPr>
          <w:lang w:val="en-CA"/>
        </w:rPr>
        <w:t xml:space="preserve">For the </w:t>
      </w:r>
      <w:r w:rsidRPr="00D104B4">
        <w:rPr>
          <w:color w:val="000000"/>
          <w:lang w:val="en-CA" w:eastAsia="zh-CN"/>
        </w:rPr>
        <w:t>Republic of Korea</w:t>
      </w:r>
      <w:r w:rsidR="003E55A1" w:rsidRPr="00D104B4">
        <w:rPr>
          <w:color w:val="000000"/>
          <w:lang w:val="en-CA" w:eastAsia="zh-CN"/>
        </w:rPr>
        <w:t xml:space="preserve"> and for </w:t>
      </w:r>
      <w:r w:rsidRPr="00D104B4">
        <w:rPr>
          <w:lang w:val="en-CA"/>
        </w:rPr>
        <w:t>Venezuela</w:t>
      </w:r>
      <w:r w:rsidR="00200A7B" w:rsidRPr="00D104B4">
        <w:rPr>
          <w:lang w:val="en-CA"/>
        </w:rPr>
        <w:t xml:space="preserve"> (Bolivarian Republic of)</w:t>
      </w:r>
      <w:r w:rsidRPr="00D104B4">
        <w:rPr>
          <w:lang w:val="en-CA"/>
        </w:rPr>
        <w:t xml:space="preserve"> the </w:t>
      </w:r>
      <w:r w:rsidR="002D3B07" w:rsidRPr="00D104B4">
        <w:rPr>
          <w:i/>
          <w:lang w:val="en-CA"/>
        </w:rPr>
        <w:t xml:space="preserve">w </w:t>
      </w:r>
      <w:r w:rsidR="002D3B07" w:rsidRPr="00D104B4">
        <w:rPr>
          <w:lang w:val="en-CA"/>
        </w:rPr>
        <w:t xml:space="preserve">rate </w:t>
      </w:r>
      <w:r w:rsidRPr="00D104B4">
        <w:rPr>
          <w:lang w:val="en-CA"/>
        </w:rPr>
        <w:t>of 3.00</w:t>
      </w:r>
      <w:r w:rsidR="000A1169" w:rsidRPr="00D104B4">
        <w:rPr>
          <w:lang w:val="en-CA"/>
        </w:rPr>
        <w:t> per cent</w:t>
      </w:r>
      <w:r w:rsidRPr="00D104B4">
        <w:rPr>
          <w:lang w:val="en-CA"/>
        </w:rPr>
        <w:t xml:space="preserve"> </w:t>
      </w:r>
      <w:r w:rsidR="007465BB">
        <w:rPr>
          <w:lang w:val="en-CA"/>
        </w:rPr>
        <w:t xml:space="preserve">was used </w:t>
      </w:r>
      <w:r w:rsidRPr="00D104B4">
        <w:rPr>
          <w:lang w:val="en-CA"/>
        </w:rPr>
        <w:t xml:space="preserve">in </w:t>
      </w:r>
      <w:r w:rsidR="007B2B72" w:rsidRPr="00D104B4">
        <w:rPr>
          <w:lang w:val="en-CA"/>
        </w:rPr>
        <w:t xml:space="preserve">the </w:t>
      </w:r>
      <w:r w:rsidRPr="00D104B4">
        <w:rPr>
          <w:lang w:val="en-CA"/>
        </w:rPr>
        <w:t xml:space="preserve">absence of data; </w:t>
      </w:r>
      <w:r w:rsidR="0079685C" w:rsidRPr="00D104B4">
        <w:rPr>
          <w:lang w:val="en-CA"/>
        </w:rPr>
        <w:t>and</w:t>
      </w:r>
    </w:p>
    <w:p w14:paraId="206B6B53" w14:textId="75EA45F0" w:rsidR="00201F7E" w:rsidRPr="00D104B4" w:rsidRDefault="00201F7E" w:rsidP="00956B31">
      <w:pPr>
        <w:pStyle w:val="Heading2"/>
        <w:rPr>
          <w:lang w:val="en-CA"/>
        </w:rPr>
      </w:pPr>
      <w:r w:rsidRPr="00D104B4">
        <w:rPr>
          <w:lang w:val="en-CA"/>
        </w:rPr>
        <w:t>For all non-Article 5 countries</w:t>
      </w:r>
      <w:r w:rsidR="00B24EAB" w:rsidRPr="00D104B4">
        <w:rPr>
          <w:lang w:val="en-CA"/>
        </w:rPr>
        <w:t>,</w:t>
      </w:r>
      <w:r w:rsidRPr="00D104B4">
        <w:rPr>
          <w:lang w:val="en-CA"/>
        </w:rPr>
        <w:t xml:space="preserve"> the </w:t>
      </w:r>
      <w:r w:rsidR="002D3B07" w:rsidRPr="00D104B4">
        <w:rPr>
          <w:i/>
          <w:lang w:val="en-CA"/>
        </w:rPr>
        <w:t xml:space="preserve">w </w:t>
      </w:r>
      <w:r w:rsidR="002D3B07" w:rsidRPr="00D104B4">
        <w:rPr>
          <w:lang w:val="en-CA"/>
        </w:rPr>
        <w:t xml:space="preserve">rate </w:t>
      </w:r>
      <w:r w:rsidRPr="00D104B4">
        <w:rPr>
          <w:lang w:val="en-CA"/>
        </w:rPr>
        <w:t>of 2.00</w:t>
      </w:r>
      <w:r w:rsidR="000A1169" w:rsidRPr="00D104B4">
        <w:rPr>
          <w:lang w:val="en-CA"/>
        </w:rPr>
        <w:t> per cent</w:t>
      </w:r>
      <w:r w:rsidRPr="00D104B4">
        <w:rPr>
          <w:lang w:val="en-CA"/>
        </w:rPr>
        <w:t xml:space="preserve"> </w:t>
      </w:r>
      <w:r w:rsidR="007465BB">
        <w:rPr>
          <w:lang w:val="en-CA"/>
        </w:rPr>
        <w:t xml:space="preserve">was used </w:t>
      </w:r>
      <w:r w:rsidRPr="00D104B4">
        <w:rPr>
          <w:lang w:val="en-CA"/>
        </w:rPr>
        <w:t>in</w:t>
      </w:r>
      <w:r w:rsidR="007B2B72" w:rsidRPr="00D104B4">
        <w:rPr>
          <w:lang w:val="en-CA"/>
        </w:rPr>
        <w:t xml:space="preserve"> the</w:t>
      </w:r>
      <w:r w:rsidRPr="00D104B4">
        <w:rPr>
          <w:lang w:val="en-CA"/>
        </w:rPr>
        <w:t xml:space="preserve"> absence of data.</w:t>
      </w:r>
    </w:p>
    <w:p w14:paraId="286D6C1D" w14:textId="77777777" w:rsidR="00A11940" w:rsidRPr="00D104B4" w:rsidRDefault="00A11940" w:rsidP="00A11940">
      <w:pPr>
        <w:pStyle w:val="Heading2"/>
        <w:numPr>
          <w:ilvl w:val="0"/>
          <w:numId w:val="0"/>
        </w:numPr>
        <w:rPr>
          <w:b/>
          <w:lang w:val="en-CA"/>
        </w:rPr>
      </w:pPr>
      <w:r w:rsidRPr="00D104B4">
        <w:rPr>
          <w:b/>
          <w:lang w:val="en-CA"/>
        </w:rPr>
        <w:t>Cost</w:t>
      </w:r>
      <w:r w:rsidRPr="00D104B4">
        <w:rPr>
          <w:b/>
          <w:lang w:val="en-CA"/>
        </w:rPr>
        <w:noBreakHyphen/>
        <w:t>effective options for controlling HFC</w:t>
      </w:r>
      <w:r w:rsidRPr="00D104B4">
        <w:rPr>
          <w:b/>
          <w:lang w:val="en-CA"/>
        </w:rPr>
        <w:noBreakHyphen/>
        <w:t>23 by</w:t>
      </w:r>
      <w:r w:rsidRPr="00D104B4">
        <w:rPr>
          <w:b/>
          <w:lang w:val="en-CA"/>
        </w:rPr>
        <w:noBreakHyphen/>
        <w:t xml:space="preserve">product emissions </w:t>
      </w:r>
    </w:p>
    <w:p w14:paraId="5A90FD26" w14:textId="21AB5FD8" w:rsidR="00AF11A1" w:rsidRPr="00CC66E2" w:rsidRDefault="008D6C6C" w:rsidP="00CC66E2">
      <w:pPr>
        <w:pStyle w:val="Heading1"/>
        <w:rPr>
          <w:lang w:val="en-CA"/>
        </w:rPr>
      </w:pPr>
      <w:r w:rsidRPr="00D104B4">
        <w:rPr>
          <w:lang w:val="en-CA"/>
        </w:rPr>
        <w:t xml:space="preserve">Options for controlling emissions of HFC-23 by-product include on-site destruction, off-site destruction, </w:t>
      </w:r>
      <w:r w:rsidR="00E22394" w:rsidRPr="00D104B4">
        <w:rPr>
          <w:lang w:val="en-CA"/>
        </w:rPr>
        <w:t>conversion</w:t>
      </w:r>
      <w:r w:rsidR="00A11940" w:rsidRPr="00D104B4">
        <w:rPr>
          <w:lang w:val="en-CA"/>
        </w:rPr>
        <w:t xml:space="preserve">, </w:t>
      </w:r>
      <w:r w:rsidR="00416B2E" w:rsidRPr="00D104B4">
        <w:rPr>
          <w:lang w:val="en-CA"/>
        </w:rPr>
        <w:t>and closure of the HCFC-22 production line</w:t>
      </w:r>
      <w:r w:rsidR="00A11940" w:rsidRPr="00D104B4">
        <w:rPr>
          <w:lang w:val="en-CA"/>
        </w:rPr>
        <w:t>.</w:t>
      </w:r>
      <w:r w:rsidR="00C17D4E">
        <w:rPr>
          <w:rStyle w:val="FootnoteReference"/>
          <w:lang w:val="en-CA"/>
        </w:rPr>
        <w:footnoteReference w:id="7"/>
      </w:r>
      <w:r w:rsidR="007465BB">
        <w:rPr>
          <w:lang w:val="en-CA"/>
        </w:rPr>
        <w:t xml:space="preserve"> </w:t>
      </w:r>
      <w:r w:rsidR="007465BB" w:rsidRPr="00D104B4">
        <w:rPr>
          <w:lang w:val="en-CA"/>
        </w:rPr>
        <w:t>The most cost-effective option for controlling HFC-23 by-product emissions will depend on site-specific factors.</w:t>
      </w:r>
      <w:r w:rsidR="00E22394" w:rsidRPr="00D104B4">
        <w:rPr>
          <w:lang w:val="en-CA"/>
        </w:rPr>
        <w:t xml:space="preserve"> </w:t>
      </w:r>
      <w:r w:rsidR="00E22394" w:rsidRPr="00CC66E2">
        <w:rPr>
          <w:lang w:val="en-CA"/>
        </w:rPr>
        <w:t>Closure of HCFC-22 swing plants would both permanently eliminate emissions of HFC-23 by-product and of HCFC</w:t>
      </w:r>
      <w:r w:rsidR="00737BFF" w:rsidRPr="00CC66E2">
        <w:rPr>
          <w:lang w:val="en-CA"/>
        </w:rPr>
        <w:noBreakHyphen/>
      </w:r>
      <w:r w:rsidR="00E22394" w:rsidRPr="00CC66E2">
        <w:rPr>
          <w:lang w:val="en-CA"/>
        </w:rPr>
        <w:t xml:space="preserve">22, thereby providing both ozone and climate benefits. </w:t>
      </w:r>
    </w:p>
    <w:p w14:paraId="16FA84E9" w14:textId="77777777" w:rsidR="00A11940" w:rsidRPr="00D104B4" w:rsidRDefault="00A11940" w:rsidP="00A11940">
      <w:pPr>
        <w:rPr>
          <w:b/>
          <w:lang w:val="en-CA"/>
        </w:rPr>
      </w:pPr>
      <w:r w:rsidRPr="00D104B4">
        <w:rPr>
          <w:b/>
          <w:lang w:val="en-CA"/>
        </w:rPr>
        <w:t xml:space="preserve">Information relevant to the cost of closure of HCFC-22 production swing plants </w:t>
      </w:r>
    </w:p>
    <w:p w14:paraId="24F03E6C" w14:textId="77777777" w:rsidR="00A11940" w:rsidRPr="00D104B4" w:rsidRDefault="00A11940" w:rsidP="00A11940">
      <w:pPr>
        <w:rPr>
          <w:lang w:val="en-CA"/>
        </w:rPr>
      </w:pPr>
    </w:p>
    <w:p w14:paraId="6AE9597C" w14:textId="139DD193" w:rsidR="004750E2" w:rsidRPr="00D104B4" w:rsidRDefault="004750E2" w:rsidP="00200A7B">
      <w:pPr>
        <w:pStyle w:val="Heading1"/>
        <w:rPr>
          <w:lang w:val="en-CA"/>
        </w:rPr>
      </w:pPr>
      <w:r w:rsidRPr="00D104B4">
        <w:rPr>
          <w:lang w:val="en-CA"/>
        </w:rPr>
        <w:t xml:space="preserve">Although a general cost model for production closure has not been developed, </w:t>
      </w:r>
      <w:r w:rsidR="007465BB">
        <w:rPr>
          <w:lang w:val="en-CA"/>
        </w:rPr>
        <w:t>the</w:t>
      </w:r>
      <w:r w:rsidRPr="00D104B4">
        <w:rPr>
          <w:lang w:val="en-CA"/>
        </w:rPr>
        <w:t xml:space="preserve"> CFC and HCFC production closure projects</w:t>
      </w:r>
      <w:r w:rsidR="007465BB">
        <w:rPr>
          <w:lang w:val="en-CA"/>
        </w:rPr>
        <w:t xml:space="preserve"> so far </w:t>
      </w:r>
      <w:r w:rsidRPr="00D104B4">
        <w:rPr>
          <w:lang w:val="en-CA"/>
        </w:rPr>
        <w:t xml:space="preserve">approved </w:t>
      </w:r>
      <w:r w:rsidR="00BC4366">
        <w:rPr>
          <w:lang w:val="en-CA"/>
        </w:rPr>
        <w:t xml:space="preserve">may </w:t>
      </w:r>
      <w:r w:rsidRPr="00D104B4">
        <w:rPr>
          <w:lang w:val="en-CA"/>
        </w:rPr>
        <w:t xml:space="preserve">provide a useful reference. </w:t>
      </w:r>
    </w:p>
    <w:p w14:paraId="67D6A938" w14:textId="2A16242C" w:rsidR="00201F7E" w:rsidRPr="00D104B4" w:rsidRDefault="00201F7E" w:rsidP="00200A7B">
      <w:pPr>
        <w:pStyle w:val="Heading1"/>
        <w:rPr>
          <w:lang w:val="en-CA"/>
        </w:rPr>
      </w:pPr>
      <w:r w:rsidRPr="00D104B4">
        <w:rPr>
          <w:lang w:val="en-CA"/>
        </w:rPr>
        <w:t xml:space="preserve">During CFC phase-out, the Executive Committee approved six </w:t>
      </w:r>
      <w:r w:rsidR="002071C8" w:rsidRPr="00D104B4">
        <w:rPr>
          <w:lang w:val="en-CA"/>
        </w:rPr>
        <w:t xml:space="preserve">multi-year agreement </w:t>
      </w:r>
      <w:r w:rsidRPr="00D104B4">
        <w:rPr>
          <w:lang w:val="en-CA"/>
        </w:rPr>
        <w:t>projects to phase out the production of Group I substances in six Article 5 countries. T</w:t>
      </w:r>
      <w:r w:rsidR="001E0BFA" w:rsidRPr="00D104B4">
        <w:rPr>
          <w:lang w:val="en-CA"/>
        </w:rPr>
        <w:t>he t</w:t>
      </w:r>
      <w:r w:rsidRPr="00D104B4">
        <w:rPr>
          <w:lang w:val="en-CA"/>
        </w:rPr>
        <w:t>otal production phase</w:t>
      </w:r>
      <w:r w:rsidR="007465BB">
        <w:rPr>
          <w:lang w:val="en-CA"/>
        </w:rPr>
        <w:t xml:space="preserve">d </w:t>
      </w:r>
      <w:r w:rsidRPr="00D104B4">
        <w:rPr>
          <w:lang w:val="en-CA"/>
        </w:rPr>
        <w:t>out amount</w:t>
      </w:r>
      <w:r w:rsidR="007465BB">
        <w:rPr>
          <w:lang w:val="en-CA"/>
        </w:rPr>
        <w:t>ed</w:t>
      </w:r>
      <w:r w:rsidRPr="00D104B4">
        <w:rPr>
          <w:lang w:val="en-CA"/>
        </w:rPr>
        <w:t xml:space="preserve"> to 82,626</w:t>
      </w:r>
      <w:r w:rsidR="00737BFF">
        <w:rPr>
          <w:lang w:val="en-CA"/>
        </w:rPr>
        <w:t> </w:t>
      </w:r>
      <w:proofErr w:type="spellStart"/>
      <w:r w:rsidR="00737BFF">
        <w:rPr>
          <w:lang w:val="en-CA"/>
        </w:rPr>
        <w:t>mt</w:t>
      </w:r>
      <w:r w:rsidRPr="00D104B4">
        <w:rPr>
          <w:lang w:val="en-CA"/>
        </w:rPr>
        <w:t>.</w:t>
      </w:r>
      <w:proofErr w:type="spellEnd"/>
      <w:r w:rsidRPr="00D104B4">
        <w:rPr>
          <w:lang w:val="en-CA"/>
        </w:rPr>
        <w:t xml:space="preserve"> The overall </w:t>
      </w:r>
      <w:r w:rsidR="006A4689" w:rsidRPr="00D104B4">
        <w:rPr>
          <w:lang w:val="en-CA"/>
        </w:rPr>
        <w:t>cost-effectiveness (</w:t>
      </w:r>
      <w:r w:rsidRPr="00D104B4">
        <w:rPr>
          <w:lang w:val="en-CA"/>
        </w:rPr>
        <w:t>CE</w:t>
      </w:r>
      <w:r w:rsidR="006A4689" w:rsidRPr="00D104B4">
        <w:rPr>
          <w:lang w:val="en-CA"/>
        </w:rPr>
        <w:t>)</w:t>
      </w:r>
      <w:r w:rsidRPr="00D104B4">
        <w:rPr>
          <w:lang w:val="en-CA"/>
        </w:rPr>
        <w:t xml:space="preserve"> of th</w:t>
      </w:r>
      <w:r w:rsidR="00BC4366">
        <w:rPr>
          <w:lang w:val="en-CA"/>
        </w:rPr>
        <w:t>o</w:t>
      </w:r>
      <w:r w:rsidRPr="00D104B4">
        <w:rPr>
          <w:lang w:val="en-CA"/>
        </w:rPr>
        <w:t>se closure projects</w:t>
      </w:r>
      <w:r w:rsidR="00FC3542" w:rsidRPr="00D104B4">
        <w:rPr>
          <w:lang w:val="en-CA"/>
        </w:rPr>
        <w:t>, including the additional funding provided for the accelerated phase-out</w:t>
      </w:r>
      <w:r w:rsidR="007465BB">
        <w:rPr>
          <w:lang w:val="en-CA"/>
        </w:rPr>
        <w:t xml:space="preserve"> for some of the plans</w:t>
      </w:r>
      <w:r w:rsidR="00FC3542" w:rsidRPr="00D104B4">
        <w:rPr>
          <w:lang w:val="en-CA"/>
        </w:rPr>
        <w:t>,</w:t>
      </w:r>
      <w:r w:rsidRPr="00D104B4">
        <w:rPr>
          <w:lang w:val="en-CA"/>
        </w:rPr>
        <w:t xml:space="preserve"> ranges from </w:t>
      </w:r>
      <w:r w:rsidR="001C2366" w:rsidRPr="00D104B4">
        <w:rPr>
          <w:lang w:val="en-CA"/>
        </w:rPr>
        <w:t>US $</w:t>
      </w:r>
      <w:r w:rsidRPr="00D104B4">
        <w:rPr>
          <w:lang w:val="en-CA"/>
        </w:rPr>
        <w:t xml:space="preserve">2.88/kg to </w:t>
      </w:r>
      <w:r w:rsidR="001C2366" w:rsidRPr="00D104B4">
        <w:rPr>
          <w:lang w:val="en-CA"/>
        </w:rPr>
        <w:t>US $</w:t>
      </w:r>
      <w:r w:rsidRPr="00D104B4">
        <w:rPr>
          <w:lang w:val="en-CA"/>
        </w:rPr>
        <w:t>3.86/kg</w:t>
      </w:r>
      <w:r w:rsidR="00BC4366">
        <w:rPr>
          <w:lang w:val="en-CA"/>
        </w:rPr>
        <w:t>,</w:t>
      </w:r>
      <w:r w:rsidRPr="00D104B4">
        <w:rPr>
          <w:lang w:val="en-CA"/>
        </w:rPr>
        <w:t xml:space="preserve"> with an average CE of </w:t>
      </w:r>
      <w:r w:rsidR="001C2366" w:rsidRPr="00D104B4">
        <w:rPr>
          <w:lang w:val="en-CA"/>
        </w:rPr>
        <w:t>US $</w:t>
      </w:r>
      <w:r w:rsidR="0058239F" w:rsidRPr="00D104B4">
        <w:rPr>
          <w:lang w:val="en-CA"/>
        </w:rPr>
        <w:t xml:space="preserve">3.45/kg as shown in Table </w:t>
      </w:r>
      <w:r w:rsidR="00B939E2" w:rsidRPr="00D104B4">
        <w:rPr>
          <w:lang w:val="en-CA"/>
        </w:rPr>
        <w:t>3</w:t>
      </w:r>
      <w:r w:rsidRPr="00D104B4">
        <w:rPr>
          <w:lang w:val="en-CA"/>
        </w:rPr>
        <w:t xml:space="preserve">. </w:t>
      </w:r>
    </w:p>
    <w:p w14:paraId="3126A85B" w14:textId="3A39390D" w:rsidR="00201F7E" w:rsidRPr="00D104B4" w:rsidRDefault="00201F7E" w:rsidP="001C2366">
      <w:pPr>
        <w:rPr>
          <w:b/>
          <w:lang w:val="en-CA"/>
        </w:rPr>
      </w:pPr>
      <w:r w:rsidRPr="00D104B4">
        <w:rPr>
          <w:b/>
          <w:lang w:val="en-CA"/>
        </w:rPr>
        <w:t xml:space="preserve">Table </w:t>
      </w:r>
      <w:r w:rsidR="00B939E2" w:rsidRPr="00D104B4">
        <w:rPr>
          <w:b/>
          <w:lang w:val="en-CA"/>
        </w:rPr>
        <w:t>3</w:t>
      </w:r>
      <w:r w:rsidR="00356CC6" w:rsidRPr="00D104B4">
        <w:rPr>
          <w:b/>
          <w:lang w:val="en-CA"/>
        </w:rPr>
        <w:t>.</w:t>
      </w:r>
      <w:r w:rsidRPr="00D104B4">
        <w:rPr>
          <w:b/>
          <w:lang w:val="en-CA"/>
        </w:rPr>
        <w:t xml:space="preserve"> C</w:t>
      </w:r>
      <w:r w:rsidR="00F6669D">
        <w:rPr>
          <w:b/>
          <w:lang w:val="en-CA"/>
        </w:rPr>
        <w:t>E</w:t>
      </w:r>
      <w:r w:rsidRPr="00D104B4">
        <w:rPr>
          <w:b/>
          <w:lang w:val="en-CA"/>
        </w:rPr>
        <w:t xml:space="preserve"> of CFC production phase-out 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1423"/>
        <w:gridCol w:w="1633"/>
        <w:gridCol w:w="1098"/>
        <w:gridCol w:w="1042"/>
        <w:gridCol w:w="1042"/>
      </w:tblGrid>
      <w:tr w:rsidR="00C4395C" w:rsidRPr="00D104B4" w14:paraId="28338CD4" w14:textId="77777777" w:rsidTr="00682BBC">
        <w:trPr>
          <w:tblHeader/>
        </w:trPr>
        <w:tc>
          <w:tcPr>
            <w:tcW w:w="1664" w:type="pct"/>
            <w:vMerge w:val="restart"/>
            <w:shd w:val="clear" w:color="auto" w:fill="auto"/>
            <w:noWrap/>
            <w:vAlign w:val="center"/>
          </w:tcPr>
          <w:p w14:paraId="33156AD3" w14:textId="001E2878" w:rsidR="00C4395C" w:rsidRPr="00D104B4" w:rsidRDefault="00C4395C" w:rsidP="00C4395C">
            <w:pPr>
              <w:jc w:val="left"/>
              <w:rPr>
                <w:b/>
                <w:sz w:val="20"/>
                <w:szCs w:val="20"/>
                <w:lang w:val="en-CA" w:eastAsia="zh-CN"/>
              </w:rPr>
            </w:pPr>
            <w:r w:rsidRPr="00D104B4">
              <w:rPr>
                <w:b/>
                <w:sz w:val="20"/>
                <w:szCs w:val="20"/>
                <w:lang w:val="en-CA" w:eastAsia="zh-CN"/>
              </w:rPr>
              <w:t>Country</w:t>
            </w:r>
          </w:p>
        </w:tc>
        <w:tc>
          <w:tcPr>
            <w:tcW w:w="761" w:type="pct"/>
            <w:vMerge w:val="restart"/>
            <w:shd w:val="clear" w:color="auto" w:fill="auto"/>
            <w:noWrap/>
            <w:vAlign w:val="center"/>
          </w:tcPr>
          <w:p w14:paraId="57AFEA3B" w14:textId="200C39EC" w:rsidR="00C4395C" w:rsidRPr="00D104B4" w:rsidRDefault="00C4395C" w:rsidP="00682BBC">
            <w:pPr>
              <w:jc w:val="center"/>
              <w:rPr>
                <w:b/>
                <w:sz w:val="20"/>
                <w:szCs w:val="20"/>
                <w:lang w:val="en-CA" w:eastAsia="zh-CN"/>
              </w:rPr>
            </w:pPr>
            <w:r w:rsidRPr="00D104B4">
              <w:rPr>
                <w:b/>
                <w:sz w:val="20"/>
                <w:szCs w:val="20"/>
                <w:lang w:val="en-CA" w:eastAsia="zh-CN"/>
              </w:rPr>
              <w:t>Baseline (</w:t>
            </w:r>
            <w:proofErr w:type="spellStart"/>
            <w:r w:rsidRPr="00D104B4">
              <w:rPr>
                <w:b/>
                <w:sz w:val="20"/>
                <w:szCs w:val="20"/>
                <w:lang w:val="en-CA" w:eastAsia="zh-CN"/>
              </w:rPr>
              <w:t>mt</w:t>
            </w:r>
            <w:proofErr w:type="spellEnd"/>
            <w:r w:rsidRPr="00D104B4">
              <w:rPr>
                <w:b/>
                <w:sz w:val="20"/>
                <w:szCs w:val="20"/>
                <w:lang w:val="en-CA" w:eastAsia="zh-CN"/>
              </w:rPr>
              <w:t>)</w:t>
            </w:r>
          </w:p>
        </w:tc>
        <w:tc>
          <w:tcPr>
            <w:tcW w:w="873" w:type="pct"/>
            <w:vMerge w:val="restart"/>
            <w:vAlign w:val="center"/>
          </w:tcPr>
          <w:p w14:paraId="5F3177A1" w14:textId="77777777" w:rsidR="00C4395C" w:rsidRPr="00D104B4" w:rsidRDefault="00C4395C" w:rsidP="00682BBC">
            <w:pPr>
              <w:jc w:val="center"/>
              <w:rPr>
                <w:b/>
                <w:sz w:val="20"/>
                <w:szCs w:val="20"/>
                <w:lang w:val="en-CA" w:eastAsia="zh-CN"/>
              </w:rPr>
            </w:pPr>
            <w:r w:rsidRPr="00D104B4">
              <w:rPr>
                <w:b/>
                <w:sz w:val="20"/>
                <w:szCs w:val="20"/>
                <w:lang w:val="en-CA" w:eastAsia="zh-CN"/>
              </w:rPr>
              <w:t>Funding</w:t>
            </w:r>
          </w:p>
          <w:p w14:paraId="12B9C183" w14:textId="07C744B1" w:rsidR="00C4395C" w:rsidRPr="00D104B4" w:rsidRDefault="00C4395C" w:rsidP="00682BBC">
            <w:pPr>
              <w:jc w:val="center"/>
              <w:rPr>
                <w:b/>
                <w:sz w:val="20"/>
                <w:szCs w:val="20"/>
                <w:lang w:val="en-CA" w:eastAsia="zh-CN"/>
              </w:rPr>
            </w:pPr>
            <w:r w:rsidRPr="00D104B4">
              <w:rPr>
                <w:b/>
                <w:sz w:val="20"/>
                <w:szCs w:val="20"/>
                <w:lang w:val="en-CA" w:eastAsia="zh-CN"/>
              </w:rPr>
              <w:t>(US $)</w:t>
            </w:r>
          </w:p>
        </w:tc>
        <w:tc>
          <w:tcPr>
            <w:tcW w:w="587" w:type="pct"/>
            <w:vMerge w:val="restart"/>
            <w:shd w:val="clear" w:color="auto" w:fill="auto"/>
            <w:noWrap/>
            <w:vAlign w:val="center"/>
          </w:tcPr>
          <w:p w14:paraId="47571159" w14:textId="77777777" w:rsidR="00C4395C" w:rsidRPr="00D104B4" w:rsidRDefault="00C4395C" w:rsidP="00682BBC">
            <w:pPr>
              <w:jc w:val="center"/>
              <w:rPr>
                <w:b/>
                <w:sz w:val="20"/>
                <w:szCs w:val="20"/>
                <w:lang w:val="en-CA" w:eastAsia="zh-CN"/>
              </w:rPr>
            </w:pPr>
            <w:r w:rsidRPr="00D104B4">
              <w:rPr>
                <w:b/>
                <w:sz w:val="20"/>
                <w:szCs w:val="20"/>
                <w:lang w:val="en-CA" w:eastAsia="zh-CN"/>
              </w:rPr>
              <w:t>CE</w:t>
            </w:r>
          </w:p>
          <w:p w14:paraId="7B417D87" w14:textId="72415B5F" w:rsidR="00C4395C" w:rsidRPr="00D104B4" w:rsidRDefault="00C4395C" w:rsidP="00682BBC">
            <w:pPr>
              <w:jc w:val="center"/>
              <w:rPr>
                <w:b/>
                <w:sz w:val="20"/>
                <w:szCs w:val="20"/>
                <w:lang w:val="en-CA" w:eastAsia="zh-CN"/>
              </w:rPr>
            </w:pPr>
            <w:r w:rsidRPr="00D104B4">
              <w:rPr>
                <w:b/>
                <w:sz w:val="20"/>
                <w:szCs w:val="20"/>
                <w:lang w:val="en-CA" w:eastAsia="zh-CN"/>
              </w:rPr>
              <w:t>(US $/kg)</w:t>
            </w:r>
          </w:p>
        </w:tc>
        <w:tc>
          <w:tcPr>
            <w:tcW w:w="1114" w:type="pct"/>
            <w:gridSpan w:val="2"/>
            <w:shd w:val="clear" w:color="auto" w:fill="auto"/>
            <w:noWrap/>
            <w:tcMar>
              <w:left w:w="0" w:type="dxa"/>
              <w:right w:w="0" w:type="dxa"/>
            </w:tcMar>
            <w:hideMark/>
          </w:tcPr>
          <w:p w14:paraId="4531F291" w14:textId="60E91B2C" w:rsidR="00C4395C" w:rsidRPr="00D104B4" w:rsidRDefault="00C4395C" w:rsidP="00C4395C">
            <w:pPr>
              <w:jc w:val="center"/>
              <w:rPr>
                <w:b/>
                <w:sz w:val="20"/>
                <w:szCs w:val="20"/>
                <w:lang w:val="en-CA" w:eastAsia="zh-CN"/>
              </w:rPr>
            </w:pPr>
            <w:r w:rsidRPr="00D104B4">
              <w:rPr>
                <w:b/>
                <w:sz w:val="20"/>
                <w:szCs w:val="20"/>
                <w:lang w:val="en-CA" w:eastAsia="zh-CN"/>
              </w:rPr>
              <w:t>No of production lines</w:t>
            </w:r>
          </w:p>
        </w:tc>
      </w:tr>
      <w:tr w:rsidR="00C4395C" w:rsidRPr="00D104B4" w14:paraId="6C8A4197" w14:textId="77777777" w:rsidTr="00682BBC">
        <w:trPr>
          <w:tblHeader/>
        </w:trPr>
        <w:tc>
          <w:tcPr>
            <w:tcW w:w="1664" w:type="pct"/>
            <w:vMerge/>
            <w:shd w:val="clear" w:color="auto" w:fill="auto"/>
            <w:noWrap/>
          </w:tcPr>
          <w:p w14:paraId="12DA03A8" w14:textId="6FA3F5EB" w:rsidR="00C4395C" w:rsidRPr="00D104B4" w:rsidRDefault="00C4395C" w:rsidP="00C4395C">
            <w:pPr>
              <w:jc w:val="center"/>
              <w:rPr>
                <w:b/>
                <w:sz w:val="20"/>
                <w:szCs w:val="20"/>
                <w:lang w:val="en-CA" w:eastAsia="zh-CN"/>
              </w:rPr>
            </w:pPr>
          </w:p>
        </w:tc>
        <w:tc>
          <w:tcPr>
            <w:tcW w:w="761" w:type="pct"/>
            <w:vMerge/>
            <w:shd w:val="clear" w:color="auto" w:fill="auto"/>
            <w:noWrap/>
          </w:tcPr>
          <w:p w14:paraId="50CAFDBA" w14:textId="17F15310" w:rsidR="00C4395C" w:rsidRPr="00D104B4" w:rsidRDefault="00C4395C" w:rsidP="00C4395C">
            <w:pPr>
              <w:jc w:val="center"/>
              <w:rPr>
                <w:b/>
                <w:sz w:val="20"/>
                <w:szCs w:val="20"/>
                <w:lang w:val="en-CA" w:eastAsia="zh-CN"/>
              </w:rPr>
            </w:pPr>
          </w:p>
        </w:tc>
        <w:tc>
          <w:tcPr>
            <w:tcW w:w="873" w:type="pct"/>
            <w:vMerge/>
          </w:tcPr>
          <w:p w14:paraId="16749D2B" w14:textId="213DE972" w:rsidR="00C4395C" w:rsidRPr="00D104B4" w:rsidRDefault="00C4395C" w:rsidP="00C4395C">
            <w:pPr>
              <w:jc w:val="center"/>
              <w:rPr>
                <w:b/>
                <w:sz w:val="20"/>
                <w:szCs w:val="20"/>
                <w:lang w:val="en-CA" w:eastAsia="zh-CN"/>
              </w:rPr>
            </w:pPr>
          </w:p>
        </w:tc>
        <w:tc>
          <w:tcPr>
            <w:tcW w:w="587" w:type="pct"/>
            <w:vMerge/>
            <w:shd w:val="clear" w:color="auto" w:fill="auto"/>
            <w:noWrap/>
          </w:tcPr>
          <w:p w14:paraId="12BE30DF" w14:textId="6DF767D4" w:rsidR="00C4395C" w:rsidRPr="00D104B4" w:rsidRDefault="00C4395C" w:rsidP="00C4395C">
            <w:pPr>
              <w:jc w:val="center"/>
              <w:rPr>
                <w:b/>
                <w:sz w:val="20"/>
                <w:szCs w:val="20"/>
                <w:lang w:val="en-CA" w:eastAsia="zh-CN"/>
              </w:rPr>
            </w:pPr>
          </w:p>
        </w:tc>
        <w:tc>
          <w:tcPr>
            <w:tcW w:w="557" w:type="pct"/>
            <w:shd w:val="clear" w:color="auto" w:fill="auto"/>
            <w:noWrap/>
            <w:tcMar>
              <w:left w:w="0" w:type="dxa"/>
              <w:right w:w="0" w:type="dxa"/>
            </w:tcMar>
            <w:vAlign w:val="center"/>
          </w:tcPr>
          <w:p w14:paraId="2565A1F9" w14:textId="061A8829" w:rsidR="00C4395C" w:rsidRPr="00D104B4" w:rsidRDefault="00C4395C" w:rsidP="00C4395C">
            <w:pPr>
              <w:jc w:val="center"/>
              <w:rPr>
                <w:b/>
                <w:sz w:val="20"/>
                <w:szCs w:val="20"/>
                <w:lang w:val="en-CA" w:eastAsia="zh-CN"/>
              </w:rPr>
            </w:pPr>
            <w:r w:rsidRPr="00D104B4">
              <w:rPr>
                <w:b/>
                <w:sz w:val="20"/>
                <w:szCs w:val="20"/>
                <w:lang w:val="en-CA" w:eastAsia="zh-CN"/>
              </w:rPr>
              <w:t>Swing</w:t>
            </w:r>
          </w:p>
        </w:tc>
        <w:tc>
          <w:tcPr>
            <w:tcW w:w="557" w:type="pct"/>
            <w:tcMar>
              <w:left w:w="0" w:type="dxa"/>
              <w:right w:w="0" w:type="dxa"/>
            </w:tcMar>
            <w:vAlign w:val="center"/>
          </w:tcPr>
          <w:p w14:paraId="47038175" w14:textId="429E3371" w:rsidR="00C4395C" w:rsidRPr="00D104B4" w:rsidRDefault="00C4395C" w:rsidP="00C4395C">
            <w:pPr>
              <w:jc w:val="center"/>
              <w:rPr>
                <w:b/>
                <w:sz w:val="20"/>
                <w:szCs w:val="20"/>
                <w:lang w:val="en-CA" w:eastAsia="zh-CN"/>
              </w:rPr>
            </w:pPr>
            <w:r w:rsidRPr="00D104B4">
              <w:rPr>
                <w:b/>
                <w:sz w:val="20"/>
                <w:szCs w:val="20"/>
                <w:lang w:val="en-CA" w:eastAsia="zh-CN"/>
              </w:rPr>
              <w:t>Non-swing</w:t>
            </w:r>
          </w:p>
        </w:tc>
      </w:tr>
      <w:tr w:rsidR="00C4395C" w:rsidRPr="00D104B4" w14:paraId="42F3CF91" w14:textId="77777777" w:rsidTr="008B5A7F">
        <w:tc>
          <w:tcPr>
            <w:tcW w:w="1664" w:type="pct"/>
            <w:shd w:val="clear" w:color="auto" w:fill="auto"/>
            <w:noWrap/>
            <w:vAlign w:val="center"/>
            <w:hideMark/>
          </w:tcPr>
          <w:p w14:paraId="4E6028D3" w14:textId="77777777" w:rsidR="0084088D" w:rsidRPr="00D104B4" w:rsidRDefault="0084088D" w:rsidP="001C2366">
            <w:pPr>
              <w:jc w:val="left"/>
              <w:rPr>
                <w:sz w:val="20"/>
                <w:szCs w:val="20"/>
                <w:lang w:val="en-CA" w:eastAsia="zh-CN"/>
              </w:rPr>
            </w:pPr>
            <w:r w:rsidRPr="00D104B4">
              <w:rPr>
                <w:sz w:val="20"/>
                <w:szCs w:val="20"/>
                <w:lang w:val="en-CA" w:eastAsia="zh-CN"/>
              </w:rPr>
              <w:t>Argentina</w:t>
            </w:r>
          </w:p>
        </w:tc>
        <w:tc>
          <w:tcPr>
            <w:tcW w:w="761" w:type="pct"/>
            <w:shd w:val="clear" w:color="auto" w:fill="auto"/>
            <w:noWrap/>
            <w:hideMark/>
          </w:tcPr>
          <w:p w14:paraId="5A0B0A15" w14:textId="77777777" w:rsidR="0084088D" w:rsidRPr="00D104B4" w:rsidRDefault="0084088D" w:rsidP="001C2366">
            <w:pPr>
              <w:jc w:val="right"/>
              <w:rPr>
                <w:sz w:val="20"/>
                <w:szCs w:val="20"/>
                <w:lang w:val="en-CA" w:eastAsia="zh-CN"/>
              </w:rPr>
            </w:pPr>
            <w:r w:rsidRPr="00D104B4">
              <w:rPr>
                <w:sz w:val="20"/>
                <w:szCs w:val="20"/>
                <w:lang w:val="en-CA" w:eastAsia="zh-CN"/>
              </w:rPr>
              <w:t>2,745.30</w:t>
            </w:r>
          </w:p>
        </w:tc>
        <w:tc>
          <w:tcPr>
            <w:tcW w:w="873" w:type="pct"/>
          </w:tcPr>
          <w:p w14:paraId="748EA2E4" w14:textId="77777777" w:rsidR="0084088D" w:rsidRPr="00D104B4" w:rsidRDefault="0084088D" w:rsidP="001C2366">
            <w:pPr>
              <w:jc w:val="right"/>
              <w:rPr>
                <w:sz w:val="20"/>
                <w:szCs w:val="20"/>
                <w:lang w:val="en-CA" w:eastAsia="zh-CN"/>
              </w:rPr>
            </w:pPr>
            <w:r w:rsidRPr="00D104B4">
              <w:rPr>
                <w:sz w:val="20"/>
                <w:szCs w:val="20"/>
                <w:lang w:val="en-CA" w:eastAsia="zh-CN"/>
              </w:rPr>
              <w:t>10,600,000</w:t>
            </w:r>
          </w:p>
        </w:tc>
        <w:tc>
          <w:tcPr>
            <w:tcW w:w="587" w:type="pct"/>
            <w:shd w:val="clear" w:color="auto" w:fill="auto"/>
            <w:noWrap/>
            <w:hideMark/>
          </w:tcPr>
          <w:p w14:paraId="1F0BE7D0" w14:textId="77777777" w:rsidR="0084088D" w:rsidRPr="00D104B4" w:rsidRDefault="0084088D" w:rsidP="001C2366">
            <w:pPr>
              <w:jc w:val="right"/>
              <w:rPr>
                <w:sz w:val="20"/>
                <w:szCs w:val="20"/>
                <w:lang w:val="en-CA" w:eastAsia="zh-CN"/>
              </w:rPr>
            </w:pPr>
            <w:r w:rsidRPr="00D104B4">
              <w:rPr>
                <w:sz w:val="20"/>
                <w:szCs w:val="20"/>
                <w:lang w:val="en-CA" w:eastAsia="zh-CN"/>
              </w:rPr>
              <w:t>3.86</w:t>
            </w:r>
          </w:p>
        </w:tc>
        <w:tc>
          <w:tcPr>
            <w:tcW w:w="557" w:type="pct"/>
            <w:shd w:val="clear" w:color="auto" w:fill="auto"/>
            <w:noWrap/>
            <w:hideMark/>
          </w:tcPr>
          <w:p w14:paraId="26C8C818" w14:textId="77777777" w:rsidR="0084088D" w:rsidRPr="00D104B4" w:rsidRDefault="0084088D" w:rsidP="001C2366">
            <w:pPr>
              <w:jc w:val="right"/>
              <w:rPr>
                <w:color w:val="000000"/>
                <w:sz w:val="20"/>
                <w:szCs w:val="20"/>
                <w:lang w:val="en-CA"/>
              </w:rPr>
            </w:pPr>
            <w:r w:rsidRPr="00D104B4">
              <w:rPr>
                <w:color w:val="000000"/>
                <w:sz w:val="20"/>
                <w:szCs w:val="20"/>
                <w:lang w:val="en-CA"/>
              </w:rPr>
              <w:t>1</w:t>
            </w:r>
          </w:p>
        </w:tc>
        <w:tc>
          <w:tcPr>
            <w:tcW w:w="557" w:type="pct"/>
          </w:tcPr>
          <w:p w14:paraId="7FB0F6AA" w14:textId="77777777" w:rsidR="0084088D" w:rsidRPr="00D104B4" w:rsidRDefault="0084088D" w:rsidP="001C2366">
            <w:pPr>
              <w:jc w:val="right"/>
              <w:rPr>
                <w:color w:val="000000"/>
                <w:sz w:val="20"/>
                <w:szCs w:val="20"/>
                <w:lang w:val="en-CA"/>
              </w:rPr>
            </w:pPr>
            <w:r w:rsidRPr="00D104B4">
              <w:rPr>
                <w:color w:val="000000"/>
                <w:sz w:val="20"/>
                <w:szCs w:val="20"/>
                <w:lang w:val="en-CA"/>
              </w:rPr>
              <w:t>0</w:t>
            </w:r>
          </w:p>
        </w:tc>
      </w:tr>
      <w:tr w:rsidR="00C4395C" w:rsidRPr="00D104B4" w14:paraId="1CCEE75B" w14:textId="77777777" w:rsidTr="008B5A7F">
        <w:tc>
          <w:tcPr>
            <w:tcW w:w="1664" w:type="pct"/>
            <w:shd w:val="clear" w:color="auto" w:fill="auto"/>
            <w:noWrap/>
            <w:vAlign w:val="center"/>
            <w:hideMark/>
          </w:tcPr>
          <w:p w14:paraId="1E6ED89A" w14:textId="77777777" w:rsidR="0084088D" w:rsidRPr="00D104B4" w:rsidRDefault="0084088D" w:rsidP="001C2366">
            <w:pPr>
              <w:jc w:val="left"/>
              <w:rPr>
                <w:sz w:val="20"/>
                <w:szCs w:val="20"/>
                <w:lang w:val="en-CA" w:eastAsia="zh-CN"/>
              </w:rPr>
            </w:pPr>
            <w:r w:rsidRPr="00D104B4">
              <w:rPr>
                <w:sz w:val="20"/>
                <w:szCs w:val="20"/>
                <w:lang w:val="en-CA" w:eastAsia="zh-CN"/>
              </w:rPr>
              <w:t>China</w:t>
            </w:r>
          </w:p>
        </w:tc>
        <w:tc>
          <w:tcPr>
            <w:tcW w:w="761" w:type="pct"/>
            <w:shd w:val="clear" w:color="auto" w:fill="auto"/>
            <w:noWrap/>
            <w:hideMark/>
          </w:tcPr>
          <w:p w14:paraId="1D784724" w14:textId="77777777" w:rsidR="0084088D" w:rsidRPr="00D104B4" w:rsidRDefault="0084088D" w:rsidP="001C2366">
            <w:pPr>
              <w:jc w:val="right"/>
              <w:rPr>
                <w:sz w:val="20"/>
                <w:szCs w:val="20"/>
                <w:lang w:val="en-CA" w:eastAsia="zh-CN"/>
              </w:rPr>
            </w:pPr>
            <w:r w:rsidRPr="00D104B4">
              <w:rPr>
                <w:sz w:val="20"/>
                <w:szCs w:val="20"/>
                <w:lang w:val="en-CA" w:eastAsia="zh-CN"/>
              </w:rPr>
              <w:t>47,003.90</w:t>
            </w:r>
          </w:p>
        </w:tc>
        <w:tc>
          <w:tcPr>
            <w:tcW w:w="873" w:type="pct"/>
          </w:tcPr>
          <w:p w14:paraId="2A4DF696" w14:textId="77777777" w:rsidR="0084088D" w:rsidRPr="00D104B4" w:rsidRDefault="0084088D" w:rsidP="001C2366">
            <w:pPr>
              <w:jc w:val="right"/>
              <w:rPr>
                <w:sz w:val="20"/>
                <w:szCs w:val="20"/>
                <w:lang w:val="en-CA" w:eastAsia="zh-CN"/>
              </w:rPr>
            </w:pPr>
            <w:r w:rsidRPr="00D104B4">
              <w:rPr>
                <w:sz w:val="20"/>
                <w:szCs w:val="20"/>
                <w:lang w:val="en-CA" w:eastAsia="zh-CN"/>
              </w:rPr>
              <w:t>160,000,000</w:t>
            </w:r>
          </w:p>
        </w:tc>
        <w:tc>
          <w:tcPr>
            <w:tcW w:w="587" w:type="pct"/>
            <w:shd w:val="clear" w:color="auto" w:fill="auto"/>
            <w:noWrap/>
            <w:hideMark/>
          </w:tcPr>
          <w:p w14:paraId="0BF9AF6A" w14:textId="77777777" w:rsidR="0084088D" w:rsidRPr="00D104B4" w:rsidRDefault="0084088D" w:rsidP="001C2366">
            <w:pPr>
              <w:jc w:val="right"/>
              <w:rPr>
                <w:sz w:val="20"/>
                <w:szCs w:val="20"/>
                <w:lang w:val="en-CA" w:eastAsia="zh-CN"/>
              </w:rPr>
            </w:pPr>
            <w:r w:rsidRPr="00D104B4">
              <w:rPr>
                <w:sz w:val="20"/>
                <w:szCs w:val="20"/>
                <w:lang w:val="en-CA" w:eastAsia="zh-CN"/>
              </w:rPr>
              <w:t>3.40</w:t>
            </w:r>
          </w:p>
        </w:tc>
        <w:tc>
          <w:tcPr>
            <w:tcW w:w="557" w:type="pct"/>
            <w:shd w:val="clear" w:color="auto" w:fill="auto"/>
            <w:noWrap/>
            <w:hideMark/>
          </w:tcPr>
          <w:p w14:paraId="04CB1D99" w14:textId="77777777" w:rsidR="0084088D" w:rsidRPr="00D104B4" w:rsidRDefault="0084088D" w:rsidP="001C2366">
            <w:pPr>
              <w:jc w:val="right"/>
              <w:rPr>
                <w:color w:val="000000"/>
                <w:sz w:val="20"/>
                <w:szCs w:val="20"/>
                <w:lang w:val="en-CA"/>
              </w:rPr>
            </w:pPr>
            <w:r w:rsidRPr="00D104B4">
              <w:rPr>
                <w:color w:val="000000"/>
                <w:sz w:val="20"/>
                <w:szCs w:val="20"/>
                <w:lang w:val="en-CA"/>
              </w:rPr>
              <w:t>0</w:t>
            </w:r>
            <w:r w:rsidR="00567FD0" w:rsidRPr="00D104B4">
              <w:rPr>
                <w:color w:val="000000"/>
                <w:sz w:val="20"/>
                <w:szCs w:val="20"/>
                <w:lang w:val="en-CA"/>
              </w:rPr>
              <w:t>*</w:t>
            </w:r>
          </w:p>
        </w:tc>
        <w:tc>
          <w:tcPr>
            <w:tcW w:w="557" w:type="pct"/>
          </w:tcPr>
          <w:p w14:paraId="7F3B30DF" w14:textId="77777777" w:rsidR="0084088D" w:rsidRPr="00D104B4" w:rsidRDefault="0084088D" w:rsidP="001C2366">
            <w:pPr>
              <w:jc w:val="right"/>
              <w:rPr>
                <w:color w:val="000000"/>
                <w:sz w:val="20"/>
                <w:szCs w:val="20"/>
                <w:lang w:val="en-CA"/>
              </w:rPr>
            </w:pPr>
            <w:r w:rsidRPr="00D104B4">
              <w:rPr>
                <w:color w:val="000000"/>
                <w:sz w:val="20"/>
                <w:szCs w:val="20"/>
                <w:lang w:val="en-CA"/>
              </w:rPr>
              <w:t>18</w:t>
            </w:r>
          </w:p>
        </w:tc>
      </w:tr>
      <w:tr w:rsidR="007465BB" w:rsidRPr="00D104B4" w14:paraId="40DB3FC1" w14:textId="77777777" w:rsidTr="007465BB">
        <w:tc>
          <w:tcPr>
            <w:tcW w:w="1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E5AC" w14:textId="77777777" w:rsidR="007465BB" w:rsidRPr="00D104B4" w:rsidRDefault="007465BB" w:rsidP="005B50C6">
            <w:pPr>
              <w:jc w:val="left"/>
              <w:rPr>
                <w:sz w:val="20"/>
                <w:szCs w:val="20"/>
                <w:lang w:val="en-CA" w:eastAsia="zh-CN"/>
              </w:rPr>
            </w:pPr>
            <w:r w:rsidRPr="007465BB">
              <w:rPr>
                <w:sz w:val="20"/>
                <w:szCs w:val="20"/>
                <w:lang w:val="en-CA" w:eastAsia="zh-CN"/>
              </w:rPr>
              <w:t>Democratic People's Republic of Korea (the)</w:t>
            </w:r>
          </w:p>
        </w:tc>
        <w:tc>
          <w:tcPr>
            <w:tcW w:w="761" w:type="pct"/>
            <w:tcBorders>
              <w:top w:val="single" w:sz="4" w:space="0" w:color="auto"/>
              <w:left w:val="single" w:sz="4" w:space="0" w:color="auto"/>
              <w:bottom w:val="single" w:sz="4" w:space="0" w:color="auto"/>
              <w:right w:val="single" w:sz="4" w:space="0" w:color="auto"/>
            </w:tcBorders>
            <w:shd w:val="clear" w:color="auto" w:fill="auto"/>
            <w:noWrap/>
            <w:hideMark/>
          </w:tcPr>
          <w:p w14:paraId="59B8AD5B" w14:textId="77777777" w:rsidR="007465BB" w:rsidRPr="00D104B4" w:rsidRDefault="007465BB" w:rsidP="005B50C6">
            <w:pPr>
              <w:jc w:val="right"/>
              <w:rPr>
                <w:sz w:val="20"/>
                <w:szCs w:val="20"/>
                <w:lang w:val="en-CA" w:eastAsia="zh-CN"/>
              </w:rPr>
            </w:pPr>
            <w:r w:rsidRPr="00D104B4">
              <w:rPr>
                <w:sz w:val="20"/>
                <w:szCs w:val="20"/>
                <w:lang w:val="en-CA" w:eastAsia="zh-CN"/>
              </w:rPr>
              <w:t>414.99</w:t>
            </w:r>
          </w:p>
        </w:tc>
        <w:tc>
          <w:tcPr>
            <w:tcW w:w="873" w:type="pct"/>
            <w:tcBorders>
              <w:top w:val="single" w:sz="4" w:space="0" w:color="auto"/>
              <w:left w:val="single" w:sz="4" w:space="0" w:color="auto"/>
              <w:bottom w:val="single" w:sz="4" w:space="0" w:color="auto"/>
              <w:right w:val="single" w:sz="4" w:space="0" w:color="auto"/>
            </w:tcBorders>
          </w:tcPr>
          <w:p w14:paraId="1CDF6CE7" w14:textId="77777777" w:rsidR="007465BB" w:rsidRPr="00D104B4" w:rsidRDefault="007465BB" w:rsidP="005B50C6">
            <w:pPr>
              <w:jc w:val="right"/>
              <w:rPr>
                <w:sz w:val="20"/>
                <w:szCs w:val="20"/>
                <w:lang w:val="en-CA" w:eastAsia="zh-CN"/>
              </w:rPr>
            </w:pPr>
            <w:r w:rsidRPr="00D104B4">
              <w:rPr>
                <w:sz w:val="20"/>
                <w:szCs w:val="20"/>
                <w:lang w:val="en-CA" w:eastAsia="zh-CN"/>
              </w:rPr>
              <w:t>1,421,400</w:t>
            </w:r>
          </w:p>
        </w:tc>
        <w:tc>
          <w:tcPr>
            <w:tcW w:w="587" w:type="pct"/>
            <w:tcBorders>
              <w:top w:val="single" w:sz="4" w:space="0" w:color="auto"/>
              <w:left w:val="single" w:sz="4" w:space="0" w:color="auto"/>
              <w:bottom w:val="single" w:sz="4" w:space="0" w:color="auto"/>
              <w:right w:val="single" w:sz="4" w:space="0" w:color="auto"/>
            </w:tcBorders>
            <w:shd w:val="clear" w:color="auto" w:fill="auto"/>
            <w:noWrap/>
            <w:hideMark/>
          </w:tcPr>
          <w:p w14:paraId="4261A286" w14:textId="77777777" w:rsidR="007465BB" w:rsidRPr="00D104B4" w:rsidRDefault="007465BB" w:rsidP="005B50C6">
            <w:pPr>
              <w:jc w:val="right"/>
              <w:rPr>
                <w:sz w:val="20"/>
                <w:szCs w:val="20"/>
                <w:lang w:val="en-CA" w:eastAsia="zh-CN"/>
              </w:rPr>
            </w:pPr>
            <w:r w:rsidRPr="00D104B4">
              <w:rPr>
                <w:sz w:val="20"/>
                <w:szCs w:val="20"/>
                <w:lang w:val="en-CA" w:eastAsia="zh-CN"/>
              </w:rPr>
              <w:t>3.43</w:t>
            </w:r>
          </w:p>
        </w:tc>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14:paraId="36A4C8E5" w14:textId="77777777" w:rsidR="007465BB" w:rsidRPr="00D104B4" w:rsidRDefault="007465BB" w:rsidP="005B50C6">
            <w:pPr>
              <w:jc w:val="right"/>
              <w:rPr>
                <w:color w:val="000000"/>
                <w:sz w:val="20"/>
                <w:szCs w:val="20"/>
                <w:lang w:val="en-CA"/>
              </w:rPr>
            </w:pPr>
            <w:r w:rsidRPr="00D104B4">
              <w:rPr>
                <w:color w:val="000000"/>
                <w:sz w:val="20"/>
                <w:szCs w:val="20"/>
                <w:lang w:val="en-CA"/>
              </w:rPr>
              <w:t>0</w:t>
            </w:r>
          </w:p>
        </w:tc>
        <w:tc>
          <w:tcPr>
            <w:tcW w:w="557" w:type="pct"/>
            <w:tcBorders>
              <w:top w:val="single" w:sz="4" w:space="0" w:color="auto"/>
              <w:left w:val="single" w:sz="4" w:space="0" w:color="auto"/>
              <w:bottom w:val="single" w:sz="4" w:space="0" w:color="auto"/>
              <w:right w:val="single" w:sz="4" w:space="0" w:color="auto"/>
            </w:tcBorders>
          </w:tcPr>
          <w:p w14:paraId="6ABBC757" w14:textId="77777777" w:rsidR="007465BB" w:rsidRPr="00D104B4" w:rsidRDefault="007465BB" w:rsidP="005B50C6">
            <w:pPr>
              <w:jc w:val="right"/>
              <w:rPr>
                <w:color w:val="000000"/>
                <w:sz w:val="20"/>
                <w:szCs w:val="20"/>
                <w:lang w:val="en-CA"/>
              </w:rPr>
            </w:pPr>
            <w:r w:rsidRPr="00D104B4">
              <w:rPr>
                <w:color w:val="000000"/>
                <w:sz w:val="20"/>
                <w:szCs w:val="20"/>
                <w:lang w:val="en-CA"/>
              </w:rPr>
              <w:t>1</w:t>
            </w:r>
          </w:p>
        </w:tc>
      </w:tr>
      <w:tr w:rsidR="00C4395C" w:rsidRPr="00D104B4" w14:paraId="720E4F9D" w14:textId="77777777" w:rsidTr="008B5A7F">
        <w:tc>
          <w:tcPr>
            <w:tcW w:w="1664" w:type="pct"/>
            <w:shd w:val="clear" w:color="auto" w:fill="auto"/>
            <w:noWrap/>
            <w:vAlign w:val="center"/>
            <w:hideMark/>
          </w:tcPr>
          <w:p w14:paraId="488E49C7" w14:textId="77777777" w:rsidR="0084088D" w:rsidRPr="00D104B4" w:rsidRDefault="0084088D" w:rsidP="001C2366">
            <w:pPr>
              <w:jc w:val="left"/>
              <w:rPr>
                <w:sz w:val="20"/>
                <w:szCs w:val="20"/>
                <w:lang w:val="en-CA" w:eastAsia="zh-CN"/>
              </w:rPr>
            </w:pPr>
            <w:r w:rsidRPr="00D104B4">
              <w:rPr>
                <w:sz w:val="20"/>
                <w:szCs w:val="20"/>
                <w:lang w:val="en-CA" w:eastAsia="zh-CN"/>
              </w:rPr>
              <w:t>India</w:t>
            </w:r>
          </w:p>
        </w:tc>
        <w:tc>
          <w:tcPr>
            <w:tcW w:w="761" w:type="pct"/>
            <w:shd w:val="clear" w:color="auto" w:fill="auto"/>
            <w:noWrap/>
            <w:hideMark/>
          </w:tcPr>
          <w:p w14:paraId="15B12838" w14:textId="77777777" w:rsidR="0084088D" w:rsidRPr="00D104B4" w:rsidRDefault="0084088D" w:rsidP="001C2366">
            <w:pPr>
              <w:jc w:val="right"/>
              <w:rPr>
                <w:sz w:val="20"/>
                <w:szCs w:val="20"/>
                <w:lang w:val="en-CA" w:eastAsia="zh-CN"/>
              </w:rPr>
            </w:pPr>
            <w:r w:rsidRPr="00D104B4">
              <w:rPr>
                <w:sz w:val="20"/>
                <w:szCs w:val="20"/>
                <w:lang w:val="en-CA" w:eastAsia="zh-CN"/>
              </w:rPr>
              <w:t>22,632.40</w:t>
            </w:r>
          </w:p>
        </w:tc>
        <w:tc>
          <w:tcPr>
            <w:tcW w:w="873" w:type="pct"/>
          </w:tcPr>
          <w:p w14:paraId="4860A66A" w14:textId="77777777" w:rsidR="0084088D" w:rsidRPr="00D104B4" w:rsidRDefault="0084088D" w:rsidP="001C2366">
            <w:pPr>
              <w:jc w:val="right"/>
              <w:rPr>
                <w:sz w:val="20"/>
                <w:szCs w:val="20"/>
                <w:lang w:val="en-CA" w:eastAsia="zh-CN"/>
              </w:rPr>
            </w:pPr>
            <w:r w:rsidRPr="00D104B4">
              <w:rPr>
                <w:sz w:val="20"/>
                <w:szCs w:val="20"/>
                <w:lang w:val="en-CA" w:eastAsia="zh-CN"/>
              </w:rPr>
              <w:t>85,170,000</w:t>
            </w:r>
          </w:p>
        </w:tc>
        <w:tc>
          <w:tcPr>
            <w:tcW w:w="587" w:type="pct"/>
            <w:shd w:val="clear" w:color="auto" w:fill="auto"/>
            <w:noWrap/>
            <w:hideMark/>
          </w:tcPr>
          <w:p w14:paraId="3EDD0195" w14:textId="77777777" w:rsidR="0084088D" w:rsidRPr="00D104B4" w:rsidRDefault="0084088D" w:rsidP="001C2366">
            <w:pPr>
              <w:jc w:val="right"/>
              <w:rPr>
                <w:sz w:val="20"/>
                <w:szCs w:val="20"/>
                <w:lang w:val="en-CA" w:eastAsia="zh-CN"/>
              </w:rPr>
            </w:pPr>
            <w:r w:rsidRPr="00D104B4">
              <w:rPr>
                <w:sz w:val="20"/>
                <w:szCs w:val="20"/>
                <w:lang w:val="en-CA" w:eastAsia="zh-CN"/>
              </w:rPr>
              <w:t>3.76</w:t>
            </w:r>
          </w:p>
        </w:tc>
        <w:tc>
          <w:tcPr>
            <w:tcW w:w="557" w:type="pct"/>
            <w:shd w:val="clear" w:color="auto" w:fill="auto"/>
            <w:noWrap/>
            <w:hideMark/>
          </w:tcPr>
          <w:p w14:paraId="3F927923" w14:textId="77777777" w:rsidR="0084088D" w:rsidRPr="00D104B4" w:rsidRDefault="0084088D" w:rsidP="001C2366">
            <w:pPr>
              <w:jc w:val="right"/>
              <w:rPr>
                <w:color w:val="000000"/>
                <w:sz w:val="20"/>
                <w:szCs w:val="20"/>
                <w:lang w:val="en-CA"/>
              </w:rPr>
            </w:pPr>
            <w:r w:rsidRPr="00D104B4">
              <w:rPr>
                <w:color w:val="000000"/>
                <w:sz w:val="20"/>
                <w:szCs w:val="20"/>
                <w:lang w:val="en-CA"/>
              </w:rPr>
              <w:t>4</w:t>
            </w:r>
          </w:p>
        </w:tc>
        <w:tc>
          <w:tcPr>
            <w:tcW w:w="557" w:type="pct"/>
          </w:tcPr>
          <w:p w14:paraId="713DFC8B" w14:textId="77777777" w:rsidR="0084088D" w:rsidRPr="00D104B4" w:rsidRDefault="0084088D" w:rsidP="001C2366">
            <w:pPr>
              <w:jc w:val="right"/>
              <w:rPr>
                <w:color w:val="000000"/>
                <w:sz w:val="20"/>
                <w:szCs w:val="20"/>
                <w:lang w:val="en-CA"/>
              </w:rPr>
            </w:pPr>
            <w:r w:rsidRPr="00D104B4">
              <w:rPr>
                <w:color w:val="000000"/>
                <w:sz w:val="20"/>
                <w:szCs w:val="20"/>
                <w:lang w:val="en-CA"/>
              </w:rPr>
              <w:t>1</w:t>
            </w:r>
          </w:p>
        </w:tc>
      </w:tr>
      <w:tr w:rsidR="00C4395C" w:rsidRPr="00D104B4" w14:paraId="1992FA17" w14:textId="77777777" w:rsidTr="008B5A7F">
        <w:tc>
          <w:tcPr>
            <w:tcW w:w="1664" w:type="pct"/>
            <w:shd w:val="clear" w:color="auto" w:fill="auto"/>
            <w:noWrap/>
            <w:vAlign w:val="center"/>
            <w:hideMark/>
          </w:tcPr>
          <w:p w14:paraId="2A112243" w14:textId="77777777" w:rsidR="0084088D" w:rsidRPr="00D104B4" w:rsidRDefault="0084088D" w:rsidP="001C2366">
            <w:pPr>
              <w:jc w:val="left"/>
              <w:rPr>
                <w:sz w:val="20"/>
                <w:szCs w:val="20"/>
                <w:lang w:val="en-CA" w:eastAsia="zh-CN"/>
              </w:rPr>
            </w:pPr>
            <w:r w:rsidRPr="00D104B4">
              <w:rPr>
                <w:sz w:val="20"/>
                <w:szCs w:val="20"/>
                <w:lang w:val="en-CA" w:eastAsia="zh-CN"/>
              </w:rPr>
              <w:t>Mexico</w:t>
            </w:r>
          </w:p>
        </w:tc>
        <w:tc>
          <w:tcPr>
            <w:tcW w:w="761" w:type="pct"/>
            <w:shd w:val="clear" w:color="auto" w:fill="auto"/>
            <w:noWrap/>
            <w:hideMark/>
          </w:tcPr>
          <w:p w14:paraId="6E5C314A" w14:textId="77777777" w:rsidR="0084088D" w:rsidRPr="00D104B4" w:rsidRDefault="0084088D" w:rsidP="001C2366">
            <w:pPr>
              <w:jc w:val="right"/>
              <w:rPr>
                <w:sz w:val="20"/>
                <w:szCs w:val="20"/>
                <w:lang w:val="en-CA" w:eastAsia="zh-CN"/>
              </w:rPr>
            </w:pPr>
            <w:r w:rsidRPr="00D104B4">
              <w:rPr>
                <w:sz w:val="20"/>
                <w:szCs w:val="20"/>
                <w:lang w:val="en-CA" w:eastAsia="zh-CN"/>
              </w:rPr>
              <w:t>11,042.30</w:t>
            </w:r>
          </w:p>
        </w:tc>
        <w:tc>
          <w:tcPr>
            <w:tcW w:w="873" w:type="pct"/>
          </w:tcPr>
          <w:p w14:paraId="61DBD2A0" w14:textId="77777777" w:rsidR="0084088D" w:rsidRPr="00D104B4" w:rsidRDefault="0084088D" w:rsidP="001C2366">
            <w:pPr>
              <w:jc w:val="right"/>
              <w:rPr>
                <w:sz w:val="20"/>
                <w:szCs w:val="20"/>
                <w:lang w:val="en-CA" w:eastAsia="zh-CN"/>
              </w:rPr>
            </w:pPr>
            <w:r w:rsidRPr="00D104B4">
              <w:rPr>
                <w:sz w:val="20"/>
                <w:szCs w:val="20"/>
                <w:lang w:val="en-CA" w:eastAsia="zh-CN"/>
              </w:rPr>
              <w:t>31,850,000</w:t>
            </w:r>
          </w:p>
        </w:tc>
        <w:tc>
          <w:tcPr>
            <w:tcW w:w="587" w:type="pct"/>
            <w:shd w:val="clear" w:color="auto" w:fill="auto"/>
            <w:noWrap/>
            <w:hideMark/>
          </w:tcPr>
          <w:p w14:paraId="492C2FF2" w14:textId="77777777" w:rsidR="0084088D" w:rsidRPr="00D104B4" w:rsidRDefault="0084088D" w:rsidP="001C2366">
            <w:pPr>
              <w:jc w:val="right"/>
              <w:rPr>
                <w:sz w:val="20"/>
                <w:szCs w:val="20"/>
                <w:lang w:val="en-CA" w:eastAsia="zh-CN"/>
              </w:rPr>
            </w:pPr>
            <w:r w:rsidRPr="00D104B4">
              <w:rPr>
                <w:sz w:val="20"/>
                <w:szCs w:val="20"/>
                <w:lang w:val="en-CA" w:eastAsia="zh-CN"/>
              </w:rPr>
              <w:t>2.88</w:t>
            </w:r>
          </w:p>
        </w:tc>
        <w:tc>
          <w:tcPr>
            <w:tcW w:w="557" w:type="pct"/>
            <w:shd w:val="clear" w:color="auto" w:fill="auto"/>
            <w:noWrap/>
            <w:hideMark/>
          </w:tcPr>
          <w:p w14:paraId="3F383F5D" w14:textId="77777777" w:rsidR="0084088D" w:rsidRPr="00D104B4" w:rsidRDefault="0084088D" w:rsidP="001C2366">
            <w:pPr>
              <w:jc w:val="right"/>
              <w:rPr>
                <w:color w:val="000000"/>
                <w:sz w:val="20"/>
                <w:szCs w:val="20"/>
                <w:lang w:val="en-CA"/>
              </w:rPr>
            </w:pPr>
            <w:r w:rsidRPr="00D104B4">
              <w:rPr>
                <w:color w:val="000000"/>
                <w:sz w:val="20"/>
                <w:szCs w:val="20"/>
                <w:lang w:val="en-CA"/>
              </w:rPr>
              <w:t>2</w:t>
            </w:r>
          </w:p>
        </w:tc>
        <w:tc>
          <w:tcPr>
            <w:tcW w:w="557" w:type="pct"/>
          </w:tcPr>
          <w:p w14:paraId="6BE3B490" w14:textId="77777777" w:rsidR="0084088D" w:rsidRPr="00D104B4" w:rsidRDefault="0084088D" w:rsidP="001C2366">
            <w:pPr>
              <w:jc w:val="right"/>
              <w:rPr>
                <w:color w:val="000000"/>
                <w:sz w:val="20"/>
                <w:szCs w:val="20"/>
                <w:lang w:val="en-CA"/>
              </w:rPr>
            </w:pPr>
            <w:r w:rsidRPr="00D104B4">
              <w:rPr>
                <w:color w:val="000000"/>
                <w:sz w:val="20"/>
                <w:szCs w:val="20"/>
                <w:lang w:val="en-CA"/>
              </w:rPr>
              <w:t>0</w:t>
            </w:r>
          </w:p>
        </w:tc>
      </w:tr>
      <w:tr w:rsidR="00C4395C" w:rsidRPr="00D104B4" w14:paraId="4D8B35B6" w14:textId="77777777" w:rsidTr="008B5A7F">
        <w:tc>
          <w:tcPr>
            <w:tcW w:w="1664" w:type="pct"/>
            <w:shd w:val="clear" w:color="auto" w:fill="auto"/>
            <w:noWrap/>
            <w:vAlign w:val="center"/>
            <w:hideMark/>
          </w:tcPr>
          <w:p w14:paraId="36910EE9" w14:textId="77777777" w:rsidR="0084088D" w:rsidRPr="00D104B4" w:rsidRDefault="0084088D" w:rsidP="001C2366">
            <w:pPr>
              <w:jc w:val="left"/>
              <w:rPr>
                <w:sz w:val="20"/>
                <w:szCs w:val="20"/>
                <w:lang w:val="en-CA" w:eastAsia="zh-CN"/>
              </w:rPr>
            </w:pPr>
            <w:r w:rsidRPr="00D104B4">
              <w:rPr>
                <w:sz w:val="20"/>
                <w:szCs w:val="20"/>
                <w:lang w:val="en-CA" w:eastAsia="zh-CN"/>
              </w:rPr>
              <w:t>Venezuela (Bolivarian Republic of)</w:t>
            </w:r>
          </w:p>
        </w:tc>
        <w:tc>
          <w:tcPr>
            <w:tcW w:w="761" w:type="pct"/>
            <w:shd w:val="clear" w:color="auto" w:fill="auto"/>
            <w:noWrap/>
            <w:hideMark/>
          </w:tcPr>
          <w:p w14:paraId="75F5D037" w14:textId="77777777" w:rsidR="0084088D" w:rsidRPr="00D104B4" w:rsidRDefault="0084088D" w:rsidP="001C2366">
            <w:pPr>
              <w:jc w:val="right"/>
              <w:rPr>
                <w:sz w:val="20"/>
                <w:szCs w:val="20"/>
                <w:lang w:val="en-CA" w:eastAsia="zh-CN"/>
              </w:rPr>
            </w:pPr>
            <w:r w:rsidRPr="00D104B4">
              <w:rPr>
                <w:sz w:val="20"/>
                <w:szCs w:val="20"/>
                <w:lang w:val="en-CA" w:eastAsia="zh-CN"/>
              </w:rPr>
              <w:t>4,786.90</w:t>
            </w:r>
          </w:p>
        </w:tc>
        <w:tc>
          <w:tcPr>
            <w:tcW w:w="873" w:type="pct"/>
          </w:tcPr>
          <w:p w14:paraId="7241CA6F" w14:textId="77777777" w:rsidR="0084088D" w:rsidRPr="00D104B4" w:rsidRDefault="0084088D" w:rsidP="001C2366">
            <w:pPr>
              <w:jc w:val="right"/>
              <w:rPr>
                <w:sz w:val="20"/>
                <w:szCs w:val="20"/>
                <w:lang w:val="en-CA" w:eastAsia="zh-CN"/>
              </w:rPr>
            </w:pPr>
            <w:r w:rsidRPr="00D104B4">
              <w:rPr>
                <w:sz w:val="20"/>
                <w:szCs w:val="20"/>
                <w:lang w:val="en-CA" w:eastAsia="zh-CN"/>
              </w:rPr>
              <w:t>16,500,000</w:t>
            </w:r>
          </w:p>
        </w:tc>
        <w:tc>
          <w:tcPr>
            <w:tcW w:w="587" w:type="pct"/>
            <w:shd w:val="clear" w:color="auto" w:fill="auto"/>
            <w:noWrap/>
            <w:hideMark/>
          </w:tcPr>
          <w:p w14:paraId="60FFF949" w14:textId="77777777" w:rsidR="0084088D" w:rsidRPr="00D104B4" w:rsidRDefault="0084088D" w:rsidP="001C2366">
            <w:pPr>
              <w:jc w:val="right"/>
              <w:rPr>
                <w:sz w:val="20"/>
                <w:szCs w:val="20"/>
                <w:lang w:val="en-CA" w:eastAsia="zh-CN"/>
              </w:rPr>
            </w:pPr>
            <w:r w:rsidRPr="00D104B4">
              <w:rPr>
                <w:sz w:val="20"/>
                <w:szCs w:val="20"/>
                <w:lang w:val="en-CA" w:eastAsia="zh-CN"/>
              </w:rPr>
              <w:t>3.45</w:t>
            </w:r>
          </w:p>
        </w:tc>
        <w:tc>
          <w:tcPr>
            <w:tcW w:w="557" w:type="pct"/>
            <w:shd w:val="clear" w:color="auto" w:fill="auto"/>
            <w:noWrap/>
            <w:hideMark/>
          </w:tcPr>
          <w:p w14:paraId="570B5430" w14:textId="77777777" w:rsidR="0084088D" w:rsidRPr="00D104B4" w:rsidRDefault="0084088D" w:rsidP="001C2366">
            <w:pPr>
              <w:jc w:val="right"/>
              <w:rPr>
                <w:color w:val="000000"/>
                <w:sz w:val="20"/>
                <w:szCs w:val="20"/>
                <w:lang w:val="en-CA"/>
              </w:rPr>
            </w:pPr>
            <w:r w:rsidRPr="00D104B4">
              <w:rPr>
                <w:color w:val="000000"/>
                <w:sz w:val="20"/>
                <w:szCs w:val="20"/>
                <w:lang w:val="en-CA"/>
              </w:rPr>
              <w:t>1</w:t>
            </w:r>
          </w:p>
        </w:tc>
        <w:tc>
          <w:tcPr>
            <w:tcW w:w="557" w:type="pct"/>
          </w:tcPr>
          <w:p w14:paraId="68A99A24" w14:textId="77777777" w:rsidR="0084088D" w:rsidRPr="00D104B4" w:rsidRDefault="0084088D" w:rsidP="001C2366">
            <w:pPr>
              <w:jc w:val="right"/>
              <w:rPr>
                <w:color w:val="000000"/>
                <w:sz w:val="20"/>
                <w:szCs w:val="20"/>
                <w:lang w:val="en-CA"/>
              </w:rPr>
            </w:pPr>
            <w:r w:rsidRPr="00D104B4">
              <w:rPr>
                <w:color w:val="000000"/>
                <w:sz w:val="20"/>
                <w:szCs w:val="20"/>
                <w:lang w:val="en-CA"/>
              </w:rPr>
              <w:t>0</w:t>
            </w:r>
          </w:p>
        </w:tc>
      </w:tr>
      <w:tr w:rsidR="00C4395C" w:rsidRPr="00D104B4" w14:paraId="77005528" w14:textId="77777777" w:rsidTr="008B5A7F">
        <w:tc>
          <w:tcPr>
            <w:tcW w:w="1664" w:type="pct"/>
            <w:shd w:val="clear" w:color="auto" w:fill="auto"/>
            <w:noWrap/>
            <w:vAlign w:val="center"/>
            <w:hideMark/>
          </w:tcPr>
          <w:p w14:paraId="7A2D862E" w14:textId="77777777" w:rsidR="0084088D" w:rsidRPr="00D104B4" w:rsidRDefault="0084088D" w:rsidP="001C2366">
            <w:pPr>
              <w:jc w:val="left"/>
              <w:rPr>
                <w:color w:val="000000"/>
                <w:sz w:val="20"/>
                <w:szCs w:val="20"/>
                <w:lang w:val="en-CA" w:eastAsia="zh-CN"/>
              </w:rPr>
            </w:pPr>
            <w:r w:rsidRPr="00D104B4">
              <w:rPr>
                <w:color w:val="000000"/>
                <w:sz w:val="20"/>
                <w:szCs w:val="20"/>
                <w:lang w:val="en-CA" w:eastAsia="zh-CN"/>
              </w:rPr>
              <w:t>Total</w:t>
            </w:r>
          </w:p>
        </w:tc>
        <w:tc>
          <w:tcPr>
            <w:tcW w:w="761" w:type="pct"/>
            <w:shd w:val="clear" w:color="auto" w:fill="auto"/>
            <w:noWrap/>
            <w:hideMark/>
          </w:tcPr>
          <w:p w14:paraId="3F819E01" w14:textId="77777777" w:rsidR="0084088D" w:rsidRPr="00D104B4" w:rsidRDefault="0084088D" w:rsidP="001C2366">
            <w:pPr>
              <w:jc w:val="right"/>
              <w:rPr>
                <w:color w:val="000000"/>
                <w:sz w:val="20"/>
                <w:szCs w:val="20"/>
                <w:lang w:val="en-CA" w:eastAsia="zh-CN"/>
              </w:rPr>
            </w:pPr>
            <w:r w:rsidRPr="00D104B4">
              <w:rPr>
                <w:color w:val="000000"/>
                <w:sz w:val="20"/>
                <w:szCs w:val="20"/>
                <w:lang w:val="en-CA" w:eastAsia="zh-CN"/>
              </w:rPr>
              <w:t>88,625.79</w:t>
            </w:r>
          </w:p>
        </w:tc>
        <w:tc>
          <w:tcPr>
            <w:tcW w:w="873" w:type="pct"/>
          </w:tcPr>
          <w:p w14:paraId="6A97599D" w14:textId="77777777" w:rsidR="0084088D" w:rsidRPr="00D104B4" w:rsidRDefault="0084088D" w:rsidP="001C2366">
            <w:pPr>
              <w:jc w:val="right"/>
              <w:rPr>
                <w:color w:val="000000"/>
                <w:sz w:val="20"/>
                <w:szCs w:val="20"/>
                <w:lang w:val="en-CA" w:eastAsia="zh-CN"/>
              </w:rPr>
            </w:pPr>
            <w:r w:rsidRPr="00D104B4">
              <w:rPr>
                <w:color w:val="000000"/>
                <w:sz w:val="20"/>
                <w:szCs w:val="20"/>
                <w:lang w:val="en-CA" w:eastAsia="zh-CN"/>
              </w:rPr>
              <w:t>305,541,400</w:t>
            </w:r>
          </w:p>
        </w:tc>
        <w:tc>
          <w:tcPr>
            <w:tcW w:w="587" w:type="pct"/>
            <w:shd w:val="clear" w:color="auto" w:fill="auto"/>
            <w:noWrap/>
            <w:hideMark/>
          </w:tcPr>
          <w:p w14:paraId="4B55C04A" w14:textId="77777777" w:rsidR="0084088D" w:rsidRPr="00D104B4" w:rsidRDefault="0084088D" w:rsidP="001C2366">
            <w:pPr>
              <w:jc w:val="right"/>
              <w:rPr>
                <w:color w:val="000000"/>
                <w:sz w:val="20"/>
                <w:szCs w:val="20"/>
                <w:lang w:val="en-CA" w:eastAsia="zh-CN"/>
              </w:rPr>
            </w:pPr>
            <w:r w:rsidRPr="00D104B4">
              <w:rPr>
                <w:color w:val="000000"/>
                <w:sz w:val="20"/>
                <w:szCs w:val="20"/>
                <w:lang w:val="en-CA" w:eastAsia="zh-CN"/>
              </w:rPr>
              <w:t>3.45</w:t>
            </w:r>
          </w:p>
        </w:tc>
        <w:tc>
          <w:tcPr>
            <w:tcW w:w="557" w:type="pct"/>
            <w:shd w:val="clear" w:color="auto" w:fill="auto"/>
            <w:noWrap/>
            <w:hideMark/>
          </w:tcPr>
          <w:p w14:paraId="33BEB212" w14:textId="77777777" w:rsidR="0084088D" w:rsidRPr="00D104B4" w:rsidRDefault="0084088D" w:rsidP="001C2366">
            <w:pPr>
              <w:jc w:val="right"/>
              <w:rPr>
                <w:color w:val="000000"/>
                <w:sz w:val="20"/>
                <w:szCs w:val="20"/>
                <w:lang w:val="en-CA"/>
              </w:rPr>
            </w:pPr>
            <w:r w:rsidRPr="00D104B4">
              <w:rPr>
                <w:color w:val="000000"/>
                <w:sz w:val="20"/>
                <w:szCs w:val="20"/>
                <w:lang w:val="en-CA"/>
              </w:rPr>
              <w:t>8</w:t>
            </w:r>
          </w:p>
        </w:tc>
        <w:tc>
          <w:tcPr>
            <w:tcW w:w="557" w:type="pct"/>
          </w:tcPr>
          <w:p w14:paraId="35C2388D" w14:textId="77777777" w:rsidR="0084088D" w:rsidRPr="00D104B4" w:rsidRDefault="0084088D" w:rsidP="001C2366">
            <w:pPr>
              <w:jc w:val="right"/>
              <w:rPr>
                <w:color w:val="000000"/>
                <w:sz w:val="20"/>
                <w:szCs w:val="20"/>
                <w:lang w:val="en-CA"/>
              </w:rPr>
            </w:pPr>
            <w:r w:rsidRPr="00D104B4">
              <w:rPr>
                <w:color w:val="000000"/>
                <w:sz w:val="20"/>
                <w:szCs w:val="20"/>
                <w:lang w:val="en-CA"/>
              </w:rPr>
              <w:t>20</w:t>
            </w:r>
          </w:p>
        </w:tc>
      </w:tr>
    </w:tbl>
    <w:p w14:paraId="62CFDADD" w14:textId="3EC3BA72" w:rsidR="00201F7E" w:rsidRPr="00D104B4" w:rsidRDefault="00201F7E" w:rsidP="001C2366">
      <w:pPr>
        <w:rPr>
          <w:sz w:val="16"/>
          <w:szCs w:val="16"/>
          <w:lang w:val="en-CA"/>
        </w:rPr>
      </w:pPr>
      <w:r w:rsidRPr="00D104B4">
        <w:rPr>
          <w:sz w:val="16"/>
          <w:szCs w:val="16"/>
          <w:lang w:val="en-CA"/>
        </w:rPr>
        <w:t xml:space="preserve">* </w:t>
      </w:r>
      <w:r w:rsidR="00567FD0" w:rsidRPr="00D104B4">
        <w:rPr>
          <w:sz w:val="16"/>
          <w:szCs w:val="16"/>
          <w:lang w:val="en-CA"/>
        </w:rPr>
        <w:t>B</w:t>
      </w:r>
      <w:r w:rsidRPr="00D104B4">
        <w:rPr>
          <w:sz w:val="16"/>
          <w:szCs w:val="16"/>
          <w:lang w:val="en-CA"/>
        </w:rPr>
        <w:t>ased on the Agreement between the Government of China and the Executive Committee on the phase-out of CFC production</w:t>
      </w:r>
      <w:r w:rsidR="00AB0B4B" w:rsidRPr="00D104B4">
        <w:rPr>
          <w:sz w:val="16"/>
          <w:szCs w:val="16"/>
          <w:lang w:val="en-CA"/>
        </w:rPr>
        <w:t xml:space="preserve"> contained in </w:t>
      </w:r>
      <w:r w:rsidR="00661A71" w:rsidRPr="00D104B4">
        <w:rPr>
          <w:sz w:val="16"/>
          <w:szCs w:val="16"/>
          <w:lang w:val="en-CA"/>
        </w:rPr>
        <w:t>Annex </w:t>
      </w:r>
      <w:r w:rsidR="00AB0B4B" w:rsidRPr="00D104B4">
        <w:rPr>
          <w:sz w:val="16"/>
          <w:szCs w:val="16"/>
          <w:lang w:val="en-CA"/>
        </w:rPr>
        <w:t>IV of document UNEP/</w:t>
      </w:r>
      <w:proofErr w:type="spellStart"/>
      <w:r w:rsidR="00AB0B4B" w:rsidRPr="00D104B4">
        <w:rPr>
          <w:sz w:val="16"/>
          <w:szCs w:val="16"/>
          <w:lang w:val="en-CA"/>
        </w:rPr>
        <w:t>OzL.Pro</w:t>
      </w:r>
      <w:proofErr w:type="spellEnd"/>
      <w:r w:rsidR="00AB0B4B" w:rsidRPr="00D104B4">
        <w:rPr>
          <w:sz w:val="16"/>
          <w:szCs w:val="16"/>
          <w:lang w:val="en-CA"/>
        </w:rPr>
        <w:t>/</w:t>
      </w:r>
      <w:proofErr w:type="spellStart"/>
      <w:r w:rsidR="00AB0B4B" w:rsidRPr="00D104B4">
        <w:rPr>
          <w:sz w:val="16"/>
          <w:szCs w:val="16"/>
          <w:lang w:val="en-CA"/>
        </w:rPr>
        <w:t>ExCom</w:t>
      </w:r>
      <w:proofErr w:type="spellEnd"/>
      <w:r w:rsidR="00AB0B4B" w:rsidRPr="00D104B4">
        <w:rPr>
          <w:sz w:val="16"/>
          <w:szCs w:val="16"/>
          <w:lang w:val="en-CA"/>
        </w:rPr>
        <w:t>/27/48</w:t>
      </w:r>
      <w:r w:rsidR="000E1B51" w:rsidRPr="00D104B4">
        <w:rPr>
          <w:sz w:val="16"/>
          <w:szCs w:val="16"/>
          <w:lang w:val="en-CA"/>
        </w:rPr>
        <w:t>.</w:t>
      </w:r>
      <w:r w:rsidR="00070366" w:rsidRPr="00D104B4">
        <w:rPr>
          <w:sz w:val="16"/>
          <w:szCs w:val="16"/>
          <w:lang w:val="en-CA"/>
        </w:rPr>
        <w:t xml:space="preserve"> </w:t>
      </w:r>
      <w:r w:rsidR="002071C8" w:rsidRPr="00D104B4">
        <w:rPr>
          <w:sz w:val="16"/>
          <w:szCs w:val="16"/>
          <w:lang w:val="en-CA"/>
        </w:rPr>
        <w:t>It was identified that one CFC production line has been retrofitted to CFC/HCFC-22 swing line. Based on the Agreement for HCFC production phase-out management plan, this line will not be compensated under the HPPMP</w:t>
      </w:r>
    </w:p>
    <w:p w14:paraId="5B0C2986" w14:textId="77777777" w:rsidR="00201F7E" w:rsidRPr="00D104B4" w:rsidRDefault="00201F7E" w:rsidP="001C2366">
      <w:pPr>
        <w:rPr>
          <w:lang w:val="en-CA"/>
        </w:rPr>
      </w:pPr>
    </w:p>
    <w:p w14:paraId="6927F0DF" w14:textId="151CFE02" w:rsidR="0084088D" w:rsidRPr="00BC4366" w:rsidRDefault="002A600F" w:rsidP="001C2366">
      <w:pPr>
        <w:pStyle w:val="Heading1"/>
        <w:rPr>
          <w:lang w:val="en-CA"/>
        </w:rPr>
      </w:pPr>
      <w:r w:rsidRPr="00BC4366">
        <w:rPr>
          <w:lang w:val="en-CA"/>
        </w:rPr>
        <w:lastRenderedPageBreak/>
        <w:t xml:space="preserve">Based on the </w:t>
      </w:r>
      <w:r w:rsidR="00BC4366" w:rsidRPr="00BC4366">
        <w:rPr>
          <w:lang w:val="en-CA"/>
        </w:rPr>
        <w:t>A</w:t>
      </w:r>
      <w:r w:rsidRPr="00BC4366">
        <w:rPr>
          <w:lang w:val="en-CA"/>
        </w:rPr>
        <w:t>greement</w:t>
      </w:r>
      <w:r w:rsidR="00BC4366" w:rsidRPr="00BC4366">
        <w:rPr>
          <w:lang w:val="en-CA"/>
        </w:rPr>
        <w:t>s between the governments</w:t>
      </w:r>
      <w:r w:rsidR="001C1B39">
        <w:rPr>
          <w:lang w:val="en-CA"/>
        </w:rPr>
        <w:t xml:space="preserve"> </w:t>
      </w:r>
      <w:r w:rsidR="001C1B39" w:rsidRPr="00E55D89">
        <w:rPr>
          <w:lang w:val="en-CA"/>
        </w:rPr>
        <w:t>concerned</w:t>
      </w:r>
      <w:r w:rsidR="00BC4366" w:rsidRPr="00E55D89">
        <w:rPr>
          <w:lang w:val="en-CA"/>
        </w:rPr>
        <w:t xml:space="preserve"> a</w:t>
      </w:r>
      <w:r w:rsidR="00BC4366" w:rsidRPr="00BC4366">
        <w:rPr>
          <w:lang w:val="en-CA"/>
        </w:rPr>
        <w:t>nd the Executive Committee</w:t>
      </w:r>
      <w:r w:rsidRPr="00BC4366">
        <w:rPr>
          <w:lang w:val="en-CA"/>
        </w:rPr>
        <w:t>, swing plants are not eligible under the HCFC</w:t>
      </w:r>
      <w:r w:rsidR="001C1B39">
        <w:rPr>
          <w:lang w:val="en-CA"/>
        </w:rPr>
        <w:t xml:space="preserve"> production</w:t>
      </w:r>
      <w:r w:rsidRPr="00BC4366">
        <w:rPr>
          <w:lang w:val="en-CA"/>
        </w:rPr>
        <w:t xml:space="preserve"> phase-out.</w:t>
      </w:r>
    </w:p>
    <w:p w14:paraId="3C508CAE" w14:textId="02AB63B9" w:rsidR="00201F7E" w:rsidRDefault="00201F7E" w:rsidP="001C2366">
      <w:pPr>
        <w:pStyle w:val="Heading1"/>
        <w:rPr>
          <w:lang w:val="en-CA"/>
        </w:rPr>
      </w:pPr>
      <w:r w:rsidRPr="00D104B4">
        <w:rPr>
          <w:rFonts w:eastAsiaTheme="minorEastAsia"/>
          <w:lang w:val="en-CA" w:eastAsia="zh-CN"/>
        </w:rPr>
        <w:t xml:space="preserve">The </w:t>
      </w:r>
      <w:r w:rsidR="00C164E8">
        <w:rPr>
          <w:rFonts w:eastAsiaTheme="minorEastAsia"/>
          <w:lang w:val="en-CA" w:eastAsia="zh-CN"/>
        </w:rPr>
        <w:t xml:space="preserve">total </w:t>
      </w:r>
      <w:r w:rsidRPr="00D104B4">
        <w:rPr>
          <w:rFonts w:eastAsiaTheme="minorEastAsia"/>
          <w:lang w:val="en-CA" w:eastAsia="zh-CN"/>
        </w:rPr>
        <w:t xml:space="preserve">compensation </w:t>
      </w:r>
      <w:r w:rsidR="00691646">
        <w:rPr>
          <w:rFonts w:eastAsiaTheme="minorEastAsia"/>
          <w:lang w:val="en-CA" w:eastAsia="zh-CN"/>
        </w:rPr>
        <w:t xml:space="preserve">for the HPPMP for China </w:t>
      </w:r>
      <w:r w:rsidR="00BC4366">
        <w:rPr>
          <w:rFonts w:eastAsiaTheme="minorEastAsia"/>
          <w:lang w:val="en-CA" w:eastAsia="zh-CN"/>
        </w:rPr>
        <w:t>provided for</w:t>
      </w:r>
      <w:r w:rsidRPr="00D104B4">
        <w:rPr>
          <w:lang w:val="en-CA"/>
        </w:rPr>
        <w:t xml:space="preserve"> funding </w:t>
      </w:r>
      <w:r w:rsidR="00BC4366">
        <w:rPr>
          <w:lang w:val="en-CA"/>
        </w:rPr>
        <w:t xml:space="preserve">of </w:t>
      </w:r>
      <w:r w:rsidRPr="00D104B4">
        <w:rPr>
          <w:lang w:val="en-CA"/>
        </w:rPr>
        <w:t xml:space="preserve">up to </w:t>
      </w:r>
      <w:r w:rsidR="001C2366" w:rsidRPr="00D104B4">
        <w:rPr>
          <w:lang w:val="en-CA"/>
        </w:rPr>
        <w:t>US $</w:t>
      </w:r>
      <w:r w:rsidRPr="00D104B4">
        <w:rPr>
          <w:lang w:val="en-CA"/>
        </w:rPr>
        <w:t>385 million</w:t>
      </w:r>
      <w:r w:rsidR="00CD3356">
        <w:rPr>
          <w:lang w:val="en-CA"/>
        </w:rPr>
        <w:t>,</w:t>
      </w:r>
      <w:r w:rsidRPr="00D104B4">
        <w:rPr>
          <w:lang w:val="en-CA"/>
        </w:rPr>
        <w:t xml:space="preserve"> including all project costs</w:t>
      </w:r>
      <w:r w:rsidR="00CD3356">
        <w:rPr>
          <w:lang w:val="en-CA"/>
        </w:rPr>
        <w:t>,</w:t>
      </w:r>
      <w:r w:rsidRPr="00D104B4">
        <w:rPr>
          <w:lang w:val="en-CA"/>
        </w:rPr>
        <w:t xml:space="preserve"> </w:t>
      </w:r>
      <w:r w:rsidR="00691646">
        <w:rPr>
          <w:lang w:val="en-CA"/>
        </w:rPr>
        <w:t>for the</w:t>
      </w:r>
      <w:r w:rsidRPr="00D104B4">
        <w:rPr>
          <w:lang w:val="en-CA"/>
        </w:rPr>
        <w:t xml:space="preserve"> phase</w:t>
      </w:r>
      <w:r w:rsidR="00691646">
        <w:rPr>
          <w:lang w:val="en-CA"/>
        </w:rPr>
        <w:t>-</w:t>
      </w:r>
      <w:r w:rsidRPr="00D104B4">
        <w:rPr>
          <w:lang w:val="en-CA"/>
        </w:rPr>
        <w:t>out</w:t>
      </w:r>
      <w:r w:rsidR="00691646">
        <w:rPr>
          <w:lang w:val="en-CA"/>
        </w:rPr>
        <w:t xml:space="preserve"> of</w:t>
      </w:r>
      <w:r w:rsidRPr="00D104B4">
        <w:rPr>
          <w:lang w:val="en-CA"/>
        </w:rPr>
        <w:t xml:space="preserve"> 445,888</w:t>
      </w:r>
      <w:r w:rsidR="00737BFF">
        <w:rPr>
          <w:lang w:val="en-CA"/>
        </w:rPr>
        <w:t> </w:t>
      </w:r>
      <w:proofErr w:type="spellStart"/>
      <w:r w:rsidR="00737BFF">
        <w:rPr>
          <w:lang w:val="en-CA"/>
        </w:rPr>
        <w:t>mt</w:t>
      </w:r>
      <w:proofErr w:type="spellEnd"/>
      <w:r w:rsidRPr="00D104B4">
        <w:rPr>
          <w:lang w:val="en-CA"/>
        </w:rPr>
        <w:t xml:space="preserve"> of HCFC</w:t>
      </w:r>
      <w:r w:rsidR="00691646">
        <w:rPr>
          <w:lang w:val="en-CA"/>
        </w:rPr>
        <w:t>s</w:t>
      </w:r>
      <w:r w:rsidRPr="00D104B4">
        <w:rPr>
          <w:lang w:val="en-CA"/>
        </w:rPr>
        <w:t>. The overall CE is calculated a</w:t>
      </w:r>
      <w:r w:rsidR="00691646">
        <w:rPr>
          <w:lang w:val="en-CA"/>
        </w:rPr>
        <w:t>t</w:t>
      </w:r>
      <w:r w:rsidRPr="00D104B4">
        <w:rPr>
          <w:lang w:val="en-CA"/>
        </w:rPr>
        <w:t xml:space="preserve"> </w:t>
      </w:r>
      <w:r w:rsidR="001C2366" w:rsidRPr="00C164E8">
        <w:rPr>
          <w:lang w:val="en-CA"/>
        </w:rPr>
        <w:t>US $</w:t>
      </w:r>
      <w:r w:rsidRPr="00C164E8">
        <w:rPr>
          <w:lang w:val="en-CA"/>
        </w:rPr>
        <w:t>0.86</w:t>
      </w:r>
      <w:r w:rsidR="00691646" w:rsidRPr="00C164E8">
        <w:rPr>
          <w:lang w:val="en-CA"/>
        </w:rPr>
        <w:t>/</w:t>
      </w:r>
      <w:r w:rsidRPr="00C164E8">
        <w:rPr>
          <w:lang w:val="en-CA"/>
        </w:rPr>
        <w:t>kg</w:t>
      </w:r>
      <w:r w:rsidRPr="00D104B4">
        <w:rPr>
          <w:lang w:val="en-CA"/>
        </w:rPr>
        <w:t xml:space="preserve">. </w:t>
      </w:r>
    </w:p>
    <w:p w14:paraId="7B563061" w14:textId="77777777" w:rsidR="007465BB" w:rsidRPr="00D104B4" w:rsidRDefault="007465BB" w:rsidP="0071541B">
      <w:pPr>
        <w:pStyle w:val="Heading1"/>
        <w:keepNext/>
        <w:keepLines/>
        <w:rPr>
          <w:lang w:val="en-CA"/>
        </w:rPr>
      </w:pPr>
      <w:r w:rsidRPr="00D104B4">
        <w:rPr>
          <w:lang w:val="en-CA"/>
        </w:rPr>
        <w:t>The most cost</w:t>
      </w:r>
      <w:r w:rsidRPr="00D104B4">
        <w:rPr>
          <w:lang w:val="en-CA"/>
        </w:rPr>
        <w:noBreakHyphen/>
        <w:t>effective option for compensation for HCFC-22 swing plants to comply with the HFC-23 by</w:t>
      </w:r>
      <w:r w:rsidRPr="00D104B4">
        <w:rPr>
          <w:lang w:val="en-CA"/>
        </w:rPr>
        <w:noBreakHyphen/>
        <w:t>product control obligations of the Kigali Amendment will depend on a variety of factors, including whether the swing plant has an on-site destruction facility; the remaining lifetime of the swing plant and of the destruction facility, if one is present; the level of production of HCFC-22 in light of the Montreal Protocol phase-out schedule; the level of compensation provided for closure; the HFC-23 by</w:t>
      </w:r>
      <w:r w:rsidRPr="00D104B4">
        <w:rPr>
          <w:lang w:val="en-CA"/>
        </w:rPr>
        <w:noBreakHyphen/>
        <w:t xml:space="preserve">product generation rate; if there is an on-site destruction facility that is in dis-use, the incremental costs associated with re-starting that destruction facility; the level of IOCs for the continued operation of the destruction facility or of off-site destruction, and other factors. </w:t>
      </w:r>
    </w:p>
    <w:p w14:paraId="31A5C8F2" w14:textId="7BEEEC68" w:rsidR="00CF71D5" w:rsidRPr="00D104B4" w:rsidRDefault="001D3820" w:rsidP="006A4689">
      <w:pPr>
        <w:pStyle w:val="Heading1"/>
        <w:rPr>
          <w:lang w:val="en-CA"/>
        </w:rPr>
      </w:pPr>
      <w:r>
        <w:rPr>
          <w:lang w:val="en-CA"/>
        </w:rPr>
        <w:t>The Executive Committee decided t</w:t>
      </w:r>
      <w:r w:rsidRPr="001D3820">
        <w:t>o consider possible cost-effective options for compensation for HCFC-22 swing plants to allow for compliance with the HFC-23 by-product control obligations of the Kigali Amendment</w:t>
      </w:r>
      <w:r w:rsidRPr="001D3820">
        <w:rPr>
          <w:lang w:val="en-CA"/>
        </w:rPr>
        <w:t xml:space="preserve"> </w:t>
      </w:r>
      <w:r>
        <w:rPr>
          <w:lang w:val="en-CA"/>
        </w:rPr>
        <w:t xml:space="preserve">(decision 79/47(c)). </w:t>
      </w:r>
      <w:r w:rsidRPr="001D3820">
        <w:rPr>
          <w:lang w:val="en-CA"/>
        </w:rPr>
        <w:t xml:space="preserve">Accordingly, the Executive Committee could consider closure among the </w:t>
      </w:r>
      <w:r w:rsidRPr="001D3820">
        <w:t>possible cost-effective options</w:t>
      </w:r>
      <w:r w:rsidR="00F6669D">
        <w:t xml:space="preserve">, </w:t>
      </w:r>
      <w:r w:rsidR="00F6669D" w:rsidRPr="00E55D89">
        <w:t>and therefore, t</w:t>
      </w:r>
      <w:r w:rsidR="00EE3B99" w:rsidRPr="00E55D89">
        <w:rPr>
          <w:lang w:val="en-CA"/>
        </w:rPr>
        <w:t xml:space="preserve">he CE from previous approved </w:t>
      </w:r>
      <w:r w:rsidRPr="00E55D89">
        <w:rPr>
          <w:lang w:val="en-CA"/>
        </w:rPr>
        <w:t xml:space="preserve">production phase-out </w:t>
      </w:r>
      <w:r w:rsidR="00EE3B99" w:rsidRPr="00E55D89">
        <w:rPr>
          <w:lang w:val="en-CA"/>
        </w:rPr>
        <w:t xml:space="preserve">projects could provide a reference for the level of compensation </w:t>
      </w:r>
      <w:r w:rsidR="00F6669D" w:rsidRPr="00E55D89">
        <w:rPr>
          <w:lang w:val="en-CA"/>
        </w:rPr>
        <w:t xml:space="preserve">of </w:t>
      </w:r>
      <w:r w:rsidR="00EE3B99" w:rsidRPr="00E55D89">
        <w:rPr>
          <w:lang w:val="en-CA"/>
        </w:rPr>
        <w:t xml:space="preserve">HCFC-22 swing plants. </w:t>
      </w:r>
      <w:r w:rsidR="00201F7E" w:rsidRPr="00E55D89">
        <w:rPr>
          <w:lang w:val="en-CA"/>
        </w:rPr>
        <w:t>In</w:t>
      </w:r>
      <w:r w:rsidR="00201F7E" w:rsidRPr="001D3820">
        <w:rPr>
          <w:lang w:val="en-CA"/>
        </w:rPr>
        <w:t xml:space="preserve"> light</w:t>
      </w:r>
      <w:r w:rsidR="00201F7E" w:rsidRPr="00D104B4">
        <w:rPr>
          <w:lang w:val="en-CA"/>
        </w:rPr>
        <w:t xml:space="preserve"> of the information on the level of HCFC-22 production provided in Table 1</w:t>
      </w:r>
      <w:r w:rsidR="001B61F4" w:rsidRPr="00D104B4">
        <w:rPr>
          <w:lang w:val="en-CA"/>
        </w:rPr>
        <w:t>, the HFC</w:t>
      </w:r>
      <w:r w:rsidR="008B5A7F" w:rsidRPr="00D104B4">
        <w:rPr>
          <w:lang w:val="en-CA"/>
        </w:rPr>
        <w:noBreakHyphen/>
      </w:r>
      <w:r w:rsidR="001B61F4" w:rsidRPr="00D104B4">
        <w:rPr>
          <w:lang w:val="en-CA"/>
        </w:rPr>
        <w:t>23 by</w:t>
      </w:r>
      <w:r w:rsidR="00737BFF">
        <w:rPr>
          <w:lang w:val="en-CA"/>
        </w:rPr>
        <w:noBreakHyphen/>
      </w:r>
      <w:r w:rsidR="001B61F4" w:rsidRPr="00D104B4">
        <w:rPr>
          <w:lang w:val="en-CA"/>
        </w:rPr>
        <w:t>product</w:t>
      </w:r>
      <w:r w:rsidR="008C30CF" w:rsidRPr="00D104B4">
        <w:rPr>
          <w:lang w:val="en-CA"/>
        </w:rPr>
        <w:t xml:space="preserve"> generated during this production,</w:t>
      </w:r>
      <w:r w:rsidR="00201F7E" w:rsidRPr="00D104B4">
        <w:rPr>
          <w:lang w:val="en-CA"/>
        </w:rPr>
        <w:t xml:space="preserve"> and the CE in approved projects for CFC and HCFC production phase-out</w:t>
      </w:r>
      <w:r w:rsidR="008C30CF" w:rsidRPr="00D104B4">
        <w:rPr>
          <w:lang w:val="en-CA"/>
        </w:rPr>
        <w:t>,</w:t>
      </w:r>
      <w:r w:rsidR="001B61F4" w:rsidRPr="00D104B4">
        <w:rPr>
          <w:lang w:val="en-CA"/>
        </w:rPr>
        <w:t xml:space="preserve"> </w:t>
      </w:r>
      <w:r w:rsidR="00201F7E" w:rsidRPr="00D104B4">
        <w:rPr>
          <w:lang w:val="en-CA"/>
        </w:rPr>
        <w:t>the cost of closure of the HCFC</w:t>
      </w:r>
      <w:r w:rsidR="00201F7E" w:rsidRPr="00D104B4">
        <w:rPr>
          <w:lang w:val="en-CA"/>
        </w:rPr>
        <w:noBreakHyphen/>
        <w:t xml:space="preserve">22 production swing plants </w:t>
      </w:r>
      <w:r w:rsidR="008D1DC5" w:rsidRPr="00D104B4">
        <w:rPr>
          <w:lang w:val="en-CA"/>
        </w:rPr>
        <w:t xml:space="preserve">can be </w:t>
      </w:r>
      <w:r w:rsidR="00201F7E" w:rsidRPr="00D104B4">
        <w:rPr>
          <w:lang w:val="en-CA"/>
        </w:rPr>
        <w:t>estimated</w:t>
      </w:r>
      <w:r w:rsidR="008C30CF" w:rsidRPr="00D104B4">
        <w:rPr>
          <w:lang w:val="en-CA"/>
        </w:rPr>
        <w:t>,</w:t>
      </w:r>
      <w:r w:rsidR="008D1DC5" w:rsidRPr="00D104B4">
        <w:rPr>
          <w:lang w:val="en-CA"/>
        </w:rPr>
        <w:t xml:space="preserve"> accordingly</w:t>
      </w:r>
      <w:r w:rsidR="00CF71D5" w:rsidRPr="00D104B4">
        <w:rPr>
          <w:lang w:val="en-CA"/>
        </w:rPr>
        <w:t>.</w:t>
      </w:r>
    </w:p>
    <w:p w14:paraId="7931B7BD" w14:textId="6819F6F8" w:rsidR="00201F7E" w:rsidRPr="00D104B4" w:rsidRDefault="007B48F1" w:rsidP="008B5A7F">
      <w:pPr>
        <w:pStyle w:val="Heading1"/>
        <w:keepNext/>
        <w:keepLines/>
        <w:rPr>
          <w:lang w:val="en-CA"/>
        </w:rPr>
      </w:pPr>
      <w:r>
        <w:rPr>
          <w:lang w:val="en-CA"/>
        </w:rPr>
        <w:t>T</w:t>
      </w:r>
      <w:r w:rsidR="00783A1C" w:rsidRPr="00D104B4">
        <w:rPr>
          <w:lang w:val="en-CA"/>
        </w:rPr>
        <w:t>he Secretariat compared the cost of HFC-23 by-product emission control through swing plant closure and on-site incineration</w:t>
      </w:r>
      <w:r>
        <w:rPr>
          <w:lang w:val="en-CA"/>
        </w:rPr>
        <w:t>,</w:t>
      </w:r>
      <w:r w:rsidRPr="007B48F1">
        <w:rPr>
          <w:lang w:val="en-CA"/>
        </w:rPr>
        <w:t xml:space="preserve"> </w:t>
      </w:r>
      <w:r>
        <w:rPr>
          <w:lang w:val="en-CA"/>
        </w:rPr>
        <w:t>u</w:t>
      </w:r>
      <w:r w:rsidRPr="00D104B4">
        <w:rPr>
          <w:lang w:val="en-CA"/>
        </w:rPr>
        <w:t xml:space="preserve">sing the CE of the previously approved production </w:t>
      </w:r>
      <w:r>
        <w:rPr>
          <w:lang w:val="en-CA"/>
        </w:rPr>
        <w:t>phase-out</w:t>
      </w:r>
      <w:r w:rsidRPr="00D104B4">
        <w:rPr>
          <w:lang w:val="en-CA"/>
        </w:rPr>
        <w:t xml:space="preserve"> projects</w:t>
      </w:r>
      <w:r>
        <w:rPr>
          <w:lang w:val="en-CA"/>
        </w:rPr>
        <w:t xml:space="preserve"> and </w:t>
      </w:r>
      <w:r w:rsidR="001420DB" w:rsidRPr="00D104B4">
        <w:rPr>
          <w:lang w:val="en-CA"/>
        </w:rPr>
        <w:t>the range of IOCs estimated by the independent consultant for a 400</w:t>
      </w:r>
      <w:r w:rsidR="001420DB">
        <w:rPr>
          <w:lang w:val="en-CA"/>
        </w:rPr>
        <w:t> </w:t>
      </w:r>
      <w:proofErr w:type="spellStart"/>
      <w:r w:rsidR="001420DB">
        <w:rPr>
          <w:lang w:val="en-CA"/>
        </w:rPr>
        <w:t>mt</w:t>
      </w:r>
      <w:proofErr w:type="spellEnd"/>
      <w:r w:rsidR="001420DB" w:rsidRPr="00D104B4">
        <w:rPr>
          <w:lang w:val="en-CA"/>
        </w:rPr>
        <w:t>/</w:t>
      </w:r>
      <w:proofErr w:type="spellStart"/>
      <w:r w:rsidR="001420DB" w:rsidRPr="00D104B4">
        <w:rPr>
          <w:lang w:val="en-CA"/>
        </w:rPr>
        <w:t>yr</w:t>
      </w:r>
      <w:proofErr w:type="spellEnd"/>
      <w:r w:rsidR="001420DB" w:rsidRPr="00D104B4">
        <w:rPr>
          <w:lang w:val="en-CA"/>
        </w:rPr>
        <w:t xml:space="preserve"> and an 800 </w:t>
      </w:r>
      <w:proofErr w:type="spellStart"/>
      <w:r w:rsidR="001420DB" w:rsidRPr="00D104B4">
        <w:rPr>
          <w:lang w:val="en-CA"/>
        </w:rPr>
        <w:t>mt</w:t>
      </w:r>
      <w:proofErr w:type="spellEnd"/>
      <w:r w:rsidR="001420DB" w:rsidRPr="00D104B4">
        <w:rPr>
          <w:lang w:val="en-CA"/>
        </w:rPr>
        <w:t>/</w:t>
      </w:r>
      <w:proofErr w:type="spellStart"/>
      <w:r w:rsidR="001420DB" w:rsidRPr="00D104B4">
        <w:rPr>
          <w:lang w:val="en-CA"/>
        </w:rPr>
        <w:t>yr</w:t>
      </w:r>
      <w:proofErr w:type="spellEnd"/>
      <w:r w:rsidR="001420DB" w:rsidRPr="00D104B4">
        <w:rPr>
          <w:lang w:val="en-CA"/>
        </w:rPr>
        <w:t xml:space="preserve"> destruction facility (i.e., between US $1.80/kg and US $4.37/kg) in document UNEP/</w:t>
      </w:r>
      <w:proofErr w:type="spellStart"/>
      <w:r w:rsidR="001420DB" w:rsidRPr="00D104B4">
        <w:rPr>
          <w:lang w:val="en-CA"/>
        </w:rPr>
        <w:t>OzL.Pro</w:t>
      </w:r>
      <w:proofErr w:type="spellEnd"/>
      <w:r w:rsidR="001420DB" w:rsidRPr="00D104B4">
        <w:rPr>
          <w:lang w:val="en-CA"/>
        </w:rPr>
        <w:t>/</w:t>
      </w:r>
      <w:proofErr w:type="spellStart"/>
      <w:r w:rsidR="001420DB" w:rsidRPr="00D104B4">
        <w:rPr>
          <w:lang w:val="en-CA"/>
        </w:rPr>
        <w:t>ExCom</w:t>
      </w:r>
      <w:proofErr w:type="spellEnd"/>
      <w:r w:rsidR="001420DB" w:rsidRPr="00D104B4">
        <w:rPr>
          <w:lang w:val="en-CA"/>
        </w:rPr>
        <w:t>/81/54</w:t>
      </w:r>
      <w:r w:rsidR="00783A1C" w:rsidRPr="00D104B4">
        <w:rPr>
          <w:lang w:val="en-CA"/>
        </w:rPr>
        <w:t xml:space="preserve">. </w:t>
      </w:r>
      <w:r w:rsidR="00B939E2" w:rsidRPr="00D104B4">
        <w:rPr>
          <w:lang w:val="en-CA"/>
        </w:rPr>
        <w:t xml:space="preserve">For reference, </w:t>
      </w:r>
      <w:r w:rsidR="008B5A7F" w:rsidRPr="00D104B4">
        <w:rPr>
          <w:lang w:val="en-CA"/>
        </w:rPr>
        <w:t>T</w:t>
      </w:r>
      <w:r w:rsidR="00B939E2" w:rsidRPr="00D104B4">
        <w:rPr>
          <w:lang w:val="en-CA"/>
        </w:rPr>
        <w:t>able 4</w:t>
      </w:r>
      <w:r w:rsidR="00181CED" w:rsidRPr="00D104B4">
        <w:rPr>
          <w:lang w:val="en-CA"/>
        </w:rPr>
        <w:t xml:space="preserve"> provides t</w:t>
      </w:r>
      <w:r w:rsidR="00956E82" w:rsidRPr="00D104B4">
        <w:rPr>
          <w:lang w:val="en-CA"/>
        </w:rPr>
        <w:t xml:space="preserve">he break-even point between closure and continued operation of the destruction facility </w:t>
      </w:r>
      <w:r w:rsidR="007A6AE2" w:rsidRPr="00D104B4">
        <w:rPr>
          <w:lang w:val="en-CA"/>
        </w:rPr>
        <w:t>at swing plants</w:t>
      </w:r>
      <w:r w:rsidR="00647141" w:rsidRPr="00D104B4">
        <w:rPr>
          <w:lang w:val="en-CA"/>
        </w:rPr>
        <w:t xml:space="preserve"> in India and Mexico</w:t>
      </w:r>
      <w:r w:rsidR="00BA0856" w:rsidRPr="00D104B4">
        <w:rPr>
          <w:lang w:val="en-CA"/>
        </w:rPr>
        <w:t xml:space="preserve"> </w:t>
      </w:r>
      <w:r w:rsidR="00677166" w:rsidRPr="00D104B4">
        <w:rPr>
          <w:lang w:val="en-CA"/>
        </w:rPr>
        <w:t>based on</w:t>
      </w:r>
      <w:r w:rsidR="00DC3490" w:rsidRPr="00D104B4">
        <w:rPr>
          <w:lang w:val="en-CA"/>
        </w:rPr>
        <w:t>:</w:t>
      </w:r>
    </w:p>
    <w:p w14:paraId="58947573" w14:textId="48F2800A" w:rsidR="00DC3490" w:rsidRPr="00D104B4" w:rsidRDefault="00954D83" w:rsidP="008B5A7F">
      <w:pPr>
        <w:pStyle w:val="Heading2"/>
        <w:keepNext/>
        <w:keepLines/>
        <w:rPr>
          <w:lang w:val="en-CA"/>
        </w:rPr>
      </w:pPr>
      <w:r w:rsidRPr="00D104B4">
        <w:rPr>
          <w:lang w:val="en-CA"/>
        </w:rPr>
        <w:t>For India: the 2017 production of HCFC-22;</w:t>
      </w:r>
      <w:r w:rsidR="00AA64BD" w:rsidRPr="00D104B4">
        <w:rPr>
          <w:rStyle w:val="FootnoteReference"/>
          <w:lang w:val="en-CA"/>
        </w:rPr>
        <w:footnoteReference w:id="8"/>
      </w:r>
      <w:r w:rsidRPr="00D104B4">
        <w:rPr>
          <w:lang w:val="en-CA"/>
        </w:rPr>
        <w:t xml:space="preserve"> a by-product generation rate of 2.94</w:t>
      </w:r>
      <w:r w:rsidR="000A1169" w:rsidRPr="00D104B4">
        <w:rPr>
          <w:lang w:val="en-CA"/>
        </w:rPr>
        <w:t> per cent</w:t>
      </w:r>
      <w:r w:rsidR="003F1562" w:rsidRPr="00D104B4">
        <w:rPr>
          <w:lang w:val="en-CA"/>
        </w:rPr>
        <w:t>;</w:t>
      </w:r>
      <w:r w:rsidRPr="00D104B4">
        <w:rPr>
          <w:lang w:val="en-CA"/>
        </w:rPr>
        <w:t xml:space="preserve"> and assuming the same </w:t>
      </w:r>
      <w:r w:rsidR="002944BB" w:rsidRPr="00D104B4">
        <w:rPr>
          <w:lang w:val="en-CA"/>
        </w:rPr>
        <w:t>CE</w:t>
      </w:r>
      <w:r w:rsidRPr="00D104B4">
        <w:rPr>
          <w:lang w:val="en-CA"/>
        </w:rPr>
        <w:t xml:space="preserve"> for closure as for the CFC production phase-out (i.e., US $3.76/kg), the break-even point ranges between 29 and 71 years. Using the </w:t>
      </w:r>
      <w:r w:rsidR="002944BB" w:rsidRPr="00D104B4">
        <w:rPr>
          <w:lang w:val="en-CA"/>
        </w:rPr>
        <w:t>CE</w:t>
      </w:r>
      <w:r w:rsidRPr="00D104B4">
        <w:rPr>
          <w:lang w:val="en-CA"/>
        </w:rPr>
        <w:t xml:space="preserve"> of the China HCFC production phase-out of US $0.86/kg, the break-even point ranges between seven and 16</w:t>
      </w:r>
      <w:r w:rsidR="000A1169" w:rsidRPr="00D104B4">
        <w:rPr>
          <w:lang w:val="en-CA"/>
        </w:rPr>
        <w:t> </w:t>
      </w:r>
      <w:r w:rsidRPr="00D104B4">
        <w:rPr>
          <w:lang w:val="en-CA"/>
        </w:rPr>
        <w:t>years; and</w:t>
      </w:r>
    </w:p>
    <w:p w14:paraId="57F5C46F" w14:textId="1BB546B4" w:rsidR="00954D83" w:rsidRPr="00D104B4" w:rsidRDefault="00954D83" w:rsidP="00954D83">
      <w:pPr>
        <w:pStyle w:val="Heading2"/>
        <w:rPr>
          <w:lang w:val="en-CA"/>
        </w:rPr>
      </w:pPr>
      <w:r w:rsidRPr="00D104B4">
        <w:rPr>
          <w:lang w:val="en-CA"/>
        </w:rPr>
        <w:t>For Mexico: the 2017 production of HCFC-22; a by-product generation rate of 2.</w:t>
      </w:r>
      <w:r w:rsidR="003F1562" w:rsidRPr="00D104B4">
        <w:rPr>
          <w:lang w:val="en-CA"/>
        </w:rPr>
        <w:t>20</w:t>
      </w:r>
      <w:r w:rsidR="000A1169" w:rsidRPr="00D104B4">
        <w:rPr>
          <w:lang w:val="en-CA"/>
        </w:rPr>
        <w:t> per cent</w:t>
      </w:r>
      <w:r w:rsidRPr="00D104B4">
        <w:rPr>
          <w:lang w:val="en-CA"/>
        </w:rPr>
        <w:t xml:space="preserve">; and assuming the same </w:t>
      </w:r>
      <w:r w:rsidR="002944BB" w:rsidRPr="00D104B4">
        <w:rPr>
          <w:lang w:val="en-CA"/>
        </w:rPr>
        <w:t>CE</w:t>
      </w:r>
      <w:r w:rsidRPr="00D104B4">
        <w:rPr>
          <w:lang w:val="en-CA"/>
        </w:rPr>
        <w:t xml:space="preserve"> for closure as for the CFC production phase-out (i.e., US $</w:t>
      </w:r>
      <w:r w:rsidR="003F1562" w:rsidRPr="00D104B4">
        <w:rPr>
          <w:lang w:val="en-CA"/>
        </w:rPr>
        <w:t>2.88</w:t>
      </w:r>
      <w:r w:rsidRPr="00D104B4">
        <w:rPr>
          <w:lang w:val="en-CA"/>
        </w:rPr>
        <w:t xml:space="preserve">/kg), the break-even point ranges between </w:t>
      </w:r>
      <w:r w:rsidR="003F1562" w:rsidRPr="00D104B4">
        <w:rPr>
          <w:lang w:val="en-CA"/>
        </w:rPr>
        <w:t>30</w:t>
      </w:r>
      <w:r w:rsidRPr="00D104B4">
        <w:rPr>
          <w:lang w:val="en-CA"/>
        </w:rPr>
        <w:t xml:space="preserve"> and </w:t>
      </w:r>
      <w:r w:rsidR="003F1562" w:rsidRPr="00D104B4">
        <w:rPr>
          <w:lang w:val="en-CA"/>
        </w:rPr>
        <w:t>73</w:t>
      </w:r>
      <w:r w:rsidRPr="00D104B4">
        <w:rPr>
          <w:lang w:val="en-CA"/>
        </w:rPr>
        <w:t xml:space="preserve"> years. Using the </w:t>
      </w:r>
      <w:r w:rsidR="002944BB" w:rsidRPr="00D104B4">
        <w:rPr>
          <w:lang w:val="en-CA"/>
        </w:rPr>
        <w:t>CE</w:t>
      </w:r>
      <w:r w:rsidRPr="00D104B4">
        <w:rPr>
          <w:lang w:val="en-CA"/>
        </w:rPr>
        <w:t xml:space="preserve"> of the China HCFC production phase-out of US $0.86/kg, the break-even point ranges between </w:t>
      </w:r>
      <w:r w:rsidR="003F1562" w:rsidRPr="00D104B4">
        <w:rPr>
          <w:lang w:val="en-CA"/>
        </w:rPr>
        <w:t>nine</w:t>
      </w:r>
      <w:r w:rsidRPr="00D104B4">
        <w:rPr>
          <w:lang w:val="en-CA"/>
        </w:rPr>
        <w:t xml:space="preserve"> and </w:t>
      </w:r>
      <w:r w:rsidR="003F1562" w:rsidRPr="00D104B4">
        <w:rPr>
          <w:lang w:val="en-CA"/>
        </w:rPr>
        <w:t>22</w:t>
      </w:r>
      <w:r w:rsidRPr="00D104B4">
        <w:rPr>
          <w:lang w:val="en-CA"/>
        </w:rPr>
        <w:t xml:space="preserve"> years</w:t>
      </w:r>
      <w:r w:rsidR="003F1562" w:rsidRPr="00D104B4">
        <w:rPr>
          <w:lang w:val="en-CA"/>
        </w:rPr>
        <w:t>.</w:t>
      </w:r>
    </w:p>
    <w:p w14:paraId="2207F13C" w14:textId="5C1DF91D" w:rsidR="00D40DD9" w:rsidRPr="00D104B4" w:rsidRDefault="00B939E2" w:rsidP="00F6669D">
      <w:pPr>
        <w:keepNext/>
        <w:keepLines/>
        <w:rPr>
          <w:lang w:val="en-CA"/>
        </w:rPr>
      </w:pPr>
      <w:r w:rsidRPr="00D104B4">
        <w:rPr>
          <w:b/>
          <w:lang w:val="en-CA"/>
        </w:rPr>
        <w:lastRenderedPageBreak/>
        <w:t>Table 4</w:t>
      </w:r>
      <w:r w:rsidR="00D40DD9" w:rsidRPr="00D104B4">
        <w:rPr>
          <w:b/>
          <w:lang w:val="en-CA"/>
        </w:rPr>
        <w:t xml:space="preserve">. Break-even point between closure and continued operation of destruction facilities* </w:t>
      </w:r>
    </w:p>
    <w:tbl>
      <w:tblPr>
        <w:tblW w:w="5000" w:type="pct"/>
        <w:tblLook w:val="04A0" w:firstRow="1" w:lastRow="0" w:firstColumn="1" w:lastColumn="0" w:noHBand="0" w:noVBand="1"/>
      </w:tblPr>
      <w:tblGrid>
        <w:gridCol w:w="1364"/>
        <w:gridCol w:w="2742"/>
        <w:gridCol w:w="2693"/>
        <w:gridCol w:w="2551"/>
      </w:tblGrid>
      <w:tr w:rsidR="008B5A7F" w:rsidRPr="00D104B4" w14:paraId="12C8D8DE" w14:textId="77777777" w:rsidTr="0071541B">
        <w:trPr>
          <w:trHeight w:val="205"/>
        </w:trPr>
        <w:tc>
          <w:tcPr>
            <w:tcW w:w="729" w:type="pct"/>
            <w:vMerge w:val="restart"/>
            <w:tcBorders>
              <w:top w:val="single" w:sz="4" w:space="0" w:color="auto"/>
              <w:left w:val="single" w:sz="4" w:space="0" w:color="auto"/>
              <w:right w:val="single" w:sz="4" w:space="0" w:color="auto"/>
            </w:tcBorders>
            <w:shd w:val="clear" w:color="auto" w:fill="auto"/>
            <w:noWrap/>
            <w:vAlign w:val="bottom"/>
            <w:hideMark/>
          </w:tcPr>
          <w:p w14:paraId="720AB8D2" w14:textId="047B9DB2" w:rsidR="008B5A7F" w:rsidRPr="00D104B4" w:rsidRDefault="008B5A7F" w:rsidP="00F6669D">
            <w:pPr>
              <w:keepNext/>
              <w:keepLines/>
              <w:jc w:val="left"/>
              <w:rPr>
                <w:sz w:val="20"/>
                <w:szCs w:val="20"/>
                <w:lang w:val="en-CA" w:eastAsia="en-CA"/>
              </w:rPr>
            </w:pPr>
            <w:r w:rsidRPr="00D104B4">
              <w:rPr>
                <w:color w:val="000000"/>
                <w:sz w:val="20"/>
                <w:szCs w:val="20"/>
                <w:lang w:val="en-CA" w:eastAsia="en-CA"/>
              </w:rPr>
              <w:t> </w:t>
            </w:r>
          </w:p>
        </w:tc>
        <w:tc>
          <w:tcPr>
            <w:tcW w:w="1466" w:type="pct"/>
            <w:vMerge w:val="restart"/>
            <w:tcBorders>
              <w:top w:val="single" w:sz="4" w:space="0" w:color="auto"/>
              <w:left w:val="single" w:sz="4" w:space="0" w:color="auto"/>
              <w:right w:val="nil"/>
            </w:tcBorders>
            <w:shd w:val="clear" w:color="auto" w:fill="auto"/>
            <w:noWrap/>
            <w:vAlign w:val="center"/>
            <w:hideMark/>
          </w:tcPr>
          <w:p w14:paraId="206153CA" w14:textId="6834E533" w:rsidR="008B5A7F" w:rsidRPr="00D104B4" w:rsidRDefault="008B5A7F" w:rsidP="00F6669D">
            <w:pPr>
              <w:keepNext/>
              <w:keepLines/>
              <w:jc w:val="center"/>
              <w:rPr>
                <w:sz w:val="20"/>
                <w:szCs w:val="20"/>
                <w:lang w:val="en-CA" w:eastAsia="en-CA"/>
              </w:rPr>
            </w:pPr>
            <w:r w:rsidRPr="00D104B4">
              <w:rPr>
                <w:b/>
                <w:bCs/>
                <w:color w:val="000000"/>
                <w:sz w:val="20"/>
                <w:szCs w:val="20"/>
                <w:lang w:val="en-CA" w:eastAsia="en-CA"/>
              </w:rPr>
              <w:t>CE of closure (US $/kg)</w:t>
            </w:r>
          </w:p>
        </w:tc>
        <w:tc>
          <w:tcPr>
            <w:tcW w:w="28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83DD4" w14:textId="77777777" w:rsidR="008B5A7F" w:rsidRPr="00D104B4" w:rsidRDefault="008B5A7F" w:rsidP="00F6669D">
            <w:pPr>
              <w:keepNext/>
              <w:keepLines/>
              <w:jc w:val="center"/>
              <w:rPr>
                <w:b/>
                <w:bCs/>
                <w:color w:val="000000"/>
                <w:sz w:val="20"/>
                <w:szCs w:val="20"/>
                <w:lang w:val="en-CA" w:eastAsia="en-CA"/>
              </w:rPr>
            </w:pPr>
            <w:r w:rsidRPr="00D104B4">
              <w:rPr>
                <w:b/>
                <w:bCs/>
                <w:color w:val="000000"/>
                <w:sz w:val="20"/>
                <w:szCs w:val="20"/>
                <w:lang w:val="en-CA" w:eastAsia="en-CA"/>
              </w:rPr>
              <w:t>Break-even (years)</w:t>
            </w:r>
          </w:p>
        </w:tc>
      </w:tr>
      <w:tr w:rsidR="008B5A7F" w:rsidRPr="00D104B4" w14:paraId="588C0275" w14:textId="77777777" w:rsidTr="0071541B">
        <w:trPr>
          <w:trHeight w:val="194"/>
        </w:trPr>
        <w:tc>
          <w:tcPr>
            <w:tcW w:w="729" w:type="pct"/>
            <w:vMerge/>
            <w:tcBorders>
              <w:left w:val="single" w:sz="4" w:space="0" w:color="auto"/>
              <w:bottom w:val="single" w:sz="4" w:space="0" w:color="auto"/>
              <w:right w:val="single" w:sz="4" w:space="0" w:color="auto"/>
            </w:tcBorders>
            <w:shd w:val="clear" w:color="auto" w:fill="auto"/>
            <w:noWrap/>
            <w:vAlign w:val="bottom"/>
            <w:hideMark/>
          </w:tcPr>
          <w:p w14:paraId="3E3470E0" w14:textId="6A7ACF9D" w:rsidR="008B5A7F" w:rsidRPr="00D104B4" w:rsidRDefault="008B5A7F" w:rsidP="00F6669D">
            <w:pPr>
              <w:keepNext/>
              <w:keepLines/>
              <w:jc w:val="left"/>
              <w:rPr>
                <w:color w:val="000000"/>
                <w:sz w:val="20"/>
                <w:szCs w:val="20"/>
                <w:lang w:val="en-CA" w:eastAsia="en-CA"/>
              </w:rPr>
            </w:pPr>
          </w:p>
        </w:tc>
        <w:tc>
          <w:tcPr>
            <w:tcW w:w="1466" w:type="pct"/>
            <w:vMerge/>
            <w:tcBorders>
              <w:left w:val="single" w:sz="4" w:space="0" w:color="auto"/>
              <w:bottom w:val="single" w:sz="4" w:space="0" w:color="auto"/>
              <w:right w:val="single" w:sz="4" w:space="0" w:color="auto"/>
            </w:tcBorders>
            <w:shd w:val="clear" w:color="auto" w:fill="auto"/>
            <w:vAlign w:val="center"/>
            <w:hideMark/>
          </w:tcPr>
          <w:p w14:paraId="7CDB0C00" w14:textId="6C829256" w:rsidR="008B5A7F" w:rsidRPr="00D104B4" w:rsidRDefault="008B5A7F" w:rsidP="00F6669D">
            <w:pPr>
              <w:keepNext/>
              <w:keepLines/>
              <w:jc w:val="center"/>
              <w:rPr>
                <w:b/>
                <w:bCs/>
                <w:color w:val="000000"/>
                <w:sz w:val="20"/>
                <w:szCs w:val="20"/>
                <w:lang w:val="en-CA" w:eastAsia="en-CA"/>
              </w:rPr>
            </w:pPr>
          </w:p>
        </w:tc>
        <w:tc>
          <w:tcPr>
            <w:tcW w:w="1440" w:type="pct"/>
            <w:tcBorders>
              <w:top w:val="nil"/>
              <w:left w:val="nil"/>
              <w:bottom w:val="single" w:sz="4" w:space="0" w:color="auto"/>
              <w:right w:val="single" w:sz="4" w:space="0" w:color="auto"/>
            </w:tcBorders>
            <w:shd w:val="clear" w:color="auto" w:fill="auto"/>
            <w:noWrap/>
            <w:vAlign w:val="center"/>
            <w:hideMark/>
          </w:tcPr>
          <w:p w14:paraId="7A6858E7" w14:textId="6AAC3F9A" w:rsidR="008B5A7F" w:rsidRPr="00D104B4" w:rsidRDefault="008B5A7F" w:rsidP="00F6669D">
            <w:pPr>
              <w:keepNext/>
              <w:keepLines/>
              <w:jc w:val="center"/>
              <w:rPr>
                <w:b/>
                <w:bCs/>
                <w:color w:val="000000"/>
                <w:sz w:val="20"/>
                <w:szCs w:val="20"/>
                <w:lang w:val="en-CA" w:eastAsia="en-CA"/>
              </w:rPr>
            </w:pPr>
            <w:r w:rsidRPr="00D104B4">
              <w:rPr>
                <w:b/>
                <w:bCs/>
                <w:color w:val="000000"/>
                <w:sz w:val="20"/>
                <w:szCs w:val="20"/>
                <w:lang w:val="en-CA" w:eastAsia="en-CA"/>
              </w:rPr>
              <w:t>IOC (US $1.80/kg)</w:t>
            </w:r>
          </w:p>
        </w:tc>
        <w:tc>
          <w:tcPr>
            <w:tcW w:w="1364" w:type="pct"/>
            <w:tcBorders>
              <w:top w:val="nil"/>
              <w:left w:val="nil"/>
              <w:bottom w:val="single" w:sz="4" w:space="0" w:color="auto"/>
              <w:right w:val="single" w:sz="4" w:space="0" w:color="auto"/>
            </w:tcBorders>
            <w:shd w:val="clear" w:color="auto" w:fill="auto"/>
            <w:noWrap/>
            <w:vAlign w:val="center"/>
            <w:hideMark/>
          </w:tcPr>
          <w:p w14:paraId="10278E55" w14:textId="3A4313E4" w:rsidR="008B5A7F" w:rsidRPr="00D104B4" w:rsidRDefault="008B5A7F" w:rsidP="00F6669D">
            <w:pPr>
              <w:keepNext/>
              <w:keepLines/>
              <w:jc w:val="center"/>
              <w:rPr>
                <w:b/>
                <w:bCs/>
                <w:color w:val="000000"/>
                <w:sz w:val="20"/>
                <w:szCs w:val="20"/>
                <w:lang w:val="en-CA" w:eastAsia="en-CA"/>
              </w:rPr>
            </w:pPr>
            <w:r w:rsidRPr="00D104B4">
              <w:rPr>
                <w:b/>
                <w:bCs/>
                <w:color w:val="000000"/>
                <w:sz w:val="20"/>
                <w:szCs w:val="20"/>
                <w:lang w:val="en-CA" w:eastAsia="en-CA"/>
              </w:rPr>
              <w:t>IOC (US $4.37/kg)</w:t>
            </w:r>
          </w:p>
        </w:tc>
      </w:tr>
      <w:tr w:rsidR="001D438B" w:rsidRPr="00D104B4" w14:paraId="13A2B559" w14:textId="77777777" w:rsidTr="00F6669D">
        <w:trPr>
          <w:trHeight w:val="76"/>
        </w:trPr>
        <w:tc>
          <w:tcPr>
            <w:tcW w:w="729" w:type="pct"/>
            <w:vMerge w:val="restart"/>
            <w:tcBorders>
              <w:top w:val="nil"/>
              <w:left w:val="single" w:sz="4" w:space="0" w:color="auto"/>
              <w:bottom w:val="single" w:sz="4" w:space="0" w:color="auto"/>
              <w:right w:val="single" w:sz="4" w:space="0" w:color="auto"/>
            </w:tcBorders>
            <w:shd w:val="clear" w:color="auto" w:fill="auto"/>
            <w:noWrap/>
            <w:hideMark/>
          </w:tcPr>
          <w:p w14:paraId="6442B43D" w14:textId="77777777" w:rsidR="001D438B" w:rsidRPr="00D104B4" w:rsidRDefault="001D438B" w:rsidP="00F6669D">
            <w:pPr>
              <w:keepNext/>
              <w:keepLines/>
              <w:jc w:val="left"/>
              <w:rPr>
                <w:color w:val="000000"/>
                <w:sz w:val="20"/>
                <w:szCs w:val="20"/>
                <w:lang w:val="en-CA" w:eastAsia="en-CA"/>
              </w:rPr>
            </w:pPr>
            <w:r w:rsidRPr="00D104B4">
              <w:rPr>
                <w:color w:val="000000"/>
                <w:sz w:val="20"/>
                <w:szCs w:val="20"/>
                <w:lang w:val="en-CA" w:eastAsia="en-CA"/>
              </w:rPr>
              <w:t>India</w:t>
            </w:r>
          </w:p>
        </w:tc>
        <w:tc>
          <w:tcPr>
            <w:tcW w:w="1466" w:type="pct"/>
            <w:tcBorders>
              <w:top w:val="nil"/>
              <w:left w:val="nil"/>
              <w:bottom w:val="single" w:sz="4" w:space="0" w:color="auto"/>
              <w:right w:val="single" w:sz="4" w:space="0" w:color="auto"/>
            </w:tcBorders>
            <w:shd w:val="clear" w:color="auto" w:fill="auto"/>
            <w:noWrap/>
            <w:hideMark/>
          </w:tcPr>
          <w:p w14:paraId="6E0961EC" w14:textId="77777777" w:rsidR="001D438B" w:rsidRPr="00D104B4" w:rsidRDefault="001D438B" w:rsidP="00F6669D">
            <w:pPr>
              <w:keepNext/>
              <w:keepLines/>
              <w:jc w:val="right"/>
              <w:rPr>
                <w:color w:val="000000"/>
                <w:sz w:val="20"/>
                <w:szCs w:val="20"/>
                <w:lang w:val="en-CA" w:eastAsia="en-CA"/>
              </w:rPr>
            </w:pPr>
            <w:r w:rsidRPr="00D104B4">
              <w:rPr>
                <w:color w:val="000000"/>
                <w:sz w:val="20"/>
                <w:szCs w:val="20"/>
                <w:lang w:val="en-CA" w:eastAsia="en-CA"/>
              </w:rPr>
              <w:t>3.76</w:t>
            </w:r>
          </w:p>
        </w:tc>
        <w:tc>
          <w:tcPr>
            <w:tcW w:w="1440" w:type="pct"/>
            <w:tcBorders>
              <w:top w:val="nil"/>
              <w:left w:val="nil"/>
              <w:bottom w:val="single" w:sz="4" w:space="0" w:color="auto"/>
              <w:right w:val="single" w:sz="4" w:space="0" w:color="auto"/>
            </w:tcBorders>
            <w:shd w:val="clear" w:color="auto" w:fill="auto"/>
            <w:noWrap/>
            <w:hideMark/>
          </w:tcPr>
          <w:p w14:paraId="78FE8BCC" w14:textId="77777777" w:rsidR="001D438B" w:rsidRPr="00D104B4" w:rsidRDefault="001D438B" w:rsidP="00F6669D">
            <w:pPr>
              <w:keepNext/>
              <w:keepLines/>
              <w:jc w:val="right"/>
              <w:rPr>
                <w:color w:val="000000"/>
                <w:sz w:val="20"/>
                <w:szCs w:val="20"/>
                <w:lang w:val="en-CA" w:eastAsia="en-CA"/>
              </w:rPr>
            </w:pPr>
            <w:r w:rsidRPr="00D104B4">
              <w:rPr>
                <w:color w:val="000000"/>
                <w:sz w:val="20"/>
                <w:szCs w:val="20"/>
                <w:lang w:val="en-CA" w:eastAsia="en-CA"/>
              </w:rPr>
              <w:t>71</w:t>
            </w:r>
          </w:p>
        </w:tc>
        <w:tc>
          <w:tcPr>
            <w:tcW w:w="1364" w:type="pct"/>
            <w:tcBorders>
              <w:top w:val="nil"/>
              <w:left w:val="nil"/>
              <w:bottom w:val="single" w:sz="4" w:space="0" w:color="auto"/>
              <w:right w:val="single" w:sz="4" w:space="0" w:color="auto"/>
            </w:tcBorders>
            <w:shd w:val="clear" w:color="auto" w:fill="auto"/>
            <w:noWrap/>
            <w:hideMark/>
          </w:tcPr>
          <w:p w14:paraId="5846150F" w14:textId="77777777" w:rsidR="001D438B" w:rsidRPr="00D104B4" w:rsidRDefault="001D438B" w:rsidP="00F6669D">
            <w:pPr>
              <w:keepNext/>
              <w:keepLines/>
              <w:jc w:val="right"/>
              <w:rPr>
                <w:color w:val="000000"/>
                <w:sz w:val="20"/>
                <w:szCs w:val="20"/>
                <w:lang w:val="en-CA" w:eastAsia="en-CA"/>
              </w:rPr>
            </w:pPr>
            <w:r w:rsidRPr="00D104B4">
              <w:rPr>
                <w:color w:val="000000"/>
                <w:sz w:val="20"/>
                <w:szCs w:val="20"/>
                <w:lang w:val="en-CA" w:eastAsia="en-CA"/>
              </w:rPr>
              <w:t>29</w:t>
            </w:r>
          </w:p>
        </w:tc>
      </w:tr>
      <w:tr w:rsidR="001D438B" w:rsidRPr="00D104B4" w14:paraId="49BF83B0" w14:textId="77777777" w:rsidTr="0071541B">
        <w:trPr>
          <w:trHeight w:val="74"/>
        </w:trPr>
        <w:tc>
          <w:tcPr>
            <w:tcW w:w="729" w:type="pct"/>
            <w:vMerge/>
            <w:tcBorders>
              <w:top w:val="nil"/>
              <w:left w:val="single" w:sz="4" w:space="0" w:color="auto"/>
              <w:bottom w:val="single" w:sz="4" w:space="0" w:color="auto"/>
              <w:right w:val="single" w:sz="4" w:space="0" w:color="auto"/>
            </w:tcBorders>
            <w:hideMark/>
          </w:tcPr>
          <w:p w14:paraId="6413C317" w14:textId="77777777" w:rsidR="001D438B" w:rsidRPr="00D104B4" w:rsidRDefault="001D438B" w:rsidP="00F6669D">
            <w:pPr>
              <w:keepNext/>
              <w:keepLines/>
              <w:jc w:val="left"/>
              <w:rPr>
                <w:color w:val="000000"/>
                <w:sz w:val="20"/>
                <w:szCs w:val="20"/>
                <w:lang w:val="en-CA" w:eastAsia="en-CA"/>
              </w:rPr>
            </w:pPr>
          </w:p>
        </w:tc>
        <w:tc>
          <w:tcPr>
            <w:tcW w:w="1466" w:type="pct"/>
            <w:tcBorders>
              <w:top w:val="nil"/>
              <w:left w:val="nil"/>
              <w:bottom w:val="single" w:sz="4" w:space="0" w:color="auto"/>
              <w:right w:val="single" w:sz="4" w:space="0" w:color="auto"/>
            </w:tcBorders>
            <w:shd w:val="clear" w:color="auto" w:fill="auto"/>
            <w:noWrap/>
            <w:hideMark/>
          </w:tcPr>
          <w:p w14:paraId="65302631" w14:textId="77777777" w:rsidR="001D438B" w:rsidRPr="00D104B4" w:rsidRDefault="001D438B" w:rsidP="00F6669D">
            <w:pPr>
              <w:keepNext/>
              <w:keepLines/>
              <w:jc w:val="right"/>
              <w:rPr>
                <w:color w:val="000000"/>
                <w:sz w:val="20"/>
                <w:szCs w:val="20"/>
                <w:lang w:val="en-CA" w:eastAsia="en-CA"/>
              </w:rPr>
            </w:pPr>
            <w:r w:rsidRPr="00D104B4">
              <w:rPr>
                <w:color w:val="000000"/>
                <w:sz w:val="20"/>
                <w:szCs w:val="20"/>
                <w:lang w:val="en-CA" w:eastAsia="en-CA"/>
              </w:rPr>
              <w:t>0.86</w:t>
            </w:r>
          </w:p>
        </w:tc>
        <w:tc>
          <w:tcPr>
            <w:tcW w:w="1440" w:type="pct"/>
            <w:tcBorders>
              <w:top w:val="nil"/>
              <w:left w:val="nil"/>
              <w:bottom w:val="single" w:sz="4" w:space="0" w:color="auto"/>
              <w:right w:val="single" w:sz="4" w:space="0" w:color="auto"/>
            </w:tcBorders>
            <w:shd w:val="clear" w:color="auto" w:fill="auto"/>
            <w:noWrap/>
            <w:hideMark/>
          </w:tcPr>
          <w:p w14:paraId="033601AB" w14:textId="77777777" w:rsidR="001D438B" w:rsidRPr="00D104B4" w:rsidRDefault="001D438B" w:rsidP="00F6669D">
            <w:pPr>
              <w:keepNext/>
              <w:keepLines/>
              <w:jc w:val="right"/>
              <w:rPr>
                <w:color w:val="000000"/>
                <w:sz w:val="20"/>
                <w:szCs w:val="20"/>
                <w:lang w:val="en-CA" w:eastAsia="en-CA"/>
              </w:rPr>
            </w:pPr>
            <w:r w:rsidRPr="00D104B4">
              <w:rPr>
                <w:color w:val="000000"/>
                <w:sz w:val="20"/>
                <w:szCs w:val="20"/>
                <w:lang w:val="en-CA" w:eastAsia="en-CA"/>
              </w:rPr>
              <w:t>16</w:t>
            </w:r>
          </w:p>
        </w:tc>
        <w:tc>
          <w:tcPr>
            <w:tcW w:w="1364" w:type="pct"/>
            <w:tcBorders>
              <w:top w:val="nil"/>
              <w:left w:val="nil"/>
              <w:bottom w:val="single" w:sz="4" w:space="0" w:color="auto"/>
              <w:right w:val="single" w:sz="4" w:space="0" w:color="auto"/>
            </w:tcBorders>
            <w:shd w:val="clear" w:color="auto" w:fill="auto"/>
            <w:noWrap/>
            <w:hideMark/>
          </w:tcPr>
          <w:p w14:paraId="49EAA4C2" w14:textId="77777777" w:rsidR="001D438B" w:rsidRPr="00D104B4" w:rsidRDefault="001D438B" w:rsidP="00F6669D">
            <w:pPr>
              <w:keepNext/>
              <w:keepLines/>
              <w:jc w:val="right"/>
              <w:rPr>
                <w:color w:val="000000"/>
                <w:sz w:val="20"/>
                <w:szCs w:val="20"/>
                <w:lang w:val="en-CA" w:eastAsia="en-CA"/>
              </w:rPr>
            </w:pPr>
            <w:r w:rsidRPr="00D104B4">
              <w:rPr>
                <w:color w:val="000000"/>
                <w:sz w:val="20"/>
                <w:szCs w:val="20"/>
                <w:lang w:val="en-CA" w:eastAsia="en-CA"/>
              </w:rPr>
              <w:t>7</w:t>
            </w:r>
          </w:p>
        </w:tc>
      </w:tr>
      <w:tr w:rsidR="001D438B" w:rsidRPr="00D104B4" w14:paraId="5EB38A28" w14:textId="77777777" w:rsidTr="0071541B">
        <w:trPr>
          <w:trHeight w:val="121"/>
        </w:trPr>
        <w:tc>
          <w:tcPr>
            <w:tcW w:w="729" w:type="pct"/>
            <w:vMerge w:val="restart"/>
            <w:tcBorders>
              <w:top w:val="nil"/>
              <w:left w:val="single" w:sz="4" w:space="0" w:color="auto"/>
              <w:bottom w:val="single" w:sz="4" w:space="0" w:color="auto"/>
              <w:right w:val="single" w:sz="4" w:space="0" w:color="auto"/>
            </w:tcBorders>
            <w:shd w:val="clear" w:color="auto" w:fill="auto"/>
            <w:noWrap/>
            <w:hideMark/>
          </w:tcPr>
          <w:p w14:paraId="23256363" w14:textId="77777777" w:rsidR="001D438B" w:rsidRPr="00D104B4" w:rsidRDefault="001D438B" w:rsidP="00F6669D">
            <w:pPr>
              <w:keepNext/>
              <w:keepLines/>
              <w:jc w:val="left"/>
              <w:rPr>
                <w:color w:val="000000"/>
                <w:sz w:val="20"/>
                <w:szCs w:val="20"/>
                <w:lang w:val="en-CA" w:eastAsia="en-CA"/>
              </w:rPr>
            </w:pPr>
            <w:r w:rsidRPr="00D104B4">
              <w:rPr>
                <w:color w:val="000000"/>
                <w:sz w:val="20"/>
                <w:szCs w:val="20"/>
                <w:lang w:val="en-CA" w:eastAsia="en-CA"/>
              </w:rPr>
              <w:t>Mexico</w:t>
            </w:r>
          </w:p>
        </w:tc>
        <w:tc>
          <w:tcPr>
            <w:tcW w:w="1466" w:type="pct"/>
            <w:tcBorders>
              <w:top w:val="nil"/>
              <w:left w:val="nil"/>
              <w:bottom w:val="single" w:sz="4" w:space="0" w:color="auto"/>
              <w:right w:val="single" w:sz="4" w:space="0" w:color="auto"/>
            </w:tcBorders>
            <w:shd w:val="clear" w:color="auto" w:fill="auto"/>
            <w:noWrap/>
            <w:hideMark/>
          </w:tcPr>
          <w:p w14:paraId="6C628802" w14:textId="77777777" w:rsidR="001D438B" w:rsidRPr="00D104B4" w:rsidRDefault="001D438B" w:rsidP="00F6669D">
            <w:pPr>
              <w:keepNext/>
              <w:keepLines/>
              <w:jc w:val="right"/>
              <w:rPr>
                <w:color w:val="000000"/>
                <w:sz w:val="20"/>
                <w:szCs w:val="20"/>
                <w:lang w:val="en-CA" w:eastAsia="en-CA"/>
              </w:rPr>
            </w:pPr>
            <w:r w:rsidRPr="00D104B4">
              <w:rPr>
                <w:color w:val="000000"/>
                <w:sz w:val="20"/>
                <w:szCs w:val="20"/>
                <w:lang w:val="en-CA" w:eastAsia="en-CA"/>
              </w:rPr>
              <w:t>2.88</w:t>
            </w:r>
          </w:p>
        </w:tc>
        <w:tc>
          <w:tcPr>
            <w:tcW w:w="1440" w:type="pct"/>
            <w:tcBorders>
              <w:top w:val="nil"/>
              <w:left w:val="nil"/>
              <w:bottom w:val="single" w:sz="4" w:space="0" w:color="auto"/>
              <w:right w:val="single" w:sz="4" w:space="0" w:color="auto"/>
            </w:tcBorders>
            <w:shd w:val="clear" w:color="auto" w:fill="auto"/>
            <w:noWrap/>
            <w:hideMark/>
          </w:tcPr>
          <w:p w14:paraId="1B0893AA" w14:textId="77777777" w:rsidR="001D438B" w:rsidRPr="00D104B4" w:rsidRDefault="001D438B" w:rsidP="00F6669D">
            <w:pPr>
              <w:keepNext/>
              <w:keepLines/>
              <w:jc w:val="right"/>
              <w:rPr>
                <w:color w:val="000000"/>
                <w:sz w:val="20"/>
                <w:szCs w:val="20"/>
                <w:lang w:val="en-CA" w:eastAsia="en-CA"/>
              </w:rPr>
            </w:pPr>
            <w:r w:rsidRPr="00D104B4">
              <w:rPr>
                <w:color w:val="000000"/>
                <w:sz w:val="20"/>
                <w:szCs w:val="20"/>
                <w:lang w:val="en-CA" w:eastAsia="en-CA"/>
              </w:rPr>
              <w:t>73</w:t>
            </w:r>
          </w:p>
        </w:tc>
        <w:tc>
          <w:tcPr>
            <w:tcW w:w="1364" w:type="pct"/>
            <w:tcBorders>
              <w:top w:val="nil"/>
              <w:left w:val="nil"/>
              <w:bottom w:val="single" w:sz="4" w:space="0" w:color="auto"/>
              <w:right w:val="single" w:sz="4" w:space="0" w:color="auto"/>
            </w:tcBorders>
            <w:shd w:val="clear" w:color="auto" w:fill="auto"/>
            <w:noWrap/>
            <w:hideMark/>
          </w:tcPr>
          <w:p w14:paraId="331599A1" w14:textId="77777777" w:rsidR="001D438B" w:rsidRPr="00D104B4" w:rsidRDefault="001D438B" w:rsidP="00F6669D">
            <w:pPr>
              <w:keepNext/>
              <w:keepLines/>
              <w:jc w:val="right"/>
              <w:rPr>
                <w:color w:val="000000"/>
                <w:sz w:val="20"/>
                <w:szCs w:val="20"/>
                <w:lang w:val="en-CA" w:eastAsia="en-CA"/>
              </w:rPr>
            </w:pPr>
            <w:r w:rsidRPr="00D104B4">
              <w:rPr>
                <w:color w:val="000000"/>
                <w:sz w:val="20"/>
                <w:szCs w:val="20"/>
                <w:lang w:val="en-CA" w:eastAsia="en-CA"/>
              </w:rPr>
              <w:t>30</w:t>
            </w:r>
          </w:p>
        </w:tc>
      </w:tr>
      <w:tr w:rsidR="001D438B" w:rsidRPr="00D104B4" w14:paraId="22614D3A" w14:textId="77777777" w:rsidTr="0071541B">
        <w:trPr>
          <w:trHeight w:val="166"/>
        </w:trPr>
        <w:tc>
          <w:tcPr>
            <w:tcW w:w="729" w:type="pct"/>
            <w:vMerge/>
            <w:tcBorders>
              <w:top w:val="nil"/>
              <w:left w:val="single" w:sz="4" w:space="0" w:color="auto"/>
              <w:bottom w:val="single" w:sz="4" w:space="0" w:color="auto"/>
              <w:right w:val="single" w:sz="4" w:space="0" w:color="auto"/>
            </w:tcBorders>
            <w:vAlign w:val="center"/>
            <w:hideMark/>
          </w:tcPr>
          <w:p w14:paraId="28C8041D" w14:textId="77777777" w:rsidR="001D438B" w:rsidRPr="00D104B4" w:rsidRDefault="001D438B" w:rsidP="00F6669D">
            <w:pPr>
              <w:keepNext/>
              <w:keepLines/>
              <w:jc w:val="left"/>
              <w:rPr>
                <w:color w:val="000000"/>
                <w:sz w:val="20"/>
                <w:szCs w:val="20"/>
                <w:lang w:val="en-CA" w:eastAsia="en-CA"/>
              </w:rPr>
            </w:pPr>
          </w:p>
        </w:tc>
        <w:tc>
          <w:tcPr>
            <w:tcW w:w="1466" w:type="pct"/>
            <w:tcBorders>
              <w:top w:val="nil"/>
              <w:left w:val="nil"/>
              <w:bottom w:val="single" w:sz="4" w:space="0" w:color="auto"/>
              <w:right w:val="single" w:sz="4" w:space="0" w:color="auto"/>
            </w:tcBorders>
            <w:shd w:val="clear" w:color="auto" w:fill="auto"/>
            <w:noWrap/>
            <w:hideMark/>
          </w:tcPr>
          <w:p w14:paraId="1C528F60" w14:textId="77777777" w:rsidR="001D438B" w:rsidRPr="00D104B4" w:rsidRDefault="001D438B" w:rsidP="00F6669D">
            <w:pPr>
              <w:keepNext/>
              <w:keepLines/>
              <w:jc w:val="right"/>
              <w:rPr>
                <w:color w:val="000000"/>
                <w:sz w:val="20"/>
                <w:szCs w:val="20"/>
                <w:lang w:val="en-CA" w:eastAsia="en-CA"/>
              </w:rPr>
            </w:pPr>
            <w:r w:rsidRPr="00D104B4">
              <w:rPr>
                <w:color w:val="000000"/>
                <w:sz w:val="20"/>
                <w:szCs w:val="20"/>
                <w:lang w:val="en-CA" w:eastAsia="en-CA"/>
              </w:rPr>
              <w:t>0.86</w:t>
            </w:r>
          </w:p>
        </w:tc>
        <w:tc>
          <w:tcPr>
            <w:tcW w:w="1440" w:type="pct"/>
            <w:tcBorders>
              <w:top w:val="nil"/>
              <w:left w:val="nil"/>
              <w:bottom w:val="single" w:sz="4" w:space="0" w:color="auto"/>
              <w:right w:val="single" w:sz="4" w:space="0" w:color="auto"/>
            </w:tcBorders>
            <w:shd w:val="clear" w:color="auto" w:fill="auto"/>
            <w:noWrap/>
            <w:hideMark/>
          </w:tcPr>
          <w:p w14:paraId="26530A40" w14:textId="77777777" w:rsidR="001D438B" w:rsidRPr="00D104B4" w:rsidRDefault="001D438B" w:rsidP="00F6669D">
            <w:pPr>
              <w:keepNext/>
              <w:keepLines/>
              <w:jc w:val="right"/>
              <w:rPr>
                <w:color w:val="000000"/>
                <w:sz w:val="20"/>
                <w:szCs w:val="20"/>
                <w:lang w:val="en-CA" w:eastAsia="en-CA"/>
              </w:rPr>
            </w:pPr>
            <w:r w:rsidRPr="00D104B4">
              <w:rPr>
                <w:color w:val="000000"/>
                <w:sz w:val="20"/>
                <w:szCs w:val="20"/>
                <w:lang w:val="en-CA" w:eastAsia="en-CA"/>
              </w:rPr>
              <w:t>22</w:t>
            </w:r>
          </w:p>
        </w:tc>
        <w:tc>
          <w:tcPr>
            <w:tcW w:w="1364" w:type="pct"/>
            <w:tcBorders>
              <w:top w:val="nil"/>
              <w:left w:val="nil"/>
              <w:bottom w:val="single" w:sz="4" w:space="0" w:color="auto"/>
              <w:right w:val="single" w:sz="4" w:space="0" w:color="auto"/>
            </w:tcBorders>
            <w:shd w:val="clear" w:color="auto" w:fill="auto"/>
            <w:noWrap/>
            <w:hideMark/>
          </w:tcPr>
          <w:p w14:paraId="5ABD11D0" w14:textId="77777777" w:rsidR="001D438B" w:rsidRPr="00D104B4" w:rsidRDefault="001D438B" w:rsidP="00F6669D">
            <w:pPr>
              <w:keepNext/>
              <w:keepLines/>
              <w:jc w:val="right"/>
              <w:rPr>
                <w:color w:val="000000"/>
                <w:sz w:val="20"/>
                <w:szCs w:val="20"/>
                <w:lang w:val="en-CA" w:eastAsia="en-CA"/>
              </w:rPr>
            </w:pPr>
            <w:r w:rsidRPr="00D104B4">
              <w:rPr>
                <w:color w:val="000000"/>
                <w:sz w:val="20"/>
                <w:szCs w:val="20"/>
                <w:lang w:val="en-CA" w:eastAsia="en-CA"/>
              </w:rPr>
              <w:t>9</w:t>
            </w:r>
          </w:p>
        </w:tc>
      </w:tr>
    </w:tbl>
    <w:p w14:paraId="3A915CBE" w14:textId="2FFE0697" w:rsidR="00212B23" w:rsidRPr="00D104B4" w:rsidRDefault="00D40DD9" w:rsidP="00F6669D">
      <w:pPr>
        <w:keepNext/>
        <w:keepLines/>
        <w:rPr>
          <w:sz w:val="16"/>
          <w:szCs w:val="16"/>
          <w:lang w:val="en-CA"/>
        </w:rPr>
      </w:pPr>
      <w:r w:rsidRPr="00D104B4">
        <w:rPr>
          <w:sz w:val="16"/>
          <w:szCs w:val="16"/>
          <w:lang w:val="en-CA"/>
        </w:rPr>
        <w:t>* Assuming (constant) 2017 production.</w:t>
      </w:r>
    </w:p>
    <w:p w14:paraId="4B6C7329" w14:textId="77777777" w:rsidR="00D40DD9" w:rsidRPr="00D104B4" w:rsidRDefault="00D40DD9" w:rsidP="00212B23">
      <w:pPr>
        <w:rPr>
          <w:lang w:val="en-CA"/>
        </w:rPr>
      </w:pPr>
    </w:p>
    <w:p w14:paraId="5F4ECF7D" w14:textId="053FA130" w:rsidR="00DC3490" w:rsidRPr="00D104B4" w:rsidRDefault="001153B9" w:rsidP="001153B9">
      <w:pPr>
        <w:pStyle w:val="Heading1"/>
        <w:rPr>
          <w:lang w:val="en-CA"/>
        </w:rPr>
      </w:pPr>
      <w:r w:rsidRPr="00B524F0">
        <w:rPr>
          <w:lang w:val="en-CA"/>
        </w:rPr>
        <w:t>The Secretariat did not</w:t>
      </w:r>
      <w:r w:rsidRPr="00D104B4">
        <w:rPr>
          <w:lang w:val="en-CA"/>
        </w:rPr>
        <w:t xml:space="preserve"> assess break-even points for the facilities in the Democratic People's Republic of Korea and Venezuela</w:t>
      </w:r>
      <w:r w:rsidR="00B524F0">
        <w:rPr>
          <w:lang w:val="en-CA"/>
        </w:rPr>
        <w:t xml:space="preserve"> (Bolivarian Republic of)</w:t>
      </w:r>
      <w:r w:rsidRPr="00D104B4">
        <w:rPr>
          <w:lang w:val="en-CA"/>
        </w:rPr>
        <w:t xml:space="preserve"> as, to the best of the Secretariat’s knowledge, those facilities do not have a destruction facility; moreover, the production line in the Democratic People's Republic of Korea is not a swing plant. Similarly, costs for facilities in China are not provided as those plants are not swing-plants and compensation for closure is already being addressed under the HPPMP. Document</w:t>
      </w:r>
      <w:r w:rsidR="008B5A7F" w:rsidRPr="00D104B4">
        <w:rPr>
          <w:lang w:val="en-CA"/>
        </w:rPr>
        <w:t> </w:t>
      </w:r>
      <w:r w:rsidRPr="00091FB0">
        <w:rPr>
          <w:lang w:val="en-CA"/>
        </w:rPr>
        <w:t>UNEP/</w:t>
      </w:r>
      <w:proofErr w:type="spellStart"/>
      <w:r w:rsidRPr="00091FB0">
        <w:rPr>
          <w:lang w:val="en-CA"/>
        </w:rPr>
        <w:t>OzL.Pro</w:t>
      </w:r>
      <w:proofErr w:type="spellEnd"/>
      <w:r w:rsidRPr="00091FB0">
        <w:rPr>
          <w:lang w:val="en-CA"/>
        </w:rPr>
        <w:t>/</w:t>
      </w:r>
      <w:proofErr w:type="spellStart"/>
      <w:r w:rsidRPr="00091FB0">
        <w:rPr>
          <w:lang w:val="en-CA"/>
        </w:rPr>
        <w:t>ExCom</w:t>
      </w:r>
      <w:proofErr w:type="spellEnd"/>
      <w:r w:rsidRPr="00091FB0">
        <w:rPr>
          <w:lang w:val="en-CA"/>
        </w:rPr>
        <w:t>/82/</w:t>
      </w:r>
      <w:r w:rsidR="001420DB" w:rsidRPr="00091FB0">
        <w:rPr>
          <w:lang w:val="en-CA"/>
        </w:rPr>
        <w:t>69</w:t>
      </w:r>
      <w:r w:rsidRPr="00091FB0">
        <w:rPr>
          <w:lang w:val="en-CA"/>
        </w:rPr>
        <w:t xml:space="preserve"> provides</w:t>
      </w:r>
      <w:r w:rsidRPr="00D104B4">
        <w:rPr>
          <w:lang w:val="en-CA"/>
        </w:rPr>
        <w:t xml:space="preserve"> a detailed assessment of the costs of different HFC-23 by-product control options for the HCFC-22 swing plant in Argentina. </w:t>
      </w:r>
    </w:p>
    <w:p w14:paraId="1E7481FB" w14:textId="280C75E2" w:rsidR="00DC3490" w:rsidRPr="00D104B4" w:rsidRDefault="005818E5" w:rsidP="005818E5">
      <w:pPr>
        <w:pStyle w:val="Heading1"/>
        <w:rPr>
          <w:lang w:val="en-CA"/>
        </w:rPr>
      </w:pPr>
      <w:r w:rsidRPr="00D104B4">
        <w:rPr>
          <w:lang w:val="en-CA"/>
        </w:rPr>
        <w:t>The break</w:t>
      </w:r>
      <w:r w:rsidR="00B939E2" w:rsidRPr="00D104B4">
        <w:rPr>
          <w:lang w:val="en-CA"/>
        </w:rPr>
        <w:t xml:space="preserve">-even points provided in </w:t>
      </w:r>
      <w:r w:rsidR="00B524F0">
        <w:rPr>
          <w:lang w:val="en-CA"/>
        </w:rPr>
        <w:t>T</w:t>
      </w:r>
      <w:r w:rsidR="00B939E2" w:rsidRPr="00D104B4">
        <w:rPr>
          <w:lang w:val="en-CA"/>
        </w:rPr>
        <w:t>able 4</w:t>
      </w:r>
      <w:r w:rsidRPr="00D104B4">
        <w:rPr>
          <w:lang w:val="en-CA"/>
        </w:rPr>
        <w:t xml:space="preserve"> are for reference only as they do not take into account national circumstances or circumstances that may be relevant to </w:t>
      </w:r>
      <w:r w:rsidR="00905A09" w:rsidRPr="00D104B4">
        <w:rPr>
          <w:lang w:val="en-CA"/>
        </w:rPr>
        <w:t xml:space="preserve">specific </w:t>
      </w:r>
      <w:r w:rsidRPr="00D104B4">
        <w:rPr>
          <w:lang w:val="en-CA"/>
        </w:rPr>
        <w:t xml:space="preserve">production facilities. For example, the break-even point is based on constant 2017 production. In </w:t>
      </w:r>
      <w:r w:rsidR="002B2BF7" w:rsidRPr="00D104B4">
        <w:rPr>
          <w:lang w:val="en-CA"/>
        </w:rPr>
        <w:t>both</w:t>
      </w:r>
      <w:r w:rsidRPr="00D104B4">
        <w:rPr>
          <w:lang w:val="en-CA"/>
        </w:rPr>
        <w:t xml:space="preserve"> cases considered, the break-even point extends beyond the 2025 compliance obligation. As the 2017 production </w:t>
      </w:r>
      <w:r w:rsidR="0007031B" w:rsidRPr="00D104B4">
        <w:rPr>
          <w:lang w:val="en-CA"/>
        </w:rPr>
        <w:t>for both India</w:t>
      </w:r>
      <w:r w:rsidR="00B524F0">
        <w:rPr>
          <w:lang w:val="en-CA"/>
        </w:rPr>
        <w:t xml:space="preserve"> and Mexico</w:t>
      </w:r>
      <w:r w:rsidR="0007031B" w:rsidRPr="00D104B4">
        <w:rPr>
          <w:lang w:val="en-CA"/>
        </w:rPr>
        <w:t xml:space="preserve"> </w:t>
      </w:r>
      <w:r w:rsidRPr="00D104B4">
        <w:rPr>
          <w:lang w:val="en-CA"/>
        </w:rPr>
        <w:t xml:space="preserve">would be above the 2025 compliance obligation, production would either have to be reduced or the HCFC-22 used for feedstock. The Secretariat did not take into consideration the capacity of the destruction </w:t>
      </w:r>
      <w:r w:rsidR="00905A09" w:rsidRPr="00D104B4">
        <w:rPr>
          <w:lang w:val="en-CA"/>
        </w:rPr>
        <w:t>facility at each swing plant</w:t>
      </w:r>
      <w:r w:rsidRPr="00D104B4">
        <w:rPr>
          <w:lang w:val="en-CA"/>
        </w:rPr>
        <w:t xml:space="preserve"> as that data was not available; however, the IOCs are expected to vary with capacity and extent of utilization of that capacity. </w:t>
      </w:r>
      <w:r w:rsidR="009D4107" w:rsidRPr="00D104B4">
        <w:rPr>
          <w:lang w:val="en-CA"/>
        </w:rPr>
        <w:t xml:space="preserve">Moreover, the Secretariat did not take into consideration the technology used by each destruction facility. For example, the destruction facility in Mexico uses plasma arc technology; IOCs for such technology are expected to be higher than for the </w:t>
      </w:r>
      <w:proofErr w:type="spellStart"/>
      <w:r w:rsidR="009D4107" w:rsidRPr="00D104B4">
        <w:rPr>
          <w:lang w:val="en-CA"/>
        </w:rPr>
        <w:t>fluor</w:t>
      </w:r>
      <w:proofErr w:type="spellEnd"/>
      <w:r w:rsidR="009D4107" w:rsidRPr="00D104B4">
        <w:rPr>
          <w:lang w:val="en-CA"/>
        </w:rPr>
        <w:t xml:space="preserve"> technology described in document</w:t>
      </w:r>
      <w:r w:rsidR="008B5A7F" w:rsidRPr="00D104B4">
        <w:rPr>
          <w:lang w:val="en-CA"/>
        </w:rPr>
        <w:t> </w:t>
      </w:r>
      <w:r w:rsidR="009D4107" w:rsidRPr="00D104B4">
        <w:rPr>
          <w:lang w:val="en-CA"/>
        </w:rPr>
        <w:t>UNEP/</w:t>
      </w:r>
      <w:proofErr w:type="spellStart"/>
      <w:r w:rsidR="009D4107" w:rsidRPr="00D104B4">
        <w:rPr>
          <w:lang w:val="en-CA"/>
        </w:rPr>
        <w:t>OzL.Pro</w:t>
      </w:r>
      <w:proofErr w:type="spellEnd"/>
      <w:r w:rsidR="009D4107" w:rsidRPr="00D104B4">
        <w:rPr>
          <w:lang w:val="en-CA"/>
        </w:rPr>
        <w:t>/</w:t>
      </w:r>
      <w:proofErr w:type="spellStart"/>
      <w:r w:rsidR="009D4107" w:rsidRPr="00D104B4">
        <w:rPr>
          <w:lang w:val="en-CA"/>
        </w:rPr>
        <w:t>ExCom</w:t>
      </w:r>
      <w:proofErr w:type="spellEnd"/>
      <w:r w:rsidR="009D4107" w:rsidRPr="00D104B4">
        <w:rPr>
          <w:lang w:val="en-CA"/>
        </w:rPr>
        <w:t xml:space="preserve">/81/54. </w:t>
      </w:r>
    </w:p>
    <w:p w14:paraId="478974A9" w14:textId="091297CE" w:rsidR="00905A09" w:rsidRPr="00D104B4" w:rsidRDefault="00905A09" w:rsidP="00905A09">
      <w:pPr>
        <w:rPr>
          <w:b/>
          <w:lang w:val="en-CA"/>
        </w:rPr>
      </w:pPr>
      <w:r w:rsidRPr="00D104B4">
        <w:rPr>
          <w:b/>
          <w:lang w:val="en-CA"/>
        </w:rPr>
        <w:t xml:space="preserve">Options for monitoring </w:t>
      </w:r>
    </w:p>
    <w:p w14:paraId="3728DD83" w14:textId="77777777" w:rsidR="00905A09" w:rsidRPr="00D104B4" w:rsidRDefault="00905A09" w:rsidP="00905A09">
      <w:pPr>
        <w:rPr>
          <w:b/>
          <w:lang w:val="en-CA"/>
        </w:rPr>
      </w:pPr>
    </w:p>
    <w:p w14:paraId="37506C22" w14:textId="23AB489A" w:rsidR="00AA2249" w:rsidRPr="00E55D89" w:rsidRDefault="00B524F0" w:rsidP="00AA2249">
      <w:pPr>
        <w:pStyle w:val="Heading1"/>
        <w:rPr>
          <w:lang w:val="en-CA"/>
        </w:rPr>
      </w:pPr>
      <w:r>
        <w:rPr>
          <w:lang w:val="en-CA"/>
        </w:rPr>
        <w:t xml:space="preserve">The guidelines </w:t>
      </w:r>
      <w:r w:rsidRPr="00D104B4">
        <w:rPr>
          <w:lang w:val="en-CA"/>
        </w:rPr>
        <w:t>for reporting emissions of</w:t>
      </w:r>
      <w:r>
        <w:rPr>
          <w:lang w:val="en-CA"/>
        </w:rPr>
        <w:t xml:space="preserve"> greenhouse gases</w:t>
      </w:r>
      <w:r w:rsidRPr="00D104B4">
        <w:rPr>
          <w:lang w:val="en-CA"/>
        </w:rPr>
        <w:t xml:space="preserve"> </w:t>
      </w:r>
      <w:r>
        <w:rPr>
          <w:lang w:val="en-CA"/>
        </w:rPr>
        <w:t>(</w:t>
      </w:r>
      <w:r w:rsidRPr="00D104B4">
        <w:rPr>
          <w:lang w:val="en-CA"/>
        </w:rPr>
        <w:t>GHGs</w:t>
      </w:r>
      <w:r>
        <w:rPr>
          <w:lang w:val="en-CA"/>
        </w:rPr>
        <w:t>) developed by t</w:t>
      </w:r>
      <w:r w:rsidR="00AA2249" w:rsidRPr="00D104B4">
        <w:rPr>
          <w:lang w:val="en-CA"/>
        </w:rPr>
        <w:t>he International Panel on Climate Change (IPCC) under the UNFCCC</w:t>
      </w:r>
      <w:r w:rsidR="00EB3898">
        <w:rPr>
          <w:lang w:val="en-CA"/>
        </w:rPr>
        <w:t>,</w:t>
      </w:r>
      <w:r>
        <w:rPr>
          <w:lang w:val="en-CA"/>
        </w:rPr>
        <w:t xml:space="preserve"> </w:t>
      </w:r>
      <w:r w:rsidR="00EB3898">
        <w:rPr>
          <w:lang w:val="en-CA"/>
        </w:rPr>
        <w:t xml:space="preserve">and the methodology to </w:t>
      </w:r>
      <w:r w:rsidR="00EB3898" w:rsidRPr="00EB3898">
        <w:t xml:space="preserve">monitor HFC-23 from the Clean Development Mechanism </w:t>
      </w:r>
      <w:r w:rsidR="00075884">
        <w:t xml:space="preserve">(CDM) </w:t>
      </w:r>
      <w:r>
        <w:rPr>
          <w:lang w:val="en-CA"/>
        </w:rPr>
        <w:t>have been described in document UNEP/</w:t>
      </w:r>
      <w:proofErr w:type="spellStart"/>
      <w:r>
        <w:rPr>
          <w:lang w:val="en-CA"/>
        </w:rPr>
        <w:t>OzL.Pro</w:t>
      </w:r>
      <w:proofErr w:type="spellEnd"/>
      <w:r>
        <w:rPr>
          <w:lang w:val="en-CA"/>
        </w:rPr>
        <w:t>/</w:t>
      </w:r>
      <w:proofErr w:type="spellStart"/>
      <w:r>
        <w:rPr>
          <w:lang w:val="en-CA"/>
        </w:rPr>
        <w:t>ExCom</w:t>
      </w:r>
      <w:proofErr w:type="spellEnd"/>
      <w:r>
        <w:rPr>
          <w:lang w:val="en-CA"/>
        </w:rPr>
        <w:t xml:space="preserve">/79/48. </w:t>
      </w:r>
      <w:r w:rsidR="00F6669D" w:rsidRPr="00E55D89">
        <w:rPr>
          <w:lang w:val="en-CA"/>
        </w:rPr>
        <w:t>Therefore, this document will describe the current practices for monitoring HFC-23 emissions under the implementation of the HPPMP for China.</w:t>
      </w:r>
    </w:p>
    <w:p w14:paraId="16F2E44B" w14:textId="660FE7E3" w:rsidR="00AA2249" w:rsidRPr="00D104B4" w:rsidRDefault="003E0C27" w:rsidP="00AA2249">
      <w:pPr>
        <w:pStyle w:val="Heading1"/>
        <w:keepNext/>
        <w:keepLines/>
        <w:rPr>
          <w:lang w:val="en-CA"/>
        </w:rPr>
      </w:pPr>
      <w:r>
        <w:rPr>
          <w:lang w:val="en-CA"/>
        </w:rPr>
        <w:t>Under</w:t>
      </w:r>
      <w:r w:rsidR="00AA2249" w:rsidRPr="00D104B4">
        <w:rPr>
          <w:lang w:val="en-CA"/>
        </w:rPr>
        <w:t xml:space="preserve"> the Agreement </w:t>
      </w:r>
      <w:r>
        <w:rPr>
          <w:lang w:val="en-CA"/>
        </w:rPr>
        <w:t>with</w:t>
      </w:r>
      <w:r w:rsidR="00AA2249" w:rsidRPr="00D104B4">
        <w:rPr>
          <w:lang w:val="en-CA"/>
        </w:rPr>
        <w:t xml:space="preserve"> the Executive Committee for stage I of the HPPMP, the Government</w:t>
      </w:r>
      <w:r>
        <w:rPr>
          <w:lang w:val="en-CA"/>
        </w:rPr>
        <w:t xml:space="preserve"> of China</w:t>
      </w:r>
      <w:r w:rsidR="00AA2249" w:rsidRPr="00D104B4">
        <w:rPr>
          <w:lang w:val="en-CA"/>
        </w:rPr>
        <w:t xml:space="preserve"> agree</w:t>
      </w:r>
      <w:r>
        <w:rPr>
          <w:lang w:val="en-CA"/>
        </w:rPr>
        <w:t>d</w:t>
      </w:r>
      <w:r w:rsidR="00AA2249" w:rsidRPr="00D104B4">
        <w:rPr>
          <w:lang w:val="en-CA"/>
        </w:rPr>
        <w:t xml:space="preserve"> to make best efforts to manage HCFC production and associated by-product production in HCFC plants in accordance with best practices. In order to monitor the impact of the implementation of the above activities, the Executive Committee </w:t>
      </w:r>
      <w:r>
        <w:rPr>
          <w:lang w:val="en-CA"/>
        </w:rPr>
        <w:t>requested</w:t>
      </w:r>
      <w:r w:rsidR="00AA2249" w:rsidRPr="00D104B4">
        <w:rPr>
          <w:lang w:val="en-CA"/>
        </w:rPr>
        <w:t xml:space="preserve"> that the World Bank’s verification report should provide estimates of inadvertent emissions of HFC-23 and other by-products</w:t>
      </w:r>
      <w:r>
        <w:rPr>
          <w:lang w:val="en-CA"/>
        </w:rPr>
        <w:t xml:space="preserve"> (decision 72/44(b))</w:t>
      </w:r>
      <w:r w:rsidR="00AA2249" w:rsidRPr="00D104B4">
        <w:rPr>
          <w:lang w:val="en-CA"/>
        </w:rPr>
        <w:t xml:space="preserve">. The verifications conducted for 2013 through 2017 have included the relevant information on HFC-23 emission in the 16 HCFC-22 producers covered by the HPPMP. </w:t>
      </w:r>
      <w:r w:rsidR="009B7E9D" w:rsidRPr="00D104B4">
        <w:rPr>
          <w:lang w:val="en-CA"/>
        </w:rPr>
        <w:t xml:space="preserve">The three most recent verification report, for 2015, 2016 and 2017, document the progress made by the Government of China in reducing HFC-23 emissions, in line with regulations issued by the Government: </w:t>
      </w:r>
      <w:r w:rsidR="007E48D3" w:rsidRPr="00D104B4">
        <w:rPr>
          <w:lang w:val="en-CA"/>
        </w:rPr>
        <w:t>the per cent HFC-23 by</w:t>
      </w:r>
      <w:r w:rsidR="00737BFF">
        <w:rPr>
          <w:lang w:val="en-CA"/>
        </w:rPr>
        <w:noBreakHyphen/>
      </w:r>
      <w:r w:rsidR="007E48D3" w:rsidRPr="00D104B4">
        <w:rPr>
          <w:lang w:val="en-CA"/>
        </w:rPr>
        <w:t>product that was incinerated increased from 45</w:t>
      </w:r>
      <w:r w:rsidR="000A1169" w:rsidRPr="00D104B4">
        <w:rPr>
          <w:lang w:val="en-CA"/>
        </w:rPr>
        <w:t> per cent</w:t>
      </w:r>
      <w:r w:rsidR="007E48D3" w:rsidRPr="00D104B4">
        <w:rPr>
          <w:lang w:val="en-CA"/>
        </w:rPr>
        <w:t xml:space="preserve"> in 2015, to 93</w:t>
      </w:r>
      <w:r w:rsidR="000A1169" w:rsidRPr="00D104B4">
        <w:rPr>
          <w:lang w:val="en-CA"/>
        </w:rPr>
        <w:t> per cent</w:t>
      </w:r>
      <w:r w:rsidR="007E48D3" w:rsidRPr="00D104B4">
        <w:rPr>
          <w:lang w:val="en-CA"/>
        </w:rPr>
        <w:t xml:space="preserve"> in 2016, and to 98</w:t>
      </w:r>
      <w:r w:rsidR="000A1169" w:rsidRPr="00D104B4">
        <w:rPr>
          <w:lang w:val="en-CA"/>
        </w:rPr>
        <w:t> per cent</w:t>
      </w:r>
      <w:r w:rsidR="007E48D3" w:rsidRPr="00D104B4">
        <w:rPr>
          <w:lang w:val="en-CA"/>
        </w:rPr>
        <w:t xml:space="preserve"> in 2017. </w:t>
      </w:r>
    </w:p>
    <w:p w14:paraId="72D186E5" w14:textId="6051A318" w:rsidR="00AA2249" w:rsidRPr="00D104B4" w:rsidRDefault="00AA2249" w:rsidP="00AA2249">
      <w:pPr>
        <w:pStyle w:val="Heading1"/>
        <w:rPr>
          <w:lang w:val="en-CA"/>
        </w:rPr>
      </w:pPr>
      <w:r w:rsidRPr="00D104B4">
        <w:rPr>
          <w:lang w:val="en-CA"/>
        </w:rPr>
        <w:t>During the verification, data on HFC-23 by-production from</w:t>
      </w:r>
      <w:r w:rsidRPr="00D104B4">
        <w:rPr>
          <w:spacing w:val="-2"/>
          <w:lang w:val="en-CA"/>
        </w:rPr>
        <w:t xml:space="preserve"> </w:t>
      </w:r>
      <w:r w:rsidRPr="00D104B4">
        <w:rPr>
          <w:lang w:val="en-CA"/>
        </w:rPr>
        <w:t>HCFC-22</w:t>
      </w:r>
      <w:r w:rsidRPr="00D104B4">
        <w:rPr>
          <w:spacing w:val="-1"/>
          <w:lang w:val="en-CA"/>
        </w:rPr>
        <w:t xml:space="preserve"> </w:t>
      </w:r>
      <w:r w:rsidRPr="00D104B4">
        <w:rPr>
          <w:lang w:val="en-CA"/>
        </w:rPr>
        <w:t>p</w:t>
      </w:r>
      <w:r w:rsidRPr="00D104B4">
        <w:rPr>
          <w:spacing w:val="2"/>
          <w:lang w:val="en-CA"/>
        </w:rPr>
        <w:t>r</w:t>
      </w:r>
      <w:r w:rsidRPr="00D104B4">
        <w:rPr>
          <w:lang w:val="en-CA"/>
        </w:rPr>
        <w:t>oduction and the handling of HFC-23 is reviewed for each producer.</w:t>
      </w:r>
      <w:r w:rsidRPr="00D104B4">
        <w:rPr>
          <w:spacing w:val="-4"/>
          <w:lang w:val="en-CA"/>
        </w:rPr>
        <w:t xml:space="preserve"> T</w:t>
      </w:r>
      <w:r w:rsidRPr="00D104B4">
        <w:rPr>
          <w:lang w:val="en-CA"/>
        </w:rPr>
        <w:t xml:space="preserve">he data on the amounts of HFC-23 generated, destroyed, vented, sold and stored are collected, verified and presented in the yearly production verification report for each facility. Total by-production of </w:t>
      </w:r>
      <w:r w:rsidRPr="00D104B4">
        <w:rPr>
          <w:bCs/>
          <w:iCs/>
          <w:lang w:val="en-CA"/>
        </w:rPr>
        <w:t xml:space="preserve">HFC-23 from HCFC-22 process </w:t>
      </w:r>
      <w:r w:rsidRPr="00D104B4">
        <w:rPr>
          <w:lang w:val="en-CA"/>
        </w:rPr>
        <w:t xml:space="preserve">is determined based on the verifiable records, by the amounts transferred to the on-site CDM incinerator or HFC-23 recovery system; the </w:t>
      </w:r>
      <w:r w:rsidRPr="00D104B4">
        <w:rPr>
          <w:lang w:val="en-CA"/>
        </w:rPr>
        <w:lastRenderedPageBreak/>
        <w:t>amounts sold are verified from financial records. Where specific measurement records are not available, an assumption of HFC</w:t>
      </w:r>
      <w:r w:rsidRPr="00D104B4">
        <w:rPr>
          <w:lang w:val="en-CA"/>
        </w:rPr>
        <w:noBreakHyphen/>
        <w:t>23 ratio of 3</w:t>
      </w:r>
      <w:r w:rsidR="008B5A7F" w:rsidRPr="00D104B4">
        <w:rPr>
          <w:lang w:val="en-CA"/>
        </w:rPr>
        <w:t> </w:t>
      </w:r>
      <w:r w:rsidRPr="00D104B4">
        <w:rPr>
          <w:lang w:val="en-CA"/>
        </w:rPr>
        <w:t xml:space="preserve">per cent is used for estimating the overall generation of HFC-23. </w:t>
      </w:r>
    </w:p>
    <w:p w14:paraId="3582AC3E" w14:textId="2D988C40" w:rsidR="001B4D19" w:rsidRPr="00D624F8" w:rsidRDefault="00F82245" w:rsidP="00905A09">
      <w:pPr>
        <w:pStyle w:val="Heading1"/>
        <w:rPr>
          <w:lang w:val="en-CA"/>
        </w:rPr>
      </w:pPr>
      <w:r w:rsidRPr="00D624F8">
        <w:rPr>
          <w:lang w:val="en-CA"/>
        </w:rPr>
        <w:t xml:space="preserve">The Secretariat notes that all HCFC-22 production facilities seek to minimize fugitive emissions as such emissions would reduce the quantity of HCFC-22 they can sell, and would therefore represent a financial loss to the enterprise. </w:t>
      </w:r>
      <w:r w:rsidR="001B4D19" w:rsidRPr="00D624F8">
        <w:rPr>
          <w:lang w:val="en-CA"/>
        </w:rPr>
        <w:t xml:space="preserve">Similarly, </w:t>
      </w:r>
      <w:r w:rsidR="00520A4B" w:rsidRPr="00D624F8">
        <w:rPr>
          <w:lang w:val="en-CA"/>
        </w:rPr>
        <w:t xml:space="preserve">while </w:t>
      </w:r>
      <w:r w:rsidR="001B4D19" w:rsidRPr="00D624F8">
        <w:rPr>
          <w:lang w:val="en-CA"/>
        </w:rPr>
        <w:t>processes used to separate HFC-23 from the HCFC-22 stream before destruction will not result in 100</w:t>
      </w:r>
      <w:r w:rsidR="000A1169" w:rsidRPr="00D624F8">
        <w:rPr>
          <w:lang w:val="en-CA"/>
        </w:rPr>
        <w:t> per cent</w:t>
      </w:r>
      <w:r w:rsidR="001B4D19" w:rsidRPr="00D624F8">
        <w:rPr>
          <w:lang w:val="en-CA"/>
        </w:rPr>
        <w:t xml:space="preserve"> separation, production facilities will seek to maximize the separation efficiency to minimize losses of HCFC-22. </w:t>
      </w:r>
      <w:r w:rsidR="00B939E2" w:rsidRPr="00D624F8">
        <w:rPr>
          <w:lang w:val="en-CA"/>
        </w:rPr>
        <w:t xml:space="preserve">Moreover, independent of technical feasibility, </w:t>
      </w:r>
      <w:r w:rsidR="00D104B4" w:rsidRPr="00D624F8">
        <w:rPr>
          <w:lang w:val="en-CA"/>
        </w:rPr>
        <w:t>paragraph </w:t>
      </w:r>
      <w:r w:rsidR="00B939E2" w:rsidRPr="00D624F8">
        <w:rPr>
          <w:lang w:val="en-CA"/>
        </w:rPr>
        <w:t>6 of Article 2</w:t>
      </w:r>
      <w:r w:rsidR="00D03BAF" w:rsidRPr="00D624F8">
        <w:rPr>
          <w:lang w:val="en-CA"/>
        </w:rPr>
        <w:t>J</w:t>
      </w:r>
      <w:r w:rsidR="00B939E2" w:rsidRPr="00D624F8">
        <w:rPr>
          <w:lang w:val="en-CA"/>
        </w:rPr>
        <w:t xml:space="preserve"> of the Kigali Amendment specifies destruction of HFC-23 by-product “to the extent practicable,” so it is not clear that perfect separation would be required under the Kigali Amendment. </w:t>
      </w:r>
      <w:r w:rsidR="001B4D19" w:rsidRPr="00D624F8">
        <w:rPr>
          <w:lang w:val="en-CA"/>
        </w:rPr>
        <w:t>Other than atmospheric observations, t</w:t>
      </w:r>
      <w:r w:rsidRPr="00D624F8">
        <w:rPr>
          <w:lang w:val="en-CA"/>
        </w:rPr>
        <w:t xml:space="preserve">he Secretariat is unaware of any </w:t>
      </w:r>
      <w:r w:rsidR="001B4D19" w:rsidRPr="00D624F8">
        <w:rPr>
          <w:lang w:val="en-CA"/>
        </w:rPr>
        <w:t xml:space="preserve">analytic instrument that could be used </w:t>
      </w:r>
      <w:r w:rsidRPr="00D624F8">
        <w:rPr>
          <w:lang w:val="en-CA"/>
        </w:rPr>
        <w:t xml:space="preserve">to monitor fugitive emissions of HFC-23 </w:t>
      </w:r>
      <w:r w:rsidR="001B4D19" w:rsidRPr="00D624F8">
        <w:rPr>
          <w:lang w:val="en-CA"/>
        </w:rPr>
        <w:t xml:space="preserve">from a distance. </w:t>
      </w:r>
    </w:p>
    <w:p w14:paraId="7E8EFC98" w14:textId="7B9E7827" w:rsidR="00905A09" w:rsidRPr="00D624F8" w:rsidRDefault="00211DF9" w:rsidP="007233FD">
      <w:pPr>
        <w:pStyle w:val="Heading1"/>
        <w:rPr>
          <w:lang w:val="en-CA"/>
        </w:rPr>
      </w:pPr>
      <w:r w:rsidRPr="00D624F8">
        <w:rPr>
          <w:lang w:val="en-CA"/>
        </w:rPr>
        <w:t>A recent scientific publication</w:t>
      </w:r>
      <w:r w:rsidRPr="00D624F8">
        <w:rPr>
          <w:rStyle w:val="FootnoteReference"/>
          <w:lang w:val="en-CA"/>
        </w:rPr>
        <w:footnoteReference w:id="9"/>
      </w:r>
      <w:r w:rsidRPr="00D624F8">
        <w:rPr>
          <w:lang w:val="en-CA"/>
        </w:rPr>
        <w:t xml:space="preserve"> estimated HFC-23 emissions based on atmospheric observations. Emissions of HFC-23 were at a maximum in 2014 and then gradually decreased in 2016. The Secretariat notes that the gradual decrease is less than would be expected given the data in </w:t>
      </w:r>
      <w:r w:rsidR="00D104B4" w:rsidRPr="00D624F8">
        <w:rPr>
          <w:lang w:val="en-CA"/>
        </w:rPr>
        <w:t>T</w:t>
      </w:r>
      <w:r w:rsidRPr="00D624F8">
        <w:rPr>
          <w:lang w:val="en-CA"/>
        </w:rPr>
        <w:t>able</w:t>
      </w:r>
      <w:r w:rsidR="00D104B4" w:rsidRPr="00D624F8">
        <w:rPr>
          <w:lang w:val="en-CA"/>
        </w:rPr>
        <w:t> </w:t>
      </w:r>
      <w:r w:rsidRPr="00D624F8">
        <w:rPr>
          <w:lang w:val="en-CA"/>
        </w:rPr>
        <w:t xml:space="preserve">2 </w:t>
      </w:r>
      <w:r w:rsidR="00520A4B" w:rsidRPr="00D624F8">
        <w:rPr>
          <w:lang w:val="en-CA"/>
        </w:rPr>
        <w:t xml:space="preserve">of the present document </w:t>
      </w:r>
      <w:r w:rsidRPr="00D624F8">
        <w:rPr>
          <w:lang w:val="en-CA"/>
        </w:rPr>
        <w:t xml:space="preserve">and the reductions in emissions indicated in </w:t>
      </w:r>
      <w:r w:rsidR="00D104B4" w:rsidRPr="0071541B">
        <w:rPr>
          <w:lang w:val="en-CA"/>
        </w:rPr>
        <w:t>paragraph </w:t>
      </w:r>
      <w:r w:rsidR="00D624F8" w:rsidRPr="0071541B">
        <w:rPr>
          <w:lang w:val="en-CA"/>
        </w:rPr>
        <w:t>23</w:t>
      </w:r>
      <w:r w:rsidRPr="0071541B">
        <w:rPr>
          <w:lang w:val="en-CA"/>
        </w:rPr>
        <w:t>, though</w:t>
      </w:r>
      <w:r w:rsidRPr="00D624F8">
        <w:rPr>
          <w:lang w:val="en-CA"/>
        </w:rPr>
        <w:t xml:space="preserve"> additional observations may clarify this issue as the scientific publication only included emission estimates through 2016. </w:t>
      </w:r>
    </w:p>
    <w:p w14:paraId="265AE0AF" w14:textId="77777777" w:rsidR="00016065" w:rsidRPr="00D104B4" w:rsidRDefault="00016065" w:rsidP="00016065">
      <w:pPr>
        <w:rPr>
          <w:lang w:val="en-CA"/>
        </w:rPr>
      </w:pPr>
      <w:r w:rsidRPr="00D104B4">
        <w:rPr>
          <w:b/>
          <w:lang w:val="en-CA"/>
        </w:rPr>
        <w:t>Recommendation</w:t>
      </w:r>
    </w:p>
    <w:p w14:paraId="076A6807" w14:textId="77777777" w:rsidR="00016065" w:rsidRPr="00D104B4" w:rsidRDefault="00016065" w:rsidP="00016065">
      <w:pPr>
        <w:rPr>
          <w:lang w:val="en-CA"/>
        </w:rPr>
      </w:pPr>
    </w:p>
    <w:p w14:paraId="2F386D70" w14:textId="37776137" w:rsidR="00031C48" w:rsidRPr="00D104B4" w:rsidRDefault="00016065" w:rsidP="00031C48">
      <w:pPr>
        <w:pStyle w:val="Heading1"/>
        <w:rPr>
          <w:lang w:val="en-CA"/>
        </w:rPr>
      </w:pPr>
      <w:r w:rsidRPr="00D104B4">
        <w:rPr>
          <w:lang w:val="en-CA"/>
        </w:rPr>
        <w:t>The Executive Committee may wish to</w:t>
      </w:r>
      <w:r w:rsidR="00031C48" w:rsidRPr="00D104B4">
        <w:rPr>
          <w:lang w:val="en-CA"/>
        </w:rPr>
        <w:t xml:space="preserve"> note the document on cost-effective options for controlling HFC-23 by-product emissions (decision</w:t>
      </w:r>
      <w:r w:rsidR="008B5A7F" w:rsidRPr="00D104B4">
        <w:rPr>
          <w:lang w:val="en-CA"/>
        </w:rPr>
        <w:t> </w:t>
      </w:r>
      <w:r w:rsidR="00031C48" w:rsidRPr="00D104B4">
        <w:rPr>
          <w:lang w:val="en-CA"/>
        </w:rPr>
        <w:t xml:space="preserve">81/68(e)), contained in </w:t>
      </w:r>
      <w:r w:rsidR="000A1169" w:rsidRPr="00D104B4">
        <w:rPr>
          <w:lang w:val="en-CA"/>
        </w:rPr>
        <w:t xml:space="preserve">document </w:t>
      </w:r>
      <w:r w:rsidR="00031C48" w:rsidRPr="00D104B4">
        <w:rPr>
          <w:lang w:val="en-CA"/>
        </w:rPr>
        <w:t>UNEP/</w:t>
      </w:r>
      <w:proofErr w:type="spellStart"/>
      <w:r w:rsidR="00031C48" w:rsidRPr="00D104B4">
        <w:rPr>
          <w:lang w:val="en-CA"/>
        </w:rPr>
        <w:t>OzL.Pro</w:t>
      </w:r>
      <w:proofErr w:type="spellEnd"/>
      <w:r w:rsidR="00031C48" w:rsidRPr="00D104B4">
        <w:rPr>
          <w:lang w:val="en-CA"/>
        </w:rPr>
        <w:t>/</w:t>
      </w:r>
      <w:proofErr w:type="spellStart"/>
      <w:r w:rsidR="00031C48" w:rsidRPr="00D104B4">
        <w:rPr>
          <w:lang w:val="en-CA"/>
        </w:rPr>
        <w:t>ExCom</w:t>
      </w:r>
      <w:proofErr w:type="spellEnd"/>
      <w:r w:rsidR="00031C48" w:rsidRPr="00D104B4">
        <w:rPr>
          <w:lang w:val="en-CA"/>
        </w:rPr>
        <w:t>/82/</w:t>
      </w:r>
      <w:r w:rsidR="007233FD" w:rsidRPr="00D104B4">
        <w:rPr>
          <w:lang w:val="en-CA"/>
        </w:rPr>
        <w:t>6</w:t>
      </w:r>
      <w:r w:rsidR="00091FB0">
        <w:rPr>
          <w:lang w:val="en-CA"/>
        </w:rPr>
        <w:t>8</w:t>
      </w:r>
      <w:r w:rsidR="00031C48" w:rsidRPr="00D104B4">
        <w:rPr>
          <w:lang w:val="en-CA"/>
        </w:rPr>
        <w:t>.</w:t>
      </w:r>
    </w:p>
    <w:p w14:paraId="3D5BF923" w14:textId="7D437ECC" w:rsidR="007233FD" w:rsidRPr="00D104B4" w:rsidRDefault="007233FD" w:rsidP="007233FD">
      <w:pPr>
        <w:rPr>
          <w:lang w:val="en-CA"/>
        </w:rPr>
      </w:pPr>
    </w:p>
    <w:p w14:paraId="21644B6D" w14:textId="77777777" w:rsidR="007233FD" w:rsidRPr="00D104B4" w:rsidRDefault="007233FD" w:rsidP="007233FD">
      <w:pPr>
        <w:rPr>
          <w:lang w:val="en-CA"/>
        </w:rPr>
      </w:pPr>
    </w:p>
    <w:p w14:paraId="74254A65" w14:textId="04130E1A" w:rsidR="0044266E" w:rsidRPr="00D104B4" w:rsidRDefault="0044266E" w:rsidP="00797BDB">
      <w:pPr>
        <w:rPr>
          <w:lang w:val="en-CA"/>
        </w:rPr>
      </w:pPr>
    </w:p>
    <w:p w14:paraId="51067770" w14:textId="67970275" w:rsidR="002B225F" w:rsidRPr="00D104B4" w:rsidRDefault="002B225F" w:rsidP="007233FD">
      <w:pPr>
        <w:tabs>
          <w:tab w:val="left" w:pos="2820"/>
        </w:tabs>
        <w:rPr>
          <w:lang w:val="en-CA"/>
        </w:rPr>
        <w:sectPr w:rsidR="002B225F" w:rsidRPr="00D104B4" w:rsidSect="003E1A09">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docGrid w:linePitch="299"/>
        </w:sectPr>
      </w:pPr>
    </w:p>
    <w:p w14:paraId="68D976F0" w14:textId="77777777" w:rsidR="00087334" w:rsidRPr="00D104B4" w:rsidRDefault="00087334" w:rsidP="00087334">
      <w:pPr>
        <w:widowControl w:val="0"/>
        <w:jc w:val="center"/>
        <w:outlineLvl w:val="1"/>
        <w:rPr>
          <w:b/>
          <w:lang w:val="en-CA"/>
        </w:rPr>
      </w:pPr>
      <w:r w:rsidRPr="00D104B4">
        <w:rPr>
          <w:b/>
          <w:lang w:val="en-CA"/>
        </w:rPr>
        <w:lastRenderedPageBreak/>
        <w:t>Annex I</w:t>
      </w:r>
    </w:p>
    <w:p w14:paraId="79B4B9D0" w14:textId="77777777" w:rsidR="00087334" w:rsidRPr="00D104B4" w:rsidRDefault="00087334" w:rsidP="00087334">
      <w:pPr>
        <w:rPr>
          <w:lang w:val="en-CA"/>
        </w:rPr>
      </w:pPr>
    </w:p>
    <w:p w14:paraId="25495E98" w14:textId="77777777" w:rsidR="00087334" w:rsidRPr="00D104B4" w:rsidRDefault="00087334" w:rsidP="00087334">
      <w:pPr>
        <w:pStyle w:val="Heading1"/>
        <w:numPr>
          <w:ilvl w:val="0"/>
          <w:numId w:val="0"/>
        </w:numPr>
        <w:spacing w:after="0"/>
        <w:jc w:val="center"/>
        <w:rPr>
          <w:b/>
          <w:lang w:val="en-CA"/>
        </w:rPr>
      </w:pPr>
      <w:r w:rsidRPr="00D104B4">
        <w:rPr>
          <w:b/>
          <w:lang w:val="en-CA"/>
        </w:rPr>
        <w:t>COST-EFFECTIVE OPTIONS FOR CONTROLLING HFC-23 BY-PRODUCT EMISSIONS</w:t>
      </w:r>
    </w:p>
    <w:p w14:paraId="0ABEB4C7" w14:textId="77777777" w:rsidR="00087334" w:rsidRPr="00D104B4" w:rsidRDefault="00087334" w:rsidP="00087334">
      <w:pPr>
        <w:jc w:val="center"/>
        <w:rPr>
          <w:lang w:val="en-CA"/>
        </w:rPr>
      </w:pPr>
      <w:r w:rsidRPr="00D104B4">
        <w:rPr>
          <w:lang w:val="en-CA"/>
        </w:rPr>
        <w:t>Extract from document UNEP/</w:t>
      </w:r>
      <w:proofErr w:type="spellStart"/>
      <w:r w:rsidRPr="00D104B4">
        <w:rPr>
          <w:lang w:val="en-CA"/>
        </w:rPr>
        <w:t>OzL.Pro</w:t>
      </w:r>
      <w:proofErr w:type="spellEnd"/>
      <w:r w:rsidRPr="00D104B4">
        <w:rPr>
          <w:lang w:val="en-CA"/>
        </w:rPr>
        <w:t>/</w:t>
      </w:r>
      <w:proofErr w:type="spellStart"/>
      <w:r w:rsidRPr="00D104B4">
        <w:rPr>
          <w:lang w:val="en-CA"/>
        </w:rPr>
        <w:t>ExCom</w:t>
      </w:r>
      <w:proofErr w:type="spellEnd"/>
      <w:r w:rsidRPr="00D104B4">
        <w:rPr>
          <w:lang w:val="en-CA"/>
        </w:rPr>
        <w:t>/81/54 (paras. 7-18)</w:t>
      </w:r>
    </w:p>
    <w:p w14:paraId="5129FBAD" w14:textId="77777777" w:rsidR="00087334" w:rsidRPr="00D104B4" w:rsidRDefault="00087334" w:rsidP="00087334">
      <w:pPr>
        <w:rPr>
          <w:lang w:val="en-CA"/>
        </w:rPr>
      </w:pPr>
    </w:p>
    <w:p w14:paraId="52A8FD54" w14:textId="77777777" w:rsidR="00087334" w:rsidRPr="00D104B4" w:rsidRDefault="00087334" w:rsidP="00087334">
      <w:pPr>
        <w:keepNext/>
        <w:keepLines/>
        <w:rPr>
          <w:i/>
          <w:lang w:val="en-CA"/>
        </w:rPr>
      </w:pPr>
      <w:r w:rsidRPr="00D104B4">
        <w:rPr>
          <w:i/>
          <w:lang w:val="en-CA"/>
        </w:rPr>
        <w:t>Cost of incineration at an on-site destruction facility</w:t>
      </w:r>
    </w:p>
    <w:p w14:paraId="380B656B" w14:textId="77777777" w:rsidR="00087334" w:rsidRPr="00D104B4" w:rsidRDefault="00087334" w:rsidP="00087334">
      <w:pPr>
        <w:keepNext/>
        <w:keepLines/>
        <w:rPr>
          <w:lang w:val="en-CA"/>
        </w:rPr>
      </w:pPr>
    </w:p>
    <w:p w14:paraId="283E94E9" w14:textId="77777777" w:rsidR="00087334" w:rsidRPr="00D104B4" w:rsidRDefault="00087334" w:rsidP="00087334">
      <w:pPr>
        <w:pStyle w:val="Heading1"/>
        <w:keepNext/>
        <w:keepLines/>
        <w:numPr>
          <w:ilvl w:val="0"/>
          <w:numId w:val="35"/>
        </w:numPr>
        <w:rPr>
          <w:lang w:val="en-CA" w:eastAsia="zh-CN"/>
        </w:rPr>
      </w:pPr>
      <w:r w:rsidRPr="00D104B4">
        <w:rPr>
          <w:lang w:val="en-CA" w:eastAsia="zh-CN"/>
        </w:rPr>
        <w:t>The main conclusions of the consultant’s evaluation are as follows:</w:t>
      </w:r>
    </w:p>
    <w:p w14:paraId="03E37CB9" w14:textId="77777777" w:rsidR="00087334" w:rsidRPr="00D104B4" w:rsidRDefault="00087334" w:rsidP="00087334">
      <w:pPr>
        <w:pStyle w:val="Heading2"/>
        <w:rPr>
          <w:lang w:val="en-CA" w:eastAsia="zh-CN"/>
        </w:rPr>
      </w:pPr>
      <w:r w:rsidRPr="00D104B4">
        <w:rPr>
          <w:lang w:val="en-CA" w:eastAsia="zh-CN"/>
        </w:rPr>
        <w:t>A conservative estimate of the total fixed capital costs of a new incinerator installed mid-2017 in Eastern Central China ranges between US $9 million for a 400 metric tonnes (</w:t>
      </w:r>
      <w:proofErr w:type="spellStart"/>
      <w:r w:rsidRPr="00D104B4">
        <w:rPr>
          <w:lang w:val="en-CA" w:eastAsia="zh-CN"/>
        </w:rPr>
        <w:t>mt</w:t>
      </w:r>
      <w:proofErr w:type="spellEnd"/>
      <w:r w:rsidRPr="00D104B4">
        <w:rPr>
          <w:lang w:val="en-CA" w:eastAsia="zh-CN"/>
        </w:rPr>
        <w:t>)/</w:t>
      </w:r>
      <w:proofErr w:type="spellStart"/>
      <w:r w:rsidRPr="00D104B4">
        <w:rPr>
          <w:lang w:val="en-CA" w:eastAsia="zh-CN"/>
        </w:rPr>
        <w:t>yr</w:t>
      </w:r>
      <w:proofErr w:type="spellEnd"/>
      <w:r w:rsidRPr="00D104B4">
        <w:rPr>
          <w:lang w:val="en-CA" w:eastAsia="zh-CN"/>
        </w:rPr>
        <w:t xml:space="preserve"> incinerator to US $27.1 million for a 2,400 </w:t>
      </w:r>
      <w:proofErr w:type="spellStart"/>
      <w:r w:rsidRPr="00D104B4">
        <w:rPr>
          <w:lang w:val="en-CA" w:eastAsia="zh-CN"/>
        </w:rPr>
        <w:t>mt</w:t>
      </w:r>
      <w:proofErr w:type="spellEnd"/>
      <w:r w:rsidRPr="00D104B4">
        <w:rPr>
          <w:lang w:val="en-CA" w:eastAsia="zh-CN"/>
        </w:rPr>
        <w:t>/</w:t>
      </w:r>
      <w:proofErr w:type="spellStart"/>
      <w:r w:rsidRPr="00D104B4">
        <w:rPr>
          <w:lang w:val="en-CA" w:eastAsia="zh-CN"/>
        </w:rPr>
        <w:t>yr</w:t>
      </w:r>
      <w:proofErr w:type="spellEnd"/>
      <w:r w:rsidRPr="00D104B4">
        <w:rPr>
          <w:lang w:val="en-CA" w:eastAsia="zh-CN"/>
        </w:rPr>
        <w:t xml:space="preserve"> incinerator. The lower-bound estimate for this same range is between US $6.3 million and US $18.5 million. Those costs are inclusive of all expected costs associated with the purchase and installation of a new incinerator, from permits, insurance and security, to procuring, shipping and installing the equipment, to all the costs associated with the start up and operation of the incinerator for at least 72 hours; </w:t>
      </w:r>
    </w:p>
    <w:p w14:paraId="49348306" w14:textId="77777777" w:rsidR="00087334" w:rsidRPr="00D104B4" w:rsidRDefault="00087334" w:rsidP="00087334">
      <w:pPr>
        <w:pStyle w:val="Heading2"/>
        <w:rPr>
          <w:lang w:val="en-CA" w:eastAsia="zh-CN"/>
        </w:rPr>
      </w:pPr>
      <w:r w:rsidRPr="00D104B4">
        <w:rPr>
          <w:lang w:val="en-CA" w:eastAsia="zh-CN"/>
        </w:rPr>
        <w:t xml:space="preserve">Operating costs vary based on the capacity and extent of utilization of that capacity, varying between US $4.37/kg to US $1.45/kg as shown in Table 1.  </w:t>
      </w:r>
    </w:p>
    <w:p w14:paraId="7E935165" w14:textId="77777777" w:rsidR="00087334" w:rsidRPr="00D104B4" w:rsidRDefault="00087334" w:rsidP="00087334">
      <w:pPr>
        <w:ind w:left="1440"/>
        <w:rPr>
          <w:b/>
          <w:lang w:val="en-CA" w:eastAsia="zh-CN"/>
        </w:rPr>
      </w:pPr>
      <w:r w:rsidRPr="00D104B4">
        <w:rPr>
          <w:b/>
          <w:lang w:val="en-CA" w:eastAsia="zh-CN"/>
        </w:rPr>
        <w:t>Table 1: Upper- and lower-bound estimated operating costs as function of capacity and extent of utilization for on-site incinerators</w:t>
      </w:r>
    </w:p>
    <w:tbl>
      <w:tblPr>
        <w:tblW w:w="4244" w:type="pct"/>
        <w:tblInd w:w="1413" w:type="dxa"/>
        <w:tblLook w:val="04A0" w:firstRow="1" w:lastRow="0" w:firstColumn="1" w:lastColumn="0" w:noHBand="0" w:noVBand="1"/>
      </w:tblPr>
      <w:tblGrid>
        <w:gridCol w:w="1554"/>
        <w:gridCol w:w="922"/>
        <w:gridCol w:w="780"/>
        <w:gridCol w:w="780"/>
        <w:gridCol w:w="780"/>
        <w:gridCol w:w="780"/>
        <w:gridCol w:w="780"/>
        <w:gridCol w:w="780"/>
        <w:gridCol w:w="780"/>
      </w:tblGrid>
      <w:tr w:rsidR="00087334" w:rsidRPr="00D104B4" w14:paraId="68D0376F" w14:textId="77777777" w:rsidTr="001C1B39">
        <w:trPr>
          <w:trHeight w:val="255"/>
        </w:trPr>
        <w:tc>
          <w:tcPr>
            <w:tcW w:w="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6962F" w14:textId="77777777" w:rsidR="00087334" w:rsidRPr="00D104B4" w:rsidRDefault="00087334" w:rsidP="001C1B39">
            <w:pPr>
              <w:jc w:val="left"/>
              <w:rPr>
                <w:color w:val="000000"/>
                <w:sz w:val="18"/>
                <w:szCs w:val="18"/>
                <w:lang w:val="en-CA"/>
              </w:rPr>
            </w:pPr>
            <w:r w:rsidRPr="00D104B4">
              <w:rPr>
                <w:color w:val="000000"/>
                <w:sz w:val="18"/>
                <w:szCs w:val="18"/>
                <w:lang w:val="en-CA"/>
              </w:rPr>
              <w:t> </w:t>
            </w:r>
          </w:p>
        </w:tc>
        <w:tc>
          <w:tcPr>
            <w:tcW w:w="4196" w:type="pct"/>
            <w:gridSpan w:val="8"/>
            <w:tcBorders>
              <w:top w:val="single" w:sz="4" w:space="0" w:color="auto"/>
              <w:left w:val="nil"/>
              <w:bottom w:val="single" w:sz="4" w:space="0" w:color="auto"/>
              <w:right w:val="single" w:sz="4" w:space="0" w:color="auto"/>
            </w:tcBorders>
            <w:shd w:val="clear" w:color="auto" w:fill="auto"/>
            <w:noWrap/>
            <w:vAlign w:val="bottom"/>
            <w:hideMark/>
          </w:tcPr>
          <w:p w14:paraId="35DC8B13" w14:textId="77777777" w:rsidR="00087334" w:rsidRPr="00D104B4" w:rsidRDefault="00087334" w:rsidP="001C1B39">
            <w:pPr>
              <w:jc w:val="center"/>
              <w:rPr>
                <w:b/>
                <w:color w:val="000000"/>
                <w:sz w:val="18"/>
                <w:szCs w:val="18"/>
                <w:lang w:val="en-CA"/>
              </w:rPr>
            </w:pPr>
            <w:r w:rsidRPr="00D104B4">
              <w:rPr>
                <w:b/>
                <w:color w:val="000000"/>
                <w:sz w:val="18"/>
                <w:szCs w:val="18"/>
                <w:lang w:val="en-CA"/>
              </w:rPr>
              <w:t>On-site incinerator capacity (</w:t>
            </w:r>
            <w:proofErr w:type="spellStart"/>
            <w:r w:rsidRPr="00D104B4">
              <w:rPr>
                <w:b/>
                <w:color w:val="000000"/>
                <w:sz w:val="18"/>
                <w:szCs w:val="18"/>
                <w:lang w:val="en-CA"/>
              </w:rPr>
              <w:t>mt</w:t>
            </w:r>
            <w:proofErr w:type="spellEnd"/>
            <w:r w:rsidRPr="00D104B4">
              <w:rPr>
                <w:b/>
                <w:color w:val="000000"/>
                <w:sz w:val="18"/>
                <w:szCs w:val="18"/>
                <w:lang w:val="en-CA"/>
              </w:rPr>
              <w:t>/</w:t>
            </w:r>
            <w:proofErr w:type="spellStart"/>
            <w:r w:rsidRPr="00D104B4">
              <w:rPr>
                <w:b/>
                <w:color w:val="000000"/>
                <w:sz w:val="18"/>
                <w:szCs w:val="18"/>
                <w:lang w:val="en-CA"/>
              </w:rPr>
              <w:t>yr</w:t>
            </w:r>
            <w:proofErr w:type="spellEnd"/>
            <w:r w:rsidRPr="00D104B4">
              <w:rPr>
                <w:b/>
                <w:color w:val="000000"/>
                <w:sz w:val="18"/>
                <w:szCs w:val="18"/>
                <w:lang w:val="en-CA"/>
              </w:rPr>
              <w:t>)</w:t>
            </w:r>
          </w:p>
        </w:tc>
      </w:tr>
      <w:tr w:rsidR="00087334" w:rsidRPr="00D104B4" w14:paraId="5A742F69" w14:textId="77777777" w:rsidTr="001C1B39">
        <w:trPr>
          <w:trHeight w:val="255"/>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14:paraId="16EB8DDF" w14:textId="77777777" w:rsidR="00087334" w:rsidRPr="00D104B4" w:rsidRDefault="00087334" w:rsidP="001C1B39">
            <w:pPr>
              <w:jc w:val="left"/>
              <w:rPr>
                <w:color w:val="000000"/>
                <w:sz w:val="18"/>
                <w:szCs w:val="18"/>
                <w:lang w:val="en-CA"/>
              </w:rPr>
            </w:pPr>
          </w:p>
        </w:tc>
        <w:tc>
          <w:tcPr>
            <w:tcW w:w="1131" w:type="pct"/>
            <w:gridSpan w:val="2"/>
            <w:tcBorders>
              <w:top w:val="single" w:sz="4" w:space="0" w:color="auto"/>
              <w:left w:val="nil"/>
              <w:bottom w:val="single" w:sz="4" w:space="0" w:color="auto"/>
              <w:right w:val="single" w:sz="4" w:space="0" w:color="auto"/>
            </w:tcBorders>
            <w:shd w:val="clear" w:color="auto" w:fill="auto"/>
            <w:noWrap/>
            <w:vAlign w:val="bottom"/>
            <w:hideMark/>
          </w:tcPr>
          <w:p w14:paraId="65AE50BE" w14:textId="77777777" w:rsidR="00087334" w:rsidRPr="00D104B4" w:rsidRDefault="00087334" w:rsidP="001C1B39">
            <w:pPr>
              <w:jc w:val="center"/>
              <w:rPr>
                <w:b/>
                <w:color w:val="000000"/>
                <w:sz w:val="18"/>
                <w:szCs w:val="18"/>
                <w:lang w:val="en-CA"/>
              </w:rPr>
            </w:pPr>
            <w:r w:rsidRPr="00D104B4">
              <w:rPr>
                <w:b/>
                <w:color w:val="000000"/>
                <w:sz w:val="18"/>
                <w:szCs w:val="18"/>
                <w:lang w:val="en-CA"/>
              </w:rPr>
              <w:t>400</w:t>
            </w:r>
          </w:p>
        </w:tc>
        <w:tc>
          <w:tcPr>
            <w:tcW w:w="102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5C73B8" w14:textId="77777777" w:rsidR="00087334" w:rsidRPr="00D104B4" w:rsidRDefault="00087334" w:rsidP="001C1B39">
            <w:pPr>
              <w:jc w:val="center"/>
              <w:rPr>
                <w:b/>
                <w:color w:val="000000"/>
                <w:sz w:val="18"/>
                <w:szCs w:val="18"/>
                <w:lang w:val="en-CA"/>
              </w:rPr>
            </w:pPr>
            <w:r w:rsidRPr="00D104B4">
              <w:rPr>
                <w:b/>
                <w:color w:val="000000"/>
                <w:sz w:val="18"/>
                <w:szCs w:val="18"/>
                <w:lang w:val="en-CA"/>
              </w:rPr>
              <w:t>800</w:t>
            </w:r>
          </w:p>
        </w:tc>
        <w:tc>
          <w:tcPr>
            <w:tcW w:w="102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4D04CDC" w14:textId="77777777" w:rsidR="00087334" w:rsidRPr="00D104B4" w:rsidRDefault="00087334" w:rsidP="001C1B39">
            <w:pPr>
              <w:jc w:val="center"/>
              <w:rPr>
                <w:b/>
                <w:color w:val="000000"/>
                <w:sz w:val="18"/>
                <w:szCs w:val="18"/>
                <w:lang w:val="en-CA"/>
              </w:rPr>
            </w:pPr>
            <w:r w:rsidRPr="00D104B4">
              <w:rPr>
                <w:b/>
                <w:color w:val="000000"/>
                <w:sz w:val="18"/>
                <w:szCs w:val="18"/>
                <w:lang w:val="en-CA"/>
              </w:rPr>
              <w:t>1,600</w:t>
            </w:r>
          </w:p>
        </w:tc>
        <w:tc>
          <w:tcPr>
            <w:tcW w:w="102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62166DE" w14:textId="77777777" w:rsidR="00087334" w:rsidRPr="00D104B4" w:rsidRDefault="00087334" w:rsidP="001C1B39">
            <w:pPr>
              <w:jc w:val="center"/>
              <w:rPr>
                <w:b/>
                <w:color w:val="000000"/>
                <w:sz w:val="18"/>
                <w:szCs w:val="18"/>
                <w:lang w:val="en-CA"/>
              </w:rPr>
            </w:pPr>
            <w:r w:rsidRPr="00D104B4">
              <w:rPr>
                <w:b/>
                <w:color w:val="000000"/>
                <w:sz w:val="18"/>
                <w:szCs w:val="18"/>
                <w:lang w:val="en-CA"/>
              </w:rPr>
              <w:t>2,400</w:t>
            </w:r>
          </w:p>
        </w:tc>
      </w:tr>
      <w:tr w:rsidR="00087334" w:rsidRPr="00D104B4" w14:paraId="7A8EC058" w14:textId="77777777" w:rsidTr="001C1B39">
        <w:trPr>
          <w:trHeight w:val="510"/>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14:paraId="364BA40A" w14:textId="77777777" w:rsidR="00087334" w:rsidRPr="00D104B4" w:rsidRDefault="00087334" w:rsidP="001C1B39">
            <w:pPr>
              <w:jc w:val="left"/>
              <w:rPr>
                <w:b/>
                <w:color w:val="000000"/>
                <w:sz w:val="16"/>
                <w:szCs w:val="16"/>
                <w:lang w:val="en-CA"/>
              </w:rPr>
            </w:pPr>
            <w:r w:rsidRPr="00D104B4">
              <w:rPr>
                <w:b/>
                <w:color w:val="000000"/>
                <w:sz w:val="16"/>
                <w:szCs w:val="16"/>
                <w:lang w:val="en-CA"/>
              </w:rPr>
              <w:t>Per cent utilization </w:t>
            </w:r>
          </w:p>
        </w:tc>
        <w:tc>
          <w:tcPr>
            <w:tcW w:w="620" w:type="pct"/>
            <w:tcBorders>
              <w:top w:val="nil"/>
              <w:left w:val="nil"/>
              <w:bottom w:val="single" w:sz="4" w:space="0" w:color="auto"/>
              <w:right w:val="single" w:sz="4" w:space="0" w:color="auto"/>
            </w:tcBorders>
            <w:shd w:val="clear" w:color="auto" w:fill="auto"/>
            <w:vAlign w:val="bottom"/>
            <w:hideMark/>
          </w:tcPr>
          <w:p w14:paraId="0EE0E5C2" w14:textId="77777777" w:rsidR="00087334" w:rsidRPr="00D104B4" w:rsidRDefault="00087334" w:rsidP="001C1B39">
            <w:pPr>
              <w:jc w:val="center"/>
              <w:rPr>
                <w:b/>
                <w:color w:val="000000"/>
                <w:sz w:val="14"/>
                <w:szCs w:val="14"/>
                <w:lang w:val="en-CA"/>
              </w:rPr>
            </w:pPr>
            <w:r w:rsidRPr="00D104B4">
              <w:rPr>
                <w:b/>
                <w:color w:val="000000"/>
                <w:sz w:val="14"/>
                <w:szCs w:val="14"/>
                <w:lang w:val="en-CA"/>
              </w:rPr>
              <w:t>Lower-bound (US $/kg)</w:t>
            </w:r>
          </w:p>
        </w:tc>
        <w:tc>
          <w:tcPr>
            <w:tcW w:w="511" w:type="pct"/>
            <w:tcBorders>
              <w:top w:val="nil"/>
              <w:left w:val="nil"/>
              <w:bottom w:val="single" w:sz="4" w:space="0" w:color="auto"/>
              <w:right w:val="single" w:sz="4" w:space="0" w:color="auto"/>
            </w:tcBorders>
            <w:shd w:val="clear" w:color="auto" w:fill="auto"/>
            <w:vAlign w:val="bottom"/>
            <w:hideMark/>
          </w:tcPr>
          <w:p w14:paraId="64DAF9F3" w14:textId="77777777" w:rsidR="00087334" w:rsidRPr="00D104B4" w:rsidRDefault="00087334" w:rsidP="001C1B39">
            <w:pPr>
              <w:jc w:val="center"/>
              <w:rPr>
                <w:b/>
                <w:color w:val="000000"/>
                <w:sz w:val="14"/>
                <w:szCs w:val="14"/>
                <w:lang w:val="en-CA"/>
              </w:rPr>
            </w:pPr>
            <w:r w:rsidRPr="00D104B4">
              <w:rPr>
                <w:b/>
                <w:color w:val="000000"/>
                <w:sz w:val="14"/>
                <w:szCs w:val="14"/>
                <w:lang w:val="en-CA"/>
              </w:rPr>
              <w:t>Upper-bound (US $/kg)</w:t>
            </w:r>
          </w:p>
        </w:tc>
        <w:tc>
          <w:tcPr>
            <w:tcW w:w="511" w:type="pct"/>
            <w:tcBorders>
              <w:top w:val="nil"/>
              <w:left w:val="nil"/>
              <w:bottom w:val="single" w:sz="4" w:space="0" w:color="auto"/>
              <w:right w:val="single" w:sz="4" w:space="0" w:color="auto"/>
            </w:tcBorders>
            <w:shd w:val="clear" w:color="auto" w:fill="auto"/>
            <w:vAlign w:val="bottom"/>
            <w:hideMark/>
          </w:tcPr>
          <w:p w14:paraId="3FB3BB24" w14:textId="77777777" w:rsidR="00087334" w:rsidRPr="00D104B4" w:rsidRDefault="00087334" w:rsidP="001C1B39">
            <w:pPr>
              <w:jc w:val="center"/>
              <w:rPr>
                <w:b/>
                <w:color w:val="000000"/>
                <w:sz w:val="14"/>
                <w:szCs w:val="14"/>
                <w:lang w:val="en-CA"/>
              </w:rPr>
            </w:pPr>
            <w:r w:rsidRPr="00D104B4">
              <w:rPr>
                <w:b/>
                <w:color w:val="000000"/>
                <w:sz w:val="14"/>
                <w:szCs w:val="14"/>
                <w:lang w:val="en-CA"/>
              </w:rPr>
              <w:t>Lower-bound (US $/kg)</w:t>
            </w:r>
          </w:p>
        </w:tc>
        <w:tc>
          <w:tcPr>
            <w:tcW w:w="511" w:type="pct"/>
            <w:tcBorders>
              <w:top w:val="nil"/>
              <w:left w:val="nil"/>
              <w:bottom w:val="single" w:sz="4" w:space="0" w:color="auto"/>
              <w:right w:val="single" w:sz="4" w:space="0" w:color="auto"/>
            </w:tcBorders>
            <w:shd w:val="clear" w:color="auto" w:fill="auto"/>
            <w:vAlign w:val="bottom"/>
            <w:hideMark/>
          </w:tcPr>
          <w:p w14:paraId="6D1F2213" w14:textId="77777777" w:rsidR="00087334" w:rsidRPr="00D104B4" w:rsidRDefault="00087334" w:rsidP="001C1B39">
            <w:pPr>
              <w:jc w:val="center"/>
              <w:rPr>
                <w:b/>
                <w:color w:val="000000"/>
                <w:sz w:val="14"/>
                <w:szCs w:val="14"/>
                <w:lang w:val="en-CA"/>
              </w:rPr>
            </w:pPr>
            <w:r w:rsidRPr="00D104B4">
              <w:rPr>
                <w:b/>
                <w:color w:val="000000"/>
                <w:sz w:val="14"/>
                <w:szCs w:val="14"/>
                <w:lang w:val="en-CA"/>
              </w:rPr>
              <w:t>Upper-bound (US $/kg)</w:t>
            </w:r>
          </w:p>
        </w:tc>
        <w:tc>
          <w:tcPr>
            <w:tcW w:w="511" w:type="pct"/>
            <w:tcBorders>
              <w:top w:val="nil"/>
              <w:left w:val="nil"/>
              <w:bottom w:val="single" w:sz="4" w:space="0" w:color="auto"/>
              <w:right w:val="single" w:sz="4" w:space="0" w:color="auto"/>
            </w:tcBorders>
            <w:shd w:val="clear" w:color="auto" w:fill="auto"/>
            <w:vAlign w:val="bottom"/>
            <w:hideMark/>
          </w:tcPr>
          <w:p w14:paraId="5E6B367A" w14:textId="77777777" w:rsidR="00087334" w:rsidRPr="00D104B4" w:rsidRDefault="00087334" w:rsidP="001C1B39">
            <w:pPr>
              <w:jc w:val="center"/>
              <w:rPr>
                <w:b/>
                <w:color w:val="000000"/>
                <w:sz w:val="14"/>
                <w:szCs w:val="14"/>
                <w:lang w:val="en-CA"/>
              </w:rPr>
            </w:pPr>
            <w:r w:rsidRPr="00D104B4">
              <w:rPr>
                <w:b/>
                <w:color w:val="000000"/>
                <w:sz w:val="14"/>
                <w:szCs w:val="14"/>
                <w:lang w:val="en-CA"/>
              </w:rPr>
              <w:t>Lower-bound (US $/kg)</w:t>
            </w:r>
          </w:p>
        </w:tc>
        <w:tc>
          <w:tcPr>
            <w:tcW w:w="511" w:type="pct"/>
            <w:tcBorders>
              <w:top w:val="nil"/>
              <w:left w:val="nil"/>
              <w:bottom w:val="single" w:sz="4" w:space="0" w:color="auto"/>
              <w:right w:val="single" w:sz="4" w:space="0" w:color="auto"/>
            </w:tcBorders>
            <w:shd w:val="clear" w:color="auto" w:fill="auto"/>
            <w:vAlign w:val="bottom"/>
            <w:hideMark/>
          </w:tcPr>
          <w:p w14:paraId="5215BEA9" w14:textId="77777777" w:rsidR="00087334" w:rsidRPr="00D104B4" w:rsidRDefault="00087334" w:rsidP="001C1B39">
            <w:pPr>
              <w:jc w:val="center"/>
              <w:rPr>
                <w:b/>
                <w:color w:val="000000"/>
                <w:sz w:val="14"/>
                <w:szCs w:val="14"/>
                <w:lang w:val="en-CA"/>
              </w:rPr>
            </w:pPr>
            <w:r w:rsidRPr="00D104B4">
              <w:rPr>
                <w:b/>
                <w:color w:val="000000"/>
                <w:sz w:val="14"/>
                <w:szCs w:val="14"/>
                <w:lang w:val="en-CA"/>
              </w:rPr>
              <w:t>Upper-bound (US $/kg)</w:t>
            </w:r>
          </w:p>
        </w:tc>
        <w:tc>
          <w:tcPr>
            <w:tcW w:w="511" w:type="pct"/>
            <w:tcBorders>
              <w:top w:val="nil"/>
              <w:left w:val="nil"/>
              <w:bottom w:val="single" w:sz="4" w:space="0" w:color="auto"/>
              <w:right w:val="single" w:sz="4" w:space="0" w:color="auto"/>
            </w:tcBorders>
            <w:shd w:val="clear" w:color="auto" w:fill="auto"/>
            <w:vAlign w:val="bottom"/>
            <w:hideMark/>
          </w:tcPr>
          <w:p w14:paraId="27403928" w14:textId="77777777" w:rsidR="00087334" w:rsidRPr="00D104B4" w:rsidRDefault="00087334" w:rsidP="001C1B39">
            <w:pPr>
              <w:jc w:val="center"/>
              <w:rPr>
                <w:b/>
                <w:color w:val="000000"/>
                <w:sz w:val="14"/>
                <w:szCs w:val="14"/>
                <w:lang w:val="en-CA"/>
              </w:rPr>
            </w:pPr>
            <w:r w:rsidRPr="00D104B4">
              <w:rPr>
                <w:b/>
                <w:color w:val="000000"/>
                <w:sz w:val="14"/>
                <w:szCs w:val="14"/>
                <w:lang w:val="en-CA"/>
              </w:rPr>
              <w:t>Lower-bound (US $/kg)</w:t>
            </w:r>
          </w:p>
        </w:tc>
        <w:tc>
          <w:tcPr>
            <w:tcW w:w="511" w:type="pct"/>
            <w:tcBorders>
              <w:top w:val="nil"/>
              <w:left w:val="nil"/>
              <w:bottom w:val="single" w:sz="4" w:space="0" w:color="auto"/>
              <w:right w:val="single" w:sz="4" w:space="0" w:color="auto"/>
            </w:tcBorders>
            <w:shd w:val="clear" w:color="auto" w:fill="auto"/>
            <w:vAlign w:val="bottom"/>
            <w:hideMark/>
          </w:tcPr>
          <w:p w14:paraId="65DD6C40" w14:textId="77777777" w:rsidR="00087334" w:rsidRPr="00D104B4" w:rsidRDefault="00087334" w:rsidP="001C1B39">
            <w:pPr>
              <w:jc w:val="center"/>
              <w:rPr>
                <w:b/>
                <w:color w:val="000000"/>
                <w:sz w:val="14"/>
                <w:szCs w:val="14"/>
                <w:lang w:val="en-CA"/>
              </w:rPr>
            </w:pPr>
            <w:r w:rsidRPr="00D104B4">
              <w:rPr>
                <w:b/>
                <w:color w:val="000000"/>
                <w:sz w:val="14"/>
                <w:szCs w:val="14"/>
                <w:lang w:val="en-CA"/>
              </w:rPr>
              <w:t>Upper-bound (US $/kg)</w:t>
            </w:r>
          </w:p>
        </w:tc>
      </w:tr>
      <w:tr w:rsidR="00087334" w:rsidRPr="00D104B4" w14:paraId="2D8A8CE6" w14:textId="77777777" w:rsidTr="001C1B39">
        <w:trPr>
          <w:trHeight w:val="255"/>
        </w:trPr>
        <w:tc>
          <w:tcPr>
            <w:tcW w:w="804" w:type="pct"/>
            <w:tcBorders>
              <w:top w:val="nil"/>
              <w:left w:val="single" w:sz="4" w:space="0" w:color="auto"/>
              <w:bottom w:val="single" w:sz="4" w:space="0" w:color="auto"/>
              <w:right w:val="single" w:sz="4" w:space="0" w:color="auto"/>
            </w:tcBorders>
            <w:shd w:val="clear" w:color="auto" w:fill="auto"/>
            <w:noWrap/>
            <w:vAlign w:val="center"/>
            <w:hideMark/>
          </w:tcPr>
          <w:p w14:paraId="5175DBCA" w14:textId="77777777" w:rsidR="00087334" w:rsidRPr="00D104B4" w:rsidRDefault="00087334" w:rsidP="001C1B39">
            <w:pPr>
              <w:jc w:val="left"/>
              <w:rPr>
                <w:color w:val="000000"/>
                <w:sz w:val="18"/>
                <w:szCs w:val="18"/>
                <w:lang w:val="en-CA"/>
              </w:rPr>
            </w:pPr>
            <w:r w:rsidRPr="00D104B4">
              <w:rPr>
                <w:color w:val="000000"/>
                <w:sz w:val="18"/>
                <w:szCs w:val="18"/>
                <w:lang w:val="en-CA"/>
              </w:rPr>
              <w:t>100</w:t>
            </w:r>
          </w:p>
        </w:tc>
        <w:tc>
          <w:tcPr>
            <w:tcW w:w="620" w:type="pct"/>
            <w:tcBorders>
              <w:top w:val="nil"/>
              <w:left w:val="nil"/>
              <w:bottom w:val="single" w:sz="4" w:space="0" w:color="auto"/>
              <w:right w:val="single" w:sz="4" w:space="0" w:color="auto"/>
            </w:tcBorders>
            <w:shd w:val="clear" w:color="auto" w:fill="auto"/>
            <w:noWrap/>
            <w:vAlign w:val="center"/>
            <w:hideMark/>
          </w:tcPr>
          <w:p w14:paraId="317DBCE9" w14:textId="77777777" w:rsidR="00087334" w:rsidRPr="00D104B4" w:rsidRDefault="00087334" w:rsidP="001C1B39">
            <w:pPr>
              <w:jc w:val="right"/>
              <w:rPr>
                <w:color w:val="000000"/>
                <w:sz w:val="18"/>
                <w:szCs w:val="18"/>
                <w:lang w:val="en-CA"/>
              </w:rPr>
            </w:pPr>
            <w:r w:rsidRPr="00D104B4">
              <w:rPr>
                <w:color w:val="000000"/>
                <w:sz w:val="18"/>
                <w:szCs w:val="18"/>
                <w:lang w:val="en-CA"/>
              </w:rPr>
              <w:t>2.22</w:t>
            </w:r>
          </w:p>
        </w:tc>
        <w:tc>
          <w:tcPr>
            <w:tcW w:w="511" w:type="pct"/>
            <w:tcBorders>
              <w:top w:val="nil"/>
              <w:left w:val="nil"/>
              <w:bottom w:val="single" w:sz="4" w:space="0" w:color="auto"/>
              <w:right w:val="single" w:sz="4" w:space="0" w:color="auto"/>
            </w:tcBorders>
            <w:shd w:val="clear" w:color="auto" w:fill="auto"/>
            <w:noWrap/>
            <w:vAlign w:val="center"/>
            <w:hideMark/>
          </w:tcPr>
          <w:p w14:paraId="3FC4F908" w14:textId="77777777" w:rsidR="00087334" w:rsidRPr="00D104B4" w:rsidRDefault="00087334" w:rsidP="001C1B39">
            <w:pPr>
              <w:jc w:val="right"/>
              <w:rPr>
                <w:color w:val="000000"/>
                <w:sz w:val="18"/>
                <w:szCs w:val="18"/>
                <w:lang w:val="en-CA"/>
              </w:rPr>
            </w:pPr>
            <w:r w:rsidRPr="00D104B4">
              <w:rPr>
                <w:color w:val="000000"/>
                <w:sz w:val="18"/>
                <w:szCs w:val="18"/>
                <w:lang w:val="en-CA"/>
              </w:rPr>
              <w:t>2.63</w:t>
            </w:r>
          </w:p>
        </w:tc>
        <w:tc>
          <w:tcPr>
            <w:tcW w:w="511" w:type="pct"/>
            <w:tcBorders>
              <w:top w:val="nil"/>
              <w:left w:val="nil"/>
              <w:bottom w:val="single" w:sz="4" w:space="0" w:color="auto"/>
              <w:right w:val="single" w:sz="4" w:space="0" w:color="auto"/>
            </w:tcBorders>
            <w:shd w:val="clear" w:color="auto" w:fill="auto"/>
            <w:noWrap/>
            <w:vAlign w:val="center"/>
            <w:hideMark/>
          </w:tcPr>
          <w:p w14:paraId="02927F34" w14:textId="77777777" w:rsidR="00087334" w:rsidRPr="00D104B4" w:rsidRDefault="00087334" w:rsidP="001C1B39">
            <w:pPr>
              <w:jc w:val="right"/>
              <w:rPr>
                <w:color w:val="000000"/>
                <w:sz w:val="18"/>
                <w:szCs w:val="18"/>
                <w:lang w:val="en-CA"/>
              </w:rPr>
            </w:pPr>
            <w:r w:rsidRPr="00D104B4">
              <w:rPr>
                <w:color w:val="000000"/>
                <w:sz w:val="18"/>
                <w:szCs w:val="18"/>
                <w:lang w:val="en-CA"/>
              </w:rPr>
              <w:t>1.80</w:t>
            </w:r>
          </w:p>
        </w:tc>
        <w:tc>
          <w:tcPr>
            <w:tcW w:w="511" w:type="pct"/>
            <w:tcBorders>
              <w:top w:val="nil"/>
              <w:left w:val="nil"/>
              <w:bottom w:val="single" w:sz="4" w:space="0" w:color="auto"/>
              <w:right w:val="single" w:sz="4" w:space="0" w:color="auto"/>
            </w:tcBorders>
            <w:shd w:val="clear" w:color="auto" w:fill="auto"/>
            <w:noWrap/>
            <w:vAlign w:val="center"/>
            <w:hideMark/>
          </w:tcPr>
          <w:p w14:paraId="49269275" w14:textId="77777777" w:rsidR="00087334" w:rsidRPr="00D104B4" w:rsidRDefault="00087334" w:rsidP="001C1B39">
            <w:pPr>
              <w:jc w:val="right"/>
              <w:rPr>
                <w:color w:val="000000"/>
                <w:sz w:val="18"/>
                <w:szCs w:val="18"/>
                <w:lang w:val="en-CA"/>
              </w:rPr>
            </w:pPr>
            <w:r w:rsidRPr="00D104B4">
              <w:rPr>
                <w:color w:val="000000"/>
                <w:sz w:val="18"/>
                <w:szCs w:val="18"/>
                <w:lang w:val="en-CA"/>
              </w:rPr>
              <w:t>2.13</w:t>
            </w:r>
          </w:p>
        </w:tc>
        <w:tc>
          <w:tcPr>
            <w:tcW w:w="511" w:type="pct"/>
            <w:tcBorders>
              <w:top w:val="nil"/>
              <w:left w:val="nil"/>
              <w:bottom w:val="single" w:sz="4" w:space="0" w:color="auto"/>
              <w:right w:val="single" w:sz="4" w:space="0" w:color="auto"/>
            </w:tcBorders>
            <w:shd w:val="clear" w:color="auto" w:fill="auto"/>
            <w:noWrap/>
            <w:vAlign w:val="center"/>
            <w:hideMark/>
          </w:tcPr>
          <w:p w14:paraId="67CD5E8E" w14:textId="77777777" w:rsidR="00087334" w:rsidRPr="00D104B4" w:rsidRDefault="00087334" w:rsidP="001C1B39">
            <w:pPr>
              <w:jc w:val="right"/>
              <w:rPr>
                <w:color w:val="000000"/>
                <w:sz w:val="18"/>
                <w:szCs w:val="18"/>
                <w:lang w:val="en-CA"/>
              </w:rPr>
            </w:pPr>
            <w:r w:rsidRPr="00D104B4">
              <w:rPr>
                <w:color w:val="000000"/>
                <w:sz w:val="18"/>
                <w:szCs w:val="18"/>
                <w:lang w:val="en-CA"/>
              </w:rPr>
              <w:t>1.55</w:t>
            </w:r>
          </w:p>
        </w:tc>
        <w:tc>
          <w:tcPr>
            <w:tcW w:w="511" w:type="pct"/>
            <w:tcBorders>
              <w:top w:val="nil"/>
              <w:left w:val="nil"/>
              <w:bottom w:val="single" w:sz="4" w:space="0" w:color="auto"/>
              <w:right w:val="single" w:sz="4" w:space="0" w:color="auto"/>
            </w:tcBorders>
            <w:shd w:val="clear" w:color="auto" w:fill="auto"/>
            <w:noWrap/>
            <w:vAlign w:val="center"/>
            <w:hideMark/>
          </w:tcPr>
          <w:p w14:paraId="4CB16C70" w14:textId="77777777" w:rsidR="00087334" w:rsidRPr="00D104B4" w:rsidRDefault="00087334" w:rsidP="001C1B39">
            <w:pPr>
              <w:jc w:val="right"/>
              <w:rPr>
                <w:color w:val="000000"/>
                <w:sz w:val="18"/>
                <w:szCs w:val="18"/>
                <w:lang w:val="en-CA"/>
              </w:rPr>
            </w:pPr>
            <w:r w:rsidRPr="00D104B4">
              <w:rPr>
                <w:color w:val="000000"/>
                <w:sz w:val="18"/>
                <w:szCs w:val="18"/>
                <w:lang w:val="en-CA"/>
              </w:rPr>
              <w:t>1.81</w:t>
            </w:r>
          </w:p>
        </w:tc>
        <w:tc>
          <w:tcPr>
            <w:tcW w:w="511" w:type="pct"/>
            <w:tcBorders>
              <w:top w:val="nil"/>
              <w:left w:val="nil"/>
              <w:bottom w:val="single" w:sz="4" w:space="0" w:color="auto"/>
              <w:right w:val="single" w:sz="4" w:space="0" w:color="auto"/>
            </w:tcBorders>
            <w:shd w:val="clear" w:color="auto" w:fill="auto"/>
            <w:noWrap/>
            <w:vAlign w:val="center"/>
            <w:hideMark/>
          </w:tcPr>
          <w:p w14:paraId="4D99F262" w14:textId="77777777" w:rsidR="00087334" w:rsidRPr="00D104B4" w:rsidRDefault="00087334" w:rsidP="001C1B39">
            <w:pPr>
              <w:jc w:val="right"/>
              <w:rPr>
                <w:color w:val="000000"/>
                <w:sz w:val="18"/>
                <w:szCs w:val="18"/>
                <w:lang w:val="en-CA"/>
              </w:rPr>
            </w:pPr>
            <w:r w:rsidRPr="00D104B4">
              <w:rPr>
                <w:color w:val="000000"/>
                <w:sz w:val="18"/>
                <w:szCs w:val="18"/>
                <w:lang w:val="en-CA"/>
              </w:rPr>
              <w:t>1.45</w:t>
            </w:r>
          </w:p>
        </w:tc>
        <w:tc>
          <w:tcPr>
            <w:tcW w:w="511" w:type="pct"/>
            <w:tcBorders>
              <w:top w:val="nil"/>
              <w:left w:val="nil"/>
              <w:bottom w:val="single" w:sz="4" w:space="0" w:color="auto"/>
              <w:right w:val="single" w:sz="4" w:space="0" w:color="auto"/>
            </w:tcBorders>
            <w:shd w:val="clear" w:color="auto" w:fill="auto"/>
            <w:noWrap/>
            <w:vAlign w:val="center"/>
            <w:hideMark/>
          </w:tcPr>
          <w:p w14:paraId="25F47072" w14:textId="77777777" w:rsidR="00087334" w:rsidRPr="00D104B4" w:rsidRDefault="00087334" w:rsidP="001C1B39">
            <w:pPr>
              <w:jc w:val="right"/>
              <w:rPr>
                <w:color w:val="000000"/>
                <w:sz w:val="18"/>
                <w:szCs w:val="18"/>
                <w:lang w:val="en-CA"/>
              </w:rPr>
            </w:pPr>
            <w:r w:rsidRPr="00D104B4">
              <w:rPr>
                <w:color w:val="000000"/>
                <w:sz w:val="18"/>
                <w:szCs w:val="18"/>
                <w:lang w:val="en-CA"/>
              </w:rPr>
              <w:t>1.68</w:t>
            </w:r>
          </w:p>
        </w:tc>
      </w:tr>
      <w:tr w:rsidR="00087334" w:rsidRPr="00D104B4" w14:paraId="1C31E14C" w14:textId="77777777" w:rsidTr="001C1B39">
        <w:trPr>
          <w:trHeight w:val="255"/>
        </w:trPr>
        <w:tc>
          <w:tcPr>
            <w:tcW w:w="804" w:type="pct"/>
            <w:tcBorders>
              <w:top w:val="nil"/>
              <w:left w:val="single" w:sz="4" w:space="0" w:color="auto"/>
              <w:bottom w:val="single" w:sz="4" w:space="0" w:color="auto"/>
              <w:right w:val="single" w:sz="4" w:space="0" w:color="auto"/>
            </w:tcBorders>
            <w:shd w:val="clear" w:color="auto" w:fill="auto"/>
            <w:noWrap/>
            <w:vAlign w:val="center"/>
            <w:hideMark/>
          </w:tcPr>
          <w:p w14:paraId="374C11F9" w14:textId="77777777" w:rsidR="00087334" w:rsidRPr="00D104B4" w:rsidRDefault="00087334" w:rsidP="001C1B39">
            <w:pPr>
              <w:jc w:val="left"/>
              <w:rPr>
                <w:color w:val="000000"/>
                <w:sz w:val="18"/>
                <w:szCs w:val="18"/>
                <w:lang w:val="en-CA"/>
              </w:rPr>
            </w:pPr>
            <w:r w:rsidRPr="00D104B4">
              <w:rPr>
                <w:color w:val="000000"/>
                <w:sz w:val="18"/>
                <w:szCs w:val="18"/>
                <w:lang w:val="en-CA"/>
              </w:rPr>
              <w:t>75</w:t>
            </w:r>
          </w:p>
        </w:tc>
        <w:tc>
          <w:tcPr>
            <w:tcW w:w="620" w:type="pct"/>
            <w:tcBorders>
              <w:top w:val="nil"/>
              <w:left w:val="nil"/>
              <w:bottom w:val="single" w:sz="4" w:space="0" w:color="auto"/>
              <w:right w:val="single" w:sz="4" w:space="0" w:color="auto"/>
            </w:tcBorders>
            <w:shd w:val="clear" w:color="auto" w:fill="auto"/>
            <w:noWrap/>
            <w:vAlign w:val="center"/>
            <w:hideMark/>
          </w:tcPr>
          <w:p w14:paraId="7C5A3CB1" w14:textId="77777777" w:rsidR="00087334" w:rsidRPr="00D104B4" w:rsidRDefault="00087334" w:rsidP="001C1B39">
            <w:pPr>
              <w:jc w:val="right"/>
              <w:rPr>
                <w:color w:val="000000"/>
                <w:sz w:val="18"/>
                <w:szCs w:val="18"/>
                <w:lang w:val="en-CA"/>
              </w:rPr>
            </w:pPr>
            <w:r w:rsidRPr="00D104B4">
              <w:rPr>
                <w:color w:val="000000"/>
                <w:sz w:val="18"/>
                <w:szCs w:val="18"/>
                <w:lang w:val="en-CA"/>
              </w:rPr>
              <w:t>2.66</w:t>
            </w:r>
          </w:p>
        </w:tc>
        <w:tc>
          <w:tcPr>
            <w:tcW w:w="511" w:type="pct"/>
            <w:tcBorders>
              <w:top w:val="nil"/>
              <w:left w:val="nil"/>
              <w:bottom w:val="single" w:sz="4" w:space="0" w:color="auto"/>
              <w:right w:val="single" w:sz="4" w:space="0" w:color="auto"/>
            </w:tcBorders>
            <w:shd w:val="clear" w:color="auto" w:fill="auto"/>
            <w:noWrap/>
            <w:vAlign w:val="center"/>
            <w:hideMark/>
          </w:tcPr>
          <w:p w14:paraId="2CD75E32" w14:textId="77777777" w:rsidR="00087334" w:rsidRPr="00D104B4" w:rsidRDefault="00087334" w:rsidP="001C1B39">
            <w:pPr>
              <w:jc w:val="right"/>
              <w:rPr>
                <w:color w:val="000000"/>
                <w:sz w:val="18"/>
                <w:szCs w:val="18"/>
                <w:lang w:val="en-CA"/>
              </w:rPr>
            </w:pPr>
            <w:r w:rsidRPr="00D104B4">
              <w:rPr>
                <w:color w:val="000000"/>
                <w:sz w:val="18"/>
                <w:szCs w:val="18"/>
                <w:lang w:val="en-CA"/>
              </w:rPr>
              <w:t>3.21</w:t>
            </w:r>
          </w:p>
        </w:tc>
        <w:tc>
          <w:tcPr>
            <w:tcW w:w="511" w:type="pct"/>
            <w:tcBorders>
              <w:top w:val="nil"/>
              <w:left w:val="nil"/>
              <w:bottom w:val="single" w:sz="4" w:space="0" w:color="auto"/>
              <w:right w:val="single" w:sz="4" w:space="0" w:color="auto"/>
            </w:tcBorders>
            <w:shd w:val="clear" w:color="auto" w:fill="auto"/>
            <w:noWrap/>
            <w:vAlign w:val="center"/>
            <w:hideMark/>
          </w:tcPr>
          <w:p w14:paraId="5D455C6F" w14:textId="77777777" w:rsidR="00087334" w:rsidRPr="00D104B4" w:rsidRDefault="00087334" w:rsidP="001C1B39">
            <w:pPr>
              <w:jc w:val="right"/>
              <w:rPr>
                <w:color w:val="000000"/>
                <w:sz w:val="18"/>
                <w:szCs w:val="18"/>
                <w:lang w:val="en-CA"/>
              </w:rPr>
            </w:pPr>
            <w:r w:rsidRPr="00D104B4">
              <w:rPr>
                <w:color w:val="000000"/>
                <w:sz w:val="18"/>
                <w:szCs w:val="18"/>
                <w:lang w:val="en-CA"/>
              </w:rPr>
              <w:t>2.10</w:t>
            </w:r>
          </w:p>
        </w:tc>
        <w:tc>
          <w:tcPr>
            <w:tcW w:w="511" w:type="pct"/>
            <w:tcBorders>
              <w:top w:val="nil"/>
              <w:left w:val="nil"/>
              <w:bottom w:val="single" w:sz="4" w:space="0" w:color="auto"/>
              <w:right w:val="single" w:sz="4" w:space="0" w:color="auto"/>
            </w:tcBorders>
            <w:shd w:val="clear" w:color="auto" w:fill="auto"/>
            <w:noWrap/>
            <w:vAlign w:val="center"/>
            <w:hideMark/>
          </w:tcPr>
          <w:p w14:paraId="48F7F7F9" w14:textId="77777777" w:rsidR="00087334" w:rsidRPr="00D104B4" w:rsidRDefault="00087334" w:rsidP="001C1B39">
            <w:pPr>
              <w:jc w:val="right"/>
              <w:rPr>
                <w:color w:val="000000"/>
                <w:sz w:val="18"/>
                <w:szCs w:val="18"/>
                <w:lang w:val="en-CA"/>
              </w:rPr>
            </w:pPr>
            <w:r w:rsidRPr="00D104B4">
              <w:rPr>
                <w:color w:val="000000"/>
                <w:sz w:val="18"/>
                <w:szCs w:val="18"/>
                <w:lang w:val="en-CA"/>
              </w:rPr>
              <w:t>2.55</w:t>
            </w:r>
          </w:p>
        </w:tc>
        <w:tc>
          <w:tcPr>
            <w:tcW w:w="511" w:type="pct"/>
            <w:tcBorders>
              <w:top w:val="nil"/>
              <w:left w:val="nil"/>
              <w:bottom w:val="single" w:sz="4" w:space="0" w:color="auto"/>
              <w:right w:val="single" w:sz="4" w:space="0" w:color="auto"/>
            </w:tcBorders>
            <w:shd w:val="clear" w:color="auto" w:fill="auto"/>
            <w:noWrap/>
            <w:vAlign w:val="center"/>
            <w:hideMark/>
          </w:tcPr>
          <w:p w14:paraId="6BF0E9A4" w14:textId="77777777" w:rsidR="00087334" w:rsidRPr="00D104B4" w:rsidRDefault="00087334" w:rsidP="001C1B39">
            <w:pPr>
              <w:jc w:val="right"/>
              <w:rPr>
                <w:color w:val="000000"/>
                <w:sz w:val="18"/>
                <w:szCs w:val="18"/>
                <w:lang w:val="en-CA"/>
              </w:rPr>
            </w:pPr>
            <w:r w:rsidRPr="00D104B4">
              <w:rPr>
                <w:color w:val="000000"/>
                <w:sz w:val="18"/>
                <w:szCs w:val="18"/>
                <w:lang w:val="en-CA"/>
              </w:rPr>
              <w:t>1.77</w:t>
            </w:r>
          </w:p>
        </w:tc>
        <w:tc>
          <w:tcPr>
            <w:tcW w:w="511" w:type="pct"/>
            <w:tcBorders>
              <w:top w:val="nil"/>
              <w:left w:val="nil"/>
              <w:bottom w:val="single" w:sz="4" w:space="0" w:color="auto"/>
              <w:right w:val="single" w:sz="4" w:space="0" w:color="auto"/>
            </w:tcBorders>
            <w:shd w:val="clear" w:color="auto" w:fill="auto"/>
            <w:noWrap/>
            <w:vAlign w:val="center"/>
            <w:hideMark/>
          </w:tcPr>
          <w:p w14:paraId="14401EC9" w14:textId="77777777" w:rsidR="00087334" w:rsidRPr="00D104B4" w:rsidRDefault="00087334" w:rsidP="001C1B39">
            <w:pPr>
              <w:jc w:val="right"/>
              <w:rPr>
                <w:color w:val="000000"/>
                <w:sz w:val="18"/>
                <w:szCs w:val="18"/>
                <w:lang w:val="en-CA"/>
              </w:rPr>
            </w:pPr>
            <w:r w:rsidRPr="00D104B4">
              <w:rPr>
                <w:color w:val="000000"/>
                <w:sz w:val="18"/>
                <w:szCs w:val="18"/>
                <w:lang w:val="en-CA"/>
              </w:rPr>
              <w:t>2.12</w:t>
            </w:r>
          </w:p>
        </w:tc>
        <w:tc>
          <w:tcPr>
            <w:tcW w:w="511" w:type="pct"/>
            <w:tcBorders>
              <w:top w:val="nil"/>
              <w:left w:val="nil"/>
              <w:bottom w:val="single" w:sz="4" w:space="0" w:color="auto"/>
              <w:right w:val="single" w:sz="4" w:space="0" w:color="auto"/>
            </w:tcBorders>
            <w:shd w:val="clear" w:color="auto" w:fill="auto"/>
            <w:noWrap/>
            <w:vAlign w:val="center"/>
            <w:hideMark/>
          </w:tcPr>
          <w:p w14:paraId="7AE9AF33" w14:textId="77777777" w:rsidR="00087334" w:rsidRPr="00D104B4" w:rsidRDefault="00087334" w:rsidP="001C1B39">
            <w:pPr>
              <w:jc w:val="right"/>
              <w:rPr>
                <w:color w:val="000000"/>
                <w:sz w:val="18"/>
                <w:szCs w:val="18"/>
                <w:lang w:val="en-CA"/>
              </w:rPr>
            </w:pPr>
            <w:r w:rsidRPr="00D104B4">
              <w:rPr>
                <w:color w:val="000000"/>
                <w:sz w:val="18"/>
                <w:szCs w:val="18"/>
                <w:lang w:val="en-CA"/>
              </w:rPr>
              <w:t>1.63</w:t>
            </w:r>
          </w:p>
        </w:tc>
        <w:tc>
          <w:tcPr>
            <w:tcW w:w="511" w:type="pct"/>
            <w:tcBorders>
              <w:top w:val="nil"/>
              <w:left w:val="nil"/>
              <w:bottom w:val="single" w:sz="4" w:space="0" w:color="auto"/>
              <w:right w:val="single" w:sz="4" w:space="0" w:color="auto"/>
            </w:tcBorders>
            <w:shd w:val="clear" w:color="auto" w:fill="auto"/>
            <w:noWrap/>
            <w:vAlign w:val="center"/>
            <w:hideMark/>
          </w:tcPr>
          <w:p w14:paraId="71F341D8" w14:textId="77777777" w:rsidR="00087334" w:rsidRPr="00D104B4" w:rsidRDefault="00087334" w:rsidP="001C1B39">
            <w:pPr>
              <w:jc w:val="right"/>
              <w:rPr>
                <w:color w:val="000000"/>
                <w:sz w:val="18"/>
                <w:szCs w:val="18"/>
                <w:lang w:val="en-CA"/>
              </w:rPr>
            </w:pPr>
            <w:r w:rsidRPr="00D104B4">
              <w:rPr>
                <w:color w:val="000000"/>
                <w:sz w:val="18"/>
                <w:szCs w:val="18"/>
                <w:lang w:val="en-CA"/>
              </w:rPr>
              <w:t>1.94</w:t>
            </w:r>
          </w:p>
        </w:tc>
      </w:tr>
      <w:tr w:rsidR="00087334" w:rsidRPr="00D104B4" w14:paraId="7E6932C5" w14:textId="77777777" w:rsidTr="001C1B39">
        <w:trPr>
          <w:trHeight w:val="255"/>
        </w:trPr>
        <w:tc>
          <w:tcPr>
            <w:tcW w:w="804" w:type="pct"/>
            <w:tcBorders>
              <w:top w:val="nil"/>
              <w:left w:val="single" w:sz="4" w:space="0" w:color="auto"/>
              <w:bottom w:val="single" w:sz="4" w:space="0" w:color="auto"/>
              <w:right w:val="single" w:sz="4" w:space="0" w:color="auto"/>
            </w:tcBorders>
            <w:shd w:val="clear" w:color="auto" w:fill="auto"/>
            <w:noWrap/>
            <w:vAlign w:val="center"/>
            <w:hideMark/>
          </w:tcPr>
          <w:p w14:paraId="409CF4C1" w14:textId="77777777" w:rsidR="00087334" w:rsidRPr="00D104B4" w:rsidRDefault="00087334" w:rsidP="001C1B39">
            <w:pPr>
              <w:jc w:val="left"/>
              <w:rPr>
                <w:color w:val="000000"/>
                <w:sz w:val="18"/>
                <w:szCs w:val="18"/>
                <w:lang w:val="en-CA"/>
              </w:rPr>
            </w:pPr>
            <w:r w:rsidRPr="00D104B4">
              <w:rPr>
                <w:color w:val="000000"/>
                <w:sz w:val="18"/>
                <w:szCs w:val="18"/>
                <w:lang w:val="en-CA"/>
              </w:rPr>
              <w:t>50</w:t>
            </w:r>
          </w:p>
        </w:tc>
        <w:tc>
          <w:tcPr>
            <w:tcW w:w="620" w:type="pct"/>
            <w:tcBorders>
              <w:top w:val="nil"/>
              <w:left w:val="nil"/>
              <w:bottom w:val="single" w:sz="4" w:space="0" w:color="auto"/>
              <w:right w:val="single" w:sz="4" w:space="0" w:color="auto"/>
            </w:tcBorders>
            <w:shd w:val="clear" w:color="auto" w:fill="auto"/>
            <w:noWrap/>
            <w:vAlign w:val="center"/>
            <w:hideMark/>
          </w:tcPr>
          <w:p w14:paraId="60666947" w14:textId="77777777" w:rsidR="00087334" w:rsidRPr="00D104B4" w:rsidRDefault="00087334" w:rsidP="001C1B39">
            <w:pPr>
              <w:jc w:val="right"/>
              <w:rPr>
                <w:color w:val="000000"/>
                <w:sz w:val="18"/>
                <w:szCs w:val="18"/>
                <w:lang w:val="en-CA"/>
              </w:rPr>
            </w:pPr>
            <w:r w:rsidRPr="00D104B4">
              <w:rPr>
                <w:color w:val="000000"/>
                <w:sz w:val="18"/>
                <w:szCs w:val="18"/>
                <w:lang w:val="en-CA"/>
              </w:rPr>
              <w:t>3.54</w:t>
            </w:r>
          </w:p>
        </w:tc>
        <w:tc>
          <w:tcPr>
            <w:tcW w:w="511" w:type="pct"/>
            <w:tcBorders>
              <w:top w:val="nil"/>
              <w:left w:val="nil"/>
              <w:bottom w:val="single" w:sz="4" w:space="0" w:color="auto"/>
              <w:right w:val="single" w:sz="4" w:space="0" w:color="auto"/>
            </w:tcBorders>
            <w:shd w:val="clear" w:color="auto" w:fill="auto"/>
            <w:noWrap/>
            <w:vAlign w:val="center"/>
            <w:hideMark/>
          </w:tcPr>
          <w:p w14:paraId="53E1A87A" w14:textId="77777777" w:rsidR="00087334" w:rsidRPr="00D104B4" w:rsidRDefault="00087334" w:rsidP="001C1B39">
            <w:pPr>
              <w:jc w:val="right"/>
              <w:rPr>
                <w:color w:val="000000"/>
                <w:sz w:val="18"/>
                <w:szCs w:val="18"/>
                <w:lang w:val="en-CA"/>
              </w:rPr>
            </w:pPr>
            <w:r w:rsidRPr="00D104B4">
              <w:rPr>
                <w:color w:val="000000"/>
                <w:sz w:val="18"/>
                <w:szCs w:val="18"/>
                <w:lang w:val="en-CA"/>
              </w:rPr>
              <w:t>4.37</w:t>
            </w:r>
          </w:p>
        </w:tc>
        <w:tc>
          <w:tcPr>
            <w:tcW w:w="511" w:type="pct"/>
            <w:tcBorders>
              <w:top w:val="nil"/>
              <w:left w:val="nil"/>
              <w:bottom w:val="single" w:sz="4" w:space="0" w:color="auto"/>
              <w:right w:val="single" w:sz="4" w:space="0" w:color="auto"/>
            </w:tcBorders>
            <w:shd w:val="clear" w:color="auto" w:fill="auto"/>
            <w:noWrap/>
            <w:vAlign w:val="center"/>
            <w:hideMark/>
          </w:tcPr>
          <w:p w14:paraId="13092870" w14:textId="77777777" w:rsidR="00087334" w:rsidRPr="00D104B4" w:rsidRDefault="00087334" w:rsidP="001C1B39">
            <w:pPr>
              <w:jc w:val="right"/>
              <w:rPr>
                <w:color w:val="000000"/>
                <w:sz w:val="18"/>
                <w:szCs w:val="18"/>
                <w:lang w:val="en-CA"/>
              </w:rPr>
            </w:pPr>
            <w:r w:rsidRPr="00D104B4">
              <w:rPr>
                <w:color w:val="000000"/>
                <w:sz w:val="18"/>
                <w:szCs w:val="18"/>
                <w:lang w:val="en-CA"/>
              </w:rPr>
              <w:t>2.71</w:t>
            </w:r>
          </w:p>
        </w:tc>
        <w:tc>
          <w:tcPr>
            <w:tcW w:w="511" w:type="pct"/>
            <w:tcBorders>
              <w:top w:val="nil"/>
              <w:left w:val="nil"/>
              <w:bottom w:val="single" w:sz="4" w:space="0" w:color="auto"/>
              <w:right w:val="single" w:sz="4" w:space="0" w:color="auto"/>
            </w:tcBorders>
            <w:shd w:val="clear" w:color="auto" w:fill="auto"/>
            <w:noWrap/>
            <w:vAlign w:val="center"/>
            <w:hideMark/>
          </w:tcPr>
          <w:p w14:paraId="61611B8A" w14:textId="77777777" w:rsidR="00087334" w:rsidRPr="00D104B4" w:rsidRDefault="00087334" w:rsidP="001C1B39">
            <w:pPr>
              <w:jc w:val="right"/>
              <w:rPr>
                <w:color w:val="000000"/>
                <w:sz w:val="18"/>
                <w:szCs w:val="18"/>
                <w:lang w:val="en-CA"/>
              </w:rPr>
            </w:pPr>
            <w:r w:rsidRPr="00D104B4">
              <w:rPr>
                <w:color w:val="000000"/>
                <w:sz w:val="18"/>
                <w:szCs w:val="18"/>
                <w:lang w:val="en-CA"/>
              </w:rPr>
              <w:t>3.37</w:t>
            </w:r>
          </w:p>
        </w:tc>
        <w:tc>
          <w:tcPr>
            <w:tcW w:w="511" w:type="pct"/>
            <w:tcBorders>
              <w:top w:val="nil"/>
              <w:left w:val="nil"/>
              <w:bottom w:val="single" w:sz="4" w:space="0" w:color="auto"/>
              <w:right w:val="single" w:sz="4" w:space="0" w:color="auto"/>
            </w:tcBorders>
            <w:shd w:val="clear" w:color="auto" w:fill="auto"/>
            <w:noWrap/>
            <w:vAlign w:val="center"/>
            <w:hideMark/>
          </w:tcPr>
          <w:p w14:paraId="656A6894" w14:textId="77777777" w:rsidR="00087334" w:rsidRPr="00D104B4" w:rsidRDefault="00087334" w:rsidP="001C1B39">
            <w:pPr>
              <w:jc w:val="right"/>
              <w:rPr>
                <w:color w:val="000000"/>
                <w:sz w:val="18"/>
                <w:szCs w:val="18"/>
                <w:lang w:val="en-CA"/>
              </w:rPr>
            </w:pPr>
            <w:r w:rsidRPr="00D104B4">
              <w:rPr>
                <w:color w:val="000000"/>
                <w:sz w:val="18"/>
                <w:szCs w:val="18"/>
                <w:lang w:val="en-CA"/>
              </w:rPr>
              <w:t>2.21</w:t>
            </w:r>
          </w:p>
        </w:tc>
        <w:tc>
          <w:tcPr>
            <w:tcW w:w="511" w:type="pct"/>
            <w:tcBorders>
              <w:top w:val="nil"/>
              <w:left w:val="nil"/>
              <w:bottom w:val="single" w:sz="4" w:space="0" w:color="auto"/>
              <w:right w:val="single" w:sz="4" w:space="0" w:color="auto"/>
            </w:tcBorders>
            <w:shd w:val="clear" w:color="auto" w:fill="auto"/>
            <w:noWrap/>
            <w:vAlign w:val="center"/>
            <w:hideMark/>
          </w:tcPr>
          <w:p w14:paraId="3E3AE1BD" w14:textId="77777777" w:rsidR="00087334" w:rsidRPr="00D104B4" w:rsidRDefault="00087334" w:rsidP="001C1B39">
            <w:pPr>
              <w:jc w:val="right"/>
              <w:rPr>
                <w:color w:val="000000"/>
                <w:sz w:val="18"/>
                <w:szCs w:val="18"/>
                <w:lang w:val="en-CA"/>
              </w:rPr>
            </w:pPr>
            <w:r w:rsidRPr="00D104B4">
              <w:rPr>
                <w:color w:val="000000"/>
                <w:sz w:val="18"/>
                <w:szCs w:val="18"/>
                <w:lang w:val="en-CA"/>
              </w:rPr>
              <w:t>2.74</w:t>
            </w:r>
          </w:p>
        </w:tc>
        <w:tc>
          <w:tcPr>
            <w:tcW w:w="511" w:type="pct"/>
            <w:tcBorders>
              <w:top w:val="nil"/>
              <w:left w:val="nil"/>
              <w:bottom w:val="single" w:sz="4" w:space="0" w:color="auto"/>
              <w:right w:val="single" w:sz="4" w:space="0" w:color="auto"/>
            </w:tcBorders>
            <w:shd w:val="clear" w:color="auto" w:fill="auto"/>
            <w:noWrap/>
            <w:vAlign w:val="center"/>
            <w:hideMark/>
          </w:tcPr>
          <w:p w14:paraId="73F2DFAE" w14:textId="77777777" w:rsidR="00087334" w:rsidRPr="00D104B4" w:rsidRDefault="00087334" w:rsidP="001C1B39">
            <w:pPr>
              <w:jc w:val="right"/>
              <w:rPr>
                <w:color w:val="000000"/>
                <w:sz w:val="18"/>
                <w:szCs w:val="18"/>
                <w:lang w:val="en-CA"/>
              </w:rPr>
            </w:pPr>
            <w:r w:rsidRPr="00D104B4">
              <w:rPr>
                <w:color w:val="000000"/>
                <w:sz w:val="18"/>
                <w:szCs w:val="18"/>
                <w:lang w:val="en-CA"/>
              </w:rPr>
              <w:t>2.01</w:t>
            </w:r>
          </w:p>
        </w:tc>
        <w:tc>
          <w:tcPr>
            <w:tcW w:w="511" w:type="pct"/>
            <w:tcBorders>
              <w:top w:val="nil"/>
              <w:left w:val="nil"/>
              <w:bottom w:val="single" w:sz="4" w:space="0" w:color="auto"/>
              <w:right w:val="single" w:sz="4" w:space="0" w:color="auto"/>
            </w:tcBorders>
            <w:shd w:val="clear" w:color="auto" w:fill="auto"/>
            <w:noWrap/>
            <w:vAlign w:val="center"/>
            <w:hideMark/>
          </w:tcPr>
          <w:p w14:paraId="477C161D" w14:textId="77777777" w:rsidR="00087334" w:rsidRPr="00D104B4" w:rsidRDefault="00087334" w:rsidP="001C1B39">
            <w:pPr>
              <w:jc w:val="right"/>
              <w:rPr>
                <w:color w:val="000000"/>
                <w:sz w:val="18"/>
                <w:szCs w:val="18"/>
                <w:lang w:val="en-CA"/>
              </w:rPr>
            </w:pPr>
            <w:r w:rsidRPr="00D104B4">
              <w:rPr>
                <w:color w:val="000000"/>
                <w:sz w:val="18"/>
                <w:szCs w:val="18"/>
                <w:lang w:val="en-CA"/>
              </w:rPr>
              <w:t>2.47</w:t>
            </w:r>
          </w:p>
        </w:tc>
      </w:tr>
    </w:tbl>
    <w:p w14:paraId="24CDA069" w14:textId="77777777" w:rsidR="00087334" w:rsidRPr="00D104B4" w:rsidRDefault="00087334" w:rsidP="00087334">
      <w:pPr>
        <w:rPr>
          <w:lang w:val="en-CA" w:eastAsia="zh-CN"/>
        </w:rPr>
      </w:pPr>
    </w:p>
    <w:p w14:paraId="7F8FA4E5" w14:textId="77777777" w:rsidR="00087334" w:rsidRPr="00D104B4" w:rsidRDefault="00087334" w:rsidP="00087334">
      <w:pPr>
        <w:pStyle w:val="Heading2"/>
        <w:rPr>
          <w:lang w:val="en-CA" w:eastAsia="zh-CN"/>
        </w:rPr>
      </w:pPr>
      <w:r w:rsidRPr="00D104B4">
        <w:rPr>
          <w:lang w:val="en-CA" w:eastAsia="zh-CN"/>
        </w:rPr>
        <w:t>Operating costs for existing incinerators are likely to be lower than those estimated for the case of a new incinerator. Such costs would likely be closer to the lower-bound estimates provided in the report, noting that specific costs can only be assessed based on site-specific characteristics; and</w:t>
      </w:r>
    </w:p>
    <w:p w14:paraId="44B5F3B4" w14:textId="77777777" w:rsidR="00087334" w:rsidRPr="00D104B4" w:rsidRDefault="00087334" w:rsidP="00087334">
      <w:pPr>
        <w:pStyle w:val="Heading2"/>
        <w:rPr>
          <w:lang w:val="en-CA" w:eastAsia="zh-CN"/>
        </w:rPr>
      </w:pPr>
      <w:r w:rsidRPr="00D104B4">
        <w:rPr>
          <w:lang w:val="en-CA" w:eastAsia="zh-CN"/>
        </w:rPr>
        <w:t>The costs to start-up a</w:t>
      </w:r>
      <w:r w:rsidRPr="00D104B4">
        <w:rPr>
          <w:lang w:val="en-CA"/>
        </w:rPr>
        <w:t xml:space="preserve"> </w:t>
      </w:r>
      <w:r w:rsidRPr="00D104B4">
        <w:rPr>
          <w:lang w:val="en-CA" w:eastAsia="zh-CN"/>
        </w:rPr>
        <w:t xml:space="preserve">facility that is currently in disuse are estimated to be US $575,000 and comprise new acid-resistant refractory, new equipment purchases and installation, new instrument probes, and an upgraded distributed control system. Those costs could vary based on the capacity of the incinerator and site-specific conditions. </w:t>
      </w:r>
    </w:p>
    <w:p w14:paraId="13532CD1" w14:textId="77777777" w:rsidR="00087334" w:rsidRPr="00D104B4" w:rsidRDefault="00087334" w:rsidP="00087334">
      <w:pPr>
        <w:rPr>
          <w:i/>
          <w:lang w:val="en-CA"/>
        </w:rPr>
      </w:pPr>
      <w:r w:rsidRPr="00D104B4">
        <w:rPr>
          <w:i/>
          <w:lang w:val="en-CA"/>
        </w:rPr>
        <w:t>Cost of incineration at an off-site destruction facility</w:t>
      </w:r>
    </w:p>
    <w:p w14:paraId="78EAFB08" w14:textId="77777777" w:rsidR="00087334" w:rsidRPr="00D104B4" w:rsidRDefault="00087334" w:rsidP="00087334">
      <w:pPr>
        <w:rPr>
          <w:lang w:val="en-CA"/>
        </w:rPr>
      </w:pPr>
    </w:p>
    <w:p w14:paraId="69AD4915" w14:textId="77777777" w:rsidR="00087334" w:rsidRPr="00D104B4" w:rsidRDefault="00087334" w:rsidP="00087334">
      <w:pPr>
        <w:pStyle w:val="Heading1"/>
        <w:rPr>
          <w:lang w:val="en-CA" w:eastAsia="zh-CN"/>
        </w:rPr>
      </w:pPr>
      <w:r w:rsidRPr="00D104B4">
        <w:rPr>
          <w:lang w:val="en-CA" w:eastAsia="zh-CN"/>
        </w:rPr>
        <w:t>The main conclusions of the consultant’s evaluation are as follows:</w:t>
      </w:r>
    </w:p>
    <w:p w14:paraId="37D9891D" w14:textId="77777777" w:rsidR="00087334" w:rsidRPr="00D104B4" w:rsidRDefault="00087334" w:rsidP="00087334">
      <w:pPr>
        <w:pStyle w:val="Heading2"/>
        <w:rPr>
          <w:lang w:val="en-CA" w:eastAsia="zh-CN"/>
        </w:rPr>
      </w:pPr>
      <w:r w:rsidRPr="00D104B4">
        <w:rPr>
          <w:lang w:val="en-CA" w:eastAsia="zh-CN"/>
        </w:rPr>
        <w:t xml:space="preserve">Costs to construct and operate a new, stand-alone incinerator are higher than for an on-site incinerator given the need for additional equipment (e.g., receiving facilities for HFC-23 to be destroyed) and the loss of synergy-related benefits, including those related to labor, supplies, overhead, and other costs; </w:t>
      </w:r>
    </w:p>
    <w:p w14:paraId="2F6DF940" w14:textId="77777777" w:rsidR="00087334" w:rsidRPr="00D104B4" w:rsidRDefault="00087334" w:rsidP="00087334">
      <w:pPr>
        <w:pStyle w:val="Heading2"/>
        <w:keepNext/>
        <w:keepLines/>
        <w:rPr>
          <w:lang w:val="en-CA" w:eastAsia="zh-CN"/>
        </w:rPr>
      </w:pPr>
      <w:r w:rsidRPr="00D104B4">
        <w:rPr>
          <w:lang w:val="en-CA" w:eastAsia="zh-CN"/>
        </w:rPr>
        <w:lastRenderedPageBreak/>
        <w:t>A conservative estimate of the total fixed capital costs of a new, stand-alone incinerator installed mid-2017 in Eastern Central China ranges between US $12.1 million for a 400 </w:t>
      </w:r>
      <w:proofErr w:type="spellStart"/>
      <w:r w:rsidRPr="00D104B4">
        <w:rPr>
          <w:lang w:val="en-CA" w:eastAsia="zh-CN"/>
        </w:rPr>
        <w:t>mt</w:t>
      </w:r>
      <w:proofErr w:type="spellEnd"/>
      <w:r w:rsidRPr="00D104B4">
        <w:rPr>
          <w:lang w:val="en-CA" w:eastAsia="zh-CN"/>
        </w:rPr>
        <w:t>/</w:t>
      </w:r>
      <w:proofErr w:type="spellStart"/>
      <w:r w:rsidRPr="00D104B4">
        <w:rPr>
          <w:lang w:val="en-CA" w:eastAsia="zh-CN"/>
        </w:rPr>
        <w:t>yr</w:t>
      </w:r>
      <w:proofErr w:type="spellEnd"/>
      <w:r w:rsidRPr="00D104B4">
        <w:rPr>
          <w:lang w:val="en-CA" w:eastAsia="zh-CN"/>
        </w:rPr>
        <w:t xml:space="preserve"> incinerator to US $34.5 million for a 2,400 </w:t>
      </w:r>
      <w:proofErr w:type="spellStart"/>
      <w:r w:rsidRPr="00D104B4">
        <w:rPr>
          <w:lang w:val="en-CA" w:eastAsia="zh-CN"/>
        </w:rPr>
        <w:t>mt</w:t>
      </w:r>
      <w:proofErr w:type="spellEnd"/>
      <w:r w:rsidRPr="00D104B4">
        <w:rPr>
          <w:lang w:val="en-CA" w:eastAsia="zh-CN"/>
        </w:rPr>
        <w:t>/</w:t>
      </w:r>
      <w:proofErr w:type="spellStart"/>
      <w:r w:rsidRPr="00D104B4">
        <w:rPr>
          <w:lang w:val="en-CA" w:eastAsia="zh-CN"/>
        </w:rPr>
        <w:t>yr</w:t>
      </w:r>
      <w:proofErr w:type="spellEnd"/>
      <w:r w:rsidRPr="00D104B4">
        <w:rPr>
          <w:lang w:val="en-CA" w:eastAsia="zh-CN"/>
        </w:rPr>
        <w:t xml:space="preserve"> incinerator. The lower-bound estimate for this same range is between US $8.8 million and US $24.5 million; and</w:t>
      </w:r>
    </w:p>
    <w:p w14:paraId="28FFCC51" w14:textId="77777777" w:rsidR="00087334" w:rsidRPr="00D104B4" w:rsidRDefault="00087334" w:rsidP="00087334">
      <w:pPr>
        <w:pStyle w:val="Heading2"/>
        <w:keepNext/>
        <w:keepLines/>
        <w:rPr>
          <w:lang w:val="en-CA" w:eastAsia="zh-CN"/>
        </w:rPr>
      </w:pPr>
      <w:r w:rsidRPr="00D104B4">
        <w:rPr>
          <w:lang w:val="en-CA" w:eastAsia="zh-CN"/>
        </w:rPr>
        <w:t>As in the case of an on-site destruction facility, operating costs vary based on the capacity and extent of utilization of that capacity, varying between US $5.59/kg to US $1.56/kg as shown in Table 2. Operating costs in Table 2 are inclusive of collection, transportation to the off-site facility, and incineration; i.e., those costs are the total costs to the HCFC-22 producer.</w:t>
      </w:r>
    </w:p>
    <w:p w14:paraId="784DFE83" w14:textId="77777777" w:rsidR="00087334" w:rsidRPr="00D104B4" w:rsidRDefault="00087334" w:rsidP="00087334">
      <w:pPr>
        <w:ind w:left="1440"/>
        <w:rPr>
          <w:b/>
          <w:lang w:val="en-CA" w:eastAsia="zh-CN"/>
        </w:rPr>
      </w:pPr>
      <w:r w:rsidRPr="00D104B4">
        <w:rPr>
          <w:b/>
          <w:lang w:val="en-CA" w:eastAsia="zh-CN"/>
        </w:rPr>
        <w:t>Table 2: Upper- and lower-bound estimated operating costs as function of capacity and extent of utilization for off-site incinerators</w:t>
      </w:r>
    </w:p>
    <w:tbl>
      <w:tblPr>
        <w:tblW w:w="4244" w:type="pct"/>
        <w:tblInd w:w="1413" w:type="dxa"/>
        <w:tblLook w:val="04A0" w:firstRow="1" w:lastRow="0" w:firstColumn="1" w:lastColumn="0" w:noHBand="0" w:noVBand="1"/>
      </w:tblPr>
      <w:tblGrid>
        <w:gridCol w:w="1387"/>
        <w:gridCol w:w="816"/>
        <w:gridCol w:w="819"/>
        <w:gridCol w:w="819"/>
        <w:gridCol w:w="819"/>
        <w:gridCol w:w="819"/>
        <w:gridCol w:w="819"/>
        <w:gridCol w:w="819"/>
        <w:gridCol w:w="819"/>
      </w:tblGrid>
      <w:tr w:rsidR="00087334" w:rsidRPr="00D104B4" w14:paraId="1D13E16A" w14:textId="77777777" w:rsidTr="001C1B39">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9E58B" w14:textId="77777777" w:rsidR="00087334" w:rsidRPr="00D104B4" w:rsidRDefault="00087334" w:rsidP="001C1B39">
            <w:pPr>
              <w:jc w:val="left"/>
              <w:rPr>
                <w:color w:val="000000"/>
                <w:sz w:val="18"/>
                <w:szCs w:val="18"/>
                <w:lang w:val="en-CA"/>
              </w:rPr>
            </w:pPr>
            <w:r w:rsidRPr="00D104B4">
              <w:rPr>
                <w:color w:val="000000"/>
                <w:sz w:val="18"/>
                <w:szCs w:val="18"/>
                <w:lang w:val="en-CA"/>
              </w:rPr>
              <w:t> </w:t>
            </w:r>
          </w:p>
        </w:tc>
        <w:tc>
          <w:tcPr>
            <w:tcW w:w="4807" w:type="pct"/>
            <w:gridSpan w:val="8"/>
            <w:tcBorders>
              <w:top w:val="single" w:sz="4" w:space="0" w:color="auto"/>
              <w:left w:val="nil"/>
              <w:bottom w:val="single" w:sz="4" w:space="0" w:color="auto"/>
              <w:right w:val="single" w:sz="4" w:space="0" w:color="auto"/>
            </w:tcBorders>
            <w:shd w:val="clear" w:color="auto" w:fill="auto"/>
            <w:noWrap/>
            <w:vAlign w:val="bottom"/>
            <w:hideMark/>
          </w:tcPr>
          <w:p w14:paraId="5957EC5F" w14:textId="77777777" w:rsidR="00087334" w:rsidRPr="00D104B4" w:rsidRDefault="00087334" w:rsidP="001C1B39">
            <w:pPr>
              <w:jc w:val="center"/>
              <w:rPr>
                <w:b/>
                <w:color w:val="000000"/>
                <w:sz w:val="18"/>
                <w:szCs w:val="18"/>
                <w:lang w:val="en-CA"/>
              </w:rPr>
            </w:pPr>
            <w:r w:rsidRPr="00D104B4">
              <w:rPr>
                <w:b/>
                <w:color w:val="000000"/>
                <w:sz w:val="18"/>
                <w:szCs w:val="18"/>
                <w:lang w:val="en-CA"/>
              </w:rPr>
              <w:t>Off-site incinerator capacity (</w:t>
            </w:r>
            <w:proofErr w:type="spellStart"/>
            <w:r w:rsidRPr="00D104B4">
              <w:rPr>
                <w:b/>
                <w:color w:val="000000"/>
                <w:sz w:val="18"/>
                <w:szCs w:val="18"/>
                <w:lang w:val="en-CA"/>
              </w:rPr>
              <w:t>mt</w:t>
            </w:r>
            <w:proofErr w:type="spellEnd"/>
            <w:r w:rsidRPr="00D104B4">
              <w:rPr>
                <w:b/>
                <w:color w:val="000000"/>
                <w:sz w:val="18"/>
                <w:szCs w:val="18"/>
                <w:lang w:val="en-CA"/>
              </w:rPr>
              <w:t>/</w:t>
            </w:r>
            <w:proofErr w:type="spellStart"/>
            <w:r w:rsidRPr="00D104B4">
              <w:rPr>
                <w:b/>
                <w:color w:val="000000"/>
                <w:sz w:val="18"/>
                <w:szCs w:val="18"/>
                <w:lang w:val="en-CA"/>
              </w:rPr>
              <w:t>yr</w:t>
            </w:r>
            <w:proofErr w:type="spellEnd"/>
            <w:r w:rsidRPr="00D104B4">
              <w:rPr>
                <w:b/>
                <w:color w:val="000000"/>
                <w:sz w:val="18"/>
                <w:szCs w:val="18"/>
                <w:lang w:val="en-CA"/>
              </w:rPr>
              <w:t>)</w:t>
            </w:r>
          </w:p>
        </w:tc>
      </w:tr>
      <w:tr w:rsidR="00087334" w:rsidRPr="00D104B4" w14:paraId="41B89228" w14:textId="77777777" w:rsidTr="001C1B39">
        <w:trPr>
          <w:trHeigh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14:paraId="1EBB5E60" w14:textId="77777777" w:rsidR="00087334" w:rsidRPr="00D104B4" w:rsidRDefault="00087334" w:rsidP="001C1B39">
            <w:pPr>
              <w:jc w:val="left"/>
              <w:rPr>
                <w:color w:val="000000"/>
                <w:sz w:val="18"/>
                <w:szCs w:val="18"/>
                <w:lang w:val="en-CA"/>
              </w:rPr>
            </w:pPr>
          </w:p>
        </w:tc>
        <w:tc>
          <w:tcPr>
            <w:tcW w:w="1201"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204B90" w14:textId="77777777" w:rsidR="00087334" w:rsidRPr="00D104B4" w:rsidRDefault="00087334" w:rsidP="001C1B39">
            <w:pPr>
              <w:jc w:val="center"/>
              <w:rPr>
                <w:b/>
                <w:color w:val="000000"/>
                <w:sz w:val="18"/>
                <w:szCs w:val="18"/>
                <w:lang w:val="en-CA"/>
              </w:rPr>
            </w:pPr>
            <w:r w:rsidRPr="00D104B4">
              <w:rPr>
                <w:b/>
                <w:color w:val="000000"/>
                <w:sz w:val="18"/>
                <w:szCs w:val="18"/>
                <w:lang w:val="en-CA"/>
              </w:rPr>
              <w:t>400</w:t>
            </w:r>
          </w:p>
        </w:tc>
        <w:tc>
          <w:tcPr>
            <w:tcW w:w="120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2FFA01E" w14:textId="77777777" w:rsidR="00087334" w:rsidRPr="00D104B4" w:rsidRDefault="00087334" w:rsidP="001C1B39">
            <w:pPr>
              <w:jc w:val="center"/>
              <w:rPr>
                <w:b/>
                <w:color w:val="000000"/>
                <w:sz w:val="18"/>
                <w:szCs w:val="18"/>
                <w:lang w:val="en-CA"/>
              </w:rPr>
            </w:pPr>
            <w:r w:rsidRPr="00D104B4">
              <w:rPr>
                <w:b/>
                <w:color w:val="000000"/>
                <w:sz w:val="18"/>
                <w:szCs w:val="18"/>
                <w:lang w:val="en-CA"/>
              </w:rPr>
              <w:t>800</w:t>
            </w:r>
          </w:p>
        </w:tc>
        <w:tc>
          <w:tcPr>
            <w:tcW w:w="120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AE5957" w14:textId="77777777" w:rsidR="00087334" w:rsidRPr="00D104B4" w:rsidRDefault="00087334" w:rsidP="001C1B39">
            <w:pPr>
              <w:jc w:val="center"/>
              <w:rPr>
                <w:b/>
                <w:color w:val="000000"/>
                <w:sz w:val="18"/>
                <w:szCs w:val="18"/>
                <w:lang w:val="en-CA"/>
              </w:rPr>
            </w:pPr>
            <w:r w:rsidRPr="00D104B4">
              <w:rPr>
                <w:b/>
                <w:color w:val="000000"/>
                <w:sz w:val="18"/>
                <w:szCs w:val="18"/>
                <w:lang w:val="en-CA"/>
              </w:rPr>
              <w:t>1,600</w:t>
            </w:r>
          </w:p>
        </w:tc>
        <w:tc>
          <w:tcPr>
            <w:tcW w:w="120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65286" w14:textId="77777777" w:rsidR="00087334" w:rsidRPr="00D104B4" w:rsidRDefault="00087334" w:rsidP="001C1B39">
            <w:pPr>
              <w:jc w:val="center"/>
              <w:rPr>
                <w:b/>
                <w:color w:val="000000"/>
                <w:sz w:val="18"/>
                <w:szCs w:val="18"/>
                <w:lang w:val="en-CA"/>
              </w:rPr>
            </w:pPr>
            <w:r w:rsidRPr="00D104B4">
              <w:rPr>
                <w:b/>
                <w:color w:val="000000"/>
                <w:sz w:val="18"/>
                <w:szCs w:val="18"/>
                <w:lang w:val="en-CA"/>
              </w:rPr>
              <w:t>2,400</w:t>
            </w:r>
          </w:p>
        </w:tc>
      </w:tr>
      <w:tr w:rsidR="00087334" w:rsidRPr="00D104B4" w14:paraId="1B3AE02F" w14:textId="77777777" w:rsidTr="001C1B39">
        <w:trPr>
          <w:trHeight w:val="51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14:paraId="60CBDA34" w14:textId="77777777" w:rsidR="00087334" w:rsidRPr="00D104B4" w:rsidRDefault="00087334" w:rsidP="001C1B39">
            <w:pPr>
              <w:jc w:val="left"/>
              <w:rPr>
                <w:b/>
                <w:color w:val="000000"/>
                <w:sz w:val="14"/>
                <w:szCs w:val="14"/>
                <w:lang w:val="en-CA"/>
              </w:rPr>
            </w:pPr>
            <w:r w:rsidRPr="00D104B4">
              <w:rPr>
                <w:b/>
                <w:color w:val="000000"/>
                <w:sz w:val="14"/>
                <w:szCs w:val="14"/>
                <w:lang w:val="en-CA"/>
              </w:rPr>
              <w:t>Per cent utilization </w:t>
            </w:r>
          </w:p>
        </w:tc>
        <w:tc>
          <w:tcPr>
            <w:tcW w:w="600" w:type="pct"/>
            <w:tcBorders>
              <w:top w:val="nil"/>
              <w:left w:val="nil"/>
              <w:bottom w:val="single" w:sz="4" w:space="0" w:color="auto"/>
              <w:right w:val="single" w:sz="4" w:space="0" w:color="auto"/>
            </w:tcBorders>
            <w:shd w:val="clear" w:color="auto" w:fill="auto"/>
            <w:vAlign w:val="bottom"/>
            <w:hideMark/>
          </w:tcPr>
          <w:p w14:paraId="077EED49" w14:textId="77777777" w:rsidR="00087334" w:rsidRPr="00D104B4" w:rsidRDefault="00087334" w:rsidP="001C1B39">
            <w:pPr>
              <w:jc w:val="center"/>
              <w:rPr>
                <w:b/>
                <w:color w:val="000000"/>
                <w:sz w:val="14"/>
                <w:szCs w:val="14"/>
                <w:lang w:val="en-CA"/>
              </w:rPr>
            </w:pPr>
            <w:r w:rsidRPr="00D104B4">
              <w:rPr>
                <w:b/>
                <w:color w:val="000000"/>
                <w:sz w:val="14"/>
                <w:szCs w:val="14"/>
                <w:lang w:val="en-CA"/>
              </w:rPr>
              <w:t>Lower-bound (US $/kg)</w:t>
            </w:r>
          </w:p>
        </w:tc>
        <w:tc>
          <w:tcPr>
            <w:tcW w:w="601" w:type="pct"/>
            <w:tcBorders>
              <w:top w:val="nil"/>
              <w:left w:val="nil"/>
              <w:bottom w:val="single" w:sz="4" w:space="0" w:color="auto"/>
              <w:right w:val="single" w:sz="4" w:space="0" w:color="auto"/>
            </w:tcBorders>
            <w:shd w:val="clear" w:color="auto" w:fill="auto"/>
            <w:vAlign w:val="bottom"/>
            <w:hideMark/>
          </w:tcPr>
          <w:p w14:paraId="2B61CEAE" w14:textId="77777777" w:rsidR="00087334" w:rsidRPr="00D104B4" w:rsidRDefault="00087334" w:rsidP="001C1B39">
            <w:pPr>
              <w:jc w:val="center"/>
              <w:rPr>
                <w:b/>
                <w:color w:val="000000"/>
                <w:sz w:val="14"/>
                <w:szCs w:val="14"/>
                <w:lang w:val="en-CA"/>
              </w:rPr>
            </w:pPr>
            <w:r w:rsidRPr="00D104B4">
              <w:rPr>
                <w:b/>
                <w:color w:val="000000"/>
                <w:sz w:val="14"/>
                <w:szCs w:val="14"/>
                <w:lang w:val="en-CA"/>
              </w:rPr>
              <w:t>Upper-bound (US $/kg)</w:t>
            </w:r>
          </w:p>
        </w:tc>
        <w:tc>
          <w:tcPr>
            <w:tcW w:w="601" w:type="pct"/>
            <w:tcBorders>
              <w:top w:val="nil"/>
              <w:left w:val="nil"/>
              <w:bottom w:val="single" w:sz="4" w:space="0" w:color="auto"/>
              <w:right w:val="single" w:sz="4" w:space="0" w:color="auto"/>
            </w:tcBorders>
            <w:shd w:val="clear" w:color="auto" w:fill="auto"/>
            <w:vAlign w:val="bottom"/>
            <w:hideMark/>
          </w:tcPr>
          <w:p w14:paraId="6242B5C9" w14:textId="77777777" w:rsidR="00087334" w:rsidRPr="00D104B4" w:rsidRDefault="00087334" w:rsidP="001C1B39">
            <w:pPr>
              <w:jc w:val="center"/>
              <w:rPr>
                <w:b/>
                <w:color w:val="000000"/>
                <w:sz w:val="14"/>
                <w:szCs w:val="14"/>
                <w:lang w:val="en-CA"/>
              </w:rPr>
            </w:pPr>
            <w:r w:rsidRPr="00D104B4">
              <w:rPr>
                <w:b/>
                <w:color w:val="000000"/>
                <w:sz w:val="14"/>
                <w:szCs w:val="14"/>
                <w:lang w:val="en-CA"/>
              </w:rPr>
              <w:t>Lower-bound (US $/kg)</w:t>
            </w:r>
          </w:p>
        </w:tc>
        <w:tc>
          <w:tcPr>
            <w:tcW w:w="601" w:type="pct"/>
            <w:tcBorders>
              <w:top w:val="nil"/>
              <w:left w:val="nil"/>
              <w:bottom w:val="single" w:sz="4" w:space="0" w:color="auto"/>
              <w:right w:val="single" w:sz="4" w:space="0" w:color="auto"/>
            </w:tcBorders>
            <w:shd w:val="clear" w:color="auto" w:fill="auto"/>
            <w:vAlign w:val="bottom"/>
            <w:hideMark/>
          </w:tcPr>
          <w:p w14:paraId="3444D249" w14:textId="77777777" w:rsidR="00087334" w:rsidRPr="00D104B4" w:rsidRDefault="00087334" w:rsidP="001C1B39">
            <w:pPr>
              <w:jc w:val="center"/>
              <w:rPr>
                <w:b/>
                <w:color w:val="000000"/>
                <w:sz w:val="14"/>
                <w:szCs w:val="14"/>
                <w:lang w:val="en-CA"/>
              </w:rPr>
            </w:pPr>
            <w:r w:rsidRPr="00D104B4">
              <w:rPr>
                <w:b/>
                <w:color w:val="000000"/>
                <w:sz w:val="14"/>
                <w:szCs w:val="14"/>
                <w:lang w:val="en-CA"/>
              </w:rPr>
              <w:t>Upper-bound (US $/kg)</w:t>
            </w:r>
          </w:p>
        </w:tc>
        <w:tc>
          <w:tcPr>
            <w:tcW w:w="601" w:type="pct"/>
            <w:tcBorders>
              <w:top w:val="nil"/>
              <w:left w:val="nil"/>
              <w:bottom w:val="single" w:sz="4" w:space="0" w:color="auto"/>
              <w:right w:val="single" w:sz="4" w:space="0" w:color="auto"/>
            </w:tcBorders>
            <w:shd w:val="clear" w:color="auto" w:fill="auto"/>
            <w:vAlign w:val="bottom"/>
            <w:hideMark/>
          </w:tcPr>
          <w:p w14:paraId="4F44146F" w14:textId="77777777" w:rsidR="00087334" w:rsidRPr="00D104B4" w:rsidRDefault="00087334" w:rsidP="001C1B39">
            <w:pPr>
              <w:jc w:val="center"/>
              <w:rPr>
                <w:b/>
                <w:color w:val="000000"/>
                <w:sz w:val="14"/>
                <w:szCs w:val="14"/>
                <w:lang w:val="en-CA"/>
              </w:rPr>
            </w:pPr>
            <w:r w:rsidRPr="00D104B4">
              <w:rPr>
                <w:b/>
                <w:color w:val="000000"/>
                <w:sz w:val="14"/>
                <w:szCs w:val="14"/>
                <w:lang w:val="en-CA"/>
              </w:rPr>
              <w:t>Lower-bound (US $/kg)</w:t>
            </w:r>
          </w:p>
        </w:tc>
        <w:tc>
          <w:tcPr>
            <w:tcW w:w="601" w:type="pct"/>
            <w:tcBorders>
              <w:top w:val="nil"/>
              <w:left w:val="nil"/>
              <w:bottom w:val="single" w:sz="4" w:space="0" w:color="auto"/>
              <w:right w:val="single" w:sz="4" w:space="0" w:color="auto"/>
            </w:tcBorders>
            <w:shd w:val="clear" w:color="auto" w:fill="auto"/>
            <w:vAlign w:val="bottom"/>
            <w:hideMark/>
          </w:tcPr>
          <w:p w14:paraId="01D0BEF8" w14:textId="77777777" w:rsidR="00087334" w:rsidRPr="00D104B4" w:rsidRDefault="00087334" w:rsidP="001C1B39">
            <w:pPr>
              <w:jc w:val="center"/>
              <w:rPr>
                <w:b/>
                <w:color w:val="000000"/>
                <w:sz w:val="14"/>
                <w:szCs w:val="14"/>
                <w:lang w:val="en-CA"/>
              </w:rPr>
            </w:pPr>
            <w:r w:rsidRPr="00D104B4">
              <w:rPr>
                <w:b/>
                <w:color w:val="000000"/>
                <w:sz w:val="14"/>
                <w:szCs w:val="14"/>
                <w:lang w:val="en-CA"/>
              </w:rPr>
              <w:t>Upper-bound (US $/kg)</w:t>
            </w:r>
          </w:p>
        </w:tc>
        <w:tc>
          <w:tcPr>
            <w:tcW w:w="601" w:type="pct"/>
            <w:tcBorders>
              <w:top w:val="nil"/>
              <w:left w:val="nil"/>
              <w:bottom w:val="single" w:sz="4" w:space="0" w:color="auto"/>
              <w:right w:val="single" w:sz="4" w:space="0" w:color="auto"/>
            </w:tcBorders>
            <w:shd w:val="clear" w:color="auto" w:fill="auto"/>
            <w:vAlign w:val="bottom"/>
            <w:hideMark/>
          </w:tcPr>
          <w:p w14:paraId="403ADF00" w14:textId="77777777" w:rsidR="00087334" w:rsidRPr="00D104B4" w:rsidRDefault="00087334" w:rsidP="001C1B39">
            <w:pPr>
              <w:jc w:val="center"/>
              <w:rPr>
                <w:b/>
                <w:color w:val="000000"/>
                <w:sz w:val="14"/>
                <w:szCs w:val="14"/>
                <w:lang w:val="en-CA"/>
              </w:rPr>
            </w:pPr>
            <w:r w:rsidRPr="00D104B4">
              <w:rPr>
                <w:b/>
                <w:color w:val="000000"/>
                <w:sz w:val="14"/>
                <w:szCs w:val="14"/>
                <w:lang w:val="en-CA"/>
              </w:rPr>
              <w:t>Lower-bound (US $/kg)</w:t>
            </w:r>
          </w:p>
        </w:tc>
        <w:tc>
          <w:tcPr>
            <w:tcW w:w="601" w:type="pct"/>
            <w:tcBorders>
              <w:top w:val="nil"/>
              <w:left w:val="nil"/>
              <w:bottom w:val="single" w:sz="4" w:space="0" w:color="auto"/>
              <w:right w:val="single" w:sz="4" w:space="0" w:color="auto"/>
            </w:tcBorders>
            <w:shd w:val="clear" w:color="auto" w:fill="auto"/>
            <w:vAlign w:val="bottom"/>
            <w:hideMark/>
          </w:tcPr>
          <w:p w14:paraId="2D89D19B" w14:textId="77777777" w:rsidR="00087334" w:rsidRPr="00D104B4" w:rsidRDefault="00087334" w:rsidP="001C1B39">
            <w:pPr>
              <w:jc w:val="center"/>
              <w:rPr>
                <w:b/>
                <w:color w:val="000000"/>
                <w:sz w:val="14"/>
                <w:szCs w:val="14"/>
                <w:lang w:val="en-CA"/>
              </w:rPr>
            </w:pPr>
            <w:r w:rsidRPr="00D104B4">
              <w:rPr>
                <w:b/>
                <w:color w:val="000000"/>
                <w:sz w:val="14"/>
                <w:szCs w:val="14"/>
                <w:lang w:val="en-CA"/>
              </w:rPr>
              <w:t>Upper-bound (US $/kg)</w:t>
            </w:r>
          </w:p>
        </w:tc>
      </w:tr>
      <w:tr w:rsidR="00087334" w:rsidRPr="00D104B4" w14:paraId="0F816955" w14:textId="77777777" w:rsidTr="001C1B39">
        <w:trPr>
          <w:trHeigh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14:paraId="3CB71961" w14:textId="77777777" w:rsidR="00087334" w:rsidRPr="00D104B4" w:rsidRDefault="00087334" w:rsidP="001C1B39">
            <w:pPr>
              <w:jc w:val="left"/>
              <w:rPr>
                <w:color w:val="000000"/>
                <w:sz w:val="18"/>
                <w:szCs w:val="18"/>
                <w:lang w:val="en-CA"/>
              </w:rPr>
            </w:pPr>
            <w:r w:rsidRPr="00D104B4">
              <w:rPr>
                <w:color w:val="000000"/>
                <w:sz w:val="18"/>
                <w:szCs w:val="18"/>
                <w:lang w:val="en-CA"/>
              </w:rPr>
              <w:t>100</w:t>
            </w:r>
          </w:p>
        </w:tc>
        <w:tc>
          <w:tcPr>
            <w:tcW w:w="600" w:type="pct"/>
            <w:tcBorders>
              <w:top w:val="nil"/>
              <w:left w:val="nil"/>
              <w:bottom w:val="single" w:sz="4" w:space="0" w:color="auto"/>
              <w:right w:val="single" w:sz="4" w:space="0" w:color="auto"/>
            </w:tcBorders>
            <w:shd w:val="clear" w:color="auto" w:fill="auto"/>
            <w:noWrap/>
            <w:vAlign w:val="center"/>
            <w:hideMark/>
          </w:tcPr>
          <w:p w14:paraId="575581D1" w14:textId="77777777" w:rsidR="00087334" w:rsidRPr="00D104B4" w:rsidRDefault="00087334" w:rsidP="001C1B39">
            <w:pPr>
              <w:jc w:val="right"/>
              <w:rPr>
                <w:sz w:val="18"/>
                <w:szCs w:val="18"/>
                <w:lang w:val="en-CA"/>
              </w:rPr>
            </w:pPr>
            <w:r w:rsidRPr="00D104B4">
              <w:rPr>
                <w:sz w:val="18"/>
                <w:szCs w:val="18"/>
                <w:lang w:val="en-CA"/>
              </w:rPr>
              <w:t>2.81</w:t>
            </w:r>
          </w:p>
        </w:tc>
        <w:tc>
          <w:tcPr>
            <w:tcW w:w="601" w:type="pct"/>
            <w:tcBorders>
              <w:top w:val="nil"/>
              <w:left w:val="nil"/>
              <w:bottom w:val="single" w:sz="4" w:space="0" w:color="auto"/>
              <w:right w:val="single" w:sz="4" w:space="0" w:color="auto"/>
            </w:tcBorders>
            <w:shd w:val="clear" w:color="auto" w:fill="auto"/>
            <w:noWrap/>
            <w:vAlign w:val="center"/>
            <w:hideMark/>
          </w:tcPr>
          <w:p w14:paraId="06621821" w14:textId="77777777" w:rsidR="00087334" w:rsidRPr="00D104B4" w:rsidRDefault="00087334" w:rsidP="001C1B39">
            <w:pPr>
              <w:jc w:val="right"/>
              <w:rPr>
                <w:sz w:val="18"/>
                <w:szCs w:val="18"/>
                <w:lang w:val="en-CA"/>
              </w:rPr>
            </w:pPr>
            <w:r w:rsidRPr="00D104B4">
              <w:rPr>
                <w:sz w:val="18"/>
                <w:szCs w:val="18"/>
                <w:lang w:val="en-CA"/>
              </w:rPr>
              <w:t>3.24</w:t>
            </w:r>
          </w:p>
        </w:tc>
        <w:tc>
          <w:tcPr>
            <w:tcW w:w="601" w:type="pct"/>
            <w:tcBorders>
              <w:top w:val="nil"/>
              <w:left w:val="nil"/>
              <w:bottom w:val="single" w:sz="4" w:space="0" w:color="auto"/>
              <w:right w:val="single" w:sz="4" w:space="0" w:color="auto"/>
            </w:tcBorders>
            <w:shd w:val="clear" w:color="auto" w:fill="auto"/>
            <w:noWrap/>
            <w:vAlign w:val="center"/>
            <w:hideMark/>
          </w:tcPr>
          <w:p w14:paraId="7C445E5C" w14:textId="77777777" w:rsidR="00087334" w:rsidRPr="00D104B4" w:rsidRDefault="00087334" w:rsidP="001C1B39">
            <w:pPr>
              <w:jc w:val="right"/>
              <w:rPr>
                <w:sz w:val="18"/>
                <w:szCs w:val="18"/>
                <w:lang w:val="en-CA"/>
              </w:rPr>
            </w:pPr>
            <w:r w:rsidRPr="00D104B4">
              <w:rPr>
                <w:sz w:val="18"/>
                <w:szCs w:val="18"/>
                <w:lang w:val="en-CA"/>
              </w:rPr>
              <w:t>2.11</w:t>
            </w:r>
          </w:p>
        </w:tc>
        <w:tc>
          <w:tcPr>
            <w:tcW w:w="601" w:type="pct"/>
            <w:tcBorders>
              <w:top w:val="nil"/>
              <w:left w:val="nil"/>
              <w:bottom w:val="single" w:sz="4" w:space="0" w:color="auto"/>
              <w:right w:val="single" w:sz="4" w:space="0" w:color="auto"/>
            </w:tcBorders>
            <w:shd w:val="clear" w:color="auto" w:fill="auto"/>
            <w:noWrap/>
            <w:vAlign w:val="center"/>
            <w:hideMark/>
          </w:tcPr>
          <w:p w14:paraId="65E4EE59" w14:textId="77777777" w:rsidR="00087334" w:rsidRPr="00D104B4" w:rsidRDefault="00087334" w:rsidP="001C1B39">
            <w:pPr>
              <w:jc w:val="right"/>
              <w:rPr>
                <w:sz w:val="18"/>
                <w:szCs w:val="18"/>
                <w:lang w:val="en-CA"/>
              </w:rPr>
            </w:pPr>
            <w:r w:rsidRPr="00D104B4">
              <w:rPr>
                <w:sz w:val="18"/>
                <w:szCs w:val="18"/>
                <w:lang w:val="en-CA"/>
              </w:rPr>
              <w:t>2.45</w:t>
            </w:r>
          </w:p>
        </w:tc>
        <w:tc>
          <w:tcPr>
            <w:tcW w:w="601" w:type="pct"/>
            <w:tcBorders>
              <w:top w:val="nil"/>
              <w:left w:val="nil"/>
              <w:bottom w:val="single" w:sz="4" w:space="0" w:color="auto"/>
              <w:right w:val="single" w:sz="4" w:space="0" w:color="auto"/>
            </w:tcBorders>
            <w:shd w:val="clear" w:color="auto" w:fill="auto"/>
            <w:noWrap/>
            <w:vAlign w:val="center"/>
            <w:hideMark/>
          </w:tcPr>
          <w:p w14:paraId="1A98C126" w14:textId="77777777" w:rsidR="00087334" w:rsidRPr="00D104B4" w:rsidRDefault="00087334" w:rsidP="001C1B39">
            <w:pPr>
              <w:jc w:val="right"/>
              <w:rPr>
                <w:sz w:val="18"/>
                <w:szCs w:val="18"/>
                <w:lang w:val="en-CA"/>
              </w:rPr>
            </w:pPr>
            <w:r w:rsidRPr="00D104B4">
              <w:rPr>
                <w:sz w:val="18"/>
                <w:szCs w:val="18"/>
                <w:lang w:val="en-CA"/>
              </w:rPr>
              <w:t>1.71</w:t>
            </w:r>
          </w:p>
        </w:tc>
        <w:tc>
          <w:tcPr>
            <w:tcW w:w="601" w:type="pct"/>
            <w:tcBorders>
              <w:top w:val="nil"/>
              <w:left w:val="nil"/>
              <w:bottom w:val="single" w:sz="4" w:space="0" w:color="auto"/>
              <w:right w:val="single" w:sz="4" w:space="0" w:color="auto"/>
            </w:tcBorders>
            <w:shd w:val="clear" w:color="auto" w:fill="auto"/>
            <w:noWrap/>
            <w:vAlign w:val="center"/>
            <w:hideMark/>
          </w:tcPr>
          <w:p w14:paraId="71368919" w14:textId="77777777" w:rsidR="00087334" w:rsidRPr="00D104B4" w:rsidRDefault="00087334" w:rsidP="001C1B39">
            <w:pPr>
              <w:jc w:val="right"/>
              <w:rPr>
                <w:sz w:val="18"/>
                <w:szCs w:val="18"/>
                <w:lang w:val="en-CA"/>
              </w:rPr>
            </w:pPr>
            <w:r w:rsidRPr="00D104B4">
              <w:rPr>
                <w:sz w:val="18"/>
                <w:szCs w:val="18"/>
                <w:lang w:val="en-CA"/>
              </w:rPr>
              <w:t>1.98</w:t>
            </w:r>
          </w:p>
        </w:tc>
        <w:tc>
          <w:tcPr>
            <w:tcW w:w="601" w:type="pct"/>
            <w:tcBorders>
              <w:top w:val="nil"/>
              <w:left w:val="nil"/>
              <w:bottom w:val="single" w:sz="4" w:space="0" w:color="auto"/>
              <w:right w:val="single" w:sz="4" w:space="0" w:color="auto"/>
            </w:tcBorders>
            <w:shd w:val="clear" w:color="auto" w:fill="auto"/>
            <w:noWrap/>
            <w:vAlign w:val="center"/>
            <w:hideMark/>
          </w:tcPr>
          <w:p w14:paraId="54366A0F" w14:textId="77777777" w:rsidR="00087334" w:rsidRPr="00D104B4" w:rsidRDefault="00087334" w:rsidP="001C1B39">
            <w:pPr>
              <w:jc w:val="right"/>
              <w:rPr>
                <w:sz w:val="18"/>
                <w:szCs w:val="18"/>
                <w:lang w:val="en-CA"/>
              </w:rPr>
            </w:pPr>
            <w:r w:rsidRPr="00D104B4">
              <w:rPr>
                <w:sz w:val="18"/>
                <w:szCs w:val="18"/>
                <w:lang w:val="en-CA"/>
              </w:rPr>
              <w:t>1.56</w:t>
            </w:r>
          </w:p>
        </w:tc>
        <w:tc>
          <w:tcPr>
            <w:tcW w:w="601" w:type="pct"/>
            <w:tcBorders>
              <w:top w:val="nil"/>
              <w:left w:val="nil"/>
              <w:bottom w:val="single" w:sz="4" w:space="0" w:color="auto"/>
              <w:right w:val="single" w:sz="4" w:space="0" w:color="auto"/>
            </w:tcBorders>
            <w:shd w:val="clear" w:color="auto" w:fill="auto"/>
            <w:noWrap/>
            <w:vAlign w:val="center"/>
            <w:hideMark/>
          </w:tcPr>
          <w:p w14:paraId="468FA388" w14:textId="77777777" w:rsidR="00087334" w:rsidRPr="00D104B4" w:rsidRDefault="00087334" w:rsidP="001C1B39">
            <w:pPr>
              <w:jc w:val="right"/>
              <w:rPr>
                <w:sz w:val="18"/>
                <w:szCs w:val="18"/>
                <w:lang w:val="en-CA"/>
              </w:rPr>
            </w:pPr>
            <w:r w:rsidRPr="00D104B4">
              <w:rPr>
                <w:sz w:val="18"/>
                <w:szCs w:val="18"/>
                <w:lang w:val="en-CA"/>
              </w:rPr>
              <w:t>1.80</w:t>
            </w:r>
          </w:p>
        </w:tc>
      </w:tr>
      <w:tr w:rsidR="00087334" w:rsidRPr="00D104B4" w14:paraId="53DBAD9B" w14:textId="77777777" w:rsidTr="001C1B39">
        <w:trPr>
          <w:trHeigh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14:paraId="72B29BF2" w14:textId="77777777" w:rsidR="00087334" w:rsidRPr="00D104B4" w:rsidRDefault="00087334" w:rsidP="001C1B39">
            <w:pPr>
              <w:jc w:val="left"/>
              <w:rPr>
                <w:color w:val="000000"/>
                <w:sz w:val="18"/>
                <w:szCs w:val="18"/>
                <w:lang w:val="en-CA"/>
              </w:rPr>
            </w:pPr>
            <w:r w:rsidRPr="00D104B4">
              <w:rPr>
                <w:color w:val="000000"/>
                <w:sz w:val="18"/>
                <w:szCs w:val="18"/>
                <w:lang w:val="en-CA"/>
              </w:rPr>
              <w:t>75</w:t>
            </w:r>
          </w:p>
        </w:tc>
        <w:tc>
          <w:tcPr>
            <w:tcW w:w="600" w:type="pct"/>
            <w:tcBorders>
              <w:top w:val="nil"/>
              <w:left w:val="nil"/>
              <w:bottom w:val="single" w:sz="4" w:space="0" w:color="auto"/>
              <w:right w:val="single" w:sz="4" w:space="0" w:color="auto"/>
            </w:tcBorders>
            <w:shd w:val="clear" w:color="auto" w:fill="auto"/>
            <w:noWrap/>
            <w:vAlign w:val="center"/>
            <w:hideMark/>
          </w:tcPr>
          <w:p w14:paraId="49158A59" w14:textId="77777777" w:rsidR="00087334" w:rsidRPr="00D104B4" w:rsidRDefault="00087334" w:rsidP="001C1B39">
            <w:pPr>
              <w:jc w:val="right"/>
              <w:rPr>
                <w:sz w:val="18"/>
                <w:szCs w:val="18"/>
                <w:lang w:val="en-CA"/>
              </w:rPr>
            </w:pPr>
            <w:r w:rsidRPr="00D104B4">
              <w:rPr>
                <w:sz w:val="18"/>
                <w:szCs w:val="18"/>
                <w:lang w:val="en-CA"/>
              </w:rPr>
              <w:t>3.45</w:t>
            </w:r>
          </w:p>
        </w:tc>
        <w:tc>
          <w:tcPr>
            <w:tcW w:w="601" w:type="pct"/>
            <w:tcBorders>
              <w:top w:val="nil"/>
              <w:left w:val="nil"/>
              <w:bottom w:val="single" w:sz="4" w:space="0" w:color="auto"/>
              <w:right w:val="single" w:sz="4" w:space="0" w:color="auto"/>
            </w:tcBorders>
            <w:shd w:val="clear" w:color="auto" w:fill="auto"/>
            <w:noWrap/>
            <w:vAlign w:val="center"/>
            <w:hideMark/>
          </w:tcPr>
          <w:p w14:paraId="5A6966DA" w14:textId="77777777" w:rsidR="00087334" w:rsidRPr="00D104B4" w:rsidRDefault="00087334" w:rsidP="001C1B39">
            <w:pPr>
              <w:jc w:val="right"/>
              <w:rPr>
                <w:sz w:val="18"/>
                <w:szCs w:val="18"/>
                <w:lang w:val="en-CA"/>
              </w:rPr>
            </w:pPr>
            <w:r w:rsidRPr="00D104B4">
              <w:rPr>
                <w:sz w:val="18"/>
                <w:szCs w:val="18"/>
                <w:lang w:val="en-CA"/>
              </w:rPr>
              <w:t>4.02</w:t>
            </w:r>
          </w:p>
        </w:tc>
        <w:tc>
          <w:tcPr>
            <w:tcW w:w="601" w:type="pct"/>
            <w:tcBorders>
              <w:top w:val="nil"/>
              <w:left w:val="nil"/>
              <w:bottom w:val="single" w:sz="4" w:space="0" w:color="auto"/>
              <w:right w:val="single" w:sz="4" w:space="0" w:color="auto"/>
            </w:tcBorders>
            <w:shd w:val="clear" w:color="auto" w:fill="auto"/>
            <w:noWrap/>
            <w:vAlign w:val="center"/>
            <w:hideMark/>
          </w:tcPr>
          <w:p w14:paraId="189B8FF7" w14:textId="77777777" w:rsidR="00087334" w:rsidRPr="00D104B4" w:rsidRDefault="00087334" w:rsidP="001C1B39">
            <w:pPr>
              <w:jc w:val="right"/>
              <w:rPr>
                <w:sz w:val="18"/>
                <w:szCs w:val="18"/>
                <w:lang w:val="en-CA"/>
              </w:rPr>
            </w:pPr>
            <w:r w:rsidRPr="00D104B4">
              <w:rPr>
                <w:sz w:val="18"/>
                <w:szCs w:val="18"/>
                <w:lang w:val="en-CA"/>
              </w:rPr>
              <w:t>2.52</w:t>
            </w:r>
          </w:p>
        </w:tc>
        <w:tc>
          <w:tcPr>
            <w:tcW w:w="601" w:type="pct"/>
            <w:tcBorders>
              <w:top w:val="nil"/>
              <w:left w:val="nil"/>
              <w:bottom w:val="single" w:sz="4" w:space="0" w:color="auto"/>
              <w:right w:val="single" w:sz="4" w:space="0" w:color="auto"/>
            </w:tcBorders>
            <w:shd w:val="clear" w:color="auto" w:fill="auto"/>
            <w:noWrap/>
            <w:vAlign w:val="center"/>
            <w:hideMark/>
          </w:tcPr>
          <w:p w14:paraId="22EEB73F" w14:textId="77777777" w:rsidR="00087334" w:rsidRPr="00D104B4" w:rsidRDefault="00087334" w:rsidP="001C1B39">
            <w:pPr>
              <w:jc w:val="right"/>
              <w:rPr>
                <w:sz w:val="18"/>
                <w:szCs w:val="18"/>
                <w:lang w:val="en-CA"/>
              </w:rPr>
            </w:pPr>
            <w:r w:rsidRPr="00D104B4">
              <w:rPr>
                <w:sz w:val="18"/>
                <w:szCs w:val="18"/>
                <w:lang w:val="en-CA"/>
              </w:rPr>
              <w:t>2.97</w:t>
            </w:r>
          </w:p>
        </w:tc>
        <w:tc>
          <w:tcPr>
            <w:tcW w:w="601" w:type="pct"/>
            <w:tcBorders>
              <w:top w:val="nil"/>
              <w:left w:val="nil"/>
              <w:bottom w:val="single" w:sz="4" w:space="0" w:color="auto"/>
              <w:right w:val="single" w:sz="4" w:space="0" w:color="auto"/>
            </w:tcBorders>
            <w:shd w:val="clear" w:color="auto" w:fill="auto"/>
            <w:noWrap/>
            <w:vAlign w:val="center"/>
            <w:hideMark/>
          </w:tcPr>
          <w:p w14:paraId="3AF8AE6C" w14:textId="77777777" w:rsidR="00087334" w:rsidRPr="00D104B4" w:rsidRDefault="00087334" w:rsidP="001C1B39">
            <w:pPr>
              <w:jc w:val="right"/>
              <w:rPr>
                <w:sz w:val="18"/>
                <w:szCs w:val="18"/>
                <w:lang w:val="en-CA"/>
              </w:rPr>
            </w:pPr>
            <w:r w:rsidRPr="00D104B4">
              <w:rPr>
                <w:sz w:val="18"/>
                <w:szCs w:val="18"/>
                <w:lang w:val="en-CA"/>
              </w:rPr>
              <w:t>1.99</w:t>
            </w:r>
          </w:p>
        </w:tc>
        <w:tc>
          <w:tcPr>
            <w:tcW w:w="601" w:type="pct"/>
            <w:tcBorders>
              <w:top w:val="nil"/>
              <w:left w:val="nil"/>
              <w:bottom w:val="single" w:sz="4" w:space="0" w:color="auto"/>
              <w:right w:val="single" w:sz="4" w:space="0" w:color="auto"/>
            </w:tcBorders>
            <w:shd w:val="clear" w:color="auto" w:fill="auto"/>
            <w:noWrap/>
            <w:vAlign w:val="center"/>
            <w:hideMark/>
          </w:tcPr>
          <w:p w14:paraId="71484A76" w14:textId="77777777" w:rsidR="00087334" w:rsidRPr="00D104B4" w:rsidRDefault="00087334" w:rsidP="001C1B39">
            <w:pPr>
              <w:jc w:val="right"/>
              <w:rPr>
                <w:sz w:val="18"/>
                <w:szCs w:val="18"/>
                <w:lang w:val="en-CA"/>
              </w:rPr>
            </w:pPr>
            <w:r w:rsidRPr="00D104B4">
              <w:rPr>
                <w:sz w:val="18"/>
                <w:szCs w:val="18"/>
                <w:lang w:val="en-CA"/>
              </w:rPr>
              <w:t>2.35</w:t>
            </w:r>
          </w:p>
        </w:tc>
        <w:tc>
          <w:tcPr>
            <w:tcW w:w="601" w:type="pct"/>
            <w:tcBorders>
              <w:top w:val="nil"/>
              <w:left w:val="nil"/>
              <w:bottom w:val="single" w:sz="4" w:space="0" w:color="auto"/>
              <w:right w:val="single" w:sz="4" w:space="0" w:color="auto"/>
            </w:tcBorders>
            <w:shd w:val="clear" w:color="auto" w:fill="auto"/>
            <w:noWrap/>
            <w:vAlign w:val="center"/>
            <w:hideMark/>
          </w:tcPr>
          <w:p w14:paraId="7D5D79EA" w14:textId="77777777" w:rsidR="00087334" w:rsidRPr="00D104B4" w:rsidRDefault="00087334" w:rsidP="001C1B39">
            <w:pPr>
              <w:jc w:val="right"/>
              <w:rPr>
                <w:sz w:val="18"/>
                <w:szCs w:val="18"/>
                <w:lang w:val="en-CA"/>
              </w:rPr>
            </w:pPr>
            <w:r w:rsidRPr="00D104B4">
              <w:rPr>
                <w:sz w:val="18"/>
                <w:szCs w:val="18"/>
                <w:lang w:val="en-CA"/>
              </w:rPr>
              <w:t>1.79</w:t>
            </w:r>
          </w:p>
        </w:tc>
        <w:tc>
          <w:tcPr>
            <w:tcW w:w="601" w:type="pct"/>
            <w:tcBorders>
              <w:top w:val="nil"/>
              <w:left w:val="nil"/>
              <w:bottom w:val="single" w:sz="4" w:space="0" w:color="auto"/>
              <w:right w:val="single" w:sz="4" w:space="0" w:color="auto"/>
            </w:tcBorders>
            <w:shd w:val="clear" w:color="auto" w:fill="auto"/>
            <w:noWrap/>
            <w:vAlign w:val="center"/>
            <w:hideMark/>
          </w:tcPr>
          <w:p w14:paraId="061AF954" w14:textId="77777777" w:rsidR="00087334" w:rsidRPr="00D104B4" w:rsidRDefault="00087334" w:rsidP="001C1B39">
            <w:pPr>
              <w:jc w:val="right"/>
              <w:rPr>
                <w:sz w:val="18"/>
                <w:szCs w:val="18"/>
                <w:lang w:val="en-CA"/>
              </w:rPr>
            </w:pPr>
            <w:r w:rsidRPr="00D104B4">
              <w:rPr>
                <w:sz w:val="18"/>
                <w:szCs w:val="18"/>
                <w:lang w:val="en-CA"/>
              </w:rPr>
              <w:t>2.10</w:t>
            </w:r>
          </w:p>
        </w:tc>
      </w:tr>
      <w:tr w:rsidR="00087334" w:rsidRPr="00D104B4" w14:paraId="0103BE65" w14:textId="77777777" w:rsidTr="001C1B39">
        <w:trPr>
          <w:trHeigh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14:paraId="2DA005F3" w14:textId="77777777" w:rsidR="00087334" w:rsidRPr="00D104B4" w:rsidRDefault="00087334" w:rsidP="001C1B39">
            <w:pPr>
              <w:jc w:val="left"/>
              <w:rPr>
                <w:color w:val="000000"/>
                <w:sz w:val="18"/>
                <w:szCs w:val="18"/>
                <w:lang w:val="en-CA"/>
              </w:rPr>
            </w:pPr>
            <w:r w:rsidRPr="00D104B4">
              <w:rPr>
                <w:color w:val="000000"/>
                <w:sz w:val="18"/>
                <w:szCs w:val="18"/>
                <w:lang w:val="en-CA"/>
              </w:rPr>
              <w:t>50</w:t>
            </w:r>
          </w:p>
        </w:tc>
        <w:tc>
          <w:tcPr>
            <w:tcW w:w="600" w:type="pct"/>
            <w:tcBorders>
              <w:top w:val="nil"/>
              <w:left w:val="nil"/>
              <w:bottom w:val="single" w:sz="4" w:space="0" w:color="auto"/>
              <w:right w:val="single" w:sz="4" w:space="0" w:color="auto"/>
            </w:tcBorders>
            <w:shd w:val="clear" w:color="auto" w:fill="auto"/>
            <w:noWrap/>
            <w:vAlign w:val="center"/>
            <w:hideMark/>
          </w:tcPr>
          <w:p w14:paraId="6F1111AB" w14:textId="77777777" w:rsidR="00087334" w:rsidRPr="00D104B4" w:rsidRDefault="00087334" w:rsidP="001C1B39">
            <w:pPr>
              <w:jc w:val="right"/>
              <w:rPr>
                <w:sz w:val="18"/>
                <w:szCs w:val="18"/>
                <w:lang w:val="en-CA"/>
              </w:rPr>
            </w:pPr>
            <w:r w:rsidRPr="00D104B4">
              <w:rPr>
                <w:sz w:val="18"/>
                <w:szCs w:val="18"/>
                <w:lang w:val="en-CA"/>
              </w:rPr>
              <w:t>4.73</w:t>
            </w:r>
          </w:p>
        </w:tc>
        <w:tc>
          <w:tcPr>
            <w:tcW w:w="601" w:type="pct"/>
            <w:tcBorders>
              <w:top w:val="nil"/>
              <w:left w:val="nil"/>
              <w:bottom w:val="single" w:sz="4" w:space="0" w:color="auto"/>
              <w:right w:val="single" w:sz="4" w:space="0" w:color="auto"/>
            </w:tcBorders>
            <w:shd w:val="clear" w:color="auto" w:fill="auto"/>
            <w:noWrap/>
            <w:vAlign w:val="center"/>
            <w:hideMark/>
          </w:tcPr>
          <w:p w14:paraId="7CDFB784" w14:textId="77777777" w:rsidR="00087334" w:rsidRPr="00D104B4" w:rsidRDefault="00087334" w:rsidP="001C1B39">
            <w:pPr>
              <w:jc w:val="right"/>
              <w:rPr>
                <w:sz w:val="18"/>
                <w:szCs w:val="18"/>
                <w:lang w:val="en-CA"/>
              </w:rPr>
            </w:pPr>
            <w:r w:rsidRPr="00D104B4">
              <w:rPr>
                <w:sz w:val="18"/>
                <w:szCs w:val="18"/>
                <w:lang w:val="en-CA"/>
              </w:rPr>
              <w:t>5.59</w:t>
            </w:r>
          </w:p>
        </w:tc>
        <w:tc>
          <w:tcPr>
            <w:tcW w:w="601" w:type="pct"/>
            <w:tcBorders>
              <w:top w:val="nil"/>
              <w:left w:val="nil"/>
              <w:bottom w:val="single" w:sz="4" w:space="0" w:color="auto"/>
              <w:right w:val="single" w:sz="4" w:space="0" w:color="auto"/>
            </w:tcBorders>
            <w:shd w:val="clear" w:color="auto" w:fill="auto"/>
            <w:noWrap/>
            <w:vAlign w:val="center"/>
            <w:hideMark/>
          </w:tcPr>
          <w:p w14:paraId="2D904076" w14:textId="77777777" w:rsidR="00087334" w:rsidRPr="00D104B4" w:rsidRDefault="00087334" w:rsidP="001C1B39">
            <w:pPr>
              <w:jc w:val="right"/>
              <w:rPr>
                <w:sz w:val="18"/>
                <w:szCs w:val="18"/>
                <w:lang w:val="en-CA"/>
              </w:rPr>
            </w:pPr>
            <w:r w:rsidRPr="00D104B4">
              <w:rPr>
                <w:sz w:val="18"/>
                <w:szCs w:val="18"/>
                <w:lang w:val="en-CA"/>
              </w:rPr>
              <w:t>3.33</w:t>
            </w:r>
          </w:p>
        </w:tc>
        <w:tc>
          <w:tcPr>
            <w:tcW w:w="601" w:type="pct"/>
            <w:tcBorders>
              <w:top w:val="nil"/>
              <w:left w:val="nil"/>
              <w:bottom w:val="single" w:sz="4" w:space="0" w:color="auto"/>
              <w:right w:val="single" w:sz="4" w:space="0" w:color="auto"/>
            </w:tcBorders>
            <w:shd w:val="clear" w:color="auto" w:fill="auto"/>
            <w:noWrap/>
            <w:vAlign w:val="center"/>
            <w:hideMark/>
          </w:tcPr>
          <w:p w14:paraId="1205ABF0" w14:textId="77777777" w:rsidR="00087334" w:rsidRPr="00D104B4" w:rsidRDefault="00087334" w:rsidP="001C1B39">
            <w:pPr>
              <w:jc w:val="right"/>
              <w:rPr>
                <w:sz w:val="18"/>
                <w:szCs w:val="18"/>
                <w:lang w:val="en-CA"/>
              </w:rPr>
            </w:pPr>
            <w:r w:rsidRPr="00D104B4">
              <w:rPr>
                <w:sz w:val="18"/>
                <w:szCs w:val="18"/>
                <w:lang w:val="en-CA"/>
              </w:rPr>
              <w:t>4.01</w:t>
            </w:r>
          </w:p>
        </w:tc>
        <w:tc>
          <w:tcPr>
            <w:tcW w:w="601" w:type="pct"/>
            <w:tcBorders>
              <w:top w:val="nil"/>
              <w:left w:val="nil"/>
              <w:bottom w:val="single" w:sz="4" w:space="0" w:color="auto"/>
              <w:right w:val="single" w:sz="4" w:space="0" w:color="auto"/>
            </w:tcBorders>
            <w:shd w:val="clear" w:color="auto" w:fill="auto"/>
            <w:noWrap/>
            <w:vAlign w:val="center"/>
            <w:hideMark/>
          </w:tcPr>
          <w:p w14:paraId="7EA1CB15" w14:textId="77777777" w:rsidR="00087334" w:rsidRPr="00D104B4" w:rsidRDefault="00087334" w:rsidP="001C1B39">
            <w:pPr>
              <w:jc w:val="right"/>
              <w:rPr>
                <w:sz w:val="18"/>
                <w:szCs w:val="18"/>
                <w:lang w:val="en-CA"/>
              </w:rPr>
            </w:pPr>
            <w:r w:rsidRPr="00D104B4">
              <w:rPr>
                <w:sz w:val="18"/>
                <w:szCs w:val="18"/>
                <w:lang w:val="en-CA"/>
              </w:rPr>
              <w:t>2.54</w:t>
            </w:r>
          </w:p>
        </w:tc>
        <w:tc>
          <w:tcPr>
            <w:tcW w:w="601" w:type="pct"/>
            <w:tcBorders>
              <w:top w:val="nil"/>
              <w:left w:val="nil"/>
              <w:bottom w:val="single" w:sz="4" w:space="0" w:color="auto"/>
              <w:right w:val="single" w:sz="4" w:space="0" w:color="auto"/>
            </w:tcBorders>
            <w:shd w:val="clear" w:color="auto" w:fill="auto"/>
            <w:noWrap/>
            <w:vAlign w:val="center"/>
            <w:hideMark/>
          </w:tcPr>
          <w:p w14:paraId="1FF8EDFA" w14:textId="77777777" w:rsidR="00087334" w:rsidRPr="00D104B4" w:rsidRDefault="00087334" w:rsidP="001C1B39">
            <w:pPr>
              <w:jc w:val="right"/>
              <w:rPr>
                <w:sz w:val="18"/>
                <w:szCs w:val="18"/>
                <w:lang w:val="en-CA"/>
              </w:rPr>
            </w:pPr>
            <w:r w:rsidRPr="00D104B4">
              <w:rPr>
                <w:sz w:val="18"/>
                <w:szCs w:val="18"/>
                <w:lang w:val="en-CA"/>
              </w:rPr>
              <w:t>3.08</w:t>
            </w:r>
          </w:p>
        </w:tc>
        <w:tc>
          <w:tcPr>
            <w:tcW w:w="601" w:type="pct"/>
            <w:tcBorders>
              <w:top w:val="nil"/>
              <w:left w:val="nil"/>
              <w:bottom w:val="single" w:sz="4" w:space="0" w:color="auto"/>
              <w:right w:val="single" w:sz="4" w:space="0" w:color="auto"/>
            </w:tcBorders>
            <w:shd w:val="clear" w:color="auto" w:fill="auto"/>
            <w:noWrap/>
            <w:vAlign w:val="center"/>
            <w:hideMark/>
          </w:tcPr>
          <w:p w14:paraId="2BCE4159" w14:textId="77777777" w:rsidR="00087334" w:rsidRPr="00D104B4" w:rsidRDefault="00087334" w:rsidP="001C1B39">
            <w:pPr>
              <w:jc w:val="right"/>
              <w:rPr>
                <w:sz w:val="18"/>
                <w:szCs w:val="18"/>
                <w:lang w:val="en-CA"/>
              </w:rPr>
            </w:pPr>
            <w:r w:rsidRPr="00D104B4">
              <w:rPr>
                <w:sz w:val="18"/>
                <w:szCs w:val="18"/>
                <w:lang w:val="en-CA"/>
              </w:rPr>
              <w:t>2.23</w:t>
            </w:r>
          </w:p>
        </w:tc>
        <w:tc>
          <w:tcPr>
            <w:tcW w:w="601" w:type="pct"/>
            <w:tcBorders>
              <w:top w:val="nil"/>
              <w:left w:val="nil"/>
              <w:bottom w:val="single" w:sz="4" w:space="0" w:color="auto"/>
              <w:right w:val="single" w:sz="4" w:space="0" w:color="auto"/>
            </w:tcBorders>
            <w:shd w:val="clear" w:color="auto" w:fill="auto"/>
            <w:noWrap/>
            <w:vAlign w:val="center"/>
            <w:hideMark/>
          </w:tcPr>
          <w:p w14:paraId="22ADCFA5" w14:textId="77777777" w:rsidR="00087334" w:rsidRPr="00D104B4" w:rsidRDefault="00087334" w:rsidP="001C1B39">
            <w:pPr>
              <w:jc w:val="right"/>
              <w:rPr>
                <w:sz w:val="18"/>
                <w:szCs w:val="18"/>
                <w:lang w:val="en-CA"/>
              </w:rPr>
            </w:pPr>
            <w:r w:rsidRPr="00D104B4">
              <w:rPr>
                <w:sz w:val="18"/>
                <w:szCs w:val="18"/>
                <w:lang w:val="en-CA"/>
              </w:rPr>
              <w:t>2.71</w:t>
            </w:r>
          </w:p>
        </w:tc>
      </w:tr>
    </w:tbl>
    <w:p w14:paraId="07ABC6D1" w14:textId="77777777" w:rsidR="00087334" w:rsidRPr="00D104B4" w:rsidRDefault="00087334" w:rsidP="00087334">
      <w:pPr>
        <w:rPr>
          <w:lang w:val="en-CA" w:eastAsia="zh-CN"/>
        </w:rPr>
      </w:pPr>
    </w:p>
    <w:p w14:paraId="63F6F426" w14:textId="77777777" w:rsidR="00087334" w:rsidRPr="00D104B4" w:rsidRDefault="00087334" w:rsidP="00087334">
      <w:pPr>
        <w:keepNext/>
        <w:keepLines/>
        <w:rPr>
          <w:i/>
          <w:lang w:val="en-CA"/>
        </w:rPr>
      </w:pPr>
      <w:r w:rsidRPr="00D104B4">
        <w:rPr>
          <w:i/>
          <w:lang w:val="en-CA"/>
        </w:rPr>
        <w:t>Cost of destroying HFC-23 by-product through irreversible transformation and other new technologies</w:t>
      </w:r>
    </w:p>
    <w:p w14:paraId="1401524D" w14:textId="77777777" w:rsidR="00087334" w:rsidRPr="00D104B4" w:rsidRDefault="00087334" w:rsidP="00087334">
      <w:pPr>
        <w:keepNext/>
        <w:keepLines/>
        <w:rPr>
          <w:lang w:val="en-CA"/>
        </w:rPr>
      </w:pPr>
    </w:p>
    <w:p w14:paraId="11BF12C4" w14:textId="77777777" w:rsidR="00087334" w:rsidRPr="00D104B4" w:rsidRDefault="00087334" w:rsidP="00087334">
      <w:pPr>
        <w:pStyle w:val="Heading1"/>
        <w:rPr>
          <w:lang w:val="en-CA" w:eastAsia="zh-CN"/>
        </w:rPr>
      </w:pPr>
      <w:r w:rsidRPr="00D104B4">
        <w:rPr>
          <w:lang w:val="en-CA" w:eastAsia="zh-CN"/>
        </w:rPr>
        <w:t>Four technologies were assessed:  pyrolysis of HFC-23 into carbonyl fluoride (COF</w:t>
      </w:r>
      <w:r w:rsidRPr="00D104B4">
        <w:rPr>
          <w:vertAlign w:val="subscript"/>
          <w:lang w:val="en-CA" w:eastAsia="zh-CN"/>
        </w:rPr>
        <w:t>2</w:t>
      </w:r>
      <w:r w:rsidRPr="00D104B4">
        <w:rPr>
          <w:lang w:val="en-CA" w:eastAsia="zh-CN"/>
        </w:rPr>
        <w:t xml:space="preserve">); iodization of HFC-23 into </w:t>
      </w:r>
      <w:proofErr w:type="spellStart"/>
      <w:r w:rsidRPr="00D104B4">
        <w:rPr>
          <w:lang w:val="en-CA" w:eastAsia="zh-CN"/>
        </w:rPr>
        <w:t>trifluoroiodomethane</w:t>
      </w:r>
      <w:proofErr w:type="spellEnd"/>
      <w:r w:rsidRPr="00D104B4">
        <w:rPr>
          <w:lang w:val="en-CA" w:eastAsia="zh-CN"/>
        </w:rPr>
        <w:t xml:space="preserve"> (CF</w:t>
      </w:r>
      <w:r w:rsidRPr="00D104B4">
        <w:rPr>
          <w:vertAlign w:val="subscript"/>
          <w:lang w:val="en-CA" w:eastAsia="zh-CN"/>
        </w:rPr>
        <w:t>3</w:t>
      </w:r>
      <w:r w:rsidRPr="00D104B4">
        <w:rPr>
          <w:lang w:val="en-CA" w:eastAsia="zh-CN"/>
        </w:rPr>
        <w:t>I);</w:t>
      </w:r>
      <w:r w:rsidRPr="00D104B4">
        <w:rPr>
          <w:rStyle w:val="FootnoteReference"/>
          <w:lang w:val="en-CA" w:eastAsia="zh-CN"/>
        </w:rPr>
        <w:footnoteReference w:id="10"/>
      </w:r>
      <w:r w:rsidRPr="00D104B4">
        <w:rPr>
          <w:lang w:val="en-CA" w:eastAsia="zh-CN"/>
        </w:rPr>
        <w:t xml:space="preserve"> conversion to HCFC-22, </w:t>
      </w:r>
      <w:proofErr w:type="spellStart"/>
      <w:r w:rsidRPr="00D104B4">
        <w:rPr>
          <w:lang w:val="en-CA" w:eastAsia="zh-CN"/>
        </w:rPr>
        <w:t>vinylidene</w:t>
      </w:r>
      <w:proofErr w:type="spellEnd"/>
      <w:r w:rsidRPr="00D104B4">
        <w:rPr>
          <w:lang w:val="en-CA" w:eastAsia="zh-CN"/>
        </w:rPr>
        <w:t xml:space="preserve"> difluoride (VDF), or TFE and </w:t>
      </w:r>
      <w:proofErr w:type="spellStart"/>
      <w:r w:rsidRPr="00D104B4">
        <w:rPr>
          <w:lang w:val="en-CA" w:eastAsia="zh-CN"/>
        </w:rPr>
        <w:t>hexafluoropropylene</w:t>
      </w:r>
      <w:proofErr w:type="spellEnd"/>
      <w:r w:rsidRPr="00D104B4">
        <w:rPr>
          <w:lang w:val="en-CA" w:eastAsia="zh-CN"/>
        </w:rPr>
        <w:t xml:space="preserve"> (HFP);</w:t>
      </w:r>
      <w:r w:rsidRPr="00D104B4">
        <w:rPr>
          <w:rStyle w:val="FootnoteReference"/>
          <w:lang w:val="en-CA" w:eastAsia="zh-CN"/>
        </w:rPr>
        <w:footnoteReference w:id="11"/>
      </w:r>
      <w:r w:rsidRPr="00D104B4">
        <w:rPr>
          <w:lang w:val="en-CA" w:eastAsia="zh-CN"/>
        </w:rPr>
        <w:t xml:space="preserve"> and chemical reaction with hydrogen and carbon dioxide.</w:t>
      </w:r>
      <w:r w:rsidRPr="00D104B4">
        <w:rPr>
          <w:rStyle w:val="FootnoteReference"/>
          <w:lang w:val="en-CA" w:eastAsia="zh-CN"/>
        </w:rPr>
        <w:footnoteReference w:id="12"/>
      </w:r>
      <w:r w:rsidRPr="00D104B4">
        <w:rPr>
          <w:lang w:val="en-CA" w:eastAsia="zh-CN"/>
        </w:rPr>
        <w:t xml:space="preserve"> Costs for the former three technologies could not be assessed as those technologies are still in the research stage. For the latter, the technology provider did not provide the needed information and limited information is publicly available to estimate costs. In particular, the consultant was not able to independently assess the operating costs suggested by the technology provider, nor was the consultant able to estimate the capital costs of the necessary equipment; both of those costs would determine the payback period of the technology relative to an incinerator. However, the consultant was able to assess the possible revenues from the technology based on publicly available information on the price of chemicals that would be produced through the conversion process. The consultant estimates that the potential annual revenue from the conversion of 900 </w:t>
      </w:r>
      <w:proofErr w:type="spellStart"/>
      <w:r w:rsidRPr="00D104B4">
        <w:rPr>
          <w:lang w:val="en-CA" w:eastAsia="zh-CN"/>
        </w:rPr>
        <w:t>mt</w:t>
      </w:r>
      <w:proofErr w:type="spellEnd"/>
      <w:r w:rsidRPr="00D104B4">
        <w:rPr>
          <w:lang w:val="en-CA" w:eastAsia="zh-CN"/>
        </w:rPr>
        <w:t xml:space="preserve"> of HFC-23 would be approximately US $565,000. </w:t>
      </w:r>
    </w:p>
    <w:p w14:paraId="6A3FA4EB" w14:textId="77777777" w:rsidR="00087334" w:rsidRPr="00D104B4" w:rsidRDefault="00087334" w:rsidP="00087334">
      <w:pPr>
        <w:pStyle w:val="Heading2"/>
        <w:keepNext/>
        <w:keepLines/>
        <w:numPr>
          <w:ilvl w:val="0"/>
          <w:numId w:val="0"/>
        </w:numPr>
        <w:rPr>
          <w:i/>
          <w:lang w:val="en-CA" w:eastAsia="zh-CN"/>
        </w:rPr>
      </w:pPr>
      <w:r w:rsidRPr="00D104B4">
        <w:rPr>
          <w:i/>
          <w:lang w:val="en-CA" w:eastAsia="zh-CN"/>
        </w:rPr>
        <w:lastRenderedPageBreak/>
        <w:t>Costs and measures to optimize the HCFC-22 production process to minimize the HFC-23 by-product and maximize the collection of HFC-23 by-product</w:t>
      </w:r>
    </w:p>
    <w:p w14:paraId="26A6C2A9" w14:textId="77777777" w:rsidR="00087334" w:rsidRPr="00D104B4" w:rsidRDefault="00087334" w:rsidP="00087334">
      <w:pPr>
        <w:pStyle w:val="Heading1"/>
        <w:keepNext/>
        <w:keepLines/>
        <w:rPr>
          <w:lang w:val="en-CA"/>
        </w:rPr>
      </w:pPr>
      <w:r w:rsidRPr="00D104B4">
        <w:rPr>
          <w:lang w:val="en-CA"/>
        </w:rPr>
        <w:t>While specific measures to minimize the generation of HFC-23 by-product and maximize its collection will depend on site-specific requirements, three process changes were identified that could be applicable to HCFC-22 production facilities:</w:t>
      </w:r>
    </w:p>
    <w:p w14:paraId="66868776" w14:textId="77777777" w:rsidR="00087334" w:rsidRPr="00D104B4" w:rsidRDefault="00087334" w:rsidP="00087334">
      <w:pPr>
        <w:pStyle w:val="Heading2"/>
        <w:keepNext/>
        <w:keepLines/>
        <w:rPr>
          <w:lang w:val="en-CA"/>
        </w:rPr>
      </w:pPr>
      <w:r w:rsidRPr="00D104B4">
        <w:rPr>
          <w:lang w:val="en-CA"/>
        </w:rPr>
        <w:t>Improvements to the HCFC-22 product distillation column, including replacing the column tray internals with structured packing, operating the column at a lower pressure and condenser temperature, and increasing the reflux ratio, reducing the amount of HCFC</w:t>
      </w:r>
      <w:r w:rsidRPr="00D104B4">
        <w:rPr>
          <w:lang w:val="en-CA"/>
        </w:rPr>
        <w:noBreakHyphen/>
        <w:t>22 carry over in the HFC-23 stream from 8 per cent to 3 per cent;</w:t>
      </w:r>
    </w:p>
    <w:p w14:paraId="5207B14D" w14:textId="77777777" w:rsidR="00087334" w:rsidRPr="00D104B4" w:rsidRDefault="00087334" w:rsidP="00087334">
      <w:pPr>
        <w:pStyle w:val="Heading2"/>
        <w:keepNext/>
        <w:keepLines/>
        <w:rPr>
          <w:lang w:val="en-CA"/>
        </w:rPr>
      </w:pPr>
      <w:r w:rsidRPr="00D104B4">
        <w:rPr>
          <w:lang w:val="en-CA"/>
        </w:rPr>
        <w:t>Convert the HCFC-22 reactor to plug flow to increase mixing of the hydrogen fluoride (HF) with chloroform, and thereby enhance selectivity, resulting in a reduced HFC-23 by</w:t>
      </w:r>
      <w:r w:rsidRPr="00D104B4">
        <w:rPr>
          <w:lang w:val="en-CA"/>
        </w:rPr>
        <w:noBreakHyphen/>
        <w:t>product generation rate of approximately 1.75 per cent; and</w:t>
      </w:r>
    </w:p>
    <w:p w14:paraId="0C29C558" w14:textId="77777777" w:rsidR="00087334" w:rsidRPr="00D104B4" w:rsidRDefault="00087334" w:rsidP="00087334">
      <w:pPr>
        <w:pStyle w:val="Heading2"/>
        <w:rPr>
          <w:lang w:val="en-CA"/>
        </w:rPr>
      </w:pPr>
      <w:r w:rsidRPr="00D104B4">
        <w:rPr>
          <w:lang w:val="en-CA"/>
        </w:rPr>
        <w:t>Convert from a one-stage to a three-stage HCFC-22 reactor, resulting in a reduced HFC</w:t>
      </w:r>
      <w:r w:rsidRPr="00D104B4">
        <w:rPr>
          <w:lang w:val="en-CA"/>
        </w:rPr>
        <w:noBreakHyphen/>
        <w:t>23 by</w:t>
      </w:r>
      <w:r w:rsidRPr="00D104B4">
        <w:rPr>
          <w:lang w:val="en-CA"/>
        </w:rPr>
        <w:noBreakHyphen/>
        <w:t>product ratio of approximately 1.4 per cent. Reducing the HFC-23 by-product below 1.4 per cent would require research and development, particularly for new catalysts.</w:t>
      </w:r>
    </w:p>
    <w:p w14:paraId="398489CD" w14:textId="77777777" w:rsidR="00087334" w:rsidRPr="00D104B4" w:rsidRDefault="00087334" w:rsidP="00087334">
      <w:pPr>
        <w:pStyle w:val="Heading1"/>
        <w:rPr>
          <w:lang w:val="en-CA"/>
        </w:rPr>
      </w:pPr>
      <w:r w:rsidRPr="00D104B4">
        <w:rPr>
          <w:lang w:val="en-CA"/>
        </w:rPr>
        <w:t>Costs of the above measures will vary based on the specific HCFC-22 production facility. As production facilities need to regularly replace equipment that reaches the end of its useful life, a facility would want to compare the additional costs of the measures with the benefits of their implementation when selecting the replacement equipment. Distillation columns are expected to be replaced approximately every ten years, and it is expected that columns with structured packing would be selected given the increased revenue from improved separation and the reduced maintenance costs. Reactor lifetimes range from 10 to 15 years. In selecting a new reactor, a production facility would compare the difference in cost between a three-stage and a one-stage reactor with the benefits associated with improved selectivity toward HCFC</w:t>
      </w:r>
      <w:r w:rsidRPr="00D104B4">
        <w:rPr>
          <w:lang w:val="en-CA"/>
        </w:rPr>
        <w:noBreakHyphen/>
        <w:t>22. For example, a 0.5 per cent increase in selectivity toward HCFC-22 at a facility producing 27,000 </w:t>
      </w:r>
      <w:proofErr w:type="spellStart"/>
      <w:r w:rsidRPr="00D104B4">
        <w:rPr>
          <w:lang w:val="en-CA"/>
        </w:rPr>
        <w:t>mt</w:t>
      </w:r>
      <w:proofErr w:type="spellEnd"/>
      <w:r w:rsidRPr="00D104B4">
        <w:rPr>
          <w:lang w:val="en-CA"/>
        </w:rPr>
        <w:t>/</w:t>
      </w:r>
      <w:proofErr w:type="spellStart"/>
      <w:r w:rsidRPr="00D104B4">
        <w:rPr>
          <w:lang w:val="en-CA"/>
        </w:rPr>
        <w:t>yr</w:t>
      </w:r>
      <w:proofErr w:type="spellEnd"/>
      <w:r w:rsidRPr="00D104B4">
        <w:rPr>
          <w:lang w:val="en-CA"/>
        </w:rPr>
        <w:t xml:space="preserve"> of HCFC-22 can be expected to generate additional revenue of approximately US $300,000 per year when the price of HCFC-22 is US $2.20/kg. </w:t>
      </w:r>
    </w:p>
    <w:p w14:paraId="2CA7463B" w14:textId="77777777" w:rsidR="00087334" w:rsidRPr="00D104B4" w:rsidRDefault="00087334" w:rsidP="00087334">
      <w:pPr>
        <w:pStyle w:val="Heading1"/>
        <w:rPr>
          <w:lang w:val="en-CA"/>
        </w:rPr>
      </w:pPr>
      <w:r w:rsidRPr="00D104B4">
        <w:rPr>
          <w:lang w:val="en-CA"/>
        </w:rPr>
        <w:t>The Secretariat was not able to undertake a detailed review of the summary of the investigation on reducing HFC-23 by-product ratio using best practices submitted by the World Bank on 10 March 2018 by the time of finalization of the present document. However, the following observations are relevant:</w:t>
      </w:r>
    </w:p>
    <w:p w14:paraId="283E0739" w14:textId="77777777" w:rsidR="00087334" w:rsidRPr="00D104B4" w:rsidRDefault="00087334" w:rsidP="00087334">
      <w:pPr>
        <w:pStyle w:val="Heading2"/>
        <w:rPr>
          <w:lang w:val="en-CA"/>
        </w:rPr>
      </w:pPr>
      <w:r w:rsidRPr="00D104B4">
        <w:rPr>
          <w:lang w:val="en-CA"/>
        </w:rPr>
        <w:t>The total capacity of China’s 22 HFC-23 destruction facilities (comprising 16 incinerators, three plasma arc incinerators, and three superheated steam facilities) is 22,000 </w:t>
      </w:r>
      <w:proofErr w:type="spellStart"/>
      <w:r w:rsidRPr="00D104B4">
        <w:rPr>
          <w:lang w:val="en-CA"/>
        </w:rPr>
        <w:t>mt</w:t>
      </w:r>
      <w:proofErr w:type="spellEnd"/>
      <w:r w:rsidRPr="00D104B4">
        <w:rPr>
          <w:lang w:val="en-CA"/>
        </w:rPr>
        <w:t>/yr. On average, the capacity of a destruction facility is 1,000 </w:t>
      </w:r>
      <w:proofErr w:type="spellStart"/>
      <w:r w:rsidRPr="00D104B4">
        <w:rPr>
          <w:lang w:val="en-CA"/>
        </w:rPr>
        <w:t>mt</w:t>
      </w:r>
      <w:proofErr w:type="spellEnd"/>
      <w:r w:rsidRPr="00D104B4">
        <w:rPr>
          <w:lang w:val="en-CA"/>
        </w:rPr>
        <w:t>/yr. The Secretariat notes that some of the destruction facilities are on stand-by; of the 20,960 </w:t>
      </w:r>
      <w:proofErr w:type="spellStart"/>
      <w:r w:rsidRPr="00D104B4">
        <w:rPr>
          <w:lang w:val="en-CA"/>
        </w:rPr>
        <w:t>mt</w:t>
      </w:r>
      <w:proofErr w:type="spellEnd"/>
      <w:r w:rsidRPr="00D104B4">
        <w:rPr>
          <w:lang w:val="en-CA"/>
        </w:rPr>
        <w:t>/</w:t>
      </w:r>
      <w:proofErr w:type="spellStart"/>
      <w:r w:rsidRPr="00D104B4">
        <w:rPr>
          <w:lang w:val="en-CA"/>
        </w:rPr>
        <w:t>yr</w:t>
      </w:r>
      <w:proofErr w:type="spellEnd"/>
      <w:r w:rsidRPr="00D104B4">
        <w:rPr>
          <w:lang w:val="en-CA"/>
        </w:rPr>
        <w:t xml:space="preserve"> capacity installed in 2016, 17,810 </w:t>
      </w:r>
      <w:proofErr w:type="spellStart"/>
      <w:r w:rsidRPr="00D104B4">
        <w:rPr>
          <w:lang w:val="en-CA"/>
        </w:rPr>
        <w:t>mt</w:t>
      </w:r>
      <w:proofErr w:type="spellEnd"/>
      <w:r w:rsidRPr="00D104B4">
        <w:rPr>
          <w:lang w:val="en-CA"/>
        </w:rPr>
        <w:t>/y was in operation and 2,750 </w:t>
      </w:r>
      <w:proofErr w:type="spellStart"/>
      <w:r w:rsidRPr="00D104B4">
        <w:rPr>
          <w:lang w:val="en-CA"/>
        </w:rPr>
        <w:t>mt</w:t>
      </w:r>
      <w:proofErr w:type="spellEnd"/>
      <w:r w:rsidRPr="00D104B4">
        <w:rPr>
          <w:lang w:val="en-CA"/>
        </w:rPr>
        <w:t>/</w:t>
      </w:r>
      <w:proofErr w:type="spellStart"/>
      <w:r w:rsidRPr="00D104B4">
        <w:rPr>
          <w:lang w:val="en-CA"/>
        </w:rPr>
        <w:t>yr</w:t>
      </w:r>
      <w:proofErr w:type="spellEnd"/>
      <w:r w:rsidRPr="00D104B4">
        <w:rPr>
          <w:lang w:val="en-CA"/>
        </w:rPr>
        <w:t xml:space="preserve"> was on stand-by. There is sufficient HFC-23 destruction capacity in China to destroy all HFC-23 by-product given HCFC-22 production levels and capacity in the country; </w:t>
      </w:r>
    </w:p>
    <w:p w14:paraId="6EA7DB9D" w14:textId="77777777" w:rsidR="00087334" w:rsidRPr="00D104B4" w:rsidRDefault="00087334" w:rsidP="00087334">
      <w:pPr>
        <w:pStyle w:val="Heading2"/>
        <w:rPr>
          <w:lang w:val="en-CA"/>
        </w:rPr>
      </w:pPr>
      <w:r w:rsidRPr="00D104B4">
        <w:rPr>
          <w:lang w:val="en-CA"/>
        </w:rPr>
        <w:t xml:space="preserve">The theoretical findings provided in the summary are consistent with those provided in the report of the consultant. In particular, key factors in determining the HFC-23 by-product generation rate include construction details of the reactor, the distillation column, the process conditions, and the mixing status in the reactor; lowering the liquid level in the reactor can substantially reduce the HFC-23 by-product generation rate without additional equipment investment and energy consumption. While those findings are consistent with those of the consultant, the consultant’s proposal to convert to a three-stage reactor is likely to be a more effective means of achieving the same result as increasing the height to radius </w:t>
      </w:r>
      <w:r w:rsidRPr="00D104B4">
        <w:rPr>
          <w:lang w:val="en-CA"/>
        </w:rPr>
        <w:lastRenderedPageBreak/>
        <w:t>ratio of the reactor as proposed in the summary report by the World Bank. In particular, a three-stage reactor is expected to further decrease the liquid level in the reactor and further increase the degree of mixing and uniformity of HF in the reactor, thereby further reducing the HFC-23 by-product generation rate; and</w:t>
      </w:r>
    </w:p>
    <w:p w14:paraId="38A101EF" w14:textId="77777777" w:rsidR="00087334" w:rsidRPr="00D104B4" w:rsidRDefault="00087334" w:rsidP="00087334">
      <w:pPr>
        <w:pStyle w:val="Heading2"/>
        <w:rPr>
          <w:lang w:val="en-CA"/>
        </w:rPr>
      </w:pPr>
      <w:r w:rsidRPr="00D104B4">
        <w:rPr>
          <w:lang w:val="en-CA"/>
        </w:rPr>
        <w:t>All the measures identified in the summary have a cost below US $1 million. For the facility noted above (i.e., facility producing 27,000 </w:t>
      </w:r>
      <w:proofErr w:type="spellStart"/>
      <w:r w:rsidRPr="00D104B4">
        <w:rPr>
          <w:lang w:val="en-CA"/>
        </w:rPr>
        <w:t>mt</w:t>
      </w:r>
      <w:proofErr w:type="spellEnd"/>
      <w:r w:rsidRPr="00D104B4">
        <w:rPr>
          <w:lang w:val="en-CA"/>
        </w:rPr>
        <w:t>/</w:t>
      </w:r>
      <w:proofErr w:type="spellStart"/>
      <w:r w:rsidRPr="00D104B4">
        <w:rPr>
          <w:lang w:val="en-CA"/>
        </w:rPr>
        <w:t>yr</w:t>
      </w:r>
      <w:proofErr w:type="spellEnd"/>
      <w:r w:rsidRPr="00D104B4">
        <w:rPr>
          <w:lang w:val="en-CA"/>
        </w:rPr>
        <w:t xml:space="preserve"> of HCFC-22 with a 0.5 per cent increase in selectivity toward HCFC-22), this suggests a payback period of less than four years. </w:t>
      </w:r>
    </w:p>
    <w:p w14:paraId="13D3F6E2" w14:textId="77777777" w:rsidR="00087334" w:rsidRPr="00D104B4" w:rsidRDefault="00087334" w:rsidP="00087334">
      <w:pPr>
        <w:keepNext/>
        <w:keepLines/>
        <w:rPr>
          <w:i/>
          <w:lang w:val="en-CA"/>
        </w:rPr>
      </w:pPr>
      <w:r w:rsidRPr="00D104B4">
        <w:rPr>
          <w:i/>
          <w:lang w:val="en-CA"/>
        </w:rPr>
        <w:t>Costs of different monitoring and verification methods</w:t>
      </w:r>
    </w:p>
    <w:p w14:paraId="45B2F366" w14:textId="77777777" w:rsidR="00087334" w:rsidRPr="00D104B4" w:rsidRDefault="00087334" w:rsidP="00087334">
      <w:pPr>
        <w:keepNext/>
        <w:keepLines/>
        <w:rPr>
          <w:lang w:val="en-CA"/>
        </w:rPr>
      </w:pPr>
    </w:p>
    <w:p w14:paraId="7D306BD7" w14:textId="77777777" w:rsidR="00087334" w:rsidRPr="00D104B4" w:rsidRDefault="00087334" w:rsidP="00087334">
      <w:pPr>
        <w:pStyle w:val="Heading1"/>
        <w:keepNext/>
        <w:keepLines/>
        <w:rPr>
          <w:lang w:val="en-CA"/>
        </w:rPr>
      </w:pPr>
      <w:r w:rsidRPr="00D104B4">
        <w:rPr>
          <w:lang w:val="en-CA"/>
        </w:rPr>
        <w:t>The consultant recommended that the clean development mechanism (CDM) “Approved baseline and monitoring methodology AM0001/Version 06.0.0” be used to monitor the destruction of HFC-23 by</w:t>
      </w:r>
      <w:r w:rsidRPr="00D104B4">
        <w:rPr>
          <w:lang w:val="en-CA"/>
        </w:rPr>
        <w:noBreakHyphen/>
        <w:t>product. The costs of the monitoring have been included in the estimated costs noted above.</w:t>
      </w:r>
    </w:p>
    <w:p w14:paraId="45A60480" w14:textId="77777777" w:rsidR="00087334" w:rsidRPr="00D104B4" w:rsidRDefault="00087334" w:rsidP="00087334">
      <w:pPr>
        <w:pStyle w:val="Heading1"/>
        <w:rPr>
          <w:lang w:val="en-CA"/>
        </w:rPr>
      </w:pPr>
      <w:r w:rsidRPr="00D104B4">
        <w:rPr>
          <w:lang w:val="en-CA"/>
        </w:rPr>
        <w:t>An independent verification should be performed by an independent third party with no conflicts of interest; the verifier would need access to plant operating data and financial books of HCFC-22/HFC-23 producers and destroyers. The cost of that verification would be additional to the estimated costs noted above.</w:t>
      </w:r>
    </w:p>
    <w:p w14:paraId="0D0783D6" w14:textId="77777777" w:rsidR="00087334" w:rsidRPr="00D104B4" w:rsidRDefault="00087334" w:rsidP="00087334">
      <w:pPr>
        <w:rPr>
          <w:i/>
          <w:lang w:val="en-CA"/>
        </w:rPr>
      </w:pPr>
      <w:r w:rsidRPr="00D104B4">
        <w:rPr>
          <w:i/>
          <w:lang w:val="en-CA"/>
        </w:rPr>
        <w:t>Costs of different destruction technologies</w:t>
      </w:r>
    </w:p>
    <w:p w14:paraId="74595A58" w14:textId="77777777" w:rsidR="00087334" w:rsidRPr="00D104B4" w:rsidRDefault="00087334" w:rsidP="00087334">
      <w:pPr>
        <w:rPr>
          <w:lang w:val="en-CA"/>
        </w:rPr>
      </w:pPr>
    </w:p>
    <w:p w14:paraId="22EBC540" w14:textId="77777777" w:rsidR="00087334" w:rsidRPr="00D104B4" w:rsidRDefault="00087334" w:rsidP="00087334">
      <w:pPr>
        <w:pStyle w:val="Heading1"/>
        <w:rPr>
          <w:lang w:val="en-CA"/>
        </w:rPr>
      </w:pPr>
      <w:r w:rsidRPr="00D104B4">
        <w:rPr>
          <w:lang w:val="en-CA"/>
        </w:rPr>
        <w:t>The consultant assessed five destruction technologies: plasma radio frequency arc torch, fired-heater thermal oxidation furnaces, horizontal rotary-fired oxidation kiln, cement kiln oxidation, and high</w:t>
      </w:r>
      <w:r w:rsidRPr="00D104B4">
        <w:rPr>
          <w:lang w:val="en-CA"/>
        </w:rPr>
        <w:noBreakHyphen/>
        <w:t>temperature steam thermal decomposition:</w:t>
      </w:r>
    </w:p>
    <w:p w14:paraId="49FAF5A7" w14:textId="77777777" w:rsidR="00087334" w:rsidRPr="00D104B4" w:rsidRDefault="00087334" w:rsidP="00087334">
      <w:pPr>
        <w:pStyle w:val="Heading2"/>
        <w:rPr>
          <w:lang w:val="en-CA"/>
        </w:rPr>
      </w:pPr>
      <w:r w:rsidRPr="00D104B4">
        <w:rPr>
          <w:lang w:val="en-CA"/>
        </w:rPr>
        <w:t>Plasma arc technology has excellent destruction efficiency but has the highest cost of the technologies assessed and would be best suited for small-scale destruction facilities. Operating costs are expected to be approximately US $3/kg. A facility that destroys approximately 100 </w:t>
      </w:r>
      <w:proofErr w:type="spellStart"/>
      <w:r w:rsidRPr="00D104B4">
        <w:rPr>
          <w:lang w:val="en-CA"/>
        </w:rPr>
        <w:t>mt</w:t>
      </w:r>
      <w:proofErr w:type="spellEnd"/>
      <w:r w:rsidRPr="00D104B4">
        <w:rPr>
          <w:lang w:val="en-CA"/>
        </w:rPr>
        <w:t>/</w:t>
      </w:r>
      <w:proofErr w:type="spellStart"/>
      <w:r w:rsidRPr="00D104B4">
        <w:rPr>
          <w:lang w:val="en-CA"/>
        </w:rPr>
        <w:t>yr</w:t>
      </w:r>
      <w:proofErr w:type="spellEnd"/>
      <w:r w:rsidRPr="00D104B4">
        <w:rPr>
          <w:lang w:val="en-CA"/>
        </w:rPr>
        <w:t xml:space="preserve"> would be expected to need to invest approximately US $2.5 million in capital costs to enable the destruction of HFC-23;</w:t>
      </w:r>
    </w:p>
    <w:p w14:paraId="3BAED37F" w14:textId="77777777" w:rsidR="00087334" w:rsidRPr="00D104B4" w:rsidRDefault="00087334" w:rsidP="00087334">
      <w:pPr>
        <w:pStyle w:val="Heading2"/>
        <w:rPr>
          <w:lang w:val="en-CA"/>
        </w:rPr>
      </w:pPr>
      <w:r w:rsidRPr="00D104B4">
        <w:rPr>
          <w:lang w:val="en-CA"/>
        </w:rPr>
        <w:t>Fired-heater thermal oxidation furnace has excellent destruction efficiency and is expected to be the second highest cost technology, with operating costs of approximately US $2.40/kg. A facility that destroys approximately 100 </w:t>
      </w:r>
      <w:proofErr w:type="spellStart"/>
      <w:r w:rsidRPr="00D104B4">
        <w:rPr>
          <w:lang w:val="en-CA"/>
        </w:rPr>
        <w:t>mt</w:t>
      </w:r>
      <w:proofErr w:type="spellEnd"/>
      <w:r w:rsidRPr="00D104B4">
        <w:rPr>
          <w:lang w:val="en-CA"/>
        </w:rPr>
        <w:t>/</w:t>
      </w:r>
      <w:proofErr w:type="spellStart"/>
      <w:r w:rsidRPr="00D104B4">
        <w:rPr>
          <w:lang w:val="en-CA"/>
        </w:rPr>
        <w:t>yr</w:t>
      </w:r>
      <w:proofErr w:type="spellEnd"/>
      <w:r w:rsidRPr="00D104B4">
        <w:rPr>
          <w:lang w:val="en-CA"/>
        </w:rPr>
        <w:t xml:space="preserve"> would be expected to need to invest approximately US $1.7 million in capital costs to enable the destruction of HFC</w:t>
      </w:r>
      <w:r w:rsidRPr="00D104B4">
        <w:rPr>
          <w:lang w:val="en-CA"/>
        </w:rPr>
        <w:noBreakHyphen/>
        <w:t>23;</w:t>
      </w:r>
    </w:p>
    <w:p w14:paraId="3CF48215" w14:textId="77777777" w:rsidR="00087334" w:rsidRPr="00D104B4" w:rsidRDefault="00087334" w:rsidP="00087334">
      <w:pPr>
        <w:pStyle w:val="Heading2"/>
        <w:rPr>
          <w:lang w:val="en-CA"/>
        </w:rPr>
      </w:pPr>
      <w:r w:rsidRPr="00D104B4">
        <w:rPr>
          <w:lang w:val="en-CA"/>
        </w:rPr>
        <w:t>Horizontal rotary-fired oxidation kilns and cement kilns are well-commercialized and are expected to be among the most cost-effective destruction technologies; however, the destruction efficiency is expected be lower (approximately 99 per cent). Operating costs are expected to be approximately US $1/kg. A facility that destroys approximately 100 </w:t>
      </w:r>
      <w:proofErr w:type="spellStart"/>
      <w:r w:rsidRPr="00D104B4">
        <w:rPr>
          <w:lang w:val="en-CA"/>
        </w:rPr>
        <w:t>mt</w:t>
      </w:r>
      <w:proofErr w:type="spellEnd"/>
      <w:r w:rsidRPr="00D104B4">
        <w:rPr>
          <w:lang w:val="en-CA"/>
        </w:rPr>
        <w:t>/</w:t>
      </w:r>
      <w:proofErr w:type="spellStart"/>
      <w:r w:rsidRPr="00D104B4">
        <w:rPr>
          <w:lang w:val="en-CA"/>
        </w:rPr>
        <w:t>yr</w:t>
      </w:r>
      <w:proofErr w:type="spellEnd"/>
      <w:r w:rsidRPr="00D104B4">
        <w:rPr>
          <w:lang w:val="en-CA"/>
        </w:rPr>
        <w:t xml:space="preserve"> would be expected to need to invest approximately US $0.5 million in capital costs to enable the destruction of HFC-23. Those costs would principally be associated with purchasing and installing the necessary equipment to receive containers with HFC-23 to be destroyed, transferring the HFC-23 to a storage tank, and feeding the HFC-23 into the kiln; and</w:t>
      </w:r>
    </w:p>
    <w:p w14:paraId="0B2F3C65" w14:textId="77777777" w:rsidR="00087334" w:rsidRPr="00D104B4" w:rsidRDefault="00087334" w:rsidP="00087334">
      <w:pPr>
        <w:pStyle w:val="Heading2"/>
        <w:keepNext/>
        <w:keepLines/>
        <w:rPr>
          <w:lang w:val="en-CA"/>
        </w:rPr>
      </w:pPr>
      <w:r w:rsidRPr="00D104B4">
        <w:rPr>
          <w:lang w:val="en-CA"/>
        </w:rPr>
        <w:lastRenderedPageBreak/>
        <w:t xml:space="preserve">High-temperature steam thermal decomposition has excellent destruction efficiency. While there are three such facilities in operation in China, there is limited information on the costs, so those could not be assessed; however, it is expected that the costs could be lower than for a fired-heater thermal oxidation furnace. </w:t>
      </w:r>
    </w:p>
    <w:p w14:paraId="2E2C9D39" w14:textId="77777777" w:rsidR="00087334" w:rsidRPr="00D104B4" w:rsidRDefault="00087334" w:rsidP="00087334">
      <w:pPr>
        <w:pStyle w:val="Heading1"/>
        <w:rPr>
          <w:lang w:val="en-CA"/>
        </w:rPr>
      </w:pPr>
      <w:r w:rsidRPr="00D104B4">
        <w:rPr>
          <w:lang w:val="en-CA"/>
        </w:rPr>
        <w:t xml:space="preserve">HCFC-22 production facilities that have low levels of production, and therefore low quantities of HFC-23 by-product to be destroyed, that do not intend to continue production for feedstock uses, and that either do not have an on-site destruction facility or the facility is in disuse, could face substantially higher costs of HFC-23 destruction relative to production facilities with high volumes of HFC-23 by-product to be destroyed at an on-site facility. </w:t>
      </w:r>
    </w:p>
    <w:p w14:paraId="009865D5" w14:textId="77777777" w:rsidR="00087334" w:rsidRPr="00D104B4" w:rsidRDefault="00087334" w:rsidP="00087334">
      <w:pPr>
        <w:pStyle w:val="Heading1"/>
        <w:rPr>
          <w:lang w:val="en-CA"/>
        </w:rPr>
      </w:pPr>
      <w:r w:rsidRPr="00D104B4">
        <w:rPr>
          <w:lang w:val="en-CA"/>
        </w:rPr>
        <w:t xml:space="preserve">The Secretariat notes that the Parties have not yet approved any technologies for destruction of HFC-23. If the Parties were to approve the use of destruction technologies with a destruction and removal efficiency below 99.99 per cent, (perhaps for a limited period of time), this could allow those facilities to use the more cost-effective destruction technologies identified, such as cement kiln oxidation and horizontal rotary-fired oxidation kiln, prior to phasing out their HCFC-22 production. </w:t>
      </w:r>
    </w:p>
    <w:p w14:paraId="718752D9" w14:textId="77777777" w:rsidR="00087334" w:rsidRPr="00D104B4" w:rsidRDefault="00087334" w:rsidP="00087334">
      <w:pPr>
        <w:rPr>
          <w:i/>
          <w:lang w:val="en-CA"/>
        </w:rPr>
      </w:pPr>
      <w:r w:rsidRPr="00D104B4">
        <w:rPr>
          <w:i/>
          <w:lang w:val="en-CA"/>
        </w:rPr>
        <w:t>Comparison of costs with previous estimates</w:t>
      </w:r>
    </w:p>
    <w:p w14:paraId="6F82510E" w14:textId="77777777" w:rsidR="00087334" w:rsidRPr="00D104B4" w:rsidRDefault="00087334" w:rsidP="00087334">
      <w:pPr>
        <w:rPr>
          <w:lang w:val="en-CA"/>
        </w:rPr>
      </w:pPr>
    </w:p>
    <w:p w14:paraId="756C85FC" w14:textId="77777777" w:rsidR="00087334" w:rsidRPr="00D104B4" w:rsidRDefault="00087334" w:rsidP="00087334">
      <w:pPr>
        <w:pStyle w:val="Heading1"/>
        <w:rPr>
          <w:lang w:val="en-CA"/>
        </w:rPr>
      </w:pPr>
      <w:r w:rsidRPr="00D104B4">
        <w:rPr>
          <w:lang w:val="en-CA"/>
        </w:rPr>
        <w:t>Based on the analysis of CDM data undertaken by the Secretariat at the 79</w:t>
      </w:r>
      <w:r w:rsidRPr="00D104B4">
        <w:rPr>
          <w:vertAlign w:val="superscript"/>
          <w:lang w:val="en-CA"/>
        </w:rPr>
        <w:t>th</w:t>
      </w:r>
      <w:r w:rsidRPr="00D104B4">
        <w:rPr>
          <w:lang w:val="en-CA"/>
        </w:rPr>
        <w:t> meeting,</w:t>
      </w:r>
      <w:r w:rsidRPr="00D104B4">
        <w:rPr>
          <w:rStyle w:val="FootnoteReference"/>
          <w:lang w:val="en-CA"/>
        </w:rPr>
        <w:footnoteReference w:id="13"/>
      </w:r>
      <w:r w:rsidRPr="00D104B4">
        <w:rPr>
          <w:lang w:val="en-CA"/>
        </w:rPr>
        <w:t xml:space="preserve"> the incremental cost of the reported consumables and waste of the destruction facility were always found to be below US $1/kg. However, that cost did not include maintenance, labour, costs associated with monitoring, or other expenses that may affect the IOC of destruction. Therefore, the Secretariat considered the incremental cost of the reported consumables and waste to represent a lower bound on the IOC. The costs estimated by the consultant, which are higher, are inclusive of all costs associated with the destruction of HFC-23, ranging from procuring and installing the equipment, to fees associated with construction, such as permits and insurance, to all operating costs, including consumables, wastewater treatment, monitoring, and process and cooling water.  In line with Executive Committee practice and decisions, taxes and depreciation were excluded. The conservative estimate presented by the consultant includes 25 per cent in contingencies, and installation costs account for approximately 35 per cent of the fixed costs, including running the incinerator for at least 72 hours to demonstrate performance. Those costs are higher than typically found in projects submitted to the Multilateral Fund as they represent a conservative (upper</w:t>
      </w:r>
      <w:r w:rsidRPr="00D104B4">
        <w:rPr>
          <w:lang w:val="en-CA"/>
        </w:rPr>
        <w:noBreakHyphen/>
        <w:t xml:space="preserve">bound) estimate.    </w:t>
      </w:r>
    </w:p>
    <w:p w14:paraId="5F5D1725" w14:textId="77777777" w:rsidR="00087334" w:rsidRPr="00D104B4" w:rsidRDefault="00087334" w:rsidP="00087334">
      <w:pPr>
        <w:rPr>
          <w:lang w:val="en-CA"/>
        </w:rPr>
      </w:pPr>
    </w:p>
    <w:p w14:paraId="52DD2A90" w14:textId="77777777" w:rsidR="0081209E" w:rsidRPr="00AB69C7" w:rsidRDefault="0081209E" w:rsidP="0081209E">
      <w:pPr>
        <w:rPr>
          <w:lang w:val="en-CA"/>
        </w:rPr>
      </w:pPr>
    </w:p>
    <w:p w14:paraId="09B6B0C1" w14:textId="77777777" w:rsidR="0081209E" w:rsidRPr="00AB69C7" w:rsidRDefault="0081209E" w:rsidP="0081209E">
      <w:pPr>
        <w:rPr>
          <w:lang w:val="en-CA"/>
        </w:rPr>
      </w:pPr>
    </w:p>
    <w:p w14:paraId="40A798CE" w14:textId="77777777" w:rsidR="0081209E" w:rsidRPr="00AB69C7" w:rsidRDefault="0081209E" w:rsidP="0081209E">
      <w:pPr>
        <w:rPr>
          <w:lang w:val="en-CA"/>
        </w:rPr>
      </w:pPr>
    </w:p>
    <w:p w14:paraId="789DF59E" w14:textId="77777777" w:rsidR="0081209E" w:rsidRPr="00AB69C7" w:rsidRDefault="0081209E" w:rsidP="0081209E">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1209E" w:rsidRPr="00AB69C7" w14:paraId="6806A355" w14:textId="77777777" w:rsidTr="005B50C6">
        <w:tc>
          <w:tcPr>
            <w:tcW w:w="1915" w:type="dxa"/>
          </w:tcPr>
          <w:p w14:paraId="5EE4A5FC" w14:textId="77777777" w:rsidR="0081209E" w:rsidRPr="00AB69C7" w:rsidRDefault="0081209E" w:rsidP="005B50C6">
            <w:pPr>
              <w:rPr>
                <w:lang w:val="en-CA"/>
              </w:rPr>
            </w:pPr>
          </w:p>
        </w:tc>
        <w:tc>
          <w:tcPr>
            <w:tcW w:w="1915" w:type="dxa"/>
          </w:tcPr>
          <w:p w14:paraId="04C08A7E" w14:textId="77777777" w:rsidR="0081209E" w:rsidRPr="00AB69C7" w:rsidRDefault="0081209E" w:rsidP="005B50C6">
            <w:pPr>
              <w:rPr>
                <w:lang w:val="en-CA"/>
              </w:rPr>
            </w:pPr>
          </w:p>
        </w:tc>
        <w:tc>
          <w:tcPr>
            <w:tcW w:w="1915" w:type="dxa"/>
            <w:tcBorders>
              <w:bottom w:val="single" w:sz="4" w:space="0" w:color="auto"/>
            </w:tcBorders>
          </w:tcPr>
          <w:p w14:paraId="698DC45C" w14:textId="77777777" w:rsidR="0081209E" w:rsidRPr="00AB69C7" w:rsidRDefault="0081209E" w:rsidP="005B50C6">
            <w:pPr>
              <w:rPr>
                <w:lang w:val="en-CA"/>
              </w:rPr>
            </w:pPr>
          </w:p>
        </w:tc>
        <w:tc>
          <w:tcPr>
            <w:tcW w:w="1915" w:type="dxa"/>
          </w:tcPr>
          <w:p w14:paraId="7EB2ED49" w14:textId="77777777" w:rsidR="0081209E" w:rsidRPr="00AB69C7" w:rsidRDefault="0081209E" w:rsidP="005B50C6">
            <w:pPr>
              <w:rPr>
                <w:lang w:val="en-CA"/>
              </w:rPr>
            </w:pPr>
          </w:p>
        </w:tc>
        <w:tc>
          <w:tcPr>
            <w:tcW w:w="1916" w:type="dxa"/>
          </w:tcPr>
          <w:p w14:paraId="314610FE" w14:textId="77777777" w:rsidR="0081209E" w:rsidRPr="00AB69C7" w:rsidRDefault="0081209E" w:rsidP="005B50C6">
            <w:pPr>
              <w:rPr>
                <w:lang w:val="en-CA"/>
              </w:rPr>
            </w:pPr>
          </w:p>
        </w:tc>
      </w:tr>
    </w:tbl>
    <w:p w14:paraId="61B4E385" w14:textId="77777777" w:rsidR="0081209E" w:rsidRPr="00AB69C7" w:rsidRDefault="0081209E" w:rsidP="0081209E">
      <w:pPr>
        <w:rPr>
          <w:lang w:val="en-CA"/>
        </w:rPr>
      </w:pPr>
    </w:p>
    <w:p w14:paraId="35F24843" w14:textId="0758FC5F" w:rsidR="00E75314" w:rsidRPr="00D104B4" w:rsidRDefault="00E75314" w:rsidP="00E75314">
      <w:pPr>
        <w:rPr>
          <w:lang w:val="en-CA"/>
        </w:rPr>
      </w:pPr>
    </w:p>
    <w:p w14:paraId="340F7FFD" w14:textId="7C3356BA" w:rsidR="003A588C" w:rsidRPr="00D104B4" w:rsidRDefault="003A588C" w:rsidP="00814BD8">
      <w:pPr>
        <w:rPr>
          <w:lang w:val="en-CA"/>
        </w:rPr>
      </w:pPr>
    </w:p>
    <w:sectPr w:rsidR="003A588C" w:rsidRPr="00D104B4" w:rsidSect="00087334">
      <w:headerReference w:type="even" r:id="rId15"/>
      <w:headerReference w:type="default" r:id="rId16"/>
      <w:footnotePr>
        <w:numRestart w:val="eachSect"/>
      </w:footnotePr>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CDF7C" w14:textId="77777777" w:rsidR="001C1B39" w:rsidRDefault="001C1B39" w:rsidP="004A504B">
      <w:r>
        <w:separator/>
      </w:r>
    </w:p>
  </w:endnote>
  <w:endnote w:type="continuationSeparator" w:id="0">
    <w:p w14:paraId="262B2C98" w14:textId="77777777" w:rsidR="001C1B39" w:rsidRDefault="001C1B3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함초롬바탕">
    <w:altName w:val="Malgun Gothic Semilight"/>
    <w:charset w:val="81"/>
    <w:family w:val="roman"/>
    <w:pitch w:val="variable"/>
    <w:sig w:usb0="00000001" w:usb1="19DFFFFF" w:usb2="001BFDD7" w:usb3="00000000" w:csb0="001F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01425"/>
      <w:docPartObj>
        <w:docPartGallery w:val="Page Numbers (Bottom of Page)"/>
        <w:docPartUnique/>
      </w:docPartObj>
    </w:sdtPr>
    <w:sdtEndPr>
      <w:rPr>
        <w:noProof/>
      </w:rPr>
    </w:sdtEndPr>
    <w:sdtContent>
      <w:p w14:paraId="69B4D9A4" w14:textId="7215548F" w:rsidR="001C1B39" w:rsidRDefault="001C1B39" w:rsidP="003E1A09">
        <w:pPr>
          <w:pStyle w:val="Footer"/>
          <w:jc w:val="center"/>
        </w:pPr>
        <w:r>
          <w:fldChar w:fldCharType="begin"/>
        </w:r>
        <w:r>
          <w:instrText xml:space="preserve"> PAGE   \* MERGEFORMAT </w:instrText>
        </w:r>
        <w:r>
          <w:fldChar w:fldCharType="separate"/>
        </w:r>
        <w:r w:rsidR="006A5B34">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633600"/>
      <w:docPartObj>
        <w:docPartGallery w:val="Page Numbers (Bottom of Page)"/>
        <w:docPartUnique/>
      </w:docPartObj>
    </w:sdtPr>
    <w:sdtEndPr>
      <w:rPr>
        <w:noProof/>
      </w:rPr>
    </w:sdtEndPr>
    <w:sdtContent>
      <w:p w14:paraId="16DDD86C" w14:textId="10EDB105" w:rsidR="001C1B39" w:rsidRDefault="001C1B39">
        <w:pPr>
          <w:pStyle w:val="Footer"/>
          <w:jc w:val="center"/>
        </w:pPr>
        <w:r>
          <w:fldChar w:fldCharType="begin"/>
        </w:r>
        <w:r>
          <w:instrText xml:space="preserve"> PAGE   \* MERGEFORMAT </w:instrText>
        </w:r>
        <w:r>
          <w:fldChar w:fldCharType="separate"/>
        </w:r>
        <w:r w:rsidR="006A5B34">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2E99" w14:textId="77777777" w:rsidR="001C1B39" w:rsidRDefault="001C1B39" w:rsidP="003E1A09">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6047AA6" w14:textId="77777777" w:rsidR="001C1B39" w:rsidRDefault="001C1B39" w:rsidP="003E1A09">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8C6C7" w14:textId="77777777" w:rsidR="001C1B39" w:rsidRDefault="001C1B39" w:rsidP="004A504B">
      <w:r>
        <w:separator/>
      </w:r>
    </w:p>
  </w:footnote>
  <w:footnote w:type="continuationSeparator" w:id="0">
    <w:p w14:paraId="5AE3A3FC" w14:textId="77777777" w:rsidR="001C1B39" w:rsidRDefault="001C1B39" w:rsidP="004A504B">
      <w:r>
        <w:continuationSeparator/>
      </w:r>
    </w:p>
  </w:footnote>
  <w:footnote w:id="1">
    <w:p w14:paraId="1807305F" w14:textId="74430F48" w:rsidR="001C1B39" w:rsidRPr="007B4D2A" w:rsidRDefault="001C1B39" w:rsidP="00FF77E5">
      <w:pPr>
        <w:pStyle w:val="FootnoteText"/>
      </w:pPr>
      <w:r>
        <w:rPr>
          <w:rStyle w:val="FootnoteReference"/>
        </w:rPr>
        <w:footnoteRef/>
      </w:r>
      <w:r>
        <w:t xml:space="preserve"> </w:t>
      </w:r>
      <w:r w:rsidRPr="007B4D2A">
        <w:t xml:space="preserve">Montreal, </w:t>
      </w:r>
      <w:r>
        <w:t xml:space="preserve">Canada, </w:t>
      </w:r>
      <w:r w:rsidRPr="007B4D2A">
        <w:t>28 November – 2 December 2016</w:t>
      </w:r>
      <w:r>
        <w:t>.</w:t>
      </w:r>
    </w:p>
  </w:footnote>
  <w:footnote w:id="2">
    <w:p w14:paraId="7BD39F67" w14:textId="07D53068" w:rsidR="001C1B39" w:rsidRPr="000D1150" w:rsidRDefault="001C1B39">
      <w:pPr>
        <w:pStyle w:val="FootnoteText"/>
      </w:pPr>
      <w:r>
        <w:rPr>
          <w:rStyle w:val="FootnoteReference"/>
        </w:rPr>
        <w:footnoteRef/>
      </w:r>
      <w:r>
        <w:t xml:space="preserve"> </w:t>
      </w:r>
      <w:r w:rsidRPr="000D1150">
        <w:t>UNEP/</w:t>
      </w:r>
      <w:proofErr w:type="spellStart"/>
      <w:r w:rsidRPr="000D1150">
        <w:t>OzL.Pro</w:t>
      </w:r>
      <w:proofErr w:type="spellEnd"/>
      <w:r w:rsidRPr="000D1150">
        <w:t>/</w:t>
      </w:r>
      <w:proofErr w:type="spellStart"/>
      <w:r w:rsidRPr="000D1150">
        <w:t>ExCom</w:t>
      </w:r>
      <w:proofErr w:type="spellEnd"/>
      <w:r w:rsidRPr="000D1150">
        <w:t>/78/9</w:t>
      </w:r>
      <w:r>
        <w:t xml:space="preserve"> and Corr.1.</w:t>
      </w:r>
    </w:p>
  </w:footnote>
  <w:footnote w:id="3">
    <w:p w14:paraId="22B309AD" w14:textId="70A07B96" w:rsidR="001C1B39" w:rsidRDefault="001C1B39" w:rsidP="001C1B39">
      <w:pPr>
        <w:pStyle w:val="FootnoteText"/>
      </w:pPr>
      <w:r>
        <w:rPr>
          <w:rStyle w:val="FootnoteReference"/>
        </w:rPr>
        <w:footnoteRef/>
      </w:r>
      <w:r>
        <w:t xml:space="preserve"> UNEP/</w:t>
      </w:r>
      <w:proofErr w:type="spellStart"/>
      <w:r>
        <w:t>OzL.Pro</w:t>
      </w:r>
      <w:proofErr w:type="spellEnd"/>
      <w:r>
        <w:t>/</w:t>
      </w:r>
      <w:proofErr w:type="spellStart"/>
      <w:r>
        <w:t>ExCom</w:t>
      </w:r>
      <w:proofErr w:type="spellEnd"/>
      <w:r>
        <w:t>/79/48, Add.1 and Corrs. 1 and 2; UNEP/</w:t>
      </w:r>
      <w:proofErr w:type="spellStart"/>
      <w:r>
        <w:t>OzL.Pro</w:t>
      </w:r>
      <w:proofErr w:type="spellEnd"/>
      <w:r>
        <w:t>/</w:t>
      </w:r>
      <w:proofErr w:type="spellStart"/>
      <w:r>
        <w:t>ExCom</w:t>
      </w:r>
      <w:proofErr w:type="spellEnd"/>
      <w:r>
        <w:t>/80/56 and Add.1; UNEP/</w:t>
      </w:r>
      <w:proofErr w:type="spellStart"/>
      <w:r>
        <w:t>OzL.Pro</w:t>
      </w:r>
      <w:proofErr w:type="spellEnd"/>
      <w:r>
        <w:t>/</w:t>
      </w:r>
      <w:proofErr w:type="spellStart"/>
      <w:r>
        <w:t>ExCom</w:t>
      </w:r>
      <w:proofErr w:type="spellEnd"/>
      <w:r>
        <w:t>/81/54</w:t>
      </w:r>
    </w:p>
    <w:p w14:paraId="57B214B7" w14:textId="77777777" w:rsidR="001C1B39" w:rsidRPr="002A600F" w:rsidRDefault="001C1B39" w:rsidP="005B50C6">
      <w:pPr>
        <w:pStyle w:val="FootnoteText"/>
        <w:jc w:val="left"/>
      </w:pPr>
    </w:p>
  </w:footnote>
  <w:footnote w:id="4">
    <w:p w14:paraId="34C8BDCF" w14:textId="065CD0A1" w:rsidR="001C1B39" w:rsidRPr="00853FB0" w:rsidRDefault="001C1B39" w:rsidP="00E75314">
      <w:pPr>
        <w:pStyle w:val="FootnoteText"/>
      </w:pPr>
      <w:r>
        <w:rPr>
          <w:rStyle w:val="FootnoteReference"/>
        </w:rPr>
        <w:footnoteRef/>
      </w:r>
      <w:r>
        <w:t xml:space="preserve"> Report of the Technology and Economic Assessment Panel. May 2017. Volume 4: Assessment of the funding requirement for the replenishment of the Multilateral Fund for the period 2018-2020 (Chapter 7).</w:t>
      </w:r>
    </w:p>
  </w:footnote>
  <w:footnote w:id="5">
    <w:p w14:paraId="69B2F010" w14:textId="77777777" w:rsidR="001C1B39" w:rsidRPr="008C19F8" w:rsidRDefault="001C1B39">
      <w:pPr>
        <w:pStyle w:val="FootnoteText"/>
        <w:rPr>
          <w:lang w:val="en-US"/>
        </w:rPr>
      </w:pPr>
      <w:r>
        <w:rPr>
          <w:rStyle w:val="FootnoteReference"/>
        </w:rPr>
        <w:footnoteRef/>
      </w:r>
      <w:r>
        <w:t xml:space="preserve"> </w:t>
      </w:r>
      <w:r>
        <w:rPr>
          <w:lang w:val="en-US"/>
        </w:rPr>
        <w:t xml:space="preserve">The </w:t>
      </w:r>
      <w:r w:rsidRPr="008C19F8">
        <w:rPr>
          <w:lang w:val="en-US"/>
        </w:rPr>
        <w:t xml:space="preserve">generation rate </w:t>
      </w:r>
      <w:r w:rsidRPr="008C19F8">
        <w:rPr>
          <w:i/>
          <w:lang w:val="en-US"/>
        </w:rPr>
        <w:t>w</w:t>
      </w:r>
      <w:r w:rsidRPr="008C19F8">
        <w:rPr>
          <w:lang w:val="en-US"/>
        </w:rPr>
        <w:t xml:space="preserve"> </w:t>
      </w:r>
      <w:r>
        <w:rPr>
          <w:lang w:val="en-US"/>
        </w:rPr>
        <w:t xml:space="preserve">is the mass of HFC-23 generated per metric </w:t>
      </w:r>
      <w:proofErr w:type="spellStart"/>
      <w:r>
        <w:rPr>
          <w:lang w:val="en-US"/>
        </w:rPr>
        <w:t>tonne</w:t>
      </w:r>
      <w:proofErr w:type="spellEnd"/>
      <w:r>
        <w:rPr>
          <w:lang w:val="en-US"/>
        </w:rPr>
        <w:t xml:space="preserve"> of HCFC-22 produced, expressed as a percentage.</w:t>
      </w:r>
    </w:p>
  </w:footnote>
  <w:footnote w:id="6">
    <w:p w14:paraId="16868CBE" w14:textId="28141CE5" w:rsidR="001C1B39" w:rsidRPr="00B53BEB" w:rsidRDefault="001C1B39">
      <w:pPr>
        <w:pStyle w:val="FootnoteText"/>
        <w:rPr>
          <w:lang w:val="en-CA"/>
        </w:rPr>
      </w:pPr>
      <w:r>
        <w:rPr>
          <w:rStyle w:val="FootnoteReference"/>
        </w:rPr>
        <w:footnoteRef/>
      </w:r>
      <w:r>
        <w:t xml:space="preserve"> </w:t>
      </w:r>
      <w:r w:rsidRPr="00B53BEB">
        <w:t>UNEP/</w:t>
      </w:r>
      <w:proofErr w:type="spellStart"/>
      <w:r w:rsidRPr="00B53BEB">
        <w:t>OzL.Pro</w:t>
      </w:r>
      <w:proofErr w:type="spellEnd"/>
      <w:r w:rsidRPr="00B53BEB">
        <w:t>/</w:t>
      </w:r>
      <w:proofErr w:type="spellStart"/>
      <w:r w:rsidRPr="00B53BEB">
        <w:t>ExCom</w:t>
      </w:r>
      <w:proofErr w:type="spellEnd"/>
      <w:r w:rsidRPr="00B53BEB">
        <w:t>/82/</w:t>
      </w:r>
      <w:r>
        <w:t>69</w:t>
      </w:r>
    </w:p>
  </w:footnote>
  <w:footnote w:id="7">
    <w:p w14:paraId="7E4E9334" w14:textId="6FF61AE2" w:rsidR="001C1B39" w:rsidRPr="00C17D4E" w:rsidRDefault="001C1B39" w:rsidP="00C17D4E">
      <w:pPr>
        <w:pStyle w:val="FootnoteText"/>
        <w:rPr>
          <w:lang w:val="en-CA"/>
        </w:rPr>
      </w:pPr>
      <w:r>
        <w:rPr>
          <w:rStyle w:val="FootnoteReference"/>
        </w:rPr>
        <w:footnoteRef/>
      </w:r>
      <w:r>
        <w:t xml:space="preserve"> The Parties have not yet approved any destruction technologies for HFC-23. The Parties are considering information on d</w:t>
      </w:r>
      <w:r w:rsidRPr="00CC66E2">
        <w:t xml:space="preserve">estruction technologies for controlled substances </w:t>
      </w:r>
      <w:r>
        <w:t xml:space="preserve">at the Thirtieth Meeting of the Parties. </w:t>
      </w:r>
      <w:r w:rsidRPr="00C17D4E">
        <w:rPr>
          <w:lang w:val="en-CA"/>
        </w:rPr>
        <w:t>The Secretariat is unaware of any current feedstock uses of HFC-23</w:t>
      </w:r>
      <w:r>
        <w:rPr>
          <w:lang w:val="en-CA"/>
        </w:rPr>
        <w:t>. C</w:t>
      </w:r>
      <w:r w:rsidRPr="00C17D4E">
        <w:rPr>
          <w:lang w:val="en-CA"/>
        </w:rPr>
        <w:t>apture and use for controlled use</w:t>
      </w:r>
      <w:r>
        <w:rPr>
          <w:lang w:val="en-CA"/>
        </w:rPr>
        <w:t>s</w:t>
      </w:r>
      <w:r w:rsidRPr="00C17D4E">
        <w:rPr>
          <w:lang w:val="en-CA"/>
        </w:rPr>
        <w:t xml:space="preserve"> </w:t>
      </w:r>
      <w:r>
        <w:rPr>
          <w:lang w:val="en-CA"/>
        </w:rPr>
        <w:t xml:space="preserve">is </w:t>
      </w:r>
      <w:r w:rsidRPr="00C17D4E">
        <w:rPr>
          <w:lang w:val="en-CA"/>
        </w:rPr>
        <w:t xml:space="preserve">expected to result in the </w:t>
      </w:r>
      <w:r>
        <w:rPr>
          <w:lang w:val="en-CA"/>
        </w:rPr>
        <w:t xml:space="preserve">eventual </w:t>
      </w:r>
      <w:r w:rsidRPr="00C17D4E">
        <w:rPr>
          <w:lang w:val="en-CA"/>
        </w:rPr>
        <w:t>release of emissions of HFC-23, thus delaying rather than avoiding such emissions</w:t>
      </w:r>
      <w:r>
        <w:rPr>
          <w:lang w:val="en-CA"/>
        </w:rPr>
        <w:t>.</w:t>
      </w:r>
    </w:p>
  </w:footnote>
  <w:footnote w:id="8">
    <w:p w14:paraId="44A85A49" w14:textId="769C05EC" w:rsidR="001C1B39" w:rsidRPr="00AA64BD" w:rsidRDefault="001C1B39">
      <w:pPr>
        <w:pStyle w:val="FootnoteText"/>
        <w:rPr>
          <w:lang w:val="en-CA"/>
        </w:rPr>
      </w:pPr>
      <w:r>
        <w:rPr>
          <w:rStyle w:val="FootnoteReference"/>
        </w:rPr>
        <w:footnoteRef/>
      </w:r>
      <w:r>
        <w:t xml:space="preserve"> The 2017 production includes HCFC-22 produced at a new, integrated production line used exclusively for feedstock. That production line is not a swing plant; however, the Secretariat is unable to exclude that production as only aggregated data is available. </w:t>
      </w:r>
    </w:p>
  </w:footnote>
  <w:footnote w:id="9">
    <w:p w14:paraId="53B6798A" w14:textId="659800C1" w:rsidR="001C1B39" w:rsidRPr="00211DF9" w:rsidRDefault="001C1B39" w:rsidP="00211DF9">
      <w:pPr>
        <w:pStyle w:val="FootnoteText"/>
        <w:rPr>
          <w:lang w:val="en-CA"/>
        </w:rPr>
      </w:pPr>
      <w:r>
        <w:rPr>
          <w:rStyle w:val="FootnoteReference"/>
        </w:rPr>
        <w:footnoteRef/>
      </w:r>
      <w:r>
        <w:t xml:space="preserve"> </w:t>
      </w:r>
      <w:r>
        <w:rPr>
          <w:lang w:val="en-CA"/>
        </w:rPr>
        <w:t>Simmonds et al., “</w:t>
      </w:r>
      <w:r w:rsidRPr="00211DF9">
        <w:rPr>
          <w:lang w:val="en-CA"/>
        </w:rPr>
        <w:t>Recent increases in the atmospheric growth rate and emissions of</w:t>
      </w:r>
      <w:r>
        <w:rPr>
          <w:lang w:val="en-CA"/>
        </w:rPr>
        <w:t xml:space="preserve"> </w:t>
      </w:r>
      <w:r w:rsidRPr="00211DF9">
        <w:rPr>
          <w:lang w:val="en-CA"/>
        </w:rPr>
        <w:t>HFC-23 (CHF</w:t>
      </w:r>
      <w:r w:rsidRPr="00211DF9">
        <w:rPr>
          <w:vertAlign w:val="subscript"/>
          <w:lang w:val="en-CA"/>
        </w:rPr>
        <w:t>3</w:t>
      </w:r>
      <w:r>
        <w:rPr>
          <w:lang w:val="en-CA"/>
        </w:rPr>
        <w:t>)</w:t>
      </w:r>
      <w:r w:rsidRPr="00211DF9">
        <w:rPr>
          <w:lang w:val="en-CA"/>
        </w:rPr>
        <w:t xml:space="preserve"> and the link to HCFC-22 (CHClF</w:t>
      </w:r>
      <w:r w:rsidRPr="00211DF9">
        <w:rPr>
          <w:vertAlign w:val="subscript"/>
          <w:lang w:val="en-CA"/>
        </w:rPr>
        <w:t>2</w:t>
      </w:r>
      <w:r>
        <w:rPr>
          <w:lang w:val="en-CA"/>
        </w:rPr>
        <w:t>)</w:t>
      </w:r>
      <w:r w:rsidRPr="00211DF9">
        <w:rPr>
          <w:lang w:val="en-CA"/>
        </w:rPr>
        <w:t xml:space="preserve"> production</w:t>
      </w:r>
      <w:r>
        <w:rPr>
          <w:lang w:val="en-CA"/>
        </w:rPr>
        <w:t>,”</w:t>
      </w:r>
      <w:r w:rsidRPr="00211DF9">
        <w:rPr>
          <w:rFonts w:ascii="NimbusRomNo9L-Regu" w:hAnsi="NimbusRomNo9L-Regu" w:cs="NimbusRomNo9L-Regu"/>
          <w:lang w:val="en-CA"/>
        </w:rPr>
        <w:t xml:space="preserve"> </w:t>
      </w:r>
      <w:r w:rsidRPr="00211DF9">
        <w:rPr>
          <w:lang w:val="en-CA"/>
        </w:rPr>
        <w:t>Atmos. Chem. Phys., 18, 4153–4169, 2018</w:t>
      </w:r>
      <w:r>
        <w:rPr>
          <w:lang w:val="en-CA"/>
        </w:rPr>
        <w:t xml:space="preserve">. </w:t>
      </w:r>
      <w:hyperlink r:id="rId1" w:history="1">
        <w:r w:rsidRPr="00FF0F4E">
          <w:rPr>
            <w:rStyle w:val="Hyperlink"/>
            <w:lang w:val="en-CA"/>
          </w:rPr>
          <w:t>https://doi.org/10.5194/acp-18-4153-2018</w:t>
        </w:r>
      </w:hyperlink>
      <w:r>
        <w:rPr>
          <w:lang w:val="en-CA"/>
        </w:rPr>
        <w:t xml:space="preserve"> </w:t>
      </w:r>
    </w:p>
  </w:footnote>
  <w:footnote w:id="10">
    <w:p w14:paraId="114DD75D" w14:textId="77777777" w:rsidR="001C1B39" w:rsidRPr="0056205A" w:rsidRDefault="001C1B39" w:rsidP="00087334">
      <w:pPr>
        <w:pStyle w:val="FootnoteText"/>
      </w:pPr>
      <w:r>
        <w:rPr>
          <w:rStyle w:val="FootnoteReference"/>
        </w:rPr>
        <w:footnoteRef/>
      </w:r>
      <w:r w:rsidRPr="0056205A">
        <w:t>http://conf.montreal-protocol.org/meeting/oewg/oewg-39/events-publications/Observer%20Publications/Effective%20Technologies%20for%20Conversion%20of%20HFC-23%20-%20Quan%20Hengdao.pdf</w:t>
      </w:r>
    </w:p>
  </w:footnote>
  <w:footnote w:id="11">
    <w:p w14:paraId="724BB3FE" w14:textId="77777777" w:rsidR="001C1B39" w:rsidRPr="0056205A" w:rsidRDefault="001C1B39" w:rsidP="00087334">
      <w:pPr>
        <w:pStyle w:val="FootnoteText"/>
      </w:pPr>
      <w:r>
        <w:rPr>
          <w:rStyle w:val="FootnoteReference"/>
        </w:rPr>
        <w:footnoteRef/>
      </w:r>
      <w:r w:rsidRPr="0056205A">
        <w:t>http://conf.montreal-protocol.org/meeting/oewg/oewg-39/events-publications/Observer%20Publications/Treatment%20of%20HFC-23%20by%20conversion%20-%20Han%20Wenfeng.pdf</w:t>
      </w:r>
    </w:p>
  </w:footnote>
  <w:footnote w:id="12">
    <w:p w14:paraId="5D4513BA" w14:textId="77777777" w:rsidR="001C1B39" w:rsidRPr="0056205A" w:rsidRDefault="001C1B39" w:rsidP="00087334">
      <w:pPr>
        <w:pStyle w:val="FootnoteText"/>
        <w:rPr>
          <w:lang w:val="en-US"/>
        </w:rPr>
      </w:pPr>
      <w:r>
        <w:rPr>
          <w:rStyle w:val="FootnoteReference"/>
        </w:rPr>
        <w:footnoteRef/>
      </w:r>
      <w:r w:rsidRPr="0056205A">
        <w:t>http://conf.montreal-protocol.org/meeting/oewg/oewg-39/events-publications/Observer%20Publications/The%20Creation%20and%20Recovery%20of%20Valuable%20Organic%20Halides%20From%20the%20HFC-23%20-%20Lew%20Steinberg.pdf</w:t>
      </w:r>
    </w:p>
  </w:footnote>
  <w:footnote w:id="13">
    <w:p w14:paraId="3E12BB89" w14:textId="77777777" w:rsidR="001C1B39" w:rsidRPr="00FD31A3" w:rsidRDefault="001C1B39" w:rsidP="00087334">
      <w:pPr>
        <w:pStyle w:val="FootnoteText"/>
        <w:rPr>
          <w:lang w:val="en-US"/>
        </w:rPr>
      </w:pPr>
      <w:r>
        <w:rPr>
          <w:rStyle w:val="FootnoteReference"/>
        </w:rPr>
        <w:footnoteRef/>
      </w:r>
      <w:r>
        <w:t xml:space="preserve"> </w:t>
      </w:r>
      <w:r w:rsidRPr="00FD31A3">
        <w:t>UNEP/</w:t>
      </w:r>
      <w:proofErr w:type="spellStart"/>
      <w:r w:rsidRPr="00FD31A3">
        <w:t>OzL.Pro</w:t>
      </w:r>
      <w:proofErr w:type="spellEnd"/>
      <w:r w:rsidRPr="00FD31A3">
        <w:t>/</w:t>
      </w:r>
      <w:proofErr w:type="spellStart"/>
      <w:r w:rsidRPr="00FD31A3">
        <w:t>ExCom</w:t>
      </w:r>
      <w:proofErr w:type="spellEnd"/>
      <w:r w:rsidRPr="00FD31A3">
        <w:t>/79/4</w:t>
      </w:r>
      <w:r>
        <w:t xml:space="preserve">8; </w:t>
      </w:r>
      <w:r w:rsidRPr="00FD31A3">
        <w:t>79/48</w:t>
      </w:r>
      <w:r>
        <w:t>/Add.1;</w:t>
      </w:r>
      <w:r w:rsidRPr="00FD31A3">
        <w:t xml:space="preserve"> 79/48</w:t>
      </w:r>
      <w:r>
        <w:t>/Corr.1; and</w:t>
      </w:r>
      <w:r w:rsidRPr="00FD31A3">
        <w:t xml:space="preserve"> 79/48</w:t>
      </w:r>
      <w:r>
        <w:t>/Corr.2.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D9D7" w14:textId="429993A3" w:rsidR="001C1B39" w:rsidRDefault="003A01E6">
    <w:pPr>
      <w:pStyle w:val="Header"/>
    </w:pPr>
    <w:r>
      <w:fldChar w:fldCharType="begin"/>
    </w:r>
    <w:r>
      <w:instrText xml:space="preserve"> DOCPROPERTY  "Document number"  \* MERGEFORMAT </w:instrText>
    </w:r>
    <w:r>
      <w:fldChar w:fldCharType="separate"/>
    </w:r>
    <w:r w:rsidR="001C1B39">
      <w:t>UNEP/</w:t>
    </w:r>
    <w:proofErr w:type="spellStart"/>
    <w:r w:rsidR="001C1B39">
      <w:t>OzL.Pro</w:t>
    </w:r>
    <w:proofErr w:type="spellEnd"/>
    <w:r w:rsidR="001C1B39">
      <w:t>/</w:t>
    </w:r>
    <w:proofErr w:type="spellStart"/>
    <w:r w:rsidR="001C1B39">
      <w:t>ExCom</w:t>
    </w:r>
    <w:proofErr w:type="spellEnd"/>
    <w:r w:rsidR="001C1B39">
      <w:t>/82/68</w:t>
    </w:r>
    <w:r>
      <w:fldChar w:fldCharType="end"/>
    </w:r>
  </w:p>
  <w:p w14:paraId="31250AE1" w14:textId="77777777" w:rsidR="001C1B39" w:rsidRDefault="001C1B39">
    <w:pPr>
      <w:pStyle w:val="Header"/>
    </w:pPr>
  </w:p>
  <w:p w14:paraId="454066D7" w14:textId="77777777" w:rsidR="001C1B39" w:rsidRDefault="001C1B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B70C7" w14:textId="021AB2A3" w:rsidR="001C1B39" w:rsidRDefault="003A01E6" w:rsidP="003E1A09">
    <w:pPr>
      <w:pStyle w:val="Header"/>
      <w:jc w:val="right"/>
    </w:pPr>
    <w:r>
      <w:fldChar w:fldCharType="begin"/>
    </w:r>
    <w:r>
      <w:instrText xml:space="preserve"> DOCPROPERTY  "Document number"  \* MERGEFORMAT </w:instrText>
    </w:r>
    <w:r>
      <w:fldChar w:fldCharType="separate"/>
    </w:r>
    <w:r w:rsidR="001C1B39">
      <w:t>UNEP/</w:t>
    </w:r>
    <w:proofErr w:type="spellStart"/>
    <w:r w:rsidR="001C1B39">
      <w:t>OzL.Pro</w:t>
    </w:r>
    <w:proofErr w:type="spellEnd"/>
    <w:r w:rsidR="001C1B39">
      <w:t>/</w:t>
    </w:r>
    <w:proofErr w:type="spellStart"/>
    <w:r w:rsidR="001C1B39">
      <w:t>ExCom</w:t>
    </w:r>
    <w:proofErr w:type="spellEnd"/>
    <w:r w:rsidR="001C1B39">
      <w:t>/82/68</w:t>
    </w:r>
    <w:r>
      <w:fldChar w:fldCharType="end"/>
    </w:r>
  </w:p>
  <w:p w14:paraId="54B8CE0C" w14:textId="50C5760E" w:rsidR="001C1B39" w:rsidRDefault="001C1B39" w:rsidP="003E1A09">
    <w:pPr>
      <w:pStyle w:val="Header"/>
      <w:jc w:val="right"/>
    </w:pPr>
  </w:p>
  <w:p w14:paraId="424ECCCE" w14:textId="77777777" w:rsidR="001C1B39" w:rsidRDefault="001C1B39" w:rsidP="003E1A09">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F5C0" w14:textId="72331234" w:rsidR="001C1B39" w:rsidRPr="0033525D" w:rsidRDefault="003A01E6">
    <w:r>
      <w:fldChar w:fldCharType="begin"/>
    </w:r>
    <w:r>
      <w:instrText xml:space="preserve"> DOCPROPERTY  "Document number"  \* MERGEFORMAT </w:instrText>
    </w:r>
    <w:r>
      <w:fldChar w:fldCharType="separate"/>
    </w:r>
    <w:r w:rsidR="001C1B39">
      <w:t>UNEP/</w:t>
    </w:r>
    <w:proofErr w:type="spellStart"/>
    <w:r w:rsidR="001C1B39">
      <w:t>OzL.Pro</w:t>
    </w:r>
    <w:proofErr w:type="spellEnd"/>
    <w:r w:rsidR="001C1B39">
      <w:t>/</w:t>
    </w:r>
    <w:proofErr w:type="spellStart"/>
    <w:r w:rsidR="001C1B39">
      <w:t>ExCom</w:t>
    </w:r>
    <w:proofErr w:type="spellEnd"/>
    <w:r w:rsidR="001C1B39">
      <w:t>/82/68</w:t>
    </w:r>
    <w:r>
      <w:fldChar w:fldCharType="end"/>
    </w:r>
  </w:p>
  <w:p w14:paraId="0887D2FA" w14:textId="6BA1A56F" w:rsidR="001C1B39" w:rsidRDefault="001C1B39">
    <w:r>
      <w:t>Annex I</w:t>
    </w:r>
  </w:p>
  <w:p w14:paraId="33548272" w14:textId="77777777" w:rsidR="001C1B39" w:rsidRDefault="001C1B39"/>
  <w:p w14:paraId="5DB58082" w14:textId="77777777" w:rsidR="001C1B39" w:rsidRPr="0033525D" w:rsidRDefault="001C1B3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364F" w14:textId="202F0957" w:rsidR="001C1B39" w:rsidRDefault="003A01E6" w:rsidP="0081209E">
    <w:pPr>
      <w:pStyle w:val="Header"/>
      <w:jc w:val="right"/>
    </w:pPr>
    <w:r>
      <w:fldChar w:fldCharType="begin"/>
    </w:r>
    <w:r>
      <w:instrText xml:space="preserve"> DOCPROPERTY  "Document number"  \* MERGEFORMAT </w:instrText>
    </w:r>
    <w:r>
      <w:fldChar w:fldCharType="separate"/>
    </w:r>
    <w:r w:rsidR="001C1B39">
      <w:t>UNEP/</w:t>
    </w:r>
    <w:proofErr w:type="spellStart"/>
    <w:r w:rsidR="001C1B39">
      <w:t>OzL.Pro</w:t>
    </w:r>
    <w:proofErr w:type="spellEnd"/>
    <w:r w:rsidR="001C1B39">
      <w:t>/</w:t>
    </w:r>
    <w:proofErr w:type="spellStart"/>
    <w:r w:rsidR="001C1B39">
      <w:t>ExCom</w:t>
    </w:r>
    <w:proofErr w:type="spellEnd"/>
    <w:r w:rsidR="001C1B39">
      <w:t>/82/68</w:t>
    </w:r>
    <w:r>
      <w:fldChar w:fldCharType="end"/>
    </w:r>
  </w:p>
  <w:p w14:paraId="6A977971" w14:textId="0E81411C" w:rsidR="001C1B39" w:rsidRDefault="001C1B39" w:rsidP="0081209E">
    <w:pPr>
      <w:pStyle w:val="Header"/>
      <w:jc w:val="right"/>
    </w:pPr>
    <w:r>
      <w:t>Annex I</w:t>
    </w:r>
  </w:p>
  <w:p w14:paraId="0FAB80ED" w14:textId="77777777" w:rsidR="001C1B39" w:rsidRDefault="001C1B39" w:rsidP="0081209E">
    <w:pPr>
      <w:pStyle w:val="Header"/>
      <w:jc w:val="right"/>
    </w:pPr>
  </w:p>
  <w:p w14:paraId="11D61081" w14:textId="77777777" w:rsidR="001C1B39" w:rsidRPr="0033525D" w:rsidRDefault="001C1B39" w:rsidP="0081209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3407050"/>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000000B"/>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0D7861F2"/>
    <w:multiLevelType w:val="multilevel"/>
    <w:tmpl w:val="1E24B704"/>
    <w:lvl w:ilvl="0">
      <w:start w:val="1"/>
      <w:numFmt w:val="decimal"/>
      <w:pStyle w:val="Style1"/>
      <w:lvlText w:val="%1."/>
      <w:lvlJc w:val="left"/>
      <w:pPr>
        <w:tabs>
          <w:tab w:val="num" w:pos="0"/>
        </w:tabs>
        <w:ind w:left="0" w:firstLine="0"/>
      </w:pPr>
      <w:rPr>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6D43074"/>
    <w:multiLevelType w:val="hybridMultilevel"/>
    <w:tmpl w:val="0AEC8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24744F1"/>
    <w:multiLevelType w:val="hybridMultilevel"/>
    <w:tmpl w:val="41EC6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A93AC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20"/>
  </w:num>
  <w:num w:numId="20">
    <w:abstractNumId w:val="14"/>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1"/>
  </w:num>
  <w:num w:numId="29">
    <w:abstractNumId w:val="15"/>
  </w:num>
  <w:num w:numId="30">
    <w:abstractNumId w:val="18"/>
  </w:num>
  <w:num w:numId="31">
    <w:abstractNumId w:val="1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num>
  <w:num w:numId="34">
    <w:abstractNumId w:val="10"/>
  </w:num>
  <w:num w:numId="3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oNotTrackFormatting/>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6F"/>
    <w:rsid w:val="00000785"/>
    <w:rsid w:val="00000BE3"/>
    <w:rsid w:val="00000FED"/>
    <w:rsid w:val="00001D4A"/>
    <w:rsid w:val="00002B7D"/>
    <w:rsid w:val="0000434E"/>
    <w:rsid w:val="000051F0"/>
    <w:rsid w:val="000064BB"/>
    <w:rsid w:val="00007DB5"/>
    <w:rsid w:val="000137D0"/>
    <w:rsid w:val="000155B8"/>
    <w:rsid w:val="00016065"/>
    <w:rsid w:val="0001772B"/>
    <w:rsid w:val="000211A9"/>
    <w:rsid w:val="00031260"/>
    <w:rsid w:val="00031C48"/>
    <w:rsid w:val="0003681A"/>
    <w:rsid w:val="0003702B"/>
    <w:rsid w:val="00043BCB"/>
    <w:rsid w:val="000451E8"/>
    <w:rsid w:val="00061EC2"/>
    <w:rsid w:val="000630B0"/>
    <w:rsid w:val="0006456C"/>
    <w:rsid w:val="00065076"/>
    <w:rsid w:val="000652EE"/>
    <w:rsid w:val="00065A8E"/>
    <w:rsid w:val="00066784"/>
    <w:rsid w:val="00066D90"/>
    <w:rsid w:val="0007031B"/>
    <w:rsid w:val="00070366"/>
    <w:rsid w:val="000751E7"/>
    <w:rsid w:val="00075884"/>
    <w:rsid w:val="00080733"/>
    <w:rsid w:val="00080812"/>
    <w:rsid w:val="00080ED0"/>
    <w:rsid w:val="00081516"/>
    <w:rsid w:val="00085B8F"/>
    <w:rsid w:val="000870F3"/>
    <w:rsid w:val="00087334"/>
    <w:rsid w:val="00090481"/>
    <w:rsid w:val="000913A7"/>
    <w:rsid w:val="00091FB0"/>
    <w:rsid w:val="0009292F"/>
    <w:rsid w:val="0009416D"/>
    <w:rsid w:val="000957C9"/>
    <w:rsid w:val="00096930"/>
    <w:rsid w:val="000A1169"/>
    <w:rsid w:val="000A2D05"/>
    <w:rsid w:val="000A2EE2"/>
    <w:rsid w:val="000A4E81"/>
    <w:rsid w:val="000A6C26"/>
    <w:rsid w:val="000A7332"/>
    <w:rsid w:val="000B1460"/>
    <w:rsid w:val="000B1858"/>
    <w:rsid w:val="000B3F8A"/>
    <w:rsid w:val="000B6818"/>
    <w:rsid w:val="000B6AD2"/>
    <w:rsid w:val="000C075A"/>
    <w:rsid w:val="000C0AF8"/>
    <w:rsid w:val="000C1FA2"/>
    <w:rsid w:val="000C47B1"/>
    <w:rsid w:val="000C6E06"/>
    <w:rsid w:val="000C7255"/>
    <w:rsid w:val="000D1150"/>
    <w:rsid w:val="000E07BC"/>
    <w:rsid w:val="000E1631"/>
    <w:rsid w:val="000E1B51"/>
    <w:rsid w:val="000E4446"/>
    <w:rsid w:val="000F0A9F"/>
    <w:rsid w:val="000F1CD4"/>
    <w:rsid w:val="000F3106"/>
    <w:rsid w:val="000F4103"/>
    <w:rsid w:val="000F70A7"/>
    <w:rsid w:val="00101C2D"/>
    <w:rsid w:val="0010664A"/>
    <w:rsid w:val="001142F3"/>
    <w:rsid w:val="001153B9"/>
    <w:rsid w:val="001169CB"/>
    <w:rsid w:val="001178A1"/>
    <w:rsid w:val="00121893"/>
    <w:rsid w:val="00127469"/>
    <w:rsid w:val="001319F2"/>
    <w:rsid w:val="001332A1"/>
    <w:rsid w:val="00135980"/>
    <w:rsid w:val="001372E3"/>
    <w:rsid w:val="0013796F"/>
    <w:rsid w:val="001420DB"/>
    <w:rsid w:val="00147272"/>
    <w:rsid w:val="001532D3"/>
    <w:rsid w:val="00164719"/>
    <w:rsid w:val="00165513"/>
    <w:rsid w:val="00165C53"/>
    <w:rsid w:val="00166C68"/>
    <w:rsid w:val="00166FC4"/>
    <w:rsid w:val="001677AC"/>
    <w:rsid w:val="00167E5F"/>
    <w:rsid w:val="00170A1C"/>
    <w:rsid w:val="00170CE3"/>
    <w:rsid w:val="00170E58"/>
    <w:rsid w:val="001804EA"/>
    <w:rsid w:val="00180ED5"/>
    <w:rsid w:val="00181CED"/>
    <w:rsid w:val="001848FD"/>
    <w:rsid w:val="00186192"/>
    <w:rsid w:val="00190A61"/>
    <w:rsid w:val="00192BEA"/>
    <w:rsid w:val="0019369C"/>
    <w:rsid w:val="00195ADD"/>
    <w:rsid w:val="00197808"/>
    <w:rsid w:val="001A0B1A"/>
    <w:rsid w:val="001A1B81"/>
    <w:rsid w:val="001A3342"/>
    <w:rsid w:val="001A3E3D"/>
    <w:rsid w:val="001A5F2D"/>
    <w:rsid w:val="001A7049"/>
    <w:rsid w:val="001B1E40"/>
    <w:rsid w:val="001B2BDF"/>
    <w:rsid w:val="001B4D19"/>
    <w:rsid w:val="001B4E4C"/>
    <w:rsid w:val="001B61F4"/>
    <w:rsid w:val="001C1B39"/>
    <w:rsid w:val="001C2366"/>
    <w:rsid w:val="001C3105"/>
    <w:rsid w:val="001C6701"/>
    <w:rsid w:val="001C6A24"/>
    <w:rsid w:val="001C6A3B"/>
    <w:rsid w:val="001C764E"/>
    <w:rsid w:val="001D0FD8"/>
    <w:rsid w:val="001D132D"/>
    <w:rsid w:val="001D3820"/>
    <w:rsid w:val="001D438B"/>
    <w:rsid w:val="001E0BFA"/>
    <w:rsid w:val="001E1052"/>
    <w:rsid w:val="001E21B1"/>
    <w:rsid w:val="001E2F93"/>
    <w:rsid w:val="001E50CF"/>
    <w:rsid w:val="001E61E5"/>
    <w:rsid w:val="001E6852"/>
    <w:rsid w:val="001F063E"/>
    <w:rsid w:val="001F2159"/>
    <w:rsid w:val="001F3309"/>
    <w:rsid w:val="001F5D7F"/>
    <w:rsid w:val="001F6F34"/>
    <w:rsid w:val="00200A7B"/>
    <w:rsid w:val="00201F7E"/>
    <w:rsid w:val="0020491A"/>
    <w:rsid w:val="002068DB"/>
    <w:rsid w:val="002071C8"/>
    <w:rsid w:val="00211DF9"/>
    <w:rsid w:val="002122EA"/>
    <w:rsid w:val="00212B23"/>
    <w:rsid w:val="00213228"/>
    <w:rsid w:val="00213D02"/>
    <w:rsid w:val="00214863"/>
    <w:rsid w:val="002156B4"/>
    <w:rsid w:val="00215770"/>
    <w:rsid w:val="00221C5A"/>
    <w:rsid w:val="0022517B"/>
    <w:rsid w:val="00230F84"/>
    <w:rsid w:val="00232C10"/>
    <w:rsid w:val="00233FFA"/>
    <w:rsid w:val="00234E21"/>
    <w:rsid w:val="00243B96"/>
    <w:rsid w:val="00244B31"/>
    <w:rsid w:val="002455C1"/>
    <w:rsid w:val="00252F0B"/>
    <w:rsid w:val="00253222"/>
    <w:rsid w:val="00260814"/>
    <w:rsid w:val="00262847"/>
    <w:rsid w:val="00281BB2"/>
    <w:rsid w:val="002823B6"/>
    <w:rsid w:val="002944BB"/>
    <w:rsid w:val="00295142"/>
    <w:rsid w:val="002959BC"/>
    <w:rsid w:val="002A03E0"/>
    <w:rsid w:val="002A50A8"/>
    <w:rsid w:val="002A600F"/>
    <w:rsid w:val="002A6EAF"/>
    <w:rsid w:val="002B1594"/>
    <w:rsid w:val="002B225F"/>
    <w:rsid w:val="002B2BF7"/>
    <w:rsid w:val="002B72E9"/>
    <w:rsid w:val="002C1608"/>
    <w:rsid w:val="002C47C8"/>
    <w:rsid w:val="002C63CB"/>
    <w:rsid w:val="002C7998"/>
    <w:rsid w:val="002D3B07"/>
    <w:rsid w:val="002E71BC"/>
    <w:rsid w:val="002F1BCD"/>
    <w:rsid w:val="002F1E53"/>
    <w:rsid w:val="002F2CAA"/>
    <w:rsid w:val="002F3169"/>
    <w:rsid w:val="002F58B5"/>
    <w:rsid w:val="002F7EDF"/>
    <w:rsid w:val="0030201A"/>
    <w:rsid w:val="00312753"/>
    <w:rsid w:val="00313F16"/>
    <w:rsid w:val="00316CDF"/>
    <w:rsid w:val="00322501"/>
    <w:rsid w:val="00323ABC"/>
    <w:rsid w:val="00325C4C"/>
    <w:rsid w:val="00327E75"/>
    <w:rsid w:val="003306E1"/>
    <w:rsid w:val="00330AF0"/>
    <w:rsid w:val="003320E4"/>
    <w:rsid w:val="0033274D"/>
    <w:rsid w:val="0033525D"/>
    <w:rsid w:val="00335E33"/>
    <w:rsid w:val="003414F3"/>
    <w:rsid w:val="00341550"/>
    <w:rsid w:val="003474FA"/>
    <w:rsid w:val="0035613E"/>
    <w:rsid w:val="00356CC6"/>
    <w:rsid w:val="00363517"/>
    <w:rsid w:val="00363EE9"/>
    <w:rsid w:val="003668C8"/>
    <w:rsid w:val="00366DAE"/>
    <w:rsid w:val="00367406"/>
    <w:rsid w:val="00373A00"/>
    <w:rsid w:val="00376128"/>
    <w:rsid w:val="0037742E"/>
    <w:rsid w:val="003804CE"/>
    <w:rsid w:val="00380798"/>
    <w:rsid w:val="0038245A"/>
    <w:rsid w:val="00383677"/>
    <w:rsid w:val="00384449"/>
    <w:rsid w:val="00391213"/>
    <w:rsid w:val="00391343"/>
    <w:rsid w:val="003931E4"/>
    <w:rsid w:val="0039337A"/>
    <w:rsid w:val="00393D2A"/>
    <w:rsid w:val="00396EF3"/>
    <w:rsid w:val="003A01E6"/>
    <w:rsid w:val="003A1D12"/>
    <w:rsid w:val="003A3189"/>
    <w:rsid w:val="003A334F"/>
    <w:rsid w:val="003A3F3C"/>
    <w:rsid w:val="003A588C"/>
    <w:rsid w:val="003B068B"/>
    <w:rsid w:val="003B2343"/>
    <w:rsid w:val="003B569D"/>
    <w:rsid w:val="003B6ED7"/>
    <w:rsid w:val="003B7892"/>
    <w:rsid w:val="003C3C0E"/>
    <w:rsid w:val="003D2BE4"/>
    <w:rsid w:val="003D4FAC"/>
    <w:rsid w:val="003D5872"/>
    <w:rsid w:val="003E0C27"/>
    <w:rsid w:val="003E1301"/>
    <w:rsid w:val="003E1A09"/>
    <w:rsid w:val="003E5070"/>
    <w:rsid w:val="003E55A1"/>
    <w:rsid w:val="003E7590"/>
    <w:rsid w:val="003E7906"/>
    <w:rsid w:val="003F1562"/>
    <w:rsid w:val="003F3C50"/>
    <w:rsid w:val="003F58A8"/>
    <w:rsid w:val="00406A36"/>
    <w:rsid w:val="00406A6A"/>
    <w:rsid w:val="00406B22"/>
    <w:rsid w:val="00412D2B"/>
    <w:rsid w:val="00416B2E"/>
    <w:rsid w:val="00420EC0"/>
    <w:rsid w:val="004222E8"/>
    <w:rsid w:val="0042623F"/>
    <w:rsid w:val="00427025"/>
    <w:rsid w:val="0043120D"/>
    <w:rsid w:val="004328A7"/>
    <w:rsid w:val="00433865"/>
    <w:rsid w:val="00434C74"/>
    <w:rsid w:val="00442651"/>
    <w:rsid w:val="0044266E"/>
    <w:rsid w:val="00456EB4"/>
    <w:rsid w:val="00465116"/>
    <w:rsid w:val="004718F3"/>
    <w:rsid w:val="00471CB8"/>
    <w:rsid w:val="00473993"/>
    <w:rsid w:val="00474C54"/>
    <w:rsid w:val="00475040"/>
    <w:rsid w:val="004750E2"/>
    <w:rsid w:val="004754EE"/>
    <w:rsid w:val="00475713"/>
    <w:rsid w:val="00477200"/>
    <w:rsid w:val="0048116D"/>
    <w:rsid w:val="00481541"/>
    <w:rsid w:val="00493D40"/>
    <w:rsid w:val="004947C6"/>
    <w:rsid w:val="00495E4E"/>
    <w:rsid w:val="0049644E"/>
    <w:rsid w:val="004967B6"/>
    <w:rsid w:val="004A0B62"/>
    <w:rsid w:val="004A2E86"/>
    <w:rsid w:val="004A504B"/>
    <w:rsid w:val="004A6911"/>
    <w:rsid w:val="004B252C"/>
    <w:rsid w:val="004B54E0"/>
    <w:rsid w:val="004B7384"/>
    <w:rsid w:val="004C4269"/>
    <w:rsid w:val="004D1546"/>
    <w:rsid w:val="004D242B"/>
    <w:rsid w:val="004D6236"/>
    <w:rsid w:val="004E4DBB"/>
    <w:rsid w:val="004E4E41"/>
    <w:rsid w:val="004E7F9C"/>
    <w:rsid w:val="004F1C00"/>
    <w:rsid w:val="004F3493"/>
    <w:rsid w:val="004F46ED"/>
    <w:rsid w:val="004F4C63"/>
    <w:rsid w:val="004F5143"/>
    <w:rsid w:val="004F6583"/>
    <w:rsid w:val="004F6C2E"/>
    <w:rsid w:val="00502A67"/>
    <w:rsid w:val="0050340D"/>
    <w:rsid w:val="00512B09"/>
    <w:rsid w:val="00516938"/>
    <w:rsid w:val="00517E74"/>
    <w:rsid w:val="00520A4B"/>
    <w:rsid w:val="00530EE5"/>
    <w:rsid w:val="00532AB6"/>
    <w:rsid w:val="00537CEC"/>
    <w:rsid w:val="0054511E"/>
    <w:rsid w:val="005477B0"/>
    <w:rsid w:val="00550432"/>
    <w:rsid w:val="00552E85"/>
    <w:rsid w:val="00555D75"/>
    <w:rsid w:val="0055704F"/>
    <w:rsid w:val="00560DF0"/>
    <w:rsid w:val="00561274"/>
    <w:rsid w:val="00562073"/>
    <w:rsid w:val="0056759C"/>
    <w:rsid w:val="00567607"/>
    <w:rsid w:val="00567FD0"/>
    <w:rsid w:val="005779F8"/>
    <w:rsid w:val="005818E5"/>
    <w:rsid w:val="0058239F"/>
    <w:rsid w:val="0058523E"/>
    <w:rsid w:val="00585B7E"/>
    <w:rsid w:val="0059513E"/>
    <w:rsid w:val="00595B4F"/>
    <w:rsid w:val="005A34D0"/>
    <w:rsid w:val="005B48FF"/>
    <w:rsid w:val="005B50C6"/>
    <w:rsid w:val="005B57A1"/>
    <w:rsid w:val="005B6B34"/>
    <w:rsid w:val="005C03E5"/>
    <w:rsid w:val="005C28A0"/>
    <w:rsid w:val="005C49E0"/>
    <w:rsid w:val="005C4EC6"/>
    <w:rsid w:val="005C7530"/>
    <w:rsid w:val="005D1303"/>
    <w:rsid w:val="005D4A43"/>
    <w:rsid w:val="005D5495"/>
    <w:rsid w:val="005D605F"/>
    <w:rsid w:val="005E3463"/>
    <w:rsid w:val="005F1961"/>
    <w:rsid w:val="005F6BC0"/>
    <w:rsid w:val="00600D07"/>
    <w:rsid w:val="00604034"/>
    <w:rsid w:val="00604A91"/>
    <w:rsid w:val="00604C15"/>
    <w:rsid w:val="00607AF3"/>
    <w:rsid w:val="00613B59"/>
    <w:rsid w:val="006146E0"/>
    <w:rsid w:val="006158D5"/>
    <w:rsid w:val="006162E9"/>
    <w:rsid w:val="00622833"/>
    <w:rsid w:val="006235B7"/>
    <w:rsid w:val="006236B5"/>
    <w:rsid w:val="00623A84"/>
    <w:rsid w:val="00625D83"/>
    <w:rsid w:val="006347EF"/>
    <w:rsid w:val="0064465C"/>
    <w:rsid w:val="00645ED9"/>
    <w:rsid w:val="00647141"/>
    <w:rsid w:val="00647C89"/>
    <w:rsid w:val="00653F5C"/>
    <w:rsid w:val="00661A71"/>
    <w:rsid w:val="006623E7"/>
    <w:rsid w:val="00662B80"/>
    <w:rsid w:val="006630CD"/>
    <w:rsid w:val="006647F3"/>
    <w:rsid w:val="00665884"/>
    <w:rsid w:val="00670066"/>
    <w:rsid w:val="00670738"/>
    <w:rsid w:val="00672B6C"/>
    <w:rsid w:val="006745B2"/>
    <w:rsid w:val="006746D4"/>
    <w:rsid w:val="00674FBA"/>
    <w:rsid w:val="00677166"/>
    <w:rsid w:val="006808FC"/>
    <w:rsid w:val="00680D42"/>
    <w:rsid w:val="00681405"/>
    <w:rsid w:val="00682BBC"/>
    <w:rsid w:val="00684E43"/>
    <w:rsid w:val="006852C7"/>
    <w:rsid w:val="00685A74"/>
    <w:rsid w:val="00690F82"/>
    <w:rsid w:val="00691646"/>
    <w:rsid w:val="00691A8E"/>
    <w:rsid w:val="00692C4F"/>
    <w:rsid w:val="00692E43"/>
    <w:rsid w:val="00697534"/>
    <w:rsid w:val="006A4689"/>
    <w:rsid w:val="006A5B34"/>
    <w:rsid w:val="006A5D8B"/>
    <w:rsid w:val="006A7EA5"/>
    <w:rsid w:val="006B3909"/>
    <w:rsid w:val="006B54AA"/>
    <w:rsid w:val="006C0123"/>
    <w:rsid w:val="006C1727"/>
    <w:rsid w:val="006C32FD"/>
    <w:rsid w:val="006C39CE"/>
    <w:rsid w:val="006C54D7"/>
    <w:rsid w:val="006C761C"/>
    <w:rsid w:val="006D0FCC"/>
    <w:rsid w:val="006D7FAE"/>
    <w:rsid w:val="006E1FC3"/>
    <w:rsid w:val="006E7D06"/>
    <w:rsid w:val="006F4D7E"/>
    <w:rsid w:val="006F4E4C"/>
    <w:rsid w:val="006F61E8"/>
    <w:rsid w:val="006F6838"/>
    <w:rsid w:val="00700DA0"/>
    <w:rsid w:val="00704FE8"/>
    <w:rsid w:val="0070616B"/>
    <w:rsid w:val="00706FDA"/>
    <w:rsid w:val="0071189E"/>
    <w:rsid w:val="00711F9A"/>
    <w:rsid w:val="00712D4B"/>
    <w:rsid w:val="00713810"/>
    <w:rsid w:val="0071541B"/>
    <w:rsid w:val="00716754"/>
    <w:rsid w:val="007233FD"/>
    <w:rsid w:val="007303A5"/>
    <w:rsid w:val="00730B3E"/>
    <w:rsid w:val="00731B45"/>
    <w:rsid w:val="0073420B"/>
    <w:rsid w:val="0073709E"/>
    <w:rsid w:val="0073715C"/>
    <w:rsid w:val="00737BFF"/>
    <w:rsid w:val="00741A52"/>
    <w:rsid w:val="007465BB"/>
    <w:rsid w:val="0074760E"/>
    <w:rsid w:val="0074761D"/>
    <w:rsid w:val="00747E75"/>
    <w:rsid w:val="00754ABA"/>
    <w:rsid w:val="007551FA"/>
    <w:rsid w:val="00766783"/>
    <w:rsid w:val="0077257B"/>
    <w:rsid w:val="00773092"/>
    <w:rsid w:val="00775FA9"/>
    <w:rsid w:val="00777936"/>
    <w:rsid w:val="00781125"/>
    <w:rsid w:val="00783A1C"/>
    <w:rsid w:val="00786156"/>
    <w:rsid w:val="0078623A"/>
    <w:rsid w:val="0079180A"/>
    <w:rsid w:val="0079357C"/>
    <w:rsid w:val="00795B9D"/>
    <w:rsid w:val="0079685C"/>
    <w:rsid w:val="00797BDB"/>
    <w:rsid w:val="007A1546"/>
    <w:rsid w:val="007A228C"/>
    <w:rsid w:val="007A3435"/>
    <w:rsid w:val="007A368E"/>
    <w:rsid w:val="007A5868"/>
    <w:rsid w:val="007A6AE2"/>
    <w:rsid w:val="007A74D7"/>
    <w:rsid w:val="007B04CE"/>
    <w:rsid w:val="007B05B7"/>
    <w:rsid w:val="007B2B72"/>
    <w:rsid w:val="007B311B"/>
    <w:rsid w:val="007B48F1"/>
    <w:rsid w:val="007B6871"/>
    <w:rsid w:val="007B7A2F"/>
    <w:rsid w:val="007C3D33"/>
    <w:rsid w:val="007C4260"/>
    <w:rsid w:val="007C698D"/>
    <w:rsid w:val="007C6A87"/>
    <w:rsid w:val="007D20B9"/>
    <w:rsid w:val="007D294A"/>
    <w:rsid w:val="007D47D2"/>
    <w:rsid w:val="007D502A"/>
    <w:rsid w:val="007D6503"/>
    <w:rsid w:val="007D6EC0"/>
    <w:rsid w:val="007D7E1D"/>
    <w:rsid w:val="007E1C5F"/>
    <w:rsid w:val="007E24FC"/>
    <w:rsid w:val="007E3B3A"/>
    <w:rsid w:val="007E4585"/>
    <w:rsid w:val="007E48D3"/>
    <w:rsid w:val="00811535"/>
    <w:rsid w:val="0081209E"/>
    <w:rsid w:val="008126E3"/>
    <w:rsid w:val="00814BD8"/>
    <w:rsid w:val="008227D0"/>
    <w:rsid w:val="0082351E"/>
    <w:rsid w:val="00830751"/>
    <w:rsid w:val="00831979"/>
    <w:rsid w:val="00831E2A"/>
    <w:rsid w:val="00837E6C"/>
    <w:rsid w:val="0084088D"/>
    <w:rsid w:val="008457AD"/>
    <w:rsid w:val="00846DFC"/>
    <w:rsid w:val="00851352"/>
    <w:rsid w:val="00853FB0"/>
    <w:rsid w:val="00860C94"/>
    <w:rsid w:val="00861CD2"/>
    <w:rsid w:val="00863176"/>
    <w:rsid w:val="00863230"/>
    <w:rsid w:val="00865D01"/>
    <w:rsid w:val="0086613B"/>
    <w:rsid w:val="00867A6F"/>
    <w:rsid w:val="008717D8"/>
    <w:rsid w:val="0087215C"/>
    <w:rsid w:val="00873058"/>
    <w:rsid w:val="008751E6"/>
    <w:rsid w:val="00877AFB"/>
    <w:rsid w:val="00881C2A"/>
    <w:rsid w:val="00881D5E"/>
    <w:rsid w:val="00884036"/>
    <w:rsid w:val="008875FE"/>
    <w:rsid w:val="00887BE9"/>
    <w:rsid w:val="00887F8E"/>
    <w:rsid w:val="00896234"/>
    <w:rsid w:val="00896766"/>
    <w:rsid w:val="0089710D"/>
    <w:rsid w:val="00897E43"/>
    <w:rsid w:val="008A0459"/>
    <w:rsid w:val="008A34D5"/>
    <w:rsid w:val="008A4224"/>
    <w:rsid w:val="008A4BC1"/>
    <w:rsid w:val="008B3179"/>
    <w:rsid w:val="008B5A7F"/>
    <w:rsid w:val="008C0E0A"/>
    <w:rsid w:val="008C19F8"/>
    <w:rsid w:val="008C30CF"/>
    <w:rsid w:val="008C4BC8"/>
    <w:rsid w:val="008C4DFE"/>
    <w:rsid w:val="008C5738"/>
    <w:rsid w:val="008C641D"/>
    <w:rsid w:val="008C7EAD"/>
    <w:rsid w:val="008D0CFE"/>
    <w:rsid w:val="008D1DC5"/>
    <w:rsid w:val="008D381B"/>
    <w:rsid w:val="008D6152"/>
    <w:rsid w:val="008D6C6C"/>
    <w:rsid w:val="008E20BE"/>
    <w:rsid w:val="008E5AA1"/>
    <w:rsid w:val="008F0F81"/>
    <w:rsid w:val="008F27BF"/>
    <w:rsid w:val="008F515C"/>
    <w:rsid w:val="008F7639"/>
    <w:rsid w:val="008F7A6A"/>
    <w:rsid w:val="00905A09"/>
    <w:rsid w:val="00913B0B"/>
    <w:rsid w:val="009142D3"/>
    <w:rsid w:val="00923540"/>
    <w:rsid w:val="00926767"/>
    <w:rsid w:val="0093353C"/>
    <w:rsid w:val="009361D5"/>
    <w:rsid w:val="00936A1F"/>
    <w:rsid w:val="00940A96"/>
    <w:rsid w:val="009428A4"/>
    <w:rsid w:val="00943A44"/>
    <w:rsid w:val="00951106"/>
    <w:rsid w:val="00954D83"/>
    <w:rsid w:val="00955E35"/>
    <w:rsid w:val="00956B31"/>
    <w:rsid w:val="00956E82"/>
    <w:rsid w:val="009659F4"/>
    <w:rsid w:val="00970D60"/>
    <w:rsid w:val="0097283E"/>
    <w:rsid w:val="00986915"/>
    <w:rsid w:val="00986DA9"/>
    <w:rsid w:val="009960E5"/>
    <w:rsid w:val="009A21AB"/>
    <w:rsid w:val="009A28E9"/>
    <w:rsid w:val="009A4012"/>
    <w:rsid w:val="009A5412"/>
    <w:rsid w:val="009A6B2B"/>
    <w:rsid w:val="009A7ADC"/>
    <w:rsid w:val="009B16B7"/>
    <w:rsid w:val="009B7E9D"/>
    <w:rsid w:val="009C19B7"/>
    <w:rsid w:val="009C6146"/>
    <w:rsid w:val="009C6AF0"/>
    <w:rsid w:val="009D4107"/>
    <w:rsid w:val="009D7C51"/>
    <w:rsid w:val="009E506D"/>
    <w:rsid w:val="009F1C05"/>
    <w:rsid w:val="009F36BF"/>
    <w:rsid w:val="009F7568"/>
    <w:rsid w:val="00A013E8"/>
    <w:rsid w:val="00A038FD"/>
    <w:rsid w:val="00A03DAA"/>
    <w:rsid w:val="00A04ACC"/>
    <w:rsid w:val="00A111B6"/>
    <w:rsid w:val="00A11940"/>
    <w:rsid w:val="00A15DF4"/>
    <w:rsid w:val="00A15F36"/>
    <w:rsid w:val="00A16B63"/>
    <w:rsid w:val="00A17397"/>
    <w:rsid w:val="00A22F23"/>
    <w:rsid w:val="00A245DD"/>
    <w:rsid w:val="00A26C24"/>
    <w:rsid w:val="00A26D27"/>
    <w:rsid w:val="00A31244"/>
    <w:rsid w:val="00A3255C"/>
    <w:rsid w:val="00A34125"/>
    <w:rsid w:val="00A35E2D"/>
    <w:rsid w:val="00A3742E"/>
    <w:rsid w:val="00A376EE"/>
    <w:rsid w:val="00A42A99"/>
    <w:rsid w:val="00A476FC"/>
    <w:rsid w:val="00A5151A"/>
    <w:rsid w:val="00A52608"/>
    <w:rsid w:val="00A538DA"/>
    <w:rsid w:val="00A57E0A"/>
    <w:rsid w:val="00A624B8"/>
    <w:rsid w:val="00A628D5"/>
    <w:rsid w:val="00A670D9"/>
    <w:rsid w:val="00A712FC"/>
    <w:rsid w:val="00A7180E"/>
    <w:rsid w:val="00A7624D"/>
    <w:rsid w:val="00A82036"/>
    <w:rsid w:val="00A823F6"/>
    <w:rsid w:val="00A83C33"/>
    <w:rsid w:val="00A91BCC"/>
    <w:rsid w:val="00A91F70"/>
    <w:rsid w:val="00A9275F"/>
    <w:rsid w:val="00AA0A89"/>
    <w:rsid w:val="00AA2249"/>
    <w:rsid w:val="00AA6429"/>
    <w:rsid w:val="00AA64BD"/>
    <w:rsid w:val="00AA6697"/>
    <w:rsid w:val="00AA7D0F"/>
    <w:rsid w:val="00AA7F29"/>
    <w:rsid w:val="00AB0B4B"/>
    <w:rsid w:val="00AB4BB5"/>
    <w:rsid w:val="00AB68FD"/>
    <w:rsid w:val="00AC01AA"/>
    <w:rsid w:val="00AC1159"/>
    <w:rsid w:val="00AC4F72"/>
    <w:rsid w:val="00AC65FB"/>
    <w:rsid w:val="00AD1626"/>
    <w:rsid w:val="00AD1C7D"/>
    <w:rsid w:val="00AE3E45"/>
    <w:rsid w:val="00AF11A1"/>
    <w:rsid w:val="00AF6467"/>
    <w:rsid w:val="00AF741A"/>
    <w:rsid w:val="00B000A8"/>
    <w:rsid w:val="00B01ADB"/>
    <w:rsid w:val="00B04161"/>
    <w:rsid w:val="00B056F9"/>
    <w:rsid w:val="00B06A9B"/>
    <w:rsid w:val="00B11E3D"/>
    <w:rsid w:val="00B124A0"/>
    <w:rsid w:val="00B12FE7"/>
    <w:rsid w:val="00B146D7"/>
    <w:rsid w:val="00B17E82"/>
    <w:rsid w:val="00B22ECA"/>
    <w:rsid w:val="00B23426"/>
    <w:rsid w:val="00B23EA9"/>
    <w:rsid w:val="00B24445"/>
    <w:rsid w:val="00B249C4"/>
    <w:rsid w:val="00B24EAB"/>
    <w:rsid w:val="00B2538C"/>
    <w:rsid w:val="00B27D21"/>
    <w:rsid w:val="00B30EE9"/>
    <w:rsid w:val="00B4575A"/>
    <w:rsid w:val="00B51BBD"/>
    <w:rsid w:val="00B524F0"/>
    <w:rsid w:val="00B53BEB"/>
    <w:rsid w:val="00B56881"/>
    <w:rsid w:val="00B575BA"/>
    <w:rsid w:val="00B760BC"/>
    <w:rsid w:val="00B76429"/>
    <w:rsid w:val="00B81667"/>
    <w:rsid w:val="00B82535"/>
    <w:rsid w:val="00B939E2"/>
    <w:rsid w:val="00B956D4"/>
    <w:rsid w:val="00B97011"/>
    <w:rsid w:val="00B97318"/>
    <w:rsid w:val="00B97446"/>
    <w:rsid w:val="00BA0856"/>
    <w:rsid w:val="00BA2B39"/>
    <w:rsid w:val="00BA7009"/>
    <w:rsid w:val="00BA7432"/>
    <w:rsid w:val="00BB1F72"/>
    <w:rsid w:val="00BB560F"/>
    <w:rsid w:val="00BC1224"/>
    <w:rsid w:val="00BC1AA0"/>
    <w:rsid w:val="00BC2495"/>
    <w:rsid w:val="00BC2ADE"/>
    <w:rsid w:val="00BC3991"/>
    <w:rsid w:val="00BC3B4D"/>
    <w:rsid w:val="00BC4366"/>
    <w:rsid w:val="00BC7EB9"/>
    <w:rsid w:val="00BD2643"/>
    <w:rsid w:val="00BD56B1"/>
    <w:rsid w:val="00BD6558"/>
    <w:rsid w:val="00BD6FED"/>
    <w:rsid w:val="00BE30C3"/>
    <w:rsid w:val="00BE774A"/>
    <w:rsid w:val="00BF085C"/>
    <w:rsid w:val="00BF3022"/>
    <w:rsid w:val="00BF3214"/>
    <w:rsid w:val="00BF517E"/>
    <w:rsid w:val="00BF6DDB"/>
    <w:rsid w:val="00C03207"/>
    <w:rsid w:val="00C06D0E"/>
    <w:rsid w:val="00C14D64"/>
    <w:rsid w:val="00C15867"/>
    <w:rsid w:val="00C164E8"/>
    <w:rsid w:val="00C17037"/>
    <w:rsid w:val="00C17D4E"/>
    <w:rsid w:val="00C20EB1"/>
    <w:rsid w:val="00C214C7"/>
    <w:rsid w:val="00C2296D"/>
    <w:rsid w:val="00C23155"/>
    <w:rsid w:val="00C24FD0"/>
    <w:rsid w:val="00C3390E"/>
    <w:rsid w:val="00C34BB1"/>
    <w:rsid w:val="00C374BA"/>
    <w:rsid w:val="00C40C41"/>
    <w:rsid w:val="00C419CC"/>
    <w:rsid w:val="00C4393C"/>
    <w:rsid w:val="00C4395C"/>
    <w:rsid w:val="00C45885"/>
    <w:rsid w:val="00C50F22"/>
    <w:rsid w:val="00C51669"/>
    <w:rsid w:val="00C52D78"/>
    <w:rsid w:val="00C52F53"/>
    <w:rsid w:val="00C57806"/>
    <w:rsid w:val="00C57971"/>
    <w:rsid w:val="00C64A7E"/>
    <w:rsid w:val="00C728E6"/>
    <w:rsid w:val="00C74D18"/>
    <w:rsid w:val="00C75C2F"/>
    <w:rsid w:val="00C76BA4"/>
    <w:rsid w:val="00C815A1"/>
    <w:rsid w:val="00C827FD"/>
    <w:rsid w:val="00C83A48"/>
    <w:rsid w:val="00C85865"/>
    <w:rsid w:val="00C85E85"/>
    <w:rsid w:val="00CA2B8B"/>
    <w:rsid w:val="00CA2EAE"/>
    <w:rsid w:val="00CA32FB"/>
    <w:rsid w:val="00CA4AC1"/>
    <w:rsid w:val="00CA700E"/>
    <w:rsid w:val="00CB0316"/>
    <w:rsid w:val="00CB0B11"/>
    <w:rsid w:val="00CB5354"/>
    <w:rsid w:val="00CC33E0"/>
    <w:rsid w:val="00CC66E2"/>
    <w:rsid w:val="00CC6A14"/>
    <w:rsid w:val="00CC70A3"/>
    <w:rsid w:val="00CD178B"/>
    <w:rsid w:val="00CD3356"/>
    <w:rsid w:val="00CD4442"/>
    <w:rsid w:val="00CD53C3"/>
    <w:rsid w:val="00CD574E"/>
    <w:rsid w:val="00CD62BB"/>
    <w:rsid w:val="00CE2BB6"/>
    <w:rsid w:val="00CE2F42"/>
    <w:rsid w:val="00CE4C22"/>
    <w:rsid w:val="00CF41EC"/>
    <w:rsid w:val="00CF5D04"/>
    <w:rsid w:val="00CF60C0"/>
    <w:rsid w:val="00CF620A"/>
    <w:rsid w:val="00CF6ACB"/>
    <w:rsid w:val="00CF6F29"/>
    <w:rsid w:val="00CF71D5"/>
    <w:rsid w:val="00D0022C"/>
    <w:rsid w:val="00D02C31"/>
    <w:rsid w:val="00D03BAF"/>
    <w:rsid w:val="00D03DD0"/>
    <w:rsid w:val="00D047A6"/>
    <w:rsid w:val="00D04DE4"/>
    <w:rsid w:val="00D063F1"/>
    <w:rsid w:val="00D104B4"/>
    <w:rsid w:val="00D14F22"/>
    <w:rsid w:val="00D20B17"/>
    <w:rsid w:val="00D20D0E"/>
    <w:rsid w:val="00D2222B"/>
    <w:rsid w:val="00D2613F"/>
    <w:rsid w:val="00D3748C"/>
    <w:rsid w:val="00D40DD9"/>
    <w:rsid w:val="00D41060"/>
    <w:rsid w:val="00D4482E"/>
    <w:rsid w:val="00D45934"/>
    <w:rsid w:val="00D56CD3"/>
    <w:rsid w:val="00D57918"/>
    <w:rsid w:val="00D60A34"/>
    <w:rsid w:val="00D60AF7"/>
    <w:rsid w:val="00D624F8"/>
    <w:rsid w:val="00D7209F"/>
    <w:rsid w:val="00D73DC6"/>
    <w:rsid w:val="00D74C1A"/>
    <w:rsid w:val="00D754C1"/>
    <w:rsid w:val="00D77A35"/>
    <w:rsid w:val="00D80A93"/>
    <w:rsid w:val="00D81B3E"/>
    <w:rsid w:val="00D856EE"/>
    <w:rsid w:val="00D86F75"/>
    <w:rsid w:val="00D87F94"/>
    <w:rsid w:val="00D90439"/>
    <w:rsid w:val="00D90C70"/>
    <w:rsid w:val="00D90E49"/>
    <w:rsid w:val="00DA12E9"/>
    <w:rsid w:val="00DA23DD"/>
    <w:rsid w:val="00DA33CA"/>
    <w:rsid w:val="00DA70B7"/>
    <w:rsid w:val="00DB0C26"/>
    <w:rsid w:val="00DB1A16"/>
    <w:rsid w:val="00DB25C2"/>
    <w:rsid w:val="00DB5FF7"/>
    <w:rsid w:val="00DB720D"/>
    <w:rsid w:val="00DC3490"/>
    <w:rsid w:val="00DC6A10"/>
    <w:rsid w:val="00DD3EF1"/>
    <w:rsid w:val="00DD4CC1"/>
    <w:rsid w:val="00DD58CC"/>
    <w:rsid w:val="00DD64C8"/>
    <w:rsid w:val="00DD747A"/>
    <w:rsid w:val="00DE2143"/>
    <w:rsid w:val="00DE657E"/>
    <w:rsid w:val="00DE6D8A"/>
    <w:rsid w:val="00DE7082"/>
    <w:rsid w:val="00DF1E9E"/>
    <w:rsid w:val="00DF4704"/>
    <w:rsid w:val="00DF57FC"/>
    <w:rsid w:val="00DF7D63"/>
    <w:rsid w:val="00E024AA"/>
    <w:rsid w:val="00E12B0E"/>
    <w:rsid w:val="00E133E4"/>
    <w:rsid w:val="00E14572"/>
    <w:rsid w:val="00E20DF3"/>
    <w:rsid w:val="00E22394"/>
    <w:rsid w:val="00E241CA"/>
    <w:rsid w:val="00E250F1"/>
    <w:rsid w:val="00E335F4"/>
    <w:rsid w:val="00E3550D"/>
    <w:rsid w:val="00E409B5"/>
    <w:rsid w:val="00E41402"/>
    <w:rsid w:val="00E41EF2"/>
    <w:rsid w:val="00E43A88"/>
    <w:rsid w:val="00E46315"/>
    <w:rsid w:val="00E464FA"/>
    <w:rsid w:val="00E55D89"/>
    <w:rsid w:val="00E614E0"/>
    <w:rsid w:val="00E63921"/>
    <w:rsid w:val="00E63D2E"/>
    <w:rsid w:val="00E7096E"/>
    <w:rsid w:val="00E73F7F"/>
    <w:rsid w:val="00E745B1"/>
    <w:rsid w:val="00E75305"/>
    <w:rsid w:val="00E75314"/>
    <w:rsid w:val="00E85409"/>
    <w:rsid w:val="00E909EE"/>
    <w:rsid w:val="00E91A20"/>
    <w:rsid w:val="00E95D8A"/>
    <w:rsid w:val="00E97413"/>
    <w:rsid w:val="00EA429F"/>
    <w:rsid w:val="00EA4F9E"/>
    <w:rsid w:val="00EA63CA"/>
    <w:rsid w:val="00EA646F"/>
    <w:rsid w:val="00EA6D3B"/>
    <w:rsid w:val="00EB00AD"/>
    <w:rsid w:val="00EB136C"/>
    <w:rsid w:val="00EB3235"/>
    <w:rsid w:val="00EB3898"/>
    <w:rsid w:val="00EB480E"/>
    <w:rsid w:val="00EB5EC6"/>
    <w:rsid w:val="00EB60D8"/>
    <w:rsid w:val="00EB7FC9"/>
    <w:rsid w:val="00EC09AE"/>
    <w:rsid w:val="00EC2577"/>
    <w:rsid w:val="00EC655E"/>
    <w:rsid w:val="00ED27E8"/>
    <w:rsid w:val="00ED35BB"/>
    <w:rsid w:val="00ED4C70"/>
    <w:rsid w:val="00ED7137"/>
    <w:rsid w:val="00EE168E"/>
    <w:rsid w:val="00EE3B99"/>
    <w:rsid w:val="00EE6981"/>
    <w:rsid w:val="00EF1084"/>
    <w:rsid w:val="00EF1E1E"/>
    <w:rsid w:val="00EF34A4"/>
    <w:rsid w:val="00EF4240"/>
    <w:rsid w:val="00EF4F50"/>
    <w:rsid w:val="00F107D9"/>
    <w:rsid w:val="00F12D41"/>
    <w:rsid w:val="00F139DC"/>
    <w:rsid w:val="00F147DC"/>
    <w:rsid w:val="00F2009F"/>
    <w:rsid w:val="00F20E98"/>
    <w:rsid w:val="00F21088"/>
    <w:rsid w:val="00F326F5"/>
    <w:rsid w:val="00F327E7"/>
    <w:rsid w:val="00F35746"/>
    <w:rsid w:val="00F36F66"/>
    <w:rsid w:val="00F37339"/>
    <w:rsid w:val="00F447C7"/>
    <w:rsid w:val="00F4508F"/>
    <w:rsid w:val="00F53B7A"/>
    <w:rsid w:val="00F54DAA"/>
    <w:rsid w:val="00F554A9"/>
    <w:rsid w:val="00F605E6"/>
    <w:rsid w:val="00F60C28"/>
    <w:rsid w:val="00F62730"/>
    <w:rsid w:val="00F64683"/>
    <w:rsid w:val="00F6669D"/>
    <w:rsid w:val="00F716FD"/>
    <w:rsid w:val="00F72E87"/>
    <w:rsid w:val="00F73A6F"/>
    <w:rsid w:val="00F740AC"/>
    <w:rsid w:val="00F741E5"/>
    <w:rsid w:val="00F7691D"/>
    <w:rsid w:val="00F80355"/>
    <w:rsid w:val="00F81FAA"/>
    <w:rsid w:val="00F82245"/>
    <w:rsid w:val="00F867B1"/>
    <w:rsid w:val="00FA34B3"/>
    <w:rsid w:val="00FA6812"/>
    <w:rsid w:val="00FB0C81"/>
    <w:rsid w:val="00FB63B4"/>
    <w:rsid w:val="00FB7AA4"/>
    <w:rsid w:val="00FC10CC"/>
    <w:rsid w:val="00FC2200"/>
    <w:rsid w:val="00FC23B6"/>
    <w:rsid w:val="00FC2540"/>
    <w:rsid w:val="00FC3542"/>
    <w:rsid w:val="00FC5506"/>
    <w:rsid w:val="00FC5D8F"/>
    <w:rsid w:val="00FD3B1D"/>
    <w:rsid w:val="00FD4F10"/>
    <w:rsid w:val="00FD5275"/>
    <w:rsid w:val="00FD7AF7"/>
    <w:rsid w:val="00FE5F39"/>
    <w:rsid w:val="00FE761F"/>
    <w:rsid w:val="00FF0204"/>
    <w:rsid w:val="00FF3AED"/>
    <w:rsid w:val="00FF7104"/>
    <w:rsid w:val="00FF7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70D47"/>
  <w15:docId w15:val="{2E10330B-FB48-461A-A9C7-4A6BD664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57806"/>
    <w:rPr>
      <w:sz w:val="22"/>
      <w:szCs w:val="22"/>
      <w:lang w:val="en-GB"/>
    </w:rPr>
  </w:style>
  <w:style w:type="paragraph" w:styleId="FootnoteText">
    <w:name w:val="footnote text"/>
    <w:aliases w:val="Fußnotentextf, Char1, Char1 Char Char,Char1,Char1 Char Char"/>
    <w:basedOn w:val="Normal"/>
    <w:link w:val="FootnoteTextChar"/>
    <w:uiPriority w:val="99"/>
    <w:unhideWhenUsed/>
    <w:qFormat/>
    <w:rsid w:val="006E7D06"/>
    <w:rPr>
      <w:sz w:val="20"/>
      <w:szCs w:val="20"/>
    </w:rPr>
  </w:style>
  <w:style w:type="character" w:customStyle="1" w:styleId="FootnoteTextChar">
    <w:name w:val="Footnote Text Char"/>
    <w:aliases w:val="Fußnotentextf Char, Char1 Char, Char1 Char Char Char,Char1 Char,Char1 Char Char Char"/>
    <w:basedOn w:val="DefaultParagraphFont"/>
    <w:link w:val="FootnoteText"/>
    <w:uiPriority w:val="99"/>
    <w:rsid w:val="006E7D06"/>
    <w:rPr>
      <w:lang w:val="en-GB"/>
    </w:rPr>
  </w:style>
  <w:style w:type="character" w:styleId="FootnoteReference">
    <w:name w:val="footnote reference"/>
    <w:aliases w:val="Footnote text,16 Point,Superscript 6 Point,Footnote Text1,Footnote Text2"/>
    <w:basedOn w:val="DefaultParagraphFont"/>
    <w:uiPriority w:val="99"/>
    <w:unhideWhenUsed/>
    <w:rsid w:val="006E7D06"/>
    <w:rPr>
      <w:vertAlign w:val="superscript"/>
    </w:rPr>
  </w:style>
  <w:style w:type="character" w:styleId="Hyperlink">
    <w:name w:val="Hyperlink"/>
    <w:basedOn w:val="DefaultParagraphFont"/>
    <w:uiPriority w:val="99"/>
    <w:unhideWhenUsed/>
    <w:rsid w:val="00692E43"/>
    <w:rPr>
      <w:color w:val="0000FF" w:themeColor="hyperlink"/>
      <w:u w:val="single"/>
    </w:rPr>
  </w:style>
  <w:style w:type="paragraph" w:styleId="Revision">
    <w:name w:val="Revision"/>
    <w:hidden/>
    <w:uiPriority w:val="99"/>
    <w:semiHidden/>
    <w:rsid w:val="007D502A"/>
    <w:rPr>
      <w:sz w:val="22"/>
      <w:szCs w:val="22"/>
      <w:lang w:val="en-GB"/>
    </w:rPr>
  </w:style>
  <w:style w:type="character" w:customStyle="1" w:styleId="apple-converted-space">
    <w:name w:val="apple-converted-space"/>
    <w:basedOn w:val="DefaultParagraphFont"/>
    <w:rsid w:val="001169CB"/>
  </w:style>
  <w:style w:type="paragraph" w:customStyle="1" w:styleId="a">
    <w:name w:val="바탕글"/>
    <w:rsid w:val="001169CB"/>
    <w:pPr>
      <w:wordWrap w:val="0"/>
      <w:spacing w:line="288" w:lineRule="auto"/>
      <w:jc w:val="both"/>
      <w:textAlignment w:val="baseline"/>
    </w:pPr>
    <w:rPr>
      <w:rFonts w:ascii="함초롬바탕" w:eastAsia="함초롬바탕"/>
      <w:color w:val="000000"/>
      <w:lang w:eastAsia="ko-KR"/>
    </w:rPr>
  </w:style>
  <w:style w:type="paragraph" w:styleId="ListParagraph">
    <w:name w:val="List Paragraph"/>
    <w:basedOn w:val="Normal"/>
    <w:uiPriority w:val="34"/>
    <w:qFormat/>
    <w:rsid w:val="00ED35BB"/>
    <w:pPr>
      <w:ind w:left="720"/>
      <w:contextualSpacing/>
    </w:pPr>
  </w:style>
  <w:style w:type="paragraph" w:customStyle="1" w:styleId="Default">
    <w:name w:val="Default"/>
    <w:rsid w:val="001B2BDF"/>
    <w:pPr>
      <w:autoSpaceDE w:val="0"/>
      <w:autoSpaceDN w:val="0"/>
      <w:adjustRightInd w:val="0"/>
    </w:pPr>
    <w:rPr>
      <w:color w:val="000000"/>
      <w:sz w:val="24"/>
      <w:szCs w:val="24"/>
    </w:rPr>
  </w:style>
  <w:style w:type="paragraph" w:customStyle="1" w:styleId="a0">
    <w:name w:val=".."/>
    <w:basedOn w:val="Default"/>
    <w:next w:val="Default"/>
    <w:uiPriority w:val="99"/>
    <w:rsid w:val="001B2BDF"/>
    <w:rPr>
      <w:color w:val="auto"/>
    </w:rPr>
  </w:style>
  <w:style w:type="paragraph" w:customStyle="1" w:styleId="Style1">
    <w:name w:val="Style1"/>
    <w:basedOn w:val="ListParagraph"/>
    <w:qFormat/>
    <w:rsid w:val="006F61E8"/>
    <w:pPr>
      <w:numPr>
        <w:numId w:val="27"/>
      </w:numPr>
      <w:spacing w:line="360" w:lineRule="auto"/>
    </w:p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9F7568"/>
    <w:rPr>
      <w:sz w:val="22"/>
      <w:szCs w:val="22"/>
      <w:lang w:val="en-GB"/>
    </w:rPr>
  </w:style>
  <w:style w:type="paragraph" w:customStyle="1" w:styleId="Style2">
    <w:name w:val="Style2"/>
    <w:basedOn w:val="Heading1"/>
    <w:link w:val="Style2Char"/>
    <w:qFormat/>
    <w:rsid w:val="009F7568"/>
    <w:pPr>
      <w:numPr>
        <w:numId w:val="0"/>
      </w:numPr>
    </w:pPr>
    <w:rPr>
      <w:rFonts w:eastAsiaTheme="minorEastAsia"/>
      <w:b/>
      <w:lang w:eastAsia="zh-CN"/>
    </w:rPr>
  </w:style>
  <w:style w:type="character" w:customStyle="1" w:styleId="Style2Char">
    <w:name w:val="Style2 Char"/>
    <w:basedOn w:val="Heading1Char1"/>
    <w:link w:val="Style2"/>
    <w:rsid w:val="009F7568"/>
    <w:rPr>
      <w:rFonts w:eastAsiaTheme="minorEastAsia"/>
      <w:b/>
      <w:sz w:val="22"/>
      <w:szCs w:val="22"/>
      <w:lang w:val="en-GB" w:eastAsia="zh-CN"/>
    </w:rPr>
  </w:style>
  <w:style w:type="paragraph" w:customStyle="1" w:styleId="Bullet">
    <w:name w:val="Bullet"/>
    <w:basedOn w:val="Normal"/>
    <w:rsid w:val="00881C2A"/>
    <w:pPr>
      <w:numPr>
        <w:numId w:val="28"/>
      </w:numPr>
      <w:spacing w:before="120"/>
      <w:ind w:left="1440"/>
      <w:jc w:val="left"/>
    </w:pPr>
    <w:rPr>
      <w:rFonts w:eastAsia="SimSun"/>
      <w:color w:val="000000"/>
      <w:sz w:val="24"/>
      <w:lang w:val="en-US"/>
    </w:rPr>
  </w:style>
  <w:style w:type="character" w:customStyle="1" w:styleId="FooterChar">
    <w:name w:val="Footer Char"/>
    <w:basedOn w:val="DefaultParagraphFont"/>
    <w:link w:val="Footer"/>
    <w:uiPriority w:val="99"/>
    <w:rsid w:val="003E1A09"/>
    <w:rPr>
      <w:sz w:val="22"/>
      <w:szCs w:val="22"/>
      <w:lang w:val="en-GB"/>
    </w:rPr>
  </w:style>
  <w:style w:type="paragraph" w:styleId="EndnoteText">
    <w:name w:val="endnote text"/>
    <w:basedOn w:val="Normal"/>
    <w:link w:val="EndnoteTextChar"/>
    <w:uiPriority w:val="99"/>
    <w:semiHidden/>
    <w:unhideWhenUsed/>
    <w:rsid w:val="002A600F"/>
    <w:rPr>
      <w:sz w:val="20"/>
      <w:szCs w:val="20"/>
    </w:rPr>
  </w:style>
  <w:style w:type="character" w:customStyle="1" w:styleId="EndnoteTextChar">
    <w:name w:val="Endnote Text Char"/>
    <w:basedOn w:val="DefaultParagraphFont"/>
    <w:link w:val="EndnoteText"/>
    <w:uiPriority w:val="99"/>
    <w:semiHidden/>
    <w:rsid w:val="002A600F"/>
    <w:rPr>
      <w:lang w:val="en-GB"/>
    </w:rPr>
  </w:style>
  <w:style w:type="character" w:styleId="EndnoteReference">
    <w:name w:val="endnote reference"/>
    <w:basedOn w:val="DefaultParagraphFont"/>
    <w:uiPriority w:val="99"/>
    <w:semiHidden/>
    <w:unhideWhenUsed/>
    <w:rsid w:val="002A6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4805">
      <w:bodyDiv w:val="1"/>
      <w:marLeft w:val="0"/>
      <w:marRight w:val="0"/>
      <w:marTop w:val="0"/>
      <w:marBottom w:val="0"/>
      <w:divBdr>
        <w:top w:val="none" w:sz="0" w:space="0" w:color="auto"/>
        <w:left w:val="none" w:sz="0" w:space="0" w:color="auto"/>
        <w:bottom w:val="none" w:sz="0" w:space="0" w:color="auto"/>
        <w:right w:val="none" w:sz="0" w:space="0" w:color="auto"/>
      </w:divBdr>
    </w:div>
    <w:div w:id="73628597">
      <w:bodyDiv w:val="1"/>
      <w:marLeft w:val="0"/>
      <w:marRight w:val="0"/>
      <w:marTop w:val="0"/>
      <w:marBottom w:val="0"/>
      <w:divBdr>
        <w:top w:val="none" w:sz="0" w:space="0" w:color="auto"/>
        <w:left w:val="none" w:sz="0" w:space="0" w:color="auto"/>
        <w:bottom w:val="none" w:sz="0" w:space="0" w:color="auto"/>
        <w:right w:val="none" w:sz="0" w:space="0" w:color="auto"/>
      </w:divBdr>
    </w:div>
    <w:div w:id="219294268">
      <w:bodyDiv w:val="1"/>
      <w:marLeft w:val="0"/>
      <w:marRight w:val="0"/>
      <w:marTop w:val="0"/>
      <w:marBottom w:val="0"/>
      <w:divBdr>
        <w:top w:val="none" w:sz="0" w:space="0" w:color="auto"/>
        <w:left w:val="none" w:sz="0" w:space="0" w:color="auto"/>
        <w:bottom w:val="none" w:sz="0" w:space="0" w:color="auto"/>
        <w:right w:val="none" w:sz="0" w:space="0" w:color="auto"/>
      </w:divBdr>
    </w:div>
    <w:div w:id="247613728">
      <w:bodyDiv w:val="1"/>
      <w:marLeft w:val="0"/>
      <w:marRight w:val="0"/>
      <w:marTop w:val="0"/>
      <w:marBottom w:val="0"/>
      <w:divBdr>
        <w:top w:val="none" w:sz="0" w:space="0" w:color="auto"/>
        <w:left w:val="none" w:sz="0" w:space="0" w:color="auto"/>
        <w:bottom w:val="none" w:sz="0" w:space="0" w:color="auto"/>
        <w:right w:val="none" w:sz="0" w:space="0" w:color="auto"/>
      </w:divBdr>
    </w:div>
    <w:div w:id="262954149">
      <w:bodyDiv w:val="1"/>
      <w:marLeft w:val="0"/>
      <w:marRight w:val="0"/>
      <w:marTop w:val="0"/>
      <w:marBottom w:val="0"/>
      <w:divBdr>
        <w:top w:val="none" w:sz="0" w:space="0" w:color="auto"/>
        <w:left w:val="none" w:sz="0" w:space="0" w:color="auto"/>
        <w:bottom w:val="none" w:sz="0" w:space="0" w:color="auto"/>
        <w:right w:val="none" w:sz="0" w:space="0" w:color="auto"/>
      </w:divBdr>
    </w:div>
    <w:div w:id="351033864">
      <w:bodyDiv w:val="1"/>
      <w:marLeft w:val="0"/>
      <w:marRight w:val="0"/>
      <w:marTop w:val="0"/>
      <w:marBottom w:val="0"/>
      <w:divBdr>
        <w:top w:val="none" w:sz="0" w:space="0" w:color="auto"/>
        <w:left w:val="none" w:sz="0" w:space="0" w:color="auto"/>
        <w:bottom w:val="none" w:sz="0" w:space="0" w:color="auto"/>
        <w:right w:val="none" w:sz="0" w:space="0" w:color="auto"/>
      </w:divBdr>
    </w:div>
    <w:div w:id="514078555">
      <w:bodyDiv w:val="1"/>
      <w:marLeft w:val="0"/>
      <w:marRight w:val="0"/>
      <w:marTop w:val="0"/>
      <w:marBottom w:val="0"/>
      <w:divBdr>
        <w:top w:val="none" w:sz="0" w:space="0" w:color="auto"/>
        <w:left w:val="none" w:sz="0" w:space="0" w:color="auto"/>
        <w:bottom w:val="none" w:sz="0" w:space="0" w:color="auto"/>
        <w:right w:val="none" w:sz="0" w:space="0" w:color="auto"/>
      </w:divBdr>
    </w:div>
    <w:div w:id="516038626">
      <w:bodyDiv w:val="1"/>
      <w:marLeft w:val="0"/>
      <w:marRight w:val="0"/>
      <w:marTop w:val="0"/>
      <w:marBottom w:val="0"/>
      <w:divBdr>
        <w:top w:val="none" w:sz="0" w:space="0" w:color="auto"/>
        <w:left w:val="none" w:sz="0" w:space="0" w:color="auto"/>
        <w:bottom w:val="none" w:sz="0" w:space="0" w:color="auto"/>
        <w:right w:val="none" w:sz="0" w:space="0" w:color="auto"/>
      </w:divBdr>
    </w:div>
    <w:div w:id="541091829">
      <w:bodyDiv w:val="1"/>
      <w:marLeft w:val="0"/>
      <w:marRight w:val="0"/>
      <w:marTop w:val="0"/>
      <w:marBottom w:val="0"/>
      <w:divBdr>
        <w:top w:val="none" w:sz="0" w:space="0" w:color="auto"/>
        <w:left w:val="none" w:sz="0" w:space="0" w:color="auto"/>
        <w:bottom w:val="none" w:sz="0" w:space="0" w:color="auto"/>
        <w:right w:val="none" w:sz="0" w:space="0" w:color="auto"/>
      </w:divBdr>
    </w:div>
    <w:div w:id="557547239">
      <w:bodyDiv w:val="1"/>
      <w:marLeft w:val="0"/>
      <w:marRight w:val="0"/>
      <w:marTop w:val="0"/>
      <w:marBottom w:val="0"/>
      <w:divBdr>
        <w:top w:val="none" w:sz="0" w:space="0" w:color="auto"/>
        <w:left w:val="none" w:sz="0" w:space="0" w:color="auto"/>
        <w:bottom w:val="none" w:sz="0" w:space="0" w:color="auto"/>
        <w:right w:val="none" w:sz="0" w:space="0" w:color="auto"/>
      </w:divBdr>
    </w:div>
    <w:div w:id="559827446">
      <w:bodyDiv w:val="1"/>
      <w:marLeft w:val="0"/>
      <w:marRight w:val="0"/>
      <w:marTop w:val="0"/>
      <w:marBottom w:val="0"/>
      <w:divBdr>
        <w:top w:val="none" w:sz="0" w:space="0" w:color="auto"/>
        <w:left w:val="none" w:sz="0" w:space="0" w:color="auto"/>
        <w:bottom w:val="none" w:sz="0" w:space="0" w:color="auto"/>
        <w:right w:val="none" w:sz="0" w:space="0" w:color="auto"/>
      </w:divBdr>
    </w:div>
    <w:div w:id="1389768928">
      <w:bodyDiv w:val="1"/>
      <w:marLeft w:val="0"/>
      <w:marRight w:val="0"/>
      <w:marTop w:val="0"/>
      <w:marBottom w:val="0"/>
      <w:divBdr>
        <w:top w:val="none" w:sz="0" w:space="0" w:color="auto"/>
        <w:left w:val="none" w:sz="0" w:space="0" w:color="auto"/>
        <w:bottom w:val="none" w:sz="0" w:space="0" w:color="auto"/>
        <w:right w:val="none" w:sz="0" w:space="0" w:color="auto"/>
      </w:divBdr>
    </w:div>
    <w:div w:id="1399089262">
      <w:bodyDiv w:val="1"/>
      <w:marLeft w:val="0"/>
      <w:marRight w:val="0"/>
      <w:marTop w:val="0"/>
      <w:marBottom w:val="0"/>
      <w:divBdr>
        <w:top w:val="none" w:sz="0" w:space="0" w:color="auto"/>
        <w:left w:val="none" w:sz="0" w:space="0" w:color="auto"/>
        <w:bottom w:val="none" w:sz="0" w:space="0" w:color="auto"/>
        <w:right w:val="none" w:sz="0" w:space="0" w:color="auto"/>
      </w:divBdr>
    </w:div>
    <w:div w:id="174097955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760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5194/acp-18-4153-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79th\Templates\Eec79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UNEP/OzL.Pro/ExCom/82/68</Document_x0020_Number>
    <FileType xmlns="89241aeb-a0fc-4d28-aa20-d0d0ed30b803">Word</FileType>
    <DocumentType xmlns="64e33b30-101d-41de-b951-961aab25ea29">Pre-session</DocumentType>
  </documentManagement>
</p:properties>
</file>

<file path=customXml/itemProps1.xml><?xml version="1.0" encoding="utf-8"?>
<ds:datastoreItem xmlns:ds="http://schemas.openxmlformats.org/officeDocument/2006/customXml" ds:itemID="{D1A8FE8A-1F61-4FEF-A8C2-9721C3558D22}"/>
</file>

<file path=customXml/itemProps2.xml><?xml version="1.0" encoding="utf-8"?>
<ds:datastoreItem xmlns:ds="http://schemas.openxmlformats.org/officeDocument/2006/customXml" ds:itemID="{49F5E3C0-F6EA-4BE3-B437-C4757CC9DBB1}"/>
</file>

<file path=customXml/itemProps3.xml><?xml version="1.0" encoding="utf-8"?>
<ds:datastoreItem xmlns:ds="http://schemas.openxmlformats.org/officeDocument/2006/customXml" ds:itemID="{EDB2FDF0-C7BE-48E1-9BC6-4F787BD05260}"/>
</file>

<file path=customXml/itemProps4.xml><?xml version="1.0" encoding="utf-8"?>
<ds:datastoreItem xmlns:ds="http://schemas.openxmlformats.org/officeDocument/2006/customXml" ds:itemID="{0AC55E7A-FDE2-4558-9356-8D3DD2502FC6}"/>
</file>

<file path=docProps/app.xml><?xml version="1.0" encoding="utf-8"?>
<Properties xmlns="http://schemas.openxmlformats.org/officeDocument/2006/extended-properties" xmlns:vt="http://schemas.openxmlformats.org/officeDocument/2006/docPropsVTypes">
  <Template>Eec79G</Template>
  <TotalTime>56</TotalTime>
  <Pages>13</Pages>
  <Words>5292</Words>
  <Characters>29558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Key aspects related to HFC-23 by-product control technologies</vt:lpstr>
    </vt:vector>
  </TitlesOfParts>
  <Company>UNMFS</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Cost-effective options for controlling HFC-23 by-product emissions (decision 81/68(e)) (part 1)</dc:title>
  <dc:subject>82nd ExCom</dc:subject>
  <dc:creator>Patricia Chau</dc:creator>
  <cp:lastModifiedBy>Ico San Martini</cp:lastModifiedBy>
  <cp:revision>6</cp:revision>
  <cp:lastPrinted>2017-06-08T00:52:00Z</cp:lastPrinted>
  <dcterms:created xsi:type="dcterms:W3CDTF">2018-11-01T23:06:00Z</dcterms:created>
  <dcterms:modified xsi:type="dcterms:W3CDTF">2018-11-03T22:48:00Z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UNEP/OzL.Pro/ExCom/82/68</vt:lpwstr>
  </property>
  <property fmtid="{D5CDD505-2E9C-101B-9397-08002B2CF9AE}" pid="3" name="Revision date">
    <vt:lpwstr>11/1/2018</vt:lpwstr>
  </property>
  <property fmtid="{D5CDD505-2E9C-101B-9397-08002B2CF9AE}" pid="4" name="ContentTypeId">
    <vt:lpwstr>0x010100E84C8415FE8D8F42AA10616BA921B3F7</vt:lpwstr>
  </property>
</Properties>
</file>