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Layout w:type="fixed"/>
        <w:tblLook w:val="0000" w:firstRow="0" w:lastRow="0" w:firstColumn="0" w:lastColumn="0" w:noHBand="0" w:noVBand="0"/>
      </w:tblPr>
      <w:tblGrid>
        <w:gridCol w:w="4059"/>
        <w:gridCol w:w="351"/>
        <w:gridCol w:w="3051"/>
        <w:gridCol w:w="2079"/>
      </w:tblGrid>
      <w:tr w:rsidR="007E5D09">
        <w:trPr>
          <w:trHeight w:val="720"/>
        </w:trPr>
        <w:tc>
          <w:tcPr>
            <w:tcW w:w="4410" w:type="dxa"/>
            <w:gridSpan w:val="2"/>
            <w:tcBorders>
              <w:bottom w:val="single" w:sz="18" w:space="0" w:color="auto"/>
            </w:tcBorders>
          </w:tcPr>
          <w:p w:rsidR="007E5D09" w:rsidRDefault="00E1360E">
            <w:pPr>
              <w:jc w:val="left"/>
              <w:rPr>
                <w:rFonts w:asciiTheme="minorBidi" w:hAnsiTheme="minorBidi" w:cstheme="minorBidi"/>
                <w:b/>
                <w:bCs/>
                <w:lang w:val="en-US"/>
              </w:rPr>
            </w:pPr>
            <w:r>
              <w:rPr>
                <w:rFonts w:asciiTheme="minorBidi" w:hAnsiTheme="minorBidi" w:cstheme="minorBidi"/>
                <w:b/>
                <w:bCs/>
                <w:sz w:val="72"/>
                <w:szCs w:val="72"/>
                <w:lang w:val="en-US"/>
              </w:rPr>
              <w:t>EP</w:t>
            </w:r>
            <w:r>
              <w:rPr>
                <w:rFonts w:asciiTheme="minorBidi" w:hAnsiTheme="minorBidi" w:cstheme="minorBidi"/>
                <w:b/>
                <w:bCs/>
                <w:sz w:val="27"/>
                <w:szCs w:val="27"/>
                <w:lang w:val="en-US"/>
              </w:rPr>
              <w:t xml:space="preserve"> </w:t>
            </w:r>
          </w:p>
        </w:tc>
        <w:tc>
          <w:tcPr>
            <w:tcW w:w="5130" w:type="dxa"/>
            <w:gridSpan w:val="2"/>
            <w:tcBorders>
              <w:bottom w:val="single" w:sz="18" w:space="0" w:color="auto"/>
            </w:tcBorders>
          </w:tcPr>
          <w:p w:rsidR="007E5D09" w:rsidRDefault="00E1360E">
            <w:pPr>
              <w:pStyle w:val="Heading3"/>
              <w:numPr>
                <w:ilvl w:val="0"/>
                <w:numId w:val="0"/>
              </w:numPr>
              <w:bidi/>
              <w:ind w:left="270" w:right="1384"/>
              <w:rPr>
                <w:b/>
                <w:bCs/>
                <w:sz w:val="48"/>
                <w:szCs w:val="48"/>
              </w:rPr>
            </w:pPr>
            <w:r>
              <w:rPr>
                <w:b/>
                <w:bCs/>
                <w:sz w:val="48"/>
                <w:szCs w:val="48"/>
                <w:rtl/>
              </w:rPr>
              <w:t>الأمم المتحدة</w:t>
            </w:r>
          </w:p>
        </w:tc>
      </w:tr>
      <w:tr w:rsidR="007E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6"/>
        </w:trPr>
        <w:tc>
          <w:tcPr>
            <w:tcW w:w="4059" w:type="dxa"/>
            <w:tcBorders>
              <w:top w:val="nil"/>
              <w:left w:val="nil"/>
              <w:bottom w:val="single" w:sz="36" w:space="0" w:color="auto"/>
              <w:right w:val="nil"/>
            </w:tcBorders>
          </w:tcPr>
          <w:p w:rsidR="007E5D09" w:rsidRDefault="00E1360E">
            <w:pPr>
              <w:spacing w:before="120"/>
              <w:jc w:val="left"/>
              <w:rPr>
                <w:lang w:val="en-US"/>
              </w:rPr>
            </w:pPr>
            <w:r>
              <w:rPr>
                <w:noProof/>
                <w:lang w:val="en-CA" w:eastAsia="en-CA" w:bidi="ar-SA"/>
              </w:rPr>
              <w:drawing>
                <wp:anchor distT="0" distB="0" distL="114300" distR="114300" simplePos="0" relativeHeight="251660288" behindDoc="0" locked="0" layoutInCell="0" allowOverlap="1">
                  <wp:simplePos x="0" y="0"/>
                  <wp:positionH relativeFrom="column">
                    <wp:posOffset>5010785</wp:posOffset>
                  </wp:positionH>
                  <wp:positionV relativeFrom="paragraph">
                    <wp:posOffset>643890</wp:posOffset>
                  </wp:positionV>
                  <wp:extent cx="658495" cy="555625"/>
                  <wp:effectExtent l="0" t="0" r="8255" b="0"/>
                  <wp:wrapNone/>
                  <wp:docPr id="4" name="Picture 4"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495" cy="555625"/>
                          </a:xfrm>
                          <a:prstGeom prst="rect">
                            <a:avLst/>
                          </a:prstGeom>
                          <a:noFill/>
                          <a:ln>
                            <a:noFill/>
                          </a:ln>
                        </pic:spPr>
                      </pic:pic>
                    </a:graphicData>
                  </a:graphic>
                </wp:anchor>
              </w:drawing>
            </w:r>
            <w:r>
              <w:rPr>
                <w:noProof/>
                <w:lang w:val="en-CA" w:eastAsia="en-CA" w:bidi="ar-SA"/>
              </w:rPr>
              <w:drawing>
                <wp:anchor distT="0" distB="0" distL="114300" distR="114300" simplePos="0" relativeHeight="251659264" behindDoc="1" locked="0" layoutInCell="0" allowOverlap="1">
                  <wp:simplePos x="0" y="0"/>
                  <wp:positionH relativeFrom="column">
                    <wp:posOffset>5029200</wp:posOffset>
                  </wp:positionH>
                  <wp:positionV relativeFrom="paragraph">
                    <wp:posOffset>93345</wp:posOffset>
                  </wp:positionV>
                  <wp:extent cx="579755" cy="515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755" cy="515620"/>
                          </a:xfrm>
                          <a:prstGeom prst="rect">
                            <a:avLst/>
                          </a:prstGeom>
                          <a:noFill/>
                          <a:ln>
                            <a:noFill/>
                          </a:ln>
                        </pic:spPr>
                      </pic:pic>
                    </a:graphicData>
                  </a:graphic>
                </wp:anchor>
              </w:drawing>
            </w:r>
            <w:r>
              <w:rPr>
                <w:lang w:val="en-US"/>
              </w:rPr>
              <w:t>Distr.</w:t>
            </w:r>
          </w:p>
          <w:p w:rsidR="007E5D09" w:rsidRDefault="00E1360E">
            <w:pPr>
              <w:spacing w:before="120"/>
              <w:jc w:val="left"/>
              <w:rPr>
                <w:lang w:val="en-US"/>
              </w:rPr>
            </w:pPr>
            <w:r>
              <w:rPr>
                <w:lang w:val="en-US"/>
              </w:rPr>
              <w:t>GENERAL</w:t>
            </w:r>
          </w:p>
          <w:p w:rsidR="007E5D09" w:rsidRDefault="007E5D09">
            <w:pPr>
              <w:spacing w:before="120"/>
              <w:jc w:val="left"/>
              <w:rPr>
                <w:lang w:val="en-US"/>
              </w:rPr>
            </w:pPr>
          </w:p>
          <w:p w:rsidR="004D2A0B" w:rsidRPr="003F73BA" w:rsidRDefault="006C6BED" w:rsidP="004D2A0B">
            <w:r>
              <w:fldChar w:fldCharType="begin"/>
            </w:r>
            <w:r>
              <w:instrText xml:space="preserve"> DOCPROPERTY "Document number"  \* MERGEFORMAT </w:instrText>
            </w:r>
            <w:r>
              <w:fldChar w:fldCharType="separate"/>
            </w:r>
            <w:r w:rsidR="004D2A0B">
              <w:t>UNEP/OzL.Pro/ExCom/83/6</w:t>
            </w:r>
            <w:r>
              <w:fldChar w:fldCharType="end"/>
            </w:r>
          </w:p>
          <w:p w:rsidR="004D2A0B" w:rsidRPr="003F73BA" w:rsidRDefault="00C760DD" w:rsidP="004D2A0B">
            <w:pPr>
              <w:spacing w:before="120"/>
            </w:pPr>
            <w:r>
              <w:fldChar w:fldCharType="begin"/>
            </w:r>
            <w:r>
              <w:instrText xml:space="preserve"> DOCPROPERTY "Revision date" \@ "d MMMM YYYY"  \* MERGEFORMAT </w:instrText>
            </w:r>
            <w:r>
              <w:fldChar w:fldCharType="separate"/>
            </w:r>
            <w:r w:rsidR="004D2A0B">
              <w:t>30 April 2019</w:t>
            </w:r>
            <w:r>
              <w:fldChar w:fldCharType="end"/>
            </w:r>
          </w:p>
          <w:p w:rsidR="00662A73" w:rsidRPr="004D2A0B" w:rsidRDefault="00662A73">
            <w:pPr>
              <w:spacing w:before="120"/>
              <w:jc w:val="left"/>
              <w:rPr>
                <w:rtl/>
                <w:lang w:bidi="ar-AE"/>
              </w:rPr>
            </w:pPr>
          </w:p>
          <w:p w:rsidR="007E5D09" w:rsidRDefault="00E1360E">
            <w:pPr>
              <w:spacing w:before="120"/>
              <w:jc w:val="left"/>
              <w:rPr>
                <w:lang w:val="en-US"/>
              </w:rPr>
            </w:pPr>
            <w:r>
              <w:rPr>
                <w:lang w:val="en-US"/>
              </w:rPr>
              <w:t>ARABIC</w:t>
            </w:r>
          </w:p>
          <w:p w:rsidR="007E5D09" w:rsidRDefault="00E1360E">
            <w:pPr>
              <w:spacing w:before="120"/>
              <w:jc w:val="left"/>
              <w:rPr>
                <w:lang w:val="en-US"/>
              </w:rPr>
            </w:pPr>
            <w:r>
              <w:rPr>
                <w:lang w:val="en-US"/>
              </w:rPr>
              <w:t>ORIGINAL: ENGLISH</w:t>
            </w:r>
          </w:p>
        </w:tc>
        <w:tc>
          <w:tcPr>
            <w:tcW w:w="3402" w:type="dxa"/>
            <w:gridSpan w:val="2"/>
            <w:tcBorders>
              <w:top w:val="nil"/>
              <w:left w:val="nil"/>
              <w:bottom w:val="single" w:sz="36" w:space="0" w:color="auto"/>
              <w:right w:val="nil"/>
            </w:tcBorders>
          </w:tcPr>
          <w:p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برنامج</w:t>
            </w:r>
          </w:p>
          <w:p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الأمم المتحدة</w:t>
            </w:r>
          </w:p>
          <w:p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للبيئة</w:t>
            </w:r>
          </w:p>
          <w:p w:rsidR="007E5D09" w:rsidRDefault="00E1360E">
            <w:pPr>
              <w:pStyle w:val="Heading7"/>
              <w:spacing w:before="0" w:after="0"/>
              <w:ind w:right="4997"/>
              <w:rPr>
                <w:rFonts w:cs="Akhbar MT"/>
                <w:b/>
                <w:bCs/>
                <w:sz w:val="52"/>
                <w:szCs w:val="52"/>
                <w:lang w:val="en-US"/>
              </w:rPr>
            </w:pPr>
            <w:r>
              <w:rPr>
                <w:rFonts w:cs="Arabic Transparent"/>
                <w:b/>
                <w:bCs/>
                <w:sz w:val="52"/>
                <w:szCs w:val="52"/>
                <w:rtl/>
              </w:rPr>
              <w:t>ل</w:t>
            </w:r>
          </w:p>
        </w:tc>
        <w:tc>
          <w:tcPr>
            <w:tcW w:w="2079" w:type="dxa"/>
            <w:tcBorders>
              <w:top w:val="nil"/>
              <w:left w:val="nil"/>
              <w:bottom w:val="single" w:sz="36" w:space="0" w:color="auto"/>
              <w:right w:val="nil"/>
            </w:tcBorders>
          </w:tcPr>
          <w:p w:rsidR="007E5D09" w:rsidRDefault="007E5D09">
            <w:pPr>
              <w:rPr>
                <w:caps/>
                <w:lang w:val="en-US"/>
              </w:rPr>
            </w:pPr>
          </w:p>
          <w:p w:rsidR="007E5D09" w:rsidRDefault="007E5D09">
            <w:pPr>
              <w:rPr>
                <w:lang w:val="en-US"/>
              </w:rPr>
            </w:pPr>
          </w:p>
        </w:tc>
      </w:tr>
    </w:tbl>
    <w:p w:rsidR="007E5D09" w:rsidRDefault="007E5D09">
      <w:pPr>
        <w:pStyle w:val="Caption"/>
        <w:spacing w:line="200" w:lineRule="exact"/>
        <w:ind w:left="187" w:right="187" w:hanging="187"/>
        <w:jc w:val="both"/>
        <w:rPr>
          <w:rFonts w:cs="Akhbar MT"/>
          <w:b/>
          <w:bCs/>
          <w:sz w:val="28"/>
          <w:szCs w:val="28"/>
          <w:rtl/>
        </w:rPr>
      </w:pPr>
    </w:p>
    <w:p w:rsidR="007E5D09" w:rsidRDefault="00E1360E">
      <w:pPr>
        <w:pStyle w:val="Caption"/>
        <w:ind w:left="0" w:right="180"/>
        <w:jc w:val="both"/>
        <w:rPr>
          <w:rFonts w:cs="Arabic Transparent"/>
          <w:b/>
          <w:bCs/>
          <w:sz w:val="28"/>
          <w:szCs w:val="28"/>
          <w:rtl/>
        </w:rPr>
      </w:pPr>
      <w:r>
        <w:rPr>
          <w:rFonts w:cs="Arabic Transparent"/>
          <w:b/>
          <w:bCs/>
          <w:sz w:val="28"/>
          <w:szCs w:val="28"/>
          <w:rtl/>
        </w:rPr>
        <w:t>اللجن</w:t>
      </w:r>
      <w:r>
        <w:rPr>
          <w:rFonts w:cs="Arabic Transparent" w:hint="cs"/>
          <w:b/>
          <w:bCs/>
          <w:sz w:val="28"/>
          <w:szCs w:val="28"/>
          <w:rtl/>
        </w:rPr>
        <w:t>ــ</w:t>
      </w:r>
      <w:r>
        <w:rPr>
          <w:rFonts w:cs="Arabic Transparent"/>
          <w:b/>
          <w:bCs/>
          <w:sz w:val="28"/>
          <w:szCs w:val="28"/>
          <w:rtl/>
        </w:rPr>
        <w:t>ة التنفي</w:t>
      </w:r>
      <w:r>
        <w:rPr>
          <w:rFonts w:cs="Arabic Transparent" w:hint="cs"/>
          <w:b/>
          <w:bCs/>
          <w:sz w:val="28"/>
          <w:szCs w:val="28"/>
          <w:rtl/>
        </w:rPr>
        <w:t>ـ</w:t>
      </w:r>
      <w:r>
        <w:rPr>
          <w:rFonts w:cs="Arabic Transparent"/>
          <w:b/>
          <w:bCs/>
          <w:sz w:val="28"/>
          <w:szCs w:val="28"/>
          <w:rtl/>
        </w:rPr>
        <w:t>ذي</w:t>
      </w:r>
      <w:r>
        <w:rPr>
          <w:rFonts w:cs="Arabic Transparent" w:hint="cs"/>
          <w:b/>
          <w:bCs/>
          <w:sz w:val="28"/>
          <w:szCs w:val="28"/>
          <w:rtl/>
        </w:rPr>
        <w:t>ــــ</w:t>
      </w:r>
      <w:r>
        <w:rPr>
          <w:rFonts w:cs="Arabic Transparent"/>
          <w:b/>
          <w:bCs/>
          <w:sz w:val="28"/>
          <w:szCs w:val="28"/>
          <w:rtl/>
        </w:rPr>
        <w:t>ة للصن</w:t>
      </w:r>
      <w:r>
        <w:rPr>
          <w:rFonts w:cs="Arabic Transparent" w:hint="cs"/>
          <w:b/>
          <w:bCs/>
          <w:sz w:val="28"/>
          <w:szCs w:val="28"/>
          <w:rtl/>
        </w:rPr>
        <w:t>ــ</w:t>
      </w:r>
      <w:r>
        <w:rPr>
          <w:rFonts w:cs="Arabic Transparent"/>
          <w:b/>
          <w:bCs/>
          <w:sz w:val="28"/>
          <w:szCs w:val="28"/>
          <w:rtl/>
        </w:rPr>
        <w:t>دوق الم</w:t>
      </w:r>
      <w:r>
        <w:rPr>
          <w:rFonts w:cs="Arabic Transparent" w:hint="cs"/>
          <w:b/>
          <w:bCs/>
          <w:sz w:val="28"/>
          <w:szCs w:val="28"/>
          <w:rtl/>
        </w:rPr>
        <w:t>ــ</w:t>
      </w:r>
      <w:r>
        <w:rPr>
          <w:rFonts w:cs="Arabic Transparent"/>
          <w:b/>
          <w:bCs/>
          <w:sz w:val="28"/>
          <w:szCs w:val="28"/>
          <w:rtl/>
        </w:rPr>
        <w:t>تع</w:t>
      </w:r>
      <w:r>
        <w:rPr>
          <w:rFonts w:cs="Arabic Transparent" w:hint="cs"/>
          <w:b/>
          <w:bCs/>
          <w:sz w:val="28"/>
          <w:szCs w:val="28"/>
          <w:rtl/>
        </w:rPr>
        <w:t>ــ</w:t>
      </w:r>
      <w:r>
        <w:rPr>
          <w:rFonts w:cs="Arabic Transparent"/>
          <w:b/>
          <w:bCs/>
          <w:sz w:val="28"/>
          <w:szCs w:val="28"/>
          <w:rtl/>
        </w:rPr>
        <w:t>دد الأطـ</w:t>
      </w:r>
      <w:r>
        <w:rPr>
          <w:rFonts w:cs="Arabic Transparent" w:hint="cs"/>
          <w:b/>
          <w:bCs/>
          <w:sz w:val="28"/>
          <w:szCs w:val="28"/>
          <w:rtl/>
        </w:rPr>
        <w:t>ــ</w:t>
      </w:r>
      <w:r>
        <w:rPr>
          <w:rFonts w:cs="Arabic Transparent"/>
          <w:b/>
          <w:bCs/>
          <w:sz w:val="28"/>
          <w:szCs w:val="28"/>
          <w:rtl/>
        </w:rPr>
        <w:t>راف</w:t>
      </w:r>
    </w:p>
    <w:p w:rsidR="007E5D09" w:rsidRDefault="00E1360E">
      <w:pPr>
        <w:bidi/>
        <w:ind w:left="180" w:hanging="180"/>
        <w:jc w:val="lowKashida"/>
        <w:rPr>
          <w:rFonts w:cs="Arabic Transparent"/>
          <w:b/>
          <w:bCs/>
          <w:sz w:val="28"/>
          <w:szCs w:val="28"/>
          <w:rtl/>
          <w:lang w:val="en-US" w:eastAsia="en-CA"/>
        </w:rPr>
      </w:pPr>
      <w:r>
        <w:rPr>
          <w:rFonts w:cs="Arabic Transparent"/>
          <w:b/>
          <w:bCs/>
          <w:sz w:val="28"/>
          <w:szCs w:val="28"/>
          <w:rtl/>
          <w:lang w:val="en-US" w:eastAsia="en-CA"/>
        </w:rPr>
        <w:t>لتنفي</w:t>
      </w:r>
      <w:r>
        <w:rPr>
          <w:rFonts w:cs="Arabic Transparent" w:hint="cs"/>
          <w:b/>
          <w:bCs/>
          <w:sz w:val="28"/>
          <w:szCs w:val="28"/>
          <w:rtl/>
          <w:lang w:val="en-US" w:eastAsia="en-CA"/>
        </w:rPr>
        <w:t>ـــ</w:t>
      </w:r>
      <w:r>
        <w:rPr>
          <w:rFonts w:cs="Arabic Transparent"/>
          <w:b/>
          <w:bCs/>
          <w:sz w:val="28"/>
          <w:szCs w:val="28"/>
          <w:rtl/>
          <w:lang w:val="en-US" w:eastAsia="en-CA"/>
        </w:rPr>
        <w:t>ذ بروتوك</w:t>
      </w:r>
      <w:r>
        <w:rPr>
          <w:rFonts w:cs="Arabic Transparent" w:hint="cs"/>
          <w:b/>
          <w:bCs/>
          <w:sz w:val="28"/>
          <w:szCs w:val="28"/>
          <w:rtl/>
          <w:lang w:val="en-US" w:eastAsia="en-CA"/>
        </w:rPr>
        <w:t>ـ</w:t>
      </w:r>
      <w:r>
        <w:rPr>
          <w:rFonts w:cs="Arabic Transparent"/>
          <w:b/>
          <w:bCs/>
          <w:sz w:val="28"/>
          <w:szCs w:val="28"/>
          <w:rtl/>
          <w:lang w:val="en-US" w:eastAsia="en-CA"/>
        </w:rPr>
        <w:t>ول مونتري</w:t>
      </w:r>
      <w:r>
        <w:rPr>
          <w:rFonts w:cs="Arabic Transparent" w:hint="cs"/>
          <w:b/>
          <w:bCs/>
          <w:sz w:val="28"/>
          <w:szCs w:val="28"/>
          <w:rtl/>
          <w:lang w:val="en-US" w:eastAsia="en-CA"/>
        </w:rPr>
        <w:t>ــ</w:t>
      </w:r>
      <w:r>
        <w:rPr>
          <w:rFonts w:cs="Arabic Transparent"/>
          <w:b/>
          <w:bCs/>
          <w:sz w:val="28"/>
          <w:szCs w:val="28"/>
          <w:rtl/>
          <w:lang w:val="en-US" w:eastAsia="en-CA"/>
        </w:rPr>
        <w:t xml:space="preserve">ال </w:t>
      </w:r>
    </w:p>
    <w:p w:rsidR="007E5D09" w:rsidRDefault="00E1360E" w:rsidP="00013372">
      <w:pPr>
        <w:bidi/>
        <w:ind w:left="4"/>
        <w:jc w:val="lowKashida"/>
        <w:rPr>
          <w:sz w:val="28"/>
          <w:szCs w:val="28"/>
          <w:rtl/>
          <w:lang w:val="en-US" w:eastAsia="en-CA"/>
        </w:rPr>
      </w:pPr>
      <w:r>
        <w:rPr>
          <w:sz w:val="28"/>
          <w:szCs w:val="28"/>
          <w:rtl/>
          <w:lang w:val="en-US" w:eastAsia="en-CA"/>
        </w:rPr>
        <w:t xml:space="preserve">الاجتمــــــاع </w:t>
      </w:r>
      <w:r w:rsidR="00A44778">
        <w:rPr>
          <w:rFonts w:hint="cs"/>
          <w:sz w:val="28"/>
          <w:szCs w:val="28"/>
          <w:rtl/>
          <w:lang w:val="en-US" w:eastAsia="en-CA"/>
        </w:rPr>
        <w:t>الث</w:t>
      </w:r>
      <w:r w:rsidR="00786775">
        <w:rPr>
          <w:rFonts w:hint="cs"/>
          <w:sz w:val="28"/>
          <w:szCs w:val="28"/>
          <w:rtl/>
          <w:lang w:val="en-US" w:eastAsia="en-CA"/>
        </w:rPr>
        <w:t>ا</w:t>
      </w:r>
      <w:r w:rsidR="00013372">
        <w:rPr>
          <w:rFonts w:hint="cs"/>
          <w:sz w:val="28"/>
          <w:szCs w:val="28"/>
          <w:rtl/>
          <w:lang w:val="en-US" w:eastAsia="en-CA"/>
        </w:rPr>
        <w:t>لث</w:t>
      </w:r>
      <w:r w:rsidR="00786775">
        <w:rPr>
          <w:rFonts w:hint="cs"/>
          <w:sz w:val="28"/>
          <w:szCs w:val="28"/>
          <w:rtl/>
          <w:lang w:val="en-US" w:eastAsia="en-CA"/>
        </w:rPr>
        <w:t xml:space="preserve"> و</w:t>
      </w:r>
      <w:r>
        <w:rPr>
          <w:rFonts w:hint="cs"/>
          <w:sz w:val="28"/>
          <w:szCs w:val="28"/>
          <w:rtl/>
          <w:lang w:val="en-US" w:eastAsia="en-CA"/>
        </w:rPr>
        <w:t>الثمانون</w:t>
      </w:r>
    </w:p>
    <w:p w:rsidR="007E5D09" w:rsidRDefault="00E1360E" w:rsidP="00013372">
      <w:pPr>
        <w:pStyle w:val="0Heading0"/>
        <w:bidi/>
        <w:ind w:left="4"/>
        <w:rPr>
          <w:rFonts w:cs="Arabic Transparent"/>
          <w:sz w:val="28"/>
          <w:szCs w:val="28"/>
          <w:lang w:bidi="ar-DZ"/>
        </w:rPr>
      </w:pPr>
      <w:r>
        <w:rPr>
          <w:rFonts w:hint="cs"/>
          <w:sz w:val="28"/>
          <w:szCs w:val="28"/>
          <w:rtl/>
        </w:rPr>
        <w:t>مونتريال</w:t>
      </w:r>
      <w:r>
        <w:rPr>
          <w:sz w:val="28"/>
          <w:szCs w:val="28"/>
          <w:rtl/>
        </w:rPr>
        <w:t>،</w:t>
      </w:r>
      <w:r>
        <w:rPr>
          <w:rFonts w:hint="cs"/>
          <w:sz w:val="28"/>
          <w:szCs w:val="28"/>
          <w:rtl/>
        </w:rPr>
        <w:t xml:space="preserve">  من </w:t>
      </w:r>
      <w:r w:rsidR="00013372">
        <w:rPr>
          <w:sz w:val="28"/>
          <w:szCs w:val="28"/>
        </w:rPr>
        <w:t>27</w:t>
      </w:r>
      <w:r>
        <w:rPr>
          <w:rFonts w:hint="cs"/>
          <w:sz w:val="28"/>
          <w:szCs w:val="28"/>
          <w:rtl/>
        </w:rPr>
        <w:t xml:space="preserve"> إلى </w:t>
      </w:r>
      <w:r w:rsidR="00013372">
        <w:rPr>
          <w:sz w:val="28"/>
          <w:szCs w:val="28"/>
        </w:rPr>
        <w:t xml:space="preserve">31 </w:t>
      </w:r>
      <w:r w:rsidR="00A44778">
        <w:rPr>
          <w:rFonts w:hint="cs"/>
          <w:sz w:val="28"/>
          <w:szCs w:val="28"/>
          <w:rtl/>
        </w:rPr>
        <w:t xml:space="preserve"> </w:t>
      </w:r>
      <w:r w:rsidR="00013372">
        <w:rPr>
          <w:rFonts w:asciiTheme="majorBidi" w:hAnsiTheme="majorBidi" w:cstheme="majorBidi" w:hint="cs"/>
          <w:sz w:val="26"/>
          <w:szCs w:val="26"/>
          <w:rtl/>
          <w:lang w:bidi="ar-SY"/>
        </w:rPr>
        <w:t>مايو/أيّار 2019</w:t>
      </w:r>
    </w:p>
    <w:p w:rsidR="007E5D09" w:rsidRPr="004D2A0B" w:rsidRDefault="007E5D09" w:rsidP="004D2A0B">
      <w:pPr>
        <w:pStyle w:val="Heading2"/>
        <w:numPr>
          <w:ilvl w:val="0"/>
          <w:numId w:val="0"/>
        </w:numPr>
        <w:bidi/>
        <w:ind w:left="4"/>
        <w:rPr>
          <w:sz w:val="26"/>
          <w:szCs w:val="26"/>
          <w:rtl/>
          <w:lang w:val="en-CA"/>
        </w:rPr>
      </w:pPr>
    </w:p>
    <w:p w:rsidR="007E5D09" w:rsidRDefault="004D2A0B" w:rsidP="004D2A0B">
      <w:pPr>
        <w:pStyle w:val="StyleHeader4Para4Left0Firstline0"/>
        <w:numPr>
          <w:ilvl w:val="0"/>
          <w:numId w:val="0"/>
        </w:numPr>
        <w:bidi/>
        <w:jc w:val="center"/>
        <w:rPr>
          <w:b/>
          <w:bCs/>
          <w:sz w:val="28"/>
          <w:szCs w:val="28"/>
          <w:rtl/>
        </w:rPr>
      </w:pPr>
      <w:r w:rsidRPr="004D2A0B">
        <w:rPr>
          <w:rFonts w:hint="cs"/>
          <w:b/>
          <w:bCs/>
          <w:sz w:val="28"/>
          <w:szCs w:val="28"/>
          <w:rtl/>
        </w:rPr>
        <w:t>تسوية حسابات عام 2017 (المقرر82/</w:t>
      </w:r>
      <w:bookmarkStart w:id="0" w:name="_GoBack"/>
      <w:bookmarkEnd w:id="0"/>
      <w:r w:rsidRPr="004D2A0B">
        <w:rPr>
          <w:rFonts w:hint="cs"/>
          <w:b/>
          <w:bCs/>
          <w:sz w:val="28"/>
          <w:szCs w:val="28"/>
          <w:rtl/>
        </w:rPr>
        <w:t>5(ز)</w:t>
      </w:r>
      <w:r>
        <w:rPr>
          <w:rFonts w:hint="cs"/>
          <w:b/>
          <w:bCs/>
          <w:sz w:val="28"/>
          <w:szCs w:val="28"/>
          <w:rtl/>
        </w:rPr>
        <w:t>)</w:t>
      </w:r>
    </w:p>
    <w:p w:rsidR="001173BD" w:rsidRPr="004D2A0B" w:rsidRDefault="001173BD" w:rsidP="001173BD">
      <w:pPr>
        <w:pStyle w:val="StyleHeader4Para4Left0Firstline0"/>
        <w:numPr>
          <w:ilvl w:val="0"/>
          <w:numId w:val="0"/>
        </w:numPr>
        <w:bidi/>
        <w:jc w:val="center"/>
        <w:rPr>
          <w:b/>
          <w:bCs/>
          <w:sz w:val="28"/>
          <w:szCs w:val="28"/>
          <w:rtl/>
        </w:rPr>
      </w:pPr>
    </w:p>
    <w:p w:rsidR="00F75939" w:rsidRDefault="002B0595" w:rsidP="00FF5AD6">
      <w:pPr>
        <w:pStyle w:val="Heading1"/>
        <w:numPr>
          <w:ilvl w:val="0"/>
          <w:numId w:val="24"/>
        </w:numPr>
        <w:bidi/>
        <w:rPr>
          <w:sz w:val="26"/>
          <w:szCs w:val="26"/>
        </w:rPr>
      </w:pPr>
      <w:r>
        <w:rPr>
          <w:rFonts w:hint="cs"/>
          <w:sz w:val="26"/>
          <w:szCs w:val="26"/>
          <w:rtl/>
        </w:rPr>
        <w:t>نظرت اللجنة التنفيذية، في اجتماعها الثاني والثمانين، في تسوية حسا</w:t>
      </w:r>
      <w:r w:rsidR="00F75939">
        <w:rPr>
          <w:rFonts w:hint="cs"/>
          <w:sz w:val="26"/>
          <w:szCs w:val="26"/>
          <w:rtl/>
        </w:rPr>
        <w:t>ب</w:t>
      </w:r>
      <w:r>
        <w:rPr>
          <w:rFonts w:hint="cs"/>
          <w:sz w:val="26"/>
          <w:szCs w:val="26"/>
          <w:rtl/>
        </w:rPr>
        <w:t>ات عام 2017.</w:t>
      </w:r>
      <w:r>
        <w:rPr>
          <w:rStyle w:val="FootnoteReference"/>
          <w:sz w:val="26"/>
          <w:szCs w:val="26"/>
          <w:rtl/>
        </w:rPr>
        <w:footnoteReference w:id="1"/>
      </w:r>
      <w:r>
        <w:rPr>
          <w:rFonts w:hint="cs"/>
          <w:sz w:val="26"/>
          <w:szCs w:val="26"/>
          <w:rtl/>
        </w:rPr>
        <w:t xml:space="preserve"> </w:t>
      </w:r>
      <w:r w:rsidR="00FF5AD6">
        <w:rPr>
          <w:rFonts w:hint="cs"/>
          <w:sz w:val="26"/>
          <w:szCs w:val="26"/>
          <w:rtl/>
        </w:rPr>
        <w:t xml:space="preserve">وكان قد تم الإبلاغ </w:t>
      </w:r>
      <w:r w:rsidR="00CD0FB3">
        <w:rPr>
          <w:rFonts w:hint="cs"/>
          <w:sz w:val="26"/>
          <w:szCs w:val="26"/>
          <w:rtl/>
          <w:lang w:bidi="ar-EG"/>
        </w:rPr>
        <w:t>ب</w:t>
      </w:r>
      <w:r w:rsidR="00F75939">
        <w:rPr>
          <w:rFonts w:hint="cs"/>
          <w:sz w:val="26"/>
          <w:szCs w:val="26"/>
          <w:rtl/>
        </w:rPr>
        <w:t xml:space="preserve">أن اليونيب </w:t>
      </w:r>
      <w:r w:rsidR="002834C9">
        <w:rPr>
          <w:rFonts w:hint="cs"/>
          <w:sz w:val="26"/>
          <w:szCs w:val="26"/>
          <w:rtl/>
        </w:rPr>
        <w:t>ي</w:t>
      </w:r>
      <w:r w:rsidR="00F75939">
        <w:rPr>
          <w:rFonts w:hint="cs"/>
          <w:sz w:val="26"/>
          <w:szCs w:val="26"/>
          <w:rtl/>
        </w:rPr>
        <w:t>واجه صعو</w:t>
      </w:r>
      <w:r w:rsidR="002834C9">
        <w:rPr>
          <w:rFonts w:hint="cs"/>
          <w:sz w:val="26"/>
          <w:szCs w:val="26"/>
          <w:rtl/>
        </w:rPr>
        <w:t xml:space="preserve">بات في تفسير الفرق </w:t>
      </w:r>
      <w:r w:rsidR="00FF5AD6">
        <w:rPr>
          <w:rFonts w:hint="cs"/>
          <w:sz w:val="26"/>
          <w:szCs w:val="26"/>
          <w:rtl/>
        </w:rPr>
        <w:t>في</w:t>
      </w:r>
      <w:r w:rsidR="002834C9">
        <w:rPr>
          <w:rFonts w:hint="cs"/>
          <w:sz w:val="26"/>
          <w:szCs w:val="26"/>
          <w:rtl/>
        </w:rPr>
        <w:t xml:space="preserve"> مصروفاته</w:t>
      </w:r>
      <w:r w:rsidR="00F75939">
        <w:rPr>
          <w:rFonts w:hint="cs"/>
          <w:sz w:val="26"/>
          <w:szCs w:val="26"/>
          <w:rtl/>
        </w:rPr>
        <w:t xml:space="preserve"> البالغ 15.5</w:t>
      </w:r>
      <w:r w:rsidR="002834C9">
        <w:rPr>
          <w:rFonts w:hint="cs"/>
          <w:sz w:val="26"/>
          <w:szCs w:val="26"/>
          <w:rtl/>
        </w:rPr>
        <w:t>28.515 دولار أمريكي بين تقريره المرحلى وحساباته</w:t>
      </w:r>
      <w:r w:rsidR="00F75939">
        <w:rPr>
          <w:rFonts w:hint="cs"/>
          <w:sz w:val="26"/>
          <w:szCs w:val="26"/>
          <w:rtl/>
        </w:rPr>
        <w:t xml:space="preserve"> الختامية، وأن اليونيب كان قد طلب السماح له بتقديم تقرير مرحلي منقح </w:t>
      </w:r>
      <w:r w:rsidR="00FF5AD6">
        <w:rPr>
          <w:rFonts w:hint="cs"/>
          <w:sz w:val="26"/>
          <w:szCs w:val="26"/>
          <w:rtl/>
        </w:rPr>
        <w:t>في</w:t>
      </w:r>
      <w:r w:rsidR="00F75939">
        <w:rPr>
          <w:rFonts w:hint="cs"/>
          <w:sz w:val="26"/>
          <w:szCs w:val="26"/>
          <w:rtl/>
        </w:rPr>
        <w:t xml:space="preserve"> الاجتماع الثالث والثمانين بعد أن أجرى استعراضا لبياناته المالية إذ أنه يعتقد أن التباينات تتعلق بإزواجية حساب الالتزامات وال</w:t>
      </w:r>
      <w:r w:rsidR="002834C9">
        <w:rPr>
          <w:rFonts w:hint="cs"/>
          <w:sz w:val="26"/>
          <w:szCs w:val="26"/>
          <w:rtl/>
        </w:rPr>
        <w:t xml:space="preserve">تحول من </w:t>
      </w:r>
      <w:r w:rsidR="00F75939">
        <w:rPr>
          <w:rFonts w:hint="cs"/>
          <w:sz w:val="26"/>
          <w:szCs w:val="26"/>
          <w:rtl/>
        </w:rPr>
        <w:t>نظام المحاسب</w:t>
      </w:r>
      <w:r w:rsidR="002834C9">
        <w:rPr>
          <w:rFonts w:hint="cs"/>
          <w:sz w:val="26"/>
          <w:szCs w:val="26"/>
          <w:rtl/>
        </w:rPr>
        <w:t>ة</w:t>
      </w:r>
      <w:r w:rsidR="00F75939">
        <w:rPr>
          <w:rFonts w:hint="cs"/>
          <w:sz w:val="26"/>
          <w:szCs w:val="26"/>
          <w:rtl/>
        </w:rPr>
        <w:t xml:space="preserve"> القديم.</w:t>
      </w:r>
    </w:p>
    <w:p w:rsidR="004213BA" w:rsidRPr="0096306E" w:rsidRDefault="00F75939" w:rsidP="001649A3">
      <w:pPr>
        <w:pStyle w:val="Heading1"/>
        <w:numPr>
          <w:ilvl w:val="0"/>
          <w:numId w:val="24"/>
        </w:numPr>
        <w:bidi/>
        <w:rPr>
          <w:sz w:val="26"/>
          <w:szCs w:val="26"/>
        </w:rPr>
      </w:pPr>
      <w:r>
        <w:rPr>
          <w:rFonts w:hint="cs"/>
          <w:sz w:val="26"/>
          <w:szCs w:val="26"/>
          <w:rtl/>
          <w:lang w:bidi="ar-EG"/>
        </w:rPr>
        <w:t xml:space="preserve">ومع ملاحظة أن المبلغ قيد البحث كان كبيرا، طلبت اللجنة التنفيذية بعد ذلك إلى اليونيب، ضمن </w:t>
      </w:r>
      <w:r w:rsidRPr="00AC4918">
        <w:rPr>
          <w:rFonts w:hint="cs"/>
          <w:i/>
          <w:iCs/>
          <w:sz w:val="26"/>
          <w:szCs w:val="26"/>
          <w:rtl/>
          <w:lang w:bidi="ar-EG"/>
        </w:rPr>
        <w:t xml:space="preserve">جملة </w:t>
      </w:r>
      <w:r w:rsidR="001649A3" w:rsidRPr="00AC4918">
        <w:rPr>
          <w:rFonts w:hint="cs"/>
          <w:i/>
          <w:iCs/>
          <w:sz w:val="26"/>
          <w:szCs w:val="26"/>
          <w:rtl/>
          <w:lang w:bidi="ar-EG"/>
        </w:rPr>
        <w:t>أمور</w:t>
      </w:r>
      <w:r>
        <w:rPr>
          <w:rFonts w:hint="cs"/>
          <w:sz w:val="26"/>
          <w:szCs w:val="26"/>
          <w:rtl/>
          <w:lang w:bidi="ar-EG"/>
        </w:rPr>
        <w:t>، أن يقدم تقريرا مرحليا منقحا لع</w:t>
      </w:r>
      <w:r w:rsidR="0096306E">
        <w:rPr>
          <w:rFonts w:hint="cs"/>
          <w:sz w:val="26"/>
          <w:szCs w:val="26"/>
          <w:rtl/>
          <w:lang w:bidi="ar-EG"/>
        </w:rPr>
        <w:t>ا</w:t>
      </w:r>
      <w:r>
        <w:rPr>
          <w:rFonts w:hint="cs"/>
          <w:sz w:val="26"/>
          <w:szCs w:val="26"/>
          <w:rtl/>
          <w:lang w:bidi="ar-EG"/>
        </w:rPr>
        <w:t xml:space="preserve">م 2017 </w:t>
      </w:r>
      <w:r w:rsidR="00FF5AD6">
        <w:rPr>
          <w:rFonts w:hint="cs"/>
          <w:sz w:val="26"/>
          <w:szCs w:val="26"/>
          <w:rtl/>
          <w:lang w:bidi="ar-EG"/>
        </w:rPr>
        <w:t>في</w:t>
      </w:r>
      <w:r>
        <w:rPr>
          <w:rFonts w:hint="cs"/>
          <w:sz w:val="26"/>
          <w:szCs w:val="26"/>
          <w:rtl/>
          <w:lang w:bidi="ar-EG"/>
        </w:rPr>
        <w:t xml:space="preserve"> الاجتماع الثالث والثمانين بهدف استكمال عملية تسوية حسابات عام 2017، مع ملاحظة الفروق البالغة 7.357 دولارا أمريكيا في الإيرادات و15</w:t>
      </w:r>
      <w:r w:rsidR="00AB2DE0">
        <w:rPr>
          <w:rFonts w:hint="cs"/>
          <w:sz w:val="26"/>
          <w:szCs w:val="26"/>
          <w:rtl/>
          <w:lang w:bidi="ar-EG"/>
        </w:rPr>
        <w:t>.</w:t>
      </w:r>
      <w:r>
        <w:rPr>
          <w:rFonts w:hint="cs"/>
          <w:sz w:val="26"/>
          <w:szCs w:val="26"/>
          <w:rtl/>
          <w:lang w:bidi="ar-EG"/>
        </w:rPr>
        <w:t>528.515 دولار أمريكي في المصروفات، بين التقرير المرحلي والحسابات ال</w:t>
      </w:r>
      <w:r w:rsidR="0096306E">
        <w:rPr>
          <w:rFonts w:hint="cs"/>
          <w:sz w:val="26"/>
          <w:szCs w:val="26"/>
          <w:rtl/>
          <w:lang w:bidi="ar-EG"/>
        </w:rPr>
        <w:t>ختام</w:t>
      </w:r>
      <w:r>
        <w:rPr>
          <w:rFonts w:hint="cs"/>
          <w:sz w:val="26"/>
          <w:szCs w:val="26"/>
          <w:rtl/>
          <w:lang w:bidi="ar-EG"/>
        </w:rPr>
        <w:t>ية ليونيب (المقرر 82/5(ز))</w:t>
      </w:r>
      <w:r w:rsidR="00FF5AD6">
        <w:rPr>
          <w:rFonts w:hint="cs"/>
          <w:sz w:val="26"/>
          <w:szCs w:val="26"/>
          <w:rtl/>
        </w:rPr>
        <w:t>.</w:t>
      </w:r>
    </w:p>
    <w:p w:rsidR="004213BA" w:rsidRDefault="00FF5AD6" w:rsidP="00FF5AD6">
      <w:pPr>
        <w:pStyle w:val="Heading1"/>
        <w:numPr>
          <w:ilvl w:val="0"/>
          <w:numId w:val="24"/>
        </w:numPr>
        <w:bidi/>
        <w:rPr>
          <w:sz w:val="26"/>
          <w:szCs w:val="26"/>
        </w:rPr>
      </w:pPr>
      <w:r>
        <w:rPr>
          <w:rFonts w:hint="cs"/>
          <w:sz w:val="26"/>
          <w:szCs w:val="26"/>
          <w:rtl/>
        </w:rPr>
        <w:t>و</w:t>
      </w:r>
      <w:r w:rsidRPr="00664833">
        <w:rPr>
          <w:rFonts w:hint="cs"/>
          <w:sz w:val="26"/>
          <w:szCs w:val="26"/>
          <w:rtl/>
        </w:rPr>
        <w:t xml:space="preserve">أعدت </w:t>
      </w:r>
      <w:r>
        <w:rPr>
          <w:rFonts w:hint="cs"/>
          <w:sz w:val="26"/>
          <w:szCs w:val="26"/>
          <w:rtl/>
        </w:rPr>
        <w:t>الأمانة</w:t>
      </w:r>
      <w:r w:rsidRPr="00664833">
        <w:rPr>
          <w:rFonts w:hint="cs"/>
          <w:sz w:val="26"/>
          <w:szCs w:val="26"/>
          <w:rtl/>
        </w:rPr>
        <w:t xml:space="preserve"> الوثيقة </w:t>
      </w:r>
      <w:r>
        <w:rPr>
          <w:rFonts w:hint="cs"/>
          <w:sz w:val="26"/>
          <w:szCs w:val="26"/>
          <w:rtl/>
        </w:rPr>
        <w:t>الحالية استجابة للمقرر 82/5(ز)</w:t>
      </w:r>
      <w:r w:rsidR="004213BA" w:rsidRPr="00664833">
        <w:rPr>
          <w:rFonts w:hint="cs"/>
          <w:sz w:val="26"/>
          <w:szCs w:val="26"/>
          <w:rtl/>
          <w:lang w:bidi="ar-EG"/>
        </w:rPr>
        <w:t>.</w:t>
      </w:r>
    </w:p>
    <w:p w:rsidR="001173BD" w:rsidRDefault="001173BD">
      <w:pPr>
        <w:jc w:val="left"/>
        <w:rPr>
          <w:b/>
          <w:bCs/>
          <w:sz w:val="26"/>
          <w:szCs w:val="26"/>
          <w:rtl/>
        </w:rPr>
      </w:pPr>
      <w:r>
        <w:rPr>
          <w:b/>
          <w:bCs/>
          <w:sz w:val="26"/>
          <w:szCs w:val="26"/>
          <w:rtl/>
        </w:rPr>
        <w:br w:type="page"/>
      </w:r>
    </w:p>
    <w:p w:rsidR="004213BA" w:rsidRPr="004213BA" w:rsidRDefault="004213BA" w:rsidP="004213BA">
      <w:pPr>
        <w:pStyle w:val="Heading1"/>
        <w:numPr>
          <w:ilvl w:val="0"/>
          <w:numId w:val="0"/>
        </w:numPr>
        <w:bidi/>
        <w:rPr>
          <w:b/>
          <w:bCs/>
          <w:sz w:val="26"/>
          <w:szCs w:val="26"/>
        </w:rPr>
      </w:pPr>
      <w:r w:rsidRPr="004213BA">
        <w:rPr>
          <w:rFonts w:hint="cs"/>
          <w:b/>
          <w:bCs/>
          <w:sz w:val="26"/>
          <w:szCs w:val="26"/>
          <w:rtl/>
        </w:rPr>
        <w:lastRenderedPageBreak/>
        <w:t>تقديم تقرير مرحلي منقح لعام 2017</w:t>
      </w:r>
    </w:p>
    <w:p w:rsidR="004213BA" w:rsidRDefault="0096306E" w:rsidP="004213BA">
      <w:pPr>
        <w:pStyle w:val="Heading1"/>
        <w:numPr>
          <w:ilvl w:val="0"/>
          <w:numId w:val="24"/>
        </w:numPr>
        <w:bidi/>
        <w:rPr>
          <w:sz w:val="26"/>
          <w:szCs w:val="26"/>
        </w:rPr>
      </w:pPr>
      <w:r>
        <w:rPr>
          <w:rFonts w:hint="cs"/>
          <w:sz w:val="26"/>
          <w:szCs w:val="26"/>
          <w:rtl/>
        </w:rPr>
        <w:t>كمتابعة للمقرر 82/5(ز)، عقدت اللجنة التنفيذية ويونيب عدة اجتماعات على هامش الاجتماعات الثانية للشبكة العالمية الأقاليمية والموازية لمسؤولي الأوزون الوطنيين،</w:t>
      </w:r>
      <w:r>
        <w:rPr>
          <w:rStyle w:val="FootnoteReference"/>
          <w:sz w:val="26"/>
          <w:szCs w:val="26"/>
          <w:rtl/>
        </w:rPr>
        <w:footnoteReference w:id="2"/>
      </w:r>
      <w:r w:rsidR="00FF5AD6">
        <w:rPr>
          <w:rFonts w:hint="cs"/>
          <w:sz w:val="26"/>
          <w:szCs w:val="26"/>
          <w:rtl/>
          <w:lang w:bidi="ar-EG"/>
        </w:rPr>
        <w:t xml:space="preserve"> واجتماع التنسيق</w:t>
      </w:r>
      <w:r>
        <w:rPr>
          <w:rFonts w:hint="cs"/>
          <w:sz w:val="26"/>
          <w:szCs w:val="26"/>
          <w:rtl/>
          <w:lang w:bidi="ar-EG"/>
        </w:rPr>
        <w:t xml:space="preserve"> فيما بين الوكالات،</w:t>
      </w:r>
      <w:r>
        <w:rPr>
          <w:rStyle w:val="FootnoteReference"/>
          <w:sz w:val="26"/>
          <w:szCs w:val="26"/>
          <w:rtl/>
          <w:lang w:bidi="ar-EG"/>
        </w:rPr>
        <w:footnoteReference w:id="3"/>
      </w:r>
      <w:r>
        <w:rPr>
          <w:rFonts w:hint="cs"/>
          <w:sz w:val="26"/>
          <w:szCs w:val="26"/>
          <w:rtl/>
          <w:lang w:bidi="ar-EG"/>
        </w:rPr>
        <w:t xml:space="preserve"> بهدف </w:t>
      </w:r>
      <w:r>
        <w:rPr>
          <w:rFonts w:hint="cs"/>
          <w:sz w:val="26"/>
          <w:szCs w:val="26"/>
          <w:rtl/>
        </w:rPr>
        <w:t>تفسير مبرر التباينات.</w:t>
      </w:r>
    </w:p>
    <w:p w:rsidR="006A6068" w:rsidRPr="006A6068" w:rsidRDefault="0096306E" w:rsidP="00FF5AD6">
      <w:pPr>
        <w:pStyle w:val="Heading1"/>
        <w:numPr>
          <w:ilvl w:val="0"/>
          <w:numId w:val="24"/>
        </w:numPr>
        <w:bidi/>
        <w:rPr>
          <w:sz w:val="26"/>
          <w:szCs w:val="26"/>
        </w:rPr>
      </w:pPr>
      <w:r>
        <w:rPr>
          <w:rFonts w:hint="cs"/>
          <w:sz w:val="26"/>
          <w:szCs w:val="26"/>
          <w:rtl/>
        </w:rPr>
        <w:t xml:space="preserve">وشرح اليونيب أن التباينات في المصروفات </w:t>
      </w:r>
      <w:r w:rsidR="00FF5AD6">
        <w:rPr>
          <w:rFonts w:hint="cs"/>
          <w:sz w:val="26"/>
          <w:szCs w:val="26"/>
          <w:rtl/>
        </w:rPr>
        <w:t>ترجع</w:t>
      </w:r>
      <w:r>
        <w:rPr>
          <w:rFonts w:hint="cs"/>
          <w:sz w:val="26"/>
          <w:szCs w:val="26"/>
          <w:rtl/>
        </w:rPr>
        <w:t xml:space="preserve"> أساسا </w:t>
      </w:r>
      <w:r w:rsidR="00FF5AD6">
        <w:rPr>
          <w:rFonts w:hint="cs"/>
          <w:sz w:val="26"/>
          <w:szCs w:val="26"/>
          <w:rtl/>
        </w:rPr>
        <w:t>إلى ا</w:t>
      </w:r>
      <w:r>
        <w:rPr>
          <w:rFonts w:hint="cs"/>
          <w:sz w:val="26"/>
          <w:szCs w:val="26"/>
          <w:rtl/>
        </w:rPr>
        <w:t xml:space="preserve">لالتزامات المتوقعة </w:t>
      </w:r>
      <w:r w:rsidR="00FF5AD6">
        <w:rPr>
          <w:rFonts w:hint="cs"/>
          <w:sz w:val="26"/>
          <w:szCs w:val="26"/>
          <w:rtl/>
        </w:rPr>
        <w:t xml:space="preserve">لعام 2018 </w:t>
      </w:r>
      <w:r>
        <w:rPr>
          <w:rFonts w:hint="cs"/>
          <w:sz w:val="26"/>
          <w:szCs w:val="26"/>
          <w:rtl/>
        </w:rPr>
        <w:t xml:space="preserve">وتكاليف دعم الوكالة ذات الصلة التي ظهرت </w:t>
      </w:r>
      <w:r w:rsidR="006A6068">
        <w:rPr>
          <w:rFonts w:hint="cs"/>
          <w:sz w:val="26"/>
          <w:szCs w:val="26"/>
          <w:rtl/>
        </w:rPr>
        <w:t>بدون قصد في التقرير المرحلي لعام 2017، وللفرق بين تكاليف دعم الوكالة المتوقعة في التقرير المرحلي وتكاليف الدعم الفعلية المحسوبة في النظام المالي ليونيب. ويعزى الفرق في الإيرادات إلى تسجيل مكاسب سعر الصرف.</w:t>
      </w:r>
    </w:p>
    <w:p w:rsidR="00302F26" w:rsidRDefault="006A6068" w:rsidP="001649A3">
      <w:pPr>
        <w:pStyle w:val="Heading1"/>
        <w:numPr>
          <w:ilvl w:val="0"/>
          <w:numId w:val="24"/>
        </w:numPr>
        <w:bidi/>
        <w:rPr>
          <w:sz w:val="26"/>
          <w:szCs w:val="26"/>
        </w:rPr>
      </w:pPr>
      <w:r>
        <w:rPr>
          <w:rFonts w:hint="cs"/>
          <w:sz w:val="26"/>
          <w:szCs w:val="26"/>
          <w:rtl/>
        </w:rPr>
        <w:t>وقام يونيب ب</w:t>
      </w:r>
      <w:r w:rsidR="00700FD1">
        <w:rPr>
          <w:rFonts w:hint="cs"/>
          <w:sz w:val="26"/>
          <w:szCs w:val="26"/>
          <w:rtl/>
        </w:rPr>
        <w:t>تنقيح</w:t>
      </w:r>
      <w:r>
        <w:rPr>
          <w:rFonts w:hint="cs"/>
          <w:sz w:val="26"/>
          <w:szCs w:val="26"/>
          <w:rtl/>
        </w:rPr>
        <w:t xml:space="preserve"> تقريره المرحلي لعام 2017 بتصحيح كل من الإيرادات والمصروفات لعام 2017. واتخذ يونيب أيضا إجراءات إدارية </w:t>
      </w:r>
      <w:r w:rsidR="001649A3">
        <w:rPr>
          <w:rFonts w:hint="cs"/>
          <w:sz w:val="26"/>
          <w:szCs w:val="26"/>
          <w:rtl/>
        </w:rPr>
        <w:t xml:space="preserve">ملائمة </w:t>
      </w:r>
      <w:r>
        <w:rPr>
          <w:rFonts w:hint="cs"/>
          <w:sz w:val="26"/>
          <w:szCs w:val="26"/>
          <w:rtl/>
        </w:rPr>
        <w:t xml:space="preserve">لضمان تجنب مثل هذه التباينات في المستقبل عن طريق تعزيز قدرات فريقه المالي والإبلاغ </w:t>
      </w:r>
      <w:r w:rsidR="001649A3">
        <w:rPr>
          <w:rFonts w:hint="cs"/>
          <w:sz w:val="26"/>
          <w:szCs w:val="26"/>
          <w:rtl/>
        </w:rPr>
        <w:t xml:space="preserve">وإعادة إنفاذ </w:t>
      </w:r>
      <w:r>
        <w:rPr>
          <w:rFonts w:hint="cs"/>
          <w:sz w:val="26"/>
          <w:szCs w:val="26"/>
          <w:rtl/>
        </w:rPr>
        <w:t xml:space="preserve">نظام المراجعات الداخلية </w:t>
      </w:r>
      <w:r w:rsidR="001649A3">
        <w:rPr>
          <w:rFonts w:hint="cs"/>
          <w:sz w:val="26"/>
          <w:szCs w:val="26"/>
          <w:rtl/>
        </w:rPr>
        <w:t xml:space="preserve">فيه </w:t>
      </w:r>
      <w:r>
        <w:rPr>
          <w:rFonts w:hint="cs"/>
          <w:sz w:val="26"/>
          <w:szCs w:val="26"/>
          <w:rtl/>
        </w:rPr>
        <w:t>قبل تقديم التقارير.</w:t>
      </w:r>
    </w:p>
    <w:p w:rsidR="00302F26" w:rsidRPr="006A6068" w:rsidRDefault="00302F26" w:rsidP="00302F26">
      <w:pPr>
        <w:pStyle w:val="Heading1"/>
        <w:numPr>
          <w:ilvl w:val="0"/>
          <w:numId w:val="0"/>
        </w:numPr>
        <w:bidi/>
        <w:rPr>
          <w:b/>
          <w:bCs/>
          <w:sz w:val="26"/>
          <w:szCs w:val="26"/>
        </w:rPr>
      </w:pPr>
      <w:r w:rsidRPr="006A6068">
        <w:rPr>
          <w:rFonts w:hint="cs"/>
          <w:b/>
          <w:bCs/>
          <w:sz w:val="26"/>
          <w:szCs w:val="26"/>
          <w:rtl/>
        </w:rPr>
        <w:t>تسوية الإيرادات</w:t>
      </w:r>
    </w:p>
    <w:p w:rsidR="00302F26" w:rsidRDefault="00E32F0A" w:rsidP="00E32F0A">
      <w:pPr>
        <w:pStyle w:val="Heading1"/>
        <w:numPr>
          <w:ilvl w:val="0"/>
          <w:numId w:val="24"/>
        </w:numPr>
        <w:bidi/>
        <w:rPr>
          <w:sz w:val="26"/>
          <w:szCs w:val="26"/>
        </w:rPr>
      </w:pPr>
      <w:r>
        <w:rPr>
          <w:rFonts w:hint="cs"/>
          <w:sz w:val="26"/>
          <w:szCs w:val="26"/>
          <w:rtl/>
        </w:rPr>
        <w:t>لا توجد</w:t>
      </w:r>
      <w:r w:rsidRPr="00664833">
        <w:rPr>
          <w:rFonts w:hint="cs"/>
          <w:sz w:val="26"/>
          <w:szCs w:val="26"/>
          <w:rtl/>
        </w:rPr>
        <w:t xml:space="preserve"> تباينات بين التقرير المرحلي</w:t>
      </w:r>
      <w:r>
        <w:rPr>
          <w:rFonts w:hint="cs"/>
          <w:sz w:val="26"/>
          <w:szCs w:val="26"/>
          <w:rtl/>
        </w:rPr>
        <w:t xml:space="preserve"> المنقح</w:t>
      </w:r>
      <w:r w:rsidRPr="00664833">
        <w:rPr>
          <w:rFonts w:hint="cs"/>
          <w:sz w:val="26"/>
          <w:szCs w:val="26"/>
          <w:rtl/>
        </w:rPr>
        <w:t xml:space="preserve"> لعام 201</w:t>
      </w:r>
      <w:r>
        <w:rPr>
          <w:rFonts w:hint="cs"/>
          <w:sz w:val="26"/>
          <w:szCs w:val="26"/>
          <w:rtl/>
        </w:rPr>
        <w:t>7</w:t>
      </w:r>
      <w:r w:rsidRPr="00664833">
        <w:rPr>
          <w:rFonts w:hint="cs"/>
          <w:sz w:val="26"/>
          <w:szCs w:val="26"/>
          <w:rtl/>
        </w:rPr>
        <w:t xml:space="preserve"> وعمليات الحصر على النحو الوارد في الجدول 1.</w:t>
      </w:r>
    </w:p>
    <w:p w:rsidR="00E32F0A" w:rsidRPr="00E32F0A" w:rsidRDefault="00E32F0A" w:rsidP="00700FD1">
      <w:pPr>
        <w:bidi/>
        <w:ind w:left="142"/>
        <w:rPr>
          <w:bCs/>
          <w:szCs w:val="24"/>
          <w:rtl/>
          <w:lang w:bidi="ar-EG"/>
        </w:rPr>
      </w:pPr>
      <w:r w:rsidRPr="00E32F0A">
        <w:rPr>
          <w:rFonts w:hint="cs"/>
          <w:bCs/>
          <w:szCs w:val="24"/>
          <w:rtl/>
        </w:rPr>
        <w:t>الجدول 1</w:t>
      </w:r>
      <w:r w:rsidR="0015584D">
        <w:rPr>
          <w:rFonts w:hint="cs"/>
          <w:bCs/>
          <w:szCs w:val="24"/>
          <w:rtl/>
        </w:rPr>
        <w:t>.</w:t>
      </w:r>
      <w:r w:rsidRPr="00E32F0A">
        <w:rPr>
          <w:rFonts w:hint="cs"/>
          <w:bCs/>
          <w:szCs w:val="24"/>
          <w:rtl/>
        </w:rPr>
        <w:t xml:space="preserve"> التباينات بين التقرير المرحلي </w:t>
      </w:r>
      <w:r w:rsidR="00700FD1">
        <w:rPr>
          <w:rFonts w:hint="cs"/>
          <w:bCs/>
          <w:szCs w:val="24"/>
          <w:rtl/>
        </w:rPr>
        <w:t xml:space="preserve">المنقح </w:t>
      </w:r>
      <w:r w:rsidRPr="00E32F0A">
        <w:rPr>
          <w:rFonts w:hint="cs"/>
          <w:bCs/>
          <w:szCs w:val="24"/>
          <w:rtl/>
        </w:rPr>
        <w:t>لعام 2016 وعملي</w:t>
      </w:r>
      <w:r w:rsidR="00700FD1">
        <w:rPr>
          <w:rFonts w:hint="cs"/>
          <w:bCs/>
          <w:szCs w:val="24"/>
          <w:rtl/>
        </w:rPr>
        <w:t>ات</w:t>
      </w:r>
      <w:r w:rsidRPr="00E32F0A">
        <w:rPr>
          <w:rFonts w:hint="cs"/>
          <w:bCs/>
          <w:szCs w:val="24"/>
          <w:rtl/>
        </w:rPr>
        <w:t xml:space="preserve"> الحصر (بالدولار الأمريكي)</w:t>
      </w:r>
      <w:r w:rsidRPr="00E32F0A">
        <w:rPr>
          <w:b/>
          <w:bCs/>
          <w:szCs w:val="24"/>
        </w:rPr>
        <w:t xml:space="preserve"> *</w:t>
      </w:r>
    </w:p>
    <w:tbl>
      <w:tblPr>
        <w:bidiVisual/>
        <w:tblW w:w="9214" w:type="dxa"/>
        <w:tblInd w:w="250" w:type="dxa"/>
        <w:tblLook w:val="04A0" w:firstRow="1" w:lastRow="0" w:firstColumn="1" w:lastColumn="0" w:noHBand="0" w:noVBand="1"/>
      </w:tblPr>
      <w:tblGrid>
        <w:gridCol w:w="1559"/>
        <w:gridCol w:w="2694"/>
        <w:gridCol w:w="2693"/>
        <w:gridCol w:w="2268"/>
      </w:tblGrid>
      <w:tr w:rsidR="00E32F0A" w:rsidRPr="00CC6540" w:rsidTr="00746D07">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F0A" w:rsidRPr="00B12420" w:rsidRDefault="00E32F0A" w:rsidP="00746D07">
            <w:pPr>
              <w:bidi/>
              <w:jc w:val="center"/>
              <w:rPr>
                <w:rFonts w:ascii="Times New Romant" w:hAnsi="Times New Romant"/>
                <w:b/>
                <w:bCs/>
                <w:color w:val="000000"/>
                <w:sz w:val="22"/>
                <w:szCs w:val="22"/>
                <w:lang w:val="en-CA" w:eastAsia="en-CA"/>
              </w:rPr>
            </w:pPr>
            <w:r w:rsidRPr="00B12420">
              <w:rPr>
                <w:rFonts w:ascii="Times New Romant" w:hAnsi="Times New Romant" w:hint="cs"/>
                <w:b/>
                <w:bCs/>
                <w:color w:val="000000"/>
                <w:sz w:val="22"/>
                <w:szCs w:val="22"/>
                <w:rtl/>
                <w:lang w:eastAsia="en-CA"/>
              </w:rPr>
              <w:t>الوكالة</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E32F0A" w:rsidRPr="00B12420" w:rsidRDefault="00E32F0A" w:rsidP="00746D07">
            <w:pPr>
              <w:bidi/>
              <w:jc w:val="center"/>
              <w:rPr>
                <w:rFonts w:ascii="Times New Romant" w:hAnsi="Times New Romant"/>
                <w:b/>
                <w:bCs/>
                <w:color w:val="000000"/>
                <w:sz w:val="22"/>
                <w:szCs w:val="22"/>
                <w:lang w:val="en-CA" w:eastAsia="en-CA"/>
              </w:rPr>
            </w:pPr>
            <w:r w:rsidRPr="00B12420">
              <w:rPr>
                <w:rFonts w:ascii="Times New Romant" w:hAnsi="Times New Romant"/>
                <w:b/>
                <w:bCs/>
                <w:color w:val="000000"/>
                <w:sz w:val="22"/>
                <w:szCs w:val="22"/>
                <w:rtl/>
                <w:lang w:eastAsia="en-CA"/>
              </w:rPr>
              <w:t>التقرير المرحلي</w:t>
            </w:r>
            <w:r w:rsidRPr="00B12420">
              <w:rPr>
                <w:rFonts w:ascii="Times New Romant" w:hAnsi="Times New Romant" w:hint="cs"/>
                <w:b/>
                <w:bCs/>
                <w:color w:val="000000"/>
                <w:sz w:val="22"/>
                <w:szCs w:val="22"/>
                <w:rtl/>
                <w:lang w:val="en-CA" w:eastAsia="en-CA"/>
              </w:rPr>
              <w:t xml:space="preserve"> المنقح</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32F0A" w:rsidRPr="00B12420" w:rsidRDefault="00E32F0A" w:rsidP="00746D07">
            <w:pPr>
              <w:bidi/>
              <w:jc w:val="center"/>
              <w:rPr>
                <w:rFonts w:ascii="Times New Romant" w:hAnsi="Times New Romant"/>
                <w:b/>
                <w:bCs/>
                <w:color w:val="000000"/>
                <w:sz w:val="22"/>
                <w:szCs w:val="22"/>
                <w:lang w:val="en-CA" w:eastAsia="en-CA"/>
              </w:rPr>
            </w:pPr>
            <w:r w:rsidRPr="00B12420">
              <w:rPr>
                <w:rFonts w:ascii="Times New Romant" w:hAnsi="Times New Romant" w:hint="cs"/>
                <w:b/>
                <w:bCs/>
                <w:color w:val="000000"/>
                <w:sz w:val="22"/>
                <w:szCs w:val="22"/>
                <w:rtl/>
                <w:lang w:eastAsia="en-CA"/>
              </w:rPr>
              <w:t>الحصر</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32F0A" w:rsidRPr="00B12420" w:rsidRDefault="00E32F0A" w:rsidP="00746D07">
            <w:pPr>
              <w:bidi/>
              <w:jc w:val="center"/>
              <w:rPr>
                <w:rFonts w:ascii="Times New Romant" w:hAnsi="Times New Romant"/>
                <w:b/>
                <w:bCs/>
                <w:color w:val="000000"/>
                <w:sz w:val="22"/>
                <w:szCs w:val="22"/>
                <w:lang w:val="en-CA" w:eastAsia="en-CA"/>
              </w:rPr>
            </w:pPr>
            <w:r w:rsidRPr="00B12420">
              <w:rPr>
                <w:rFonts w:ascii="Times New Romant" w:hAnsi="Times New Romant" w:hint="cs"/>
                <w:b/>
                <w:bCs/>
                <w:color w:val="000000"/>
                <w:sz w:val="22"/>
                <w:szCs w:val="22"/>
                <w:rtl/>
                <w:lang w:eastAsia="en-CA"/>
              </w:rPr>
              <w:t>الفرق</w:t>
            </w:r>
          </w:p>
        </w:tc>
      </w:tr>
      <w:tr w:rsidR="00B12420" w:rsidRPr="00CC6540" w:rsidTr="004974E1">
        <w:trPr>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B12420" w:rsidRPr="00B12420" w:rsidRDefault="00B12420" w:rsidP="00746D07">
            <w:pPr>
              <w:bidi/>
              <w:rPr>
                <w:rFonts w:ascii="Times New Romant" w:hAnsi="Times New Romant"/>
                <w:color w:val="000000"/>
                <w:sz w:val="22"/>
                <w:szCs w:val="22"/>
                <w:lang w:val="en-CA" w:eastAsia="en-CA"/>
              </w:rPr>
            </w:pPr>
            <w:r w:rsidRPr="00B12420">
              <w:rPr>
                <w:rFonts w:ascii="Times New Romant" w:hAnsi="Times New Romant" w:hint="cs"/>
                <w:color w:val="000000"/>
                <w:sz w:val="22"/>
                <w:szCs w:val="22"/>
                <w:rtl/>
                <w:lang w:eastAsia="en-CA"/>
              </w:rPr>
              <w:t>اليونيب</w:t>
            </w:r>
          </w:p>
        </w:tc>
        <w:tc>
          <w:tcPr>
            <w:tcW w:w="2694" w:type="dxa"/>
            <w:tcBorders>
              <w:top w:val="nil"/>
              <w:left w:val="nil"/>
              <w:bottom w:val="single" w:sz="4" w:space="0" w:color="auto"/>
              <w:right w:val="single" w:sz="4" w:space="0" w:color="auto"/>
            </w:tcBorders>
            <w:shd w:val="clear" w:color="auto" w:fill="auto"/>
            <w:noWrap/>
            <w:vAlign w:val="center"/>
          </w:tcPr>
          <w:p w:rsidR="00B12420" w:rsidRPr="00B12420" w:rsidRDefault="00B12420" w:rsidP="00746D07">
            <w:pPr>
              <w:jc w:val="center"/>
              <w:rPr>
                <w:bCs/>
                <w:color w:val="000000"/>
                <w:sz w:val="22"/>
                <w:szCs w:val="22"/>
                <w:lang w:val="en-CA" w:eastAsia="en-CA"/>
              </w:rPr>
            </w:pPr>
            <w:r w:rsidRPr="00B12420">
              <w:rPr>
                <w:bCs/>
                <w:color w:val="000000"/>
                <w:sz w:val="22"/>
                <w:szCs w:val="22"/>
                <w:lang w:val="en-CA" w:eastAsia="en-CA"/>
              </w:rPr>
              <w:t>322,875,043</w:t>
            </w:r>
          </w:p>
        </w:tc>
        <w:tc>
          <w:tcPr>
            <w:tcW w:w="2693" w:type="dxa"/>
            <w:tcBorders>
              <w:top w:val="nil"/>
              <w:left w:val="nil"/>
              <w:bottom w:val="single" w:sz="4" w:space="0" w:color="auto"/>
              <w:right w:val="single" w:sz="4" w:space="0" w:color="auto"/>
            </w:tcBorders>
            <w:shd w:val="clear" w:color="auto" w:fill="auto"/>
            <w:noWrap/>
            <w:vAlign w:val="center"/>
          </w:tcPr>
          <w:p w:rsidR="00B12420" w:rsidRPr="00B12420" w:rsidRDefault="00B12420" w:rsidP="00746D07">
            <w:pPr>
              <w:jc w:val="center"/>
              <w:rPr>
                <w:bCs/>
                <w:color w:val="000000"/>
                <w:sz w:val="22"/>
                <w:szCs w:val="22"/>
                <w:lang w:val="en-CA" w:eastAsia="en-CA"/>
              </w:rPr>
            </w:pPr>
            <w:r w:rsidRPr="00B12420">
              <w:rPr>
                <w:bCs/>
                <w:color w:val="000000"/>
                <w:sz w:val="22"/>
                <w:szCs w:val="22"/>
                <w:lang w:val="en-CA" w:eastAsia="en-CA"/>
              </w:rPr>
              <w:t>322,875,043</w:t>
            </w:r>
          </w:p>
        </w:tc>
        <w:tc>
          <w:tcPr>
            <w:tcW w:w="2268" w:type="dxa"/>
            <w:tcBorders>
              <w:top w:val="nil"/>
              <w:left w:val="nil"/>
              <w:bottom w:val="single" w:sz="4" w:space="0" w:color="auto"/>
              <w:right w:val="single" w:sz="4" w:space="0" w:color="auto"/>
            </w:tcBorders>
            <w:shd w:val="clear" w:color="auto" w:fill="auto"/>
            <w:noWrap/>
            <w:vAlign w:val="center"/>
          </w:tcPr>
          <w:p w:rsidR="00B12420" w:rsidRPr="00B12420" w:rsidRDefault="00B12420" w:rsidP="00746D07">
            <w:pPr>
              <w:bidi/>
              <w:jc w:val="center"/>
              <w:rPr>
                <w:sz w:val="22"/>
                <w:szCs w:val="22"/>
                <w:lang w:val="en-CA" w:eastAsia="en-CA"/>
              </w:rPr>
            </w:pPr>
            <w:r w:rsidRPr="00B12420">
              <w:rPr>
                <w:sz w:val="22"/>
                <w:szCs w:val="22"/>
                <w:rtl/>
                <w:lang w:val="en-CA" w:eastAsia="en-CA"/>
              </w:rPr>
              <w:t>0</w:t>
            </w:r>
          </w:p>
        </w:tc>
      </w:tr>
    </w:tbl>
    <w:p w:rsidR="004D2A0B" w:rsidRDefault="00E32F0A" w:rsidP="0015584D">
      <w:pPr>
        <w:pStyle w:val="Heading1"/>
        <w:numPr>
          <w:ilvl w:val="0"/>
          <w:numId w:val="0"/>
        </w:numPr>
        <w:bidi/>
        <w:ind w:firstLine="270"/>
        <w:rPr>
          <w:sz w:val="26"/>
          <w:szCs w:val="26"/>
          <w:rtl/>
        </w:rPr>
      </w:pPr>
      <w:r>
        <w:rPr>
          <w:sz w:val="20"/>
        </w:rPr>
        <w:t>*</w:t>
      </w:r>
      <w:r>
        <w:rPr>
          <w:rFonts w:hint="cs"/>
          <w:sz w:val="20"/>
          <w:rtl/>
        </w:rPr>
        <w:t xml:space="preserve"> بما في ذلك تكاليف دعم الوكالة.</w:t>
      </w:r>
    </w:p>
    <w:p w:rsidR="004D2A0B" w:rsidRDefault="004D2A0B" w:rsidP="0015584D">
      <w:pPr>
        <w:pStyle w:val="StyleHeader4Para4Left0Firstline0"/>
        <w:widowControl/>
        <w:numPr>
          <w:ilvl w:val="0"/>
          <w:numId w:val="0"/>
        </w:numPr>
        <w:tabs>
          <w:tab w:val="clear" w:pos="2880"/>
          <w:tab w:val="clear" w:pos="5760"/>
        </w:tabs>
        <w:bidi/>
        <w:spacing w:after="0"/>
        <w:rPr>
          <w:sz w:val="26"/>
          <w:szCs w:val="26"/>
        </w:rPr>
      </w:pPr>
    </w:p>
    <w:p w:rsidR="00E32F0A" w:rsidRPr="00B5420A" w:rsidRDefault="00E32F0A" w:rsidP="0015584D">
      <w:pPr>
        <w:bidi/>
        <w:spacing w:after="240"/>
        <w:ind w:left="144"/>
        <w:rPr>
          <w:sz w:val="26"/>
          <w:szCs w:val="26"/>
          <w:u w:val="single"/>
          <w:rtl/>
        </w:rPr>
      </w:pPr>
      <w:r w:rsidRPr="00B5420A">
        <w:rPr>
          <w:rFonts w:hint="eastAsia"/>
          <w:sz w:val="26"/>
          <w:szCs w:val="26"/>
          <w:u w:val="single"/>
          <w:rtl/>
        </w:rPr>
        <w:t>الموافقات</w:t>
      </w:r>
      <w:r w:rsidRPr="00B5420A">
        <w:rPr>
          <w:sz w:val="26"/>
          <w:szCs w:val="26"/>
          <w:u w:val="single"/>
          <w:rtl/>
        </w:rPr>
        <w:t xml:space="preserve"> الصافية </w:t>
      </w:r>
      <w:r>
        <w:rPr>
          <w:rFonts w:hint="cs"/>
          <w:sz w:val="26"/>
          <w:szCs w:val="26"/>
          <w:u w:val="single"/>
          <w:rtl/>
        </w:rPr>
        <w:t xml:space="preserve">والإيرادات </w:t>
      </w:r>
      <w:r w:rsidRPr="00B5420A">
        <w:rPr>
          <w:sz w:val="26"/>
          <w:szCs w:val="26"/>
          <w:u w:val="single"/>
          <w:rtl/>
        </w:rPr>
        <w:t xml:space="preserve">في </w:t>
      </w:r>
      <w:r>
        <w:rPr>
          <w:rFonts w:hint="cs"/>
          <w:sz w:val="26"/>
          <w:szCs w:val="26"/>
          <w:u w:val="single"/>
          <w:rtl/>
        </w:rPr>
        <w:t>الحسابات ال</w:t>
      </w:r>
      <w:r w:rsidR="006A6068">
        <w:rPr>
          <w:rFonts w:hint="cs"/>
          <w:sz w:val="26"/>
          <w:szCs w:val="26"/>
          <w:u w:val="single"/>
          <w:rtl/>
          <w:lang w:bidi="ar-EG"/>
        </w:rPr>
        <w:t>ختام</w:t>
      </w:r>
      <w:r>
        <w:rPr>
          <w:rFonts w:hint="cs"/>
          <w:sz w:val="26"/>
          <w:szCs w:val="26"/>
          <w:u w:val="single"/>
          <w:rtl/>
        </w:rPr>
        <w:t xml:space="preserve">ية لعام 2017 </w:t>
      </w:r>
      <w:r w:rsidR="002833ED">
        <w:rPr>
          <w:rFonts w:hint="cs"/>
          <w:sz w:val="26"/>
          <w:szCs w:val="26"/>
          <w:u w:val="single"/>
          <w:rtl/>
        </w:rPr>
        <w:t>و</w:t>
      </w:r>
      <w:r w:rsidR="002833ED">
        <w:rPr>
          <w:sz w:val="26"/>
          <w:szCs w:val="26"/>
          <w:u w:val="single"/>
          <w:rtl/>
        </w:rPr>
        <w:t>التقرير المرحلي</w:t>
      </w:r>
      <w:r w:rsidRPr="00B5420A">
        <w:rPr>
          <w:sz w:val="26"/>
          <w:szCs w:val="26"/>
          <w:u w:val="single"/>
          <w:rtl/>
        </w:rPr>
        <w:t xml:space="preserve"> </w:t>
      </w:r>
      <w:r w:rsidR="002833ED">
        <w:rPr>
          <w:rFonts w:hint="cs"/>
          <w:sz w:val="26"/>
          <w:szCs w:val="26"/>
          <w:u w:val="single"/>
          <w:rtl/>
        </w:rPr>
        <w:t>المنقح لعام</w:t>
      </w:r>
      <w:r w:rsidRPr="00B5420A">
        <w:rPr>
          <w:sz w:val="26"/>
          <w:szCs w:val="26"/>
          <w:u w:val="single"/>
          <w:rtl/>
        </w:rPr>
        <w:t xml:space="preserve"> 201</w:t>
      </w:r>
      <w:r>
        <w:rPr>
          <w:rFonts w:hint="cs"/>
          <w:sz w:val="26"/>
          <w:szCs w:val="26"/>
          <w:u w:val="single"/>
          <w:rtl/>
        </w:rPr>
        <w:t>7</w:t>
      </w:r>
    </w:p>
    <w:p w:rsidR="002833ED" w:rsidRDefault="00E32F0A" w:rsidP="00700FD1">
      <w:pPr>
        <w:pStyle w:val="Heading1"/>
        <w:bidi/>
        <w:rPr>
          <w:sz w:val="26"/>
          <w:szCs w:val="26"/>
          <w:lang w:bidi="ar-EG"/>
        </w:rPr>
      </w:pPr>
      <w:r w:rsidRPr="00B5420A">
        <w:rPr>
          <w:rFonts w:hint="eastAsia"/>
          <w:sz w:val="26"/>
          <w:szCs w:val="26"/>
          <w:rtl/>
        </w:rPr>
        <w:t>يتضمن</w:t>
      </w:r>
      <w:r w:rsidRPr="00B5420A">
        <w:rPr>
          <w:sz w:val="26"/>
          <w:szCs w:val="26"/>
          <w:rtl/>
        </w:rPr>
        <w:t xml:space="preserve"> </w:t>
      </w:r>
      <w:r w:rsidRPr="00B5420A">
        <w:rPr>
          <w:rFonts w:hint="eastAsia"/>
          <w:sz w:val="26"/>
          <w:szCs w:val="26"/>
          <w:rtl/>
        </w:rPr>
        <w:t>الجدول</w:t>
      </w:r>
      <w:r w:rsidRPr="00B5420A">
        <w:rPr>
          <w:sz w:val="26"/>
          <w:szCs w:val="26"/>
          <w:rtl/>
        </w:rPr>
        <w:t xml:space="preserve"> 2 </w:t>
      </w:r>
      <w:r w:rsidRPr="00B5420A">
        <w:rPr>
          <w:rFonts w:hint="eastAsia"/>
          <w:sz w:val="26"/>
          <w:szCs w:val="26"/>
          <w:rtl/>
        </w:rPr>
        <w:t>ال</w:t>
      </w:r>
      <w:r w:rsidR="00700FD1">
        <w:rPr>
          <w:rFonts w:hint="cs"/>
          <w:sz w:val="26"/>
          <w:szCs w:val="26"/>
          <w:rtl/>
        </w:rPr>
        <w:t>اختلافات</w:t>
      </w:r>
      <w:r w:rsidRPr="00B5420A">
        <w:rPr>
          <w:sz w:val="26"/>
          <w:szCs w:val="26"/>
          <w:rtl/>
        </w:rPr>
        <w:t xml:space="preserve"> </w:t>
      </w:r>
      <w:r w:rsidRPr="00B5420A">
        <w:rPr>
          <w:rFonts w:hint="eastAsia"/>
          <w:sz w:val="26"/>
          <w:szCs w:val="26"/>
          <w:rtl/>
        </w:rPr>
        <w:t>بين</w:t>
      </w:r>
      <w:r w:rsidRPr="00B5420A">
        <w:rPr>
          <w:sz w:val="26"/>
          <w:szCs w:val="26"/>
          <w:rtl/>
        </w:rPr>
        <w:t xml:space="preserve"> </w:t>
      </w:r>
      <w:r w:rsidR="002833ED" w:rsidRPr="002833ED">
        <w:rPr>
          <w:rFonts w:hint="cs"/>
          <w:sz w:val="26"/>
          <w:szCs w:val="26"/>
          <w:rtl/>
        </w:rPr>
        <w:t>الحسابات ال</w:t>
      </w:r>
      <w:r w:rsidR="006A6068">
        <w:rPr>
          <w:rFonts w:hint="cs"/>
          <w:sz w:val="26"/>
          <w:szCs w:val="26"/>
          <w:rtl/>
        </w:rPr>
        <w:t>ختام</w:t>
      </w:r>
      <w:r w:rsidR="002833ED" w:rsidRPr="002833ED">
        <w:rPr>
          <w:rFonts w:hint="cs"/>
          <w:sz w:val="26"/>
          <w:szCs w:val="26"/>
          <w:rtl/>
        </w:rPr>
        <w:t>ية لعام 2017 و</w:t>
      </w:r>
      <w:r w:rsidR="002833ED" w:rsidRPr="002833ED">
        <w:rPr>
          <w:sz w:val="26"/>
          <w:szCs w:val="26"/>
          <w:rtl/>
        </w:rPr>
        <w:t xml:space="preserve">التقرير المرحلي </w:t>
      </w:r>
      <w:r w:rsidR="002833ED" w:rsidRPr="002833ED">
        <w:rPr>
          <w:rFonts w:hint="cs"/>
          <w:sz w:val="26"/>
          <w:szCs w:val="26"/>
          <w:rtl/>
        </w:rPr>
        <w:t>المنقح لعام</w:t>
      </w:r>
      <w:r w:rsidR="002833ED" w:rsidRPr="002833ED">
        <w:rPr>
          <w:sz w:val="26"/>
          <w:szCs w:val="26"/>
          <w:rtl/>
        </w:rPr>
        <w:t xml:space="preserve"> 201</w:t>
      </w:r>
      <w:r w:rsidR="002833ED" w:rsidRPr="002833ED">
        <w:rPr>
          <w:rFonts w:hint="cs"/>
          <w:sz w:val="26"/>
          <w:szCs w:val="26"/>
          <w:rtl/>
        </w:rPr>
        <w:t>7</w:t>
      </w:r>
      <w:r w:rsidRPr="00B5420A">
        <w:rPr>
          <w:sz w:val="26"/>
          <w:szCs w:val="26"/>
          <w:rtl/>
        </w:rPr>
        <w:t>.</w:t>
      </w:r>
    </w:p>
    <w:p w:rsidR="00E32F0A" w:rsidRPr="002833ED" w:rsidRDefault="00E32F0A" w:rsidP="006A6068">
      <w:pPr>
        <w:bidi/>
        <w:ind w:firstLine="142"/>
        <w:jc w:val="left"/>
        <w:rPr>
          <w:b/>
          <w:bCs/>
          <w:szCs w:val="24"/>
          <w:rtl/>
        </w:rPr>
      </w:pPr>
      <w:r w:rsidRPr="002833ED">
        <w:rPr>
          <w:rFonts w:hint="cs"/>
          <w:b/>
          <w:bCs/>
          <w:szCs w:val="24"/>
          <w:rtl/>
        </w:rPr>
        <w:t>الجدول 2</w:t>
      </w:r>
      <w:r w:rsidR="0015584D">
        <w:rPr>
          <w:rFonts w:hint="cs"/>
          <w:bCs/>
          <w:szCs w:val="24"/>
          <w:rtl/>
        </w:rPr>
        <w:t>.</w:t>
      </w:r>
      <w:r w:rsidRPr="002833ED">
        <w:rPr>
          <w:rFonts w:hint="cs"/>
          <w:b/>
          <w:bCs/>
          <w:szCs w:val="24"/>
          <w:rtl/>
        </w:rPr>
        <w:t xml:space="preserve"> الاختلافات</w:t>
      </w:r>
      <w:r w:rsidRPr="002833ED">
        <w:rPr>
          <w:rFonts w:hint="cs"/>
          <w:szCs w:val="24"/>
          <w:rtl/>
        </w:rPr>
        <w:t xml:space="preserve"> </w:t>
      </w:r>
      <w:r w:rsidRPr="002833ED">
        <w:rPr>
          <w:rFonts w:hint="cs"/>
          <w:b/>
          <w:bCs/>
          <w:szCs w:val="24"/>
          <w:rtl/>
        </w:rPr>
        <w:t xml:space="preserve">بين </w:t>
      </w:r>
      <w:r w:rsidR="002833ED" w:rsidRPr="002833ED">
        <w:rPr>
          <w:rFonts w:hint="cs"/>
          <w:b/>
          <w:bCs/>
          <w:szCs w:val="24"/>
          <w:rtl/>
        </w:rPr>
        <w:t>الحسابات ال</w:t>
      </w:r>
      <w:r w:rsidR="006A6068">
        <w:rPr>
          <w:rFonts w:hint="cs"/>
          <w:b/>
          <w:bCs/>
          <w:szCs w:val="24"/>
          <w:rtl/>
        </w:rPr>
        <w:t>ختام</w:t>
      </w:r>
      <w:r w:rsidR="002833ED" w:rsidRPr="002833ED">
        <w:rPr>
          <w:rFonts w:hint="cs"/>
          <w:b/>
          <w:bCs/>
          <w:szCs w:val="24"/>
          <w:rtl/>
        </w:rPr>
        <w:t>ية لعام 2017</w:t>
      </w:r>
      <w:r w:rsidR="002833ED" w:rsidRPr="002833ED">
        <w:rPr>
          <w:rFonts w:hint="cs"/>
          <w:szCs w:val="24"/>
          <w:rtl/>
        </w:rPr>
        <w:t xml:space="preserve"> </w:t>
      </w:r>
      <w:r w:rsidR="002833ED" w:rsidRPr="002833ED">
        <w:rPr>
          <w:rFonts w:hint="cs"/>
          <w:b/>
          <w:bCs/>
          <w:szCs w:val="24"/>
          <w:rtl/>
        </w:rPr>
        <w:t>و</w:t>
      </w:r>
      <w:r w:rsidR="002833ED" w:rsidRPr="002833ED">
        <w:rPr>
          <w:b/>
          <w:bCs/>
          <w:szCs w:val="24"/>
          <w:rtl/>
        </w:rPr>
        <w:t>التقرير المرحلي</w:t>
      </w:r>
      <w:r w:rsidR="002833ED" w:rsidRPr="002833ED">
        <w:rPr>
          <w:szCs w:val="24"/>
          <w:rtl/>
        </w:rPr>
        <w:t xml:space="preserve"> </w:t>
      </w:r>
      <w:r w:rsidR="002833ED" w:rsidRPr="002833ED">
        <w:rPr>
          <w:rFonts w:hint="cs"/>
          <w:b/>
          <w:bCs/>
          <w:szCs w:val="24"/>
          <w:rtl/>
        </w:rPr>
        <w:t>المنقح لعام</w:t>
      </w:r>
      <w:r w:rsidR="002833ED" w:rsidRPr="002833ED">
        <w:rPr>
          <w:b/>
          <w:bCs/>
          <w:szCs w:val="24"/>
          <w:rtl/>
        </w:rPr>
        <w:t xml:space="preserve"> 201</w:t>
      </w:r>
      <w:r w:rsidR="002833ED" w:rsidRPr="002833ED">
        <w:rPr>
          <w:rFonts w:hint="cs"/>
          <w:b/>
          <w:bCs/>
          <w:szCs w:val="24"/>
          <w:rtl/>
        </w:rPr>
        <w:t>7</w:t>
      </w:r>
      <w:r w:rsidRPr="002833ED">
        <w:rPr>
          <w:rFonts w:hint="cs"/>
          <w:b/>
          <w:bCs/>
          <w:szCs w:val="24"/>
          <w:rtl/>
        </w:rPr>
        <w:t xml:space="preserve"> (بالدولار الأمريكي)</w:t>
      </w:r>
    </w:p>
    <w:tbl>
      <w:tblPr>
        <w:bidiVisual/>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08"/>
        <w:gridCol w:w="2250"/>
        <w:gridCol w:w="2610"/>
        <w:gridCol w:w="2246"/>
      </w:tblGrid>
      <w:tr w:rsidR="00E32F0A" w:rsidRPr="00F70F45" w:rsidTr="00746D07">
        <w:trPr>
          <w:trHeight w:val="413"/>
        </w:trPr>
        <w:tc>
          <w:tcPr>
            <w:tcW w:w="2108" w:type="dxa"/>
            <w:shd w:val="clear" w:color="000000" w:fill="FFFFFF"/>
            <w:vAlign w:val="center"/>
            <w:hideMark/>
          </w:tcPr>
          <w:p w:rsidR="00E32F0A" w:rsidRPr="002833ED" w:rsidRDefault="00E32F0A" w:rsidP="00746D07">
            <w:pPr>
              <w:bidi/>
              <w:jc w:val="left"/>
              <w:rPr>
                <w:b/>
                <w:bCs/>
                <w:color w:val="000000"/>
                <w:sz w:val="22"/>
                <w:szCs w:val="22"/>
                <w:lang w:val="en-CA" w:eastAsia="en-CA"/>
              </w:rPr>
            </w:pPr>
            <w:r w:rsidRPr="002833ED">
              <w:rPr>
                <w:rFonts w:hint="cs"/>
                <w:b/>
                <w:bCs/>
                <w:color w:val="000000"/>
                <w:sz w:val="22"/>
                <w:szCs w:val="22"/>
                <w:rtl/>
                <w:lang w:val="en-US" w:eastAsia="en-CA"/>
              </w:rPr>
              <w:t>الوكالة</w:t>
            </w:r>
          </w:p>
        </w:tc>
        <w:tc>
          <w:tcPr>
            <w:tcW w:w="2250" w:type="dxa"/>
            <w:shd w:val="clear" w:color="000000" w:fill="FFFFFF"/>
            <w:vAlign w:val="center"/>
            <w:hideMark/>
          </w:tcPr>
          <w:p w:rsidR="00E32F0A" w:rsidRPr="002833ED" w:rsidRDefault="00E32F0A" w:rsidP="002833ED">
            <w:pPr>
              <w:bidi/>
              <w:jc w:val="center"/>
              <w:rPr>
                <w:b/>
                <w:bCs/>
                <w:color w:val="000000"/>
                <w:sz w:val="22"/>
                <w:szCs w:val="22"/>
                <w:rtl/>
                <w:lang w:val="en-US" w:eastAsia="en-CA" w:bidi="ar-EG"/>
              </w:rPr>
            </w:pPr>
            <w:r w:rsidRPr="002833ED">
              <w:rPr>
                <w:rFonts w:hint="cs"/>
                <w:b/>
                <w:bCs/>
                <w:color w:val="000000"/>
                <w:sz w:val="22"/>
                <w:szCs w:val="22"/>
                <w:rtl/>
                <w:lang w:val="en-US" w:eastAsia="en-CA"/>
              </w:rPr>
              <w:t>التقرير المرحلي</w:t>
            </w:r>
            <w:r w:rsidR="002833ED">
              <w:rPr>
                <w:rFonts w:hint="cs"/>
                <w:b/>
                <w:bCs/>
                <w:color w:val="000000"/>
                <w:sz w:val="22"/>
                <w:szCs w:val="22"/>
                <w:rtl/>
                <w:lang w:val="en-US" w:eastAsia="en-CA"/>
              </w:rPr>
              <w:t xml:space="preserve"> </w:t>
            </w:r>
            <w:r w:rsidR="002833ED">
              <w:rPr>
                <w:rFonts w:hint="cs"/>
                <w:b/>
                <w:bCs/>
                <w:color w:val="000000"/>
                <w:sz w:val="22"/>
                <w:szCs w:val="22"/>
                <w:rtl/>
                <w:lang w:val="en-US" w:eastAsia="en-CA" w:bidi="ar-EG"/>
              </w:rPr>
              <w:t>المنقح*</w:t>
            </w:r>
          </w:p>
        </w:tc>
        <w:tc>
          <w:tcPr>
            <w:tcW w:w="2610" w:type="dxa"/>
            <w:shd w:val="clear" w:color="000000" w:fill="FFFFFF"/>
            <w:vAlign w:val="center"/>
            <w:hideMark/>
          </w:tcPr>
          <w:p w:rsidR="00E32F0A" w:rsidRPr="002833ED" w:rsidRDefault="00E32F0A" w:rsidP="006A6068">
            <w:pPr>
              <w:bidi/>
              <w:jc w:val="center"/>
              <w:rPr>
                <w:b/>
                <w:bCs/>
                <w:color w:val="000000"/>
                <w:sz w:val="22"/>
                <w:szCs w:val="22"/>
                <w:lang w:val="en-CA" w:eastAsia="en-CA"/>
              </w:rPr>
            </w:pPr>
            <w:r w:rsidRPr="002833ED">
              <w:rPr>
                <w:rFonts w:hint="cs"/>
                <w:b/>
                <w:bCs/>
                <w:color w:val="000000"/>
                <w:sz w:val="22"/>
                <w:szCs w:val="22"/>
                <w:rtl/>
                <w:lang w:val="en-US" w:eastAsia="en-CA"/>
              </w:rPr>
              <w:t>الحسابات ال</w:t>
            </w:r>
            <w:r w:rsidR="006A6068">
              <w:rPr>
                <w:rFonts w:hint="cs"/>
                <w:b/>
                <w:bCs/>
                <w:color w:val="000000"/>
                <w:sz w:val="22"/>
                <w:szCs w:val="22"/>
                <w:rtl/>
                <w:lang w:val="en-US" w:eastAsia="en-CA"/>
              </w:rPr>
              <w:t>ختام</w:t>
            </w:r>
            <w:r w:rsidRPr="002833ED">
              <w:rPr>
                <w:rFonts w:hint="cs"/>
                <w:b/>
                <w:bCs/>
                <w:color w:val="000000"/>
                <w:sz w:val="22"/>
                <w:szCs w:val="22"/>
                <w:rtl/>
                <w:lang w:val="en-US" w:eastAsia="en-CA"/>
              </w:rPr>
              <w:t>ية</w:t>
            </w:r>
            <w:r w:rsidR="002833ED">
              <w:rPr>
                <w:rFonts w:hint="cs"/>
                <w:b/>
                <w:bCs/>
                <w:color w:val="000000"/>
                <w:sz w:val="22"/>
                <w:szCs w:val="22"/>
                <w:rtl/>
                <w:lang w:val="en-CA" w:eastAsia="en-CA"/>
              </w:rPr>
              <w:t xml:space="preserve"> لعام 2017</w:t>
            </w:r>
          </w:p>
        </w:tc>
        <w:tc>
          <w:tcPr>
            <w:tcW w:w="2246" w:type="dxa"/>
            <w:shd w:val="clear" w:color="000000" w:fill="FFFFFF"/>
            <w:vAlign w:val="center"/>
            <w:hideMark/>
          </w:tcPr>
          <w:p w:rsidR="00E32F0A" w:rsidRPr="002833ED" w:rsidRDefault="00E32F0A" w:rsidP="00746D07">
            <w:pPr>
              <w:bidi/>
              <w:jc w:val="center"/>
              <w:rPr>
                <w:b/>
                <w:bCs/>
                <w:color w:val="000000"/>
                <w:sz w:val="22"/>
                <w:szCs w:val="22"/>
                <w:lang w:val="en-CA" w:eastAsia="en-CA"/>
              </w:rPr>
            </w:pPr>
            <w:r w:rsidRPr="002833ED">
              <w:rPr>
                <w:rFonts w:hint="cs"/>
                <w:b/>
                <w:bCs/>
                <w:color w:val="000000"/>
                <w:sz w:val="22"/>
                <w:szCs w:val="22"/>
                <w:rtl/>
                <w:lang w:val="en-US" w:eastAsia="en-CA"/>
              </w:rPr>
              <w:t>الفرق</w:t>
            </w:r>
            <w:r w:rsidRPr="002833ED">
              <w:rPr>
                <w:b/>
                <w:bCs/>
                <w:color w:val="000000"/>
                <w:sz w:val="22"/>
                <w:szCs w:val="22"/>
                <w:lang w:val="en-US" w:eastAsia="en-CA"/>
              </w:rPr>
              <w:t>**</w:t>
            </w:r>
          </w:p>
        </w:tc>
      </w:tr>
      <w:tr w:rsidR="00B12420" w:rsidRPr="0067755E" w:rsidTr="00746D07">
        <w:trPr>
          <w:trHeight w:val="300"/>
        </w:trPr>
        <w:tc>
          <w:tcPr>
            <w:tcW w:w="2108" w:type="dxa"/>
            <w:shd w:val="clear" w:color="000000" w:fill="FFFFFF"/>
            <w:vAlign w:val="center"/>
            <w:hideMark/>
          </w:tcPr>
          <w:p w:rsidR="00B12420" w:rsidRPr="002833ED" w:rsidRDefault="00B12420" w:rsidP="00746D07">
            <w:pPr>
              <w:bidi/>
              <w:jc w:val="left"/>
              <w:rPr>
                <w:color w:val="000000"/>
                <w:sz w:val="22"/>
                <w:szCs w:val="22"/>
                <w:lang w:val="en-CA" w:eastAsia="en-CA"/>
              </w:rPr>
            </w:pPr>
            <w:r w:rsidRPr="002833ED">
              <w:rPr>
                <w:rFonts w:hint="cs"/>
                <w:color w:val="000000"/>
                <w:sz w:val="22"/>
                <w:szCs w:val="22"/>
                <w:rtl/>
                <w:lang w:val="en-US" w:eastAsia="en-CA"/>
              </w:rPr>
              <w:t>اليونيب</w:t>
            </w:r>
          </w:p>
        </w:tc>
        <w:tc>
          <w:tcPr>
            <w:tcW w:w="2250" w:type="dxa"/>
            <w:shd w:val="clear" w:color="000000" w:fill="FFFFFF"/>
            <w:vAlign w:val="center"/>
          </w:tcPr>
          <w:p w:rsidR="00B12420" w:rsidRPr="00B12420" w:rsidRDefault="00B12420" w:rsidP="00746D07">
            <w:pPr>
              <w:jc w:val="center"/>
              <w:rPr>
                <w:bCs/>
                <w:color w:val="000000"/>
                <w:sz w:val="22"/>
                <w:szCs w:val="22"/>
                <w:lang w:val="en-CA" w:eastAsia="en-CA"/>
              </w:rPr>
            </w:pPr>
            <w:r w:rsidRPr="00B12420">
              <w:rPr>
                <w:bCs/>
                <w:color w:val="000000"/>
                <w:sz w:val="22"/>
                <w:szCs w:val="22"/>
                <w:lang w:val="en-CA" w:eastAsia="en-CA"/>
              </w:rPr>
              <w:t>322,875,043</w:t>
            </w:r>
          </w:p>
        </w:tc>
        <w:tc>
          <w:tcPr>
            <w:tcW w:w="2610" w:type="dxa"/>
            <w:shd w:val="clear" w:color="000000" w:fill="FFFFFF"/>
            <w:vAlign w:val="center"/>
          </w:tcPr>
          <w:p w:rsidR="00B12420" w:rsidRPr="00B12420" w:rsidRDefault="00B12420" w:rsidP="00700FD1">
            <w:pPr>
              <w:jc w:val="center"/>
              <w:rPr>
                <w:bCs/>
                <w:color w:val="000000"/>
                <w:sz w:val="22"/>
                <w:szCs w:val="22"/>
                <w:lang w:val="en-CA" w:eastAsia="en-CA"/>
              </w:rPr>
            </w:pPr>
            <w:r w:rsidRPr="00B12420">
              <w:rPr>
                <w:bCs/>
                <w:color w:val="000000"/>
                <w:sz w:val="22"/>
                <w:szCs w:val="22"/>
                <w:lang w:val="en-CA" w:eastAsia="en-CA"/>
              </w:rPr>
              <w:t>322,8</w:t>
            </w:r>
            <w:r w:rsidR="00700FD1">
              <w:rPr>
                <w:bCs/>
                <w:color w:val="000000"/>
                <w:sz w:val="22"/>
                <w:szCs w:val="22"/>
                <w:lang w:val="en-CA" w:eastAsia="en-CA"/>
              </w:rPr>
              <w:t>47</w:t>
            </w:r>
            <w:r w:rsidRPr="00B12420">
              <w:rPr>
                <w:bCs/>
                <w:color w:val="000000"/>
                <w:sz w:val="22"/>
                <w:szCs w:val="22"/>
                <w:lang w:val="en-CA" w:eastAsia="en-CA"/>
              </w:rPr>
              <w:t>,</w:t>
            </w:r>
            <w:r w:rsidR="00700FD1">
              <w:rPr>
                <w:bCs/>
                <w:color w:val="000000"/>
                <w:sz w:val="22"/>
                <w:szCs w:val="22"/>
                <w:lang w:val="en-CA" w:eastAsia="en-CA"/>
              </w:rPr>
              <w:t>686</w:t>
            </w:r>
          </w:p>
        </w:tc>
        <w:tc>
          <w:tcPr>
            <w:tcW w:w="2246" w:type="dxa"/>
            <w:shd w:val="clear" w:color="000000" w:fill="FFFFFF"/>
            <w:vAlign w:val="center"/>
          </w:tcPr>
          <w:p w:rsidR="00B12420" w:rsidRPr="00700FD1" w:rsidRDefault="00B12420" w:rsidP="00B12420">
            <w:pPr>
              <w:bidi/>
              <w:jc w:val="center"/>
              <w:rPr>
                <w:sz w:val="22"/>
                <w:szCs w:val="22"/>
                <w:lang w:val="en-CA" w:eastAsia="en-CA"/>
              </w:rPr>
            </w:pPr>
            <w:r w:rsidRPr="00700FD1">
              <w:rPr>
                <w:sz w:val="22"/>
                <w:szCs w:val="22"/>
                <w:lang w:val="en-CA" w:eastAsia="en-CA"/>
              </w:rPr>
              <w:t>27,357</w:t>
            </w:r>
          </w:p>
        </w:tc>
      </w:tr>
    </w:tbl>
    <w:p w:rsidR="00E32F0A" w:rsidRDefault="00E32F0A" w:rsidP="00E32F0A">
      <w:pPr>
        <w:bidi/>
        <w:ind w:left="142"/>
        <w:rPr>
          <w:sz w:val="20"/>
        </w:rPr>
      </w:pPr>
      <w:r>
        <w:rPr>
          <w:sz w:val="20"/>
        </w:rPr>
        <w:t xml:space="preserve">(*) </w:t>
      </w:r>
      <w:r>
        <w:rPr>
          <w:rFonts w:hint="cs"/>
          <w:sz w:val="20"/>
          <w:rtl/>
        </w:rPr>
        <w:t xml:space="preserve"> بما في ذلك تكاليف دعم الوكالة.</w:t>
      </w:r>
    </w:p>
    <w:p w:rsidR="00E32F0A" w:rsidRDefault="00E32F0A" w:rsidP="00E32F0A">
      <w:pPr>
        <w:bidi/>
        <w:ind w:left="142"/>
        <w:rPr>
          <w:sz w:val="20"/>
        </w:rPr>
      </w:pPr>
      <w:r>
        <w:rPr>
          <w:sz w:val="20"/>
        </w:rPr>
        <w:t xml:space="preserve">(**) </w:t>
      </w:r>
      <w:r>
        <w:rPr>
          <w:rFonts w:hint="cs"/>
          <w:sz w:val="20"/>
          <w:rtl/>
        </w:rPr>
        <w:t xml:space="preserve"> العدد الإيجابي يعني المزيد من الايرادات في حين أن العدد السلبي يعني انخفاض الايرادات المبلغ في حسابات الوكالات المنفذة.</w:t>
      </w:r>
    </w:p>
    <w:p w:rsidR="004D2A0B" w:rsidRDefault="004D2A0B" w:rsidP="0015584D">
      <w:pPr>
        <w:pStyle w:val="StyleHeader4Para4Left0Firstline0"/>
        <w:widowControl/>
        <w:numPr>
          <w:ilvl w:val="0"/>
          <w:numId w:val="0"/>
        </w:numPr>
        <w:tabs>
          <w:tab w:val="clear" w:pos="2880"/>
          <w:tab w:val="clear" w:pos="5760"/>
        </w:tabs>
        <w:bidi/>
        <w:spacing w:after="120"/>
        <w:rPr>
          <w:sz w:val="26"/>
          <w:szCs w:val="26"/>
        </w:rPr>
      </w:pPr>
    </w:p>
    <w:p w:rsidR="002833ED" w:rsidRDefault="002833ED" w:rsidP="006A6068">
      <w:pPr>
        <w:pStyle w:val="Heading1"/>
        <w:bidi/>
        <w:rPr>
          <w:sz w:val="26"/>
          <w:szCs w:val="26"/>
          <w:lang w:bidi="ar-EG"/>
        </w:rPr>
      </w:pPr>
      <w:r w:rsidRPr="00B5420A">
        <w:rPr>
          <w:rFonts w:hint="eastAsia"/>
          <w:sz w:val="26"/>
          <w:szCs w:val="26"/>
          <w:rtl/>
        </w:rPr>
        <w:t>ويتضمن</w:t>
      </w:r>
      <w:r w:rsidRPr="00B5420A">
        <w:rPr>
          <w:sz w:val="26"/>
          <w:szCs w:val="26"/>
          <w:rtl/>
        </w:rPr>
        <w:t xml:space="preserve"> الجدول 3 التفسيرات المقدمة من </w:t>
      </w:r>
      <w:r>
        <w:rPr>
          <w:rFonts w:hint="cs"/>
          <w:sz w:val="26"/>
          <w:szCs w:val="26"/>
          <w:rtl/>
        </w:rPr>
        <w:t>اليونيب</w:t>
      </w:r>
      <w:r w:rsidRPr="00B5420A">
        <w:rPr>
          <w:sz w:val="26"/>
          <w:szCs w:val="26"/>
          <w:rtl/>
        </w:rPr>
        <w:t xml:space="preserve"> </w:t>
      </w:r>
      <w:r w:rsidRPr="00B5420A">
        <w:rPr>
          <w:rFonts w:hint="eastAsia"/>
          <w:sz w:val="26"/>
          <w:szCs w:val="26"/>
          <w:rtl/>
        </w:rPr>
        <w:t>لل</w:t>
      </w:r>
      <w:r>
        <w:rPr>
          <w:rFonts w:hint="cs"/>
          <w:sz w:val="26"/>
          <w:szCs w:val="26"/>
          <w:rtl/>
        </w:rPr>
        <w:t>ا</w:t>
      </w:r>
      <w:r w:rsidRPr="00B5420A">
        <w:rPr>
          <w:rFonts w:hint="eastAsia"/>
          <w:sz w:val="26"/>
          <w:szCs w:val="26"/>
          <w:rtl/>
        </w:rPr>
        <w:t>ختلاف</w:t>
      </w:r>
      <w:r w:rsidRPr="00B5420A">
        <w:rPr>
          <w:sz w:val="26"/>
          <w:szCs w:val="26"/>
          <w:rtl/>
        </w:rPr>
        <w:t xml:space="preserve"> </w:t>
      </w:r>
      <w:r w:rsidRPr="00B5420A">
        <w:rPr>
          <w:rFonts w:hint="eastAsia"/>
          <w:sz w:val="26"/>
          <w:szCs w:val="26"/>
          <w:rtl/>
        </w:rPr>
        <w:t>بين</w:t>
      </w:r>
      <w:r w:rsidRPr="00B5420A">
        <w:rPr>
          <w:sz w:val="26"/>
          <w:szCs w:val="26"/>
          <w:rtl/>
        </w:rPr>
        <w:t xml:space="preserve"> </w:t>
      </w:r>
      <w:r w:rsidRPr="00B5420A">
        <w:rPr>
          <w:rFonts w:hint="eastAsia"/>
          <w:sz w:val="26"/>
          <w:szCs w:val="26"/>
          <w:rtl/>
        </w:rPr>
        <w:t>التقرير</w:t>
      </w:r>
      <w:r w:rsidRPr="00B5420A">
        <w:rPr>
          <w:sz w:val="26"/>
          <w:szCs w:val="26"/>
          <w:rtl/>
        </w:rPr>
        <w:t xml:space="preserve"> </w:t>
      </w:r>
      <w:r w:rsidRPr="00B5420A">
        <w:rPr>
          <w:rFonts w:hint="eastAsia"/>
          <w:sz w:val="26"/>
          <w:szCs w:val="26"/>
          <w:rtl/>
        </w:rPr>
        <w:t>المرحلي</w:t>
      </w:r>
      <w:r w:rsidRPr="00B5420A">
        <w:rPr>
          <w:sz w:val="26"/>
          <w:szCs w:val="26"/>
          <w:rtl/>
        </w:rPr>
        <w:t xml:space="preserve"> </w:t>
      </w:r>
      <w:r>
        <w:rPr>
          <w:rFonts w:hint="cs"/>
          <w:sz w:val="26"/>
          <w:szCs w:val="26"/>
          <w:rtl/>
        </w:rPr>
        <w:t xml:space="preserve">المنقح لعام 2017 </w:t>
      </w:r>
      <w:r w:rsidRPr="00B5420A">
        <w:rPr>
          <w:rFonts w:hint="eastAsia"/>
          <w:sz w:val="26"/>
          <w:szCs w:val="26"/>
          <w:rtl/>
        </w:rPr>
        <w:t>و</w:t>
      </w:r>
      <w:r>
        <w:rPr>
          <w:rFonts w:hint="cs"/>
          <w:sz w:val="26"/>
          <w:szCs w:val="26"/>
          <w:rtl/>
        </w:rPr>
        <w:t>ال</w:t>
      </w:r>
      <w:r w:rsidRPr="00B5420A">
        <w:rPr>
          <w:rFonts w:hint="eastAsia"/>
          <w:sz w:val="26"/>
          <w:szCs w:val="26"/>
          <w:rtl/>
        </w:rPr>
        <w:t>حسابات</w:t>
      </w:r>
      <w:r w:rsidRPr="00B5420A">
        <w:rPr>
          <w:sz w:val="26"/>
          <w:szCs w:val="26"/>
          <w:rtl/>
        </w:rPr>
        <w:t xml:space="preserve"> </w:t>
      </w:r>
      <w:r>
        <w:rPr>
          <w:rFonts w:hint="cs"/>
          <w:sz w:val="26"/>
          <w:szCs w:val="26"/>
          <w:rtl/>
        </w:rPr>
        <w:t>ال</w:t>
      </w:r>
      <w:r w:rsidR="006A6068">
        <w:rPr>
          <w:rFonts w:hint="cs"/>
          <w:sz w:val="26"/>
          <w:szCs w:val="26"/>
          <w:rtl/>
        </w:rPr>
        <w:t>ختام</w:t>
      </w:r>
      <w:r>
        <w:rPr>
          <w:rFonts w:hint="cs"/>
          <w:sz w:val="26"/>
          <w:szCs w:val="26"/>
          <w:rtl/>
        </w:rPr>
        <w:t>ية ل</w:t>
      </w:r>
      <w:r w:rsidRPr="00B5420A">
        <w:rPr>
          <w:rFonts w:hint="eastAsia"/>
          <w:sz w:val="26"/>
          <w:szCs w:val="26"/>
          <w:rtl/>
        </w:rPr>
        <w:t>عام</w:t>
      </w:r>
      <w:r w:rsidRPr="00B5420A">
        <w:rPr>
          <w:sz w:val="26"/>
          <w:szCs w:val="26"/>
          <w:rtl/>
        </w:rPr>
        <w:t xml:space="preserve"> 201</w:t>
      </w:r>
      <w:r>
        <w:rPr>
          <w:rFonts w:hint="cs"/>
          <w:sz w:val="26"/>
          <w:szCs w:val="26"/>
          <w:rtl/>
        </w:rPr>
        <w:t>7</w:t>
      </w:r>
      <w:r w:rsidRPr="00B5420A">
        <w:rPr>
          <w:sz w:val="26"/>
          <w:szCs w:val="26"/>
          <w:rtl/>
        </w:rPr>
        <w:t>.</w:t>
      </w:r>
    </w:p>
    <w:p w:rsidR="001173BD" w:rsidRDefault="001173BD">
      <w:pPr>
        <w:jc w:val="left"/>
        <w:rPr>
          <w:bCs/>
          <w:szCs w:val="24"/>
          <w:rtl/>
        </w:rPr>
      </w:pPr>
      <w:r>
        <w:rPr>
          <w:bCs/>
          <w:szCs w:val="24"/>
          <w:rtl/>
        </w:rPr>
        <w:br w:type="page"/>
      </w:r>
    </w:p>
    <w:p w:rsidR="00B12420" w:rsidRPr="00B12420" w:rsidRDefault="00B12420" w:rsidP="00700FD1">
      <w:pPr>
        <w:bidi/>
        <w:rPr>
          <w:bCs/>
          <w:szCs w:val="24"/>
          <w:rtl/>
        </w:rPr>
      </w:pPr>
      <w:r w:rsidRPr="00B12420">
        <w:rPr>
          <w:rFonts w:hint="cs"/>
          <w:bCs/>
          <w:szCs w:val="24"/>
          <w:rtl/>
        </w:rPr>
        <w:lastRenderedPageBreak/>
        <w:t>الجدول 3</w:t>
      </w:r>
      <w:r w:rsidR="0015584D">
        <w:rPr>
          <w:rFonts w:hint="cs"/>
          <w:bCs/>
          <w:szCs w:val="24"/>
          <w:rtl/>
        </w:rPr>
        <w:t>.</w:t>
      </w:r>
      <w:r w:rsidRPr="00B12420">
        <w:rPr>
          <w:rFonts w:hint="cs"/>
          <w:bCs/>
          <w:szCs w:val="24"/>
          <w:rtl/>
        </w:rPr>
        <w:t xml:space="preserve"> مبررات الاختلافات في ال</w:t>
      </w:r>
      <w:r w:rsidR="00700FD1">
        <w:rPr>
          <w:rFonts w:hint="cs"/>
          <w:bCs/>
          <w:szCs w:val="24"/>
          <w:rtl/>
        </w:rPr>
        <w:t>إ</w:t>
      </w:r>
      <w:r w:rsidRPr="00B12420">
        <w:rPr>
          <w:rFonts w:hint="cs"/>
          <w:bCs/>
          <w:szCs w:val="24"/>
          <w:rtl/>
        </w:rPr>
        <w:t xml:space="preserve">يرادات بين التقرير المرحلي </w:t>
      </w:r>
      <w:r>
        <w:rPr>
          <w:rFonts w:hint="cs"/>
          <w:bCs/>
          <w:szCs w:val="24"/>
          <w:rtl/>
        </w:rPr>
        <w:t xml:space="preserve">المنقح لعام 2017 </w:t>
      </w:r>
      <w:r w:rsidRPr="00B12420">
        <w:rPr>
          <w:rFonts w:hint="cs"/>
          <w:bCs/>
          <w:szCs w:val="24"/>
          <w:rtl/>
        </w:rPr>
        <w:t>و</w:t>
      </w:r>
      <w:r>
        <w:rPr>
          <w:rFonts w:hint="cs"/>
          <w:bCs/>
          <w:szCs w:val="24"/>
          <w:rtl/>
        </w:rPr>
        <w:t>ال</w:t>
      </w:r>
      <w:r w:rsidRPr="00B12420">
        <w:rPr>
          <w:rFonts w:hint="cs"/>
          <w:bCs/>
          <w:szCs w:val="24"/>
          <w:rtl/>
        </w:rPr>
        <w:t>حسابات</w:t>
      </w:r>
      <w:r>
        <w:rPr>
          <w:rFonts w:hint="cs"/>
          <w:bCs/>
          <w:szCs w:val="24"/>
          <w:rtl/>
        </w:rPr>
        <w:t xml:space="preserve"> ال</w:t>
      </w:r>
      <w:r w:rsidR="006A6068">
        <w:rPr>
          <w:rFonts w:hint="cs"/>
          <w:bCs/>
          <w:szCs w:val="24"/>
          <w:rtl/>
        </w:rPr>
        <w:t>ختام</w:t>
      </w:r>
      <w:r>
        <w:rPr>
          <w:rFonts w:hint="cs"/>
          <w:bCs/>
          <w:szCs w:val="24"/>
          <w:rtl/>
        </w:rPr>
        <w:t>ية لعام</w:t>
      </w:r>
      <w:r w:rsidRPr="00B12420">
        <w:rPr>
          <w:rFonts w:hint="cs"/>
          <w:bCs/>
          <w:szCs w:val="24"/>
          <w:rtl/>
        </w:rPr>
        <w:t xml:space="preserve"> 201</w:t>
      </w:r>
      <w:r>
        <w:rPr>
          <w:rFonts w:hint="cs"/>
          <w:bCs/>
          <w:szCs w:val="24"/>
          <w:rtl/>
        </w:rPr>
        <w:t>7</w:t>
      </w:r>
      <w:r w:rsidRPr="00B12420">
        <w:rPr>
          <w:rFonts w:hint="cs"/>
          <w:bCs/>
          <w:szCs w:val="24"/>
          <w:rtl/>
        </w:rPr>
        <w:t xml:space="preserve"> (بالدولار الأمريكي)</w:t>
      </w:r>
    </w:p>
    <w:tbl>
      <w:tblPr>
        <w:bidiVisual/>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5"/>
        <w:gridCol w:w="1710"/>
      </w:tblGrid>
      <w:tr w:rsidR="00B12420" w:rsidRPr="009836F7" w:rsidTr="00B12420">
        <w:trPr>
          <w:tblHeader/>
          <w:jc w:val="center"/>
        </w:trPr>
        <w:tc>
          <w:tcPr>
            <w:tcW w:w="7395" w:type="dxa"/>
            <w:shd w:val="clear" w:color="auto" w:fill="auto"/>
          </w:tcPr>
          <w:p w:rsidR="00B12420" w:rsidRPr="00700FD1" w:rsidRDefault="00B12420" w:rsidP="00746D07">
            <w:pPr>
              <w:bidi/>
              <w:jc w:val="center"/>
              <w:outlineLvl w:val="0"/>
              <w:rPr>
                <w:bCs/>
                <w:sz w:val="22"/>
                <w:szCs w:val="22"/>
                <w:lang w:val="en-US"/>
              </w:rPr>
            </w:pPr>
            <w:r w:rsidRPr="00700FD1">
              <w:rPr>
                <w:rFonts w:hint="cs"/>
                <w:bCs/>
                <w:sz w:val="22"/>
                <w:szCs w:val="22"/>
                <w:rtl/>
                <w:lang w:val="en-US"/>
              </w:rPr>
              <w:t>التعليقات</w:t>
            </w:r>
          </w:p>
        </w:tc>
        <w:tc>
          <w:tcPr>
            <w:tcW w:w="1710" w:type="dxa"/>
            <w:shd w:val="clear" w:color="auto" w:fill="auto"/>
            <w:tcMar>
              <w:left w:w="0" w:type="dxa"/>
              <w:right w:w="0" w:type="dxa"/>
            </w:tcMar>
          </w:tcPr>
          <w:p w:rsidR="00B12420" w:rsidRPr="00700FD1" w:rsidRDefault="00B12420" w:rsidP="00746D07">
            <w:pPr>
              <w:bidi/>
              <w:jc w:val="center"/>
              <w:rPr>
                <w:b/>
                <w:bCs/>
                <w:sz w:val="22"/>
                <w:szCs w:val="22"/>
                <w:lang w:val="en-US"/>
              </w:rPr>
            </w:pPr>
            <w:r w:rsidRPr="00700FD1">
              <w:rPr>
                <w:rFonts w:eastAsia="MS Mincho" w:hint="cs"/>
                <w:b/>
                <w:bCs/>
                <w:sz w:val="22"/>
                <w:szCs w:val="22"/>
                <w:rtl/>
                <w:lang w:eastAsia="ja-JP"/>
              </w:rPr>
              <w:t>اليونيب</w:t>
            </w:r>
          </w:p>
        </w:tc>
      </w:tr>
      <w:tr w:rsidR="00B12420" w:rsidRPr="005D5081" w:rsidTr="00B12420">
        <w:trPr>
          <w:jc w:val="center"/>
        </w:trPr>
        <w:tc>
          <w:tcPr>
            <w:tcW w:w="7395" w:type="dxa"/>
            <w:shd w:val="clear" w:color="auto" w:fill="auto"/>
          </w:tcPr>
          <w:p w:rsidR="00B12420" w:rsidRPr="00700FD1" w:rsidRDefault="00B12420" w:rsidP="00746D07">
            <w:pPr>
              <w:bidi/>
              <w:jc w:val="left"/>
              <w:rPr>
                <w:sz w:val="22"/>
                <w:szCs w:val="22"/>
                <w:lang w:val="en-US"/>
              </w:rPr>
            </w:pPr>
            <w:r w:rsidRPr="00700FD1">
              <w:rPr>
                <w:rFonts w:hint="cs"/>
                <w:sz w:val="22"/>
                <w:szCs w:val="22"/>
                <w:rtl/>
              </w:rPr>
              <w:t>الفرق بين التقرير المرحلي</w:t>
            </w:r>
            <w:r w:rsidR="006A6068" w:rsidRPr="00700FD1">
              <w:rPr>
                <w:rFonts w:hint="cs"/>
                <w:sz w:val="22"/>
                <w:szCs w:val="22"/>
                <w:rtl/>
              </w:rPr>
              <w:t xml:space="preserve"> المنقح لعام 2017</w:t>
            </w:r>
            <w:r w:rsidRPr="00700FD1">
              <w:rPr>
                <w:rFonts w:hint="cs"/>
                <w:sz w:val="22"/>
                <w:szCs w:val="22"/>
                <w:rtl/>
              </w:rPr>
              <w:t xml:space="preserve"> والحسابات الختامية</w:t>
            </w:r>
            <w:r w:rsidR="006A6068" w:rsidRPr="00700FD1">
              <w:rPr>
                <w:rFonts w:hint="cs"/>
                <w:sz w:val="22"/>
                <w:szCs w:val="22"/>
                <w:rtl/>
                <w:lang w:val="en-US"/>
              </w:rPr>
              <w:t xml:space="preserve"> لعام 2017</w:t>
            </w:r>
          </w:p>
        </w:tc>
        <w:tc>
          <w:tcPr>
            <w:tcW w:w="1710" w:type="dxa"/>
            <w:shd w:val="clear" w:color="auto" w:fill="auto"/>
          </w:tcPr>
          <w:p w:rsidR="00B12420" w:rsidRPr="00700FD1" w:rsidRDefault="00B12420" w:rsidP="00746D07">
            <w:pPr>
              <w:jc w:val="right"/>
              <w:rPr>
                <w:sz w:val="22"/>
                <w:szCs w:val="22"/>
                <w:lang w:val="en-US"/>
              </w:rPr>
            </w:pPr>
            <w:r w:rsidRPr="00700FD1">
              <w:rPr>
                <w:sz w:val="22"/>
                <w:szCs w:val="22"/>
                <w:lang w:val="en-CA" w:eastAsia="en-CA"/>
              </w:rPr>
              <w:t>27,357</w:t>
            </w:r>
          </w:p>
        </w:tc>
      </w:tr>
      <w:tr w:rsidR="00B12420" w:rsidRPr="005D5081" w:rsidTr="00B12420">
        <w:trPr>
          <w:jc w:val="center"/>
        </w:trPr>
        <w:tc>
          <w:tcPr>
            <w:tcW w:w="7395" w:type="dxa"/>
            <w:shd w:val="clear" w:color="auto" w:fill="auto"/>
          </w:tcPr>
          <w:p w:rsidR="00B60402" w:rsidRPr="00700FD1" w:rsidRDefault="00B12420" w:rsidP="00B60402">
            <w:pPr>
              <w:bidi/>
              <w:jc w:val="left"/>
              <w:rPr>
                <w:bCs/>
                <w:sz w:val="22"/>
                <w:szCs w:val="22"/>
                <w:lang w:val="en-US"/>
              </w:rPr>
            </w:pPr>
            <w:r w:rsidRPr="00700FD1">
              <w:rPr>
                <w:rFonts w:hint="cs"/>
                <w:bCs/>
                <w:sz w:val="22"/>
                <w:szCs w:val="22"/>
                <w:rtl/>
                <w:lang w:val="en-US"/>
              </w:rPr>
              <w:t>التفسيرات المقدمة</w:t>
            </w:r>
          </w:p>
        </w:tc>
        <w:tc>
          <w:tcPr>
            <w:tcW w:w="1710" w:type="dxa"/>
            <w:shd w:val="clear" w:color="auto" w:fill="auto"/>
          </w:tcPr>
          <w:p w:rsidR="00B12420" w:rsidRPr="00700FD1" w:rsidRDefault="00B12420" w:rsidP="00746D07">
            <w:pPr>
              <w:jc w:val="right"/>
              <w:rPr>
                <w:sz w:val="22"/>
                <w:szCs w:val="22"/>
                <w:lang w:val="en-US"/>
              </w:rPr>
            </w:pPr>
          </w:p>
        </w:tc>
      </w:tr>
      <w:tr w:rsidR="00B12420" w:rsidRPr="005D5081" w:rsidTr="00B12420">
        <w:trPr>
          <w:jc w:val="center"/>
        </w:trPr>
        <w:tc>
          <w:tcPr>
            <w:tcW w:w="7395" w:type="dxa"/>
            <w:shd w:val="clear" w:color="auto" w:fill="auto"/>
          </w:tcPr>
          <w:p w:rsidR="00B12420" w:rsidRPr="00700FD1" w:rsidRDefault="006A6068" w:rsidP="00746D07">
            <w:pPr>
              <w:bidi/>
              <w:jc w:val="left"/>
              <w:rPr>
                <w:sz w:val="22"/>
                <w:szCs w:val="22"/>
                <w:lang w:eastAsia="ja-JP"/>
              </w:rPr>
            </w:pPr>
            <w:r w:rsidRPr="00700FD1">
              <w:rPr>
                <w:rFonts w:hint="cs"/>
                <w:sz w:val="22"/>
                <w:szCs w:val="22"/>
                <w:rtl/>
                <w:lang w:eastAsia="ja-JP"/>
              </w:rPr>
              <w:t xml:space="preserve">أدرجت المساعدة الإضافية </w:t>
            </w:r>
            <w:r w:rsidR="00B60402" w:rsidRPr="00700FD1">
              <w:rPr>
                <w:rFonts w:hint="cs"/>
                <w:sz w:val="22"/>
                <w:szCs w:val="22"/>
                <w:rtl/>
                <w:lang w:eastAsia="ja-JP"/>
              </w:rPr>
              <w:t xml:space="preserve">لمشروع </w:t>
            </w:r>
            <w:r w:rsidR="00B60402" w:rsidRPr="00700FD1">
              <w:rPr>
                <w:sz w:val="22"/>
                <w:szCs w:val="22"/>
              </w:rPr>
              <w:t>(DMI/SEV/80/INS/23)</w:t>
            </w:r>
            <w:r w:rsidR="00B60402" w:rsidRPr="00700FD1">
              <w:rPr>
                <w:rFonts w:hint="cs"/>
                <w:sz w:val="22"/>
                <w:szCs w:val="22"/>
                <w:rtl/>
                <w:lang w:eastAsia="ja-JP"/>
              </w:rPr>
              <w:t xml:space="preserve"> </w:t>
            </w:r>
            <w:r w:rsidRPr="00700FD1">
              <w:rPr>
                <w:rFonts w:hint="cs"/>
                <w:sz w:val="22"/>
                <w:szCs w:val="22"/>
                <w:rtl/>
                <w:lang w:eastAsia="ja-JP"/>
              </w:rPr>
              <w:t xml:space="preserve">في التقرير المرحلي لعام 2017 ولكن </w:t>
            </w:r>
            <w:r w:rsidR="00B60402" w:rsidRPr="00700FD1">
              <w:rPr>
                <w:rFonts w:hint="cs"/>
                <w:sz w:val="22"/>
                <w:szCs w:val="22"/>
                <w:rtl/>
                <w:lang w:eastAsia="ja-JP"/>
              </w:rPr>
              <w:t>أمين الخزانة قام بتحويل الأموال في عام 2018 (لا داعي لأية إجراءات)</w:t>
            </w:r>
          </w:p>
        </w:tc>
        <w:tc>
          <w:tcPr>
            <w:tcW w:w="1710" w:type="dxa"/>
            <w:shd w:val="clear" w:color="auto" w:fill="auto"/>
          </w:tcPr>
          <w:p w:rsidR="00B12420" w:rsidRPr="00700FD1" w:rsidRDefault="00B12420" w:rsidP="00746D07">
            <w:pPr>
              <w:jc w:val="right"/>
              <w:rPr>
                <w:sz w:val="22"/>
                <w:szCs w:val="22"/>
                <w:lang w:val="en-US"/>
              </w:rPr>
            </w:pPr>
            <w:r w:rsidRPr="00700FD1">
              <w:rPr>
                <w:sz w:val="22"/>
                <w:szCs w:val="22"/>
                <w:lang w:val="en-US"/>
              </w:rPr>
              <w:t>(20,000)</w:t>
            </w:r>
          </w:p>
        </w:tc>
      </w:tr>
      <w:tr w:rsidR="00B12420" w:rsidRPr="005D5081" w:rsidTr="00B12420">
        <w:trPr>
          <w:jc w:val="center"/>
        </w:trPr>
        <w:tc>
          <w:tcPr>
            <w:tcW w:w="7395" w:type="dxa"/>
            <w:shd w:val="clear" w:color="auto" w:fill="auto"/>
          </w:tcPr>
          <w:p w:rsidR="00B12420" w:rsidRPr="00700FD1" w:rsidRDefault="00B60402" w:rsidP="00746D07">
            <w:pPr>
              <w:bidi/>
              <w:jc w:val="left"/>
              <w:rPr>
                <w:sz w:val="22"/>
                <w:szCs w:val="22"/>
                <w:lang w:eastAsia="ja-JP"/>
              </w:rPr>
            </w:pPr>
            <w:r w:rsidRPr="00700FD1">
              <w:rPr>
                <w:rFonts w:hint="cs"/>
                <w:sz w:val="22"/>
                <w:szCs w:val="22"/>
                <w:rtl/>
                <w:lang w:eastAsia="ja-JP"/>
              </w:rPr>
              <w:t>تصحيح يتعلق ب</w:t>
            </w:r>
            <w:r w:rsidR="00700FD1">
              <w:rPr>
                <w:rFonts w:hint="cs"/>
                <w:sz w:val="22"/>
                <w:szCs w:val="22"/>
                <w:rtl/>
                <w:lang w:eastAsia="ja-JP"/>
              </w:rPr>
              <w:t xml:space="preserve">تسجيل </w:t>
            </w:r>
            <w:r w:rsidRPr="00700FD1">
              <w:rPr>
                <w:rFonts w:hint="cs"/>
                <w:sz w:val="22"/>
                <w:szCs w:val="22"/>
                <w:rtl/>
                <w:lang w:eastAsia="ja-JP"/>
              </w:rPr>
              <w:t>المكاسب في أسعار الصرف في السنوات السابقة (سيعدل اليونيب ذلك في حساباته لعام 2019)</w:t>
            </w:r>
          </w:p>
        </w:tc>
        <w:tc>
          <w:tcPr>
            <w:tcW w:w="1710" w:type="dxa"/>
            <w:shd w:val="clear" w:color="auto" w:fill="auto"/>
          </w:tcPr>
          <w:p w:rsidR="00B12420" w:rsidRPr="00700FD1" w:rsidRDefault="00B12420" w:rsidP="00746D07">
            <w:pPr>
              <w:jc w:val="right"/>
              <w:rPr>
                <w:sz w:val="22"/>
                <w:szCs w:val="22"/>
                <w:lang w:val="en-US"/>
              </w:rPr>
            </w:pPr>
            <w:r w:rsidRPr="00700FD1">
              <w:rPr>
                <w:sz w:val="22"/>
                <w:szCs w:val="22"/>
                <w:lang w:val="en-US"/>
              </w:rPr>
              <w:t>(7,357)</w:t>
            </w:r>
          </w:p>
        </w:tc>
      </w:tr>
      <w:tr w:rsidR="00B12420" w:rsidRPr="005D5081" w:rsidTr="00B12420">
        <w:trPr>
          <w:jc w:val="center"/>
        </w:trPr>
        <w:tc>
          <w:tcPr>
            <w:tcW w:w="7395" w:type="dxa"/>
            <w:shd w:val="clear" w:color="auto" w:fill="auto"/>
          </w:tcPr>
          <w:p w:rsidR="00B12420" w:rsidRPr="00700FD1" w:rsidRDefault="00B12420" w:rsidP="00746D07">
            <w:pPr>
              <w:bidi/>
              <w:jc w:val="left"/>
              <w:rPr>
                <w:sz w:val="22"/>
                <w:szCs w:val="22"/>
                <w:lang w:eastAsia="ja-JP"/>
              </w:rPr>
            </w:pPr>
            <w:r w:rsidRPr="00700FD1">
              <w:rPr>
                <w:rFonts w:hint="cs"/>
                <w:b/>
                <w:bCs/>
                <w:sz w:val="22"/>
                <w:szCs w:val="22"/>
                <w:rtl/>
              </w:rPr>
              <w:t>الفرق (بند تسوية مستمر)</w:t>
            </w:r>
          </w:p>
        </w:tc>
        <w:tc>
          <w:tcPr>
            <w:tcW w:w="1710" w:type="dxa"/>
            <w:shd w:val="clear" w:color="auto" w:fill="auto"/>
          </w:tcPr>
          <w:p w:rsidR="00B12420" w:rsidRPr="00700FD1" w:rsidRDefault="00B12420" w:rsidP="00746D07">
            <w:pPr>
              <w:jc w:val="right"/>
              <w:rPr>
                <w:b/>
                <w:sz w:val="22"/>
                <w:szCs w:val="22"/>
                <w:lang w:val="en-US"/>
              </w:rPr>
            </w:pPr>
            <w:r w:rsidRPr="00700FD1">
              <w:rPr>
                <w:b/>
                <w:sz w:val="22"/>
                <w:szCs w:val="22"/>
                <w:lang w:val="en-US"/>
              </w:rPr>
              <w:t>0</w:t>
            </w:r>
          </w:p>
        </w:tc>
      </w:tr>
    </w:tbl>
    <w:p w:rsidR="0015584D" w:rsidRPr="00B12420" w:rsidRDefault="0015584D" w:rsidP="00700FD1">
      <w:pPr>
        <w:bidi/>
        <w:spacing w:after="120"/>
        <w:rPr>
          <w:rtl/>
          <w:lang w:bidi="ar-EG"/>
        </w:rPr>
      </w:pPr>
    </w:p>
    <w:p w:rsidR="002833ED" w:rsidRDefault="00B60402" w:rsidP="00700FD1">
      <w:pPr>
        <w:pStyle w:val="Heading1"/>
        <w:bidi/>
        <w:spacing w:after="120"/>
        <w:rPr>
          <w:sz w:val="26"/>
          <w:szCs w:val="26"/>
          <w:lang w:bidi="ar-EG"/>
        </w:rPr>
      </w:pPr>
      <w:r>
        <w:rPr>
          <w:rFonts w:hint="cs"/>
          <w:sz w:val="26"/>
          <w:szCs w:val="26"/>
          <w:rtl/>
          <w:lang w:bidi="ar-EG"/>
        </w:rPr>
        <w:t>وإستنادا إلى التفسيرات المقدمة، لا توجد أي بنود تسوية مستمرة ينبغي تفسيرها.</w:t>
      </w:r>
    </w:p>
    <w:p w:rsidR="002833ED" w:rsidRPr="00B60402" w:rsidRDefault="00B60402" w:rsidP="00700FD1">
      <w:pPr>
        <w:pStyle w:val="Heading1"/>
        <w:numPr>
          <w:ilvl w:val="0"/>
          <w:numId w:val="0"/>
        </w:numPr>
        <w:bidi/>
        <w:rPr>
          <w:b/>
          <w:bCs/>
          <w:sz w:val="26"/>
          <w:szCs w:val="26"/>
          <w:lang w:bidi="ar-EG"/>
        </w:rPr>
      </w:pPr>
      <w:r w:rsidRPr="00B60402">
        <w:rPr>
          <w:rFonts w:hint="cs"/>
          <w:b/>
          <w:bCs/>
          <w:sz w:val="26"/>
          <w:szCs w:val="26"/>
          <w:rtl/>
          <w:lang w:bidi="ar-EG"/>
        </w:rPr>
        <w:t xml:space="preserve">المصروفات المبلغ عنها في الحسابات الختامية لعام </w:t>
      </w:r>
      <w:r w:rsidR="00700FD1">
        <w:rPr>
          <w:rFonts w:hint="cs"/>
          <w:b/>
          <w:bCs/>
          <w:sz w:val="26"/>
          <w:szCs w:val="26"/>
          <w:rtl/>
          <w:lang w:bidi="ar-EG"/>
        </w:rPr>
        <w:t>201</w:t>
      </w:r>
      <w:r w:rsidRPr="00B60402">
        <w:rPr>
          <w:rFonts w:hint="cs"/>
          <w:b/>
          <w:bCs/>
          <w:sz w:val="26"/>
          <w:szCs w:val="26"/>
          <w:rtl/>
          <w:lang w:bidi="ar-EG"/>
        </w:rPr>
        <w:t>7 وفي التقرير المرحلي المنقح لعام 2017</w:t>
      </w:r>
    </w:p>
    <w:p w:rsidR="002833ED" w:rsidRDefault="002834C9" w:rsidP="002834C9">
      <w:pPr>
        <w:pStyle w:val="Heading1"/>
        <w:bidi/>
        <w:rPr>
          <w:sz w:val="26"/>
          <w:szCs w:val="26"/>
          <w:lang w:bidi="ar-EG"/>
        </w:rPr>
      </w:pPr>
      <w:r>
        <w:rPr>
          <w:rFonts w:hint="cs"/>
          <w:sz w:val="26"/>
          <w:szCs w:val="26"/>
          <w:rtl/>
          <w:lang w:bidi="ar-EG"/>
        </w:rPr>
        <w:t xml:space="preserve">يبين الجدول 4 </w:t>
      </w:r>
      <w:r w:rsidRPr="00B5420A">
        <w:rPr>
          <w:sz w:val="26"/>
          <w:szCs w:val="26"/>
          <w:rtl/>
        </w:rPr>
        <w:t xml:space="preserve">الاختلافات بين المصروفات التجميعية المبلغة لأمين الخزانة في </w:t>
      </w:r>
      <w:r>
        <w:rPr>
          <w:rFonts w:hint="cs"/>
          <w:sz w:val="26"/>
          <w:szCs w:val="26"/>
          <w:rtl/>
        </w:rPr>
        <w:t>ال</w:t>
      </w:r>
      <w:r w:rsidRPr="00B5420A">
        <w:rPr>
          <w:sz w:val="26"/>
          <w:szCs w:val="26"/>
          <w:rtl/>
        </w:rPr>
        <w:t xml:space="preserve">حسابات </w:t>
      </w:r>
      <w:r>
        <w:rPr>
          <w:rFonts w:hint="cs"/>
          <w:sz w:val="26"/>
          <w:szCs w:val="26"/>
          <w:rtl/>
        </w:rPr>
        <w:t>الختامية لعام 2017</w:t>
      </w:r>
      <w:r w:rsidRPr="00B5420A">
        <w:rPr>
          <w:sz w:val="26"/>
          <w:szCs w:val="26"/>
          <w:rtl/>
        </w:rPr>
        <w:t xml:space="preserve"> والأموال التي صرفت والتزم بها على النحو المبلغ </w:t>
      </w:r>
      <w:r w:rsidR="00700FD1">
        <w:rPr>
          <w:rFonts w:hint="cs"/>
          <w:sz w:val="26"/>
          <w:szCs w:val="26"/>
          <w:rtl/>
        </w:rPr>
        <w:t xml:space="preserve">عنه </w:t>
      </w:r>
      <w:r w:rsidRPr="00B5420A">
        <w:rPr>
          <w:sz w:val="26"/>
          <w:szCs w:val="26"/>
          <w:rtl/>
        </w:rPr>
        <w:t>في التقرير المرحلي</w:t>
      </w:r>
      <w:r>
        <w:rPr>
          <w:rFonts w:hint="cs"/>
          <w:sz w:val="26"/>
          <w:szCs w:val="26"/>
          <w:rtl/>
        </w:rPr>
        <w:t xml:space="preserve"> المنقح</w:t>
      </w:r>
      <w:r w:rsidR="00700FD1">
        <w:rPr>
          <w:rFonts w:hint="cs"/>
          <w:sz w:val="26"/>
          <w:szCs w:val="26"/>
          <w:rtl/>
        </w:rPr>
        <w:t xml:space="preserve"> لعام 2017</w:t>
      </w:r>
      <w:r w:rsidRPr="00B5420A">
        <w:rPr>
          <w:sz w:val="26"/>
          <w:szCs w:val="26"/>
          <w:rtl/>
        </w:rPr>
        <w:t xml:space="preserve"> للفترة 1991 الى 201</w:t>
      </w:r>
      <w:r>
        <w:rPr>
          <w:rFonts w:hint="cs"/>
          <w:sz w:val="26"/>
          <w:szCs w:val="26"/>
          <w:rtl/>
        </w:rPr>
        <w:t>7</w:t>
      </w:r>
      <w:r w:rsidRPr="00B5420A">
        <w:rPr>
          <w:sz w:val="26"/>
          <w:szCs w:val="26"/>
          <w:rtl/>
        </w:rPr>
        <w:t>.</w:t>
      </w:r>
    </w:p>
    <w:p w:rsidR="002833ED" w:rsidRPr="002834C9" w:rsidRDefault="002834C9" w:rsidP="002834C9">
      <w:pPr>
        <w:pStyle w:val="Heading1"/>
        <w:numPr>
          <w:ilvl w:val="0"/>
          <w:numId w:val="0"/>
        </w:numPr>
        <w:bidi/>
        <w:spacing w:after="0"/>
        <w:rPr>
          <w:b/>
          <w:bCs/>
          <w:szCs w:val="24"/>
          <w:rtl/>
          <w:lang w:bidi="ar-EG"/>
        </w:rPr>
      </w:pPr>
      <w:r w:rsidRPr="002834C9">
        <w:rPr>
          <w:rFonts w:hint="cs"/>
          <w:b/>
          <w:bCs/>
          <w:szCs w:val="24"/>
          <w:rtl/>
          <w:lang w:bidi="ar-EG"/>
        </w:rPr>
        <w:t>الجدول 4. الاختلافات بين المصروفات التجميعية (بالدولار الأمريكي)</w:t>
      </w:r>
    </w:p>
    <w:tbl>
      <w:tblPr>
        <w:bidiVisual/>
        <w:tblW w:w="9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7"/>
        <w:gridCol w:w="1517"/>
        <w:gridCol w:w="1706"/>
        <w:gridCol w:w="1800"/>
        <w:gridCol w:w="1710"/>
        <w:gridCol w:w="1459"/>
      </w:tblGrid>
      <w:tr w:rsidR="002834C9" w:rsidRPr="005D5081" w:rsidTr="004F4891">
        <w:trPr>
          <w:tblHeader/>
        </w:trPr>
        <w:tc>
          <w:tcPr>
            <w:tcW w:w="1187" w:type="dxa"/>
            <w:vMerge w:val="restart"/>
            <w:vAlign w:val="center"/>
          </w:tcPr>
          <w:p w:rsidR="002834C9" w:rsidRDefault="002834C9" w:rsidP="004F4891">
            <w:pPr>
              <w:bidi/>
              <w:jc w:val="center"/>
              <w:rPr>
                <w:b/>
                <w:bCs/>
              </w:rPr>
            </w:pPr>
            <w:r>
              <w:rPr>
                <w:rFonts w:hint="cs"/>
                <w:b/>
                <w:bCs/>
                <w:rtl/>
              </w:rPr>
              <w:t>الوكالة</w:t>
            </w:r>
          </w:p>
        </w:tc>
        <w:tc>
          <w:tcPr>
            <w:tcW w:w="5023" w:type="dxa"/>
            <w:gridSpan w:val="3"/>
          </w:tcPr>
          <w:p w:rsidR="002834C9" w:rsidRDefault="002834C9" w:rsidP="004F4891">
            <w:pPr>
              <w:bidi/>
              <w:jc w:val="center"/>
              <w:rPr>
                <w:b/>
                <w:bCs/>
              </w:rPr>
            </w:pPr>
            <w:r>
              <w:rPr>
                <w:rFonts w:hint="cs"/>
                <w:b/>
                <w:bCs/>
                <w:rtl/>
              </w:rPr>
              <w:t>التقرير المرحلي</w:t>
            </w:r>
            <w:r w:rsidR="001649A3">
              <w:rPr>
                <w:rFonts w:hint="cs"/>
                <w:b/>
                <w:bCs/>
                <w:rtl/>
              </w:rPr>
              <w:t xml:space="preserve"> المنقح لعام 2017</w:t>
            </w:r>
            <w:r>
              <w:rPr>
                <w:b/>
                <w:bCs/>
              </w:rPr>
              <w:t>*</w:t>
            </w:r>
          </w:p>
        </w:tc>
        <w:tc>
          <w:tcPr>
            <w:tcW w:w="1710" w:type="dxa"/>
            <w:vMerge w:val="restart"/>
          </w:tcPr>
          <w:p w:rsidR="002834C9" w:rsidRDefault="002834C9" w:rsidP="004F4891">
            <w:pPr>
              <w:bidi/>
              <w:jc w:val="center"/>
              <w:rPr>
                <w:b/>
                <w:bCs/>
                <w:rtl/>
              </w:rPr>
            </w:pPr>
            <w:r>
              <w:rPr>
                <w:rFonts w:hint="cs"/>
                <w:b/>
                <w:bCs/>
                <w:rtl/>
              </w:rPr>
              <w:t xml:space="preserve">المصروفات التجميعية للحسابات الختامية </w:t>
            </w:r>
          </w:p>
          <w:p w:rsidR="002834C9" w:rsidRDefault="002834C9" w:rsidP="002834C9">
            <w:pPr>
              <w:bidi/>
              <w:jc w:val="center"/>
              <w:rPr>
                <w:b/>
                <w:bCs/>
              </w:rPr>
            </w:pPr>
            <w:r>
              <w:rPr>
                <w:rFonts w:hint="cs"/>
                <w:b/>
                <w:bCs/>
                <w:rtl/>
              </w:rPr>
              <w:t>لعام 2017</w:t>
            </w:r>
          </w:p>
        </w:tc>
        <w:tc>
          <w:tcPr>
            <w:tcW w:w="1459" w:type="dxa"/>
            <w:vMerge w:val="restart"/>
          </w:tcPr>
          <w:p w:rsidR="002834C9" w:rsidRDefault="002834C9" w:rsidP="004F4891">
            <w:pPr>
              <w:bidi/>
              <w:jc w:val="center"/>
              <w:rPr>
                <w:b/>
                <w:bCs/>
              </w:rPr>
            </w:pPr>
            <w:r>
              <w:rPr>
                <w:rFonts w:hint="cs"/>
                <w:b/>
                <w:bCs/>
                <w:rtl/>
              </w:rPr>
              <w:t>الاختلافات</w:t>
            </w:r>
            <w:r>
              <w:rPr>
                <w:b/>
                <w:bCs/>
              </w:rPr>
              <w:t>*</w:t>
            </w:r>
            <w:r w:rsidRPr="00023966">
              <w:rPr>
                <w:b/>
                <w:bCs/>
              </w:rPr>
              <w:t>*</w:t>
            </w:r>
          </w:p>
        </w:tc>
      </w:tr>
      <w:tr w:rsidR="002834C9" w:rsidRPr="005D5081" w:rsidTr="004F4891">
        <w:trPr>
          <w:trHeight w:val="530"/>
          <w:tblHeader/>
        </w:trPr>
        <w:tc>
          <w:tcPr>
            <w:tcW w:w="1187" w:type="dxa"/>
            <w:vMerge/>
            <w:tcBorders>
              <w:bottom w:val="single" w:sz="4" w:space="0" w:color="auto"/>
            </w:tcBorders>
          </w:tcPr>
          <w:p w:rsidR="002834C9" w:rsidRDefault="002834C9" w:rsidP="004F4891">
            <w:pPr>
              <w:bidi/>
              <w:jc w:val="center"/>
              <w:rPr>
                <w:b/>
                <w:bCs/>
                <w:highlight w:val="yellow"/>
              </w:rPr>
            </w:pPr>
          </w:p>
        </w:tc>
        <w:tc>
          <w:tcPr>
            <w:tcW w:w="1517" w:type="dxa"/>
            <w:tcBorders>
              <w:bottom w:val="single" w:sz="4" w:space="0" w:color="auto"/>
            </w:tcBorders>
            <w:tcMar>
              <w:left w:w="14" w:type="dxa"/>
              <w:right w:w="14" w:type="dxa"/>
            </w:tcMar>
          </w:tcPr>
          <w:p w:rsidR="002834C9" w:rsidRDefault="002834C9" w:rsidP="004F4891">
            <w:pPr>
              <w:bidi/>
              <w:jc w:val="center"/>
              <w:rPr>
                <w:b/>
                <w:bCs/>
                <w:highlight w:val="yellow"/>
              </w:rPr>
            </w:pPr>
            <w:r>
              <w:rPr>
                <w:rFonts w:hint="cs"/>
                <w:b/>
                <w:bCs/>
                <w:rtl/>
              </w:rPr>
              <w:t>الأموال التي صرفت</w:t>
            </w:r>
          </w:p>
        </w:tc>
        <w:tc>
          <w:tcPr>
            <w:tcW w:w="1706" w:type="dxa"/>
            <w:tcBorders>
              <w:bottom w:val="single" w:sz="4" w:space="0" w:color="auto"/>
            </w:tcBorders>
            <w:tcMar>
              <w:left w:w="14" w:type="dxa"/>
              <w:right w:w="14" w:type="dxa"/>
            </w:tcMar>
          </w:tcPr>
          <w:p w:rsidR="002834C9" w:rsidRDefault="002834C9" w:rsidP="004F4891">
            <w:pPr>
              <w:bidi/>
              <w:jc w:val="center"/>
              <w:rPr>
                <w:b/>
                <w:bCs/>
                <w:highlight w:val="yellow"/>
              </w:rPr>
            </w:pPr>
            <w:r>
              <w:rPr>
                <w:rFonts w:hint="cs"/>
                <w:b/>
                <w:bCs/>
                <w:rtl/>
              </w:rPr>
              <w:t>الأموال الملتزم بها</w:t>
            </w:r>
          </w:p>
        </w:tc>
        <w:tc>
          <w:tcPr>
            <w:tcW w:w="1800" w:type="dxa"/>
            <w:tcBorders>
              <w:bottom w:val="single" w:sz="4" w:space="0" w:color="auto"/>
            </w:tcBorders>
            <w:tcMar>
              <w:left w:w="14" w:type="dxa"/>
              <w:right w:w="14" w:type="dxa"/>
            </w:tcMar>
          </w:tcPr>
          <w:p w:rsidR="002834C9" w:rsidRDefault="002834C9" w:rsidP="004F4891">
            <w:pPr>
              <w:bidi/>
              <w:jc w:val="center"/>
              <w:rPr>
                <w:b/>
                <w:bCs/>
                <w:highlight w:val="yellow"/>
              </w:rPr>
            </w:pPr>
            <w:r>
              <w:rPr>
                <w:rFonts w:hint="cs"/>
                <w:b/>
                <w:bCs/>
                <w:rtl/>
              </w:rPr>
              <w:t>مجموع المصروفات التجميعية</w:t>
            </w:r>
          </w:p>
        </w:tc>
        <w:tc>
          <w:tcPr>
            <w:tcW w:w="1710" w:type="dxa"/>
            <w:vMerge/>
            <w:tcBorders>
              <w:bottom w:val="single" w:sz="4" w:space="0" w:color="auto"/>
            </w:tcBorders>
            <w:tcMar>
              <w:left w:w="14" w:type="dxa"/>
              <w:right w:w="14" w:type="dxa"/>
            </w:tcMar>
          </w:tcPr>
          <w:p w:rsidR="002834C9" w:rsidRDefault="002834C9" w:rsidP="004F4891">
            <w:pPr>
              <w:bidi/>
              <w:jc w:val="center"/>
              <w:rPr>
                <w:b/>
                <w:bCs/>
                <w:highlight w:val="yellow"/>
              </w:rPr>
            </w:pPr>
          </w:p>
        </w:tc>
        <w:tc>
          <w:tcPr>
            <w:tcW w:w="1459" w:type="dxa"/>
            <w:vMerge/>
            <w:tcBorders>
              <w:bottom w:val="single" w:sz="4" w:space="0" w:color="auto"/>
            </w:tcBorders>
            <w:tcMar>
              <w:left w:w="14" w:type="dxa"/>
              <w:right w:w="14" w:type="dxa"/>
            </w:tcMar>
          </w:tcPr>
          <w:p w:rsidR="002834C9" w:rsidRDefault="002834C9" w:rsidP="004F4891">
            <w:pPr>
              <w:bidi/>
              <w:jc w:val="center"/>
              <w:rPr>
                <w:b/>
                <w:bCs/>
                <w:highlight w:val="yellow"/>
              </w:rPr>
            </w:pPr>
          </w:p>
        </w:tc>
      </w:tr>
      <w:tr w:rsidR="002834C9" w:rsidRPr="005D5081" w:rsidTr="004F4891">
        <w:trPr>
          <w:tblHeader/>
        </w:trPr>
        <w:tc>
          <w:tcPr>
            <w:tcW w:w="1187" w:type="dxa"/>
          </w:tcPr>
          <w:p w:rsidR="002834C9" w:rsidRPr="002834C9" w:rsidRDefault="002834C9" w:rsidP="004F4891">
            <w:pPr>
              <w:bidi/>
              <w:jc w:val="center"/>
              <w:rPr>
                <w:b/>
                <w:bCs/>
                <w:sz w:val="22"/>
                <w:szCs w:val="22"/>
                <w:lang w:val="en-US"/>
              </w:rPr>
            </w:pPr>
            <w:r w:rsidRPr="002834C9">
              <w:rPr>
                <w:b/>
                <w:bCs/>
                <w:sz w:val="22"/>
                <w:szCs w:val="22"/>
              </w:rPr>
              <w:t>(1)</w:t>
            </w:r>
          </w:p>
        </w:tc>
        <w:tc>
          <w:tcPr>
            <w:tcW w:w="1517" w:type="dxa"/>
          </w:tcPr>
          <w:p w:rsidR="002834C9" w:rsidRPr="002834C9" w:rsidRDefault="002834C9" w:rsidP="004F4891">
            <w:pPr>
              <w:bidi/>
              <w:jc w:val="center"/>
              <w:rPr>
                <w:b/>
                <w:bCs/>
                <w:sz w:val="22"/>
                <w:szCs w:val="22"/>
                <w:rtl/>
                <w:lang w:bidi="ar-EG"/>
              </w:rPr>
            </w:pPr>
            <w:r w:rsidRPr="002834C9">
              <w:rPr>
                <w:b/>
                <w:bCs/>
                <w:sz w:val="22"/>
                <w:szCs w:val="22"/>
              </w:rPr>
              <w:t>(2)</w:t>
            </w:r>
          </w:p>
        </w:tc>
        <w:tc>
          <w:tcPr>
            <w:tcW w:w="1706" w:type="dxa"/>
          </w:tcPr>
          <w:p w:rsidR="002834C9" w:rsidRPr="002834C9" w:rsidRDefault="002834C9" w:rsidP="004F4891">
            <w:pPr>
              <w:bidi/>
              <w:jc w:val="center"/>
              <w:rPr>
                <w:b/>
                <w:bCs/>
                <w:sz w:val="22"/>
                <w:szCs w:val="22"/>
              </w:rPr>
            </w:pPr>
            <w:r w:rsidRPr="002834C9">
              <w:rPr>
                <w:b/>
                <w:bCs/>
                <w:sz w:val="22"/>
                <w:szCs w:val="22"/>
              </w:rPr>
              <w:t>(3)</w:t>
            </w:r>
          </w:p>
        </w:tc>
        <w:tc>
          <w:tcPr>
            <w:tcW w:w="1800" w:type="dxa"/>
          </w:tcPr>
          <w:p w:rsidR="002834C9" w:rsidRPr="00647D22" w:rsidRDefault="00647D22" w:rsidP="00647D22">
            <w:pPr>
              <w:bidi/>
              <w:jc w:val="center"/>
              <w:rPr>
                <w:b/>
                <w:bCs/>
                <w:sz w:val="22"/>
                <w:szCs w:val="22"/>
                <w:rtl/>
                <w:lang w:val="en-US" w:bidi="ar-EG"/>
              </w:rPr>
            </w:pPr>
            <w:r>
              <w:rPr>
                <w:rFonts w:hint="cs"/>
                <w:b/>
                <w:bCs/>
                <w:sz w:val="22"/>
                <w:szCs w:val="22"/>
                <w:rtl/>
                <w:lang w:val="en-US" w:bidi="ar-EG"/>
              </w:rPr>
              <w:t>(4)= (2)+(3)</w:t>
            </w:r>
          </w:p>
        </w:tc>
        <w:tc>
          <w:tcPr>
            <w:tcW w:w="1710" w:type="dxa"/>
          </w:tcPr>
          <w:p w:rsidR="002834C9" w:rsidRPr="002834C9" w:rsidRDefault="002834C9" w:rsidP="004F4891">
            <w:pPr>
              <w:bidi/>
              <w:jc w:val="center"/>
              <w:rPr>
                <w:b/>
                <w:bCs/>
                <w:caps/>
                <w:sz w:val="22"/>
                <w:szCs w:val="22"/>
              </w:rPr>
            </w:pPr>
            <w:r w:rsidRPr="002834C9">
              <w:rPr>
                <w:b/>
                <w:bCs/>
                <w:sz w:val="22"/>
                <w:szCs w:val="22"/>
              </w:rPr>
              <w:t>(5)</w:t>
            </w:r>
          </w:p>
        </w:tc>
        <w:tc>
          <w:tcPr>
            <w:tcW w:w="1459" w:type="dxa"/>
          </w:tcPr>
          <w:p w:rsidR="002834C9" w:rsidRPr="00647D22" w:rsidRDefault="00647D22" w:rsidP="00647D22">
            <w:pPr>
              <w:bidi/>
              <w:jc w:val="center"/>
              <w:rPr>
                <w:b/>
                <w:bCs/>
                <w:caps/>
                <w:sz w:val="22"/>
                <w:szCs w:val="22"/>
                <w:lang w:val="en-US"/>
              </w:rPr>
            </w:pPr>
            <w:r>
              <w:rPr>
                <w:rFonts w:hint="cs"/>
                <w:b/>
                <w:bCs/>
                <w:sz w:val="22"/>
                <w:szCs w:val="22"/>
                <w:rtl/>
                <w:lang w:val="en-US" w:bidi="ar-EG"/>
              </w:rPr>
              <w:t>(</w:t>
            </w:r>
            <w:r>
              <w:rPr>
                <w:b/>
                <w:bCs/>
                <w:sz w:val="22"/>
                <w:szCs w:val="22"/>
                <w:lang w:val="en-US" w:bidi="ar-EG"/>
              </w:rPr>
              <w:t>6</w:t>
            </w:r>
            <w:r>
              <w:rPr>
                <w:rFonts w:hint="cs"/>
                <w:b/>
                <w:bCs/>
                <w:sz w:val="22"/>
                <w:szCs w:val="22"/>
                <w:rtl/>
                <w:lang w:val="en-US" w:bidi="ar-EG"/>
              </w:rPr>
              <w:t>)= (</w:t>
            </w:r>
            <w:r>
              <w:rPr>
                <w:b/>
                <w:bCs/>
                <w:sz w:val="22"/>
                <w:szCs w:val="22"/>
                <w:lang w:val="en-US" w:bidi="ar-EG"/>
              </w:rPr>
              <w:t>4</w:t>
            </w:r>
            <w:r>
              <w:rPr>
                <w:rFonts w:hint="cs"/>
                <w:b/>
                <w:bCs/>
                <w:sz w:val="22"/>
                <w:szCs w:val="22"/>
                <w:rtl/>
                <w:lang w:val="en-US" w:bidi="ar-EG"/>
              </w:rPr>
              <w:t>)</w:t>
            </w:r>
            <w:r>
              <w:rPr>
                <w:b/>
                <w:bCs/>
                <w:sz w:val="22"/>
                <w:szCs w:val="22"/>
                <w:lang w:val="en-US" w:bidi="ar-EG"/>
              </w:rPr>
              <w:t>-</w:t>
            </w:r>
            <w:r>
              <w:rPr>
                <w:rFonts w:hint="cs"/>
                <w:b/>
                <w:bCs/>
                <w:sz w:val="22"/>
                <w:szCs w:val="22"/>
                <w:rtl/>
                <w:lang w:val="en-US" w:bidi="ar-EG"/>
              </w:rPr>
              <w:t>(</w:t>
            </w:r>
            <w:r>
              <w:rPr>
                <w:b/>
                <w:bCs/>
                <w:sz w:val="22"/>
                <w:szCs w:val="22"/>
                <w:lang w:val="en-US" w:bidi="ar-EG"/>
              </w:rPr>
              <w:t>5</w:t>
            </w:r>
            <w:r>
              <w:rPr>
                <w:rFonts w:hint="cs"/>
                <w:b/>
                <w:bCs/>
                <w:sz w:val="22"/>
                <w:szCs w:val="22"/>
                <w:rtl/>
                <w:lang w:val="en-US" w:bidi="ar-EG"/>
              </w:rPr>
              <w:t>)</w:t>
            </w:r>
          </w:p>
        </w:tc>
      </w:tr>
      <w:tr w:rsidR="00647D22" w:rsidRPr="005D5081" w:rsidTr="004F4891">
        <w:tc>
          <w:tcPr>
            <w:tcW w:w="1187" w:type="dxa"/>
            <w:vAlign w:val="center"/>
          </w:tcPr>
          <w:p w:rsidR="00647D22" w:rsidRPr="002834C9" w:rsidRDefault="00647D22" w:rsidP="004F4891">
            <w:pPr>
              <w:bidi/>
              <w:rPr>
                <w:color w:val="000000"/>
                <w:sz w:val="22"/>
                <w:szCs w:val="22"/>
              </w:rPr>
            </w:pPr>
            <w:r w:rsidRPr="002834C9">
              <w:rPr>
                <w:rFonts w:hint="cs"/>
                <w:color w:val="000000"/>
                <w:sz w:val="22"/>
                <w:szCs w:val="22"/>
                <w:rtl/>
              </w:rPr>
              <w:t>اليونيب</w:t>
            </w:r>
          </w:p>
        </w:tc>
        <w:tc>
          <w:tcPr>
            <w:tcW w:w="1517" w:type="dxa"/>
            <w:vAlign w:val="center"/>
          </w:tcPr>
          <w:p w:rsidR="00647D22" w:rsidRPr="00647D22" w:rsidRDefault="00647D22" w:rsidP="00647D22">
            <w:pPr>
              <w:jc w:val="center"/>
              <w:rPr>
                <w:sz w:val="22"/>
                <w:szCs w:val="22"/>
                <w:lang w:val="en-CA"/>
              </w:rPr>
            </w:pPr>
            <w:r w:rsidRPr="00647D22">
              <w:rPr>
                <w:sz w:val="22"/>
                <w:szCs w:val="22"/>
              </w:rPr>
              <w:t>272,115,767</w:t>
            </w:r>
          </w:p>
        </w:tc>
        <w:tc>
          <w:tcPr>
            <w:tcW w:w="1706" w:type="dxa"/>
            <w:vAlign w:val="center"/>
          </w:tcPr>
          <w:p w:rsidR="00647D22" w:rsidRPr="00647D22" w:rsidRDefault="00647D22" w:rsidP="00647D22">
            <w:pPr>
              <w:jc w:val="center"/>
              <w:rPr>
                <w:sz w:val="22"/>
                <w:szCs w:val="22"/>
              </w:rPr>
            </w:pPr>
            <w:r w:rsidRPr="00647D22">
              <w:rPr>
                <w:sz w:val="22"/>
                <w:szCs w:val="22"/>
              </w:rPr>
              <w:t>21,009,591</w:t>
            </w:r>
          </w:p>
        </w:tc>
        <w:tc>
          <w:tcPr>
            <w:tcW w:w="1800" w:type="dxa"/>
            <w:vAlign w:val="center"/>
          </w:tcPr>
          <w:p w:rsidR="00647D22" w:rsidRPr="00647D22" w:rsidRDefault="00647D22" w:rsidP="00647D22">
            <w:pPr>
              <w:jc w:val="center"/>
              <w:rPr>
                <w:sz w:val="22"/>
                <w:szCs w:val="22"/>
              </w:rPr>
            </w:pPr>
            <w:r w:rsidRPr="00647D22">
              <w:rPr>
                <w:sz w:val="22"/>
                <w:szCs w:val="22"/>
              </w:rPr>
              <w:t>293,125,358</w:t>
            </w:r>
          </w:p>
        </w:tc>
        <w:tc>
          <w:tcPr>
            <w:tcW w:w="1710" w:type="dxa"/>
            <w:vAlign w:val="center"/>
          </w:tcPr>
          <w:p w:rsidR="00647D22" w:rsidRPr="00647D22" w:rsidRDefault="00647D22" w:rsidP="00647D22">
            <w:pPr>
              <w:jc w:val="center"/>
              <w:rPr>
                <w:sz w:val="22"/>
                <w:szCs w:val="22"/>
              </w:rPr>
            </w:pPr>
            <w:r w:rsidRPr="00647D22">
              <w:rPr>
                <w:sz w:val="22"/>
                <w:szCs w:val="22"/>
              </w:rPr>
              <w:t>273,252,440</w:t>
            </w:r>
          </w:p>
        </w:tc>
        <w:tc>
          <w:tcPr>
            <w:tcW w:w="1459" w:type="dxa"/>
            <w:vAlign w:val="center"/>
          </w:tcPr>
          <w:p w:rsidR="00647D22" w:rsidRPr="00647D22" w:rsidRDefault="00647D22" w:rsidP="00647D22">
            <w:pPr>
              <w:jc w:val="center"/>
              <w:rPr>
                <w:sz w:val="22"/>
                <w:szCs w:val="22"/>
              </w:rPr>
            </w:pPr>
            <w:r w:rsidRPr="00647D22">
              <w:rPr>
                <w:sz w:val="22"/>
                <w:szCs w:val="22"/>
              </w:rPr>
              <w:t>19,872,918</w:t>
            </w:r>
          </w:p>
        </w:tc>
      </w:tr>
    </w:tbl>
    <w:p w:rsidR="002834C9" w:rsidRDefault="002834C9" w:rsidP="002834C9">
      <w:pPr>
        <w:bidi/>
        <w:rPr>
          <w:sz w:val="20"/>
        </w:rPr>
      </w:pPr>
      <w:r w:rsidRPr="009771F4">
        <w:rPr>
          <w:sz w:val="20"/>
        </w:rPr>
        <w:t>(*)</w:t>
      </w:r>
      <w:r>
        <w:rPr>
          <w:sz w:val="20"/>
        </w:rPr>
        <w:t xml:space="preserve"> </w:t>
      </w:r>
      <w:r>
        <w:rPr>
          <w:rFonts w:hint="cs"/>
          <w:sz w:val="20"/>
          <w:rtl/>
        </w:rPr>
        <w:t xml:space="preserve"> بما في ذلك تكاليف دعم الوكالة.</w:t>
      </w:r>
    </w:p>
    <w:p w:rsidR="002834C9" w:rsidRDefault="002834C9" w:rsidP="00647D22">
      <w:pPr>
        <w:bidi/>
        <w:rPr>
          <w:rtl/>
        </w:rPr>
      </w:pPr>
      <w:r w:rsidRPr="009771F4">
        <w:rPr>
          <w:sz w:val="20"/>
        </w:rPr>
        <w:t xml:space="preserve">(**) </w:t>
      </w:r>
      <w:r w:rsidRPr="009771F4">
        <w:rPr>
          <w:sz w:val="20"/>
          <w:rtl/>
        </w:rPr>
        <w:t xml:space="preserve"> العدد الإيجابي يعني المزيد من ال</w:t>
      </w:r>
      <w:r w:rsidR="00647D22">
        <w:rPr>
          <w:rFonts w:hint="cs"/>
          <w:sz w:val="20"/>
          <w:rtl/>
          <w:lang w:bidi="ar-EG"/>
        </w:rPr>
        <w:t>مصروف</w:t>
      </w:r>
      <w:r w:rsidRPr="009771F4">
        <w:rPr>
          <w:sz w:val="20"/>
          <w:rtl/>
        </w:rPr>
        <w:t xml:space="preserve">ات في حين أن </w:t>
      </w:r>
      <w:r w:rsidR="00647D22">
        <w:rPr>
          <w:sz w:val="20"/>
          <w:rtl/>
        </w:rPr>
        <w:t>العدد السلبي يعني انخفاض ال</w:t>
      </w:r>
      <w:r w:rsidR="00647D22">
        <w:rPr>
          <w:rFonts w:hint="cs"/>
          <w:sz w:val="20"/>
          <w:rtl/>
        </w:rPr>
        <w:t>مصروف</w:t>
      </w:r>
      <w:r w:rsidRPr="009771F4">
        <w:rPr>
          <w:sz w:val="20"/>
          <w:rtl/>
        </w:rPr>
        <w:t>ات ا</w:t>
      </w:r>
      <w:r>
        <w:rPr>
          <w:rFonts w:hint="cs"/>
          <w:sz w:val="20"/>
          <w:rtl/>
        </w:rPr>
        <w:t>لمبينة</w:t>
      </w:r>
      <w:r w:rsidRPr="009771F4">
        <w:rPr>
          <w:sz w:val="20"/>
          <w:rtl/>
        </w:rPr>
        <w:t xml:space="preserve"> في </w:t>
      </w:r>
      <w:r>
        <w:rPr>
          <w:rFonts w:hint="cs"/>
          <w:sz w:val="20"/>
          <w:rtl/>
        </w:rPr>
        <w:t>التقرير المرحلي عن</w:t>
      </w:r>
      <w:r w:rsidR="00647D22">
        <w:rPr>
          <w:rFonts w:hint="cs"/>
          <w:sz w:val="20"/>
          <w:rtl/>
        </w:rPr>
        <w:t>ها في</w:t>
      </w:r>
      <w:r>
        <w:rPr>
          <w:rFonts w:hint="cs"/>
          <w:sz w:val="20"/>
          <w:rtl/>
        </w:rPr>
        <w:t xml:space="preserve"> الحسابات</w:t>
      </w:r>
      <w:r>
        <w:rPr>
          <w:rFonts w:hint="cs"/>
          <w:rtl/>
        </w:rPr>
        <w:t>.</w:t>
      </w:r>
    </w:p>
    <w:p w:rsidR="002834C9" w:rsidRPr="002834C9" w:rsidRDefault="002834C9" w:rsidP="002834C9">
      <w:pPr>
        <w:bidi/>
        <w:rPr>
          <w:lang w:bidi="ar-EG"/>
        </w:rPr>
      </w:pPr>
    </w:p>
    <w:p w:rsidR="002833ED" w:rsidRDefault="006E14C6" w:rsidP="006E14C6">
      <w:pPr>
        <w:pStyle w:val="Heading1"/>
        <w:bidi/>
        <w:rPr>
          <w:sz w:val="26"/>
          <w:szCs w:val="26"/>
          <w:lang w:bidi="ar-EG"/>
        </w:rPr>
      </w:pPr>
      <w:r>
        <w:rPr>
          <w:rFonts w:hint="cs"/>
          <w:sz w:val="26"/>
          <w:szCs w:val="26"/>
          <w:rtl/>
          <w:lang w:bidi="ar-EG"/>
        </w:rPr>
        <w:t>ويظهر في الجدول 5 تفسير الاختلافات المقدم من اليونيب.</w:t>
      </w:r>
    </w:p>
    <w:p w:rsidR="002833ED" w:rsidRPr="0015584D" w:rsidRDefault="0015584D" w:rsidP="00647D22">
      <w:pPr>
        <w:pStyle w:val="Heading1"/>
        <w:numPr>
          <w:ilvl w:val="0"/>
          <w:numId w:val="0"/>
        </w:numPr>
        <w:bidi/>
        <w:spacing w:after="0"/>
        <w:rPr>
          <w:b/>
          <w:bCs/>
          <w:szCs w:val="24"/>
          <w:rtl/>
          <w:lang w:bidi="ar-EG"/>
        </w:rPr>
      </w:pPr>
      <w:r w:rsidRPr="0015584D">
        <w:rPr>
          <w:rFonts w:hint="cs"/>
          <w:b/>
          <w:bCs/>
          <w:szCs w:val="24"/>
          <w:rtl/>
          <w:lang w:bidi="ar-EG"/>
        </w:rPr>
        <w:t>الجدول 5</w:t>
      </w:r>
      <w:r>
        <w:rPr>
          <w:rFonts w:hint="cs"/>
          <w:b/>
          <w:bCs/>
          <w:szCs w:val="24"/>
          <w:rtl/>
          <w:lang w:bidi="ar-EG"/>
        </w:rPr>
        <w:t>.</w:t>
      </w:r>
      <w:r w:rsidR="00647D22">
        <w:rPr>
          <w:rFonts w:hint="cs"/>
          <w:b/>
          <w:bCs/>
          <w:szCs w:val="24"/>
          <w:rtl/>
          <w:lang w:bidi="ar-EG"/>
        </w:rPr>
        <w:t xml:space="preserve"> </w:t>
      </w:r>
      <w:r w:rsidRPr="0015584D">
        <w:rPr>
          <w:rFonts w:hint="cs"/>
          <w:b/>
          <w:bCs/>
          <w:szCs w:val="24"/>
          <w:rtl/>
          <w:lang w:bidi="ar-EG"/>
        </w:rPr>
        <w:t>مبرر</w:t>
      </w:r>
      <w:r w:rsidR="00647D22">
        <w:rPr>
          <w:rFonts w:hint="cs"/>
          <w:b/>
          <w:bCs/>
          <w:szCs w:val="24"/>
          <w:rtl/>
          <w:lang w:bidi="ar-EG"/>
        </w:rPr>
        <w:t>ات</w:t>
      </w:r>
      <w:r w:rsidRPr="0015584D">
        <w:rPr>
          <w:rFonts w:hint="cs"/>
          <w:b/>
          <w:bCs/>
          <w:szCs w:val="24"/>
          <w:rtl/>
          <w:lang w:bidi="ar-EG"/>
        </w:rPr>
        <w:t xml:space="preserve"> </w:t>
      </w:r>
      <w:r w:rsidR="00647D22">
        <w:rPr>
          <w:rFonts w:hint="cs"/>
          <w:b/>
          <w:bCs/>
          <w:szCs w:val="24"/>
          <w:rtl/>
          <w:lang w:bidi="ar-EG"/>
        </w:rPr>
        <w:t>ا</w:t>
      </w:r>
      <w:r w:rsidRPr="0015584D">
        <w:rPr>
          <w:rFonts w:hint="cs"/>
          <w:b/>
          <w:bCs/>
          <w:szCs w:val="24"/>
          <w:rtl/>
          <w:lang w:bidi="ar-EG"/>
        </w:rPr>
        <w:t>لاختلافات في المصروفات بين التقرير المرحلي المنقح لعام 2017 والحسابات الختامية لعام 2017 للصندوق (بالدولار الأمريكي)</w:t>
      </w:r>
    </w:p>
    <w:tbl>
      <w:tblPr>
        <w:bidiVisual/>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5"/>
        <w:gridCol w:w="1559"/>
      </w:tblGrid>
      <w:tr w:rsidR="006E14C6" w:rsidRPr="008A4EE3" w:rsidTr="00647D22">
        <w:trPr>
          <w:trHeight w:val="368"/>
          <w:tblHeader/>
        </w:trPr>
        <w:tc>
          <w:tcPr>
            <w:tcW w:w="7655" w:type="dxa"/>
            <w:tcBorders>
              <w:bottom w:val="single" w:sz="4" w:space="0" w:color="auto"/>
            </w:tcBorders>
            <w:vAlign w:val="center"/>
          </w:tcPr>
          <w:p w:rsidR="006E14C6" w:rsidRPr="0034692B" w:rsidRDefault="006E14C6" w:rsidP="00647D22">
            <w:pPr>
              <w:bidi/>
              <w:jc w:val="left"/>
              <w:rPr>
                <w:bCs/>
                <w:sz w:val="22"/>
                <w:szCs w:val="22"/>
                <w:lang w:val="en-US"/>
              </w:rPr>
            </w:pPr>
            <w:r w:rsidRPr="0034692B">
              <w:rPr>
                <w:rFonts w:hint="cs"/>
                <w:bCs/>
                <w:sz w:val="22"/>
                <w:szCs w:val="22"/>
                <w:rtl/>
                <w:lang w:val="en-US"/>
              </w:rPr>
              <w:t>التعليقات</w:t>
            </w:r>
          </w:p>
        </w:tc>
        <w:tc>
          <w:tcPr>
            <w:tcW w:w="1559" w:type="dxa"/>
            <w:tcBorders>
              <w:bottom w:val="single" w:sz="4" w:space="0" w:color="auto"/>
            </w:tcBorders>
            <w:tcMar>
              <w:left w:w="14" w:type="dxa"/>
              <w:right w:w="0" w:type="dxa"/>
            </w:tcMar>
            <w:vAlign w:val="center"/>
          </w:tcPr>
          <w:p w:rsidR="006E14C6" w:rsidRPr="0034692B" w:rsidRDefault="006E14C6" w:rsidP="00647D22">
            <w:pPr>
              <w:bidi/>
              <w:jc w:val="left"/>
              <w:rPr>
                <w:b/>
                <w:bCs/>
                <w:sz w:val="22"/>
                <w:szCs w:val="22"/>
              </w:rPr>
            </w:pPr>
            <w:r w:rsidRPr="0034692B">
              <w:rPr>
                <w:rFonts w:hint="cs"/>
                <w:b/>
                <w:bCs/>
                <w:sz w:val="22"/>
                <w:szCs w:val="22"/>
                <w:rtl/>
              </w:rPr>
              <w:t>اليونيب</w:t>
            </w:r>
          </w:p>
        </w:tc>
      </w:tr>
      <w:tr w:rsidR="006E14C6" w:rsidRPr="008A4EE3" w:rsidTr="006E14C6">
        <w:tc>
          <w:tcPr>
            <w:tcW w:w="7655" w:type="dxa"/>
            <w:tcBorders>
              <w:bottom w:val="single" w:sz="4" w:space="0" w:color="auto"/>
            </w:tcBorders>
          </w:tcPr>
          <w:p w:rsidR="006E14C6" w:rsidRPr="00142FA7" w:rsidRDefault="006E14C6" w:rsidP="006E14C6">
            <w:pPr>
              <w:bidi/>
              <w:jc w:val="left"/>
              <w:rPr>
                <w:sz w:val="22"/>
                <w:szCs w:val="22"/>
              </w:rPr>
            </w:pPr>
            <w:r w:rsidRPr="00142FA7">
              <w:rPr>
                <w:rFonts w:hint="cs"/>
                <w:sz w:val="22"/>
                <w:szCs w:val="22"/>
                <w:rtl/>
              </w:rPr>
              <w:t>الفرق بين التقرير المرحلي المنقح لعام 2017 والحسابات الختامية لعام 2017</w:t>
            </w:r>
          </w:p>
        </w:tc>
        <w:tc>
          <w:tcPr>
            <w:tcW w:w="1559" w:type="dxa"/>
            <w:tcBorders>
              <w:bottom w:val="single" w:sz="4" w:space="0" w:color="auto"/>
            </w:tcBorders>
          </w:tcPr>
          <w:p w:rsidR="006E14C6" w:rsidRPr="00647D22" w:rsidRDefault="006E14C6" w:rsidP="004F4891">
            <w:pPr>
              <w:jc w:val="right"/>
              <w:rPr>
                <w:sz w:val="22"/>
                <w:szCs w:val="22"/>
              </w:rPr>
            </w:pPr>
            <w:r w:rsidRPr="00647D22">
              <w:rPr>
                <w:sz w:val="22"/>
                <w:szCs w:val="22"/>
              </w:rPr>
              <w:t>19,872,918</w:t>
            </w:r>
          </w:p>
        </w:tc>
      </w:tr>
      <w:tr w:rsidR="006E14C6" w:rsidRPr="008A4EE3" w:rsidTr="006E14C6">
        <w:tc>
          <w:tcPr>
            <w:tcW w:w="7655" w:type="dxa"/>
            <w:tcBorders>
              <w:top w:val="single" w:sz="4" w:space="0" w:color="auto"/>
              <w:left w:val="single" w:sz="4" w:space="0" w:color="auto"/>
            </w:tcBorders>
          </w:tcPr>
          <w:p w:rsidR="006E14C6" w:rsidRPr="00142FA7" w:rsidRDefault="006E14C6" w:rsidP="006E14C6">
            <w:pPr>
              <w:tabs>
                <w:tab w:val="left" w:pos="184"/>
              </w:tabs>
              <w:bidi/>
              <w:jc w:val="left"/>
              <w:rPr>
                <w:bCs/>
                <w:sz w:val="22"/>
                <w:szCs w:val="22"/>
                <w:lang w:val="en-US"/>
              </w:rPr>
            </w:pPr>
            <w:r w:rsidRPr="00142FA7">
              <w:rPr>
                <w:rFonts w:hint="cs"/>
                <w:bCs/>
                <w:sz w:val="22"/>
                <w:szCs w:val="22"/>
                <w:rtl/>
                <w:lang w:val="en-US"/>
              </w:rPr>
              <w:t>التفسيرات المقدمة</w:t>
            </w:r>
          </w:p>
        </w:tc>
        <w:tc>
          <w:tcPr>
            <w:tcW w:w="1559" w:type="dxa"/>
            <w:tcBorders>
              <w:top w:val="single" w:sz="4" w:space="0" w:color="auto"/>
            </w:tcBorders>
          </w:tcPr>
          <w:p w:rsidR="006E14C6" w:rsidRPr="00647D22" w:rsidRDefault="006E14C6" w:rsidP="004F4891">
            <w:pPr>
              <w:jc w:val="right"/>
              <w:rPr>
                <w:sz w:val="22"/>
                <w:szCs w:val="22"/>
              </w:rPr>
            </w:pPr>
          </w:p>
        </w:tc>
      </w:tr>
      <w:tr w:rsidR="006E14C6" w:rsidRPr="008A4EE3" w:rsidTr="00142FA7">
        <w:trPr>
          <w:trHeight w:val="440"/>
        </w:trPr>
        <w:tc>
          <w:tcPr>
            <w:tcW w:w="7655" w:type="dxa"/>
            <w:tcBorders>
              <w:left w:val="single" w:sz="4" w:space="0" w:color="auto"/>
            </w:tcBorders>
            <w:shd w:val="clear" w:color="auto" w:fill="auto"/>
          </w:tcPr>
          <w:p w:rsidR="006E14C6" w:rsidRPr="00142FA7" w:rsidRDefault="006E14C6" w:rsidP="006E14C6">
            <w:pPr>
              <w:bidi/>
              <w:jc w:val="left"/>
              <w:rPr>
                <w:sz w:val="22"/>
                <w:szCs w:val="22"/>
              </w:rPr>
            </w:pPr>
            <w:r w:rsidRPr="00142FA7">
              <w:rPr>
                <w:rFonts w:hint="cs"/>
                <w:sz w:val="22"/>
                <w:szCs w:val="22"/>
                <w:rtl/>
              </w:rPr>
              <w:t xml:space="preserve">أدرجت الالتزامات في التقرير المرحلي المنقح لعام 2017 ولكنها لم تسجل في الكشف المالي، حيث لم تدرج سوي المصروفات حسب معايير المحاسبة للقطاع العام الدولي في الكشف المالي </w:t>
            </w:r>
            <w:r w:rsidRPr="00142FA7">
              <w:rPr>
                <w:rFonts w:hint="cs"/>
                <w:sz w:val="22"/>
                <w:szCs w:val="22"/>
                <w:rtl/>
                <w:lang w:eastAsia="ja-JP"/>
              </w:rPr>
              <w:t>(لا داعي لأية إجراءات)</w:t>
            </w:r>
            <w:r w:rsidRPr="00142FA7">
              <w:rPr>
                <w:rFonts w:hint="cs"/>
                <w:sz w:val="22"/>
                <w:szCs w:val="22"/>
                <w:rtl/>
              </w:rPr>
              <w:t>.</w:t>
            </w:r>
          </w:p>
        </w:tc>
        <w:tc>
          <w:tcPr>
            <w:tcW w:w="1559" w:type="dxa"/>
          </w:tcPr>
          <w:p w:rsidR="006E14C6" w:rsidRPr="00647D22" w:rsidRDefault="006E14C6" w:rsidP="004F4891">
            <w:pPr>
              <w:jc w:val="right"/>
              <w:rPr>
                <w:sz w:val="22"/>
                <w:szCs w:val="22"/>
              </w:rPr>
            </w:pPr>
            <w:r w:rsidRPr="00647D22">
              <w:rPr>
                <w:bCs/>
                <w:iCs/>
                <w:color w:val="000000"/>
                <w:sz w:val="22"/>
                <w:szCs w:val="22"/>
              </w:rPr>
              <w:t>19,555,480</w:t>
            </w:r>
          </w:p>
        </w:tc>
      </w:tr>
      <w:tr w:rsidR="006E14C6" w:rsidRPr="008A4EE3" w:rsidTr="006E14C6">
        <w:tc>
          <w:tcPr>
            <w:tcW w:w="7655" w:type="dxa"/>
            <w:tcBorders>
              <w:left w:val="single" w:sz="4" w:space="0" w:color="auto"/>
              <w:bottom w:val="single" w:sz="4" w:space="0" w:color="auto"/>
            </w:tcBorders>
            <w:shd w:val="clear" w:color="auto" w:fill="auto"/>
          </w:tcPr>
          <w:p w:rsidR="006E14C6" w:rsidRPr="00142FA7" w:rsidRDefault="00142FA7" w:rsidP="00142FA7">
            <w:pPr>
              <w:bidi/>
              <w:rPr>
                <w:sz w:val="22"/>
                <w:szCs w:val="22"/>
              </w:rPr>
            </w:pPr>
            <w:bookmarkStart w:id="1" w:name="_Hlk6922339"/>
            <w:r w:rsidRPr="00142FA7">
              <w:rPr>
                <w:rFonts w:hint="cs"/>
                <w:sz w:val="22"/>
                <w:szCs w:val="22"/>
                <w:rtl/>
              </w:rPr>
              <w:t>الاختلافات بين تكاليف دعم الوكالة المتوقعة في التقرير المرحلي المنقح لعام 2017 و</w:t>
            </w:r>
            <w:r w:rsidR="0015584D">
              <w:rPr>
                <w:rFonts w:hint="cs"/>
                <w:sz w:val="22"/>
                <w:szCs w:val="22"/>
                <w:rtl/>
              </w:rPr>
              <w:t>ال</w:t>
            </w:r>
            <w:r w:rsidRPr="00142FA7">
              <w:rPr>
                <w:rFonts w:hint="cs"/>
                <w:sz w:val="22"/>
                <w:szCs w:val="22"/>
                <w:rtl/>
              </w:rPr>
              <w:t xml:space="preserve">تكاليف الفعلية </w:t>
            </w:r>
            <w:r>
              <w:rPr>
                <w:rFonts w:hint="cs"/>
                <w:sz w:val="22"/>
                <w:szCs w:val="22"/>
                <w:rtl/>
              </w:rPr>
              <w:t xml:space="preserve">لدعم الوكالة المحسوبة في نظام إدارة معلومات اليونيب ترجع أساسا إلى الفرق في التوقيت (سيعدل اليونيب </w:t>
            </w:r>
            <w:r w:rsidR="0034692B">
              <w:rPr>
                <w:rFonts w:hint="cs"/>
                <w:sz w:val="22"/>
                <w:szCs w:val="22"/>
                <w:rtl/>
              </w:rPr>
              <w:t xml:space="preserve">ذلك </w:t>
            </w:r>
            <w:r>
              <w:rPr>
                <w:rFonts w:hint="cs"/>
                <w:sz w:val="22"/>
                <w:szCs w:val="22"/>
                <w:rtl/>
              </w:rPr>
              <w:t>في حساباته لعام 2019)</w:t>
            </w:r>
          </w:p>
        </w:tc>
        <w:tc>
          <w:tcPr>
            <w:tcW w:w="1559" w:type="dxa"/>
            <w:tcBorders>
              <w:bottom w:val="single" w:sz="4" w:space="0" w:color="auto"/>
            </w:tcBorders>
            <w:shd w:val="clear" w:color="auto" w:fill="auto"/>
          </w:tcPr>
          <w:p w:rsidR="006E14C6" w:rsidRPr="00647D22" w:rsidRDefault="006E14C6" w:rsidP="004F4891">
            <w:pPr>
              <w:jc w:val="right"/>
              <w:rPr>
                <w:b/>
                <w:sz w:val="22"/>
                <w:szCs w:val="22"/>
              </w:rPr>
            </w:pPr>
            <w:r w:rsidRPr="00647D22">
              <w:rPr>
                <w:sz w:val="22"/>
                <w:szCs w:val="22"/>
              </w:rPr>
              <w:t>317,438</w:t>
            </w:r>
          </w:p>
        </w:tc>
      </w:tr>
      <w:tr w:rsidR="006E14C6" w:rsidRPr="008A4EE3" w:rsidTr="006E14C6">
        <w:tc>
          <w:tcPr>
            <w:tcW w:w="7655" w:type="dxa"/>
            <w:tcBorders>
              <w:left w:val="single" w:sz="4" w:space="0" w:color="auto"/>
              <w:bottom w:val="single" w:sz="4" w:space="0" w:color="auto"/>
            </w:tcBorders>
            <w:shd w:val="clear" w:color="auto" w:fill="auto"/>
          </w:tcPr>
          <w:p w:rsidR="006E14C6" w:rsidRPr="00142FA7" w:rsidRDefault="00142FA7" w:rsidP="006E14C6">
            <w:pPr>
              <w:bidi/>
              <w:rPr>
                <w:sz w:val="22"/>
                <w:szCs w:val="22"/>
              </w:rPr>
            </w:pPr>
            <w:r>
              <w:rPr>
                <w:rFonts w:hint="cs"/>
                <w:sz w:val="22"/>
                <w:szCs w:val="22"/>
                <w:rtl/>
              </w:rPr>
              <w:t>المجموع (الصفان 2 و3)</w:t>
            </w:r>
          </w:p>
        </w:tc>
        <w:tc>
          <w:tcPr>
            <w:tcW w:w="1559" w:type="dxa"/>
            <w:tcBorders>
              <w:bottom w:val="single" w:sz="4" w:space="0" w:color="auto"/>
            </w:tcBorders>
            <w:shd w:val="clear" w:color="auto" w:fill="auto"/>
          </w:tcPr>
          <w:p w:rsidR="006E14C6" w:rsidRPr="00647D22" w:rsidRDefault="006E14C6" w:rsidP="004F4891">
            <w:pPr>
              <w:jc w:val="right"/>
              <w:rPr>
                <w:sz w:val="22"/>
                <w:szCs w:val="22"/>
              </w:rPr>
            </w:pPr>
            <w:r w:rsidRPr="00647D22">
              <w:rPr>
                <w:sz w:val="22"/>
                <w:szCs w:val="22"/>
              </w:rPr>
              <w:t>19,872,918</w:t>
            </w:r>
          </w:p>
        </w:tc>
      </w:tr>
      <w:tr w:rsidR="006E14C6" w:rsidRPr="008A4EE3" w:rsidTr="006E14C6">
        <w:tc>
          <w:tcPr>
            <w:tcW w:w="7655" w:type="dxa"/>
            <w:tcBorders>
              <w:left w:val="single" w:sz="4" w:space="0" w:color="auto"/>
              <w:bottom w:val="single" w:sz="4" w:space="0" w:color="auto"/>
            </w:tcBorders>
            <w:shd w:val="clear" w:color="auto" w:fill="auto"/>
          </w:tcPr>
          <w:p w:rsidR="006E14C6" w:rsidRPr="00142FA7" w:rsidRDefault="00142FA7" w:rsidP="006E14C6">
            <w:pPr>
              <w:bidi/>
              <w:rPr>
                <w:b/>
                <w:bCs/>
                <w:sz w:val="22"/>
                <w:szCs w:val="22"/>
              </w:rPr>
            </w:pPr>
            <w:r>
              <w:rPr>
                <w:rFonts w:hint="cs"/>
                <w:b/>
                <w:bCs/>
                <w:sz w:val="22"/>
                <w:szCs w:val="22"/>
                <w:rtl/>
              </w:rPr>
              <w:t>الاختلافات</w:t>
            </w:r>
          </w:p>
        </w:tc>
        <w:tc>
          <w:tcPr>
            <w:tcW w:w="1559" w:type="dxa"/>
            <w:tcBorders>
              <w:bottom w:val="single" w:sz="4" w:space="0" w:color="auto"/>
            </w:tcBorders>
            <w:shd w:val="clear" w:color="auto" w:fill="auto"/>
          </w:tcPr>
          <w:p w:rsidR="006E14C6" w:rsidRPr="00647D22" w:rsidRDefault="006E14C6" w:rsidP="004F4891">
            <w:pPr>
              <w:jc w:val="right"/>
              <w:rPr>
                <w:b/>
                <w:sz w:val="22"/>
                <w:szCs w:val="22"/>
              </w:rPr>
            </w:pPr>
            <w:r w:rsidRPr="00647D22">
              <w:rPr>
                <w:b/>
                <w:sz w:val="22"/>
                <w:szCs w:val="22"/>
              </w:rPr>
              <w:t>0</w:t>
            </w:r>
          </w:p>
        </w:tc>
      </w:tr>
      <w:bookmarkEnd w:id="1"/>
    </w:tbl>
    <w:p w:rsidR="006E14C6" w:rsidRDefault="006E14C6" w:rsidP="006E14C6">
      <w:pPr>
        <w:bidi/>
        <w:rPr>
          <w:rtl/>
          <w:lang w:bidi="ar-EG"/>
        </w:rPr>
      </w:pPr>
    </w:p>
    <w:p w:rsidR="002833ED" w:rsidRDefault="00142FA7" w:rsidP="002833ED">
      <w:pPr>
        <w:pStyle w:val="Heading1"/>
        <w:bidi/>
        <w:rPr>
          <w:sz w:val="26"/>
          <w:szCs w:val="26"/>
          <w:lang w:bidi="ar-EG"/>
        </w:rPr>
      </w:pPr>
      <w:r>
        <w:rPr>
          <w:rFonts w:hint="cs"/>
          <w:sz w:val="26"/>
          <w:szCs w:val="26"/>
          <w:rtl/>
          <w:lang w:bidi="ar-EG"/>
        </w:rPr>
        <w:t>وإستنادا إلى التفسيرات المقدمة، لا توجد أي بنود تسوية مستمرة ينبغي تفسيرها.</w:t>
      </w:r>
    </w:p>
    <w:p w:rsidR="001173BD" w:rsidRDefault="001173BD">
      <w:pPr>
        <w:jc w:val="left"/>
        <w:rPr>
          <w:b/>
          <w:bCs/>
          <w:sz w:val="26"/>
          <w:szCs w:val="26"/>
          <w:rtl/>
          <w:lang w:bidi="ar-EG"/>
        </w:rPr>
      </w:pPr>
      <w:r>
        <w:rPr>
          <w:b/>
          <w:bCs/>
          <w:sz w:val="26"/>
          <w:szCs w:val="26"/>
          <w:rtl/>
          <w:lang w:bidi="ar-EG"/>
        </w:rPr>
        <w:br w:type="page"/>
      </w:r>
    </w:p>
    <w:p w:rsidR="002833ED" w:rsidRPr="00142FA7" w:rsidRDefault="00142FA7" w:rsidP="00B7621C">
      <w:pPr>
        <w:pStyle w:val="Heading1"/>
        <w:numPr>
          <w:ilvl w:val="0"/>
          <w:numId w:val="0"/>
        </w:numPr>
        <w:bidi/>
        <w:rPr>
          <w:b/>
          <w:bCs/>
          <w:sz w:val="26"/>
          <w:szCs w:val="26"/>
          <w:lang w:bidi="ar-EG"/>
        </w:rPr>
      </w:pPr>
      <w:r w:rsidRPr="00142FA7">
        <w:rPr>
          <w:rFonts w:hint="cs"/>
          <w:b/>
          <w:bCs/>
          <w:sz w:val="26"/>
          <w:szCs w:val="26"/>
          <w:rtl/>
          <w:lang w:bidi="ar-EG"/>
        </w:rPr>
        <w:lastRenderedPageBreak/>
        <w:t>التوصية</w:t>
      </w:r>
    </w:p>
    <w:p w:rsidR="00142FA7" w:rsidRPr="00142FA7" w:rsidRDefault="00142FA7" w:rsidP="00B7621C">
      <w:pPr>
        <w:pStyle w:val="Heading1"/>
        <w:bidi/>
        <w:rPr>
          <w:sz w:val="26"/>
          <w:szCs w:val="26"/>
          <w:lang w:bidi="ar-EG"/>
        </w:rPr>
      </w:pPr>
      <w:r>
        <w:rPr>
          <w:rFonts w:hint="cs"/>
          <w:sz w:val="26"/>
          <w:szCs w:val="26"/>
          <w:rtl/>
          <w:lang w:bidi="ar-EG"/>
        </w:rPr>
        <w:t>قد ترغب اللجنة التنفيذية في:</w:t>
      </w:r>
    </w:p>
    <w:p w:rsidR="00142FA7" w:rsidRPr="00142FA7" w:rsidRDefault="00142FA7" w:rsidP="00B7621C">
      <w:pPr>
        <w:pStyle w:val="Heading1"/>
        <w:numPr>
          <w:ilvl w:val="0"/>
          <w:numId w:val="0"/>
        </w:numPr>
        <w:bidi/>
        <w:ind w:left="1440" w:hanging="720"/>
        <w:rPr>
          <w:sz w:val="26"/>
          <w:szCs w:val="26"/>
          <w:lang w:bidi="ar-EG"/>
        </w:rPr>
      </w:pPr>
      <w:r>
        <w:rPr>
          <w:rFonts w:hint="cs"/>
          <w:sz w:val="26"/>
          <w:szCs w:val="26"/>
          <w:rtl/>
          <w:lang w:bidi="ar-EG"/>
        </w:rPr>
        <w:t>(أ)</w:t>
      </w:r>
      <w:r>
        <w:rPr>
          <w:rFonts w:hint="cs"/>
          <w:sz w:val="26"/>
          <w:szCs w:val="26"/>
          <w:rtl/>
          <w:lang w:bidi="ar-EG"/>
        </w:rPr>
        <w:tab/>
        <w:t>أن تحاط علما</w:t>
      </w:r>
      <w:r w:rsidR="0015584D">
        <w:rPr>
          <w:rFonts w:hint="cs"/>
          <w:sz w:val="26"/>
          <w:szCs w:val="26"/>
          <w:rtl/>
          <w:lang w:bidi="ar-EG"/>
        </w:rPr>
        <w:t xml:space="preserve"> بما يلي</w:t>
      </w:r>
      <w:r>
        <w:rPr>
          <w:rFonts w:hint="cs"/>
          <w:sz w:val="26"/>
          <w:szCs w:val="26"/>
          <w:rtl/>
          <w:lang w:bidi="ar-EG"/>
        </w:rPr>
        <w:t>:</w:t>
      </w:r>
    </w:p>
    <w:p w:rsidR="002833ED" w:rsidRDefault="00142FA7" w:rsidP="00B7621C">
      <w:pPr>
        <w:pStyle w:val="Heading1"/>
        <w:numPr>
          <w:ilvl w:val="0"/>
          <w:numId w:val="0"/>
        </w:numPr>
        <w:bidi/>
        <w:ind w:left="2160" w:hanging="720"/>
        <w:rPr>
          <w:sz w:val="26"/>
          <w:szCs w:val="26"/>
          <w:lang w:bidi="ar-EG"/>
        </w:rPr>
      </w:pPr>
      <w:r>
        <w:rPr>
          <w:rFonts w:hint="cs"/>
          <w:sz w:val="26"/>
          <w:szCs w:val="26"/>
          <w:rtl/>
          <w:lang w:bidi="ar-EG"/>
        </w:rPr>
        <w:t>(1)</w:t>
      </w:r>
      <w:r>
        <w:rPr>
          <w:rFonts w:hint="cs"/>
          <w:sz w:val="26"/>
          <w:szCs w:val="26"/>
          <w:rtl/>
          <w:lang w:bidi="ar-EG"/>
        </w:rPr>
        <w:tab/>
      </w:r>
      <w:r w:rsidR="0015584D">
        <w:rPr>
          <w:rFonts w:hint="cs"/>
          <w:sz w:val="26"/>
          <w:szCs w:val="26"/>
          <w:rtl/>
          <w:lang w:bidi="ar-EG"/>
        </w:rPr>
        <w:t xml:space="preserve">تسوية حسابات عام 2017 الواردة في الوثيقة </w:t>
      </w:r>
      <w:r w:rsidR="0015584D">
        <w:t>UNEP/OzL.Pro/ExCom/82/7</w:t>
      </w:r>
      <w:r w:rsidR="0015584D">
        <w:rPr>
          <w:rFonts w:hint="cs"/>
          <w:sz w:val="26"/>
          <w:szCs w:val="26"/>
          <w:rtl/>
          <w:lang w:bidi="ar-EG"/>
        </w:rPr>
        <w:t>؛</w:t>
      </w:r>
    </w:p>
    <w:p w:rsidR="002833ED" w:rsidRDefault="00142FA7" w:rsidP="00B7621C">
      <w:pPr>
        <w:pStyle w:val="Heading1"/>
        <w:numPr>
          <w:ilvl w:val="0"/>
          <w:numId w:val="0"/>
        </w:numPr>
        <w:bidi/>
        <w:ind w:left="2160" w:hanging="720"/>
        <w:rPr>
          <w:sz w:val="26"/>
          <w:szCs w:val="26"/>
          <w:lang w:bidi="ar-EG"/>
        </w:rPr>
      </w:pPr>
      <w:r>
        <w:rPr>
          <w:rFonts w:hint="cs"/>
          <w:sz w:val="26"/>
          <w:szCs w:val="26"/>
          <w:rtl/>
          <w:lang w:bidi="ar-EG"/>
        </w:rPr>
        <w:t>(2)</w:t>
      </w:r>
      <w:r>
        <w:rPr>
          <w:rFonts w:hint="cs"/>
          <w:sz w:val="26"/>
          <w:szCs w:val="26"/>
          <w:rtl/>
          <w:lang w:bidi="ar-EG"/>
        </w:rPr>
        <w:tab/>
      </w:r>
      <w:r w:rsidR="0034692B">
        <w:rPr>
          <w:rFonts w:hint="cs"/>
          <w:sz w:val="26"/>
          <w:szCs w:val="26"/>
          <w:rtl/>
          <w:lang w:bidi="ar-EG"/>
        </w:rPr>
        <w:t xml:space="preserve">تقديم اليونيب </w:t>
      </w:r>
      <w:r w:rsidR="0015584D">
        <w:rPr>
          <w:rFonts w:hint="cs"/>
          <w:sz w:val="26"/>
          <w:szCs w:val="26"/>
          <w:rtl/>
          <w:lang w:bidi="ar-EG"/>
        </w:rPr>
        <w:t>تنقيح</w:t>
      </w:r>
      <w:r w:rsidR="0034692B">
        <w:rPr>
          <w:rFonts w:hint="cs"/>
          <w:sz w:val="26"/>
          <w:szCs w:val="26"/>
          <w:rtl/>
          <w:lang w:bidi="ar-EG"/>
        </w:rPr>
        <w:t>ا</w:t>
      </w:r>
      <w:r w:rsidR="0015584D">
        <w:rPr>
          <w:rFonts w:hint="cs"/>
          <w:sz w:val="26"/>
          <w:szCs w:val="26"/>
          <w:rtl/>
          <w:lang w:bidi="ar-EG"/>
        </w:rPr>
        <w:t xml:space="preserve"> لتقريره المرحلى اعتبارا من 31 ديسمبر/كانون الأول 2017؛</w:t>
      </w:r>
    </w:p>
    <w:p w:rsidR="002833ED" w:rsidRDefault="00142FA7" w:rsidP="00B7621C">
      <w:pPr>
        <w:pStyle w:val="Heading1"/>
        <w:numPr>
          <w:ilvl w:val="0"/>
          <w:numId w:val="0"/>
        </w:numPr>
        <w:bidi/>
        <w:ind w:left="1440" w:hanging="720"/>
        <w:rPr>
          <w:sz w:val="26"/>
          <w:szCs w:val="26"/>
          <w:lang w:bidi="ar-EG"/>
        </w:rPr>
      </w:pPr>
      <w:r>
        <w:rPr>
          <w:rFonts w:hint="cs"/>
          <w:sz w:val="26"/>
          <w:szCs w:val="26"/>
          <w:rtl/>
          <w:lang w:bidi="ar-EG"/>
        </w:rPr>
        <w:t>(ب)</w:t>
      </w:r>
      <w:r>
        <w:rPr>
          <w:rFonts w:hint="cs"/>
          <w:sz w:val="26"/>
          <w:szCs w:val="26"/>
          <w:rtl/>
          <w:lang w:bidi="ar-EG"/>
        </w:rPr>
        <w:tab/>
        <w:t>أن تطلب إلى اليونيب أن يظهر في حساباته لعام 2019:</w:t>
      </w:r>
    </w:p>
    <w:p w:rsidR="00142FA7" w:rsidRDefault="00142FA7" w:rsidP="00B7621C">
      <w:pPr>
        <w:pStyle w:val="Heading1"/>
        <w:numPr>
          <w:ilvl w:val="0"/>
          <w:numId w:val="0"/>
        </w:numPr>
        <w:bidi/>
        <w:ind w:left="2160" w:hanging="720"/>
        <w:rPr>
          <w:sz w:val="26"/>
          <w:szCs w:val="26"/>
          <w:lang w:bidi="ar-EG"/>
        </w:rPr>
      </w:pPr>
      <w:r>
        <w:rPr>
          <w:rFonts w:hint="cs"/>
          <w:sz w:val="26"/>
          <w:szCs w:val="26"/>
          <w:rtl/>
          <w:lang w:bidi="ar-EG"/>
        </w:rPr>
        <w:t>(1)</w:t>
      </w:r>
      <w:r>
        <w:rPr>
          <w:rFonts w:hint="cs"/>
          <w:sz w:val="26"/>
          <w:szCs w:val="26"/>
          <w:rtl/>
          <w:lang w:bidi="ar-EG"/>
        </w:rPr>
        <w:tab/>
        <w:t xml:space="preserve">مبلغ 7.357 دولار أمريكي في الإيرادات يمثل المكاسب في </w:t>
      </w:r>
      <w:r w:rsidR="0015584D">
        <w:rPr>
          <w:rFonts w:hint="cs"/>
          <w:sz w:val="26"/>
          <w:szCs w:val="26"/>
          <w:rtl/>
          <w:lang w:bidi="ar-EG"/>
        </w:rPr>
        <w:t>السنوات السابقة التي لم تسجل في حساباته الختامية لعام 2017؛</w:t>
      </w:r>
    </w:p>
    <w:p w:rsidR="00142FA7" w:rsidRDefault="00142FA7" w:rsidP="00B7621C">
      <w:pPr>
        <w:pStyle w:val="Heading1"/>
        <w:numPr>
          <w:ilvl w:val="0"/>
          <w:numId w:val="0"/>
        </w:numPr>
        <w:bidi/>
        <w:ind w:left="2160" w:hanging="720"/>
        <w:rPr>
          <w:sz w:val="26"/>
          <w:szCs w:val="26"/>
          <w:rtl/>
          <w:lang w:bidi="ar-EG"/>
        </w:rPr>
      </w:pPr>
      <w:r>
        <w:rPr>
          <w:rFonts w:hint="cs"/>
          <w:sz w:val="26"/>
          <w:szCs w:val="26"/>
          <w:rtl/>
          <w:lang w:bidi="ar-EG"/>
        </w:rPr>
        <w:t>(2)</w:t>
      </w:r>
      <w:r>
        <w:rPr>
          <w:rFonts w:hint="cs"/>
          <w:sz w:val="26"/>
          <w:szCs w:val="26"/>
          <w:rtl/>
          <w:lang w:bidi="ar-EG"/>
        </w:rPr>
        <w:tab/>
      </w:r>
      <w:r w:rsidR="0015584D">
        <w:rPr>
          <w:rFonts w:hint="cs"/>
          <w:sz w:val="26"/>
          <w:szCs w:val="26"/>
          <w:rtl/>
          <w:lang w:bidi="ar-EG"/>
        </w:rPr>
        <w:t xml:space="preserve">مبلغ 317.438 دولارا أمريكيا يمثل </w:t>
      </w:r>
      <w:r w:rsidR="0015584D">
        <w:rPr>
          <w:rFonts w:hint="cs"/>
          <w:sz w:val="26"/>
          <w:szCs w:val="26"/>
          <w:rtl/>
        </w:rPr>
        <w:t>الفرق</w:t>
      </w:r>
      <w:r w:rsidR="0015584D" w:rsidRPr="0015584D">
        <w:rPr>
          <w:rFonts w:hint="cs"/>
          <w:sz w:val="26"/>
          <w:szCs w:val="26"/>
          <w:rtl/>
        </w:rPr>
        <w:t xml:space="preserve"> بين تكاليف دعم الوكالة المتوقعة والتكاليف الفعلية لدعم الوكالة</w:t>
      </w:r>
      <w:r w:rsidR="0015584D">
        <w:rPr>
          <w:rFonts w:hint="cs"/>
          <w:sz w:val="26"/>
          <w:szCs w:val="26"/>
          <w:rtl/>
          <w:lang w:bidi="ar-EG"/>
        </w:rPr>
        <w:t xml:space="preserve"> غير المسجلة في الحسابات الختامية لعام 2017.</w:t>
      </w:r>
    </w:p>
    <w:p w:rsidR="00B7621C" w:rsidRDefault="00B7621C" w:rsidP="0034692B">
      <w:pPr>
        <w:rPr>
          <w:rtl/>
          <w:lang w:bidi="ar-EG"/>
        </w:rPr>
      </w:pPr>
    </w:p>
    <w:p w:rsidR="00B7621C" w:rsidRPr="00B7621C" w:rsidRDefault="00B7621C" w:rsidP="0034692B">
      <w:pPr>
        <w:rPr>
          <w:lang w:bidi="ar-E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7E5D09">
        <w:tc>
          <w:tcPr>
            <w:tcW w:w="1915" w:type="dxa"/>
          </w:tcPr>
          <w:p w:rsidR="007E5D09" w:rsidRDefault="007E5D09">
            <w:pPr>
              <w:rPr>
                <w:lang w:val="en-CA"/>
              </w:rPr>
            </w:pPr>
          </w:p>
        </w:tc>
        <w:tc>
          <w:tcPr>
            <w:tcW w:w="1915" w:type="dxa"/>
          </w:tcPr>
          <w:p w:rsidR="007E5D09" w:rsidRDefault="007E5D09">
            <w:pPr>
              <w:rPr>
                <w:lang w:val="en-CA"/>
              </w:rPr>
            </w:pPr>
          </w:p>
        </w:tc>
        <w:tc>
          <w:tcPr>
            <w:tcW w:w="1915" w:type="dxa"/>
            <w:tcBorders>
              <w:bottom w:val="single" w:sz="4" w:space="0" w:color="auto"/>
            </w:tcBorders>
          </w:tcPr>
          <w:p w:rsidR="007E5D09" w:rsidRDefault="007E5D09">
            <w:pPr>
              <w:rPr>
                <w:b/>
                <w:bCs/>
                <w:lang w:val="en-CA"/>
              </w:rPr>
            </w:pPr>
          </w:p>
        </w:tc>
        <w:tc>
          <w:tcPr>
            <w:tcW w:w="1915" w:type="dxa"/>
          </w:tcPr>
          <w:p w:rsidR="007E5D09" w:rsidRDefault="007E5D09">
            <w:pPr>
              <w:rPr>
                <w:lang w:val="en-CA"/>
              </w:rPr>
            </w:pPr>
          </w:p>
        </w:tc>
        <w:tc>
          <w:tcPr>
            <w:tcW w:w="1916" w:type="dxa"/>
          </w:tcPr>
          <w:p w:rsidR="007E5D09" w:rsidRDefault="007E5D09">
            <w:pPr>
              <w:rPr>
                <w:lang w:val="en-CA"/>
              </w:rPr>
            </w:pPr>
          </w:p>
        </w:tc>
      </w:tr>
    </w:tbl>
    <w:p w:rsidR="007E5D09" w:rsidRPr="00B7621C" w:rsidRDefault="007E5D09" w:rsidP="00B7621C">
      <w:pPr>
        <w:rPr>
          <w:lang w:val="en-US"/>
        </w:rPr>
      </w:pPr>
    </w:p>
    <w:sectPr w:rsidR="007E5D09" w:rsidRPr="00B7621C" w:rsidSect="004D2A0B">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9A7" w:rsidRDefault="00F709A7">
      <w:r>
        <w:separator/>
      </w:r>
    </w:p>
  </w:endnote>
  <w:endnote w:type="continuationSeparator" w:id="0">
    <w:p w:rsidR="00F709A7" w:rsidRDefault="00F7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abic Transparent">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charset w:val="00"/>
    <w:family w:val="roman"/>
    <w:pitch w:val="variable"/>
    <w:sig w:usb0="00000000" w:usb1="00000000" w:usb2="00000000" w:usb3="00000000" w:csb0="00000041" w:csb1="00000000"/>
  </w:font>
  <w:font w:name="Akhbar MT">
    <w:altName w:val="Times New Roman"/>
    <w:charset w:val="B2"/>
    <w:family w:val="auto"/>
    <w:pitch w:val="variable"/>
    <w:sig w:usb0="00002000" w:usb1="00000000" w:usb2="00000000" w:usb3="00000000" w:csb0="00000040" w:csb1="00000000"/>
  </w:font>
  <w:font w:name="Times New Romant">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D09" w:rsidRDefault="006113ED">
    <w:pPr>
      <w:jc w:val="center"/>
    </w:pPr>
    <w:r>
      <w:fldChar w:fldCharType="begin"/>
    </w:r>
    <w:r w:rsidR="00E1360E">
      <w:instrText xml:space="preserve"> PAGE </w:instrText>
    </w:r>
    <w:r>
      <w:fldChar w:fldCharType="separate"/>
    </w:r>
    <w:r w:rsidR="006C6BED">
      <w:rPr>
        <w:noProof/>
      </w:rPr>
      <w:t>4</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D09" w:rsidRDefault="006113ED">
    <w:pPr>
      <w:jc w:val="center"/>
    </w:pPr>
    <w:r>
      <w:fldChar w:fldCharType="begin"/>
    </w:r>
    <w:r w:rsidR="00E1360E">
      <w:instrText xml:space="preserve"> PAGE </w:instrText>
    </w:r>
    <w:r>
      <w:fldChar w:fldCharType="separate"/>
    </w:r>
    <w:r w:rsidR="006C6BED">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798752022"/>
      <w:docPartObj>
        <w:docPartGallery w:val="Page Numbers (Bottom of Page)"/>
        <w:docPartUnique/>
      </w:docPartObj>
    </w:sdtPr>
    <w:sdtEndPr>
      <w:rPr>
        <w:noProof/>
      </w:rPr>
    </w:sdtEndPr>
    <w:sdtContent>
      <w:p w:rsidR="004D2A0B" w:rsidRDefault="004D2A0B" w:rsidP="004D2A0B">
        <w:pPr>
          <w:pBdr>
            <w:top w:val="single" w:sz="4" w:space="0" w:color="auto"/>
            <w:left w:val="single" w:sz="4" w:space="0" w:color="auto"/>
            <w:bottom w:val="single" w:sz="4" w:space="1" w:color="auto"/>
            <w:right w:val="single" w:sz="4" w:space="0" w:color="auto"/>
          </w:pBdr>
          <w:bidi/>
          <w:jc w:val="center"/>
          <w:rPr>
            <w:rFonts w:cs="Arabic Transparent"/>
            <w:rtl/>
          </w:rPr>
        </w:pPr>
        <w:r>
          <w:rPr>
            <w:rFonts w:cs="Arabic Transparent" w:hint="cs"/>
            <w:rtl/>
          </w:rPr>
          <w:t>إن وثائق ما قبل دورات اللجنة التنفيذية للصندوق المتعدد الأطراف لتنفيذ بروتوكول مونتريال</w:t>
        </w:r>
        <w:r>
          <w:rPr>
            <w:rFonts w:cs="Arabic Transparent"/>
          </w:rPr>
          <w:t xml:space="preserve"> </w:t>
        </w:r>
      </w:p>
      <w:p w:rsidR="007E5D09" w:rsidRPr="004D2A0B" w:rsidRDefault="004D2A0B" w:rsidP="00142A29">
        <w:pPr>
          <w:pBdr>
            <w:top w:val="single" w:sz="4" w:space="0" w:color="auto"/>
            <w:left w:val="single" w:sz="4" w:space="0" w:color="auto"/>
            <w:bottom w:val="single" w:sz="4" w:space="1" w:color="auto"/>
            <w:right w:val="single" w:sz="4" w:space="0" w:color="auto"/>
          </w:pBdr>
          <w:bidi/>
          <w:jc w:val="center"/>
          <w:rPr>
            <w:lang w:val="en-US"/>
          </w:rPr>
        </w:pPr>
        <w:r>
          <w:rPr>
            <w:rFonts w:cs="Arabic Transparent" w:hint="cs"/>
            <w:rtl/>
          </w:rPr>
          <w:t>قد تصدر دون إخلال بأي قرار تتخذه اللجنة التنفيذية بعد صدورها.</w:t>
        </w:r>
        <w:r>
          <w:rPr>
            <w:rFonts w:cs="Arabic Transparent"/>
          </w:rPr>
          <w:t xml:space="preserve"> </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9A7" w:rsidRDefault="00F709A7" w:rsidP="002B0595">
      <w:pPr>
        <w:bidi/>
      </w:pPr>
      <w:r>
        <w:separator/>
      </w:r>
    </w:p>
  </w:footnote>
  <w:footnote w:type="continuationSeparator" w:id="0">
    <w:p w:rsidR="00F709A7" w:rsidRDefault="00F709A7">
      <w:r>
        <w:continuationSeparator/>
      </w:r>
    </w:p>
  </w:footnote>
  <w:footnote w:id="1">
    <w:p w:rsidR="002B0595" w:rsidRDefault="002B0595" w:rsidP="002B0595">
      <w:pPr>
        <w:pStyle w:val="FootnoteText"/>
        <w:bidi/>
        <w:rPr>
          <w:rtl/>
        </w:rPr>
      </w:pPr>
      <w:r>
        <w:rPr>
          <w:rStyle w:val="FootnoteReference"/>
        </w:rPr>
        <w:footnoteRef/>
      </w:r>
      <w:r>
        <w:rPr>
          <w:rFonts w:hint="cs"/>
          <w:rtl/>
          <w:lang w:val="en-US" w:bidi="ar-EG"/>
        </w:rPr>
        <w:t xml:space="preserve"> </w:t>
      </w:r>
      <w:r w:rsidRPr="0039713C">
        <w:t>UNEP/OzL.Pro/ExCom/8</w:t>
      </w:r>
      <w:r>
        <w:t>2/7</w:t>
      </w:r>
    </w:p>
    <w:p w:rsidR="001173BD" w:rsidRDefault="001173BD" w:rsidP="001173BD">
      <w:pPr>
        <w:pStyle w:val="FootnoteText"/>
        <w:bidi/>
        <w:rPr>
          <w:rtl/>
        </w:rPr>
      </w:pPr>
    </w:p>
    <w:p w:rsidR="001173BD" w:rsidRPr="002B0595" w:rsidRDefault="001173BD" w:rsidP="001173BD">
      <w:pPr>
        <w:pStyle w:val="FootnoteText"/>
        <w:bidi/>
        <w:rPr>
          <w:rtl/>
          <w:lang w:val="en-US" w:bidi="ar-EG"/>
        </w:rPr>
      </w:pPr>
    </w:p>
  </w:footnote>
  <w:footnote w:id="2">
    <w:p w:rsidR="0096306E" w:rsidRDefault="0096306E" w:rsidP="0096306E">
      <w:pPr>
        <w:pStyle w:val="FootnoteText"/>
        <w:bidi/>
        <w:rPr>
          <w:rtl/>
          <w:lang w:bidi="ar-EG"/>
        </w:rPr>
      </w:pPr>
      <w:r>
        <w:rPr>
          <w:rStyle w:val="FootnoteReference"/>
        </w:rPr>
        <w:footnoteRef/>
      </w:r>
      <w:r>
        <w:rPr>
          <w:rFonts w:hint="cs"/>
          <w:rtl/>
          <w:lang w:bidi="ar-EG"/>
        </w:rPr>
        <w:t xml:space="preserve"> من 17 إلى 20 فبراير/شباط 2019، باريس.</w:t>
      </w:r>
    </w:p>
  </w:footnote>
  <w:footnote w:id="3">
    <w:p w:rsidR="0096306E" w:rsidRDefault="0096306E" w:rsidP="00FF5AD6">
      <w:pPr>
        <w:pStyle w:val="FootnoteText"/>
        <w:bidi/>
        <w:rPr>
          <w:lang w:bidi="ar-EG"/>
        </w:rPr>
      </w:pPr>
      <w:r>
        <w:rPr>
          <w:rStyle w:val="FootnoteReference"/>
        </w:rPr>
        <w:footnoteRef/>
      </w:r>
      <w:r>
        <w:rPr>
          <w:rFonts w:hint="cs"/>
          <w:rtl/>
          <w:lang w:bidi="ar-EG"/>
        </w:rPr>
        <w:t xml:space="preserve"> من 5 </w:t>
      </w:r>
      <w:r w:rsidR="00B7621C">
        <w:rPr>
          <w:rFonts w:hint="cs"/>
          <w:rtl/>
          <w:lang w:bidi="ar-EG"/>
        </w:rPr>
        <w:t>إلى 7 مارس/آذار 2019</w:t>
      </w:r>
      <w:r w:rsidR="00FF5AD6">
        <w:rPr>
          <w:rFonts w:hint="cs"/>
          <w:rtl/>
          <w:lang w:bidi="ar-EG"/>
        </w:rPr>
        <w:t>،</w:t>
      </w:r>
      <w:r w:rsidR="00B7621C">
        <w:rPr>
          <w:rFonts w:hint="cs"/>
          <w:rtl/>
          <w:lang w:bidi="ar-EG"/>
        </w:rPr>
        <w:t xml:space="preserve"> مونتريال.</w:t>
      </w:r>
    </w:p>
    <w:p w:rsidR="00C760DD" w:rsidRPr="00B7621C" w:rsidRDefault="00C760DD" w:rsidP="00C760DD">
      <w:pPr>
        <w:pStyle w:val="FootnoteText"/>
        <w:bidi/>
        <w:rPr>
          <w:rtl/>
          <w:lang w:val="en-US" w:bidi="ar-EG"/>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A0B" w:rsidRPr="003F73BA" w:rsidRDefault="006C6BED" w:rsidP="004D2A0B">
    <w:pPr>
      <w:jc w:val="right"/>
    </w:pPr>
    <w:r>
      <w:fldChar w:fldCharType="begin"/>
    </w:r>
    <w:r>
      <w:instrText xml:space="preserve"> DOCPROPERTY "Document number"  \* MERGEFORMAT </w:instrText>
    </w:r>
    <w:r>
      <w:fldChar w:fldCharType="separate"/>
    </w:r>
    <w:r w:rsidR="004D2A0B">
      <w:t>UNEP/OzL.Pro/ExCom/83/6</w:t>
    </w:r>
    <w:r>
      <w:fldChar w:fldCharType="end"/>
    </w:r>
  </w:p>
  <w:p w:rsidR="007E5D09" w:rsidRDefault="007E5D09" w:rsidP="004D2A0B">
    <w:pPr>
      <w:jc w:val="right"/>
    </w:pPr>
  </w:p>
  <w:p w:rsidR="007E5D09" w:rsidRDefault="007E5D09" w:rsidP="004D2A0B">
    <w:pP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D09" w:rsidRDefault="006C6BED">
    <w:r>
      <w:fldChar w:fldCharType="begin"/>
    </w:r>
    <w:r>
      <w:instrText xml:space="preserve"> DOCPROPERTY "Document number"  \* MERGEFORMAT </w:instrText>
    </w:r>
    <w:r>
      <w:fldChar w:fldCharType="separate"/>
    </w:r>
    <w:r w:rsidR="00B60402">
      <w:t>UNEP/OzL.Pro/ExCom/83/6</w:t>
    </w:r>
    <w:r>
      <w:fldChar w:fldCharType="end"/>
    </w:r>
  </w:p>
  <w:p w:rsidR="007E5D09" w:rsidRDefault="007E5D09">
    <w:pPr>
      <w:pStyle w:val="Header"/>
    </w:pPr>
  </w:p>
  <w:p w:rsidR="00B60402" w:rsidRDefault="00B6040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D09" w:rsidRDefault="007E5D09"/>
  <w:p w:rsidR="007E5D09" w:rsidRDefault="007E5D0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EA91885"/>
    <w:multiLevelType w:val="hybridMultilevel"/>
    <w:tmpl w:val="DACA1944"/>
    <w:lvl w:ilvl="0" w:tplc="A914E8D6">
      <w:start w:val="1"/>
      <w:numFmt w:val="arabicAbjad"/>
      <w:lvlText w:val="(%1)"/>
      <w:lvlJc w:val="left"/>
      <w:pPr>
        <w:tabs>
          <w:tab w:val="num" w:pos="0"/>
        </w:tabs>
        <w:ind w:left="1440" w:hanging="720"/>
      </w:pPr>
      <w:rPr>
        <w:rFonts w:ascii="Times New Roman" w:hAnsi="Times New Roman" w:cs="Arabic Transparent" w:hint="default"/>
        <w:b w:val="0"/>
        <w:bCs w:val="0"/>
        <w:i w:val="0"/>
        <w:iCs w:val="0"/>
        <w:vanish w:val="0"/>
        <w:color w:val="auto"/>
        <w:sz w:val="24"/>
        <w:szCs w:val="26"/>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F2D0A08"/>
    <w:multiLevelType w:val="hybridMultilevel"/>
    <w:tmpl w:val="14789E5C"/>
    <w:lvl w:ilvl="0" w:tplc="B136E804">
      <w:start w:val="1"/>
      <w:numFmt w:val="decimal"/>
      <w:lvlText w:val="(%1)"/>
      <w:lvlJc w:val="left"/>
      <w:pPr>
        <w:tabs>
          <w:tab w:val="num" w:pos="0"/>
        </w:tabs>
        <w:ind w:left="1814"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5" w15:restartNumberingAfterBreak="0">
    <w:nsid w:val="43BB0DA3"/>
    <w:multiLevelType w:val="hybridMultilevel"/>
    <w:tmpl w:val="8CCE5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6"/>
  </w:num>
  <w:num w:numId="18">
    <w:abstractNumId w:val="17"/>
  </w:num>
  <w:num w:numId="19">
    <w:abstractNumId w:val="18"/>
  </w:num>
  <w:num w:numId="20">
    <w:abstractNumId w:val="14"/>
  </w:num>
  <w:num w:numId="21">
    <w:abstractNumId w:val="11"/>
  </w:num>
  <w:num w:numId="22">
    <w:abstractNumId w:val="13"/>
  </w:num>
  <w:num w:numId="23">
    <w:abstractNumId w:val="15"/>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770656"/>
    <w:rsid w:val="00013372"/>
    <w:rsid w:val="0004254A"/>
    <w:rsid w:val="000A7BAB"/>
    <w:rsid w:val="000C2FE8"/>
    <w:rsid w:val="001173BD"/>
    <w:rsid w:val="001200D1"/>
    <w:rsid w:val="001359B2"/>
    <w:rsid w:val="00142A29"/>
    <w:rsid w:val="00142FA7"/>
    <w:rsid w:val="0015584D"/>
    <w:rsid w:val="001649A3"/>
    <w:rsid w:val="00191ACD"/>
    <w:rsid w:val="002833ED"/>
    <w:rsid w:val="002834C9"/>
    <w:rsid w:val="002B0595"/>
    <w:rsid w:val="002F505F"/>
    <w:rsid w:val="00302F26"/>
    <w:rsid w:val="0034692B"/>
    <w:rsid w:val="003C0FDD"/>
    <w:rsid w:val="003F2852"/>
    <w:rsid w:val="004213BA"/>
    <w:rsid w:val="00453475"/>
    <w:rsid w:val="004C5B74"/>
    <w:rsid w:val="004D2A0B"/>
    <w:rsid w:val="00530C12"/>
    <w:rsid w:val="006113ED"/>
    <w:rsid w:val="00632F2E"/>
    <w:rsid w:val="00647D22"/>
    <w:rsid w:val="00662A73"/>
    <w:rsid w:val="006A6068"/>
    <w:rsid w:val="006C6BED"/>
    <w:rsid w:val="006E14C6"/>
    <w:rsid w:val="00700FD1"/>
    <w:rsid w:val="00770656"/>
    <w:rsid w:val="00786775"/>
    <w:rsid w:val="007E5D09"/>
    <w:rsid w:val="008B0777"/>
    <w:rsid w:val="00905A97"/>
    <w:rsid w:val="0096306E"/>
    <w:rsid w:val="009B5AB4"/>
    <w:rsid w:val="00A44778"/>
    <w:rsid w:val="00AB2DE0"/>
    <w:rsid w:val="00AB4886"/>
    <w:rsid w:val="00AC4918"/>
    <w:rsid w:val="00B11DB6"/>
    <w:rsid w:val="00B12420"/>
    <w:rsid w:val="00B40E87"/>
    <w:rsid w:val="00B60402"/>
    <w:rsid w:val="00B7621C"/>
    <w:rsid w:val="00B81E83"/>
    <w:rsid w:val="00C760DD"/>
    <w:rsid w:val="00CD0FB3"/>
    <w:rsid w:val="00D062EC"/>
    <w:rsid w:val="00D65225"/>
    <w:rsid w:val="00E1360E"/>
    <w:rsid w:val="00E32F0A"/>
    <w:rsid w:val="00EC108E"/>
    <w:rsid w:val="00F709A7"/>
    <w:rsid w:val="00F75939"/>
    <w:rsid w:val="00FF5A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8B0A0E8"/>
  <w15:docId w15:val="{1DB98B44-9362-458C-BD80-DA2BFF179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ACD"/>
    <w:pPr>
      <w:jc w:val="both"/>
    </w:pPr>
    <w:rPr>
      <w:sz w:val="24"/>
      <w:lang w:val="en-GB" w:bidi="ar-DZ"/>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191AC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SubPara (أ),Heading 2 Char2"/>
    <w:basedOn w:val="Normal"/>
    <w:next w:val="Normal"/>
    <w:qFormat/>
    <w:rsid w:val="00191ACD"/>
    <w:pPr>
      <w:widowControl w:val="0"/>
      <w:numPr>
        <w:ilvl w:val="1"/>
        <w:numId w:val="2"/>
      </w:numPr>
      <w:spacing w:after="240"/>
      <w:outlineLvl w:val="1"/>
    </w:pPr>
  </w:style>
  <w:style w:type="paragraph" w:styleId="Heading3">
    <w:name w:val="heading 3"/>
    <w:aliases w:val="Char,Heading 3 Char,Char Char,Heading 3 Char1,Heading 3 Char Char,Char Char Char,Char Char1,Heading 3 Char1 Char,Heading 3 Char Char Char,Char Char Char Char,Char Char1 Char,Heading 3 Char2,Char Char2,Char Char Char1,Heading 3 Char Char1"/>
    <w:basedOn w:val="Normal"/>
    <w:next w:val="Normal"/>
    <w:qFormat/>
    <w:rsid w:val="00191ACD"/>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rsid w:val="00191ACD"/>
    <w:pPr>
      <w:keepNext/>
      <w:numPr>
        <w:ilvl w:val="3"/>
        <w:numId w:val="4"/>
      </w:numPr>
      <w:spacing w:before="240" w:after="60"/>
      <w:outlineLvl w:val="3"/>
    </w:pPr>
  </w:style>
  <w:style w:type="paragraph" w:styleId="Heading5">
    <w:name w:val="heading 5"/>
    <w:basedOn w:val="Normal"/>
    <w:next w:val="Normal"/>
    <w:qFormat/>
    <w:rsid w:val="00191ACD"/>
    <w:pPr>
      <w:keepNext/>
      <w:numPr>
        <w:numId w:val="20"/>
      </w:numPr>
      <w:spacing w:after="240"/>
      <w:ind w:left="3600" w:hanging="720"/>
      <w:outlineLvl w:val="4"/>
    </w:pPr>
  </w:style>
  <w:style w:type="paragraph" w:styleId="Heading6">
    <w:name w:val="heading 6"/>
    <w:basedOn w:val="Normal"/>
    <w:next w:val="Normal"/>
    <w:qFormat/>
    <w:rsid w:val="00191ACD"/>
    <w:pPr>
      <w:numPr>
        <w:ilvl w:val="5"/>
        <w:numId w:val="1"/>
      </w:numPr>
      <w:spacing w:before="240" w:after="60"/>
      <w:outlineLvl w:val="5"/>
    </w:pPr>
    <w:rPr>
      <w:rFonts w:ascii="Arial" w:hAnsi="Arial"/>
      <w:i/>
    </w:rPr>
  </w:style>
  <w:style w:type="paragraph" w:styleId="Heading7">
    <w:name w:val="heading 7"/>
    <w:basedOn w:val="Normal"/>
    <w:next w:val="Normal"/>
    <w:qFormat/>
    <w:rsid w:val="00191ACD"/>
    <w:pPr>
      <w:numPr>
        <w:ilvl w:val="6"/>
        <w:numId w:val="1"/>
      </w:numPr>
      <w:spacing w:before="240" w:after="60"/>
      <w:outlineLvl w:val="6"/>
    </w:pPr>
    <w:rPr>
      <w:rFonts w:ascii="Arial" w:hAnsi="Arial"/>
    </w:rPr>
  </w:style>
  <w:style w:type="paragraph" w:styleId="Heading8">
    <w:name w:val="heading 8"/>
    <w:basedOn w:val="Normal"/>
    <w:next w:val="Normal"/>
    <w:qFormat/>
    <w:rsid w:val="00191ACD"/>
    <w:pPr>
      <w:outlineLvl w:val="7"/>
    </w:pPr>
    <w:rPr>
      <w:b/>
    </w:rPr>
  </w:style>
  <w:style w:type="paragraph" w:styleId="Heading9">
    <w:name w:val="heading 9"/>
    <w:basedOn w:val="Normal"/>
    <w:next w:val="Normal"/>
    <w:qFormat/>
    <w:rsid w:val="00191ACD"/>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191ACD"/>
    <w:pPr>
      <w:numPr>
        <w:numId w:val="16"/>
      </w:numPr>
    </w:pPr>
  </w:style>
  <w:style w:type="paragraph" w:styleId="Header">
    <w:name w:val="header"/>
    <w:basedOn w:val="Normal"/>
    <w:rsid w:val="00191ACD"/>
    <w:pPr>
      <w:tabs>
        <w:tab w:val="center" w:pos="4320"/>
        <w:tab w:val="right" w:pos="8640"/>
      </w:tabs>
    </w:pPr>
  </w:style>
  <w:style w:type="paragraph" w:customStyle="1" w:styleId="sub-title">
    <w:name w:val="sub-title"/>
    <w:rsid w:val="00191ACD"/>
    <w:pPr>
      <w:jc w:val="both"/>
      <w:outlineLvl w:val="0"/>
    </w:pPr>
    <w:rPr>
      <w:b/>
      <w:noProof/>
      <w:sz w:val="22"/>
      <w:szCs w:val="22"/>
    </w:rPr>
  </w:style>
  <w:style w:type="paragraph" w:customStyle="1" w:styleId="Title1">
    <w:name w:val="Title1"/>
    <w:rsid w:val="00191ACD"/>
    <w:pPr>
      <w:jc w:val="center"/>
      <w:outlineLvl w:val="0"/>
    </w:pPr>
    <w:rPr>
      <w:b/>
      <w:caps/>
      <w:sz w:val="22"/>
      <w:szCs w:val="22"/>
      <w:lang w:val="en-GB"/>
    </w:rPr>
  </w:style>
  <w:style w:type="paragraph" w:customStyle="1" w:styleId="Decision">
    <w:name w:val="Decision"/>
    <w:basedOn w:val="Normal"/>
    <w:rsid w:val="00191ACD"/>
    <w:pPr>
      <w:keepLines/>
      <w:jc w:val="right"/>
    </w:pPr>
    <w:rPr>
      <w:b/>
    </w:rPr>
  </w:style>
  <w:style w:type="paragraph" w:customStyle="1" w:styleId="0Heading0">
    <w:name w:val="0 Heading 0"/>
    <w:uiPriority w:val="99"/>
    <w:rsid w:val="00191ACD"/>
    <w:rPr>
      <w:sz w:val="22"/>
      <w:szCs w:val="22"/>
      <w:lang w:val="en-GB"/>
    </w:rPr>
  </w:style>
  <w:style w:type="paragraph" w:styleId="Footer">
    <w:name w:val="footer"/>
    <w:basedOn w:val="Normal"/>
    <w:link w:val="FooterChar"/>
    <w:uiPriority w:val="99"/>
    <w:rsid w:val="00191ACD"/>
    <w:pPr>
      <w:tabs>
        <w:tab w:val="center" w:pos="4320"/>
        <w:tab w:val="right" w:pos="8640"/>
      </w:tabs>
    </w:pPr>
  </w:style>
  <w:style w:type="numbering" w:styleId="1ai">
    <w:name w:val="Outline List 1"/>
    <w:basedOn w:val="NoList"/>
    <w:semiHidden/>
    <w:rsid w:val="00191ACD"/>
    <w:pPr>
      <w:numPr>
        <w:numId w:val="17"/>
      </w:numPr>
    </w:pPr>
  </w:style>
  <w:style w:type="numbering" w:styleId="ArticleSection">
    <w:name w:val="Outline List 3"/>
    <w:basedOn w:val="NoList"/>
    <w:semiHidden/>
    <w:rsid w:val="00191ACD"/>
    <w:pPr>
      <w:numPr>
        <w:numId w:val="18"/>
      </w:numPr>
    </w:pPr>
  </w:style>
  <w:style w:type="paragraph" w:styleId="BlockText">
    <w:name w:val="Block Text"/>
    <w:basedOn w:val="Normal"/>
    <w:semiHidden/>
    <w:rsid w:val="00191ACD"/>
    <w:pPr>
      <w:spacing w:after="120"/>
      <w:ind w:left="1440" w:right="1440"/>
    </w:pPr>
  </w:style>
  <w:style w:type="paragraph" w:styleId="BodyText3">
    <w:name w:val="Body Text 3"/>
    <w:basedOn w:val="Normal"/>
    <w:semiHidden/>
    <w:rsid w:val="00191ACD"/>
    <w:pPr>
      <w:spacing w:after="120"/>
    </w:pPr>
    <w:rPr>
      <w:sz w:val="16"/>
      <w:szCs w:val="16"/>
    </w:rPr>
  </w:style>
  <w:style w:type="paragraph" w:styleId="BodyTextIndent3">
    <w:name w:val="Body Text Indent 3"/>
    <w:basedOn w:val="Normal"/>
    <w:semiHidden/>
    <w:rsid w:val="00191ACD"/>
    <w:pPr>
      <w:spacing w:after="120"/>
      <w:ind w:left="360"/>
    </w:pPr>
    <w:rPr>
      <w:sz w:val="16"/>
      <w:szCs w:val="16"/>
    </w:rPr>
  </w:style>
  <w:style w:type="paragraph" w:styleId="PlainText">
    <w:name w:val="Plain Text"/>
    <w:basedOn w:val="Normal"/>
    <w:semiHidden/>
    <w:rsid w:val="00191ACD"/>
    <w:rPr>
      <w:rFonts w:ascii="Courier New" w:hAnsi="Courier New" w:cs="Courier New"/>
      <w:sz w:val="20"/>
    </w:rPr>
  </w:style>
  <w:style w:type="table" w:styleId="Table3Deffects1">
    <w:name w:val="Table 3D effects 1"/>
    <w:basedOn w:val="TableNormal"/>
    <w:semiHidden/>
    <w:rsid w:val="00191AC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91AC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91AC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91AC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91AC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91AC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91AC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91AC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91AC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91AC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91AC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91AC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91AC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91AC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91AC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91AC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91AC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191AC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191AC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91AC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91AC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91AC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91AC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91AC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91AC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91AC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91AC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91AC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91AC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91AC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91AC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91AC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91AC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91AC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91AC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91AC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91AC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91AC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91AC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91AC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91AC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91AC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91AC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91AC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191ACD"/>
    <w:rPr>
      <w:sz w:val="22"/>
      <w:szCs w:val="22"/>
      <w:lang w:val="en-GB"/>
    </w:rPr>
  </w:style>
  <w:style w:type="paragraph" w:customStyle="1" w:styleId="Header4">
    <w:name w:val="Header4"/>
    <w:aliases w:val="Para 4"/>
    <w:basedOn w:val="Normal"/>
    <w:next w:val="Normal"/>
    <w:rsid w:val="00191ACD"/>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191ACD"/>
    <w:rPr>
      <w:sz w:val="16"/>
      <w:szCs w:val="16"/>
    </w:rPr>
  </w:style>
  <w:style w:type="paragraph" w:styleId="Subtitle">
    <w:name w:val="Subtitle"/>
    <w:basedOn w:val="Normal"/>
    <w:qFormat/>
    <w:rsid w:val="00191ACD"/>
    <w:pPr>
      <w:spacing w:after="60"/>
      <w:jc w:val="center"/>
      <w:outlineLvl w:val="1"/>
    </w:pPr>
    <w:rPr>
      <w:rFonts w:ascii="Arial" w:hAnsi="Arial" w:cs="Arial"/>
    </w:rPr>
  </w:style>
  <w:style w:type="paragraph" w:styleId="Title">
    <w:name w:val="Title"/>
    <w:basedOn w:val="Normal"/>
    <w:qFormat/>
    <w:rsid w:val="00191ACD"/>
    <w:pPr>
      <w:spacing w:before="240" w:after="60"/>
      <w:jc w:val="center"/>
      <w:outlineLvl w:val="0"/>
    </w:pPr>
    <w:rPr>
      <w:rFonts w:ascii="Arial" w:hAnsi="Arial" w:cs="Arial"/>
      <w:b/>
      <w:bCs/>
      <w:kern w:val="28"/>
    </w:rPr>
  </w:style>
  <w:style w:type="paragraph" w:styleId="Date">
    <w:name w:val="Date"/>
    <w:basedOn w:val="Normal"/>
    <w:next w:val="Normal"/>
    <w:rsid w:val="00191ACD"/>
  </w:style>
  <w:style w:type="character" w:styleId="PlaceholderText">
    <w:name w:val="Placeholder Text"/>
    <w:basedOn w:val="DefaultParagraphFont"/>
    <w:uiPriority w:val="99"/>
    <w:semiHidden/>
    <w:rsid w:val="00191ACD"/>
    <w:rPr>
      <w:color w:val="808080"/>
    </w:rPr>
  </w:style>
  <w:style w:type="paragraph" w:styleId="BalloonText">
    <w:name w:val="Balloon Text"/>
    <w:basedOn w:val="Normal"/>
    <w:link w:val="BalloonTextChar"/>
    <w:uiPriority w:val="99"/>
    <w:semiHidden/>
    <w:unhideWhenUsed/>
    <w:rsid w:val="00191ACD"/>
    <w:rPr>
      <w:rFonts w:ascii="Tahoma" w:hAnsi="Tahoma" w:cs="Tahoma"/>
      <w:sz w:val="16"/>
      <w:szCs w:val="16"/>
    </w:rPr>
  </w:style>
  <w:style w:type="character" w:customStyle="1" w:styleId="BalloonTextChar">
    <w:name w:val="Balloon Text Char"/>
    <w:basedOn w:val="DefaultParagraphFont"/>
    <w:link w:val="BalloonText"/>
    <w:uiPriority w:val="99"/>
    <w:semiHidden/>
    <w:rsid w:val="00191ACD"/>
    <w:rPr>
      <w:rFonts w:ascii="Tahoma" w:hAnsi="Tahoma" w:cs="Tahoma"/>
      <w:sz w:val="16"/>
      <w:szCs w:val="16"/>
      <w:lang w:val="en-GB"/>
    </w:rPr>
  </w:style>
  <w:style w:type="paragraph" w:styleId="CommentText">
    <w:name w:val="annotation text"/>
    <w:basedOn w:val="Normal"/>
    <w:link w:val="CommentTextChar"/>
    <w:uiPriority w:val="99"/>
    <w:semiHidden/>
    <w:unhideWhenUsed/>
    <w:rsid w:val="00191ACD"/>
    <w:rPr>
      <w:sz w:val="20"/>
    </w:rPr>
  </w:style>
  <w:style w:type="character" w:customStyle="1" w:styleId="CommentTextChar">
    <w:name w:val="Comment Text Char"/>
    <w:basedOn w:val="DefaultParagraphFont"/>
    <w:link w:val="CommentText"/>
    <w:uiPriority w:val="99"/>
    <w:semiHidden/>
    <w:rsid w:val="00191ACD"/>
    <w:rPr>
      <w:lang w:val="en-GB"/>
    </w:rPr>
  </w:style>
  <w:style w:type="paragraph" w:styleId="CommentSubject">
    <w:name w:val="annotation subject"/>
    <w:basedOn w:val="CommentText"/>
    <w:next w:val="CommentText"/>
    <w:link w:val="CommentSubjectChar"/>
    <w:uiPriority w:val="99"/>
    <w:semiHidden/>
    <w:unhideWhenUsed/>
    <w:rsid w:val="00191ACD"/>
    <w:rPr>
      <w:b/>
      <w:bCs/>
    </w:rPr>
  </w:style>
  <w:style w:type="character" w:customStyle="1" w:styleId="CommentSubjectChar">
    <w:name w:val="Comment Subject Char"/>
    <w:basedOn w:val="CommentTextChar"/>
    <w:link w:val="CommentSubject"/>
    <w:uiPriority w:val="99"/>
    <w:semiHidden/>
    <w:rsid w:val="00191ACD"/>
    <w:rPr>
      <w:b/>
      <w:bCs/>
      <w:lang w:val="en-GB"/>
    </w:rPr>
  </w:style>
  <w:style w:type="paragraph" w:customStyle="1" w:styleId="StyleHeader4Para4Left0Firstline0">
    <w:name w:val="Style Header4Para 4 + Left:  0&quot; First line:  0&quot;"/>
    <w:basedOn w:val="Header4"/>
    <w:rsid w:val="00191ACD"/>
    <w:pPr>
      <w:ind w:left="0" w:firstLine="0"/>
    </w:pPr>
    <w:rPr>
      <w:sz w:val="20"/>
    </w:rPr>
  </w:style>
  <w:style w:type="paragraph" w:styleId="Caption">
    <w:name w:val="caption"/>
    <w:basedOn w:val="Normal"/>
    <w:next w:val="Normal"/>
    <w:qFormat/>
    <w:rsid w:val="00191ACD"/>
    <w:pPr>
      <w:bidi/>
      <w:ind w:left="180" w:hanging="180"/>
      <w:jc w:val="lowKashida"/>
    </w:pPr>
    <w:rPr>
      <w:rFonts w:cs="Simplified Arabic"/>
      <w:szCs w:val="32"/>
      <w:lang w:val="en-US" w:eastAsia="en-CA"/>
    </w:rPr>
  </w:style>
  <w:style w:type="character" w:styleId="PageNumber">
    <w:name w:val="page number"/>
    <w:basedOn w:val="DefaultParagraphFont"/>
    <w:semiHidden/>
    <w:rsid w:val="00191ACD"/>
  </w:style>
  <w:style w:type="character" w:customStyle="1" w:styleId="FooterChar">
    <w:name w:val="Footer Char"/>
    <w:basedOn w:val="DefaultParagraphFont"/>
    <w:link w:val="Footer"/>
    <w:uiPriority w:val="99"/>
    <w:rsid w:val="00191ACD"/>
    <w:rPr>
      <w:sz w:val="24"/>
      <w:lang w:val="en-GB" w:bidi="ar-DZ"/>
    </w:rPr>
  </w:style>
  <w:style w:type="paragraph" w:styleId="FootnoteText">
    <w:name w:val="footnote text"/>
    <w:basedOn w:val="Normal"/>
    <w:link w:val="FootnoteTextChar"/>
    <w:uiPriority w:val="99"/>
    <w:semiHidden/>
    <w:unhideWhenUsed/>
    <w:rsid w:val="004213BA"/>
    <w:rPr>
      <w:sz w:val="20"/>
      <w:lang w:bidi="ar-SA"/>
    </w:rPr>
  </w:style>
  <w:style w:type="character" w:customStyle="1" w:styleId="FootnoteTextChar">
    <w:name w:val="Footnote Text Char"/>
    <w:basedOn w:val="DefaultParagraphFont"/>
    <w:link w:val="FootnoteText"/>
    <w:uiPriority w:val="99"/>
    <w:semiHidden/>
    <w:rsid w:val="004213BA"/>
    <w:rPr>
      <w:lang w:val="en-GB"/>
    </w:rPr>
  </w:style>
  <w:style w:type="character" w:styleId="FootnoteReference">
    <w:name w:val="footnote reference"/>
    <w:basedOn w:val="DefaultParagraphFont"/>
    <w:uiPriority w:val="99"/>
    <w:semiHidden/>
    <w:unhideWhenUsed/>
    <w:rsid w:val="004213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ho\Desktop\A83-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3ECB1EDD0319C4599A58600013659D4" ma:contentTypeVersion="2" ma:contentTypeDescription="Create a new document." ma:contentTypeScope="" ma:versionID="5e74517bb413e2e678298693b738b261">
  <xsd:schema xmlns:xsd="http://www.w3.org/2001/XMLSchema" xmlns:p="http://schemas.microsoft.com/office/2006/metadata/properties" xmlns:ns2="ca155cdd-9bf1-4174-8a2d-8747f528ddda" xmlns:ns3="48d2d36d-b4e3-478b-a344-cdbeebaca89a" targetNamespace="http://schemas.microsoft.com/office/2006/metadata/properties" ma:root="true" ma:fieldsID="53ffe79d91a16ddf248dfa0cc0f22a42" ns2:_="" ns3:_="">
    <xsd:import namespace="ca155cdd-9bf1-4174-8a2d-8747f528ddda"/>
    <xsd:import namespace="48d2d36d-b4e3-478b-a344-cdbeebaca89a"/>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ca155cdd-9bf1-4174-8a2d-8747f528ddda"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48d2d36d-b4e3-478b-a344-cdbeebaca89a"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ca155cdd-9bf1-4174-8a2d-8747f528ddda">UNEP/OzL.Pro/ExCom/83/6</Document_x0020_Number>
    <DocumentType xmlns="48d2d36d-b4e3-478b-a344-cdbeebaca89a">Pre-session</DocumentType>
  </documentManagement>
</p:properties>
</file>

<file path=customXml/itemProps1.xml><?xml version="1.0" encoding="utf-8"?>
<ds:datastoreItem xmlns:ds="http://schemas.openxmlformats.org/officeDocument/2006/customXml" ds:itemID="{E2476CCC-81B6-4077-94D2-6B8D341DCB4A}"/>
</file>

<file path=customXml/itemProps2.xml><?xml version="1.0" encoding="utf-8"?>
<ds:datastoreItem xmlns:ds="http://schemas.openxmlformats.org/officeDocument/2006/customXml" ds:itemID="{8935CDCD-3744-4FB6-96F5-6892F643DA3D}"/>
</file>

<file path=customXml/itemProps3.xml><?xml version="1.0" encoding="utf-8"?>
<ds:datastoreItem xmlns:ds="http://schemas.openxmlformats.org/officeDocument/2006/customXml" ds:itemID="{E4753802-AA2D-4879-ABF2-685D7A5BC5CA}"/>
</file>

<file path=customXml/itemProps4.xml><?xml version="1.0" encoding="utf-8"?>
<ds:datastoreItem xmlns:ds="http://schemas.openxmlformats.org/officeDocument/2006/customXml" ds:itemID="{81994933-B72E-4DAE-AFDC-EE8552A17632}"/>
</file>

<file path=docProps/app.xml><?xml version="1.0" encoding="utf-8"?>
<Properties xmlns="http://schemas.openxmlformats.org/officeDocument/2006/extended-properties" xmlns:vt="http://schemas.openxmlformats.org/officeDocument/2006/docPropsVTypes">
  <Template>A83-template</Template>
  <TotalTime>322</TotalTime>
  <Pages>4</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تسوية حسابات عام 2017 </vt:lpstr>
    </vt:vector>
  </TitlesOfParts>
  <Company>UNMFS</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تسوية حسابات عام 2017 </dc:title>
  <dc:creator>UNMFS</dc:creator>
  <cp:lastModifiedBy>HBE</cp:lastModifiedBy>
  <cp:revision>26</cp:revision>
  <cp:lastPrinted>2001-05-26T16:40:00Z</cp:lastPrinted>
  <dcterms:created xsi:type="dcterms:W3CDTF">2019-04-30T21:39:00Z</dcterms:created>
  <dcterms:modified xsi:type="dcterms:W3CDTF">2019-05-08T22:39:00Z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UNEP/OzL.Pro/ExCom/83/6</vt:lpwstr>
  </property>
  <property fmtid="{D5CDD505-2E9C-101B-9397-08002B2CF9AE}" pid="3" name="Revision date">
    <vt:lpwstr>4/30/2019</vt:lpwstr>
  </property>
  <property fmtid="{D5CDD505-2E9C-101B-9397-08002B2CF9AE}" pid="4" name="ContentTypeId">
    <vt:lpwstr>0x01010033ECB1EDD0319C4599A58600013659D4</vt:lpwstr>
  </property>
</Properties>
</file>