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Default="006D1D2D" w:rsidP="003919B9">
      <w:bookmarkStart w:id="0" w:name="_GoBack"/>
      <w:bookmarkEnd w:id="0"/>
      <w:r>
        <w:t xml:space="preserve"> </w:t>
      </w:r>
      <w:r w:rsidR="007C227C">
        <w:rPr>
          <w:noProof/>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5943600" cy="297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74975"/>
                    </a:xfrm>
                    <a:prstGeom prst="rect">
                      <a:avLst/>
                    </a:prstGeom>
                  </pic:spPr>
                </pic:pic>
              </a:graphicData>
            </a:graphic>
            <wp14:sizeRelH relativeFrom="page">
              <wp14:pctWidth>0</wp14:pctWidth>
            </wp14:sizeRelH>
            <wp14:sizeRelV relativeFrom="page">
              <wp14:pctHeight>0</wp14:pctHeight>
            </wp14:sizeRelV>
          </wp:anchor>
        </w:drawing>
      </w:r>
    </w:p>
    <w:p w:rsidR="00EE66BA" w:rsidRDefault="00EE66BA" w:rsidP="001C3C80">
      <w:pPr>
        <w:tabs>
          <w:tab w:val="left" w:pos="8280"/>
        </w:tabs>
      </w:pPr>
    </w:p>
    <w:p w:rsidR="00EE66BA" w:rsidRDefault="00EE66BA" w:rsidP="001C3C80">
      <w:pPr>
        <w:tabs>
          <w:tab w:val="left" w:pos="8280"/>
        </w:tabs>
      </w:pPr>
    </w:p>
    <w:p w:rsidR="00EE66BA" w:rsidRDefault="00EE66BA" w:rsidP="001C3C80">
      <w:pPr>
        <w:tabs>
          <w:tab w:val="left" w:pos="8280"/>
        </w:tabs>
      </w:pPr>
    </w:p>
    <w:p w:rsidR="00EE66BA" w:rsidRDefault="00A56465" w:rsidP="00A56465">
      <w:pPr>
        <w:tabs>
          <w:tab w:val="left" w:pos="3210"/>
        </w:tabs>
      </w:pPr>
      <w:r>
        <w:tab/>
      </w:r>
    </w:p>
    <w:p w:rsidR="003919B9" w:rsidRDefault="003919B9" w:rsidP="003919B9">
      <w:pPr>
        <w:ind w:left="5040"/>
      </w:pPr>
      <w:r>
        <w:t xml:space="preserve">  </w:t>
      </w:r>
    </w:p>
    <w:p w:rsidR="003919B9" w:rsidRDefault="003919B9" w:rsidP="003919B9">
      <w:pPr>
        <w:ind w:left="5040"/>
      </w:pPr>
    </w:p>
    <w:p w:rsidR="003919B9" w:rsidRDefault="003919B9" w:rsidP="003919B9">
      <w:pPr>
        <w:ind w:left="5040"/>
      </w:pPr>
      <w:r>
        <w:t xml:space="preserve">    </w:t>
      </w:r>
      <w:r>
        <w:fldChar w:fldCharType="begin"/>
      </w:r>
      <w:r>
        <w:instrText xml:space="preserve"> DOCPROPERTY "Document number"  \* MERGEFORMAT </w:instrText>
      </w:r>
      <w:r>
        <w:fldChar w:fldCharType="separate"/>
      </w:r>
      <w:r w:rsidR="005A30B9">
        <w:t>UNEP/</w:t>
      </w:r>
      <w:proofErr w:type="spellStart"/>
      <w:r w:rsidR="005A30B9">
        <w:t>OzL.Pro</w:t>
      </w:r>
      <w:proofErr w:type="spellEnd"/>
      <w:r w:rsidR="005A30B9">
        <w:t>/</w:t>
      </w:r>
      <w:proofErr w:type="spellStart"/>
      <w:r w:rsidR="005A30B9">
        <w:t>ExCom</w:t>
      </w:r>
      <w:proofErr w:type="spellEnd"/>
      <w:r w:rsidR="005A30B9">
        <w:t>/83/14</w:t>
      </w:r>
      <w:r>
        <w:fldChar w:fldCharType="end"/>
      </w:r>
      <w:r>
        <w:br/>
        <w:t xml:space="preserve">    </w:t>
      </w:r>
      <w:r>
        <w:fldChar w:fldCharType="begin"/>
      </w:r>
      <w:r>
        <w:instrText xml:space="preserve"> DOCPROPERTY "Revision date" \@ "d MMMM YYYY"  \* MERGEFORMAT </w:instrText>
      </w:r>
      <w:r>
        <w:fldChar w:fldCharType="separate"/>
      </w:r>
      <w:r w:rsidR="005A30B9">
        <w:t>29 April 2019</w:t>
      </w:r>
      <w:r>
        <w:fldChar w:fldCharType="end"/>
      </w:r>
    </w:p>
    <w:p w:rsidR="003919B9" w:rsidRPr="003F73BA" w:rsidRDefault="003919B9" w:rsidP="003919B9"/>
    <w:p w:rsidR="00EE66BA" w:rsidRDefault="00EE66BA" w:rsidP="001C3C80">
      <w:pPr>
        <w:tabs>
          <w:tab w:val="left" w:pos="8280"/>
        </w:tabs>
      </w:pPr>
    </w:p>
    <w:p w:rsidR="003919B9" w:rsidRDefault="00AE77AA" w:rsidP="001C3C80">
      <w:pPr>
        <w:tabs>
          <w:tab w:val="left" w:pos="8280"/>
        </w:tabs>
      </w:pPr>
      <w:r>
        <w:br/>
      </w:r>
      <w:r w:rsidR="002B08D9">
        <w:br/>
      </w: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234D9B" w:rsidRPr="00D6383C" w:rsidRDefault="00234D9B" w:rsidP="00234D9B">
      <w:pPr>
        <w:pStyle w:val="Title1"/>
        <w:rPr>
          <w:bCs/>
          <w:lang w:val="en-CA"/>
        </w:rPr>
      </w:pPr>
      <w:r w:rsidRPr="00D6383C">
        <w:rPr>
          <w:bCs/>
          <w:lang w:val="en-CA"/>
        </w:rPr>
        <w:t>TRANCHE SUBMISSION DELAYS</w:t>
      </w:r>
    </w:p>
    <w:p w:rsidR="00234D9B" w:rsidRPr="00D6383C" w:rsidRDefault="00234D9B" w:rsidP="00234D9B">
      <w:pPr>
        <w:pStyle w:val="StyleHeader4Para4Left0Firstline0"/>
        <w:numPr>
          <w:ilvl w:val="0"/>
          <w:numId w:val="0"/>
        </w:numPr>
        <w:spacing w:after="0"/>
        <w:rPr>
          <w:sz w:val="22"/>
          <w:lang w:val="en-CA"/>
        </w:rPr>
      </w:pPr>
    </w:p>
    <w:p w:rsidR="00234D9B" w:rsidRPr="00273FFF" w:rsidRDefault="00234D9B" w:rsidP="00234D9B">
      <w:pPr>
        <w:spacing w:after="240"/>
        <w:rPr>
          <w:b/>
          <w:lang w:val="en-CA"/>
        </w:rPr>
      </w:pPr>
      <w:r w:rsidRPr="00273FFF">
        <w:rPr>
          <w:b/>
          <w:lang w:val="en-CA"/>
        </w:rPr>
        <w:t>Introduction</w:t>
      </w:r>
    </w:p>
    <w:p w:rsidR="00234D9B" w:rsidRPr="00C70433" w:rsidRDefault="00234D9B" w:rsidP="005A30B9">
      <w:pPr>
        <w:pStyle w:val="Heading1"/>
        <w:rPr>
          <w:lang w:val="en-CA"/>
        </w:rPr>
      </w:pPr>
      <w:r w:rsidRPr="00C70433">
        <w:rPr>
          <w:lang w:val="en-CA"/>
        </w:rPr>
        <w:t>Pursuant to decision 47/50(d),</w:t>
      </w:r>
      <w:r w:rsidRPr="00C70433">
        <w:rPr>
          <w:rStyle w:val="FootnoteReference"/>
          <w:lang w:val="en-CA"/>
        </w:rPr>
        <w:footnoteReference w:id="1"/>
      </w:r>
      <w:r w:rsidRPr="00C70433">
        <w:rPr>
          <w:lang w:val="en-CA"/>
        </w:rPr>
        <w:t xml:space="preserve"> the Secretariat has prepared th</w:t>
      </w:r>
      <w:r>
        <w:rPr>
          <w:lang w:val="en-CA"/>
        </w:rPr>
        <w:t>e present</w:t>
      </w:r>
      <w:r w:rsidRPr="00C70433">
        <w:rPr>
          <w:lang w:val="en-CA"/>
        </w:rPr>
        <w:t xml:space="preserve"> document. It presents actions taken in response to decisions on tranche submission delays adopted at the 82</w:t>
      </w:r>
      <w:r w:rsidRPr="00C70433">
        <w:rPr>
          <w:vertAlign w:val="superscript"/>
          <w:lang w:val="en-CA"/>
        </w:rPr>
        <w:t>nd</w:t>
      </w:r>
      <w:r w:rsidRPr="00C70433">
        <w:rPr>
          <w:lang w:val="en-CA"/>
        </w:rPr>
        <w:t xml:space="preserve"> meeting; </w:t>
      </w:r>
      <w:r>
        <w:rPr>
          <w:lang w:val="en-CA"/>
        </w:rPr>
        <w:t xml:space="preserve">and </w:t>
      </w:r>
      <w:r w:rsidRPr="00C70433">
        <w:rPr>
          <w:lang w:val="en-CA"/>
        </w:rPr>
        <w:t xml:space="preserve">an analysis of each of the tranches that were </w:t>
      </w:r>
      <w:r>
        <w:rPr>
          <w:lang w:val="en-CA"/>
        </w:rPr>
        <w:t xml:space="preserve">due but were </w:t>
      </w:r>
      <w:r w:rsidRPr="00C70433">
        <w:rPr>
          <w:lang w:val="en-CA"/>
        </w:rPr>
        <w:t>not submitted to the 83</w:t>
      </w:r>
      <w:r w:rsidRPr="00C70433">
        <w:rPr>
          <w:vertAlign w:val="superscript"/>
          <w:lang w:val="en-CA"/>
        </w:rPr>
        <w:t>rd</w:t>
      </w:r>
      <w:r w:rsidRPr="00C70433">
        <w:rPr>
          <w:lang w:val="en-CA"/>
        </w:rPr>
        <w:t xml:space="preserve"> meeting</w:t>
      </w:r>
      <w:r>
        <w:rPr>
          <w:lang w:val="en-CA"/>
        </w:rPr>
        <w:t xml:space="preserve"> and the tranches that were submitted but subsequently withdrawn during the project review process. It also provides an overview of the </w:t>
      </w:r>
      <w:r w:rsidRPr="00C70433">
        <w:rPr>
          <w:lang w:val="en-CA"/>
        </w:rPr>
        <w:t xml:space="preserve">reasons for the </w:t>
      </w:r>
      <w:r>
        <w:rPr>
          <w:lang w:val="en-CA"/>
        </w:rPr>
        <w:t xml:space="preserve">delays and the impact on compliance with the countries’ obligations under the Montreal Protocol. It seeks guidance from the Executive Committee for the cancellation of the stage I of an HCFC phase-out management plan (HPMP), and presents a </w:t>
      </w:r>
      <w:r w:rsidRPr="00C70433">
        <w:rPr>
          <w:lang w:val="en-CA"/>
        </w:rPr>
        <w:t xml:space="preserve">recommendation. </w:t>
      </w:r>
    </w:p>
    <w:p w:rsidR="00234D9B" w:rsidRPr="00C70433" w:rsidRDefault="00234D9B" w:rsidP="00234D9B">
      <w:pPr>
        <w:spacing w:after="240"/>
        <w:rPr>
          <w:b/>
          <w:lang w:val="en-CA"/>
        </w:rPr>
      </w:pPr>
      <w:r w:rsidRPr="00C70433">
        <w:rPr>
          <w:b/>
          <w:lang w:val="en-CA"/>
        </w:rPr>
        <w:t>Follow-up to decisions taken on tranche submission delays at the 82</w:t>
      </w:r>
      <w:r w:rsidRPr="00C70433">
        <w:rPr>
          <w:b/>
          <w:vertAlign w:val="superscript"/>
          <w:lang w:val="en-CA"/>
        </w:rPr>
        <w:t>nd</w:t>
      </w:r>
      <w:r w:rsidRPr="00C70433">
        <w:rPr>
          <w:b/>
          <w:lang w:val="en-CA"/>
        </w:rPr>
        <w:t xml:space="preserve"> meeting</w:t>
      </w:r>
    </w:p>
    <w:p w:rsidR="00234D9B" w:rsidRDefault="00234D9B" w:rsidP="005A30B9">
      <w:pPr>
        <w:pStyle w:val="Heading1"/>
        <w:rPr>
          <w:lang w:val="en-CA"/>
        </w:rPr>
      </w:pPr>
      <w:r>
        <w:rPr>
          <w:lang w:val="en-CA"/>
        </w:rPr>
        <w:t>At the 83</w:t>
      </w:r>
      <w:r w:rsidRPr="00995843">
        <w:rPr>
          <w:vertAlign w:val="superscript"/>
          <w:lang w:val="en-CA"/>
        </w:rPr>
        <w:t>rd</w:t>
      </w:r>
      <w:r>
        <w:rPr>
          <w:lang w:val="en-CA"/>
        </w:rPr>
        <w:t xml:space="preserve"> meeting, under agenda item 8(b) on tranche submission delays, </w:t>
      </w:r>
      <w:r w:rsidRPr="00995843">
        <w:rPr>
          <w:lang w:val="en-CA"/>
        </w:rPr>
        <w:t>one member drew the attention of the Executive Committee to the fact that 36 of the 54 countries that had been scheduled to submit tranche requests at the 82</w:t>
      </w:r>
      <w:r w:rsidRPr="00995843">
        <w:rPr>
          <w:vertAlign w:val="superscript"/>
          <w:lang w:val="en-CA"/>
        </w:rPr>
        <w:t>nd</w:t>
      </w:r>
      <w:r>
        <w:rPr>
          <w:lang w:val="en-CA"/>
        </w:rPr>
        <w:t xml:space="preserve"> </w:t>
      </w:r>
      <w:r w:rsidRPr="00995843">
        <w:rPr>
          <w:lang w:val="en-CA"/>
        </w:rPr>
        <w:t>meeting had not done so, representing a non-submission rate of 67 per cent. He further stated that it might be worthwhile for the Committee to attempt to ascertain whether there was some underlying problem.</w:t>
      </w:r>
      <w:r>
        <w:rPr>
          <w:rStyle w:val="FootnoteReference"/>
          <w:lang w:val="en-CA"/>
        </w:rPr>
        <w:footnoteReference w:id="2"/>
      </w:r>
      <w:r w:rsidRPr="00995843">
        <w:rPr>
          <w:lang w:val="en-CA"/>
        </w:rPr>
        <w:t xml:space="preserve"> </w:t>
      </w:r>
    </w:p>
    <w:p w:rsidR="00234D9B" w:rsidRDefault="00234D9B" w:rsidP="005A30B9">
      <w:pPr>
        <w:pStyle w:val="Heading1"/>
        <w:rPr>
          <w:lang w:val="en-CA"/>
        </w:rPr>
      </w:pPr>
      <w:r w:rsidRPr="00995843">
        <w:rPr>
          <w:lang w:val="en-CA"/>
        </w:rPr>
        <w:t xml:space="preserve">Subsequently, the Executive Committee </w:t>
      </w:r>
      <w:r w:rsidRPr="00995843">
        <w:rPr>
          <w:i/>
          <w:lang w:val="en-CA"/>
        </w:rPr>
        <w:t>inter alia</w:t>
      </w:r>
      <w:r w:rsidRPr="00995843">
        <w:rPr>
          <w:lang w:val="en-CA"/>
        </w:rPr>
        <w:t xml:space="preserve"> requested the Secretariat to send letters to the relevant governments regarding the decisions on tranche submission delays contained in Annex X of the report of the 82</w:t>
      </w:r>
      <w:r w:rsidRPr="00995843">
        <w:rPr>
          <w:vertAlign w:val="superscript"/>
          <w:lang w:val="en-CA"/>
        </w:rPr>
        <w:t>nd</w:t>
      </w:r>
      <w:r w:rsidRPr="00995843">
        <w:rPr>
          <w:lang w:val="en-CA"/>
        </w:rPr>
        <w:t xml:space="preserve"> meeting of the Committee (</w:t>
      </w:r>
      <w:r>
        <w:rPr>
          <w:lang w:val="en-CA"/>
        </w:rPr>
        <w:t>d</w:t>
      </w:r>
      <w:r w:rsidRPr="00995843">
        <w:rPr>
          <w:lang w:val="en-CA"/>
        </w:rPr>
        <w:t>ecision 82/44</w:t>
      </w:r>
      <w:r>
        <w:rPr>
          <w:lang w:val="en-CA"/>
        </w:rPr>
        <w:t>(b)</w:t>
      </w:r>
      <w:r w:rsidRPr="00995843">
        <w:rPr>
          <w:lang w:val="en-CA"/>
        </w:rPr>
        <w:t>)</w:t>
      </w:r>
      <w:r>
        <w:rPr>
          <w:lang w:val="en-CA"/>
        </w:rPr>
        <w:t>.</w:t>
      </w:r>
    </w:p>
    <w:p w:rsidR="00234D9B" w:rsidRPr="00132584" w:rsidRDefault="00234D9B" w:rsidP="00234D9B">
      <w:pPr>
        <w:rPr>
          <w:u w:val="single"/>
          <w:lang w:val="en-CA"/>
        </w:rPr>
      </w:pPr>
      <w:r w:rsidRPr="00132584">
        <w:rPr>
          <w:u w:val="single"/>
          <w:lang w:val="en-CA"/>
        </w:rPr>
        <w:t>Letters sent to Governments</w:t>
      </w:r>
    </w:p>
    <w:p w:rsidR="00234D9B" w:rsidRPr="00132584" w:rsidRDefault="00234D9B" w:rsidP="00234D9B">
      <w:pPr>
        <w:rPr>
          <w:lang w:val="en-CA"/>
        </w:rPr>
      </w:pPr>
    </w:p>
    <w:p w:rsidR="00234D9B" w:rsidRPr="00A16670" w:rsidRDefault="00234D9B" w:rsidP="005A30B9">
      <w:pPr>
        <w:pStyle w:val="Heading1"/>
        <w:rPr>
          <w:lang w:val="en-CA"/>
        </w:rPr>
      </w:pPr>
      <w:r w:rsidRPr="00C70433">
        <w:rPr>
          <w:lang w:val="en-CA"/>
        </w:rPr>
        <w:t>Pursuant to decision 82/44(b), the Secretariat sent letters to the Governments of 28 Article 5 countries to urge the submission of the next tranche of their HPMPs to the 83</w:t>
      </w:r>
      <w:r w:rsidRPr="00C70433">
        <w:rPr>
          <w:vertAlign w:val="superscript"/>
          <w:lang w:val="en-CA"/>
        </w:rPr>
        <w:t>rd</w:t>
      </w:r>
      <w:r w:rsidRPr="00C70433">
        <w:rPr>
          <w:lang w:val="en-CA"/>
        </w:rPr>
        <w:t xml:space="preserve"> meeting</w:t>
      </w:r>
      <w:r w:rsidRPr="00A16670">
        <w:rPr>
          <w:lang w:val="en-CA"/>
        </w:rPr>
        <w:t xml:space="preserve">. As a result, the </w:t>
      </w:r>
      <w:r w:rsidRPr="00A16670">
        <w:rPr>
          <w:lang w:val="en-CA"/>
        </w:rPr>
        <w:lastRenderedPageBreak/>
        <w:t>Governments of Armenia</w:t>
      </w:r>
      <w:r w:rsidRPr="00A16670">
        <w:rPr>
          <w:rStyle w:val="FootnoteReference"/>
          <w:lang w:val="en-CA"/>
        </w:rPr>
        <w:footnoteReference w:id="3"/>
      </w:r>
      <w:r w:rsidRPr="00A16670">
        <w:rPr>
          <w:lang w:val="en-CA"/>
        </w:rPr>
        <w:t>, Comoros (the)</w:t>
      </w:r>
      <w:r w:rsidRPr="00A16670">
        <w:rPr>
          <w:rStyle w:val="FootnoteReference"/>
          <w:lang w:val="en-CA"/>
        </w:rPr>
        <w:footnoteReference w:id="4"/>
      </w:r>
      <w:r w:rsidRPr="00A16670">
        <w:rPr>
          <w:lang w:val="en-CA"/>
        </w:rPr>
        <w:t>, Djibouti</w:t>
      </w:r>
      <w:r w:rsidRPr="00A16670">
        <w:rPr>
          <w:rStyle w:val="FootnoteReference"/>
          <w:lang w:val="en-CA"/>
        </w:rPr>
        <w:footnoteReference w:id="5"/>
      </w:r>
      <w:r w:rsidRPr="00A16670">
        <w:rPr>
          <w:lang w:val="en-CA"/>
        </w:rPr>
        <w:t>,</w:t>
      </w:r>
      <w:r>
        <w:rPr>
          <w:lang w:val="en-CA"/>
        </w:rPr>
        <w:t xml:space="preserve"> </w:t>
      </w:r>
      <w:r w:rsidRPr="00A16670">
        <w:rPr>
          <w:lang w:val="en-CA"/>
        </w:rPr>
        <w:t>Gabon</w:t>
      </w:r>
      <w:r w:rsidRPr="00A16670">
        <w:rPr>
          <w:rStyle w:val="FootnoteReference"/>
          <w:lang w:val="en-CA"/>
        </w:rPr>
        <w:footnoteReference w:id="6"/>
      </w:r>
      <w:r w:rsidRPr="00A16670">
        <w:rPr>
          <w:lang w:val="en-CA"/>
        </w:rPr>
        <w:t>, Guyana</w:t>
      </w:r>
      <w:r w:rsidRPr="00A16670">
        <w:rPr>
          <w:rStyle w:val="FootnoteReference"/>
          <w:lang w:val="en-CA"/>
        </w:rPr>
        <w:footnoteReference w:id="7"/>
      </w:r>
      <w:r w:rsidRPr="00A16670">
        <w:rPr>
          <w:lang w:val="en-CA"/>
        </w:rPr>
        <w:t>, Kuwait</w:t>
      </w:r>
      <w:r w:rsidRPr="00A16670">
        <w:rPr>
          <w:rStyle w:val="FootnoteReference"/>
          <w:lang w:val="en-CA"/>
        </w:rPr>
        <w:footnoteReference w:id="8"/>
      </w:r>
      <w:r w:rsidRPr="00A16670">
        <w:rPr>
          <w:lang w:val="en-CA"/>
        </w:rPr>
        <w:t>, Mali</w:t>
      </w:r>
      <w:r w:rsidRPr="00A16670">
        <w:rPr>
          <w:rStyle w:val="FootnoteReference"/>
          <w:lang w:val="en-CA"/>
        </w:rPr>
        <w:footnoteReference w:id="9"/>
      </w:r>
      <w:r w:rsidRPr="00A16670">
        <w:rPr>
          <w:lang w:val="en-CA"/>
        </w:rPr>
        <w:t>, Morocco</w:t>
      </w:r>
      <w:r w:rsidRPr="00A16670">
        <w:rPr>
          <w:rStyle w:val="FootnoteReference"/>
          <w:lang w:val="en-CA"/>
        </w:rPr>
        <w:footnoteReference w:id="10"/>
      </w:r>
      <w:r w:rsidRPr="00A16670">
        <w:rPr>
          <w:lang w:val="en-CA"/>
        </w:rPr>
        <w:t>, Mozambique</w:t>
      </w:r>
      <w:r w:rsidRPr="00A16670">
        <w:rPr>
          <w:rStyle w:val="FootnoteReference"/>
          <w:lang w:val="en-CA"/>
        </w:rPr>
        <w:footnoteReference w:id="11"/>
      </w:r>
      <w:r w:rsidRPr="00A16670">
        <w:rPr>
          <w:lang w:val="en-CA"/>
        </w:rPr>
        <w:t>, Pakistan</w:t>
      </w:r>
      <w:r w:rsidRPr="00A16670">
        <w:rPr>
          <w:rStyle w:val="FootnoteReference"/>
          <w:lang w:val="en-CA"/>
        </w:rPr>
        <w:footnoteReference w:id="12"/>
      </w:r>
      <w:r w:rsidRPr="00A16670">
        <w:rPr>
          <w:lang w:val="en-CA"/>
        </w:rPr>
        <w:t>, Sierra Leone</w:t>
      </w:r>
      <w:r w:rsidRPr="00A16670">
        <w:rPr>
          <w:rStyle w:val="FootnoteReference"/>
          <w:lang w:val="en-CA"/>
        </w:rPr>
        <w:footnoteReference w:id="13"/>
      </w:r>
      <w:r w:rsidRPr="00A16670">
        <w:rPr>
          <w:lang w:val="en-CA"/>
        </w:rPr>
        <w:t>, South Africa</w:t>
      </w:r>
      <w:r w:rsidRPr="00A16670">
        <w:rPr>
          <w:rStyle w:val="FootnoteReference"/>
          <w:lang w:val="en-CA"/>
        </w:rPr>
        <w:footnoteReference w:id="14"/>
      </w:r>
      <w:r w:rsidRPr="00A16670">
        <w:rPr>
          <w:lang w:val="en-CA"/>
        </w:rPr>
        <w:t xml:space="preserve"> and Togo</w:t>
      </w:r>
      <w:r w:rsidRPr="00A16670">
        <w:rPr>
          <w:rStyle w:val="FootnoteReference"/>
          <w:lang w:val="en-CA"/>
        </w:rPr>
        <w:footnoteReference w:id="15"/>
      </w:r>
      <w:r w:rsidRPr="00A16670">
        <w:rPr>
          <w:lang w:val="en-CA"/>
        </w:rPr>
        <w:t xml:space="preserve"> submitted respective tranches of their HPMPs. </w:t>
      </w:r>
    </w:p>
    <w:p w:rsidR="00234D9B" w:rsidRPr="00A16670" w:rsidRDefault="00234D9B" w:rsidP="005A30B9">
      <w:pPr>
        <w:pStyle w:val="Heading1"/>
        <w:rPr>
          <w:lang w:val="en-CA"/>
        </w:rPr>
      </w:pPr>
      <w:r w:rsidRPr="00A16670">
        <w:rPr>
          <w:lang w:val="en-CA"/>
        </w:rPr>
        <w:t>However, the Governments of China (stage II – PU rigid foam sector)</w:t>
      </w:r>
      <w:r w:rsidRPr="00A16670">
        <w:rPr>
          <w:rStyle w:val="FootnoteReference"/>
          <w:lang w:val="en-CA"/>
        </w:rPr>
        <w:footnoteReference w:id="16"/>
      </w:r>
      <w:r w:rsidRPr="00A16670">
        <w:rPr>
          <w:lang w:val="en-CA"/>
        </w:rPr>
        <w:t>, Congo (the), Cote d’Ivoire, Dominica, Guinea, Iran (Islamic Republic of)</w:t>
      </w:r>
      <w:r w:rsidRPr="00A16670">
        <w:rPr>
          <w:rStyle w:val="FootnoteReference"/>
          <w:lang w:val="en-CA"/>
        </w:rPr>
        <w:footnoteReference w:id="17"/>
      </w:r>
      <w:r w:rsidRPr="00A16670">
        <w:rPr>
          <w:lang w:val="en-CA"/>
        </w:rPr>
        <w:t>, Iraq, Jordan, Niger (the), Republic of Moldova (the),</w:t>
      </w:r>
      <w:r w:rsidRPr="00A16670">
        <w:t xml:space="preserve"> Senegal, </w:t>
      </w:r>
      <w:r w:rsidRPr="00A16670">
        <w:rPr>
          <w:lang w:val="en-CA"/>
        </w:rPr>
        <w:t xml:space="preserve">South Sudan, Tunisia, Turkey and Viet Nam did not submit their tranche request. </w:t>
      </w:r>
    </w:p>
    <w:p w:rsidR="00234D9B" w:rsidRPr="00A16670" w:rsidRDefault="00234D9B" w:rsidP="00234D9B">
      <w:pPr>
        <w:rPr>
          <w:u w:val="single"/>
          <w:lang w:val="en-CA"/>
        </w:rPr>
      </w:pPr>
      <w:r w:rsidRPr="00A16670">
        <w:rPr>
          <w:u w:val="single"/>
          <w:lang w:val="en-CA"/>
        </w:rPr>
        <w:t>Discussion at the Inter-agency coordination meeting (IACM)</w:t>
      </w:r>
      <w:r w:rsidRPr="00A16670">
        <w:rPr>
          <w:rStyle w:val="FootnoteReference"/>
          <w:u w:val="single"/>
          <w:lang w:val="en-CA"/>
        </w:rPr>
        <w:footnoteReference w:id="18"/>
      </w:r>
    </w:p>
    <w:p w:rsidR="00234D9B" w:rsidRPr="00A16670" w:rsidRDefault="00234D9B" w:rsidP="00234D9B">
      <w:pPr>
        <w:rPr>
          <w:lang w:val="en-CA"/>
        </w:rPr>
      </w:pPr>
    </w:p>
    <w:p w:rsidR="00234D9B" w:rsidRPr="00A16670" w:rsidRDefault="00234D9B" w:rsidP="005A30B9">
      <w:pPr>
        <w:pStyle w:val="Heading1"/>
        <w:rPr>
          <w:lang w:val="en-CA"/>
        </w:rPr>
      </w:pPr>
      <w:r w:rsidRPr="000A0044">
        <w:rPr>
          <w:lang w:val="en-CA"/>
        </w:rPr>
        <w:t>Noting the concern expressed by the Executive Committee at its 82</w:t>
      </w:r>
      <w:r w:rsidRPr="00CB5E35">
        <w:rPr>
          <w:vertAlign w:val="superscript"/>
          <w:lang w:val="en-CA"/>
        </w:rPr>
        <w:t>nd</w:t>
      </w:r>
      <w:r w:rsidRPr="000A0044">
        <w:rPr>
          <w:lang w:val="en-CA"/>
        </w:rPr>
        <w:t xml:space="preserve"> meeting, at the IACM the Secretariat together with the bilateral and implementing agency discussed the matter of tranche submission delays. </w:t>
      </w:r>
      <w:r w:rsidRPr="00A16670">
        <w:rPr>
          <w:lang w:val="en-CA"/>
        </w:rPr>
        <w:t xml:space="preserve">During the discussions it was acknowledged that the administrative processes of agencies might have contributed to delays, challenges in implementation of the activities for each tranche were the larger reasons for late submissions. </w:t>
      </w:r>
      <w:r>
        <w:rPr>
          <w:lang w:val="en-CA"/>
        </w:rPr>
        <w:t>I</w:t>
      </w:r>
      <w:r w:rsidRPr="00A16670">
        <w:rPr>
          <w:lang w:val="en-CA"/>
        </w:rPr>
        <w:t>ssues related to the lack of availability of proposed technologies in local markets, and challenges where it was</w:t>
      </w:r>
      <w:r>
        <w:rPr>
          <w:lang w:val="en-CA"/>
        </w:rPr>
        <w:t xml:space="preserve"> proposed to move to low-global-</w:t>
      </w:r>
      <w:r w:rsidRPr="00A16670">
        <w:rPr>
          <w:lang w:val="en-CA"/>
        </w:rPr>
        <w:t>warming potential (GWP) technologies while the overall industry might be transitioning to high-GWP alternatives</w:t>
      </w:r>
      <w:r>
        <w:rPr>
          <w:lang w:val="en-CA"/>
        </w:rPr>
        <w:t xml:space="preserve"> were highlighted</w:t>
      </w:r>
      <w:r w:rsidRPr="00A16670">
        <w:rPr>
          <w:lang w:val="en-CA"/>
        </w:rPr>
        <w:t>. It was also proposed to consider the funding tranche distribution in stage II Agreements to facilitate more efficient implementation especially for low-volume consuming (LVC) countries, and the possibility of setting up a framework agreement for LVC countries to reduce delays in agreement signatures after individual tranche approvals (particularly relevant to UNEP).</w:t>
      </w:r>
    </w:p>
    <w:p w:rsidR="00234D9B" w:rsidRPr="00C70433" w:rsidRDefault="00234D9B" w:rsidP="00234D9B">
      <w:pPr>
        <w:keepNext/>
        <w:rPr>
          <w:b/>
          <w:lang w:val="en-CA"/>
        </w:rPr>
      </w:pPr>
      <w:r w:rsidRPr="00C70433">
        <w:rPr>
          <w:b/>
          <w:lang w:val="en-CA"/>
        </w:rPr>
        <w:t>Analysis of tranches not submitted to the 83</w:t>
      </w:r>
      <w:r w:rsidRPr="00C70433">
        <w:rPr>
          <w:b/>
          <w:vertAlign w:val="superscript"/>
          <w:lang w:val="en-CA"/>
        </w:rPr>
        <w:t>rd</w:t>
      </w:r>
      <w:r w:rsidRPr="00C70433">
        <w:rPr>
          <w:b/>
          <w:lang w:val="en-CA"/>
        </w:rPr>
        <w:t xml:space="preserve"> meeting</w:t>
      </w:r>
    </w:p>
    <w:p w:rsidR="00234D9B" w:rsidRPr="00C70433" w:rsidRDefault="00234D9B" w:rsidP="00234D9B">
      <w:pPr>
        <w:keepNext/>
        <w:rPr>
          <w:b/>
          <w:lang w:val="en-CA"/>
        </w:rPr>
      </w:pPr>
    </w:p>
    <w:p w:rsidR="00234D9B" w:rsidRDefault="00234D9B" w:rsidP="005A30B9">
      <w:pPr>
        <w:pStyle w:val="Heading1"/>
        <w:rPr>
          <w:lang w:val="en-CA"/>
        </w:rPr>
      </w:pPr>
      <w:r>
        <w:rPr>
          <w:lang w:val="en-CA"/>
        </w:rPr>
        <w:t>Thirty-six</w:t>
      </w:r>
      <w:r w:rsidRPr="00C70433">
        <w:rPr>
          <w:lang w:val="en-CA"/>
        </w:rPr>
        <w:t xml:space="preserve"> activities associated with tranches of HPMPs for 21 countries, at a total value of </w:t>
      </w:r>
      <w:r>
        <w:rPr>
          <w:lang w:val="en-CA"/>
        </w:rPr>
        <w:t>US $</w:t>
      </w:r>
      <w:r w:rsidRPr="00C70433">
        <w:rPr>
          <w:lang w:val="en-CA"/>
        </w:rPr>
        <w:t>32,102,077 (including agency support costs), due for submission to the 83</w:t>
      </w:r>
      <w:r w:rsidRPr="00C70433">
        <w:rPr>
          <w:vertAlign w:val="superscript"/>
          <w:lang w:val="en-CA"/>
        </w:rPr>
        <w:t>rd</w:t>
      </w:r>
      <w:r w:rsidRPr="00C70433">
        <w:rPr>
          <w:lang w:val="en-CA"/>
        </w:rPr>
        <w:t xml:space="preserve"> meeting were not submitted, as shown in Annex I to the present document</w:t>
      </w:r>
      <w:r w:rsidRPr="00C70433">
        <w:rPr>
          <w:vertAlign w:val="superscript"/>
          <w:lang w:val="en-CA"/>
        </w:rPr>
        <w:footnoteReference w:id="19"/>
      </w:r>
      <w:r w:rsidRPr="00C70433">
        <w:rPr>
          <w:lang w:val="en-CA"/>
        </w:rPr>
        <w:t xml:space="preserve">. </w:t>
      </w:r>
    </w:p>
    <w:p w:rsidR="00234D9B" w:rsidRPr="00C70433" w:rsidRDefault="00234D9B" w:rsidP="005A30B9">
      <w:pPr>
        <w:pStyle w:val="Heading1"/>
        <w:rPr>
          <w:lang w:val="en-CA"/>
        </w:rPr>
      </w:pPr>
      <w:r w:rsidRPr="00C70433">
        <w:rPr>
          <w:lang w:val="en-CA"/>
        </w:rPr>
        <w:t xml:space="preserve">In addition, six tranches of stage II of HPMPs for two countries amounting to </w:t>
      </w:r>
      <w:r>
        <w:rPr>
          <w:lang w:val="en-CA"/>
        </w:rPr>
        <w:t>US $</w:t>
      </w:r>
      <w:r w:rsidRPr="00C70433">
        <w:rPr>
          <w:lang w:val="en-CA"/>
        </w:rPr>
        <w:t>15,617,180 (including agency support costs)</w:t>
      </w:r>
      <w:r>
        <w:rPr>
          <w:lang w:val="en-CA"/>
        </w:rPr>
        <w:t>,</w:t>
      </w:r>
      <w:r w:rsidRPr="00C70433">
        <w:rPr>
          <w:lang w:val="en-CA"/>
        </w:rPr>
        <w:t xml:space="preserve"> were submitted to the 83</w:t>
      </w:r>
      <w:r w:rsidRPr="00C70433">
        <w:rPr>
          <w:vertAlign w:val="superscript"/>
          <w:lang w:val="en-CA"/>
        </w:rPr>
        <w:t>rd</w:t>
      </w:r>
      <w:r>
        <w:rPr>
          <w:lang w:val="en-CA"/>
        </w:rPr>
        <w:t> </w:t>
      </w:r>
      <w:r w:rsidRPr="00C70433">
        <w:rPr>
          <w:lang w:val="en-CA"/>
        </w:rPr>
        <w:t>meeting, but subsequently withdrawn by relevant implementing agencies during the project review process</w:t>
      </w:r>
      <w:r>
        <w:rPr>
          <w:lang w:val="en-CA"/>
        </w:rPr>
        <w:t xml:space="preserve">. These six tranches </w:t>
      </w:r>
      <w:r w:rsidRPr="00C70433">
        <w:rPr>
          <w:lang w:val="en-CA"/>
        </w:rPr>
        <w:t xml:space="preserve">are also </w:t>
      </w:r>
      <w:r>
        <w:rPr>
          <w:lang w:val="en-CA"/>
        </w:rPr>
        <w:t xml:space="preserve">included </w:t>
      </w:r>
      <w:r w:rsidRPr="00C70433">
        <w:rPr>
          <w:lang w:val="en-CA"/>
        </w:rPr>
        <w:t xml:space="preserve">in Annex I. </w:t>
      </w:r>
    </w:p>
    <w:p w:rsidR="00234D9B" w:rsidRPr="00C70433" w:rsidRDefault="00234D9B" w:rsidP="00234D9B">
      <w:pPr>
        <w:keepNext/>
        <w:spacing w:after="240"/>
        <w:rPr>
          <w:b/>
          <w:lang w:val="en-CA"/>
        </w:rPr>
      </w:pPr>
      <w:r w:rsidRPr="00C70433">
        <w:rPr>
          <w:b/>
          <w:lang w:val="en-CA"/>
        </w:rPr>
        <w:t>Reason for delays and impact on compliance</w:t>
      </w:r>
    </w:p>
    <w:p w:rsidR="00234D9B" w:rsidRPr="00C70433" w:rsidRDefault="00234D9B" w:rsidP="005A30B9">
      <w:pPr>
        <w:pStyle w:val="Heading1"/>
        <w:rPr>
          <w:lang w:val="en-CA"/>
        </w:rPr>
      </w:pPr>
      <w:r w:rsidRPr="00C70433">
        <w:rPr>
          <w:lang w:val="en-CA"/>
        </w:rPr>
        <w:t xml:space="preserve">The reasons for delays in the submission of tranches of HPMPs include: Government decisions, and/or endorsements, and/or changes in the national ozone unit (NOU), and/or structural change (12); lack </w:t>
      </w:r>
      <w:r w:rsidRPr="00C70433">
        <w:rPr>
          <w:lang w:val="en-CA"/>
        </w:rPr>
        <w:lastRenderedPageBreak/>
        <w:t xml:space="preserve">of mandatory verification report (7); sufficient funds from previous tranches (5); disbursement below the 20 per cent threshold of approved funds for the previous tranche (15); delays in implementation of investment components (5); enterprise difficulties (1); signing of agreements or contracts (4); lead or cooperating agency not ready for submission (1); internal or external difficulties (5); revision of agreement or plan of action (3); or no submission of progress and/or financial reports (2). </w:t>
      </w:r>
    </w:p>
    <w:p w:rsidR="00234D9B" w:rsidRPr="00C70433" w:rsidRDefault="00234D9B" w:rsidP="005A30B9">
      <w:pPr>
        <w:pStyle w:val="Heading1"/>
        <w:rPr>
          <w:lang w:val="en-CA"/>
        </w:rPr>
      </w:pPr>
      <w:r w:rsidRPr="00C70433">
        <w:rPr>
          <w:lang w:val="en-CA"/>
        </w:rPr>
        <w:t>As reported by the relevant bilateral and implementing agencies, delays in the submission of tranches that were past due would have no impact, or were unlikely to have an impact, on compliance with the countries’ obligations under the Montreal Protocol. All outstanding tranches are expected to be submitted to the 84</w:t>
      </w:r>
      <w:r w:rsidRPr="00C70433">
        <w:rPr>
          <w:vertAlign w:val="superscript"/>
          <w:lang w:val="en-CA"/>
        </w:rPr>
        <w:t>th</w:t>
      </w:r>
      <w:r w:rsidRPr="00C70433">
        <w:rPr>
          <w:lang w:val="en-CA"/>
        </w:rPr>
        <w:t xml:space="preserve"> meeting. </w:t>
      </w:r>
    </w:p>
    <w:p w:rsidR="00234D9B" w:rsidRPr="00C70433" w:rsidRDefault="00234D9B" w:rsidP="00234D9B">
      <w:pPr>
        <w:rPr>
          <w:b/>
          <w:lang w:val="en-CA"/>
        </w:rPr>
      </w:pPr>
      <w:r w:rsidRPr="00C70433">
        <w:rPr>
          <w:b/>
          <w:lang w:val="en-CA"/>
        </w:rPr>
        <w:t xml:space="preserve">Cancellation of stage I of </w:t>
      </w:r>
      <w:r>
        <w:rPr>
          <w:b/>
          <w:lang w:val="en-CA"/>
        </w:rPr>
        <w:t xml:space="preserve">the </w:t>
      </w:r>
      <w:r w:rsidRPr="00C70433">
        <w:rPr>
          <w:b/>
          <w:lang w:val="en-CA"/>
        </w:rPr>
        <w:t>HPMP for Algeria</w:t>
      </w:r>
    </w:p>
    <w:p w:rsidR="00234D9B" w:rsidRPr="00C70433" w:rsidRDefault="00234D9B" w:rsidP="00234D9B">
      <w:pPr>
        <w:rPr>
          <w:lang w:val="en-CA"/>
        </w:rPr>
      </w:pPr>
    </w:p>
    <w:p w:rsidR="00234D9B" w:rsidRDefault="00234D9B" w:rsidP="005A30B9">
      <w:pPr>
        <w:pStyle w:val="Heading1"/>
        <w:rPr>
          <w:lang w:val="en-CA"/>
        </w:rPr>
      </w:pPr>
      <w:r>
        <w:rPr>
          <w:lang w:val="en-CA"/>
        </w:rPr>
        <w:t>In line with decision 82/15(f),</w:t>
      </w:r>
      <w:r>
        <w:rPr>
          <w:rStyle w:val="FootnoteReference"/>
          <w:lang w:val="en-CA"/>
        </w:rPr>
        <w:footnoteReference w:id="20"/>
      </w:r>
      <w:r>
        <w:rPr>
          <w:lang w:val="en-CA"/>
        </w:rPr>
        <w:t xml:space="preserve"> </w:t>
      </w:r>
      <w:r w:rsidRPr="00C70433">
        <w:t xml:space="preserve">the Secretariat </w:t>
      </w:r>
      <w:r>
        <w:t xml:space="preserve">sent </w:t>
      </w:r>
      <w:r w:rsidRPr="00C70433">
        <w:t xml:space="preserve">a letter to the Government of Algeria </w:t>
      </w:r>
      <w:r>
        <w:t xml:space="preserve">on 21 December 2018 </w:t>
      </w:r>
      <w:r w:rsidRPr="00C70433">
        <w:t>seeking its agreement to cancel stage I of the HPMP.</w:t>
      </w:r>
      <w:r>
        <w:t xml:space="preserve"> As a response from the Government was not received, the </w:t>
      </w:r>
      <w:r>
        <w:rPr>
          <w:lang w:val="en-CA"/>
        </w:rPr>
        <w:t xml:space="preserve">Secretariat followed up the matter with </w:t>
      </w:r>
      <w:r w:rsidRPr="00710FB6">
        <w:rPr>
          <w:lang w:val="en-CA"/>
        </w:rPr>
        <w:t>UNIDO</w:t>
      </w:r>
      <w:r>
        <w:rPr>
          <w:lang w:val="en-CA"/>
        </w:rPr>
        <w:t>,</w:t>
      </w:r>
      <w:r w:rsidRPr="00710FB6">
        <w:rPr>
          <w:lang w:val="en-CA"/>
        </w:rPr>
        <w:t xml:space="preserve"> as lead implementing agency </w:t>
      </w:r>
      <w:r>
        <w:rPr>
          <w:lang w:val="en-CA"/>
        </w:rPr>
        <w:t xml:space="preserve">of stage I of the HPMP, which also indicated that no response has been received from the Government, and reiterated the lack of communication as </w:t>
      </w:r>
      <w:r w:rsidRPr="00FB28BE">
        <w:rPr>
          <w:lang w:val="en-CA"/>
        </w:rPr>
        <w:t xml:space="preserve">a major </w:t>
      </w:r>
      <w:r w:rsidRPr="00FB28BE">
        <w:rPr>
          <w:lang w:val="en-US"/>
        </w:rPr>
        <w:t>difficulty in the past years</w:t>
      </w:r>
      <w:r w:rsidRPr="00FB28BE">
        <w:rPr>
          <w:lang w:val="en-CA"/>
        </w:rPr>
        <w:t xml:space="preserve">. </w:t>
      </w:r>
    </w:p>
    <w:p w:rsidR="00234D9B" w:rsidRPr="00710FB6" w:rsidRDefault="00234D9B" w:rsidP="005A30B9">
      <w:pPr>
        <w:pStyle w:val="Heading1"/>
        <w:rPr>
          <w:lang w:val="en-CA"/>
        </w:rPr>
      </w:pPr>
      <w:r>
        <w:rPr>
          <w:lang w:val="en-CA"/>
        </w:rPr>
        <w:t>T</w:t>
      </w:r>
      <w:r w:rsidRPr="00F4619A">
        <w:rPr>
          <w:lang w:val="en-CA"/>
        </w:rPr>
        <w:t>he Secretariat would like to seek guidance from the Executive Committee</w:t>
      </w:r>
      <w:r>
        <w:rPr>
          <w:lang w:val="en-CA"/>
        </w:rPr>
        <w:t xml:space="preserve"> on whether to cancel stage I of HPMP for Algeria, noting that no response has been received from the Government of Algeria.</w:t>
      </w:r>
    </w:p>
    <w:p w:rsidR="00234D9B" w:rsidRPr="00C70433" w:rsidRDefault="00234D9B" w:rsidP="00234D9B">
      <w:pPr>
        <w:pStyle w:val="Heading1"/>
        <w:keepNext/>
        <w:numPr>
          <w:ilvl w:val="0"/>
          <w:numId w:val="0"/>
        </w:numPr>
        <w:tabs>
          <w:tab w:val="left" w:pos="0"/>
        </w:tabs>
        <w:rPr>
          <w:b/>
          <w:bCs/>
          <w:lang w:val="en-CA"/>
        </w:rPr>
      </w:pPr>
      <w:r w:rsidRPr="00C70433">
        <w:rPr>
          <w:b/>
          <w:bCs/>
          <w:lang w:val="en-CA"/>
        </w:rPr>
        <w:t>Recommendations</w:t>
      </w:r>
    </w:p>
    <w:p w:rsidR="00234D9B" w:rsidRPr="00C70433" w:rsidRDefault="00234D9B" w:rsidP="005A30B9">
      <w:pPr>
        <w:pStyle w:val="Heading1"/>
        <w:rPr>
          <w:lang w:val="en-CA"/>
        </w:rPr>
      </w:pPr>
      <w:r w:rsidRPr="00C70433">
        <w:rPr>
          <w:lang w:val="en-CA"/>
        </w:rPr>
        <w:t>The Executive Committee may wish:</w:t>
      </w:r>
    </w:p>
    <w:p w:rsidR="00234D9B" w:rsidRPr="00C70433" w:rsidRDefault="00234D9B" w:rsidP="005A30B9">
      <w:pPr>
        <w:pStyle w:val="Heading2"/>
        <w:rPr>
          <w:lang w:val="en-CA"/>
        </w:rPr>
      </w:pPr>
      <w:r w:rsidRPr="00C70433">
        <w:rPr>
          <w:lang w:val="en-CA"/>
        </w:rPr>
        <w:t>To note:</w:t>
      </w:r>
    </w:p>
    <w:p w:rsidR="00234D9B" w:rsidRPr="00C70433" w:rsidRDefault="00234D9B" w:rsidP="005A30B9">
      <w:pPr>
        <w:pStyle w:val="Heading3"/>
        <w:rPr>
          <w:lang w:val="en-CA"/>
        </w:rPr>
      </w:pPr>
      <w:r w:rsidRPr="00C70433">
        <w:rPr>
          <w:lang w:val="en-CA"/>
        </w:rPr>
        <w:t>The report on tranche submission delays contained in document UNEP/</w:t>
      </w:r>
      <w:proofErr w:type="spellStart"/>
      <w:r w:rsidRPr="00C70433">
        <w:rPr>
          <w:lang w:val="en-CA"/>
        </w:rPr>
        <w:t>OzL.Pro</w:t>
      </w:r>
      <w:proofErr w:type="spellEnd"/>
      <w:r w:rsidRPr="00C70433">
        <w:rPr>
          <w:lang w:val="en-CA"/>
        </w:rPr>
        <w:t>/</w:t>
      </w:r>
      <w:proofErr w:type="spellStart"/>
      <w:r w:rsidRPr="00C70433">
        <w:rPr>
          <w:lang w:val="en-CA"/>
        </w:rPr>
        <w:t>ExCom</w:t>
      </w:r>
      <w:proofErr w:type="spellEnd"/>
      <w:r w:rsidRPr="00C70433">
        <w:rPr>
          <w:lang w:val="en-CA"/>
        </w:rPr>
        <w:t>/83/14;</w:t>
      </w:r>
    </w:p>
    <w:p w:rsidR="00234D9B" w:rsidRPr="00C70433" w:rsidRDefault="00234D9B" w:rsidP="005A30B9">
      <w:pPr>
        <w:pStyle w:val="Heading3"/>
        <w:rPr>
          <w:lang w:val="en-CA"/>
        </w:rPr>
      </w:pPr>
      <w:r w:rsidRPr="00C70433">
        <w:rPr>
          <w:lang w:val="en-CA"/>
        </w:rPr>
        <w:t>The information on tranche submission delays under HCFC phase-out management plans (HPMPs) submitted by the Governments of France, Germany and Japan, UNDP, UNEP, UNIDO and the World Bank;</w:t>
      </w:r>
    </w:p>
    <w:p w:rsidR="00234D9B" w:rsidRPr="00C70433" w:rsidRDefault="00234D9B" w:rsidP="005A30B9">
      <w:pPr>
        <w:pStyle w:val="Heading3"/>
        <w:rPr>
          <w:lang w:val="en-CA"/>
        </w:rPr>
      </w:pPr>
      <w:r w:rsidRPr="00C70433">
        <w:rPr>
          <w:lang w:val="en-CA"/>
        </w:rPr>
        <w:t>That 34 out of 70 activities (19 out of 39 countries) related to tranches of HPMPs due for submission at the 83</w:t>
      </w:r>
      <w:r w:rsidRPr="00C70433">
        <w:rPr>
          <w:vertAlign w:val="superscript"/>
          <w:lang w:val="en-CA"/>
        </w:rPr>
        <w:t>rd</w:t>
      </w:r>
      <w:r w:rsidRPr="00C70433">
        <w:rPr>
          <w:lang w:val="en-CA"/>
        </w:rPr>
        <w:t xml:space="preserve"> meeting had been submitted on time;</w:t>
      </w:r>
    </w:p>
    <w:p w:rsidR="00234D9B" w:rsidRPr="00C70433" w:rsidRDefault="00234D9B" w:rsidP="005A30B9">
      <w:pPr>
        <w:pStyle w:val="Heading3"/>
        <w:rPr>
          <w:lang w:val="en-CA"/>
        </w:rPr>
      </w:pPr>
      <w:r w:rsidRPr="00C70433">
        <w:rPr>
          <w:lang w:val="en-CA"/>
        </w:rPr>
        <w:t>That relevant bilateral and implementing agencies had indicated that the late submission of the tranches of HPMPs due for submission at the first meeting of 2019 would have no impact, or was unlikely to have an impact, on compliance with the Montreal Protocol, and that there was no indication that any of the countries concerned were in non</w:t>
      </w:r>
      <w:r w:rsidRPr="00C70433">
        <w:rPr>
          <w:lang w:val="en-CA"/>
        </w:rPr>
        <w:noBreakHyphen/>
        <w:t xml:space="preserve">compliance with the Montreal Protocol control measures; </w:t>
      </w:r>
    </w:p>
    <w:p w:rsidR="00234D9B" w:rsidRDefault="00234D9B" w:rsidP="00234D9B">
      <w:pPr>
        <w:pStyle w:val="Heading2"/>
        <w:keepNext/>
        <w:keepLines/>
        <w:numPr>
          <w:ilvl w:val="1"/>
          <w:numId w:val="1"/>
        </w:numPr>
        <w:rPr>
          <w:lang w:val="en-CA"/>
        </w:rPr>
      </w:pPr>
      <w:r w:rsidRPr="00C70433">
        <w:rPr>
          <w:lang w:val="en-CA"/>
        </w:rPr>
        <w:t>To request the Secretariat to send letters to the relevant governments regarding the decisions on tranche submission delays contained in Annex I to the present report</w:t>
      </w:r>
      <w:r>
        <w:rPr>
          <w:lang w:val="en-CA"/>
        </w:rPr>
        <w:t>; and</w:t>
      </w:r>
    </w:p>
    <w:p w:rsidR="00234D9B" w:rsidRPr="00C70433" w:rsidRDefault="00234D9B" w:rsidP="00234D9B">
      <w:pPr>
        <w:pStyle w:val="Heading2"/>
        <w:numPr>
          <w:ilvl w:val="1"/>
          <w:numId w:val="1"/>
        </w:numPr>
        <w:rPr>
          <w:lang w:val="en-CA"/>
        </w:rPr>
      </w:pPr>
      <w:r>
        <w:rPr>
          <w:lang w:val="en-CA"/>
        </w:rPr>
        <w:t>To consider whether to cancel stage I of the HPMP for Algeria.</w:t>
      </w:r>
    </w:p>
    <w:p w:rsidR="005A30B9" w:rsidRDefault="005A30B9" w:rsidP="00234D9B">
      <w:pPr>
        <w:tabs>
          <w:tab w:val="left" w:pos="1384"/>
          <w:tab w:val="left" w:pos="2185"/>
          <w:tab w:val="left" w:pos="2742"/>
          <w:tab w:val="left" w:pos="3829"/>
          <w:tab w:val="left" w:pos="6671"/>
          <w:tab w:val="left" w:pos="7624"/>
          <w:tab w:val="left" w:pos="8384"/>
        </w:tabs>
        <w:ind w:left="1440" w:hanging="1440"/>
        <w:jc w:val="center"/>
        <w:rPr>
          <w:b/>
          <w:bCs/>
          <w:lang w:val="en-CA"/>
        </w:rPr>
        <w:sectPr w:rsidR="005A30B9" w:rsidSect="005A30B9">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docGrid w:linePitch="299"/>
        </w:sectPr>
      </w:pPr>
    </w:p>
    <w:p w:rsidR="00234D9B" w:rsidRPr="00C70433" w:rsidRDefault="00234D9B" w:rsidP="00234D9B">
      <w:pPr>
        <w:tabs>
          <w:tab w:val="left" w:pos="1384"/>
          <w:tab w:val="left" w:pos="2185"/>
          <w:tab w:val="left" w:pos="2742"/>
          <w:tab w:val="left" w:pos="3829"/>
          <w:tab w:val="left" w:pos="6671"/>
          <w:tab w:val="left" w:pos="7624"/>
          <w:tab w:val="left" w:pos="8384"/>
        </w:tabs>
        <w:ind w:left="1440" w:hanging="1440"/>
        <w:jc w:val="center"/>
        <w:rPr>
          <w:b/>
          <w:bCs/>
          <w:lang w:val="en-CA"/>
        </w:rPr>
      </w:pPr>
      <w:r w:rsidRPr="00C70433">
        <w:rPr>
          <w:b/>
          <w:bCs/>
          <w:lang w:val="en-CA"/>
        </w:rPr>
        <w:lastRenderedPageBreak/>
        <w:t>Annex I</w:t>
      </w:r>
    </w:p>
    <w:p w:rsidR="00234D9B" w:rsidRPr="00C70433" w:rsidRDefault="00234D9B" w:rsidP="00234D9B">
      <w:pPr>
        <w:tabs>
          <w:tab w:val="left" w:pos="1384"/>
          <w:tab w:val="left" w:pos="2185"/>
          <w:tab w:val="left" w:pos="2742"/>
          <w:tab w:val="left" w:pos="3829"/>
          <w:tab w:val="left" w:pos="6671"/>
          <w:tab w:val="left" w:pos="7624"/>
          <w:tab w:val="left" w:pos="8384"/>
        </w:tabs>
        <w:ind w:left="1440" w:hanging="1440"/>
        <w:jc w:val="center"/>
        <w:rPr>
          <w:b/>
          <w:bCs/>
          <w:color w:val="000000"/>
          <w:lang w:val="en-CA"/>
        </w:rPr>
      </w:pPr>
    </w:p>
    <w:p w:rsidR="00234D9B" w:rsidRPr="00C70433" w:rsidRDefault="00234D9B" w:rsidP="00234D9B">
      <w:pPr>
        <w:tabs>
          <w:tab w:val="left" w:pos="1384"/>
          <w:tab w:val="left" w:pos="2185"/>
          <w:tab w:val="left" w:pos="2742"/>
          <w:tab w:val="left" w:pos="3829"/>
          <w:tab w:val="left" w:pos="6671"/>
          <w:tab w:val="left" w:pos="7624"/>
          <w:tab w:val="left" w:pos="8384"/>
        </w:tabs>
        <w:ind w:left="1440" w:hanging="1440"/>
        <w:jc w:val="center"/>
        <w:rPr>
          <w:b/>
          <w:bCs/>
          <w:caps/>
          <w:color w:val="000000"/>
          <w:lang w:val="en-CA"/>
        </w:rPr>
      </w:pPr>
      <w:r w:rsidRPr="00C70433">
        <w:rPr>
          <w:b/>
          <w:bCs/>
          <w:caps/>
          <w:color w:val="000000"/>
          <w:lang w:val="en-CA"/>
        </w:rPr>
        <w:t>tranches NOT SUBMITTED to the 83</w:t>
      </w:r>
      <w:r w:rsidRPr="00C70433">
        <w:rPr>
          <w:b/>
          <w:bCs/>
          <w:caps/>
          <w:color w:val="000000"/>
          <w:vertAlign w:val="superscript"/>
          <w:lang w:val="en-CA"/>
        </w:rPr>
        <w:t>rd</w:t>
      </w:r>
      <w:r w:rsidRPr="00C70433">
        <w:rPr>
          <w:b/>
          <w:bCs/>
          <w:caps/>
          <w:color w:val="000000"/>
          <w:lang w:val="en-CA"/>
        </w:rPr>
        <w:t xml:space="preserve"> meeting</w:t>
      </w:r>
    </w:p>
    <w:p w:rsidR="00234D9B" w:rsidRPr="00C70433" w:rsidRDefault="00234D9B" w:rsidP="00234D9B">
      <w:pPr>
        <w:tabs>
          <w:tab w:val="left" w:pos="1384"/>
          <w:tab w:val="left" w:pos="2185"/>
          <w:tab w:val="left" w:pos="2742"/>
          <w:tab w:val="left" w:pos="3829"/>
          <w:tab w:val="left" w:pos="6671"/>
          <w:tab w:val="left" w:pos="7624"/>
          <w:tab w:val="left" w:pos="8384"/>
        </w:tabs>
        <w:ind w:left="1440" w:hanging="1440"/>
        <w:jc w:val="center"/>
        <w:rPr>
          <w:b/>
          <w:bCs/>
          <w:caps/>
          <w:color w:val="000000"/>
          <w:lang w:val="en-CA"/>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879"/>
        <w:gridCol w:w="1275"/>
        <w:gridCol w:w="3373"/>
        <w:gridCol w:w="5812"/>
      </w:tblGrid>
      <w:tr w:rsidR="00234D9B" w:rsidRPr="00C70433" w:rsidTr="007A69A7">
        <w:trPr>
          <w:trHeight w:val="692"/>
          <w:tblHeader/>
        </w:trPr>
        <w:tc>
          <w:tcPr>
            <w:tcW w:w="1560" w:type="dxa"/>
            <w:hideMark/>
          </w:tcPr>
          <w:p w:rsidR="00234D9B" w:rsidRPr="00C70433" w:rsidRDefault="00234D9B" w:rsidP="007A69A7">
            <w:pPr>
              <w:ind w:left="-108" w:firstLine="108"/>
              <w:jc w:val="center"/>
              <w:rPr>
                <w:b/>
                <w:bCs/>
                <w:sz w:val="19"/>
                <w:szCs w:val="19"/>
                <w:lang w:val="en-CA" w:eastAsia="en-CA"/>
              </w:rPr>
            </w:pPr>
            <w:r w:rsidRPr="00C70433">
              <w:rPr>
                <w:b/>
                <w:bCs/>
                <w:sz w:val="19"/>
                <w:szCs w:val="19"/>
                <w:lang w:val="en-CA" w:eastAsia="en-CA"/>
              </w:rPr>
              <w:t>Country</w:t>
            </w:r>
          </w:p>
        </w:tc>
        <w:tc>
          <w:tcPr>
            <w:tcW w:w="1276" w:type="dxa"/>
            <w:hideMark/>
          </w:tcPr>
          <w:p w:rsidR="00234D9B" w:rsidRPr="00C70433" w:rsidRDefault="00234D9B" w:rsidP="007A69A7">
            <w:pPr>
              <w:jc w:val="center"/>
              <w:rPr>
                <w:b/>
                <w:bCs/>
                <w:sz w:val="19"/>
                <w:szCs w:val="19"/>
                <w:lang w:val="en-CA" w:eastAsia="en-CA"/>
              </w:rPr>
            </w:pPr>
            <w:r w:rsidRPr="00C70433">
              <w:rPr>
                <w:b/>
                <w:bCs/>
                <w:sz w:val="19"/>
                <w:szCs w:val="19"/>
                <w:lang w:val="en-CA" w:eastAsia="en-CA"/>
              </w:rPr>
              <w:t>Agency</w:t>
            </w:r>
          </w:p>
        </w:tc>
        <w:tc>
          <w:tcPr>
            <w:tcW w:w="879" w:type="dxa"/>
            <w:hideMark/>
          </w:tcPr>
          <w:p w:rsidR="00234D9B" w:rsidRPr="00C70433" w:rsidRDefault="00234D9B" w:rsidP="007A69A7">
            <w:pPr>
              <w:ind w:left="-108" w:right="-128"/>
              <w:jc w:val="center"/>
              <w:rPr>
                <w:b/>
                <w:bCs/>
                <w:sz w:val="19"/>
                <w:szCs w:val="19"/>
                <w:lang w:val="en-CA" w:eastAsia="en-CA"/>
              </w:rPr>
            </w:pPr>
            <w:r w:rsidRPr="00C70433">
              <w:rPr>
                <w:b/>
                <w:bCs/>
                <w:sz w:val="19"/>
                <w:szCs w:val="19"/>
                <w:lang w:val="en-CA" w:eastAsia="en-CA"/>
              </w:rPr>
              <w:t>Tranche</w:t>
            </w:r>
          </w:p>
        </w:tc>
        <w:tc>
          <w:tcPr>
            <w:tcW w:w="1275" w:type="dxa"/>
            <w:hideMark/>
          </w:tcPr>
          <w:p w:rsidR="00234D9B" w:rsidRPr="00C70433" w:rsidRDefault="00234D9B" w:rsidP="007A69A7">
            <w:pPr>
              <w:ind w:left="-108" w:right="-108"/>
              <w:jc w:val="center"/>
              <w:rPr>
                <w:b/>
                <w:bCs/>
                <w:sz w:val="19"/>
                <w:szCs w:val="19"/>
                <w:lang w:val="en-CA" w:eastAsia="en-CA"/>
              </w:rPr>
            </w:pPr>
            <w:r w:rsidRPr="00C70433">
              <w:rPr>
                <w:b/>
                <w:bCs/>
                <w:sz w:val="19"/>
                <w:szCs w:val="19"/>
                <w:lang w:val="en-CA" w:eastAsia="en-CA"/>
              </w:rPr>
              <w:t>Amount (with support costs)</w:t>
            </w:r>
          </w:p>
          <w:p w:rsidR="00234D9B" w:rsidRPr="00C70433" w:rsidRDefault="00234D9B" w:rsidP="007A69A7">
            <w:pPr>
              <w:jc w:val="center"/>
              <w:rPr>
                <w:b/>
                <w:bCs/>
                <w:sz w:val="19"/>
                <w:szCs w:val="19"/>
                <w:lang w:val="en-CA" w:eastAsia="en-CA"/>
              </w:rPr>
            </w:pPr>
            <w:r w:rsidRPr="00C70433">
              <w:rPr>
                <w:b/>
                <w:bCs/>
                <w:sz w:val="19"/>
                <w:szCs w:val="19"/>
                <w:lang w:val="en-CA" w:eastAsia="en-CA"/>
              </w:rPr>
              <w:t>(</w:t>
            </w:r>
            <w:r>
              <w:rPr>
                <w:b/>
                <w:bCs/>
                <w:sz w:val="19"/>
                <w:szCs w:val="19"/>
                <w:lang w:val="en-CA" w:eastAsia="en-CA"/>
              </w:rPr>
              <w:t>US $</w:t>
            </w:r>
            <w:r w:rsidRPr="00C70433">
              <w:rPr>
                <w:b/>
                <w:bCs/>
                <w:sz w:val="19"/>
                <w:szCs w:val="19"/>
                <w:lang w:val="en-CA" w:eastAsia="en-CA"/>
              </w:rPr>
              <w:t>)</w:t>
            </w:r>
          </w:p>
        </w:tc>
        <w:tc>
          <w:tcPr>
            <w:tcW w:w="3373" w:type="dxa"/>
            <w:hideMark/>
          </w:tcPr>
          <w:p w:rsidR="00234D9B" w:rsidRPr="00C70433" w:rsidRDefault="00234D9B" w:rsidP="007A69A7">
            <w:pPr>
              <w:jc w:val="center"/>
              <w:rPr>
                <w:b/>
                <w:bCs/>
                <w:sz w:val="19"/>
                <w:szCs w:val="19"/>
                <w:lang w:val="en-CA" w:eastAsia="en-CA"/>
              </w:rPr>
            </w:pPr>
            <w:r w:rsidRPr="00C70433">
              <w:rPr>
                <w:b/>
                <w:bCs/>
                <w:sz w:val="19"/>
                <w:szCs w:val="19"/>
                <w:lang w:val="en-CA" w:eastAsia="en-CA"/>
              </w:rPr>
              <w:t>Reason for delay/withdrawal</w:t>
            </w:r>
          </w:p>
        </w:tc>
        <w:tc>
          <w:tcPr>
            <w:tcW w:w="5812" w:type="dxa"/>
          </w:tcPr>
          <w:p w:rsidR="00234D9B" w:rsidRPr="00C70433" w:rsidRDefault="00234D9B" w:rsidP="007A69A7">
            <w:pPr>
              <w:jc w:val="center"/>
              <w:rPr>
                <w:b/>
                <w:bCs/>
                <w:sz w:val="19"/>
                <w:szCs w:val="19"/>
                <w:lang w:val="en-CA" w:eastAsia="en-CA"/>
              </w:rPr>
            </w:pPr>
            <w:r w:rsidRPr="00C70433">
              <w:rPr>
                <w:b/>
                <w:sz w:val="19"/>
                <w:szCs w:val="19"/>
                <w:lang w:val="en-CA"/>
              </w:rPr>
              <w:t>Recommendations</w:t>
            </w:r>
          </w:p>
        </w:tc>
      </w:tr>
      <w:tr w:rsidR="00234D9B" w:rsidRPr="00C70433" w:rsidTr="007A69A7">
        <w:trPr>
          <w:trHeight w:val="450"/>
        </w:trPr>
        <w:tc>
          <w:tcPr>
            <w:tcW w:w="1560" w:type="dxa"/>
            <w:hideMark/>
          </w:tcPr>
          <w:p w:rsidR="00234D9B" w:rsidRDefault="00234D9B" w:rsidP="007A69A7">
            <w:pPr>
              <w:jc w:val="left"/>
              <w:rPr>
                <w:sz w:val="19"/>
                <w:szCs w:val="19"/>
                <w:lang w:val="en-CA" w:eastAsia="en-CA"/>
              </w:rPr>
            </w:pPr>
            <w:r w:rsidRPr="00C70433">
              <w:rPr>
                <w:sz w:val="19"/>
                <w:szCs w:val="19"/>
                <w:lang w:val="en-CA" w:eastAsia="en-CA"/>
              </w:rPr>
              <w:t xml:space="preserve">Barbados </w:t>
            </w:r>
          </w:p>
          <w:p w:rsidR="00234D9B" w:rsidRPr="00C70433" w:rsidRDefault="00234D9B" w:rsidP="007A69A7">
            <w:pPr>
              <w:jc w:val="left"/>
              <w:rPr>
                <w:sz w:val="19"/>
                <w:szCs w:val="19"/>
                <w:lang w:val="en-CA" w:eastAsia="en-CA"/>
              </w:rPr>
            </w:pPr>
            <w:r w:rsidRPr="00C70433">
              <w:rPr>
                <w:sz w:val="19"/>
                <w:szCs w:val="19"/>
                <w:lang w:val="en-CA" w:eastAsia="en-CA"/>
              </w:rPr>
              <w:t>(Stage I)</w:t>
            </w:r>
          </w:p>
        </w:tc>
        <w:tc>
          <w:tcPr>
            <w:tcW w:w="1276" w:type="dxa"/>
            <w:hideMark/>
          </w:tcPr>
          <w:p w:rsidR="00234D9B" w:rsidRPr="00C70433" w:rsidRDefault="00234D9B" w:rsidP="007A69A7">
            <w:pPr>
              <w:jc w:val="left"/>
              <w:rPr>
                <w:sz w:val="19"/>
                <w:szCs w:val="19"/>
                <w:lang w:val="en-CA" w:eastAsia="en-CA"/>
              </w:rPr>
            </w:pPr>
            <w:r w:rsidRPr="00C70433">
              <w:rPr>
                <w:sz w:val="19"/>
                <w:szCs w:val="19"/>
                <w:lang w:val="en-CA" w:eastAsia="en-CA"/>
              </w:rPr>
              <w:t>UNEP</w:t>
            </w:r>
          </w:p>
        </w:tc>
        <w:tc>
          <w:tcPr>
            <w:tcW w:w="879" w:type="dxa"/>
            <w:hideMark/>
          </w:tcPr>
          <w:p w:rsidR="00234D9B" w:rsidRPr="00C70433" w:rsidRDefault="00234D9B" w:rsidP="007A69A7">
            <w:pPr>
              <w:jc w:val="center"/>
              <w:rPr>
                <w:sz w:val="19"/>
                <w:szCs w:val="19"/>
                <w:lang w:val="en-CA" w:eastAsia="en-CA"/>
              </w:rPr>
            </w:pPr>
            <w:r w:rsidRPr="00C70433">
              <w:rPr>
                <w:sz w:val="19"/>
                <w:szCs w:val="19"/>
                <w:lang w:val="en-CA" w:eastAsia="en-CA"/>
              </w:rPr>
              <w:t>2018</w:t>
            </w:r>
          </w:p>
        </w:tc>
        <w:tc>
          <w:tcPr>
            <w:tcW w:w="1275" w:type="dxa"/>
            <w:hideMark/>
          </w:tcPr>
          <w:p w:rsidR="00234D9B" w:rsidRPr="00C70433" w:rsidRDefault="00234D9B" w:rsidP="007A69A7">
            <w:pPr>
              <w:jc w:val="right"/>
              <w:rPr>
                <w:sz w:val="19"/>
                <w:szCs w:val="19"/>
                <w:lang w:val="en-CA" w:eastAsia="en-CA"/>
              </w:rPr>
            </w:pPr>
            <w:r w:rsidRPr="00C70433">
              <w:rPr>
                <w:sz w:val="19"/>
                <w:szCs w:val="19"/>
                <w:lang w:val="en-CA" w:eastAsia="en-CA"/>
              </w:rPr>
              <w:t>47,460</w:t>
            </w:r>
          </w:p>
        </w:tc>
        <w:tc>
          <w:tcPr>
            <w:tcW w:w="3373" w:type="dxa"/>
            <w:hideMark/>
          </w:tcPr>
          <w:p w:rsidR="00234D9B" w:rsidRPr="00C70433" w:rsidRDefault="00234D9B" w:rsidP="007A69A7">
            <w:pPr>
              <w:rPr>
                <w:sz w:val="19"/>
                <w:szCs w:val="19"/>
                <w:lang w:val="en-CA" w:eastAsia="en-CA"/>
              </w:rPr>
            </w:pPr>
            <w:r w:rsidRPr="00C70433">
              <w:rPr>
                <w:sz w:val="19"/>
                <w:szCs w:val="19"/>
                <w:lang w:val="en-CA" w:eastAsia="en-CA"/>
              </w:rPr>
              <w:t>Sufficient funds from previous tranche approved</w:t>
            </w:r>
          </w:p>
        </w:tc>
        <w:tc>
          <w:tcPr>
            <w:tcW w:w="5812" w:type="dxa"/>
          </w:tcPr>
          <w:p w:rsidR="00234D9B" w:rsidRPr="00C70433" w:rsidRDefault="00234D9B" w:rsidP="007A69A7">
            <w:pPr>
              <w:rPr>
                <w:sz w:val="19"/>
                <w:szCs w:val="19"/>
                <w:lang w:val="en-CA"/>
              </w:rPr>
            </w:pPr>
            <w:r w:rsidRPr="00C70433">
              <w:rPr>
                <w:sz w:val="19"/>
                <w:szCs w:val="19"/>
                <w:lang w:val="en-CA"/>
              </w:rPr>
              <w:t xml:space="preserve">Noting that the delays from the second tranche of stage I of the HPMP had been resolved and urging the Government of Barbados to work with </w:t>
            </w:r>
            <w:r w:rsidRPr="00C70433">
              <w:rPr>
                <w:sz w:val="19"/>
                <w:szCs w:val="19"/>
                <w:lang w:val="en-CA" w:eastAsia="en-CA"/>
              </w:rPr>
              <w:t>UNEP</w:t>
            </w:r>
            <w:r w:rsidRPr="00C70433">
              <w:rPr>
                <w:sz w:val="19"/>
                <w:szCs w:val="19"/>
                <w:lang w:val="en-CA"/>
              </w:rPr>
              <w:t xml:space="preserve"> so that the third (2018) tranche of stage I of the HPMP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2018 and subsequent tranches.</w:t>
            </w:r>
          </w:p>
        </w:tc>
      </w:tr>
      <w:tr w:rsidR="00234D9B" w:rsidRPr="00C70433" w:rsidTr="007A69A7">
        <w:trPr>
          <w:trHeight w:val="132"/>
        </w:trPr>
        <w:tc>
          <w:tcPr>
            <w:tcW w:w="1560" w:type="dxa"/>
          </w:tcPr>
          <w:p w:rsidR="00234D9B" w:rsidRDefault="00234D9B" w:rsidP="007A69A7">
            <w:pPr>
              <w:jc w:val="left"/>
              <w:rPr>
                <w:sz w:val="19"/>
                <w:szCs w:val="19"/>
                <w:lang w:val="en-CA" w:eastAsia="en-CA"/>
              </w:rPr>
            </w:pPr>
            <w:r w:rsidRPr="00C70433">
              <w:rPr>
                <w:sz w:val="19"/>
                <w:szCs w:val="19"/>
                <w:lang w:val="en-CA" w:eastAsia="en-CA"/>
              </w:rPr>
              <w:t xml:space="preserve">China </w:t>
            </w:r>
          </w:p>
          <w:p w:rsidR="00234D9B" w:rsidRPr="00C70433" w:rsidRDefault="00234D9B" w:rsidP="007A69A7">
            <w:pPr>
              <w:jc w:val="left"/>
              <w:rPr>
                <w:sz w:val="19"/>
                <w:szCs w:val="19"/>
                <w:lang w:val="en-CA" w:eastAsia="en-CA"/>
              </w:rPr>
            </w:pPr>
            <w:r w:rsidRPr="00C70433">
              <w:rPr>
                <w:sz w:val="19"/>
                <w:szCs w:val="19"/>
                <w:lang w:val="en-CA" w:eastAsia="en-CA"/>
              </w:rPr>
              <w:t>(Stage II – PU rigid foam sector)</w:t>
            </w: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World Bank</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2017</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11,342,000</w:t>
            </w:r>
          </w:p>
        </w:tc>
        <w:tc>
          <w:tcPr>
            <w:tcW w:w="3373" w:type="dxa"/>
          </w:tcPr>
          <w:p w:rsidR="00234D9B" w:rsidRPr="00C70433" w:rsidRDefault="00234D9B" w:rsidP="007A69A7">
            <w:pPr>
              <w:rPr>
                <w:sz w:val="19"/>
                <w:szCs w:val="19"/>
                <w:lang w:val="en-CA" w:eastAsia="en-CA"/>
              </w:rPr>
            </w:pPr>
            <w:r w:rsidRPr="00C70433">
              <w:rPr>
                <w:sz w:val="19"/>
                <w:szCs w:val="19"/>
                <w:lang w:val="en-CA" w:eastAsia="en-CA"/>
              </w:rPr>
              <w:t>Signing of agreement/project document/ 20 per cent disbursement threshold</w:t>
            </w:r>
          </w:p>
          <w:p w:rsidR="00234D9B" w:rsidRPr="00C70433" w:rsidRDefault="00234D9B" w:rsidP="007A69A7">
            <w:pPr>
              <w:rPr>
                <w:sz w:val="19"/>
                <w:szCs w:val="19"/>
                <w:lang w:val="en-CA" w:eastAsia="en-CA"/>
              </w:rPr>
            </w:pPr>
          </w:p>
        </w:tc>
        <w:tc>
          <w:tcPr>
            <w:tcW w:w="5812" w:type="dxa"/>
          </w:tcPr>
          <w:p w:rsidR="00234D9B" w:rsidRPr="00C70433" w:rsidRDefault="00234D9B" w:rsidP="007A69A7">
            <w:pPr>
              <w:rPr>
                <w:sz w:val="19"/>
                <w:szCs w:val="19"/>
                <w:lang w:val="en-CA"/>
              </w:rPr>
            </w:pPr>
            <w:r w:rsidRPr="00C70433">
              <w:rPr>
                <w:sz w:val="19"/>
                <w:szCs w:val="19"/>
                <w:lang w:val="en-CA"/>
              </w:rPr>
              <w:t>Noting that the second (2017) tranche of the polyurethane (PU) rigid foam sector plan of stage II of the HPMP submitted to the 83</w:t>
            </w:r>
            <w:r w:rsidRPr="00C70433">
              <w:rPr>
                <w:sz w:val="19"/>
                <w:szCs w:val="19"/>
                <w:vertAlign w:val="superscript"/>
                <w:lang w:val="en-CA"/>
              </w:rPr>
              <w:t>rd</w:t>
            </w:r>
            <w:r w:rsidRPr="00C70433">
              <w:rPr>
                <w:sz w:val="19"/>
                <w:szCs w:val="19"/>
                <w:lang w:val="en-CA"/>
              </w:rPr>
              <w:t xml:space="preserve"> meeting had been withdrawn, and urging the Government of China to work with the World Bank to expedite the signing of the agreement so that the second</w:t>
            </w:r>
            <w:r>
              <w:rPr>
                <w:sz w:val="19"/>
                <w:szCs w:val="19"/>
                <w:lang w:val="en-CA"/>
              </w:rPr>
              <w:t xml:space="preserve"> </w:t>
            </w:r>
            <w:r w:rsidRPr="00C70433">
              <w:rPr>
                <w:sz w:val="19"/>
                <w:szCs w:val="19"/>
                <w:lang w:val="en-CA"/>
              </w:rPr>
              <w:t>tranche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2017 and subsequent tranches, on the understanding that the 20 per cent disbursement threshold for funding of the previous tranche had been achieved.</w:t>
            </w:r>
          </w:p>
        </w:tc>
      </w:tr>
      <w:tr w:rsidR="00234D9B" w:rsidRPr="00C70433" w:rsidTr="007A69A7">
        <w:trPr>
          <w:trHeight w:val="132"/>
        </w:trPr>
        <w:tc>
          <w:tcPr>
            <w:tcW w:w="1560" w:type="dxa"/>
          </w:tcPr>
          <w:p w:rsidR="00234D9B" w:rsidRDefault="00234D9B" w:rsidP="007A69A7">
            <w:pPr>
              <w:jc w:val="left"/>
              <w:rPr>
                <w:sz w:val="19"/>
                <w:szCs w:val="19"/>
                <w:lang w:val="en-CA" w:eastAsia="en-CA"/>
              </w:rPr>
            </w:pPr>
            <w:r w:rsidRPr="00C70433">
              <w:rPr>
                <w:sz w:val="19"/>
                <w:szCs w:val="19"/>
                <w:lang w:val="en-CA" w:eastAsia="en-CA"/>
              </w:rPr>
              <w:t xml:space="preserve">China </w:t>
            </w:r>
          </w:p>
          <w:p w:rsidR="00234D9B" w:rsidRPr="00C70433" w:rsidRDefault="00234D9B" w:rsidP="007A69A7">
            <w:pPr>
              <w:jc w:val="left"/>
              <w:rPr>
                <w:sz w:val="19"/>
                <w:szCs w:val="19"/>
                <w:lang w:val="en-CA" w:eastAsia="en-CA"/>
              </w:rPr>
            </w:pPr>
            <w:r w:rsidRPr="00C70433">
              <w:rPr>
                <w:sz w:val="19"/>
                <w:szCs w:val="19"/>
                <w:lang w:val="en-CA" w:eastAsia="en-CA"/>
              </w:rPr>
              <w:t xml:space="preserve">(Stage II – </w:t>
            </w:r>
            <w:r>
              <w:rPr>
                <w:sz w:val="19"/>
                <w:szCs w:val="19"/>
                <w:lang w:val="en-CA" w:eastAsia="en-CA"/>
              </w:rPr>
              <w:t>room air-</w:t>
            </w:r>
            <w:r w:rsidRPr="00C70433">
              <w:rPr>
                <w:sz w:val="19"/>
                <w:szCs w:val="19"/>
                <w:lang w:val="en-CA" w:eastAsia="en-CA"/>
              </w:rPr>
              <w:t>conditioning (RAC) sector)</w:t>
            </w: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UNIDO</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2018</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19,260,000</w:t>
            </w:r>
          </w:p>
        </w:tc>
        <w:tc>
          <w:tcPr>
            <w:tcW w:w="3373" w:type="dxa"/>
          </w:tcPr>
          <w:p w:rsidR="00234D9B" w:rsidRPr="00C70433" w:rsidRDefault="00234D9B" w:rsidP="007A69A7">
            <w:pPr>
              <w:rPr>
                <w:sz w:val="19"/>
                <w:szCs w:val="19"/>
                <w:lang w:val="en-CA" w:eastAsia="en-CA"/>
              </w:rPr>
            </w:pPr>
            <w:r w:rsidRPr="00C70433">
              <w:rPr>
                <w:sz w:val="19"/>
                <w:szCs w:val="19"/>
                <w:lang w:val="en-CA" w:eastAsia="en-CA"/>
              </w:rPr>
              <w:t xml:space="preserve">Government decisions/endorsements/ changes in the NOU/structural change/ </w:t>
            </w:r>
          </w:p>
          <w:p w:rsidR="00234D9B" w:rsidRPr="00C70433" w:rsidRDefault="00234D9B" w:rsidP="007A69A7">
            <w:pPr>
              <w:rPr>
                <w:sz w:val="19"/>
                <w:szCs w:val="19"/>
                <w:lang w:val="en-CA" w:eastAsia="en-CA"/>
              </w:rPr>
            </w:pPr>
            <w:r w:rsidRPr="00C70433">
              <w:rPr>
                <w:sz w:val="19"/>
                <w:szCs w:val="19"/>
                <w:lang w:val="en-CA" w:eastAsia="en-CA"/>
              </w:rPr>
              <w:t xml:space="preserve">20 per cent disbursement threshold/ </w:t>
            </w:r>
            <w:r>
              <w:rPr>
                <w:sz w:val="19"/>
                <w:szCs w:val="19"/>
                <w:lang w:val="en-CA" w:eastAsia="en-CA"/>
              </w:rPr>
              <w:t>s</w:t>
            </w:r>
            <w:r w:rsidRPr="00C70433">
              <w:rPr>
                <w:sz w:val="19"/>
                <w:szCs w:val="19"/>
                <w:lang w:val="en-CA" w:eastAsia="en-CA"/>
              </w:rPr>
              <w:t>igning of contract</w:t>
            </w:r>
          </w:p>
        </w:tc>
        <w:tc>
          <w:tcPr>
            <w:tcW w:w="5812" w:type="dxa"/>
          </w:tcPr>
          <w:p w:rsidR="00234D9B" w:rsidRPr="00C70433" w:rsidRDefault="00234D9B" w:rsidP="007A69A7">
            <w:pPr>
              <w:rPr>
                <w:sz w:val="19"/>
                <w:szCs w:val="19"/>
                <w:lang w:val="en-CA"/>
              </w:rPr>
            </w:pPr>
            <w:r w:rsidRPr="00C70433">
              <w:rPr>
                <w:sz w:val="19"/>
                <w:szCs w:val="19"/>
                <w:lang w:val="en-CA"/>
              </w:rPr>
              <w:t>Noting that the overall disbursement rate of the second (2017) tranche of stage II of the HPMP for the room air</w:t>
            </w:r>
            <w:r>
              <w:rPr>
                <w:sz w:val="19"/>
                <w:szCs w:val="19"/>
                <w:lang w:val="en-CA"/>
              </w:rPr>
              <w:t>-</w:t>
            </w:r>
            <w:r w:rsidRPr="00C70433">
              <w:rPr>
                <w:sz w:val="19"/>
                <w:szCs w:val="19"/>
                <w:lang w:val="en-CA"/>
              </w:rPr>
              <w:t>conditioning (RAC) sector was below the 20 per cent disbursement threshold and the contract has not been signed and urging the Government of China to work with UNIDO to expedite implementation so that the third (2018) tranche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2018 and subsequent tranches, on the understanding that the 20 per cent disbursement threshold for funding of the previous tranche had been achieved.</w:t>
            </w:r>
          </w:p>
        </w:tc>
      </w:tr>
      <w:tr w:rsidR="00234D9B" w:rsidRPr="00C70433" w:rsidTr="007A69A7">
        <w:trPr>
          <w:trHeight w:val="823"/>
        </w:trPr>
        <w:tc>
          <w:tcPr>
            <w:tcW w:w="1560" w:type="dxa"/>
            <w:vMerge w:val="restart"/>
          </w:tcPr>
          <w:p w:rsidR="00234D9B" w:rsidRPr="00C70433" w:rsidRDefault="00234D9B" w:rsidP="007A69A7">
            <w:pPr>
              <w:jc w:val="left"/>
              <w:rPr>
                <w:sz w:val="19"/>
                <w:szCs w:val="19"/>
                <w:lang w:val="en-CA" w:eastAsia="en-CA"/>
              </w:rPr>
            </w:pPr>
            <w:r w:rsidRPr="00C70433">
              <w:rPr>
                <w:sz w:val="19"/>
                <w:szCs w:val="19"/>
                <w:lang w:val="en-CA" w:eastAsia="en-CA"/>
              </w:rPr>
              <w:t xml:space="preserve">Colombia </w:t>
            </w:r>
          </w:p>
          <w:p w:rsidR="00234D9B" w:rsidRPr="00C70433" w:rsidRDefault="00234D9B" w:rsidP="007A69A7">
            <w:pPr>
              <w:jc w:val="left"/>
              <w:rPr>
                <w:sz w:val="19"/>
                <w:szCs w:val="19"/>
                <w:lang w:val="en-CA" w:eastAsia="en-CA"/>
              </w:rPr>
            </w:pPr>
            <w:r w:rsidRPr="00C70433">
              <w:rPr>
                <w:sz w:val="19"/>
                <w:szCs w:val="19"/>
                <w:lang w:val="en-CA" w:eastAsia="en-CA"/>
              </w:rPr>
              <w:t>(Stage II)</w:t>
            </w: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UNDP</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2019</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680,251</w:t>
            </w:r>
          </w:p>
        </w:tc>
        <w:tc>
          <w:tcPr>
            <w:tcW w:w="3373" w:type="dxa"/>
          </w:tcPr>
          <w:p w:rsidR="00234D9B" w:rsidRPr="00C70433" w:rsidRDefault="00234D9B" w:rsidP="007A69A7">
            <w:pPr>
              <w:rPr>
                <w:sz w:val="19"/>
                <w:szCs w:val="19"/>
                <w:lang w:val="en-CA" w:eastAsia="en-CA"/>
              </w:rPr>
            </w:pPr>
            <w:r w:rsidRPr="00C70433">
              <w:rPr>
                <w:sz w:val="19"/>
                <w:szCs w:val="19"/>
                <w:lang w:val="en-CA" w:eastAsia="en-CA"/>
              </w:rPr>
              <w:t>Internal or external difficulties/ investment component implementation/ 20 per cent disbursement threshold</w:t>
            </w:r>
          </w:p>
        </w:tc>
        <w:tc>
          <w:tcPr>
            <w:tcW w:w="5812" w:type="dxa"/>
            <w:vMerge w:val="restart"/>
          </w:tcPr>
          <w:p w:rsidR="00234D9B" w:rsidRPr="00C70433" w:rsidRDefault="00234D9B" w:rsidP="007A69A7">
            <w:pPr>
              <w:rPr>
                <w:sz w:val="19"/>
                <w:szCs w:val="19"/>
                <w:lang w:val="en-CA"/>
              </w:rPr>
            </w:pPr>
            <w:r w:rsidRPr="00C70433">
              <w:rPr>
                <w:sz w:val="19"/>
                <w:szCs w:val="19"/>
                <w:lang w:val="en-CA"/>
              </w:rPr>
              <w:t>Noting that the overall disbursement rate of the second (2018) tranche of stage II of the HPMP was below the 20 per cent disbursement threshold</w:t>
            </w:r>
            <w:r>
              <w:rPr>
                <w:sz w:val="19"/>
                <w:szCs w:val="19"/>
                <w:lang w:val="en-CA"/>
              </w:rPr>
              <w:t xml:space="preserve"> and</w:t>
            </w:r>
            <w:r w:rsidRPr="00C70433">
              <w:rPr>
                <w:sz w:val="19"/>
                <w:szCs w:val="19"/>
                <w:lang w:val="en-CA"/>
              </w:rPr>
              <w:t xml:space="preserve"> urging the Government of Colombia to work with UNDP and UNEP to expedite implementation so that the third (2019) tranche could be submitted to the 84</w:t>
            </w:r>
            <w:r w:rsidRPr="00C70433">
              <w:rPr>
                <w:sz w:val="19"/>
                <w:szCs w:val="19"/>
                <w:vertAlign w:val="superscript"/>
                <w:lang w:val="en-CA"/>
              </w:rPr>
              <w:t>th</w:t>
            </w:r>
            <w:r w:rsidRPr="00C70433">
              <w:rPr>
                <w:sz w:val="19"/>
                <w:szCs w:val="19"/>
                <w:lang w:val="en-CA"/>
              </w:rPr>
              <w:t xml:space="preserve"> meeting on the understanding that the 20 per cent disbursement threshold for funding of the previous tranche had been achieved.</w:t>
            </w:r>
          </w:p>
        </w:tc>
      </w:tr>
      <w:tr w:rsidR="00234D9B" w:rsidRPr="00C70433" w:rsidTr="007A69A7">
        <w:trPr>
          <w:trHeight w:val="437"/>
        </w:trPr>
        <w:tc>
          <w:tcPr>
            <w:tcW w:w="1560" w:type="dxa"/>
            <w:vMerge/>
          </w:tcPr>
          <w:p w:rsidR="00234D9B" w:rsidRPr="00C70433" w:rsidRDefault="00234D9B" w:rsidP="007A69A7">
            <w:pPr>
              <w:jc w:val="left"/>
              <w:rPr>
                <w:sz w:val="19"/>
                <w:szCs w:val="19"/>
                <w:lang w:val="en-CA" w:eastAsia="en-CA"/>
              </w:rPr>
            </w:pP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UNEP</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2019</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56,500</w:t>
            </w:r>
          </w:p>
        </w:tc>
        <w:tc>
          <w:tcPr>
            <w:tcW w:w="3373" w:type="dxa"/>
          </w:tcPr>
          <w:p w:rsidR="00234D9B" w:rsidRPr="00C70433" w:rsidRDefault="00234D9B" w:rsidP="007A69A7">
            <w:pPr>
              <w:rPr>
                <w:sz w:val="19"/>
                <w:szCs w:val="19"/>
                <w:lang w:val="en-CA" w:eastAsia="en-CA"/>
              </w:rPr>
            </w:pPr>
            <w:r w:rsidRPr="00C70433">
              <w:rPr>
                <w:sz w:val="19"/>
                <w:szCs w:val="19"/>
                <w:lang w:val="en-CA" w:eastAsia="en-CA"/>
              </w:rPr>
              <w:t>Signing of agreement/ project document/ 20 per cent disbursement threshold</w:t>
            </w:r>
          </w:p>
        </w:tc>
        <w:tc>
          <w:tcPr>
            <w:tcW w:w="5812" w:type="dxa"/>
            <w:vMerge/>
          </w:tcPr>
          <w:p w:rsidR="00234D9B" w:rsidRPr="00C70433" w:rsidRDefault="00234D9B" w:rsidP="007A69A7">
            <w:pPr>
              <w:rPr>
                <w:sz w:val="19"/>
                <w:szCs w:val="19"/>
                <w:lang w:val="en-CA"/>
              </w:rPr>
            </w:pPr>
          </w:p>
        </w:tc>
      </w:tr>
      <w:tr w:rsidR="00234D9B" w:rsidRPr="00C70433" w:rsidTr="007A69A7">
        <w:trPr>
          <w:trHeight w:val="622"/>
        </w:trPr>
        <w:tc>
          <w:tcPr>
            <w:tcW w:w="1560" w:type="dxa"/>
          </w:tcPr>
          <w:p w:rsidR="00234D9B" w:rsidRPr="00C70433" w:rsidRDefault="00234D9B" w:rsidP="007A69A7">
            <w:pPr>
              <w:jc w:val="left"/>
              <w:rPr>
                <w:sz w:val="19"/>
                <w:szCs w:val="19"/>
                <w:lang w:val="en-CA" w:eastAsia="en-CA"/>
              </w:rPr>
            </w:pPr>
            <w:r w:rsidRPr="00C70433">
              <w:rPr>
                <w:sz w:val="19"/>
                <w:szCs w:val="19"/>
                <w:lang w:val="en-CA" w:eastAsia="en-CA"/>
              </w:rPr>
              <w:t>Congo (the)</w:t>
            </w:r>
          </w:p>
          <w:p w:rsidR="00234D9B" w:rsidRPr="00C70433" w:rsidRDefault="00234D9B" w:rsidP="007A69A7">
            <w:pPr>
              <w:jc w:val="left"/>
              <w:rPr>
                <w:sz w:val="19"/>
                <w:szCs w:val="19"/>
                <w:lang w:val="en-CA" w:eastAsia="en-CA"/>
              </w:rPr>
            </w:pPr>
            <w:r w:rsidRPr="00C70433">
              <w:rPr>
                <w:sz w:val="19"/>
                <w:szCs w:val="19"/>
                <w:lang w:val="en-CA" w:eastAsia="en-CA"/>
              </w:rPr>
              <w:t>(Stage I)</w:t>
            </w: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UNEP</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2018</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28,250</w:t>
            </w:r>
          </w:p>
        </w:tc>
        <w:tc>
          <w:tcPr>
            <w:tcW w:w="3373" w:type="dxa"/>
          </w:tcPr>
          <w:p w:rsidR="00234D9B" w:rsidRPr="00C70433" w:rsidRDefault="00234D9B" w:rsidP="007A69A7">
            <w:pPr>
              <w:rPr>
                <w:sz w:val="19"/>
                <w:szCs w:val="19"/>
                <w:lang w:val="en-CA" w:eastAsia="en-CA"/>
              </w:rPr>
            </w:pPr>
            <w:r w:rsidRPr="00C70433">
              <w:rPr>
                <w:sz w:val="19"/>
                <w:szCs w:val="19"/>
                <w:lang w:val="en-CA" w:eastAsia="en-CA"/>
              </w:rPr>
              <w:t>Government decisions/endorsements/ changes in the NOU/structural change</w:t>
            </w:r>
          </w:p>
        </w:tc>
        <w:tc>
          <w:tcPr>
            <w:tcW w:w="5812" w:type="dxa"/>
          </w:tcPr>
          <w:p w:rsidR="00234D9B" w:rsidRPr="00C70433" w:rsidRDefault="00234D9B" w:rsidP="007A69A7">
            <w:pPr>
              <w:rPr>
                <w:sz w:val="19"/>
                <w:szCs w:val="19"/>
                <w:lang w:val="en-CA" w:eastAsia="en-CA"/>
              </w:rPr>
            </w:pPr>
            <w:r w:rsidRPr="00C70433">
              <w:rPr>
                <w:sz w:val="19"/>
                <w:szCs w:val="19"/>
                <w:lang w:val="en-CA"/>
              </w:rPr>
              <w:t xml:space="preserve">Noting the delays due to structural changes within the Government and the NOU and urging the Government of the Congo to work with </w:t>
            </w:r>
            <w:r w:rsidRPr="00C70433">
              <w:rPr>
                <w:sz w:val="19"/>
                <w:szCs w:val="19"/>
                <w:lang w:val="en-CA" w:eastAsia="en-CA"/>
              </w:rPr>
              <w:t>UNEP</w:t>
            </w:r>
            <w:r w:rsidRPr="00C70433">
              <w:rPr>
                <w:sz w:val="19"/>
                <w:szCs w:val="19"/>
                <w:lang w:val="en-CA"/>
              </w:rPr>
              <w:t xml:space="preserve"> so that the fourth (2018) tranche of stage I of the HPMP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2018 and subsequent tranches.</w:t>
            </w:r>
          </w:p>
        </w:tc>
      </w:tr>
      <w:tr w:rsidR="00234D9B" w:rsidRPr="00C70433" w:rsidTr="007A69A7">
        <w:trPr>
          <w:trHeight w:val="656"/>
        </w:trPr>
        <w:tc>
          <w:tcPr>
            <w:tcW w:w="1560" w:type="dxa"/>
            <w:vMerge w:val="restart"/>
            <w:hideMark/>
          </w:tcPr>
          <w:p w:rsidR="00234D9B" w:rsidRPr="00C70433" w:rsidRDefault="00234D9B" w:rsidP="007A69A7">
            <w:pPr>
              <w:jc w:val="left"/>
              <w:rPr>
                <w:sz w:val="19"/>
                <w:szCs w:val="19"/>
                <w:lang w:val="en-CA" w:eastAsia="en-CA"/>
              </w:rPr>
            </w:pPr>
            <w:r w:rsidRPr="00C70433">
              <w:rPr>
                <w:sz w:val="19"/>
                <w:szCs w:val="19"/>
                <w:lang w:val="en-CA" w:eastAsia="en-CA"/>
              </w:rPr>
              <w:lastRenderedPageBreak/>
              <w:t xml:space="preserve">Cote d’Ivoire </w:t>
            </w:r>
            <w:r>
              <w:rPr>
                <w:sz w:val="19"/>
                <w:szCs w:val="19"/>
                <w:lang w:val="en-CA" w:eastAsia="en-CA"/>
              </w:rPr>
              <w:t>(</w:t>
            </w:r>
            <w:r w:rsidRPr="00C70433">
              <w:rPr>
                <w:sz w:val="19"/>
                <w:szCs w:val="19"/>
                <w:lang w:val="en-CA" w:eastAsia="en-CA"/>
              </w:rPr>
              <w:t>Stage I)</w:t>
            </w:r>
          </w:p>
          <w:p w:rsidR="00234D9B" w:rsidRPr="00C70433" w:rsidRDefault="00234D9B" w:rsidP="007A69A7">
            <w:pPr>
              <w:jc w:val="left"/>
              <w:rPr>
                <w:sz w:val="19"/>
                <w:szCs w:val="19"/>
                <w:lang w:val="en-CA" w:eastAsia="en-CA"/>
              </w:rPr>
            </w:pPr>
          </w:p>
        </w:tc>
        <w:tc>
          <w:tcPr>
            <w:tcW w:w="1276" w:type="dxa"/>
            <w:hideMark/>
          </w:tcPr>
          <w:p w:rsidR="00234D9B" w:rsidRPr="00C70433" w:rsidRDefault="00234D9B" w:rsidP="007A69A7">
            <w:pPr>
              <w:jc w:val="left"/>
              <w:rPr>
                <w:sz w:val="19"/>
                <w:szCs w:val="19"/>
                <w:lang w:val="en-CA" w:eastAsia="en-CA"/>
              </w:rPr>
            </w:pPr>
            <w:r w:rsidRPr="00C70433">
              <w:rPr>
                <w:sz w:val="19"/>
                <w:szCs w:val="19"/>
                <w:lang w:val="en-CA" w:eastAsia="en-CA"/>
              </w:rPr>
              <w:t>UNEP</w:t>
            </w:r>
          </w:p>
        </w:tc>
        <w:tc>
          <w:tcPr>
            <w:tcW w:w="879" w:type="dxa"/>
            <w:hideMark/>
          </w:tcPr>
          <w:p w:rsidR="00234D9B" w:rsidRPr="00C70433" w:rsidRDefault="00234D9B" w:rsidP="007A69A7">
            <w:pPr>
              <w:jc w:val="center"/>
              <w:rPr>
                <w:sz w:val="19"/>
                <w:szCs w:val="19"/>
                <w:lang w:val="en-CA" w:eastAsia="en-CA"/>
              </w:rPr>
            </w:pPr>
            <w:r w:rsidRPr="00C70433">
              <w:rPr>
                <w:sz w:val="19"/>
                <w:szCs w:val="19"/>
                <w:lang w:val="en-CA" w:eastAsia="en-CA"/>
              </w:rPr>
              <w:t>2016</w:t>
            </w:r>
          </w:p>
        </w:tc>
        <w:tc>
          <w:tcPr>
            <w:tcW w:w="1275" w:type="dxa"/>
            <w:hideMark/>
          </w:tcPr>
          <w:p w:rsidR="00234D9B" w:rsidRPr="00C70433" w:rsidRDefault="00234D9B" w:rsidP="007A69A7">
            <w:pPr>
              <w:jc w:val="right"/>
              <w:rPr>
                <w:sz w:val="19"/>
                <w:szCs w:val="19"/>
                <w:lang w:val="en-CA" w:eastAsia="en-CA"/>
              </w:rPr>
            </w:pPr>
            <w:r w:rsidRPr="00C70433">
              <w:rPr>
                <w:sz w:val="19"/>
                <w:szCs w:val="19"/>
                <w:lang w:val="en-CA" w:eastAsia="en-CA"/>
              </w:rPr>
              <w:t>168,156</w:t>
            </w:r>
          </w:p>
        </w:tc>
        <w:tc>
          <w:tcPr>
            <w:tcW w:w="3373" w:type="dxa"/>
            <w:vMerge w:val="restart"/>
            <w:hideMark/>
          </w:tcPr>
          <w:p w:rsidR="00234D9B" w:rsidRPr="00C70433" w:rsidRDefault="00234D9B" w:rsidP="007A69A7">
            <w:pPr>
              <w:keepNext/>
              <w:keepLines/>
              <w:rPr>
                <w:sz w:val="19"/>
                <w:szCs w:val="19"/>
                <w:lang w:val="en-CA" w:eastAsia="en-CA"/>
              </w:rPr>
            </w:pPr>
            <w:r w:rsidRPr="00C70433">
              <w:rPr>
                <w:sz w:val="19"/>
                <w:szCs w:val="19"/>
                <w:lang w:val="en-CA" w:eastAsia="en-CA"/>
              </w:rPr>
              <w:t>Lack of verification report</w:t>
            </w:r>
          </w:p>
        </w:tc>
        <w:tc>
          <w:tcPr>
            <w:tcW w:w="5812" w:type="dxa"/>
            <w:vMerge w:val="restart"/>
          </w:tcPr>
          <w:p w:rsidR="00234D9B" w:rsidRPr="00C70433" w:rsidRDefault="00234D9B" w:rsidP="007A69A7">
            <w:pPr>
              <w:rPr>
                <w:sz w:val="19"/>
                <w:szCs w:val="19"/>
                <w:lang w:val="en-CA"/>
              </w:rPr>
            </w:pPr>
            <w:r w:rsidRPr="00C70433">
              <w:rPr>
                <w:sz w:val="19"/>
                <w:szCs w:val="19"/>
                <w:lang w:val="en-CA"/>
              </w:rPr>
              <w:t xml:space="preserve">Noting that the mandatory verification on HCFC consumption targets had not been completed and urging the Government of Cote d’Ivoire to work with </w:t>
            </w:r>
            <w:r w:rsidRPr="00C70433">
              <w:rPr>
                <w:sz w:val="19"/>
                <w:szCs w:val="19"/>
                <w:lang w:val="en-CA" w:eastAsia="en-CA"/>
              </w:rPr>
              <w:t>UNEP</w:t>
            </w:r>
            <w:r w:rsidRPr="00C70433">
              <w:rPr>
                <w:sz w:val="19"/>
                <w:szCs w:val="19"/>
                <w:lang w:val="en-CA"/>
              </w:rPr>
              <w:t xml:space="preserve"> and UNIDO to complete the verification so that the third (2016) tranche of stage I of the HPMP could be submitted to the 84</w:t>
            </w:r>
            <w:r w:rsidRPr="00C70433">
              <w:rPr>
                <w:sz w:val="19"/>
                <w:szCs w:val="19"/>
                <w:vertAlign w:val="superscript"/>
                <w:lang w:val="en-CA"/>
              </w:rPr>
              <w:t>th</w:t>
            </w:r>
            <w:r>
              <w:rPr>
                <w:sz w:val="19"/>
                <w:szCs w:val="19"/>
                <w:lang w:val="en-CA"/>
              </w:rPr>
              <w:t> </w:t>
            </w:r>
            <w:r w:rsidRPr="00C70433">
              <w:rPr>
                <w:sz w:val="19"/>
                <w:szCs w:val="19"/>
                <w:lang w:val="en-CA"/>
              </w:rPr>
              <w:t>meeting with a revised plan of action to take into account the reallocation of the 2016 and subsequent tranches.</w:t>
            </w:r>
          </w:p>
        </w:tc>
      </w:tr>
      <w:tr w:rsidR="00234D9B" w:rsidRPr="00C70433" w:rsidTr="007A69A7">
        <w:trPr>
          <w:trHeight w:val="656"/>
        </w:trPr>
        <w:tc>
          <w:tcPr>
            <w:tcW w:w="1560" w:type="dxa"/>
            <w:vMerge/>
            <w:hideMark/>
          </w:tcPr>
          <w:p w:rsidR="00234D9B" w:rsidRPr="00C70433" w:rsidRDefault="00234D9B" w:rsidP="007A69A7">
            <w:pPr>
              <w:jc w:val="left"/>
              <w:rPr>
                <w:sz w:val="19"/>
                <w:szCs w:val="19"/>
                <w:lang w:val="en-CA" w:eastAsia="en-CA"/>
              </w:rPr>
            </w:pPr>
          </w:p>
        </w:tc>
        <w:tc>
          <w:tcPr>
            <w:tcW w:w="1276" w:type="dxa"/>
            <w:hideMark/>
          </w:tcPr>
          <w:p w:rsidR="00234D9B" w:rsidRPr="00C70433" w:rsidRDefault="00234D9B" w:rsidP="007A69A7">
            <w:pPr>
              <w:jc w:val="left"/>
              <w:rPr>
                <w:sz w:val="19"/>
                <w:szCs w:val="19"/>
                <w:lang w:val="en-CA" w:eastAsia="en-CA"/>
              </w:rPr>
            </w:pPr>
            <w:r w:rsidRPr="00C70433">
              <w:rPr>
                <w:sz w:val="19"/>
                <w:szCs w:val="19"/>
                <w:lang w:val="en-CA" w:eastAsia="en-CA"/>
              </w:rPr>
              <w:t>UNIDO</w:t>
            </w:r>
          </w:p>
        </w:tc>
        <w:tc>
          <w:tcPr>
            <w:tcW w:w="879" w:type="dxa"/>
            <w:hideMark/>
          </w:tcPr>
          <w:p w:rsidR="00234D9B" w:rsidRPr="00C70433" w:rsidRDefault="00234D9B" w:rsidP="007A69A7">
            <w:pPr>
              <w:jc w:val="center"/>
              <w:rPr>
                <w:sz w:val="19"/>
                <w:szCs w:val="19"/>
                <w:lang w:val="en-CA" w:eastAsia="en-CA"/>
              </w:rPr>
            </w:pPr>
            <w:r w:rsidRPr="00C70433">
              <w:rPr>
                <w:sz w:val="19"/>
                <w:szCs w:val="19"/>
                <w:lang w:val="en-CA" w:eastAsia="en-CA"/>
              </w:rPr>
              <w:t>2016</w:t>
            </w:r>
          </w:p>
        </w:tc>
        <w:tc>
          <w:tcPr>
            <w:tcW w:w="1275" w:type="dxa"/>
            <w:hideMark/>
          </w:tcPr>
          <w:p w:rsidR="00234D9B" w:rsidRPr="00C70433" w:rsidRDefault="00234D9B" w:rsidP="007A69A7">
            <w:pPr>
              <w:jc w:val="right"/>
              <w:rPr>
                <w:sz w:val="19"/>
                <w:szCs w:val="19"/>
                <w:lang w:val="en-CA" w:eastAsia="en-CA"/>
              </w:rPr>
            </w:pPr>
            <w:r w:rsidRPr="00C70433">
              <w:rPr>
                <w:sz w:val="19"/>
                <w:szCs w:val="19"/>
                <w:lang w:val="en-CA" w:eastAsia="en-CA"/>
              </w:rPr>
              <w:t>492,200</w:t>
            </w:r>
          </w:p>
        </w:tc>
        <w:tc>
          <w:tcPr>
            <w:tcW w:w="3373" w:type="dxa"/>
            <w:vMerge/>
            <w:hideMark/>
          </w:tcPr>
          <w:p w:rsidR="00234D9B" w:rsidRPr="00C70433" w:rsidRDefault="00234D9B" w:rsidP="007A69A7">
            <w:pPr>
              <w:keepNext/>
              <w:keepLines/>
              <w:rPr>
                <w:sz w:val="19"/>
                <w:szCs w:val="19"/>
                <w:lang w:val="en-CA" w:eastAsia="en-CA"/>
              </w:rPr>
            </w:pPr>
          </w:p>
        </w:tc>
        <w:tc>
          <w:tcPr>
            <w:tcW w:w="5812" w:type="dxa"/>
            <w:vMerge/>
          </w:tcPr>
          <w:p w:rsidR="00234D9B" w:rsidRPr="00C70433" w:rsidRDefault="00234D9B" w:rsidP="007A69A7">
            <w:pPr>
              <w:rPr>
                <w:sz w:val="19"/>
                <w:szCs w:val="19"/>
                <w:lang w:val="en-CA" w:eastAsia="en-CA"/>
              </w:rPr>
            </w:pPr>
          </w:p>
        </w:tc>
      </w:tr>
      <w:tr w:rsidR="00234D9B" w:rsidRPr="00C70433" w:rsidTr="007A69A7">
        <w:trPr>
          <w:trHeight w:val="161"/>
        </w:trPr>
        <w:tc>
          <w:tcPr>
            <w:tcW w:w="1560" w:type="dxa"/>
            <w:hideMark/>
          </w:tcPr>
          <w:p w:rsidR="00234D9B" w:rsidRDefault="00234D9B" w:rsidP="007A69A7">
            <w:pPr>
              <w:jc w:val="left"/>
              <w:rPr>
                <w:sz w:val="19"/>
                <w:szCs w:val="19"/>
                <w:lang w:val="en-CA" w:eastAsia="en-CA"/>
              </w:rPr>
            </w:pPr>
            <w:r w:rsidRPr="00C70433">
              <w:rPr>
                <w:sz w:val="19"/>
                <w:szCs w:val="19"/>
                <w:lang w:val="en-CA" w:eastAsia="en-CA"/>
              </w:rPr>
              <w:t>Dominica</w:t>
            </w:r>
            <w:r>
              <w:rPr>
                <w:sz w:val="19"/>
                <w:szCs w:val="19"/>
                <w:lang w:val="en-CA" w:eastAsia="en-CA"/>
              </w:rPr>
              <w:t xml:space="preserve"> </w:t>
            </w:r>
          </w:p>
          <w:p w:rsidR="00234D9B" w:rsidRPr="00C70433" w:rsidRDefault="00234D9B" w:rsidP="007A69A7">
            <w:pPr>
              <w:jc w:val="left"/>
              <w:rPr>
                <w:sz w:val="19"/>
                <w:szCs w:val="19"/>
                <w:lang w:val="en-CA" w:eastAsia="en-CA"/>
              </w:rPr>
            </w:pPr>
            <w:r w:rsidRPr="00C70433">
              <w:rPr>
                <w:sz w:val="19"/>
                <w:szCs w:val="19"/>
                <w:lang w:val="en-CA" w:eastAsia="en-CA"/>
              </w:rPr>
              <w:t xml:space="preserve">(Stage I) </w:t>
            </w:r>
          </w:p>
        </w:tc>
        <w:tc>
          <w:tcPr>
            <w:tcW w:w="1276" w:type="dxa"/>
            <w:hideMark/>
          </w:tcPr>
          <w:p w:rsidR="00234D9B" w:rsidRPr="00C70433" w:rsidRDefault="00234D9B" w:rsidP="007A69A7">
            <w:pPr>
              <w:jc w:val="left"/>
              <w:rPr>
                <w:sz w:val="19"/>
                <w:szCs w:val="19"/>
                <w:lang w:val="en-CA" w:eastAsia="en-CA"/>
              </w:rPr>
            </w:pPr>
            <w:r w:rsidRPr="00C70433">
              <w:rPr>
                <w:sz w:val="19"/>
                <w:szCs w:val="19"/>
                <w:lang w:val="en-CA" w:eastAsia="en-CA"/>
              </w:rPr>
              <w:t>UNEP</w:t>
            </w:r>
          </w:p>
        </w:tc>
        <w:tc>
          <w:tcPr>
            <w:tcW w:w="879" w:type="dxa"/>
            <w:hideMark/>
          </w:tcPr>
          <w:p w:rsidR="00234D9B" w:rsidRPr="00C70433" w:rsidRDefault="00234D9B" w:rsidP="007A69A7">
            <w:pPr>
              <w:jc w:val="center"/>
              <w:rPr>
                <w:sz w:val="19"/>
                <w:szCs w:val="19"/>
                <w:lang w:val="en-CA" w:eastAsia="en-CA"/>
              </w:rPr>
            </w:pPr>
            <w:r w:rsidRPr="00C70433">
              <w:rPr>
                <w:sz w:val="19"/>
                <w:szCs w:val="19"/>
                <w:lang w:val="en-CA" w:eastAsia="en-CA"/>
              </w:rPr>
              <w:t>2016</w:t>
            </w:r>
          </w:p>
        </w:tc>
        <w:tc>
          <w:tcPr>
            <w:tcW w:w="1275" w:type="dxa"/>
            <w:hideMark/>
          </w:tcPr>
          <w:p w:rsidR="00234D9B" w:rsidRPr="00C70433" w:rsidRDefault="00234D9B" w:rsidP="007A69A7">
            <w:pPr>
              <w:jc w:val="right"/>
              <w:rPr>
                <w:sz w:val="19"/>
                <w:szCs w:val="19"/>
                <w:lang w:val="en-CA" w:eastAsia="en-CA"/>
              </w:rPr>
            </w:pPr>
            <w:r w:rsidRPr="00C70433">
              <w:rPr>
                <w:sz w:val="19"/>
                <w:szCs w:val="19"/>
                <w:lang w:val="en-CA" w:eastAsia="en-CA"/>
              </w:rPr>
              <w:t>74,354</w:t>
            </w:r>
          </w:p>
        </w:tc>
        <w:tc>
          <w:tcPr>
            <w:tcW w:w="3373" w:type="dxa"/>
            <w:hideMark/>
          </w:tcPr>
          <w:p w:rsidR="00234D9B" w:rsidRPr="00C70433" w:rsidRDefault="00234D9B" w:rsidP="007A69A7">
            <w:pPr>
              <w:keepNext/>
              <w:keepLines/>
              <w:rPr>
                <w:sz w:val="19"/>
                <w:szCs w:val="19"/>
                <w:lang w:val="en-CA" w:eastAsia="en-CA"/>
              </w:rPr>
            </w:pPr>
            <w:r w:rsidRPr="00C70433">
              <w:rPr>
                <w:sz w:val="19"/>
                <w:szCs w:val="19"/>
                <w:lang w:val="en-CA" w:eastAsia="en-CA"/>
              </w:rPr>
              <w:t>Government decisions/endorsements/ changes in the NOU/structural change/ lack of verification report/internal or external difficulties</w:t>
            </w:r>
          </w:p>
        </w:tc>
        <w:tc>
          <w:tcPr>
            <w:tcW w:w="5812" w:type="dxa"/>
          </w:tcPr>
          <w:p w:rsidR="00234D9B" w:rsidRPr="00C70433" w:rsidRDefault="00234D9B" w:rsidP="007A69A7">
            <w:pPr>
              <w:rPr>
                <w:sz w:val="19"/>
                <w:szCs w:val="19"/>
                <w:lang w:val="en-CA"/>
              </w:rPr>
            </w:pPr>
            <w:r w:rsidRPr="00C70433">
              <w:rPr>
                <w:sz w:val="19"/>
                <w:szCs w:val="19"/>
                <w:lang w:val="en-CA"/>
              </w:rPr>
              <w:t xml:space="preserve">Noting the delays due to structural changes within the Government and the NOU and that the mandatory verification on HCFC consumption targets had not been completed, and urging the Government of Dominica to work with </w:t>
            </w:r>
            <w:r w:rsidRPr="00C70433">
              <w:rPr>
                <w:sz w:val="19"/>
                <w:szCs w:val="19"/>
                <w:lang w:val="en-CA" w:eastAsia="en-CA"/>
              </w:rPr>
              <w:t>UNEP</w:t>
            </w:r>
            <w:r w:rsidRPr="00C70433">
              <w:rPr>
                <w:sz w:val="19"/>
                <w:szCs w:val="19"/>
                <w:lang w:val="en-CA"/>
              </w:rPr>
              <w:t xml:space="preserve"> to complete the verification so that the second (2016) tranche of stage I of the HPMP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2016 and subsequent tranches, noting decision XXIX/19 on special considerations for the Caribbean islands affected by hurricanes.</w:t>
            </w:r>
          </w:p>
        </w:tc>
      </w:tr>
      <w:tr w:rsidR="00234D9B" w:rsidRPr="00C70433" w:rsidTr="007A69A7">
        <w:trPr>
          <w:trHeight w:val="300"/>
        </w:trPr>
        <w:tc>
          <w:tcPr>
            <w:tcW w:w="1560" w:type="dxa"/>
            <w:vMerge w:val="restart"/>
          </w:tcPr>
          <w:p w:rsidR="00234D9B" w:rsidRPr="00C70433" w:rsidRDefault="00234D9B" w:rsidP="007A69A7">
            <w:pPr>
              <w:keepNext/>
              <w:keepLines/>
              <w:jc w:val="left"/>
              <w:rPr>
                <w:sz w:val="19"/>
                <w:szCs w:val="19"/>
                <w:lang w:val="en-CA" w:eastAsia="en-CA"/>
              </w:rPr>
            </w:pPr>
            <w:r w:rsidRPr="00C70433">
              <w:rPr>
                <w:sz w:val="19"/>
                <w:szCs w:val="19"/>
                <w:lang w:val="en-CA" w:eastAsia="en-CA"/>
              </w:rPr>
              <w:t>Egypt (Stage II)</w:t>
            </w: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Germany</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2019</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234,249</w:t>
            </w:r>
          </w:p>
        </w:tc>
        <w:tc>
          <w:tcPr>
            <w:tcW w:w="3373" w:type="dxa"/>
          </w:tcPr>
          <w:p w:rsidR="00234D9B" w:rsidRPr="00C70433" w:rsidRDefault="00234D9B" w:rsidP="007A69A7">
            <w:pPr>
              <w:keepNext/>
              <w:keepLines/>
              <w:rPr>
                <w:sz w:val="19"/>
                <w:szCs w:val="19"/>
                <w:lang w:val="en-CA" w:eastAsia="en-CA"/>
              </w:rPr>
            </w:pPr>
            <w:r w:rsidRPr="00C70433">
              <w:rPr>
                <w:sz w:val="19"/>
                <w:szCs w:val="19"/>
                <w:lang w:val="en-CA" w:eastAsia="en-CA"/>
              </w:rPr>
              <w:t xml:space="preserve">Not </w:t>
            </w:r>
            <w:r>
              <w:rPr>
                <w:sz w:val="19"/>
                <w:szCs w:val="19"/>
                <w:lang w:val="en-CA" w:eastAsia="en-CA"/>
              </w:rPr>
              <w:t>p</w:t>
            </w:r>
            <w:r w:rsidRPr="00C70433">
              <w:rPr>
                <w:sz w:val="19"/>
                <w:szCs w:val="19"/>
                <w:lang w:val="en-CA" w:eastAsia="en-CA"/>
              </w:rPr>
              <w:t>rovided</w:t>
            </w:r>
          </w:p>
        </w:tc>
        <w:tc>
          <w:tcPr>
            <w:tcW w:w="5812" w:type="dxa"/>
            <w:vMerge w:val="restart"/>
          </w:tcPr>
          <w:p w:rsidR="00234D9B" w:rsidRPr="00C70433" w:rsidRDefault="00234D9B" w:rsidP="007A69A7">
            <w:pPr>
              <w:keepNext/>
              <w:keepLines/>
              <w:rPr>
                <w:sz w:val="19"/>
                <w:szCs w:val="19"/>
                <w:lang w:val="en-CA"/>
              </w:rPr>
            </w:pPr>
            <w:r w:rsidRPr="00C70433">
              <w:rPr>
                <w:sz w:val="19"/>
                <w:szCs w:val="19"/>
                <w:lang w:val="en-CA"/>
              </w:rPr>
              <w:t xml:space="preserve">Noting that the overall disbursement rate of the first (2017) tranche of stage II of the HPMP was below the 20 per cent disbursement threshold </w:t>
            </w:r>
            <w:r>
              <w:rPr>
                <w:sz w:val="19"/>
                <w:szCs w:val="19"/>
                <w:lang w:val="en-CA"/>
              </w:rPr>
              <w:t xml:space="preserve">and </w:t>
            </w:r>
            <w:r w:rsidRPr="00C70433">
              <w:rPr>
                <w:sz w:val="19"/>
                <w:szCs w:val="19"/>
                <w:lang w:val="en-CA"/>
              </w:rPr>
              <w:t xml:space="preserve">urging the Government of Egypt to work with </w:t>
            </w:r>
            <w:r>
              <w:rPr>
                <w:sz w:val="19"/>
                <w:szCs w:val="19"/>
                <w:lang w:val="en-CA"/>
              </w:rPr>
              <w:t xml:space="preserve">the </w:t>
            </w:r>
            <w:r w:rsidRPr="00C70433">
              <w:rPr>
                <w:sz w:val="19"/>
                <w:szCs w:val="19"/>
                <w:lang w:val="en-CA"/>
              </w:rPr>
              <w:t>Government of Germany, UNDP, UNEP and UNIDO to expedite implementation so that the second (2019) tranche could be submitted to the 84</w:t>
            </w:r>
            <w:r w:rsidRPr="00C70433">
              <w:rPr>
                <w:sz w:val="19"/>
                <w:szCs w:val="19"/>
                <w:vertAlign w:val="superscript"/>
                <w:lang w:val="en-CA"/>
              </w:rPr>
              <w:t>th</w:t>
            </w:r>
            <w:r w:rsidRPr="00C70433">
              <w:rPr>
                <w:sz w:val="19"/>
                <w:szCs w:val="19"/>
                <w:lang w:val="en-CA"/>
              </w:rPr>
              <w:t xml:space="preserve"> meeting on the understanding that the 20 per cent disbursement threshold for funding of the previous tranche had been achieved.</w:t>
            </w:r>
          </w:p>
        </w:tc>
      </w:tr>
      <w:tr w:rsidR="00234D9B" w:rsidRPr="00C70433" w:rsidTr="007A69A7">
        <w:trPr>
          <w:trHeight w:val="300"/>
        </w:trPr>
        <w:tc>
          <w:tcPr>
            <w:tcW w:w="1560" w:type="dxa"/>
            <w:vMerge/>
          </w:tcPr>
          <w:p w:rsidR="00234D9B" w:rsidRPr="00C70433" w:rsidRDefault="00234D9B" w:rsidP="007A69A7">
            <w:pPr>
              <w:keepNext/>
              <w:keepLines/>
              <w:jc w:val="left"/>
              <w:rPr>
                <w:sz w:val="19"/>
                <w:szCs w:val="19"/>
                <w:lang w:val="en-CA" w:eastAsia="en-CA"/>
              </w:rPr>
            </w:pP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UNDP</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2019</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1,965,323</w:t>
            </w:r>
          </w:p>
        </w:tc>
        <w:tc>
          <w:tcPr>
            <w:tcW w:w="3373" w:type="dxa"/>
          </w:tcPr>
          <w:p w:rsidR="00234D9B" w:rsidRPr="00C70433" w:rsidRDefault="00234D9B" w:rsidP="007A69A7">
            <w:pPr>
              <w:keepNext/>
              <w:keepLines/>
              <w:rPr>
                <w:sz w:val="19"/>
                <w:szCs w:val="19"/>
                <w:lang w:val="en-CA" w:eastAsia="en-CA"/>
              </w:rPr>
            </w:pPr>
            <w:r w:rsidRPr="00C70433">
              <w:rPr>
                <w:sz w:val="19"/>
                <w:szCs w:val="19"/>
                <w:lang w:val="en-CA" w:eastAsia="en-CA"/>
              </w:rPr>
              <w:t>20 per cent disbursement threshold</w:t>
            </w:r>
          </w:p>
        </w:tc>
        <w:tc>
          <w:tcPr>
            <w:tcW w:w="5812" w:type="dxa"/>
            <w:vMerge/>
          </w:tcPr>
          <w:p w:rsidR="00234D9B" w:rsidRPr="00C70433" w:rsidRDefault="00234D9B" w:rsidP="007A69A7">
            <w:pPr>
              <w:keepNext/>
              <w:keepLines/>
              <w:rPr>
                <w:sz w:val="19"/>
                <w:szCs w:val="19"/>
                <w:lang w:val="en-CA"/>
              </w:rPr>
            </w:pPr>
          </w:p>
        </w:tc>
      </w:tr>
      <w:tr w:rsidR="00234D9B" w:rsidRPr="00C70433" w:rsidTr="007A69A7">
        <w:trPr>
          <w:trHeight w:val="300"/>
        </w:trPr>
        <w:tc>
          <w:tcPr>
            <w:tcW w:w="1560" w:type="dxa"/>
            <w:vMerge/>
          </w:tcPr>
          <w:p w:rsidR="00234D9B" w:rsidRPr="00C70433" w:rsidRDefault="00234D9B" w:rsidP="007A69A7">
            <w:pPr>
              <w:keepNext/>
              <w:keepLines/>
              <w:jc w:val="left"/>
              <w:rPr>
                <w:sz w:val="19"/>
                <w:szCs w:val="19"/>
                <w:lang w:val="en-CA" w:eastAsia="en-CA"/>
              </w:rPr>
            </w:pP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UNEP</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2019</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312,894</w:t>
            </w:r>
          </w:p>
        </w:tc>
        <w:tc>
          <w:tcPr>
            <w:tcW w:w="3373" w:type="dxa"/>
          </w:tcPr>
          <w:p w:rsidR="00234D9B" w:rsidRPr="00C70433" w:rsidRDefault="00234D9B" w:rsidP="007A69A7">
            <w:pPr>
              <w:keepNext/>
              <w:keepLines/>
              <w:rPr>
                <w:sz w:val="19"/>
                <w:szCs w:val="19"/>
                <w:lang w:val="en-CA" w:eastAsia="en-CA"/>
              </w:rPr>
            </w:pPr>
            <w:r w:rsidRPr="00C70433">
              <w:rPr>
                <w:sz w:val="19"/>
                <w:szCs w:val="19"/>
                <w:lang w:val="en-CA" w:eastAsia="en-CA"/>
              </w:rPr>
              <w:t>Submission of progress and financial reports</w:t>
            </w:r>
          </w:p>
        </w:tc>
        <w:tc>
          <w:tcPr>
            <w:tcW w:w="5812" w:type="dxa"/>
            <w:vMerge/>
          </w:tcPr>
          <w:p w:rsidR="00234D9B" w:rsidRPr="00C70433" w:rsidRDefault="00234D9B" w:rsidP="007A69A7">
            <w:pPr>
              <w:keepNext/>
              <w:keepLines/>
              <w:rPr>
                <w:sz w:val="19"/>
                <w:szCs w:val="19"/>
                <w:lang w:val="en-CA"/>
              </w:rPr>
            </w:pPr>
          </w:p>
        </w:tc>
      </w:tr>
      <w:tr w:rsidR="00234D9B" w:rsidRPr="00C70433" w:rsidTr="007A69A7">
        <w:trPr>
          <w:trHeight w:val="300"/>
        </w:trPr>
        <w:tc>
          <w:tcPr>
            <w:tcW w:w="1560" w:type="dxa"/>
            <w:vMerge/>
          </w:tcPr>
          <w:p w:rsidR="00234D9B" w:rsidRPr="00C70433" w:rsidRDefault="00234D9B" w:rsidP="007A69A7">
            <w:pPr>
              <w:keepNext/>
              <w:keepLines/>
              <w:jc w:val="left"/>
              <w:rPr>
                <w:sz w:val="19"/>
                <w:szCs w:val="19"/>
                <w:lang w:val="en-CA" w:eastAsia="en-CA"/>
              </w:rPr>
            </w:pP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UNIDO</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2019</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807,850</w:t>
            </w:r>
          </w:p>
        </w:tc>
        <w:tc>
          <w:tcPr>
            <w:tcW w:w="3373" w:type="dxa"/>
          </w:tcPr>
          <w:p w:rsidR="00234D9B" w:rsidRPr="00C70433" w:rsidRDefault="00234D9B" w:rsidP="007A69A7">
            <w:pPr>
              <w:keepNext/>
              <w:keepLines/>
              <w:rPr>
                <w:sz w:val="19"/>
                <w:szCs w:val="19"/>
                <w:lang w:val="en-CA" w:eastAsia="en-CA"/>
              </w:rPr>
            </w:pPr>
            <w:r w:rsidRPr="00C70433">
              <w:rPr>
                <w:sz w:val="19"/>
                <w:szCs w:val="19"/>
                <w:lang w:val="en-CA" w:eastAsia="en-CA"/>
              </w:rPr>
              <w:t>20 per cent disbursement threshold</w:t>
            </w:r>
          </w:p>
        </w:tc>
        <w:tc>
          <w:tcPr>
            <w:tcW w:w="5812" w:type="dxa"/>
            <w:vMerge/>
          </w:tcPr>
          <w:p w:rsidR="00234D9B" w:rsidRPr="00C70433" w:rsidRDefault="00234D9B" w:rsidP="007A69A7">
            <w:pPr>
              <w:keepNext/>
              <w:keepLines/>
              <w:rPr>
                <w:sz w:val="19"/>
                <w:szCs w:val="19"/>
                <w:lang w:val="en-CA"/>
              </w:rPr>
            </w:pPr>
          </w:p>
        </w:tc>
      </w:tr>
      <w:tr w:rsidR="00234D9B" w:rsidRPr="00C70433" w:rsidTr="007A69A7">
        <w:trPr>
          <w:trHeight w:val="300"/>
        </w:trPr>
        <w:tc>
          <w:tcPr>
            <w:tcW w:w="1560" w:type="dxa"/>
          </w:tcPr>
          <w:p w:rsidR="00234D9B" w:rsidRPr="00C70433" w:rsidRDefault="00234D9B" w:rsidP="007A69A7">
            <w:pPr>
              <w:jc w:val="left"/>
              <w:rPr>
                <w:sz w:val="19"/>
                <w:szCs w:val="19"/>
                <w:lang w:val="en-CA" w:eastAsia="en-CA"/>
              </w:rPr>
            </w:pPr>
            <w:r w:rsidRPr="00C70433">
              <w:rPr>
                <w:sz w:val="19"/>
                <w:szCs w:val="19"/>
                <w:lang w:val="en-CA" w:eastAsia="en-CA"/>
              </w:rPr>
              <w:t>Ghana (Stage I)</w:t>
            </w:r>
          </w:p>
        </w:tc>
        <w:tc>
          <w:tcPr>
            <w:tcW w:w="1276" w:type="dxa"/>
          </w:tcPr>
          <w:p w:rsidR="00234D9B" w:rsidRPr="00C70433" w:rsidRDefault="00234D9B" w:rsidP="007A69A7">
            <w:pPr>
              <w:rPr>
                <w:sz w:val="19"/>
                <w:szCs w:val="19"/>
                <w:lang w:val="en-CA" w:eastAsia="en-CA"/>
              </w:rPr>
            </w:pPr>
            <w:r w:rsidRPr="00C70433">
              <w:rPr>
                <w:sz w:val="19"/>
                <w:szCs w:val="19"/>
                <w:lang w:val="en-CA" w:eastAsia="en-CA"/>
              </w:rPr>
              <w:t>UNDP</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2019</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130,409</w:t>
            </w:r>
          </w:p>
        </w:tc>
        <w:tc>
          <w:tcPr>
            <w:tcW w:w="3373" w:type="dxa"/>
          </w:tcPr>
          <w:p w:rsidR="00234D9B" w:rsidRPr="00C70433" w:rsidRDefault="00234D9B" w:rsidP="007A69A7">
            <w:pPr>
              <w:rPr>
                <w:color w:val="FF0000"/>
                <w:sz w:val="16"/>
                <w:szCs w:val="16"/>
                <w:lang w:val="en-CA"/>
              </w:rPr>
            </w:pPr>
            <w:r w:rsidRPr="00C70433">
              <w:rPr>
                <w:sz w:val="19"/>
                <w:szCs w:val="19"/>
                <w:lang w:val="en-CA" w:eastAsia="en-CA"/>
              </w:rPr>
              <w:t>20 per cent disbursement threshold</w:t>
            </w:r>
          </w:p>
        </w:tc>
        <w:tc>
          <w:tcPr>
            <w:tcW w:w="5812" w:type="dxa"/>
          </w:tcPr>
          <w:p w:rsidR="00234D9B" w:rsidRPr="00C70433" w:rsidRDefault="00234D9B" w:rsidP="007A69A7">
            <w:pPr>
              <w:keepNext/>
              <w:keepLines/>
              <w:rPr>
                <w:sz w:val="19"/>
                <w:szCs w:val="19"/>
                <w:lang w:val="en-CA"/>
              </w:rPr>
            </w:pPr>
            <w:r w:rsidRPr="00C70433">
              <w:rPr>
                <w:sz w:val="19"/>
                <w:szCs w:val="19"/>
                <w:lang w:val="en-CA"/>
              </w:rPr>
              <w:t xml:space="preserve">Noting that the overall disbursement rate of the fifth (2018) tranche of stage I of the HPMP was below the 20 per cent disbursement threshold </w:t>
            </w:r>
            <w:r>
              <w:rPr>
                <w:sz w:val="19"/>
                <w:szCs w:val="19"/>
                <w:lang w:val="en-CA"/>
              </w:rPr>
              <w:t xml:space="preserve">and </w:t>
            </w:r>
            <w:r w:rsidRPr="00C70433">
              <w:rPr>
                <w:sz w:val="19"/>
                <w:szCs w:val="19"/>
                <w:lang w:val="en-CA"/>
              </w:rPr>
              <w:t>urging the Government of Ghana to work with UNDP to expedite implementation so that the sixth (2019) tranche could be submitted to the 84</w:t>
            </w:r>
            <w:r w:rsidRPr="00C70433">
              <w:rPr>
                <w:sz w:val="19"/>
                <w:szCs w:val="19"/>
                <w:vertAlign w:val="superscript"/>
                <w:lang w:val="en-CA"/>
              </w:rPr>
              <w:t>th</w:t>
            </w:r>
            <w:r w:rsidRPr="00C70433">
              <w:rPr>
                <w:sz w:val="19"/>
                <w:szCs w:val="19"/>
                <w:lang w:val="en-CA"/>
              </w:rPr>
              <w:t xml:space="preserve"> meeting on the understanding that the 20 per cent disbursement threshold for funding of the previous tranche had been achieved.</w:t>
            </w:r>
          </w:p>
        </w:tc>
      </w:tr>
      <w:tr w:rsidR="00234D9B" w:rsidRPr="00C70433" w:rsidTr="007A69A7">
        <w:trPr>
          <w:trHeight w:val="677"/>
        </w:trPr>
        <w:tc>
          <w:tcPr>
            <w:tcW w:w="1560" w:type="dxa"/>
            <w:vMerge w:val="restart"/>
            <w:hideMark/>
          </w:tcPr>
          <w:p w:rsidR="00234D9B" w:rsidRPr="00C70433" w:rsidRDefault="00234D9B" w:rsidP="007A69A7">
            <w:pPr>
              <w:jc w:val="left"/>
              <w:rPr>
                <w:sz w:val="19"/>
                <w:szCs w:val="19"/>
                <w:lang w:val="en-CA" w:eastAsia="en-CA"/>
              </w:rPr>
            </w:pPr>
            <w:r w:rsidRPr="00C70433">
              <w:rPr>
                <w:sz w:val="19"/>
                <w:szCs w:val="19"/>
                <w:lang w:val="en-CA" w:eastAsia="en-CA"/>
              </w:rPr>
              <w:t>Guinea</w:t>
            </w:r>
            <w:r>
              <w:rPr>
                <w:sz w:val="19"/>
                <w:szCs w:val="19"/>
                <w:lang w:val="en-CA" w:eastAsia="en-CA"/>
              </w:rPr>
              <w:t xml:space="preserve"> </w:t>
            </w:r>
            <w:r w:rsidRPr="00C70433">
              <w:rPr>
                <w:sz w:val="19"/>
                <w:szCs w:val="19"/>
                <w:lang w:val="en-CA" w:eastAsia="en-CA"/>
              </w:rPr>
              <w:t>(Stage I)</w:t>
            </w:r>
          </w:p>
          <w:p w:rsidR="00234D9B" w:rsidRPr="00C70433" w:rsidRDefault="00234D9B" w:rsidP="007A69A7">
            <w:pPr>
              <w:jc w:val="left"/>
              <w:rPr>
                <w:sz w:val="19"/>
                <w:szCs w:val="19"/>
                <w:lang w:val="en-CA" w:eastAsia="en-CA"/>
              </w:rPr>
            </w:pPr>
          </w:p>
        </w:tc>
        <w:tc>
          <w:tcPr>
            <w:tcW w:w="1276" w:type="dxa"/>
            <w:hideMark/>
          </w:tcPr>
          <w:p w:rsidR="00234D9B" w:rsidRPr="00C70433" w:rsidRDefault="00234D9B" w:rsidP="007A69A7">
            <w:pPr>
              <w:jc w:val="left"/>
              <w:rPr>
                <w:sz w:val="19"/>
                <w:szCs w:val="19"/>
                <w:lang w:val="en-CA" w:eastAsia="en-CA"/>
              </w:rPr>
            </w:pPr>
            <w:r w:rsidRPr="00C70433">
              <w:rPr>
                <w:sz w:val="19"/>
                <w:szCs w:val="19"/>
                <w:lang w:val="en-CA" w:eastAsia="en-CA"/>
              </w:rPr>
              <w:t>UNIDO</w:t>
            </w:r>
          </w:p>
        </w:tc>
        <w:tc>
          <w:tcPr>
            <w:tcW w:w="879" w:type="dxa"/>
            <w:hideMark/>
          </w:tcPr>
          <w:p w:rsidR="00234D9B" w:rsidRPr="00C70433" w:rsidRDefault="00234D9B" w:rsidP="007A69A7">
            <w:pPr>
              <w:jc w:val="center"/>
              <w:rPr>
                <w:sz w:val="19"/>
                <w:szCs w:val="19"/>
                <w:lang w:val="en-CA" w:eastAsia="en-CA"/>
              </w:rPr>
            </w:pPr>
            <w:r w:rsidRPr="00C70433">
              <w:rPr>
                <w:sz w:val="19"/>
                <w:szCs w:val="19"/>
                <w:lang w:val="en-CA" w:eastAsia="en-CA"/>
              </w:rPr>
              <w:t>2016</w:t>
            </w:r>
          </w:p>
        </w:tc>
        <w:tc>
          <w:tcPr>
            <w:tcW w:w="1275" w:type="dxa"/>
            <w:hideMark/>
          </w:tcPr>
          <w:p w:rsidR="00234D9B" w:rsidRPr="00C70433" w:rsidRDefault="00234D9B" w:rsidP="007A69A7">
            <w:pPr>
              <w:jc w:val="right"/>
              <w:rPr>
                <w:sz w:val="19"/>
                <w:szCs w:val="19"/>
                <w:lang w:val="en-CA" w:eastAsia="en-CA"/>
              </w:rPr>
            </w:pPr>
            <w:r w:rsidRPr="00C70433">
              <w:rPr>
                <w:sz w:val="19"/>
                <w:szCs w:val="19"/>
                <w:lang w:val="en-CA" w:eastAsia="en-CA"/>
              </w:rPr>
              <w:t>172,000</w:t>
            </w:r>
          </w:p>
        </w:tc>
        <w:tc>
          <w:tcPr>
            <w:tcW w:w="3373" w:type="dxa"/>
            <w:vMerge w:val="restart"/>
            <w:hideMark/>
          </w:tcPr>
          <w:p w:rsidR="00234D9B" w:rsidRPr="00C70433" w:rsidRDefault="00234D9B" w:rsidP="007A69A7">
            <w:pPr>
              <w:rPr>
                <w:sz w:val="19"/>
                <w:szCs w:val="19"/>
                <w:lang w:val="en-CA" w:eastAsia="en-CA"/>
              </w:rPr>
            </w:pPr>
            <w:r w:rsidRPr="00C70433">
              <w:rPr>
                <w:sz w:val="19"/>
                <w:szCs w:val="19"/>
                <w:lang w:val="en-CA" w:eastAsia="en-CA"/>
              </w:rPr>
              <w:t>Government decisions/endorsements/ changes in the NOU/structural change</w:t>
            </w:r>
            <w:r>
              <w:rPr>
                <w:sz w:val="19"/>
                <w:szCs w:val="19"/>
                <w:lang w:val="en-CA" w:eastAsia="en-CA"/>
              </w:rPr>
              <w:t xml:space="preserve"> </w:t>
            </w:r>
            <w:r w:rsidRPr="00C70433">
              <w:rPr>
                <w:sz w:val="19"/>
                <w:szCs w:val="19"/>
                <w:lang w:val="en-CA" w:eastAsia="en-CA"/>
              </w:rPr>
              <w:t>/lack of verification report</w:t>
            </w:r>
          </w:p>
        </w:tc>
        <w:tc>
          <w:tcPr>
            <w:tcW w:w="5812" w:type="dxa"/>
            <w:vMerge w:val="restart"/>
          </w:tcPr>
          <w:p w:rsidR="00234D9B" w:rsidRPr="00C70433" w:rsidRDefault="00234D9B" w:rsidP="007A69A7">
            <w:pPr>
              <w:rPr>
                <w:sz w:val="19"/>
                <w:szCs w:val="19"/>
                <w:lang w:val="en-CA" w:eastAsia="en-CA"/>
              </w:rPr>
            </w:pPr>
            <w:r w:rsidRPr="00C70433">
              <w:rPr>
                <w:sz w:val="19"/>
                <w:szCs w:val="19"/>
                <w:lang w:val="en-CA"/>
              </w:rPr>
              <w:t>Noting the delays due to the changes within the NOU and</w:t>
            </w:r>
            <w:r>
              <w:rPr>
                <w:sz w:val="19"/>
                <w:szCs w:val="19"/>
                <w:lang w:val="en-CA"/>
              </w:rPr>
              <w:t xml:space="preserve"> that</w:t>
            </w:r>
            <w:r w:rsidRPr="00C70433">
              <w:rPr>
                <w:sz w:val="19"/>
                <w:szCs w:val="19"/>
                <w:lang w:val="en-CA"/>
              </w:rPr>
              <w:t xml:space="preserve"> the mandatory verification on HCFC consumption targets had not been completed and urging the Government of Guinea to work with </w:t>
            </w:r>
            <w:r w:rsidRPr="00C70433">
              <w:rPr>
                <w:sz w:val="19"/>
                <w:szCs w:val="19"/>
                <w:lang w:val="en-CA" w:eastAsia="en-CA"/>
              </w:rPr>
              <w:t>UNEP and UNIDO</w:t>
            </w:r>
            <w:r w:rsidRPr="00C70433">
              <w:rPr>
                <w:sz w:val="19"/>
                <w:szCs w:val="19"/>
                <w:lang w:val="en-CA"/>
              </w:rPr>
              <w:t xml:space="preserve"> to complete the verification so that the third (2016) tranche of stage I of the HPMP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2016 and subsequent tranches.</w:t>
            </w:r>
          </w:p>
        </w:tc>
      </w:tr>
      <w:tr w:rsidR="00234D9B" w:rsidRPr="00C70433" w:rsidTr="007A69A7">
        <w:trPr>
          <w:trHeight w:val="385"/>
        </w:trPr>
        <w:tc>
          <w:tcPr>
            <w:tcW w:w="1560" w:type="dxa"/>
            <w:vMerge/>
            <w:hideMark/>
          </w:tcPr>
          <w:p w:rsidR="00234D9B" w:rsidRPr="00C70433" w:rsidRDefault="00234D9B" w:rsidP="007A69A7">
            <w:pPr>
              <w:jc w:val="left"/>
              <w:rPr>
                <w:sz w:val="19"/>
                <w:szCs w:val="19"/>
                <w:lang w:val="en-CA" w:eastAsia="en-CA"/>
              </w:rPr>
            </w:pPr>
          </w:p>
        </w:tc>
        <w:tc>
          <w:tcPr>
            <w:tcW w:w="1276" w:type="dxa"/>
            <w:hideMark/>
          </w:tcPr>
          <w:p w:rsidR="00234D9B" w:rsidRPr="00C70433" w:rsidRDefault="00234D9B" w:rsidP="007A69A7">
            <w:pPr>
              <w:jc w:val="left"/>
              <w:rPr>
                <w:sz w:val="19"/>
                <w:szCs w:val="19"/>
                <w:lang w:val="en-CA" w:eastAsia="en-CA"/>
              </w:rPr>
            </w:pPr>
            <w:r w:rsidRPr="00C70433">
              <w:rPr>
                <w:sz w:val="19"/>
                <w:szCs w:val="19"/>
                <w:lang w:val="en-CA" w:eastAsia="en-CA"/>
              </w:rPr>
              <w:t>UNEP</w:t>
            </w:r>
          </w:p>
        </w:tc>
        <w:tc>
          <w:tcPr>
            <w:tcW w:w="879" w:type="dxa"/>
            <w:hideMark/>
          </w:tcPr>
          <w:p w:rsidR="00234D9B" w:rsidRPr="00C70433" w:rsidRDefault="00234D9B" w:rsidP="007A69A7">
            <w:pPr>
              <w:jc w:val="center"/>
              <w:rPr>
                <w:sz w:val="19"/>
                <w:szCs w:val="19"/>
                <w:lang w:val="en-CA" w:eastAsia="en-CA"/>
              </w:rPr>
            </w:pPr>
            <w:r w:rsidRPr="00C70433">
              <w:rPr>
                <w:sz w:val="19"/>
                <w:szCs w:val="19"/>
                <w:lang w:val="en-CA" w:eastAsia="en-CA"/>
              </w:rPr>
              <w:t>2016</w:t>
            </w:r>
          </w:p>
        </w:tc>
        <w:tc>
          <w:tcPr>
            <w:tcW w:w="1275" w:type="dxa"/>
            <w:hideMark/>
          </w:tcPr>
          <w:p w:rsidR="00234D9B" w:rsidRPr="00C70433" w:rsidRDefault="00234D9B" w:rsidP="007A69A7">
            <w:pPr>
              <w:jc w:val="right"/>
              <w:rPr>
                <w:sz w:val="19"/>
                <w:szCs w:val="19"/>
                <w:lang w:val="en-CA" w:eastAsia="en-CA"/>
              </w:rPr>
            </w:pPr>
            <w:r w:rsidRPr="00C70433">
              <w:rPr>
                <w:sz w:val="19"/>
                <w:szCs w:val="19"/>
                <w:lang w:val="en-CA" w:eastAsia="en-CA"/>
              </w:rPr>
              <w:t>73,450</w:t>
            </w:r>
          </w:p>
        </w:tc>
        <w:tc>
          <w:tcPr>
            <w:tcW w:w="3373" w:type="dxa"/>
            <w:vMerge/>
          </w:tcPr>
          <w:p w:rsidR="00234D9B" w:rsidRPr="00C70433" w:rsidRDefault="00234D9B" w:rsidP="007A69A7">
            <w:pPr>
              <w:rPr>
                <w:sz w:val="19"/>
                <w:szCs w:val="19"/>
                <w:lang w:val="en-CA" w:eastAsia="en-CA"/>
              </w:rPr>
            </w:pPr>
          </w:p>
        </w:tc>
        <w:tc>
          <w:tcPr>
            <w:tcW w:w="5812" w:type="dxa"/>
            <w:vMerge/>
          </w:tcPr>
          <w:p w:rsidR="00234D9B" w:rsidRPr="00C70433" w:rsidRDefault="00234D9B" w:rsidP="007A69A7">
            <w:pPr>
              <w:rPr>
                <w:sz w:val="19"/>
                <w:szCs w:val="19"/>
                <w:lang w:val="en-CA" w:eastAsia="en-CA"/>
              </w:rPr>
            </w:pPr>
          </w:p>
        </w:tc>
      </w:tr>
      <w:tr w:rsidR="00234D9B" w:rsidRPr="00C70433" w:rsidTr="007A69A7">
        <w:trPr>
          <w:trHeight w:val="638"/>
        </w:trPr>
        <w:tc>
          <w:tcPr>
            <w:tcW w:w="1560" w:type="dxa"/>
            <w:shd w:val="clear" w:color="auto" w:fill="auto"/>
          </w:tcPr>
          <w:p w:rsidR="00234D9B" w:rsidRPr="00C70433" w:rsidRDefault="00234D9B" w:rsidP="007A69A7">
            <w:pPr>
              <w:jc w:val="left"/>
              <w:rPr>
                <w:sz w:val="19"/>
                <w:szCs w:val="19"/>
                <w:lang w:val="en-CA" w:eastAsia="en-CA"/>
              </w:rPr>
            </w:pPr>
            <w:r w:rsidRPr="00C70433">
              <w:rPr>
                <w:sz w:val="19"/>
                <w:szCs w:val="19"/>
                <w:lang w:val="en-CA" w:eastAsia="en-CA"/>
              </w:rPr>
              <w:t>Haiti (Stage I)</w:t>
            </w:r>
          </w:p>
        </w:tc>
        <w:tc>
          <w:tcPr>
            <w:tcW w:w="1276" w:type="dxa"/>
            <w:shd w:val="clear" w:color="auto" w:fill="auto"/>
          </w:tcPr>
          <w:p w:rsidR="00234D9B" w:rsidRPr="00C70433" w:rsidRDefault="00234D9B" w:rsidP="007A69A7">
            <w:pPr>
              <w:jc w:val="left"/>
              <w:rPr>
                <w:sz w:val="19"/>
                <w:szCs w:val="19"/>
                <w:lang w:val="en-CA" w:eastAsia="en-CA"/>
              </w:rPr>
            </w:pPr>
            <w:r w:rsidRPr="00C70433">
              <w:rPr>
                <w:sz w:val="19"/>
                <w:szCs w:val="19"/>
                <w:lang w:val="en-CA" w:eastAsia="en-CA"/>
              </w:rPr>
              <w:t>UNEP</w:t>
            </w:r>
          </w:p>
          <w:p w:rsidR="00234D9B" w:rsidRPr="00C70433" w:rsidRDefault="00234D9B" w:rsidP="007A69A7">
            <w:pPr>
              <w:jc w:val="left"/>
              <w:rPr>
                <w:sz w:val="19"/>
                <w:szCs w:val="19"/>
                <w:lang w:val="en-CA" w:eastAsia="en-CA"/>
              </w:rPr>
            </w:pPr>
          </w:p>
        </w:tc>
        <w:tc>
          <w:tcPr>
            <w:tcW w:w="879" w:type="dxa"/>
            <w:shd w:val="clear" w:color="auto" w:fill="auto"/>
          </w:tcPr>
          <w:p w:rsidR="00234D9B" w:rsidRPr="00C70433" w:rsidRDefault="00234D9B" w:rsidP="007A69A7">
            <w:pPr>
              <w:jc w:val="center"/>
              <w:rPr>
                <w:sz w:val="19"/>
                <w:szCs w:val="19"/>
                <w:lang w:val="en-CA" w:eastAsia="en-CA"/>
              </w:rPr>
            </w:pPr>
            <w:r w:rsidRPr="00C70433">
              <w:rPr>
                <w:sz w:val="19"/>
                <w:szCs w:val="19"/>
                <w:lang w:val="en-CA" w:eastAsia="en-CA"/>
              </w:rPr>
              <w:t>2018</w:t>
            </w:r>
          </w:p>
        </w:tc>
        <w:tc>
          <w:tcPr>
            <w:tcW w:w="1275" w:type="dxa"/>
            <w:shd w:val="clear" w:color="auto" w:fill="auto"/>
          </w:tcPr>
          <w:p w:rsidR="00234D9B" w:rsidRPr="00C70433" w:rsidRDefault="00234D9B" w:rsidP="007A69A7">
            <w:pPr>
              <w:jc w:val="right"/>
              <w:rPr>
                <w:sz w:val="19"/>
                <w:szCs w:val="19"/>
                <w:lang w:val="en-CA" w:eastAsia="en-CA"/>
              </w:rPr>
            </w:pPr>
            <w:r w:rsidRPr="00C70433">
              <w:rPr>
                <w:sz w:val="19"/>
                <w:szCs w:val="19"/>
                <w:lang w:val="en-CA" w:eastAsia="en-CA"/>
              </w:rPr>
              <w:t>95,916</w:t>
            </w:r>
          </w:p>
        </w:tc>
        <w:tc>
          <w:tcPr>
            <w:tcW w:w="3373" w:type="dxa"/>
            <w:shd w:val="clear" w:color="auto" w:fill="auto"/>
          </w:tcPr>
          <w:p w:rsidR="00234D9B" w:rsidRPr="00C70433" w:rsidRDefault="00234D9B" w:rsidP="007A69A7">
            <w:pPr>
              <w:rPr>
                <w:sz w:val="16"/>
                <w:szCs w:val="16"/>
                <w:lang w:val="en-CA"/>
              </w:rPr>
            </w:pPr>
            <w:r w:rsidRPr="00C70433">
              <w:rPr>
                <w:sz w:val="19"/>
                <w:szCs w:val="19"/>
                <w:lang w:val="en-CA" w:eastAsia="en-CA"/>
              </w:rPr>
              <w:t>Government decisions/endorsements/ changes in the NOU/structural change</w:t>
            </w:r>
            <w:r>
              <w:rPr>
                <w:sz w:val="19"/>
                <w:szCs w:val="19"/>
                <w:lang w:val="en-CA" w:eastAsia="en-CA"/>
              </w:rPr>
              <w:t xml:space="preserve"> </w:t>
            </w:r>
            <w:r w:rsidRPr="00C70433">
              <w:rPr>
                <w:sz w:val="19"/>
                <w:szCs w:val="19"/>
                <w:lang w:val="en-CA" w:eastAsia="en-CA"/>
              </w:rPr>
              <w:t>/signing of agreement/project document</w:t>
            </w:r>
            <w:r>
              <w:rPr>
                <w:sz w:val="19"/>
                <w:szCs w:val="19"/>
                <w:lang w:val="en-CA" w:eastAsia="en-CA"/>
              </w:rPr>
              <w:t xml:space="preserve"> </w:t>
            </w:r>
            <w:r w:rsidRPr="00C70433">
              <w:rPr>
                <w:sz w:val="19"/>
                <w:szCs w:val="19"/>
                <w:lang w:val="en-CA" w:eastAsia="en-CA"/>
              </w:rPr>
              <w:t>/20 per cent disbursement threshold</w:t>
            </w:r>
          </w:p>
        </w:tc>
        <w:tc>
          <w:tcPr>
            <w:tcW w:w="5812" w:type="dxa"/>
            <w:shd w:val="clear" w:color="auto" w:fill="auto"/>
          </w:tcPr>
          <w:p w:rsidR="00234D9B" w:rsidRPr="00C70433" w:rsidRDefault="00234D9B" w:rsidP="007A69A7">
            <w:pPr>
              <w:rPr>
                <w:sz w:val="19"/>
                <w:szCs w:val="19"/>
                <w:lang w:val="en-CA"/>
              </w:rPr>
            </w:pPr>
            <w:r w:rsidRPr="00C70433">
              <w:rPr>
                <w:sz w:val="19"/>
                <w:szCs w:val="19"/>
                <w:lang w:val="en-CA"/>
              </w:rPr>
              <w:t>Noting the delays in signing the agreement due to structural changes within the Government and the NOU and</w:t>
            </w:r>
            <w:r>
              <w:rPr>
                <w:sz w:val="19"/>
                <w:szCs w:val="19"/>
                <w:lang w:val="en-CA"/>
              </w:rPr>
              <w:t xml:space="preserve"> that</w:t>
            </w:r>
            <w:r w:rsidRPr="00C70433">
              <w:rPr>
                <w:sz w:val="19"/>
                <w:szCs w:val="19"/>
                <w:lang w:val="en-CA"/>
              </w:rPr>
              <w:t xml:space="preserve"> the overall disbursement rate of the second (2014) tranche of stage I of the HPMP was below the 20 per cent disbursement threshold and urging the Government of Haiti to work with </w:t>
            </w:r>
            <w:r w:rsidRPr="00C70433">
              <w:rPr>
                <w:sz w:val="19"/>
                <w:szCs w:val="19"/>
                <w:lang w:val="en-CA" w:eastAsia="en-CA"/>
              </w:rPr>
              <w:t xml:space="preserve">UNEP to expedite the signing of the agreement </w:t>
            </w:r>
            <w:r w:rsidRPr="00C70433">
              <w:rPr>
                <w:sz w:val="19"/>
                <w:szCs w:val="19"/>
                <w:lang w:val="en-CA"/>
              </w:rPr>
              <w:t xml:space="preserve">so that the third </w:t>
            </w:r>
            <w:r w:rsidRPr="00C70433">
              <w:rPr>
                <w:sz w:val="19"/>
                <w:szCs w:val="19"/>
                <w:lang w:val="en-CA"/>
              </w:rPr>
              <w:lastRenderedPageBreak/>
              <w:t>(2018) tranche of stage I of the HPMP could be submitted to the 84</w:t>
            </w:r>
            <w:r w:rsidRPr="00C70433">
              <w:rPr>
                <w:sz w:val="19"/>
                <w:szCs w:val="19"/>
                <w:vertAlign w:val="superscript"/>
                <w:lang w:val="en-CA"/>
              </w:rPr>
              <w:t>th</w:t>
            </w:r>
            <w:r>
              <w:rPr>
                <w:sz w:val="19"/>
                <w:szCs w:val="19"/>
                <w:lang w:val="en-CA"/>
              </w:rPr>
              <w:t> </w:t>
            </w:r>
            <w:r w:rsidRPr="00C70433">
              <w:rPr>
                <w:sz w:val="19"/>
                <w:szCs w:val="19"/>
                <w:lang w:val="en-CA"/>
              </w:rPr>
              <w:t>meeting with a revised plan of action to take into account the reallocation of the 2018 and subsequent tranches, on the understanding that the 20 per cent disbursement threshold for funding of the previous tranche had been achieved.</w:t>
            </w:r>
          </w:p>
        </w:tc>
      </w:tr>
      <w:tr w:rsidR="00234D9B" w:rsidRPr="00C70433" w:rsidTr="007A69A7">
        <w:trPr>
          <w:trHeight w:val="546"/>
        </w:trPr>
        <w:tc>
          <w:tcPr>
            <w:tcW w:w="1560" w:type="dxa"/>
            <w:vMerge w:val="restart"/>
            <w:shd w:val="clear" w:color="auto" w:fill="auto"/>
          </w:tcPr>
          <w:p w:rsidR="00234D9B" w:rsidRPr="00C70433" w:rsidRDefault="00234D9B" w:rsidP="007A69A7">
            <w:pPr>
              <w:keepNext/>
              <w:keepLines/>
              <w:jc w:val="left"/>
              <w:rPr>
                <w:sz w:val="19"/>
                <w:szCs w:val="19"/>
                <w:lang w:val="en-CA" w:eastAsia="en-CA"/>
              </w:rPr>
            </w:pPr>
            <w:r w:rsidRPr="00C70433">
              <w:rPr>
                <w:sz w:val="19"/>
                <w:szCs w:val="19"/>
                <w:lang w:val="en-CA" w:eastAsia="en-CA"/>
              </w:rPr>
              <w:lastRenderedPageBreak/>
              <w:t>Iran (Islamic Republic of) (Stage II)</w:t>
            </w:r>
          </w:p>
        </w:tc>
        <w:tc>
          <w:tcPr>
            <w:tcW w:w="1276" w:type="dxa"/>
            <w:shd w:val="clear" w:color="auto" w:fill="auto"/>
          </w:tcPr>
          <w:p w:rsidR="00234D9B" w:rsidRPr="00C70433" w:rsidRDefault="00234D9B" w:rsidP="007A69A7">
            <w:pPr>
              <w:keepNext/>
              <w:keepLines/>
              <w:jc w:val="left"/>
              <w:rPr>
                <w:sz w:val="19"/>
                <w:szCs w:val="19"/>
                <w:lang w:val="en-CA" w:eastAsia="en-CA"/>
              </w:rPr>
            </w:pPr>
            <w:r w:rsidRPr="00C70433">
              <w:rPr>
                <w:sz w:val="19"/>
                <w:szCs w:val="19"/>
                <w:lang w:val="en-CA" w:eastAsia="en-CA"/>
              </w:rPr>
              <w:t>Germany</w:t>
            </w:r>
          </w:p>
        </w:tc>
        <w:tc>
          <w:tcPr>
            <w:tcW w:w="879" w:type="dxa"/>
            <w:shd w:val="clear" w:color="auto" w:fill="auto"/>
          </w:tcPr>
          <w:p w:rsidR="00234D9B" w:rsidRPr="00C70433" w:rsidRDefault="00234D9B" w:rsidP="007A69A7">
            <w:pPr>
              <w:keepNext/>
              <w:keepLines/>
              <w:jc w:val="center"/>
              <w:rPr>
                <w:sz w:val="19"/>
                <w:szCs w:val="19"/>
                <w:lang w:val="en-CA" w:eastAsia="en-CA"/>
              </w:rPr>
            </w:pPr>
            <w:r w:rsidRPr="00C70433">
              <w:rPr>
                <w:sz w:val="19"/>
                <w:szCs w:val="19"/>
                <w:lang w:val="en-CA" w:eastAsia="en-CA"/>
              </w:rPr>
              <w:t>2018</w:t>
            </w:r>
          </w:p>
        </w:tc>
        <w:tc>
          <w:tcPr>
            <w:tcW w:w="1275" w:type="dxa"/>
            <w:shd w:val="clear" w:color="auto" w:fill="auto"/>
          </w:tcPr>
          <w:p w:rsidR="00234D9B" w:rsidRPr="00C70433" w:rsidRDefault="00234D9B" w:rsidP="007A69A7">
            <w:pPr>
              <w:keepNext/>
              <w:keepLines/>
              <w:jc w:val="right"/>
              <w:rPr>
                <w:sz w:val="19"/>
                <w:szCs w:val="19"/>
                <w:lang w:val="en-CA" w:eastAsia="en-CA"/>
              </w:rPr>
            </w:pPr>
            <w:r w:rsidRPr="00C70433">
              <w:rPr>
                <w:sz w:val="19"/>
                <w:szCs w:val="19"/>
                <w:lang w:val="en-CA" w:eastAsia="en-CA"/>
              </w:rPr>
              <w:t>1,166,127</w:t>
            </w:r>
          </w:p>
        </w:tc>
        <w:tc>
          <w:tcPr>
            <w:tcW w:w="3373" w:type="dxa"/>
            <w:shd w:val="clear" w:color="auto" w:fill="auto"/>
          </w:tcPr>
          <w:p w:rsidR="00234D9B" w:rsidRPr="00C70433" w:rsidRDefault="00234D9B" w:rsidP="007A69A7">
            <w:pPr>
              <w:rPr>
                <w:sz w:val="19"/>
                <w:szCs w:val="19"/>
                <w:lang w:val="en-CA" w:eastAsia="en-CA"/>
              </w:rPr>
            </w:pPr>
            <w:r>
              <w:rPr>
                <w:sz w:val="19"/>
                <w:szCs w:val="19"/>
                <w:lang w:val="en-CA" w:eastAsia="en-CA"/>
              </w:rPr>
              <w:t>Not a</w:t>
            </w:r>
            <w:r w:rsidRPr="00C70433">
              <w:rPr>
                <w:sz w:val="19"/>
                <w:szCs w:val="19"/>
                <w:lang w:val="en-CA" w:eastAsia="en-CA"/>
              </w:rPr>
              <w:t>pplicable</w:t>
            </w:r>
          </w:p>
        </w:tc>
        <w:tc>
          <w:tcPr>
            <w:tcW w:w="5812" w:type="dxa"/>
            <w:vMerge w:val="restart"/>
            <w:shd w:val="clear" w:color="auto" w:fill="auto"/>
          </w:tcPr>
          <w:p w:rsidR="00234D9B" w:rsidRPr="00C70433" w:rsidRDefault="00234D9B" w:rsidP="007A69A7">
            <w:pPr>
              <w:rPr>
                <w:sz w:val="19"/>
                <w:szCs w:val="19"/>
                <w:lang w:val="en-CA"/>
              </w:rPr>
            </w:pPr>
            <w:r w:rsidRPr="00C70433">
              <w:rPr>
                <w:sz w:val="19"/>
                <w:szCs w:val="19"/>
                <w:lang w:val="en-CA"/>
              </w:rPr>
              <w:t>Noting that the second (2018) tranche of stage II of the HPMP submitted to the 83</w:t>
            </w:r>
            <w:r w:rsidRPr="00C70433">
              <w:rPr>
                <w:sz w:val="19"/>
                <w:szCs w:val="19"/>
                <w:vertAlign w:val="superscript"/>
                <w:lang w:val="en-CA"/>
              </w:rPr>
              <w:t>rd</w:t>
            </w:r>
            <w:r w:rsidRPr="00C70433">
              <w:rPr>
                <w:sz w:val="19"/>
                <w:szCs w:val="19"/>
                <w:lang w:val="en-CA"/>
              </w:rPr>
              <w:t xml:space="preserve"> meeting had been withdrawn due to: </w:t>
            </w:r>
            <w:r>
              <w:rPr>
                <w:sz w:val="19"/>
                <w:szCs w:val="19"/>
                <w:lang w:val="en-CA"/>
              </w:rPr>
              <w:t>(</w:t>
            </w:r>
            <w:r w:rsidRPr="00C70433">
              <w:rPr>
                <w:sz w:val="19"/>
                <w:szCs w:val="19"/>
                <w:lang w:val="en-CA"/>
              </w:rPr>
              <w:t>a) non-compliance with</w:t>
            </w:r>
            <w:r>
              <w:rPr>
                <w:sz w:val="19"/>
                <w:szCs w:val="19"/>
                <w:lang w:val="en-CA"/>
              </w:rPr>
              <w:t xml:space="preserve"> decision 77/44</w:t>
            </w:r>
            <w:r w:rsidRPr="00C70433">
              <w:rPr>
                <w:sz w:val="19"/>
                <w:szCs w:val="19"/>
                <w:lang w:val="en-CA"/>
              </w:rPr>
              <w:t>(d), which requested to include in the submission a report on the results of the conversion of the first 15 enterprises in the refrigeration and air-conditioning manufacturing sector</w:t>
            </w:r>
            <w:r>
              <w:rPr>
                <w:sz w:val="19"/>
                <w:szCs w:val="19"/>
                <w:lang w:val="en-CA"/>
              </w:rPr>
              <w:t xml:space="preserve"> to low global</w:t>
            </w:r>
            <w:r>
              <w:rPr>
                <w:sz w:val="19"/>
                <w:szCs w:val="19"/>
                <w:lang w:val="en-CA"/>
              </w:rPr>
              <w:noBreakHyphen/>
            </w:r>
            <w:r w:rsidRPr="00C70433">
              <w:rPr>
                <w:sz w:val="19"/>
                <w:szCs w:val="19"/>
                <w:lang w:val="en-CA"/>
              </w:rPr>
              <w:t>warming</w:t>
            </w:r>
            <w:r>
              <w:rPr>
                <w:sz w:val="19"/>
                <w:szCs w:val="19"/>
                <w:lang w:val="en-CA"/>
              </w:rPr>
              <w:t xml:space="preserve"> </w:t>
            </w:r>
            <w:r w:rsidRPr="00C70433">
              <w:rPr>
                <w:sz w:val="19"/>
                <w:szCs w:val="19"/>
                <w:lang w:val="en-CA"/>
              </w:rPr>
              <w:t xml:space="preserve">potential alternatives, highlighting the lessons learned and challenges faced (UNDP); and </w:t>
            </w:r>
            <w:r>
              <w:rPr>
                <w:sz w:val="19"/>
                <w:szCs w:val="19"/>
                <w:lang w:val="en-CA"/>
              </w:rPr>
              <w:t>(</w:t>
            </w:r>
            <w:r w:rsidRPr="00C70433">
              <w:rPr>
                <w:sz w:val="19"/>
                <w:szCs w:val="19"/>
                <w:lang w:val="en-CA"/>
              </w:rPr>
              <w:t>b) justif</w:t>
            </w:r>
            <w:r>
              <w:rPr>
                <w:sz w:val="19"/>
                <w:szCs w:val="19"/>
                <w:lang w:val="en-CA"/>
              </w:rPr>
              <w:t>ication</w:t>
            </w:r>
            <w:r w:rsidRPr="00C70433">
              <w:rPr>
                <w:sz w:val="19"/>
                <w:szCs w:val="19"/>
                <w:lang w:val="en-CA"/>
              </w:rPr>
              <w:t xml:space="preserve"> </w:t>
            </w:r>
            <w:r>
              <w:rPr>
                <w:sz w:val="19"/>
                <w:szCs w:val="19"/>
                <w:lang w:val="en-CA"/>
              </w:rPr>
              <w:t xml:space="preserve">of </w:t>
            </w:r>
            <w:r w:rsidRPr="00C70433">
              <w:rPr>
                <w:sz w:val="19"/>
                <w:szCs w:val="19"/>
                <w:lang w:val="en-CA"/>
              </w:rPr>
              <w:t xml:space="preserve">the incremental cost of several changes that will take place in the foam sector plan (UNIDO); and urging the Government of Islamic Republic of Iran to work with the Governments of Germany and Italy, UNDP, UNEP and UNIDO to expedite implementation so </w:t>
            </w:r>
            <w:r w:rsidRPr="00BD7C5A">
              <w:rPr>
                <w:sz w:val="19"/>
                <w:szCs w:val="19"/>
                <w:lang w:val="en-CA"/>
              </w:rPr>
              <w:t>that the second tranche</w:t>
            </w:r>
            <w:r>
              <w:rPr>
                <w:sz w:val="19"/>
                <w:szCs w:val="19"/>
                <w:lang w:val="en-CA"/>
              </w:rPr>
              <w:t xml:space="preserve"> could be submitted to the 84</w:t>
            </w:r>
            <w:r w:rsidRPr="00226318">
              <w:rPr>
                <w:sz w:val="19"/>
                <w:szCs w:val="19"/>
                <w:vertAlign w:val="superscript"/>
                <w:lang w:val="en-CA"/>
              </w:rPr>
              <w:t>th</w:t>
            </w:r>
            <w:r>
              <w:rPr>
                <w:sz w:val="19"/>
                <w:szCs w:val="19"/>
                <w:lang w:val="en-CA"/>
              </w:rPr>
              <w:t> </w:t>
            </w:r>
            <w:r w:rsidRPr="00C70433">
              <w:rPr>
                <w:sz w:val="19"/>
                <w:szCs w:val="19"/>
                <w:lang w:val="en-CA"/>
              </w:rPr>
              <w:t xml:space="preserve">meeting with a revised plan of action to take into account the reallocation of the 2018 and subsequent tranches. </w:t>
            </w:r>
          </w:p>
        </w:tc>
      </w:tr>
      <w:tr w:rsidR="00234D9B" w:rsidRPr="00C70433" w:rsidTr="007A69A7">
        <w:trPr>
          <w:trHeight w:val="426"/>
        </w:trPr>
        <w:tc>
          <w:tcPr>
            <w:tcW w:w="1560" w:type="dxa"/>
            <w:vMerge/>
            <w:shd w:val="clear" w:color="auto" w:fill="auto"/>
          </w:tcPr>
          <w:p w:rsidR="00234D9B" w:rsidRPr="00C70433" w:rsidRDefault="00234D9B" w:rsidP="007A69A7">
            <w:pPr>
              <w:keepNext/>
              <w:keepLines/>
              <w:jc w:val="left"/>
              <w:rPr>
                <w:sz w:val="19"/>
                <w:szCs w:val="19"/>
                <w:lang w:val="en-CA" w:eastAsia="en-CA"/>
              </w:rPr>
            </w:pPr>
          </w:p>
        </w:tc>
        <w:tc>
          <w:tcPr>
            <w:tcW w:w="1276" w:type="dxa"/>
            <w:shd w:val="clear" w:color="auto" w:fill="auto"/>
          </w:tcPr>
          <w:p w:rsidR="00234D9B" w:rsidRPr="00C70433" w:rsidRDefault="00234D9B" w:rsidP="007A69A7">
            <w:pPr>
              <w:keepNext/>
              <w:keepLines/>
              <w:jc w:val="left"/>
              <w:rPr>
                <w:sz w:val="19"/>
                <w:szCs w:val="19"/>
                <w:lang w:val="en-CA" w:eastAsia="en-CA"/>
              </w:rPr>
            </w:pPr>
            <w:r w:rsidRPr="00C70433">
              <w:rPr>
                <w:sz w:val="19"/>
                <w:szCs w:val="19"/>
                <w:lang w:val="en-CA" w:eastAsia="en-CA"/>
              </w:rPr>
              <w:t>Italy</w:t>
            </w:r>
          </w:p>
        </w:tc>
        <w:tc>
          <w:tcPr>
            <w:tcW w:w="879" w:type="dxa"/>
            <w:shd w:val="clear" w:color="auto" w:fill="auto"/>
          </w:tcPr>
          <w:p w:rsidR="00234D9B" w:rsidRPr="00C70433" w:rsidRDefault="00234D9B" w:rsidP="007A69A7">
            <w:pPr>
              <w:keepNext/>
              <w:keepLines/>
              <w:jc w:val="center"/>
              <w:rPr>
                <w:sz w:val="19"/>
                <w:szCs w:val="19"/>
                <w:lang w:val="en-CA" w:eastAsia="en-CA"/>
              </w:rPr>
            </w:pPr>
            <w:r w:rsidRPr="00C70433">
              <w:rPr>
                <w:sz w:val="19"/>
                <w:szCs w:val="19"/>
                <w:lang w:val="en-CA" w:eastAsia="en-CA"/>
              </w:rPr>
              <w:t>2018</w:t>
            </w:r>
          </w:p>
        </w:tc>
        <w:tc>
          <w:tcPr>
            <w:tcW w:w="1275" w:type="dxa"/>
            <w:shd w:val="clear" w:color="auto" w:fill="auto"/>
          </w:tcPr>
          <w:p w:rsidR="00234D9B" w:rsidRPr="00C70433" w:rsidRDefault="00234D9B" w:rsidP="007A69A7">
            <w:pPr>
              <w:keepNext/>
              <w:keepLines/>
              <w:jc w:val="right"/>
              <w:rPr>
                <w:sz w:val="19"/>
                <w:szCs w:val="19"/>
                <w:lang w:val="en-CA" w:eastAsia="en-CA"/>
              </w:rPr>
            </w:pPr>
            <w:r w:rsidRPr="00C70433">
              <w:rPr>
                <w:sz w:val="19"/>
                <w:szCs w:val="19"/>
                <w:lang w:val="en-CA" w:eastAsia="en-CA"/>
              </w:rPr>
              <w:t>565,000</w:t>
            </w:r>
          </w:p>
        </w:tc>
        <w:tc>
          <w:tcPr>
            <w:tcW w:w="3373" w:type="dxa"/>
            <w:shd w:val="clear" w:color="auto" w:fill="auto"/>
          </w:tcPr>
          <w:p w:rsidR="00234D9B" w:rsidRPr="00C70433" w:rsidRDefault="00234D9B" w:rsidP="007A69A7">
            <w:pPr>
              <w:rPr>
                <w:sz w:val="19"/>
                <w:szCs w:val="19"/>
                <w:lang w:val="en-CA" w:eastAsia="en-CA"/>
              </w:rPr>
            </w:pPr>
            <w:r>
              <w:rPr>
                <w:sz w:val="19"/>
                <w:szCs w:val="19"/>
                <w:lang w:val="en-CA" w:eastAsia="en-CA"/>
              </w:rPr>
              <w:t>Not a</w:t>
            </w:r>
            <w:r w:rsidRPr="00C70433">
              <w:rPr>
                <w:sz w:val="19"/>
                <w:szCs w:val="19"/>
                <w:lang w:val="en-CA" w:eastAsia="en-CA"/>
              </w:rPr>
              <w:t>pplicable</w:t>
            </w:r>
          </w:p>
        </w:tc>
        <w:tc>
          <w:tcPr>
            <w:tcW w:w="5812" w:type="dxa"/>
            <w:vMerge/>
            <w:shd w:val="clear" w:color="auto" w:fill="auto"/>
          </w:tcPr>
          <w:p w:rsidR="00234D9B" w:rsidRPr="00C70433" w:rsidRDefault="00234D9B" w:rsidP="007A69A7">
            <w:pPr>
              <w:rPr>
                <w:sz w:val="19"/>
                <w:szCs w:val="19"/>
                <w:lang w:val="en-CA"/>
              </w:rPr>
            </w:pPr>
          </w:p>
        </w:tc>
      </w:tr>
      <w:tr w:rsidR="00234D9B" w:rsidRPr="00C70433" w:rsidTr="007A69A7">
        <w:trPr>
          <w:trHeight w:val="546"/>
        </w:trPr>
        <w:tc>
          <w:tcPr>
            <w:tcW w:w="1560" w:type="dxa"/>
            <w:vMerge/>
            <w:shd w:val="clear" w:color="auto" w:fill="auto"/>
          </w:tcPr>
          <w:p w:rsidR="00234D9B" w:rsidRPr="00C70433" w:rsidRDefault="00234D9B" w:rsidP="007A69A7">
            <w:pPr>
              <w:keepNext/>
              <w:keepLines/>
              <w:jc w:val="left"/>
              <w:rPr>
                <w:sz w:val="19"/>
                <w:szCs w:val="19"/>
                <w:lang w:val="en-CA" w:eastAsia="en-CA"/>
              </w:rPr>
            </w:pPr>
          </w:p>
        </w:tc>
        <w:tc>
          <w:tcPr>
            <w:tcW w:w="1276" w:type="dxa"/>
            <w:shd w:val="clear" w:color="auto" w:fill="auto"/>
          </w:tcPr>
          <w:p w:rsidR="00234D9B" w:rsidRPr="00C70433" w:rsidRDefault="00234D9B" w:rsidP="007A69A7">
            <w:pPr>
              <w:keepNext/>
              <w:keepLines/>
              <w:jc w:val="left"/>
              <w:rPr>
                <w:sz w:val="19"/>
                <w:szCs w:val="19"/>
                <w:lang w:val="en-CA" w:eastAsia="en-CA"/>
              </w:rPr>
            </w:pPr>
            <w:r w:rsidRPr="00C70433">
              <w:rPr>
                <w:sz w:val="19"/>
                <w:szCs w:val="19"/>
                <w:lang w:val="en-CA" w:eastAsia="en-CA"/>
              </w:rPr>
              <w:t>UNDP</w:t>
            </w:r>
          </w:p>
        </w:tc>
        <w:tc>
          <w:tcPr>
            <w:tcW w:w="879" w:type="dxa"/>
            <w:shd w:val="clear" w:color="auto" w:fill="auto"/>
          </w:tcPr>
          <w:p w:rsidR="00234D9B" w:rsidRPr="00C70433" w:rsidRDefault="00234D9B" w:rsidP="007A69A7">
            <w:pPr>
              <w:keepNext/>
              <w:keepLines/>
              <w:jc w:val="center"/>
              <w:rPr>
                <w:sz w:val="19"/>
                <w:szCs w:val="19"/>
                <w:lang w:val="en-CA" w:eastAsia="en-CA"/>
              </w:rPr>
            </w:pPr>
            <w:r w:rsidRPr="00C70433">
              <w:rPr>
                <w:sz w:val="19"/>
                <w:szCs w:val="19"/>
                <w:lang w:val="en-CA" w:eastAsia="en-CA"/>
              </w:rPr>
              <w:t>2018</w:t>
            </w:r>
          </w:p>
        </w:tc>
        <w:tc>
          <w:tcPr>
            <w:tcW w:w="1275" w:type="dxa"/>
            <w:shd w:val="clear" w:color="auto" w:fill="auto"/>
          </w:tcPr>
          <w:p w:rsidR="00234D9B" w:rsidRPr="00C70433" w:rsidRDefault="00234D9B" w:rsidP="007A69A7">
            <w:pPr>
              <w:keepNext/>
              <w:keepLines/>
              <w:jc w:val="right"/>
              <w:rPr>
                <w:sz w:val="19"/>
                <w:szCs w:val="19"/>
                <w:lang w:val="en-CA" w:eastAsia="en-CA"/>
              </w:rPr>
            </w:pPr>
            <w:r w:rsidRPr="00C70433">
              <w:rPr>
                <w:sz w:val="19"/>
                <w:szCs w:val="19"/>
                <w:lang w:val="en-CA" w:eastAsia="en-CA"/>
              </w:rPr>
              <w:t>1,705,559</w:t>
            </w:r>
          </w:p>
        </w:tc>
        <w:tc>
          <w:tcPr>
            <w:tcW w:w="3373" w:type="dxa"/>
            <w:shd w:val="clear" w:color="auto" w:fill="auto"/>
          </w:tcPr>
          <w:p w:rsidR="00234D9B" w:rsidRPr="00C70433" w:rsidRDefault="00234D9B" w:rsidP="007A69A7">
            <w:pPr>
              <w:rPr>
                <w:sz w:val="19"/>
                <w:szCs w:val="19"/>
                <w:lang w:val="en-CA" w:eastAsia="en-CA"/>
              </w:rPr>
            </w:pPr>
            <w:r w:rsidRPr="00C70433">
              <w:rPr>
                <w:sz w:val="19"/>
                <w:szCs w:val="19"/>
                <w:lang w:val="en-CA" w:eastAsia="en-CA"/>
              </w:rPr>
              <w:t>Non-compliance with decision 77/44(d)</w:t>
            </w:r>
          </w:p>
        </w:tc>
        <w:tc>
          <w:tcPr>
            <w:tcW w:w="5812" w:type="dxa"/>
            <w:vMerge/>
            <w:shd w:val="clear" w:color="auto" w:fill="auto"/>
          </w:tcPr>
          <w:p w:rsidR="00234D9B" w:rsidRPr="00C70433" w:rsidRDefault="00234D9B" w:rsidP="007A69A7">
            <w:pPr>
              <w:rPr>
                <w:sz w:val="19"/>
                <w:szCs w:val="19"/>
                <w:lang w:val="en-CA"/>
              </w:rPr>
            </w:pPr>
          </w:p>
        </w:tc>
      </w:tr>
      <w:tr w:rsidR="00234D9B" w:rsidRPr="00C70433" w:rsidTr="007A69A7">
        <w:trPr>
          <w:trHeight w:val="552"/>
        </w:trPr>
        <w:tc>
          <w:tcPr>
            <w:tcW w:w="1560" w:type="dxa"/>
            <w:vMerge/>
            <w:shd w:val="clear" w:color="auto" w:fill="auto"/>
          </w:tcPr>
          <w:p w:rsidR="00234D9B" w:rsidRPr="00C70433" w:rsidRDefault="00234D9B" w:rsidP="007A69A7">
            <w:pPr>
              <w:keepNext/>
              <w:keepLines/>
              <w:jc w:val="left"/>
              <w:rPr>
                <w:sz w:val="19"/>
                <w:szCs w:val="19"/>
                <w:lang w:val="en-CA" w:eastAsia="en-CA"/>
              </w:rPr>
            </w:pPr>
          </w:p>
        </w:tc>
        <w:tc>
          <w:tcPr>
            <w:tcW w:w="1276" w:type="dxa"/>
            <w:shd w:val="clear" w:color="auto" w:fill="auto"/>
          </w:tcPr>
          <w:p w:rsidR="00234D9B" w:rsidRPr="00C70433" w:rsidRDefault="00234D9B" w:rsidP="007A69A7">
            <w:pPr>
              <w:keepNext/>
              <w:keepLines/>
              <w:jc w:val="left"/>
              <w:rPr>
                <w:sz w:val="19"/>
                <w:szCs w:val="19"/>
                <w:lang w:val="en-CA" w:eastAsia="en-CA"/>
              </w:rPr>
            </w:pPr>
            <w:r w:rsidRPr="00C70433">
              <w:rPr>
                <w:sz w:val="19"/>
                <w:szCs w:val="19"/>
                <w:lang w:val="en-CA" w:eastAsia="en-CA"/>
              </w:rPr>
              <w:t>UNEP</w:t>
            </w:r>
          </w:p>
        </w:tc>
        <w:tc>
          <w:tcPr>
            <w:tcW w:w="879" w:type="dxa"/>
            <w:shd w:val="clear" w:color="auto" w:fill="auto"/>
          </w:tcPr>
          <w:p w:rsidR="00234D9B" w:rsidRPr="00C70433" w:rsidRDefault="00234D9B" w:rsidP="007A69A7">
            <w:pPr>
              <w:keepNext/>
              <w:keepLines/>
              <w:jc w:val="center"/>
              <w:rPr>
                <w:sz w:val="19"/>
                <w:szCs w:val="19"/>
                <w:lang w:val="en-CA" w:eastAsia="en-CA"/>
              </w:rPr>
            </w:pPr>
            <w:r w:rsidRPr="00C70433">
              <w:rPr>
                <w:sz w:val="19"/>
                <w:szCs w:val="19"/>
                <w:lang w:val="en-CA" w:eastAsia="en-CA"/>
              </w:rPr>
              <w:t>2018</w:t>
            </w:r>
          </w:p>
        </w:tc>
        <w:tc>
          <w:tcPr>
            <w:tcW w:w="1275" w:type="dxa"/>
            <w:shd w:val="clear" w:color="auto" w:fill="auto"/>
          </w:tcPr>
          <w:p w:rsidR="00234D9B" w:rsidRPr="00C70433" w:rsidRDefault="00234D9B" w:rsidP="007A69A7">
            <w:pPr>
              <w:keepNext/>
              <w:keepLines/>
              <w:jc w:val="right"/>
              <w:rPr>
                <w:sz w:val="19"/>
                <w:szCs w:val="19"/>
                <w:lang w:val="en-CA" w:eastAsia="en-CA"/>
              </w:rPr>
            </w:pPr>
            <w:r w:rsidRPr="00C70433">
              <w:rPr>
                <w:sz w:val="19"/>
                <w:szCs w:val="19"/>
                <w:lang w:val="en-CA" w:eastAsia="en-CA"/>
              </w:rPr>
              <w:t>213,614</w:t>
            </w:r>
          </w:p>
        </w:tc>
        <w:tc>
          <w:tcPr>
            <w:tcW w:w="3373" w:type="dxa"/>
            <w:shd w:val="clear" w:color="auto" w:fill="auto"/>
          </w:tcPr>
          <w:p w:rsidR="00234D9B" w:rsidRPr="00C70433" w:rsidRDefault="00234D9B" w:rsidP="007A69A7">
            <w:pPr>
              <w:rPr>
                <w:sz w:val="19"/>
                <w:szCs w:val="19"/>
                <w:lang w:val="en-CA" w:eastAsia="en-CA"/>
              </w:rPr>
            </w:pPr>
            <w:r>
              <w:rPr>
                <w:sz w:val="19"/>
                <w:szCs w:val="19"/>
                <w:lang w:val="en-CA" w:eastAsia="en-CA"/>
              </w:rPr>
              <w:t>Not a</w:t>
            </w:r>
            <w:r w:rsidRPr="00C70433">
              <w:rPr>
                <w:sz w:val="19"/>
                <w:szCs w:val="19"/>
                <w:lang w:val="en-CA" w:eastAsia="en-CA"/>
              </w:rPr>
              <w:t>pplicable</w:t>
            </w:r>
          </w:p>
        </w:tc>
        <w:tc>
          <w:tcPr>
            <w:tcW w:w="5812" w:type="dxa"/>
            <w:vMerge/>
            <w:shd w:val="clear" w:color="auto" w:fill="auto"/>
          </w:tcPr>
          <w:p w:rsidR="00234D9B" w:rsidRPr="00C70433" w:rsidRDefault="00234D9B" w:rsidP="007A69A7">
            <w:pPr>
              <w:rPr>
                <w:sz w:val="19"/>
                <w:szCs w:val="19"/>
                <w:lang w:val="en-CA"/>
              </w:rPr>
            </w:pPr>
          </w:p>
        </w:tc>
      </w:tr>
      <w:tr w:rsidR="00234D9B" w:rsidRPr="00C70433" w:rsidTr="007A69A7">
        <w:trPr>
          <w:trHeight w:val="595"/>
        </w:trPr>
        <w:tc>
          <w:tcPr>
            <w:tcW w:w="1560" w:type="dxa"/>
            <w:vMerge/>
            <w:shd w:val="clear" w:color="auto" w:fill="auto"/>
          </w:tcPr>
          <w:p w:rsidR="00234D9B" w:rsidRPr="00C70433" w:rsidRDefault="00234D9B" w:rsidP="007A69A7">
            <w:pPr>
              <w:keepNext/>
              <w:keepLines/>
              <w:jc w:val="left"/>
              <w:rPr>
                <w:sz w:val="19"/>
                <w:szCs w:val="19"/>
                <w:lang w:val="en-CA" w:eastAsia="en-CA"/>
              </w:rPr>
            </w:pPr>
          </w:p>
        </w:tc>
        <w:tc>
          <w:tcPr>
            <w:tcW w:w="1276" w:type="dxa"/>
            <w:shd w:val="clear" w:color="auto" w:fill="auto"/>
          </w:tcPr>
          <w:p w:rsidR="00234D9B" w:rsidRPr="00C70433" w:rsidRDefault="00234D9B" w:rsidP="007A69A7">
            <w:pPr>
              <w:keepNext/>
              <w:keepLines/>
              <w:jc w:val="left"/>
              <w:rPr>
                <w:sz w:val="19"/>
                <w:szCs w:val="19"/>
                <w:lang w:val="en-CA" w:eastAsia="en-CA"/>
              </w:rPr>
            </w:pPr>
            <w:r w:rsidRPr="00C70433">
              <w:rPr>
                <w:sz w:val="19"/>
                <w:szCs w:val="19"/>
                <w:lang w:val="en-CA" w:eastAsia="en-CA"/>
              </w:rPr>
              <w:t>UNIDO</w:t>
            </w:r>
          </w:p>
        </w:tc>
        <w:tc>
          <w:tcPr>
            <w:tcW w:w="879" w:type="dxa"/>
            <w:shd w:val="clear" w:color="auto" w:fill="auto"/>
          </w:tcPr>
          <w:p w:rsidR="00234D9B" w:rsidRPr="00C70433" w:rsidRDefault="00234D9B" w:rsidP="007A69A7">
            <w:pPr>
              <w:keepNext/>
              <w:keepLines/>
              <w:jc w:val="center"/>
              <w:rPr>
                <w:sz w:val="19"/>
                <w:szCs w:val="19"/>
                <w:lang w:val="en-CA" w:eastAsia="en-CA"/>
              </w:rPr>
            </w:pPr>
            <w:r w:rsidRPr="00C70433">
              <w:rPr>
                <w:sz w:val="19"/>
                <w:szCs w:val="19"/>
                <w:lang w:val="en-CA" w:eastAsia="en-CA"/>
              </w:rPr>
              <w:t>2018</w:t>
            </w:r>
          </w:p>
        </w:tc>
        <w:tc>
          <w:tcPr>
            <w:tcW w:w="1275" w:type="dxa"/>
            <w:shd w:val="clear" w:color="auto" w:fill="auto"/>
          </w:tcPr>
          <w:p w:rsidR="00234D9B" w:rsidRPr="00C70433" w:rsidRDefault="00234D9B" w:rsidP="007A69A7">
            <w:pPr>
              <w:keepNext/>
              <w:keepLines/>
              <w:jc w:val="right"/>
              <w:rPr>
                <w:sz w:val="19"/>
                <w:szCs w:val="19"/>
                <w:lang w:val="en-CA" w:eastAsia="en-CA"/>
              </w:rPr>
            </w:pPr>
            <w:r w:rsidRPr="00C70433">
              <w:rPr>
                <w:sz w:val="19"/>
                <w:szCs w:val="19"/>
                <w:lang w:val="en-CA" w:eastAsia="en-CA"/>
              </w:rPr>
              <w:t>624,880</w:t>
            </w:r>
          </w:p>
        </w:tc>
        <w:tc>
          <w:tcPr>
            <w:tcW w:w="3373" w:type="dxa"/>
            <w:shd w:val="clear" w:color="auto" w:fill="auto"/>
          </w:tcPr>
          <w:p w:rsidR="00234D9B" w:rsidRPr="00C70433" w:rsidRDefault="00234D9B" w:rsidP="007A69A7">
            <w:pPr>
              <w:rPr>
                <w:sz w:val="19"/>
                <w:szCs w:val="19"/>
                <w:lang w:val="en-CA" w:eastAsia="en-CA"/>
              </w:rPr>
            </w:pPr>
            <w:r w:rsidRPr="00C70433">
              <w:rPr>
                <w:sz w:val="19"/>
                <w:szCs w:val="19"/>
                <w:lang w:val="en-CA" w:eastAsia="en-CA"/>
              </w:rPr>
              <w:t>Investment component implementation</w:t>
            </w:r>
          </w:p>
        </w:tc>
        <w:tc>
          <w:tcPr>
            <w:tcW w:w="5812" w:type="dxa"/>
            <w:vMerge/>
            <w:shd w:val="clear" w:color="auto" w:fill="auto"/>
          </w:tcPr>
          <w:p w:rsidR="00234D9B" w:rsidRPr="00C70433" w:rsidRDefault="00234D9B" w:rsidP="007A69A7">
            <w:pPr>
              <w:rPr>
                <w:sz w:val="19"/>
                <w:szCs w:val="19"/>
                <w:lang w:val="en-CA"/>
              </w:rPr>
            </w:pPr>
          </w:p>
        </w:tc>
      </w:tr>
      <w:tr w:rsidR="00234D9B" w:rsidRPr="00C70433" w:rsidTr="007A69A7">
        <w:trPr>
          <w:trHeight w:val="404"/>
        </w:trPr>
        <w:tc>
          <w:tcPr>
            <w:tcW w:w="1560" w:type="dxa"/>
            <w:vMerge w:val="restart"/>
            <w:shd w:val="clear" w:color="auto" w:fill="auto"/>
          </w:tcPr>
          <w:p w:rsidR="00234D9B" w:rsidRPr="00C70433" w:rsidRDefault="00234D9B" w:rsidP="007A69A7">
            <w:pPr>
              <w:jc w:val="left"/>
              <w:rPr>
                <w:sz w:val="19"/>
                <w:szCs w:val="19"/>
                <w:lang w:val="en-CA" w:eastAsia="en-CA"/>
              </w:rPr>
            </w:pPr>
            <w:r w:rsidRPr="00C70433">
              <w:rPr>
                <w:sz w:val="19"/>
                <w:szCs w:val="19"/>
                <w:lang w:val="en-CA" w:eastAsia="en-CA"/>
              </w:rPr>
              <w:t>Iraq (Stage I)</w:t>
            </w:r>
          </w:p>
        </w:tc>
        <w:tc>
          <w:tcPr>
            <w:tcW w:w="1276" w:type="dxa"/>
            <w:shd w:val="clear" w:color="auto" w:fill="auto"/>
          </w:tcPr>
          <w:p w:rsidR="00234D9B" w:rsidRPr="00C70433" w:rsidRDefault="00234D9B" w:rsidP="007A69A7">
            <w:pPr>
              <w:keepNext/>
              <w:keepLines/>
              <w:jc w:val="left"/>
              <w:rPr>
                <w:sz w:val="19"/>
                <w:szCs w:val="19"/>
                <w:lang w:val="en-CA" w:eastAsia="en-CA"/>
              </w:rPr>
            </w:pPr>
            <w:r w:rsidRPr="00C70433">
              <w:rPr>
                <w:sz w:val="19"/>
                <w:szCs w:val="19"/>
                <w:lang w:val="en-CA" w:eastAsia="en-CA"/>
              </w:rPr>
              <w:t>UNEP</w:t>
            </w:r>
          </w:p>
        </w:tc>
        <w:tc>
          <w:tcPr>
            <w:tcW w:w="879" w:type="dxa"/>
            <w:shd w:val="clear" w:color="auto" w:fill="auto"/>
          </w:tcPr>
          <w:p w:rsidR="00234D9B" w:rsidRPr="00C70433" w:rsidRDefault="00234D9B" w:rsidP="007A69A7">
            <w:pPr>
              <w:keepNext/>
              <w:keepLines/>
              <w:jc w:val="center"/>
              <w:rPr>
                <w:sz w:val="19"/>
                <w:szCs w:val="19"/>
                <w:lang w:val="en-CA" w:eastAsia="en-CA"/>
              </w:rPr>
            </w:pPr>
            <w:r w:rsidRPr="00C70433">
              <w:rPr>
                <w:sz w:val="19"/>
                <w:szCs w:val="19"/>
                <w:lang w:val="en-CA" w:eastAsia="en-CA"/>
              </w:rPr>
              <w:t>2017</w:t>
            </w:r>
          </w:p>
        </w:tc>
        <w:tc>
          <w:tcPr>
            <w:tcW w:w="1275" w:type="dxa"/>
            <w:shd w:val="clear" w:color="auto" w:fill="auto"/>
          </w:tcPr>
          <w:p w:rsidR="00234D9B" w:rsidRPr="00C70433" w:rsidRDefault="00234D9B" w:rsidP="007A69A7">
            <w:pPr>
              <w:keepNext/>
              <w:keepLines/>
              <w:jc w:val="right"/>
              <w:rPr>
                <w:sz w:val="19"/>
                <w:szCs w:val="19"/>
                <w:lang w:val="en-CA" w:eastAsia="en-CA"/>
              </w:rPr>
            </w:pPr>
            <w:r w:rsidRPr="00C70433">
              <w:rPr>
                <w:sz w:val="19"/>
                <w:szCs w:val="19"/>
                <w:lang w:val="en-CA" w:eastAsia="en-CA"/>
              </w:rPr>
              <w:t>247,634</w:t>
            </w:r>
          </w:p>
        </w:tc>
        <w:tc>
          <w:tcPr>
            <w:tcW w:w="3373" w:type="dxa"/>
            <w:shd w:val="clear" w:color="auto" w:fill="auto"/>
          </w:tcPr>
          <w:p w:rsidR="00234D9B" w:rsidRPr="00C70433" w:rsidRDefault="00234D9B" w:rsidP="007A69A7">
            <w:pPr>
              <w:jc w:val="left"/>
              <w:rPr>
                <w:sz w:val="19"/>
                <w:szCs w:val="19"/>
                <w:lang w:val="en-CA" w:eastAsia="en-CA"/>
              </w:rPr>
            </w:pPr>
            <w:r w:rsidRPr="00C70433">
              <w:rPr>
                <w:sz w:val="19"/>
                <w:szCs w:val="19"/>
                <w:lang w:val="en-CA" w:eastAsia="en-CA"/>
              </w:rPr>
              <w:t>Sufficient funds from previous tranche approved</w:t>
            </w:r>
          </w:p>
        </w:tc>
        <w:tc>
          <w:tcPr>
            <w:tcW w:w="5812" w:type="dxa"/>
            <w:vMerge w:val="restart"/>
            <w:shd w:val="clear" w:color="auto" w:fill="auto"/>
          </w:tcPr>
          <w:p w:rsidR="00234D9B" w:rsidRPr="00C70433" w:rsidRDefault="00234D9B" w:rsidP="007A69A7">
            <w:pPr>
              <w:rPr>
                <w:sz w:val="19"/>
                <w:szCs w:val="19"/>
                <w:lang w:val="en-CA"/>
              </w:rPr>
            </w:pPr>
            <w:r w:rsidRPr="00C70433">
              <w:rPr>
                <w:sz w:val="19"/>
                <w:szCs w:val="19"/>
                <w:lang w:val="en-CA"/>
              </w:rPr>
              <w:t>Noting th</w:t>
            </w:r>
            <w:r>
              <w:rPr>
                <w:sz w:val="19"/>
                <w:szCs w:val="19"/>
                <w:lang w:val="en-CA"/>
              </w:rPr>
              <w:t xml:space="preserve">e request by </w:t>
            </w:r>
            <w:r w:rsidRPr="00C70433">
              <w:rPr>
                <w:sz w:val="19"/>
                <w:szCs w:val="19"/>
                <w:lang w:val="en-CA"/>
              </w:rPr>
              <w:t>the Government of Iraq t</w:t>
            </w:r>
            <w:r>
              <w:rPr>
                <w:sz w:val="19"/>
                <w:szCs w:val="19"/>
                <w:lang w:val="en-CA"/>
              </w:rPr>
              <w:t>o</w:t>
            </w:r>
            <w:r w:rsidRPr="00C70433">
              <w:rPr>
                <w:sz w:val="19"/>
                <w:szCs w:val="19"/>
                <w:lang w:val="en-CA"/>
              </w:rPr>
              <w:t xml:space="preserve"> exten</w:t>
            </w:r>
            <w:r>
              <w:rPr>
                <w:sz w:val="19"/>
                <w:szCs w:val="19"/>
                <w:lang w:val="en-CA"/>
              </w:rPr>
              <w:t>d</w:t>
            </w:r>
            <w:r w:rsidRPr="00C70433">
              <w:rPr>
                <w:sz w:val="19"/>
                <w:szCs w:val="19"/>
                <w:lang w:val="en-CA"/>
              </w:rPr>
              <w:t xml:space="preserve"> stage I of the HPMP from December 2017 to December 2019</w:t>
            </w:r>
            <w:r w:rsidRPr="00C70433">
              <w:rPr>
                <w:lang w:val="en-US"/>
              </w:rPr>
              <w:t xml:space="preserve">, </w:t>
            </w:r>
            <w:r w:rsidRPr="00C70433">
              <w:rPr>
                <w:sz w:val="19"/>
                <w:szCs w:val="19"/>
                <w:lang w:val="en-CA"/>
              </w:rPr>
              <w:t>and the reprogramming of the final tranche from 2017 to 2019</w:t>
            </w:r>
            <w:r>
              <w:rPr>
                <w:sz w:val="19"/>
                <w:szCs w:val="19"/>
                <w:lang w:val="en-CA"/>
              </w:rPr>
              <w:t xml:space="preserve">; that despite </w:t>
            </w:r>
            <w:r w:rsidRPr="00C70433">
              <w:rPr>
                <w:sz w:val="19"/>
                <w:szCs w:val="19"/>
                <w:lang w:val="en-CA"/>
              </w:rPr>
              <w:t>progress on activities on policy and the refrigeration servicing sector</w:t>
            </w:r>
            <w:r>
              <w:rPr>
                <w:sz w:val="19"/>
                <w:szCs w:val="19"/>
                <w:lang w:val="en-CA"/>
              </w:rPr>
              <w:t xml:space="preserve">, the overall disbursement rate of the second (2015) tranche of stage I of the HPMP was below the 20 per cent disbursement threshold </w:t>
            </w:r>
            <w:r w:rsidRPr="00C70433">
              <w:rPr>
                <w:sz w:val="19"/>
                <w:szCs w:val="19"/>
                <w:lang w:val="en-CA"/>
              </w:rPr>
              <w:t>due to government procedures in the allocation and disbursement of external funds to government entities, and preparation and timely submission of expenditure reports</w:t>
            </w:r>
            <w:r>
              <w:rPr>
                <w:sz w:val="19"/>
                <w:szCs w:val="19"/>
                <w:lang w:val="en-CA"/>
              </w:rPr>
              <w:t xml:space="preserve">; and that new </w:t>
            </w:r>
            <w:r w:rsidRPr="00C70433">
              <w:rPr>
                <w:sz w:val="19"/>
                <w:szCs w:val="19"/>
                <w:lang w:val="en-CA"/>
              </w:rPr>
              <w:t>procedures to expedite the allocation and disbursement of funds</w:t>
            </w:r>
            <w:r>
              <w:rPr>
                <w:sz w:val="19"/>
                <w:szCs w:val="19"/>
                <w:lang w:val="en-CA"/>
              </w:rPr>
              <w:t xml:space="preserve"> to </w:t>
            </w:r>
            <w:r w:rsidRPr="00C70433">
              <w:rPr>
                <w:sz w:val="19"/>
                <w:szCs w:val="19"/>
                <w:lang w:val="en-CA"/>
              </w:rPr>
              <w:t>facilitate effective implementation</w:t>
            </w:r>
            <w:r>
              <w:rPr>
                <w:sz w:val="19"/>
                <w:szCs w:val="19"/>
                <w:lang w:val="en-CA"/>
              </w:rPr>
              <w:t xml:space="preserve"> have now been implemented, urging </w:t>
            </w:r>
            <w:r w:rsidRPr="00C70433">
              <w:rPr>
                <w:sz w:val="19"/>
                <w:szCs w:val="19"/>
                <w:lang w:val="en-CA"/>
              </w:rPr>
              <w:t xml:space="preserve">the Government of Iraq </w:t>
            </w:r>
            <w:r>
              <w:rPr>
                <w:sz w:val="19"/>
                <w:szCs w:val="19"/>
                <w:lang w:val="en-CA"/>
              </w:rPr>
              <w:t xml:space="preserve">to </w:t>
            </w:r>
            <w:r w:rsidRPr="00C70433">
              <w:rPr>
                <w:sz w:val="19"/>
                <w:szCs w:val="19"/>
                <w:lang w:val="en-CA"/>
              </w:rPr>
              <w:t xml:space="preserve">work with UNEP and UNIDO </w:t>
            </w:r>
            <w:r>
              <w:rPr>
                <w:sz w:val="19"/>
                <w:szCs w:val="19"/>
                <w:lang w:val="en-CA"/>
              </w:rPr>
              <w:t xml:space="preserve">to expedite implementation </w:t>
            </w:r>
            <w:r w:rsidRPr="00C70433">
              <w:rPr>
                <w:sz w:val="19"/>
                <w:szCs w:val="19"/>
                <w:lang w:val="en-CA"/>
              </w:rPr>
              <w:t>so that the third (2017) tranche of stage I of the HPMP could be submitted to the 84</w:t>
            </w:r>
            <w:r w:rsidRPr="00C70433">
              <w:rPr>
                <w:sz w:val="19"/>
                <w:szCs w:val="19"/>
                <w:vertAlign w:val="superscript"/>
                <w:lang w:val="en-CA"/>
              </w:rPr>
              <w:t>th</w:t>
            </w:r>
            <w:r>
              <w:rPr>
                <w:sz w:val="19"/>
                <w:szCs w:val="19"/>
                <w:lang w:val="en-CA"/>
              </w:rPr>
              <w:t> </w:t>
            </w:r>
            <w:r w:rsidRPr="00C70433">
              <w:rPr>
                <w:sz w:val="19"/>
                <w:szCs w:val="19"/>
                <w:lang w:val="en-CA"/>
              </w:rPr>
              <w:t xml:space="preserve">meeting </w:t>
            </w:r>
            <w:r>
              <w:rPr>
                <w:sz w:val="19"/>
                <w:szCs w:val="19"/>
                <w:lang w:val="en-CA"/>
              </w:rPr>
              <w:t xml:space="preserve">together </w:t>
            </w:r>
            <w:r w:rsidRPr="00C70433">
              <w:rPr>
                <w:sz w:val="19"/>
                <w:szCs w:val="19"/>
                <w:lang w:val="en-CA"/>
              </w:rPr>
              <w:t xml:space="preserve">with a revised </w:t>
            </w:r>
            <w:r>
              <w:rPr>
                <w:sz w:val="19"/>
                <w:szCs w:val="19"/>
                <w:lang w:val="en-CA"/>
              </w:rPr>
              <w:t>A</w:t>
            </w:r>
            <w:r w:rsidRPr="00C70433">
              <w:rPr>
                <w:sz w:val="19"/>
                <w:szCs w:val="19"/>
                <w:lang w:val="en-CA"/>
              </w:rPr>
              <w:t>greement reflecting the extension of stage I of the HPMP to December 2019, on the understanding that the 20 per cent disbursement threshold for funding of the previous tranche had been achieved</w:t>
            </w:r>
            <w:r>
              <w:rPr>
                <w:sz w:val="19"/>
                <w:szCs w:val="19"/>
                <w:lang w:val="en-CA"/>
              </w:rPr>
              <w:t xml:space="preserve"> and that </w:t>
            </w:r>
            <w:r w:rsidRPr="00C70433">
              <w:rPr>
                <w:sz w:val="19"/>
                <w:szCs w:val="19"/>
                <w:lang w:val="en-CA"/>
              </w:rPr>
              <w:t>stage II of the HPMP currently under preparation</w:t>
            </w:r>
            <w:r>
              <w:rPr>
                <w:sz w:val="19"/>
                <w:szCs w:val="19"/>
                <w:lang w:val="en-CA"/>
              </w:rPr>
              <w:t xml:space="preserve"> would be submitted along with the third tranche of stage I</w:t>
            </w:r>
            <w:r w:rsidRPr="00C70433">
              <w:rPr>
                <w:sz w:val="19"/>
                <w:szCs w:val="19"/>
                <w:lang w:val="en-CA"/>
              </w:rPr>
              <w:t>.</w:t>
            </w:r>
          </w:p>
        </w:tc>
      </w:tr>
      <w:tr w:rsidR="00234D9B" w:rsidRPr="00C70433" w:rsidTr="007A69A7">
        <w:trPr>
          <w:trHeight w:val="426"/>
        </w:trPr>
        <w:tc>
          <w:tcPr>
            <w:tcW w:w="1560" w:type="dxa"/>
            <w:vMerge/>
            <w:shd w:val="clear" w:color="auto" w:fill="auto"/>
          </w:tcPr>
          <w:p w:rsidR="00234D9B" w:rsidRPr="00C70433" w:rsidRDefault="00234D9B" w:rsidP="007A69A7">
            <w:pPr>
              <w:jc w:val="left"/>
              <w:rPr>
                <w:sz w:val="19"/>
                <w:szCs w:val="19"/>
                <w:lang w:val="en-CA" w:eastAsia="en-CA"/>
              </w:rPr>
            </w:pPr>
          </w:p>
        </w:tc>
        <w:tc>
          <w:tcPr>
            <w:tcW w:w="1276" w:type="dxa"/>
            <w:shd w:val="clear" w:color="auto" w:fill="auto"/>
          </w:tcPr>
          <w:p w:rsidR="00234D9B" w:rsidRPr="00C70433" w:rsidRDefault="00234D9B" w:rsidP="007A69A7">
            <w:pPr>
              <w:keepNext/>
              <w:keepLines/>
              <w:jc w:val="left"/>
              <w:rPr>
                <w:sz w:val="19"/>
                <w:szCs w:val="19"/>
                <w:lang w:val="en-CA" w:eastAsia="en-CA"/>
              </w:rPr>
            </w:pPr>
            <w:r w:rsidRPr="00C70433">
              <w:rPr>
                <w:sz w:val="19"/>
                <w:szCs w:val="19"/>
                <w:lang w:val="en-CA" w:eastAsia="en-CA"/>
              </w:rPr>
              <w:t>UNIDO</w:t>
            </w:r>
          </w:p>
        </w:tc>
        <w:tc>
          <w:tcPr>
            <w:tcW w:w="879" w:type="dxa"/>
            <w:shd w:val="clear" w:color="auto" w:fill="auto"/>
          </w:tcPr>
          <w:p w:rsidR="00234D9B" w:rsidRPr="00C70433" w:rsidRDefault="00234D9B" w:rsidP="007A69A7">
            <w:pPr>
              <w:keepNext/>
              <w:keepLines/>
              <w:jc w:val="center"/>
              <w:rPr>
                <w:sz w:val="19"/>
                <w:szCs w:val="19"/>
                <w:lang w:val="en-CA" w:eastAsia="en-CA"/>
              </w:rPr>
            </w:pPr>
            <w:r w:rsidRPr="00C70433">
              <w:rPr>
                <w:sz w:val="19"/>
                <w:szCs w:val="19"/>
                <w:lang w:val="en-CA" w:eastAsia="en-CA"/>
              </w:rPr>
              <w:t>2017</w:t>
            </w:r>
          </w:p>
        </w:tc>
        <w:tc>
          <w:tcPr>
            <w:tcW w:w="1275" w:type="dxa"/>
            <w:shd w:val="clear" w:color="auto" w:fill="auto"/>
          </w:tcPr>
          <w:p w:rsidR="00234D9B" w:rsidRPr="00C70433" w:rsidRDefault="00234D9B" w:rsidP="007A69A7">
            <w:pPr>
              <w:keepNext/>
              <w:keepLines/>
              <w:jc w:val="right"/>
              <w:rPr>
                <w:sz w:val="19"/>
                <w:szCs w:val="19"/>
                <w:lang w:val="en-CA" w:eastAsia="en-CA"/>
              </w:rPr>
            </w:pPr>
            <w:r w:rsidRPr="00C70433">
              <w:rPr>
                <w:sz w:val="19"/>
                <w:szCs w:val="19"/>
                <w:lang w:val="en-CA" w:eastAsia="en-CA"/>
              </w:rPr>
              <w:t>225,750</w:t>
            </w:r>
          </w:p>
        </w:tc>
        <w:tc>
          <w:tcPr>
            <w:tcW w:w="3373" w:type="dxa"/>
            <w:shd w:val="clear" w:color="auto" w:fill="auto"/>
          </w:tcPr>
          <w:p w:rsidR="00234D9B" w:rsidRPr="00C70433" w:rsidRDefault="00234D9B" w:rsidP="007A69A7">
            <w:pPr>
              <w:rPr>
                <w:sz w:val="19"/>
                <w:szCs w:val="19"/>
                <w:lang w:val="en-CA" w:eastAsia="en-CA"/>
              </w:rPr>
            </w:pPr>
            <w:r w:rsidRPr="00C70433">
              <w:rPr>
                <w:sz w:val="19"/>
                <w:szCs w:val="19"/>
                <w:lang w:val="en-CA" w:eastAsia="en-CA"/>
              </w:rPr>
              <w:t>Sufficient funds from previous tranche approved/20 per cent disbursement threshold</w:t>
            </w:r>
          </w:p>
        </w:tc>
        <w:tc>
          <w:tcPr>
            <w:tcW w:w="5812" w:type="dxa"/>
            <w:vMerge/>
            <w:shd w:val="clear" w:color="auto" w:fill="auto"/>
          </w:tcPr>
          <w:p w:rsidR="00234D9B" w:rsidRPr="00C70433" w:rsidRDefault="00234D9B" w:rsidP="007A69A7">
            <w:pPr>
              <w:rPr>
                <w:sz w:val="19"/>
                <w:szCs w:val="19"/>
                <w:lang w:val="en-CA"/>
              </w:rPr>
            </w:pPr>
          </w:p>
        </w:tc>
      </w:tr>
      <w:tr w:rsidR="00234D9B" w:rsidRPr="00C70433" w:rsidTr="007A69A7">
        <w:trPr>
          <w:trHeight w:val="719"/>
        </w:trPr>
        <w:tc>
          <w:tcPr>
            <w:tcW w:w="1560" w:type="dxa"/>
            <w:vMerge w:val="restart"/>
            <w:shd w:val="clear" w:color="auto" w:fill="auto"/>
          </w:tcPr>
          <w:p w:rsidR="00234D9B" w:rsidRPr="00C70433" w:rsidRDefault="00234D9B" w:rsidP="007A69A7">
            <w:pPr>
              <w:keepNext/>
              <w:keepLines/>
              <w:jc w:val="left"/>
              <w:rPr>
                <w:sz w:val="19"/>
                <w:szCs w:val="19"/>
                <w:lang w:val="en-CA" w:eastAsia="en-CA"/>
              </w:rPr>
            </w:pPr>
            <w:r w:rsidRPr="00C70433">
              <w:rPr>
                <w:sz w:val="19"/>
                <w:szCs w:val="19"/>
                <w:lang w:val="en-CA" w:eastAsia="en-CA"/>
              </w:rPr>
              <w:lastRenderedPageBreak/>
              <w:t>Jordan (Stage II)</w:t>
            </w:r>
          </w:p>
        </w:tc>
        <w:tc>
          <w:tcPr>
            <w:tcW w:w="1276" w:type="dxa"/>
            <w:shd w:val="clear" w:color="auto" w:fill="auto"/>
          </w:tcPr>
          <w:p w:rsidR="00234D9B" w:rsidRPr="00C70433" w:rsidRDefault="00234D9B" w:rsidP="007A69A7">
            <w:pPr>
              <w:keepNext/>
              <w:keepLines/>
              <w:jc w:val="left"/>
              <w:rPr>
                <w:sz w:val="19"/>
                <w:szCs w:val="19"/>
                <w:lang w:val="en-CA" w:eastAsia="en-CA"/>
              </w:rPr>
            </w:pPr>
            <w:r w:rsidRPr="00C70433">
              <w:rPr>
                <w:sz w:val="19"/>
                <w:szCs w:val="19"/>
                <w:lang w:val="en-CA" w:eastAsia="en-CA"/>
              </w:rPr>
              <w:t>World Bank</w:t>
            </w:r>
          </w:p>
        </w:tc>
        <w:tc>
          <w:tcPr>
            <w:tcW w:w="879" w:type="dxa"/>
            <w:shd w:val="clear" w:color="auto" w:fill="auto"/>
          </w:tcPr>
          <w:p w:rsidR="00234D9B" w:rsidRPr="00C70433" w:rsidRDefault="00234D9B" w:rsidP="007A69A7">
            <w:pPr>
              <w:keepNext/>
              <w:keepLines/>
              <w:jc w:val="center"/>
              <w:rPr>
                <w:sz w:val="19"/>
                <w:szCs w:val="19"/>
                <w:lang w:val="en-CA" w:eastAsia="en-CA"/>
              </w:rPr>
            </w:pPr>
            <w:r w:rsidRPr="00C70433">
              <w:rPr>
                <w:sz w:val="19"/>
                <w:szCs w:val="19"/>
                <w:lang w:val="en-CA" w:eastAsia="en-CA"/>
              </w:rPr>
              <w:t>2018</w:t>
            </w:r>
          </w:p>
        </w:tc>
        <w:tc>
          <w:tcPr>
            <w:tcW w:w="1275" w:type="dxa"/>
            <w:shd w:val="clear" w:color="auto" w:fill="auto"/>
          </w:tcPr>
          <w:p w:rsidR="00234D9B" w:rsidRPr="00C70433" w:rsidRDefault="00234D9B" w:rsidP="007A69A7">
            <w:pPr>
              <w:keepNext/>
              <w:keepLines/>
              <w:jc w:val="right"/>
              <w:rPr>
                <w:sz w:val="19"/>
                <w:szCs w:val="19"/>
                <w:lang w:val="en-CA" w:eastAsia="en-CA"/>
              </w:rPr>
            </w:pPr>
            <w:r w:rsidRPr="00C70433">
              <w:rPr>
                <w:sz w:val="19"/>
                <w:szCs w:val="19"/>
                <w:lang w:val="en-CA" w:eastAsia="en-CA"/>
              </w:rPr>
              <w:t>1,084,503</w:t>
            </w:r>
          </w:p>
        </w:tc>
        <w:tc>
          <w:tcPr>
            <w:tcW w:w="3373" w:type="dxa"/>
            <w:shd w:val="clear" w:color="auto" w:fill="auto"/>
          </w:tcPr>
          <w:p w:rsidR="00234D9B" w:rsidRPr="00C70433" w:rsidRDefault="00234D9B" w:rsidP="007A69A7">
            <w:pPr>
              <w:rPr>
                <w:sz w:val="19"/>
                <w:szCs w:val="19"/>
                <w:lang w:val="en-CA" w:eastAsia="en-CA"/>
              </w:rPr>
            </w:pPr>
            <w:r w:rsidRPr="00C70433">
              <w:rPr>
                <w:sz w:val="19"/>
                <w:szCs w:val="19"/>
                <w:lang w:val="en-CA" w:eastAsia="en-CA"/>
              </w:rPr>
              <w:t>Investment component implementation/ 20 per cent disbursement threshold</w:t>
            </w:r>
          </w:p>
        </w:tc>
        <w:tc>
          <w:tcPr>
            <w:tcW w:w="5812" w:type="dxa"/>
            <w:vMerge w:val="restart"/>
            <w:shd w:val="clear" w:color="auto" w:fill="auto"/>
          </w:tcPr>
          <w:p w:rsidR="00234D9B" w:rsidRPr="00C70433" w:rsidRDefault="00234D9B" w:rsidP="007A69A7">
            <w:pPr>
              <w:keepNext/>
              <w:keepLines/>
              <w:rPr>
                <w:sz w:val="19"/>
                <w:szCs w:val="19"/>
                <w:lang w:val="en-CA"/>
              </w:rPr>
            </w:pPr>
            <w:r w:rsidRPr="00C70433">
              <w:rPr>
                <w:sz w:val="19"/>
                <w:szCs w:val="19"/>
                <w:lang w:val="en-CA"/>
              </w:rPr>
              <w:t xml:space="preserve">Noting the delays due to implementation of the polyurethane foam investment component of the first (2016) tranche of stage II of the HPMP and urging the Government of Jordan to work with </w:t>
            </w:r>
            <w:r w:rsidRPr="00C70433">
              <w:rPr>
                <w:sz w:val="19"/>
                <w:szCs w:val="19"/>
                <w:lang w:val="en-CA" w:eastAsia="en-CA"/>
              </w:rPr>
              <w:t>UNIDO and the World Bank</w:t>
            </w:r>
            <w:r w:rsidRPr="00C70433">
              <w:rPr>
                <w:sz w:val="19"/>
                <w:szCs w:val="19"/>
                <w:lang w:val="en-CA"/>
              </w:rPr>
              <w:t xml:space="preserve"> to expedite implementation so that the second (2018) tranche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2018 and subsequent tranches.</w:t>
            </w:r>
          </w:p>
        </w:tc>
      </w:tr>
      <w:tr w:rsidR="00234D9B" w:rsidRPr="00C70433" w:rsidTr="007A69A7">
        <w:trPr>
          <w:trHeight w:val="391"/>
        </w:trPr>
        <w:tc>
          <w:tcPr>
            <w:tcW w:w="1560" w:type="dxa"/>
            <w:vMerge/>
            <w:shd w:val="clear" w:color="auto" w:fill="auto"/>
          </w:tcPr>
          <w:p w:rsidR="00234D9B" w:rsidRPr="00C70433" w:rsidRDefault="00234D9B" w:rsidP="007A69A7">
            <w:pPr>
              <w:jc w:val="left"/>
              <w:rPr>
                <w:sz w:val="19"/>
                <w:szCs w:val="19"/>
                <w:lang w:val="en-CA" w:eastAsia="en-CA"/>
              </w:rPr>
            </w:pPr>
          </w:p>
        </w:tc>
        <w:tc>
          <w:tcPr>
            <w:tcW w:w="1276" w:type="dxa"/>
            <w:shd w:val="clear" w:color="auto" w:fill="auto"/>
          </w:tcPr>
          <w:p w:rsidR="00234D9B" w:rsidRPr="00C70433" w:rsidRDefault="00234D9B" w:rsidP="007A69A7">
            <w:pPr>
              <w:keepNext/>
              <w:keepLines/>
              <w:jc w:val="left"/>
              <w:rPr>
                <w:sz w:val="19"/>
                <w:szCs w:val="19"/>
                <w:lang w:val="en-CA" w:eastAsia="en-CA"/>
              </w:rPr>
            </w:pPr>
            <w:r w:rsidRPr="00C70433">
              <w:rPr>
                <w:sz w:val="19"/>
                <w:szCs w:val="19"/>
                <w:lang w:val="en-CA" w:eastAsia="en-CA"/>
              </w:rPr>
              <w:t>UNIDO</w:t>
            </w:r>
          </w:p>
        </w:tc>
        <w:tc>
          <w:tcPr>
            <w:tcW w:w="879" w:type="dxa"/>
            <w:shd w:val="clear" w:color="auto" w:fill="auto"/>
          </w:tcPr>
          <w:p w:rsidR="00234D9B" w:rsidRPr="00C70433" w:rsidRDefault="00234D9B" w:rsidP="007A69A7">
            <w:pPr>
              <w:keepNext/>
              <w:keepLines/>
              <w:jc w:val="center"/>
              <w:rPr>
                <w:sz w:val="19"/>
                <w:szCs w:val="19"/>
                <w:lang w:val="en-CA" w:eastAsia="en-CA"/>
              </w:rPr>
            </w:pPr>
            <w:r w:rsidRPr="00C70433">
              <w:rPr>
                <w:sz w:val="19"/>
                <w:szCs w:val="19"/>
                <w:lang w:val="en-CA" w:eastAsia="en-CA"/>
              </w:rPr>
              <w:t>2018</w:t>
            </w:r>
          </w:p>
        </w:tc>
        <w:tc>
          <w:tcPr>
            <w:tcW w:w="1275" w:type="dxa"/>
            <w:shd w:val="clear" w:color="auto" w:fill="auto"/>
          </w:tcPr>
          <w:p w:rsidR="00234D9B" w:rsidRPr="00C70433" w:rsidRDefault="00234D9B" w:rsidP="007A69A7">
            <w:pPr>
              <w:keepNext/>
              <w:keepLines/>
              <w:jc w:val="right"/>
              <w:rPr>
                <w:sz w:val="19"/>
                <w:szCs w:val="19"/>
                <w:lang w:val="en-CA" w:eastAsia="en-CA"/>
              </w:rPr>
            </w:pPr>
            <w:r w:rsidRPr="00C70433">
              <w:rPr>
                <w:sz w:val="19"/>
                <w:szCs w:val="19"/>
                <w:lang w:val="en-CA" w:eastAsia="en-CA"/>
              </w:rPr>
              <w:t>578,708</w:t>
            </w:r>
          </w:p>
        </w:tc>
        <w:tc>
          <w:tcPr>
            <w:tcW w:w="3373" w:type="dxa"/>
            <w:shd w:val="clear" w:color="auto" w:fill="auto"/>
          </w:tcPr>
          <w:p w:rsidR="00234D9B" w:rsidRPr="00C70433" w:rsidRDefault="00234D9B" w:rsidP="007A69A7">
            <w:pPr>
              <w:rPr>
                <w:sz w:val="19"/>
                <w:szCs w:val="19"/>
                <w:lang w:val="en-CA" w:eastAsia="en-CA"/>
              </w:rPr>
            </w:pPr>
            <w:r w:rsidRPr="00C70433">
              <w:rPr>
                <w:sz w:val="19"/>
                <w:szCs w:val="19"/>
                <w:lang w:val="en-CA" w:eastAsia="en-CA"/>
              </w:rPr>
              <w:t>Lead agency not ready for submission</w:t>
            </w:r>
          </w:p>
        </w:tc>
        <w:tc>
          <w:tcPr>
            <w:tcW w:w="5812" w:type="dxa"/>
            <w:vMerge/>
            <w:shd w:val="clear" w:color="auto" w:fill="auto"/>
          </w:tcPr>
          <w:p w:rsidR="00234D9B" w:rsidRPr="00C70433" w:rsidRDefault="00234D9B" w:rsidP="007A69A7">
            <w:pPr>
              <w:rPr>
                <w:sz w:val="19"/>
                <w:szCs w:val="19"/>
                <w:lang w:val="en-CA"/>
              </w:rPr>
            </w:pPr>
          </w:p>
        </w:tc>
      </w:tr>
      <w:tr w:rsidR="00234D9B" w:rsidRPr="00C70433" w:rsidTr="007A69A7">
        <w:trPr>
          <w:trHeight w:val="667"/>
        </w:trPr>
        <w:tc>
          <w:tcPr>
            <w:tcW w:w="1560" w:type="dxa"/>
            <w:vMerge w:val="restart"/>
          </w:tcPr>
          <w:p w:rsidR="00234D9B" w:rsidRPr="00C70433" w:rsidRDefault="00234D9B" w:rsidP="007A69A7">
            <w:pPr>
              <w:jc w:val="left"/>
              <w:rPr>
                <w:sz w:val="19"/>
                <w:szCs w:val="19"/>
                <w:lang w:val="en-CA" w:eastAsia="en-CA"/>
              </w:rPr>
            </w:pPr>
            <w:r w:rsidRPr="00C70433">
              <w:rPr>
                <w:sz w:val="19"/>
                <w:szCs w:val="19"/>
                <w:lang w:val="en-CA" w:eastAsia="en-CA"/>
              </w:rPr>
              <w:t>Niger (the) (Stage I)</w:t>
            </w: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UNEP</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2016</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141,250</w:t>
            </w:r>
          </w:p>
        </w:tc>
        <w:tc>
          <w:tcPr>
            <w:tcW w:w="3373" w:type="dxa"/>
            <w:vMerge w:val="restart"/>
          </w:tcPr>
          <w:p w:rsidR="00234D9B" w:rsidRPr="00C70433" w:rsidRDefault="00234D9B" w:rsidP="007A69A7">
            <w:pPr>
              <w:rPr>
                <w:sz w:val="19"/>
                <w:szCs w:val="19"/>
                <w:lang w:val="en-CA" w:eastAsia="en-CA"/>
              </w:rPr>
            </w:pPr>
            <w:r w:rsidRPr="00C70433">
              <w:rPr>
                <w:sz w:val="19"/>
                <w:szCs w:val="19"/>
                <w:lang w:val="en-CA" w:eastAsia="en-CA"/>
              </w:rPr>
              <w:t>Lack of verification report</w:t>
            </w:r>
          </w:p>
          <w:p w:rsidR="00234D9B" w:rsidRPr="00C70433" w:rsidRDefault="00234D9B" w:rsidP="007A69A7"/>
        </w:tc>
        <w:tc>
          <w:tcPr>
            <w:tcW w:w="5812" w:type="dxa"/>
            <w:vMerge w:val="restart"/>
          </w:tcPr>
          <w:p w:rsidR="00234D9B" w:rsidRPr="00C70433" w:rsidRDefault="00234D9B" w:rsidP="007A69A7">
            <w:pPr>
              <w:rPr>
                <w:sz w:val="19"/>
                <w:szCs w:val="19"/>
                <w:lang w:val="en-CA"/>
              </w:rPr>
            </w:pPr>
            <w:r w:rsidRPr="00C70433">
              <w:rPr>
                <w:sz w:val="19"/>
                <w:szCs w:val="19"/>
                <w:lang w:val="en-CA"/>
              </w:rPr>
              <w:t xml:space="preserve">Noting that the mandatory verification on HCFC consumption targets had not been completed and urging the Government of the Niger to work with </w:t>
            </w:r>
            <w:r w:rsidRPr="00C70433">
              <w:rPr>
                <w:sz w:val="19"/>
                <w:szCs w:val="19"/>
                <w:lang w:val="en-CA" w:eastAsia="en-CA"/>
              </w:rPr>
              <w:t>UNEP</w:t>
            </w:r>
            <w:r w:rsidRPr="00C70433">
              <w:rPr>
                <w:sz w:val="19"/>
                <w:szCs w:val="19"/>
                <w:lang w:val="en-CA"/>
              </w:rPr>
              <w:t xml:space="preserve"> and UNIDO to complete the verification so that the second (2016) tranche of stage I of the HPMP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2016 and subsequent tranches.</w:t>
            </w:r>
          </w:p>
        </w:tc>
      </w:tr>
      <w:tr w:rsidR="00234D9B" w:rsidRPr="00C70433" w:rsidTr="007A69A7">
        <w:trPr>
          <w:trHeight w:val="563"/>
        </w:trPr>
        <w:tc>
          <w:tcPr>
            <w:tcW w:w="1560" w:type="dxa"/>
            <w:vMerge/>
          </w:tcPr>
          <w:p w:rsidR="00234D9B" w:rsidRPr="00C70433" w:rsidRDefault="00234D9B" w:rsidP="007A69A7">
            <w:pPr>
              <w:jc w:val="left"/>
              <w:rPr>
                <w:sz w:val="19"/>
                <w:szCs w:val="19"/>
                <w:lang w:val="en-CA" w:eastAsia="en-CA"/>
              </w:rPr>
            </w:pP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UNIDO</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2016</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96,750</w:t>
            </w:r>
          </w:p>
        </w:tc>
        <w:tc>
          <w:tcPr>
            <w:tcW w:w="3373" w:type="dxa"/>
            <w:vMerge/>
          </w:tcPr>
          <w:p w:rsidR="00234D9B" w:rsidRPr="00C70433" w:rsidRDefault="00234D9B" w:rsidP="007A69A7"/>
        </w:tc>
        <w:tc>
          <w:tcPr>
            <w:tcW w:w="5812" w:type="dxa"/>
            <w:vMerge/>
          </w:tcPr>
          <w:p w:rsidR="00234D9B" w:rsidRPr="00C70433" w:rsidRDefault="00234D9B" w:rsidP="007A69A7">
            <w:pPr>
              <w:rPr>
                <w:sz w:val="19"/>
                <w:szCs w:val="19"/>
                <w:lang w:val="en-CA"/>
              </w:rPr>
            </w:pPr>
          </w:p>
        </w:tc>
      </w:tr>
      <w:tr w:rsidR="00234D9B" w:rsidRPr="00C70433" w:rsidTr="007A69A7">
        <w:trPr>
          <w:trHeight w:val="614"/>
        </w:trPr>
        <w:tc>
          <w:tcPr>
            <w:tcW w:w="1560" w:type="dxa"/>
            <w:vMerge w:val="restart"/>
            <w:hideMark/>
          </w:tcPr>
          <w:p w:rsidR="00234D9B" w:rsidRPr="00C70433" w:rsidRDefault="00234D9B" w:rsidP="007A69A7">
            <w:pPr>
              <w:jc w:val="left"/>
              <w:rPr>
                <w:sz w:val="19"/>
                <w:szCs w:val="19"/>
                <w:lang w:val="en-CA" w:eastAsia="en-CA"/>
              </w:rPr>
            </w:pPr>
            <w:r w:rsidRPr="00C70433">
              <w:rPr>
                <w:sz w:val="19"/>
                <w:szCs w:val="19"/>
                <w:lang w:val="en-CA" w:eastAsia="en-CA"/>
              </w:rPr>
              <w:t>Peru</w:t>
            </w:r>
          </w:p>
          <w:p w:rsidR="00234D9B" w:rsidRPr="00C70433" w:rsidRDefault="00234D9B" w:rsidP="007A69A7">
            <w:pPr>
              <w:jc w:val="left"/>
              <w:rPr>
                <w:sz w:val="19"/>
                <w:szCs w:val="19"/>
                <w:lang w:val="en-CA" w:eastAsia="en-CA"/>
              </w:rPr>
            </w:pPr>
            <w:r w:rsidRPr="00C70433">
              <w:rPr>
                <w:sz w:val="19"/>
                <w:szCs w:val="19"/>
                <w:lang w:val="en-CA" w:eastAsia="en-CA"/>
              </w:rPr>
              <w:t>(Stage II)</w:t>
            </w:r>
          </w:p>
          <w:p w:rsidR="00234D9B" w:rsidRPr="00C70433" w:rsidRDefault="00234D9B" w:rsidP="007A69A7">
            <w:pPr>
              <w:jc w:val="left"/>
              <w:rPr>
                <w:sz w:val="19"/>
                <w:szCs w:val="19"/>
                <w:lang w:val="en-CA" w:eastAsia="en-CA"/>
              </w:rPr>
            </w:pPr>
          </w:p>
        </w:tc>
        <w:tc>
          <w:tcPr>
            <w:tcW w:w="1276" w:type="dxa"/>
            <w:hideMark/>
          </w:tcPr>
          <w:p w:rsidR="00234D9B" w:rsidRPr="00C70433" w:rsidRDefault="00234D9B" w:rsidP="007A69A7">
            <w:pPr>
              <w:rPr>
                <w:sz w:val="19"/>
                <w:szCs w:val="19"/>
                <w:lang w:val="en-CA" w:eastAsia="en-CA"/>
              </w:rPr>
            </w:pPr>
            <w:r w:rsidRPr="00C70433">
              <w:rPr>
                <w:sz w:val="19"/>
                <w:szCs w:val="19"/>
                <w:lang w:val="en-CA" w:eastAsia="en-CA"/>
              </w:rPr>
              <w:t>UNDP</w:t>
            </w:r>
          </w:p>
        </w:tc>
        <w:tc>
          <w:tcPr>
            <w:tcW w:w="879" w:type="dxa"/>
            <w:hideMark/>
          </w:tcPr>
          <w:p w:rsidR="00234D9B" w:rsidRPr="00C70433" w:rsidRDefault="00234D9B" w:rsidP="007A69A7">
            <w:pPr>
              <w:jc w:val="center"/>
              <w:rPr>
                <w:sz w:val="19"/>
                <w:szCs w:val="19"/>
                <w:lang w:val="en-CA" w:eastAsia="en-CA"/>
              </w:rPr>
            </w:pPr>
            <w:r w:rsidRPr="00C70433">
              <w:rPr>
                <w:sz w:val="19"/>
                <w:szCs w:val="19"/>
                <w:lang w:val="en-CA" w:eastAsia="en-CA"/>
              </w:rPr>
              <w:t>2019</w:t>
            </w:r>
          </w:p>
        </w:tc>
        <w:tc>
          <w:tcPr>
            <w:tcW w:w="1275" w:type="dxa"/>
            <w:hideMark/>
          </w:tcPr>
          <w:p w:rsidR="00234D9B" w:rsidRPr="00C70433" w:rsidRDefault="00234D9B" w:rsidP="007A69A7">
            <w:pPr>
              <w:jc w:val="right"/>
              <w:rPr>
                <w:sz w:val="19"/>
                <w:szCs w:val="19"/>
                <w:lang w:val="en-CA" w:eastAsia="en-CA"/>
              </w:rPr>
            </w:pPr>
            <w:r w:rsidRPr="00C70433">
              <w:rPr>
                <w:sz w:val="19"/>
                <w:szCs w:val="19"/>
                <w:lang w:val="en-CA" w:eastAsia="en-CA"/>
              </w:rPr>
              <w:t>249,738</w:t>
            </w:r>
          </w:p>
        </w:tc>
        <w:tc>
          <w:tcPr>
            <w:tcW w:w="3373" w:type="dxa"/>
            <w:hideMark/>
          </w:tcPr>
          <w:p w:rsidR="00234D9B" w:rsidRPr="00C70433" w:rsidRDefault="00234D9B" w:rsidP="007A69A7">
            <w:pPr>
              <w:rPr>
                <w:sz w:val="19"/>
                <w:szCs w:val="19"/>
                <w:lang w:val="en-CA" w:eastAsia="en-CA"/>
              </w:rPr>
            </w:pPr>
            <w:r w:rsidRPr="00C70433">
              <w:rPr>
                <w:sz w:val="19"/>
                <w:szCs w:val="19"/>
                <w:lang w:val="en-CA" w:eastAsia="en-CA"/>
              </w:rPr>
              <w:t>Government decisions/endorsements/ changes in the NOU/structural change/</w:t>
            </w:r>
            <w:r>
              <w:rPr>
                <w:sz w:val="19"/>
                <w:szCs w:val="19"/>
                <w:lang w:val="en-CA" w:eastAsia="en-CA"/>
              </w:rPr>
              <w:t xml:space="preserve"> </w:t>
            </w:r>
            <w:r w:rsidRPr="00C70433">
              <w:rPr>
                <w:sz w:val="19"/>
                <w:szCs w:val="19"/>
                <w:lang w:val="en-CA" w:eastAsia="en-CA"/>
              </w:rPr>
              <w:t>20</w:t>
            </w:r>
            <w:r>
              <w:rPr>
                <w:sz w:val="19"/>
                <w:szCs w:val="19"/>
                <w:lang w:val="en-CA" w:eastAsia="en-CA"/>
              </w:rPr>
              <w:t> </w:t>
            </w:r>
            <w:r w:rsidRPr="00C70433">
              <w:rPr>
                <w:sz w:val="19"/>
                <w:szCs w:val="19"/>
                <w:lang w:val="en-CA" w:eastAsia="en-CA"/>
              </w:rPr>
              <w:t>per cent disbursement threshold</w:t>
            </w:r>
          </w:p>
        </w:tc>
        <w:tc>
          <w:tcPr>
            <w:tcW w:w="5812" w:type="dxa"/>
            <w:vMerge w:val="restart"/>
          </w:tcPr>
          <w:p w:rsidR="00234D9B" w:rsidRPr="00C70433" w:rsidRDefault="00234D9B" w:rsidP="007A69A7">
            <w:pPr>
              <w:rPr>
                <w:sz w:val="19"/>
                <w:szCs w:val="19"/>
                <w:lang w:val="en-CA" w:eastAsia="en-CA"/>
              </w:rPr>
            </w:pPr>
            <w:r w:rsidRPr="00C70433">
              <w:rPr>
                <w:sz w:val="19"/>
                <w:szCs w:val="19"/>
                <w:lang w:val="en-CA"/>
              </w:rPr>
              <w:t>Noting the delays due to structural changes within the Government and the NOU and that the overall disbursement rate of the first tranche of stage II of the HPMP was below the 20 per cent disbursement threshold and urging the Government of Peru to work with UNDP and UNEP so that the second (2019) tranche could be submitted to the 84</w:t>
            </w:r>
            <w:r w:rsidRPr="00C70433">
              <w:rPr>
                <w:sz w:val="19"/>
                <w:szCs w:val="19"/>
                <w:vertAlign w:val="superscript"/>
                <w:lang w:val="en-CA"/>
              </w:rPr>
              <w:t>th</w:t>
            </w:r>
            <w:r w:rsidRPr="00C70433">
              <w:rPr>
                <w:sz w:val="19"/>
                <w:szCs w:val="19"/>
                <w:lang w:val="en-CA"/>
              </w:rPr>
              <w:t xml:space="preserve"> meeting on the understanding that the 20 per cent disbursement threshold for funding of the previous tranche had been achieved.</w:t>
            </w:r>
          </w:p>
        </w:tc>
      </w:tr>
      <w:tr w:rsidR="00234D9B" w:rsidRPr="00C70433" w:rsidTr="007A69A7">
        <w:trPr>
          <w:trHeight w:val="770"/>
        </w:trPr>
        <w:tc>
          <w:tcPr>
            <w:tcW w:w="1560" w:type="dxa"/>
            <w:vMerge/>
            <w:hideMark/>
          </w:tcPr>
          <w:p w:rsidR="00234D9B" w:rsidRPr="00C70433" w:rsidRDefault="00234D9B" w:rsidP="007A69A7">
            <w:pPr>
              <w:jc w:val="left"/>
              <w:rPr>
                <w:sz w:val="19"/>
                <w:szCs w:val="19"/>
                <w:lang w:val="en-CA" w:eastAsia="en-CA"/>
              </w:rPr>
            </w:pPr>
          </w:p>
        </w:tc>
        <w:tc>
          <w:tcPr>
            <w:tcW w:w="1276" w:type="dxa"/>
            <w:hideMark/>
          </w:tcPr>
          <w:p w:rsidR="00234D9B" w:rsidRPr="00C70433" w:rsidRDefault="00234D9B" w:rsidP="007A69A7">
            <w:pPr>
              <w:rPr>
                <w:sz w:val="19"/>
                <w:szCs w:val="19"/>
                <w:lang w:val="en-CA" w:eastAsia="en-CA"/>
              </w:rPr>
            </w:pPr>
            <w:r w:rsidRPr="00C70433">
              <w:rPr>
                <w:sz w:val="19"/>
                <w:szCs w:val="19"/>
                <w:lang w:val="en-CA" w:eastAsia="en-CA"/>
              </w:rPr>
              <w:t>UNEP</w:t>
            </w:r>
          </w:p>
        </w:tc>
        <w:tc>
          <w:tcPr>
            <w:tcW w:w="879" w:type="dxa"/>
            <w:hideMark/>
          </w:tcPr>
          <w:p w:rsidR="00234D9B" w:rsidRPr="00C70433" w:rsidRDefault="00234D9B" w:rsidP="007A69A7">
            <w:pPr>
              <w:jc w:val="center"/>
              <w:rPr>
                <w:sz w:val="19"/>
                <w:szCs w:val="19"/>
                <w:lang w:val="en-CA" w:eastAsia="en-CA"/>
              </w:rPr>
            </w:pPr>
            <w:r w:rsidRPr="00C70433">
              <w:rPr>
                <w:sz w:val="19"/>
                <w:szCs w:val="19"/>
                <w:lang w:val="en-CA" w:eastAsia="en-CA"/>
              </w:rPr>
              <w:t>2019</w:t>
            </w:r>
          </w:p>
        </w:tc>
        <w:tc>
          <w:tcPr>
            <w:tcW w:w="1275" w:type="dxa"/>
            <w:hideMark/>
          </w:tcPr>
          <w:p w:rsidR="00234D9B" w:rsidRPr="00C70433" w:rsidRDefault="00234D9B" w:rsidP="007A69A7">
            <w:pPr>
              <w:jc w:val="right"/>
              <w:rPr>
                <w:sz w:val="19"/>
                <w:szCs w:val="19"/>
                <w:lang w:val="en-CA" w:eastAsia="en-CA"/>
              </w:rPr>
            </w:pPr>
            <w:r w:rsidRPr="00C70433">
              <w:rPr>
                <w:sz w:val="19"/>
                <w:szCs w:val="19"/>
                <w:lang w:val="en-CA" w:eastAsia="en-CA"/>
              </w:rPr>
              <w:t>47,008</w:t>
            </w:r>
          </w:p>
        </w:tc>
        <w:tc>
          <w:tcPr>
            <w:tcW w:w="3373" w:type="dxa"/>
            <w:hideMark/>
          </w:tcPr>
          <w:p w:rsidR="00234D9B" w:rsidRPr="00C70433" w:rsidRDefault="00234D9B" w:rsidP="007A69A7">
            <w:pPr>
              <w:rPr>
                <w:sz w:val="19"/>
                <w:szCs w:val="19"/>
                <w:lang w:val="en-CA" w:eastAsia="en-CA"/>
              </w:rPr>
            </w:pPr>
            <w:r w:rsidRPr="00C70433">
              <w:rPr>
                <w:sz w:val="19"/>
                <w:szCs w:val="19"/>
                <w:lang w:val="en-CA" w:eastAsia="en-CA"/>
              </w:rPr>
              <w:t>Government decisions/endorsements/ changes in the NOU/structural change/</w:t>
            </w:r>
            <w:r>
              <w:rPr>
                <w:sz w:val="19"/>
                <w:szCs w:val="19"/>
                <w:lang w:val="en-CA" w:eastAsia="en-CA"/>
              </w:rPr>
              <w:t xml:space="preserve"> </w:t>
            </w:r>
            <w:r w:rsidRPr="00C70433">
              <w:rPr>
                <w:sz w:val="19"/>
                <w:szCs w:val="19"/>
                <w:lang w:val="en-CA" w:eastAsia="en-CA"/>
              </w:rPr>
              <w:t>signing of agreement/ project document/</w:t>
            </w:r>
            <w:r>
              <w:rPr>
                <w:sz w:val="19"/>
                <w:szCs w:val="19"/>
                <w:lang w:val="en-CA" w:eastAsia="en-CA"/>
              </w:rPr>
              <w:t xml:space="preserve"> </w:t>
            </w:r>
            <w:r w:rsidRPr="00C70433">
              <w:rPr>
                <w:sz w:val="19"/>
                <w:szCs w:val="19"/>
                <w:lang w:val="en-CA" w:eastAsia="en-CA"/>
              </w:rPr>
              <w:t>20 per cent disbursement threshold</w:t>
            </w:r>
          </w:p>
        </w:tc>
        <w:tc>
          <w:tcPr>
            <w:tcW w:w="5812" w:type="dxa"/>
            <w:vMerge/>
          </w:tcPr>
          <w:p w:rsidR="00234D9B" w:rsidRPr="00C70433" w:rsidRDefault="00234D9B" w:rsidP="007A69A7">
            <w:pPr>
              <w:rPr>
                <w:sz w:val="19"/>
                <w:szCs w:val="19"/>
                <w:lang w:val="en-CA" w:eastAsia="en-CA"/>
              </w:rPr>
            </w:pPr>
          </w:p>
        </w:tc>
      </w:tr>
      <w:tr w:rsidR="00234D9B" w:rsidRPr="00C70433" w:rsidTr="007A69A7">
        <w:trPr>
          <w:trHeight w:val="206"/>
        </w:trPr>
        <w:tc>
          <w:tcPr>
            <w:tcW w:w="1560" w:type="dxa"/>
          </w:tcPr>
          <w:p w:rsidR="00234D9B" w:rsidRPr="00C70433" w:rsidRDefault="00234D9B" w:rsidP="007A69A7">
            <w:pPr>
              <w:keepNext/>
              <w:jc w:val="left"/>
              <w:rPr>
                <w:sz w:val="19"/>
                <w:szCs w:val="19"/>
                <w:lang w:val="en-CA" w:eastAsia="en-CA"/>
              </w:rPr>
            </w:pPr>
            <w:r w:rsidRPr="00C70433">
              <w:rPr>
                <w:sz w:val="19"/>
                <w:szCs w:val="19"/>
                <w:lang w:val="en-CA" w:eastAsia="en-CA"/>
              </w:rPr>
              <w:t>Republic of Moldova (the) (Stage II)</w:t>
            </w:r>
          </w:p>
        </w:tc>
        <w:tc>
          <w:tcPr>
            <w:tcW w:w="1276" w:type="dxa"/>
          </w:tcPr>
          <w:p w:rsidR="00234D9B" w:rsidRPr="00C70433" w:rsidRDefault="00234D9B" w:rsidP="007A69A7">
            <w:pPr>
              <w:keepNext/>
              <w:jc w:val="left"/>
              <w:rPr>
                <w:sz w:val="19"/>
                <w:szCs w:val="19"/>
                <w:lang w:val="en-CA" w:eastAsia="en-CA"/>
              </w:rPr>
            </w:pPr>
            <w:r w:rsidRPr="00C70433">
              <w:rPr>
                <w:sz w:val="19"/>
                <w:szCs w:val="19"/>
                <w:lang w:val="en-CA" w:eastAsia="en-CA"/>
              </w:rPr>
              <w:t>UNEP</w:t>
            </w:r>
          </w:p>
        </w:tc>
        <w:tc>
          <w:tcPr>
            <w:tcW w:w="879" w:type="dxa"/>
          </w:tcPr>
          <w:p w:rsidR="00234D9B" w:rsidRPr="00C70433" w:rsidRDefault="00234D9B" w:rsidP="007A69A7">
            <w:pPr>
              <w:keepNext/>
              <w:jc w:val="center"/>
              <w:rPr>
                <w:sz w:val="19"/>
                <w:szCs w:val="19"/>
                <w:lang w:val="en-CA" w:eastAsia="en-CA"/>
              </w:rPr>
            </w:pPr>
            <w:r w:rsidRPr="00C70433">
              <w:rPr>
                <w:sz w:val="19"/>
                <w:szCs w:val="19"/>
                <w:lang w:val="en-CA" w:eastAsia="en-CA"/>
              </w:rPr>
              <w:t>2018</w:t>
            </w:r>
          </w:p>
        </w:tc>
        <w:tc>
          <w:tcPr>
            <w:tcW w:w="1275" w:type="dxa"/>
          </w:tcPr>
          <w:p w:rsidR="00234D9B" w:rsidRPr="00C70433" w:rsidRDefault="00234D9B" w:rsidP="007A69A7">
            <w:pPr>
              <w:keepNext/>
              <w:jc w:val="right"/>
              <w:rPr>
                <w:sz w:val="19"/>
                <w:szCs w:val="19"/>
                <w:lang w:val="en-CA" w:eastAsia="en-CA"/>
              </w:rPr>
            </w:pPr>
            <w:r w:rsidRPr="00C70433">
              <w:rPr>
                <w:sz w:val="19"/>
                <w:szCs w:val="19"/>
                <w:lang w:val="en-CA" w:eastAsia="en-CA"/>
              </w:rPr>
              <w:t>29,493</w:t>
            </w:r>
          </w:p>
        </w:tc>
        <w:tc>
          <w:tcPr>
            <w:tcW w:w="3373" w:type="dxa"/>
          </w:tcPr>
          <w:p w:rsidR="00234D9B" w:rsidRPr="00C70433" w:rsidRDefault="00234D9B" w:rsidP="007A69A7">
            <w:pPr>
              <w:rPr>
                <w:sz w:val="19"/>
                <w:szCs w:val="19"/>
                <w:lang w:val="en-CA" w:eastAsia="en-CA"/>
              </w:rPr>
            </w:pPr>
            <w:r w:rsidRPr="00C70433">
              <w:rPr>
                <w:sz w:val="19"/>
                <w:szCs w:val="19"/>
                <w:lang w:val="en-CA" w:eastAsia="en-CA"/>
              </w:rPr>
              <w:t>Government decisions/endorsements/ changes in the NOU/structural change/</w:t>
            </w:r>
            <w:r>
              <w:rPr>
                <w:sz w:val="19"/>
                <w:szCs w:val="19"/>
                <w:lang w:val="en-CA" w:eastAsia="en-CA"/>
              </w:rPr>
              <w:t xml:space="preserve"> </w:t>
            </w:r>
            <w:r w:rsidRPr="00C70433">
              <w:rPr>
                <w:sz w:val="19"/>
                <w:szCs w:val="19"/>
                <w:lang w:val="en-CA" w:eastAsia="en-CA"/>
              </w:rPr>
              <w:t>sufficient funds from previous tranche approved</w:t>
            </w:r>
          </w:p>
          <w:p w:rsidR="00234D9B" w:rsidRPr="00C70433" w:rsidRDefault="00234D9B" w:rsidP="007A69A7">
            <w:pPr>
              <w:keepNext/>
              <w:rPr>
                <w:sz w:val="19"/>
                <w:szCs w:val="19"/>
                <w:lang w:val="en-CA" w:eastAsia="en-CA"/>
              </w:rPr>
            </w:pPr>
          </w:p>
        </w:tc>
        <w:tc>
          <w:tcPr>
            <w:tcW w:w="5812" w:type="dxa"/>
          </w:tcPr>
          <w:p w:rsidR="00234D9B" w:rsidRPr="00C70433" w:rsidRDefault="00234D9B" w:rsidP="007A69A7">
            <w:pPr>
              <w:rPr>
                <w:sz w:val="19"/>
                <w:szCs w:val="19"/>
                <w:lang w:val="en-CA" w:eastAsia="en-CA"/>
              </w:rPr>
            </w:pPr>
            <w:r w:rsidRPr="00C70433">
              <w:rPr>
                <w:sz w:val="19"/>
                <w:szCs w:val="19"/>
                <w:lang w:val="en-CA"/>
              </w:rPr>
              <w:t xml:space="preserve">Noting the delays due to structural changes within the Government and urging the Government of the Republic of Moldova to work with </w:t>
            </w:r>
            <w:r w:rsidRPr="00C70433">
              <w:rPr>
                <w:sz w:val="19"/>
                <w:szCs w:val="19"/>
                <w:lang w:val="en-CA" w:eastAsia="en-CA"/>
              </w:rPr>
              <w:t>UNEP</w:t>
            </w:r>
            <w:r w:rsidRPr="00C70433">
              <w:rPr>
                <w:sz w:val="19"/>
                <w:szCs w:val="19"/>
                <w:lang w:val="en-CA"/>
              </w:rPr>
              <w:t xml:space="preserve"> so that the second (2018) tranche of stage II of the HPMP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2018 and subsequent tranches.</w:t>
            </w:r>
          </w:p>
        </w:tc>
      </w:tr>
      <w:tr w:rsidR="00234D9B" w:rsidRPr="00C70433" w:rsidTr="007A69A7">
        <w:trPr>
          <w:trHeight w:val="1263"/>
        </w:trPr>
        <w:tc>
          <w:tcPr>
            <w:tcW w:w="1560" w:type="dxa"/>
          </w:tcPr>
          <w:p w:rsidR="00234D9B" w:rsidRPr="00C70433" w:rsidRDefault="00234D9B" w:rsidP="007A69A7">
            <w:pPr>
              <w:keepNext/>
              <w:ind w:right="-131"/>
              <w:jc w:val="left"/>
              <w:rPr>
                <w:sz w:val="19"/>
                <w:szCs w:val="19"/>
                <w:lang w:val="en-CA" w:eastAsia="en-CA"/>
              </w:rPr>
            </w:pPr>
            <w:r w:rsidRPr="00C70433">
              <w:rPr>
                <w:sz w:val="19"/>
                <w:szCs w:val="19"/>
                <w:lang w:val="en-CA" w:eastAsia="en-CA"/>
              </w:rPr>
              <w:t>Saint Vincent and the Grenadines (Stage I)</w:t>
            </w: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UNEP</w:t>
            </w:r>
          </w:p>
          <w:p w:rsidR="00234D9B" w:rsidRPr="00C70433" w:rsidRDefault="00234D9B" w:rsidP="007A69A7">
            <w:pPr>
              <w:keepNext/>
              <w:jc w:val="left"/>
              <w:rPr>
                <w:sz w:val="19"/>
                <w:szCs w:val="19"/>
                <w:lang w:val="en-CA" w:eastAsia="en-CA"/>
              </w:rPr>
            </w:pP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2018</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116,390</w:t>
            </w:r>
          </w:p>
        </w:tc>
        <w:tc>
          <w:tcPr>
            <w:tcW w:w="3373" w:type="dxa"/>
          </w:tcPr>
          <w:p w:rsidR="00234D9B" w:rsidRPr="00C70433" w:rsidRDefault="00234D9B" w:rsidP="007A69A7">
            <w:pPr>
              <w:rPr>
                <w:sz w:val="19"/>
                <w:szCs w:val="19"/>
                <w:lang w:val="en-CA" w:eastAsia="en-CA"/>
              </w:rPr>
            </w:pPr>
            <w:r w:rsidRPr="00C70433">
              <w:rPr>
                <w:sz w:val="19"/>
                <w:szCs w:val="19"/>
                <w:lang w:val="en-CA" w:eastAsia="en-CA"/>
              </w:rPr>
              <w:t>Government decisions/endorsements/ changes in the NOU/structural change/</w:t>
            </w:r>
            <w:r>
              <w:rPr>
                <w:sz w:val="19"/>
                <w:szCs w:val="19"/>
                <w:lang w:val="en-CA" w:eastAsia="en-CA"/>
              </w:rPr>
              <w:t xml:space="preserve"> </w:t>
            </w:r>
            <w:r w:rsidRPr="00C70433">
              <w:rPr>
                <w:sz w:val="19"/>
                <w:szCs w:val="19"/>
                <w:lang w:val="en-CA" w:eastAsia="en-CA"/>
              </w:rPr>
              <w:t>sufficient funds from previous tranche approved/submission of progress and financial reports/internal or external difficulties</w:t>
            </w:r>
          </w:p>
        </w:tc>
        <w:tc>
          <w:tcPr>
            <w:tcW w:w="5812" w:type="dxa"/>
          </w:tcPr>
          <w:p w:rsidR="00234D9B" w:rsidRPr="00C70433" w:rsidRDefault="00234D9B" w:rsidP="007A69A7">
            <w:pPr>
              <w:keepNext/>
              <w:rPr>
                <w:sz w:val="19"/>
                <w:szCs w:val="19"/>
                <w:lang w:val="en-CA"/>
              </w:rPr>
            </w:pPr>
            <w:r w:rsidRPr="00C70433">
              <w:rPr>
                <w:sz w:val="19"/>
                <w:szCs w:val="19"/>
                <w:lang w:val="en-CA"/>
              </w:rPr>
              <w:t xml:space="preserve">Noting the delays due to structural changes within the Government and the non-submission of the progress and financial reports and urging the Government of Saint Vincent and the Grenadines to work with </w:t>
            </w:r>
            <w:r w:rsidRPr="00C70433">
              <w:rPr>
                <w:sz w:val="19"/>
                <w:szCs w:val="19"/>
                <w:lang w:val="en-CA" w:eastAsia="en-CA"/>
              </w:rPr>
              <w:t>UNEP</w:t>
            </w:r>
            <w:r w:rsidRPr="00C70433">
              <w:rPr>
                <w:sz w:val="19"/>
                <w:szCs w:val="19"/>
                <w:lang w:val="en-CA"/>
              </w:rPr>
              <w:t xml:space="preserve"> to submit the required progress and financial reports so that the third (2018) tranche of stage I of the HPMP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2018 and subsequent tranches.</w:t>
            </w:r>
          </w:p>
        </w:tc>
      </w:tr>
      <w:tr w:rsidR="00234D9B" w:rsidRPr="00C70433" w:rsidTr="007A69A7">
        <w:trPr>
          <w:trHeight w:val="650"/>
        </w:trPr>
        <w:tc>
          <w:tcPr>
            <w:tcW w:w="1560" w:type="dxa"/>
            <w:vMerge w:val="restart"/>
          </w:tcPr>
          <w:p w:rsidR="00234D9B" w:rsidRPr="00C70433" w:rsidRDefault="00234D9B" w:rsidP="007A69A7">
            <w:pPr>
              <w:jc w:val="left"/>
              <w:rPr>
                <w:sz w:val="19"/>
                <w:szCs w:val="19"/>
                <w:lang w:val="en-CA" w:eastAsia="en-CA"/>
              </w:rPr>
            </w:pPr>
            <w:r w:rsidRPr="00C70433">
              <w:rPr>
                <w:sz w:val="19"/>
                <w:szCs w:val="19"/>
                <w:lang w:val="en-CA" w:eastAsia="en-CA"/>
              </w:rPr>
              <w:t>Senegal (Stage I)</w:t>
            </w: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UNEP</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2018</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90,400</w:t>
            </w:r>
          </w:p>
        </w:tc>
        <w:tc>
          <w:tcPr>
            <w:tcW w:w="3373" w:type="dxa"/>
            <w:vMerge w:val="restart"/>
          </w:tcPr>
          <w:p w:rsidR="00234D9B" w:rsidRPr="00C70433" w:rsidRDefault="00234D9B" w:rsidP="007A69A7">
            <w:pPr>
              <w:rPr>
                <w:sz w:val="19"/>
                <w:szCs w:val="19"/>
                <w:lang w:val="en-CA" w:eastAsia="en-CA"/>
              </w:rPr>
            </w:pPr>
            <w:r w:rsidRPr="00C70433">
              <w:rPr>
                <w:sz w:val="19"/>
                <w:szCs w:val="19"/>
                <w:lang w:val="en-CA" w:eastAsia="en-CA"/>
              </w:rPr>
              <w:t xml:space="preserve">Revision of agreement or plan of action </w:t>
            </w:r>
          </w:p>
        </w:tc>
        <w:tc>
          <w:tcPr>
            <w:tcW w:w="5812" w:type="dxa"/>
            <w:vMerge w:val="restart"/>
          </w:tcPr>
          <w:p w:rsidR="00234D9B" w:rsidRPr="00C70433" w:rsidRDefault="00234D9B" w:rsidP="007A69A7">
            <w:pPr>
              <w:rPr>
                <w:sz w:val="19"/>
                <w:szCs w:val="19"/>
                <w:lang w:val="en-CA"/>
              </w:rPr>
            </w:pPr>
            <w:r w:rsidRPr="00C70433">
              <w:rPr>
                <w:sz w:val="19"/>
                <w:szCs w:val="19"/>
                <w:lang w:val="en-CA"/>
              </w:rPr>
              <w:t>Noting the delays due to the revision of the agreement or the work plan and urging the Government of Senegal to work with UNEP and UNIDO to complete the revised agreement so that the third (2018) tranche of stage I of the HPMP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2018 and subsequent tranches.</w:t>
            </w:r>
          </w:p>
        </w:tc>
      </w:tr>
      <w:tr w:rsidR="00234D9B" w:rsidRPr="00C70433" w:rsidTr="007A69A7">
        <w:trPr>
          <w:trHeight w:val="651"/>
        </w:trPr>
        <w:tc>
          <w:tcPr>
            <w:tcW w:w="1560" w:type="dxa"/>
            <w:vMerge/>
          </w:tcPr>
          <w:p w:rsidR="00234D9B" w:rsidRPr="00C70433" w:rsidRDefault="00234D9B" w:rsidP="007A69A7">
            <w:pPr>
              <w:jc w:val="left"/>
              <w:rPr>
                <w:sz w:val="19"/>
                <w:szCs w:val="19"/>
                <w:lang w:val="en-CA" w:eastAsia="en-CA"/>
              </w:rPr>
            </w:pP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UNIDO</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2018</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21,500</w:t>
            </w:r>
          </w:p>
        </w:tc>
        <w:tc>
          <w:tcPr>
            <w:tcW w:w="3373" w:type="dxa"/>
            <w:vMerge/>
          </w:tcPr>
          <w:p w:rsidR="00234D9B" w:rsidRPr="00C70433" w:rsidRDefault="00234D9B" w:rsidP="007A69A7">
            <w:pPr>
              <w:rPr>
                <w:sz w:val="19"/>
                <w:szCs w:val="19"/>
                <w:lang w:val="en-CA" w:eastAsia="en-CA"/>
              </w:rPr>
            </w:pPr>
          </w:p>
        </w:tc>
        <w:tc>
          <w:tcPr>
            <w:tcW w:w="5812" w:type="dxa"/>
            <w:vMerge/>
          </w:tcPr>
          <w:p w:rsidR="00234D9B" w:rsidRPr="00C70433" w:rsidRDefault="00234D9B" w:rsidP="007A69A7">
            <w:pPr>
              <w:rPr>
                <w:sz w:val="19"/>
                <w:szCs w:val="19"/>
                <w:lang w:val="en-CA"/>
              </w:rPr>
            </w:pPr>
          </w:p>
        </w:tc>
      </w:tr>
      <w:tr w:rsidR="00234D9B" w:rsidRPr="00C70433" w:rsidTr="007A69A7">
        <w:trPr>
          <w:trHeight w:val="778"/>
        </w:trPr>
        <w:tc>
          <w:tcPr>
            <w:tcW w:w="1560" w:type="dxa"/>
            <w:vMerge w:val="restart"/>
          </w:tcPr>
          <w:p w:rsidR="00234D9B" w:rsidRPr="00C70433" w:rsidRDefault="00234D9B" w:rsidP="007A69A7">
            <w:pPr>
              <w:keepNext/>
              <w:keepLines/>
              <w:jc w:val="left"/>
              <w:rPr>
                <w:sz w:val="19"/>
                <w:szCs w:val="19"/>
                <w:lang w:val="en-CA" w:eastAsia="en-CA"/>
              </w:rPr>
            </w:pPr>
            <w:r w:rsidRPr="00C70433">
              <w:rPr>
                <w:sz w:val="19"/>
                <w:szCs w:val="19"/>
                <w:lang w:val="en-CA" w:eastAsia="en-CA"/>
              </w:rPr>
              <w:lastRenderedPageBreak/>
              <w:t>South Sudan (Stage I)</w:t>
            </w:r>
          </w:p>
        </w:tc>
        <w:tc>
          <w:tcPr>
            <w:tcW w:w="1276" w:type="dxa"/>
          </w:tcPr>
          <w:p w:rsidR="00234D9B" w:rsidRPr="00C70433" w:rsidRDefault="00234D9B" w:rsidP="007A69A7">
            <w:pPr>
              <w:rPr>
                <w:sz w:val="19"/>
                <w:szCs w:val="19"/>
                <w:lang w:val="en-CA" w:eastAsia="en-CA"/>
              </w:rPr>
            </w:pPr>
            <w:r w:rsidRPr="00C70433">
              <w:rPr>
                <w:sz w:val="19"/>
                <w:szCs w:val="19"/>
                <w:lang w:val="en-CA" w:eastAsia="en-CA"/>
              </w:rPr>
              <w:t>UNDP</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2018</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54,500</w:t>
            </w:r>
          </w:p>
        </w:tc>
        <w:tc>
          <w:tcPr>
            <w:tcW w:w="3373" w:type="dxa"/>
          </w:tcPr>
          <w:p w:rsidR="00234D9B" w:rsidRPr="00C70433" w:rsidRDefault="00234D9B" w:rsidP="007A69A7">
            <w:pPr>
              <w:rPr>
                <w:sz w:val="19"/>
                <w:szCs w:val="19"/>
                <w:lang w:val="en-CA" w:eastAsia="en-CA"/>
              </w:rPr>
            </w:pPr>
            <w:r w:rsidRPr="00C70433">
              <w:rPr>
                <w:sz w:val="19"/>
                <w:szCs w:val="19"/>
                <w:lang w:val="en-CA" w:eastAsia="en-CA"/>
              </w:rPr>
              <w:t>Government decisions/endorsements/ changes in the NOU/structural change/</w:t>
            </w:r>
            <w:r>
              <w:rPr>
                <w:sz w:val="19"/>
                <w:szCs w:val="19"/>
                <w:lang w:val="en-CA" w:eastAsia="en-CA"/>
              </w:rPr>
              <w:t xml:space="preserve"> </w:t>
            </w:r>
            <w:r w:rsidRPr="00C70433">
              <w:rPr>
                <w:sz w:val="19"/>
                <w:szCs w:val="19"/>
                <w:lang w:val="en-CA" w:eastAsia="en-CA"/>
              </w:rPr>
              <w:t>internal or external difficulties</w:t>
            </w:r>
          </w:p>
        </w:tc>
        <w:tc>
          <w:tcPr>
            <w:tcW w:w="5812" w:type="dxa"/>
            <w:vMerge w:val="restart"/>
          </w:tcPr>
          <w:p w:rsidR="00234D9B" w:rsidRPr="00C70433" w:rsidRDefault="00234D9B" w:rsidP="007A69A7">
            <w:pPr>
              <w:rPr>
                <w:sz w:val="19"/>
                <w:szCs w:val="19"/>
                <w:lang w:val="en-CA"/>
              </w:rPr>
            </w:pPr>
            <w:r w:rsidRPr="00C70433">
              <w:rPr>
                <w:sz w:val="19"/>
                <w:szCs w:val="19"/>
                <w:lang w:val="en-CA"/>
              </w:rPr>
              <w:t>Noting the structural change</w:t>
            </w:r>
            <w:r w:rsidRPr="00C70433">
              <w:t xml:space="preserve"> </w:t>
            </w:r>
            <w:r w:rsidRPr="00C70433">
              <w:rPr>
                <w:sz w:val="19"/>
                <w:szCs w:val="19"/>
                <w:lang w:val="en-CA"/>
              </w:rPr>
              <w:t>in the country and urging the Government of South Sudan to work with UNDP and UNEP so that the second (2018) tranche of stage I of the HPMP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2018 and subsequent tranches, on the understanding that the 20 per cent disbursement threshold for funding of the previous tranche had been achieved.</w:t>
            </w:r>
          </w:p>
        </w:tc>
      </w:tr>
      <w:tr w:rsidR="00234D9B" w:rsidRPr="00C70433" w:rsidTr="007A69A7">
        <w:trPr>
          <w:trHeight w:val="649"/>
        </w:trPr>
        <w:tc>
          <w:tcPr>
            <w:tcW w:w="1560" w:type="dxa"/>
            <w:vMerge/>
          </w:tcPr>
          <w:p w:rsidR="00234D9B" w:rsidRPr="00C70433" w:rsidRDefault="00234D9B" w:rsidP="007A69A7">
            <w:pPr>
              <w:keepNext/>
              <w:keepLines/>
              <w:jc w:val="left"/>
              <w:rPr>
                <w:sz w:val="19"/>
                <w:szCs w:val="19"/>
                <w:lang w:val="en-CA" w:eastAsia="en-CA"/>
              </w:rPr>
            </w:pPr>
          </w:p>
        </w:tc>
        <w:tc>
          <w:tcPr>
            <w:tcW w:w="1276" w:type="dxa"/>
          </w:tcPr>
          <w:p w:rsidR="00234D9B" w:rsidRPr="00C70433" w:rsidRDefault="00234D9B" w:rsidP="007A69A7">
            <w:pPr>
              <w:rPr>
                <w:sz w:val="19"/>
                <w:szCs w:val="19"/>
                <w:lang w:val="en-CA" w:eastAsia="en-CA"/>
              </w:rPr>
            </w:pPr>
            <w:r w:rsidRPr="00C70433">
              <w:rPr>
                <w:sz w:val="19"/>
                <w:szCs w:val="19"/>
                <w:lang w:val="en-CA" w:eastAsia="en-CA"/>
              </w:rPr>
              <w:t>UNEP</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2018</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79,665</w:t>
            </w:r>
          </w:p>
        </w:tc>
        <w:tc>
          <w:tcPr>
            <w:tcW w:w="3373" w:type="dxa"/>
          </w:tcPr>
          <w:p w:rsidR="00234D9B" w:rsidRPr="00C70433" w:rsidRDefault="00234D9B" w:rsidP="007A69A7">
            <w:pPr>
              <w:rPr>
                <w:sz w:val="19"/>
                <w:szCs w:val="19"/>
                <w:lang w:val="en-CA" w:eastAsia="en-CA"/>
              </w:rPr>
            </w:pPr>
            <w:r w:rsidRPr="00C70433">
              <w:rPr>
                <w:sz w:val="19"/>
                <w:szCs w:val="19"/>
                <w:lang w:val="en-CA" w:eastAsia="en-CA"/>
              </w:rPr>
              <w:t>Government decisions/endorsements/ changes in the NOU/structural change/</w:t>
            </w:r>
            <w:r>
              <w:rPr>
                <w:sz w:val="19"/>
                <w:szCs w:val="19"/>
                <w:lang w:val="en-CA" w:eastAsia="en-CA"/>
              </w:rPr>
              <w:t xml:space="preserve"> </w:t>
            </w:r>
            <w:r w:rsidRPr="00C70433">
              <w:rPr>
                <w:sz w:val="19"/>
                <w:szCs w:val="19"/>
                <w:lang w:val="en-CA" w:eastAsia="en-CA"/>
              </w:rPr>
              <w:t>20</w:t>
            </w:r>
            <w:r>
              <w:rPr>
                <w:sz w:val="19"/>
                <w:szCs w:val="19"/>
                <w:lang w:val="en-CA" w:eastAsia="en-CA"/>
              </w:rPr>
              <w:t> </w:t>
            </w:r>
            <w:r w:rsidRPr="00C70433">
              <w:rPr>
                <w:sz w:val="19"/>
                <w:szCs w:val="19"/>
                <w:lang w:val="en-CA" w:eastAsia="en-CA"/>
              </w:rPr>
              <w:t>per cent disbursement threshold</w:t>
            </w:r>
          </w:p>
        </w:tc>
        <w:tc>
          <w:tcPr>
            <w:tcW w:w="5812" w:type="dxa"/>
            <w:vMerge/>
          </w:tcPr>
          <w:p w:rsidR="00234D9B" w:rsidRPr="00C70433" w:rsidRDefault="00234D9B" w:rsidP="007A69A7">
            <w:pPr>
              <w:rPr>
                <w:sz w:val="19"/>
                <w:szCs w:val="19"/>
                <w:lang w:val="en-CA"/>
              </w:rPr>
            </w:pPr>
          </w:p>
        </w:tc>
      </w:tr>
      <w:tr w:rsidR="00234D9B" w:rsidRPr="00C70433" w:rsidTr="007A69A7">
        <w:trPr>
          <w:trHeight w:val="58"/>
        </w:trPr>
        <w:tc>
          <w:tcPr>
            <w:tcW w:w="1560" w:type="dxa"/>
            <w:vMerge w:val="restart"/>
          </w:tcPr>
          <w:p w:rsidR="00234D9B" w:rsidRPr="00C70433" w:rsidRDefault="00234D9B" w:rsidP="007A69A7">
            <w:pPr>
              <w:jc w:val="left"/>
              <w:rPr>
                <w:sz w:val="19"/>
                <w:szCs w:val="19"/>
                <w:lang w:val="en-CA" w:eastAsia="en-CA"/>
              </w:rPr>
            </w:pPr>
            <w:r w:rsidRPr="00C70433">
              <w:rPr>
                <w:sz w:val="19"/>
                <w:szCs w:val="19"/>
                <w:lang w:val="en-CA" w:eastAsia="en-CA"/>
              </w:rPr>
              <w:t>Tunisia (Stage I)</w:t>
            </w:r>
          </w:p>
        </w:tc>
        <w:tc>
          <w:tcPr>
            <w:tcW w:w="1276" w:type="dxa"/>
          </w:tcPr>
          <w:p w:rsidR="00234D9B" w:rsidRPr="00C70433" w:rsidRDefault="00234D9B" w:rsidP="007A69A7">
            <w:pPr>
              <w:rPr>
                <w:sz w:val="19"/>
                <w:szCs w:val="19"/>
                <w:lang w:val="en-CA" w:eastAsia="en-CA"/>
              </w:rPr>
            </w:pPr>
            <w:r w:rsidRPr="00C70433">
              <w:rPr>
                <w:sz w:val="19"/>
                <w:szCs w:val="19"/>
                <w:lang w:val="en-CA" w:eastAsia="en-CA"/>
              </w:rPr>
              <w:t>France</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2017</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78,769</w:t>
            </w:r>
          </w:p>
        </w:tc>
        <w:tc>
          <w:tcPr>
            <w:tcW w:w="3373" w:type="dxa"/>
          </w:tcPr>
          <w:p w:rsidR="00234D9B" w:rsidRPr="00C70433" w:rsidRDefault="00234D9B" w:rsidP="007A69A7">
            <w:pPr>
              <w:jc w:val="left"/>
              <w:rPr>
                <w:sz w:val="19"/>
                <w:szCs w:val="19"/>
                <w:lang w:val="en-CA" w:eastAsia="en-CA"/>
              </w:rPr>
            </w:pPr>
            <w:r w:rsidRPr="00C70433">
              <w:rPr>
                <w:sz w:val="19"/>
                <w:szCs w:val="19"/>
                <w:lang w:val="en-CA" w:eastAsia="en-CA"/>
              </w:rPr>
              <w:t>Investment component implementation</w:t>
            </w:r>
          </w:p>
        </w:tc>
        <w:tc>
          <w:tcPr>
            <w:tcW w:w="5812" w:type="dxa"/>
            <w:vMerge w:val="restart"/>
          </w:tcPr>
          <w:p w:rsidR="00234D9B" w:rsidRPr="00C70433" w:rsidRDefault="00234D9B" w:rsidP="007A69A7">
            <w:pPr>
              <w:rPr>
                <w:sz w:val="19"/>
                <w:szCs w:val="19"/>
                <w:lang w:val="en-CA"/>
              </w:rPr>
            </w:pPr>
            <w:r w:rsidRPr="00C70433">
              <w:rPr>
                <w:sz w:val="19"/>
                <w:szCs w:val="19"/>
                <w:lang w:val="en-CA"/>
              </w:rPr>
              <w:t>Noting the request for cancellation of the residential refrigeration air</w:t>
            </w:r>
            <w:r>
              <w:rPr>
                <w:sz w:val="19"/>
                <w:szCs w:val="19"/>
                <w:lang w:val="en-CA"/>
              </w:rPr>
              <w:noBreakHyphen/>
            </w:r>
            <w:r w:rsidRPr="00C70433">
              <w:rPr>
                <w:sz w:val="19"/>
                <w:szCs w:val="19"/>
                <w:lang w:val="en-CA"/>
              </w:rPr>
              <w:t xml:space="preserve">conditioning manufacturing sector of stage I of the HPMP implemented by the Government of France and UNIDO and urging the Government of Tunisia to work with the Government France, UNEP and </w:t>
            </w:r>
            <w:r w:rsidRPr="00C70433">
              <w:rPr>
                <w:sz w:val="19"/>
                <w:szCs w:val="19"/>
                <w:lang w:val="en-CA" w:eastAsia="en-CA"/>
              </w:rPr>
              <w:t>UNIDO</w:t>
            </w:r>
            <w:r w:rsidRPr="00C70433">
              <w:rPr>
                <w:sz w:val="19"/>
                <w:szCs w:val="19"/>
                <w:lang w:val="en-CA"/>
              </w:rPr>
              <w:t xml:space="preserve"> so that the third (2017) tranche could be submitted to the 84</w:t>
            </w:r>
            <w:r w:rsidRPr="00C70433">
              <w:rPr>
                <w:sz w:val="19"/>
                <w:szCs w:val="19"/>
                <w:vertAlign w:val="superscript"/>
                <w:lang w:val="en-CA"/>
              </w:rPr>
              <w:t>th</w:t>
            </w:r>
            <w:r>
              <w:rPr>
                <w:sz w:val="19"/>
                <w:szCs w:val="19"/>
                <w:lang w:val="en-CA"/>
              </w:rPr>
              <w:t> </w:t>
            </w:r>
            <w:r w:rsidRPr="00C70433">
              <w:rPr>
                <w:sz w:val="19"/>
                <w:szCs w:val="19"/>
                <w:lang w:val="en-CA"/>
              </w:rPr>
              <w:t>meeting with a revised plan of action to take into account the reallocation of the 2017 tranche.</w:t>
            </w:r>
          </w:p>
        </w:tc>
      </w:tr>
      <w:tr w:rsidR="00234D9B" w:rsidRPr="00C70433" w:rsidTr="007A69A7">
        <w:trPr>
          <w:trHeight w:val="339"/>
        </w:trPr>
        <w:tc>
          <w:tcPr>
            <w:tcW w:w="1560" w:type="dxa"/>
            <w:vMerge/>
          </w:tcPr>
          <w:p w:rsidR="00234D9B" w:rsidRPr="00C70433" w:rsidRDefault="00234D9B" w:rsidP="007A69A7">
            <w:pPr>
              <w:jc w:val="left"/>
              <w:rPr>
                <w:sz w:val="19"/>
                <w:szCs w:val="19"/>
                <w:lang w:val="en-CA" w:eastAsia="en-CA"/>
              </w:rPr>
            </w:pPr>
          </w:p>
        </w:tc>
        <w:tc>
          <w:tcPr>
            <w:tcW w:w="1276" w:type="dxa"/>
          </w:tcPr>
          <w:p w:rsidR="00234D9B" w:rsidRPr="00C70433" w:rsidRDefault="00234D9B" w:rsidP="007A69A7">
            <w:pPr>
              <w:rPr>
                <w:sz w:val="19"/>
                <w:szCs w:val="19"/>
                <w:lang w:val="en-CA" w:eastAsia="en-CA"/>
              </w:rPr>
            </w:pPr>
            <w:r w:rsidRPr="00C70433">
              <w:rPr>
                <w:sz w:val="19"/>
                <w:szCs w:val="19"/>
                <w:lang w:val="en-CA" w:eastAsia="en-CA"/>
              </w:rPr>
              <w:t>UNEP</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2017</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16,950</w:t>
            </w:r>
          </w:p>
        </w:tc>
        <w:tc>
          <w:tcPr>
            <w:tcW w:w="3373" w:type="dxa"/>
          </w:tcPr>
          <w:p w:rsidR="00234D9B" w:rsidRPr="00C70433" w:rsidRDefault="00234D9B" w:rsidP="007A69A7">
            <w:pPr>
              <w:rPr>
                <w:sz w:val="19"/>
                <w:szCs w:val="19"/>
                <w:lang w:val="en-CA" w:eastAsia="en-CA"/>
              </w:rPr>
            </w:pPr>
            <w:r w:rsidRPr="00C70433">
              <w:rPr>
                <w:sz w:val="19"/>
                <w:szCs w:val="19"/>
                <w:lang w:val="en-CA" w:eastAsia="en-CA"/>
              </w:rPr>
              <w:t>Investment component implementation</w:t>
            </w:r>
          </w:p>
        </w:tc>
        <w:tc>
          <w:tcPr>
            <w:tcW w:w="5812" w:type="dxa"/>
            <w:vMerge/>
          </w:tcPr>
          <w:p w:rsidR="00234D9B" w:rsidRPr="00C70433" w:rsidRDefault="00234D9B" w:rsidP="007A69A7">
            <w:pPr>
              <w:rPr>
                <w:sz w:val="19"/>
                <w:szCs w:val="19"/>
                <w:lang w:val="en-CA"/>
              </w:rPr>
            </w:pPr>
          </w:p>
        </w:tc>
      </w:tr>
      <w:tr w:rsidR="00234D9B" w:rsidRPr="00C70433" w:rsidTr="007A69A7">
        <w:trPr>
          <w:trHeight w:val="449"/>
        </w:trPr>
        <w:tc>
          <w:tcPr>
            <w:tcW w:w="1560" w:type="dxa"/>
            <w:vMerge/>
          </w:tcPr>
          <w:p w:rsidR="00234D9B" w:rsidRPr="00C70433" w:rsidRDefault="00234D9B" w:rsidP="007A69A7">
            <w:pPr>
              <w:jc w:val="left"/>
              <w:rPr>
                <w:sz w:val="19"/>
                <w:szCs w:val="19"/>
                <w:lang w:val="en-CA" w:eastAsia="en-CA"/>
              </w:rPr>
            </w:pPr>
          </w:p>
        </w:tc>
        <w:tc>
          <w:tcPr>
            <w:tcW w:w="1276" w:type="dxa"/>
          </w:tcPr>
          <w:p w:rsidR="00234D9B" w:rsidRPr="00C70433" w:rsidRDefault="00234D9B" w:rsidP="007A69A7">
            <w:pPr>
              <w:rPr>
                <w:sz w:val="19"/>
                <w:szCs w:val="19"/>
                <w:lang w:val="en-CA" w:eastAsia="en-CA"/>
              </w:rPr>
            </w:pPr>
            <w:r w:rsidRPr="00C70433">
              <w:rPr>
                <w:sz w:val="19"/>
                <w:szCs w:val="19"/>
                <w:lang w:val="en-CA" w:eastAsia="en-CA"/>
              </w:rPr>
              <w:t>UNIDO</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2017</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116,003</w:t>
            </w:r>
          </w:p>
        </w:tc>
        <w:tc>
          <w:tcPr>
            <w:tcW w:w="3373" w:type="dxa"/>
          </w:tcPr>
          <w:p w:rsidR="00234D9B" w:rsidRPr="00C70433" w:rsidRDefault="00234D9B" w:rsidP="007A69A7">
            <w:pPr>
              <w:rPr>
                <w:sz w:val="19"/>
                <w:szCs w:val="19"/>
                <w:lang w:val="en-CA" w:eastAsia="en-CA"/>
              </w:rPr>
            </w:pPr>
            <w:r w:rsidRPr="00C70433">
              <w:rPr>
                <w:sz w:val="19"/>
                <w:szCs w:val="19"/>
                <w:lang w:val="en-CA" w:eastAsia="en-CA"/>
              </w:rPr>
              <w:t>Investment component implementation/ internal or external difficulties/enterprise difficulties</w:t>
            </w:r>
          </w:p>
        </w:tc>
        <w:tc>
          <w:tcPr>
            <w:tcW w:w="5812" w:type="dxa"/>
            <w:vMerge/>
          </w:tcPr>
          <w:p w:rsidR="00234D9B" w:rsidRPr="00C70433" w:rsidRDefault="00234D9B" w:rsidP="007A69A7">
            <w:pPr>
              <w:rPr>
                <w:sz w:val="19"/>
                <w:szCs w:val="19"/>
                <w:lang w:val="en-CA"/>
              </w:rPr>
            </w:pPr>
          </w:p>
        </w:tc>
      </w:tr>
      <w:tr w:rsidR="00234D9B" w:rsidRPr="00C70433" w:rsidTr="007A69A7">
        <w:trPr>
          <w:trHeight w:val="410"/>
        </w:trPr>
        <w:tc>
          <w:tcPr>
            <w:tcW w:w="1560" w:type="dxa"/>
            <w:hideMark/>
          </w:tcPr>
          <w:p w:rsidR="00234D9B" w:rsidRPr="00C70433" w:rsidRDefault="00234D9B" w:rsidP="007A69A7">
            <w:pPr>
              <w:jc w:val="left"/>
              <w:rPr>
                <w:sz w:val="19"/>
                <w:szCs w:val="19"/>
                <w:lang w:val="en-CA" w:eastAsia="en-CA"/>
              </w:rPr>
            </w:pPr>
            <w:r w:rsidRPr="00C70433">
              <w:rPr>
                <w:sz w:val="19"/>
                <w:szCs w:val="19"/>
                <w:lang w:val="en-CA" w:eastAsia="en-CA"/>
              </w:rPr>
              <w:t>Turkey (Stage I)</w:t>
            </w:r>
          </w:p>
        </w:tc>
        <w:tc>
          <w:tcPr>
            <w:tcW w:w="1276" w:type="dxa"/>
            <w:hideMark/>
          </w:tcPr>
          <w:p w:rsidR="00234D9B" w:rsidRPr="00C70433" w:rsidRDefault="00234D9B" w:rsidP="007A69A7">
            <w:pPr>
              <w:jc w:val="left"/>
              <w:rPr>
                <w:sz w:val="19"/>
                <w:szCs w:val="19"/>
                <w:lang w:val="en-CA" w:eastAsia="en-CA"/>
              </w:rPr>
            </w:pPr>
            <w:r w:rsidRPr="00C70433">
              <w:rPr>
                <w:sz w:val="19"/>
                <w:szCs w:val="19"/>
                <w:lang w:val="en-CA" w:eastAsia="en-CA"/>
              </w:rPr>
              <w:t>UNIDO</w:t>
            </w:r>
          </w:p>
        </w:tc>
        <w:tc>
          <w:tcPr>
            <w:tcW w:w="879" w:type="dxa"/>
            <w:hideMark/>
          </w:tcPr>
          <w:p w:rsidR="00234D9B" w:rsidRPr="00C70433" w:rsidRDefault="00234D9B" w:rsidP="007A69A7">
            <w:pPr>
              <w:jc w:val="center"/>
              <w:rPr>
                <w:sz w:val="19"/>
                <w:szCs w:val="19"/>
                <w:lang w:val="en-CA" w:eastAsia="en-CA"/>
              </w:rPr>
            </w:pPr>
            <w:r w:rsidRPr="00C70433">
              <w:rPr>
                <w:sz w:val="19"/>
                <w:szCs w:val="19"/>
                <w:lang w:val="en-CA" w:eastAsia="en-CA"/>
              </w:rPr>
              <w:t>2016</w:t>
            </w:r>
          </w:p>
        </w:tc>
        <w:tc>
          <w:tcPr>
            <w:tcW w:w="1275" w:type="dxa"/>
            <w:hideMark/>
          </w:tcPr>
          <w:p w:rsidR="00234D9B" w:rsidRPr="00C70433" w:rsidRDefault="00234D9B" w:rsidP="007A69A7">
            <w:pPr>
              <w:jc w:val="right"/>
              <w:rPr>
                <w:sz w:val="19"/>
                <w:szCs w:val="19"/>
                <w:lang w:val="en-CA" w:eastAsia="en-CA"/>
              </w:rPr>
            </w:pPr>
            <w:r w:rsidRPr="00C70433">
              <w:rPr>
                <w:sz w:val="19"/>
                <w:szCs w:val="19"/>
                <w:lang w:val="en-CA" w:eastAsia="en-CA"/>
              </w:rPr>
              <w:t>1,710,770</w:t>
            </w:r>
          </w:p>
        </w:tc>
        <w:tc>
          <w:tcPr>
            <w:tcW w:w="3373" w:type="dxa"/>
            <w:hideMark/>
          </w:tcPr>
          <w:p w:rsidR="00234D9B" w:rsidRPr="00C70433" w:rsidRDefault="00234D9B" w:rsidP="007A69A7">
            <w:pPr>
              <w:rPr>
                <w:sz w:val="19"/>
                <w:szCs w:val="19"/>
                <w:lang w:val="en-CA" w:eastAsia="en-CA"/>
              </w:rPr>
            </w:pPr>
            <w:r w:rsidRPr="00C70433">
              <w:rPr>
                <w:sz w:val="19"/>
                <w:szCs w:val="19"/>
                <w:lang w:val="en-CA" w:eastAsia="en-CA"/>
              </w:rPr>
              <w:t>Revision of agreement or plan of action/</w:t>
            </w:r>
            <w:r>
              <w:rPr>
                <w:sz w:val="19"/>
                <w:szCs w:val="19"/>
                <w:lang w:val="en-CA" w:eastAsia="en-CA"/>
              </w:rPr>
              <w:t xml:space="preserve"> </w:t>
            </w:r>
            <w:r w:rsidRPr="00C70433">
              <w:rPr>
                <w:sz w:val="19"/>
                <w:szCs w:val="19"/>
                <w:lang w:val="en-CA" w:eastAsia="en-CA"/>
              </w:rPr>
              <w:t xml:space="preserve">20 per cent disbursement threshold </w:t>
            </w:r>
          </w:p>
        </w:tc>
        <w:tc>
          <w:tcPr>
            <w:tcW w:w="5812" w:type="dxa"/>
          </w:tcPr>
          <w:p w:rsidR="00234D9B" w:rsidRPr="00C70433" w:rsidRDefault="00234D9B" w:rsidP="007A69A7">
            <w:pPr>
              <w:rPr>
                <w:sz w:val="19"/>
                <w:szCs w:val="19"/>
                <w:lang w:val="en-CA"/>
              </w:rPr>
            </w:pPr>
            <w:r w:rsidRPr="00C70433">
              <w:rPr>
                <w:sz w:val="19"/>
                <w:szCs w:val="19"/>
                <w:lang w:val="en-CA"/>
              </w:rPr>
              <w:t>Noting the significant progress achieved by the Government of Turkey in the implementation of stage I of the HPMP, resulting in a reduction of HCFC consumption below the target in the Agreement (86.4 per cent reduction from the baseline in 2017), the completion of all activities in the manufacturing sector and the establishment of an operational technician certification system supported by regulations</w:t>
            </w:r>
            <w:r>
              <w:rPr>
                <w:sz w:val="19"/>
                <w:szCs w:val="19"/>
                <w:lang w:val="en-CA"/>
              </w:rPr>
              <w:t xml:space="preserve">, while noting the delays in the </w:t>
            </w:r>
            <w:r w:rsidRPr="00C70433">
              <w:rPr>
                <w:sz w:val="19"/>
                <w:szCs w:val="19"/>
                <w:lang w:val="en-CA"/>
              </w:rPr>
              <w:t>implementation and associated disbursement of funds for activities related to the servicing sector due to the complexity of enforcing the technician certification system, the large number of stakeholders involved, and changes in the national ozone office</w:t>
            </w:r>
            <w:r>
              <w:rPr>
                <w:sz w:val="19"/>
                <w:szCs w:val="19"/>
                <w:lang w:val="en-CA"/>
              </w:rPr>
              <w:t xml:space="preserve">, recommending </w:t>
            </w:r>
            <w:r w:rsidRPr="00C70433">
              <w:rPr>
                <w:sz w:val="19"/>
                <w:szCs w:val="19"/>
                <w:lang w:val="en-CA"/>
              </w:rPr>
              <w:t xml:space="preserve">UNIDO </w:t>
            </w:r>
            <w:r>
              <w:rPr>
                <w:sz w:val="19"/>
                <w:szCs w:val="19"/>
                <w:lang w:val="en-CA"/>
              </w:rPr>
              <w:t xml:space="preserve">to </w:t>
            </w:r>
            <w:r w:rsidRPr="00C70433">
              <w:rPr>
                <w:sz w:val="19"/>
                <w:szCs w:val="19"/>
                <w:lang w:val="en-CA"/>
              </w:rPr>
              <w:t>assist the Government of T</w:t>
            </w:r>
            <w:r>
              <w:rPr>
                <w:sz w:val="19"/>
                <w:szCs w:val="19"/>
                <w:lang w:val="en-CA"/>
              </w:rPr>
              <w:t>urkey in submitting, to the 84</w:t>
            </w:r>
            <w:r w:rsidRPr="00477EA8">
              <w:rPr>
                <w:sz w:val="19"/>
                <w:szCs w:val="19"/>
                <w:vertAlign w:val="superscript"/>
                <w:lang w:val="en-CA"/>
              </w:rPr>
              <w:t>th</w:t>
            </w:r>
            <w:r>
              <w:rPr>
                <w:sz w:val="19"/>
                <w:szCs w:val="19"/>
                <w:lang w:val="en-CA"/>
              </w:rPr>
              <w:t> </w:t>
            </w:r>
            <w:r w:rsidRPr="00C70433">
              <w:rPr>
                <w:sz w:val="19"/>
                <w:szCs w:val="19"/>
                <w:lang w:val="en-CA"/>
              </w:rPr>
              <w:t>meeting</w:t>
            </w:r>
            <w:r>
              <w:rPr>
                <w:sz w:val="19"/>
                <w:szCs w:val="19"/>
                <w:lang w:val="en-CA"/>
              </w:rPr>
              <w:t>,</w:t>
            </w:r>
            <w:r w:rsidRPr="00C70433">
              <w:rPr>
                <w:sz w:val="19"/>
                <w:szCs w:val="19"/>
                <w:lang w:val="en-CA"/>
              </w:rPr>
              <w:t xml:space="preserve"> </w:t>
            </w:r>
            <w:r>
              <w:rPr>
                <w:sz w:val="19"/>
                <w:szCs w:val="19"/>
                <w:lang w:val="en-CA"/>
              </w:rPr>
              <w:t xml:space="preserve">the third (2016) tranche of stage I of the HPMP along with the 2018 verification report and </w:t>
            </w:r>
            <w:r w:rsidRPr="00C70433">
              <w:rPr>
                <w:sz w:val="19"/>
                <w:szCs w:val="19"/>
                <w:lang w:val="en-CA"/>
              </w:rPr>
              <w:t>the request for extension of stage I of the HPMP</w:t>
            </w:r>
            <w:r>
              <w:rPr>
                <w:sz w:val="19"/>
                <w:szCs w:val="19"/>
                <w:lang w:val="en-CA"/>
              </w:rPr>
              <w:t xml:space="preserve"> in accordance with the le</w:t>
            </w:r>
            <w:r w:rsidRPr="00C70433">
              <w:rPr>
                <w:sz w:val="19"/>
                <w:szCs w:val="19"/>
                <w:lang w:val="en-CA"/>
              </w:rPr>
              <w:t xml:space="preserve">tter from the Government of Turkey </w:t>
            </w:r>
            <w:r>
              <w:rPr>
                <w:sz w:val="19"/>
                <w:szCs w:val="19"/>
                <w:lang w:val="en-CA"/>
              </w:rPr>
              <w:t xml:space="preserve">requesting extension of </w:t>
            </w:r>
            <w:r w:rsidRPr="00C70433">
              <w:rPr>
                <w:sz w:val="19"/>
                <w:szCs w:val="19"/>
                <w:lang w:val="en-CA"/>
              </w:rPr>
              <w:t>stage I</w:t>
            </w:r>
            <w:r>
              <w:rPr>
                <w:sz w:val="19"/>
                <w:szCs w:val="19"/>
                <w:lang w:val="en-CA"/>
              </w:rPr>
              <w:t xml:space="preserve"> </w:t>
            </w:r>
            <w:r w:rsidRPr="00C70433">
              <w:rPr>
                <w:sz w:val="19"/>
                <w:szCs w:val="19"/>
                <w:lang w:val="en-CA"/>
              </w:rPr>
              <w:t xml:space="preserve">to December 2021 and reprogramming of the last two tranches to 2019 and 2020. </w:t>
            </w:r>
          </w:p>
        </w:tc>
      </w:tr>
      <w:tr w:rsidR="00234D9B" w:rsidRPr="00C70433" w:rsidTr="007A69A7">
        <w:trPr>
          <w:trHeight w:val="809"/>
        </w:trPr>
        <w:tc>
          <w:tcPr>
            <w:tcW w:w="1560" w:type="dxa"/>
            <w:vMerge w:val="restart"/>
          </w:tcPr>
          <w:p w:rsidR="00234D9B" w:rsidRPr="00C70433" w:rsidRDefault="00234D9B" w:rsidP="007A69A7">
            <w:pPr>
              <w:jc w:val="left"/>
              <w:rPr>
                <w:sz w:val="19"/>
                <w:szCs w:val="19"/>
                <w:lang w:val="en-CA" w:eastAsia="en-CA"/>
              </w:rPr>
            </w:pPr>
            <w:r w:rsidRPr="00C70433">
              <w:rPr>
                <w:sz w:val="19"/>
                <w:szCs w:val="19"/>
                <w:lang w:val="en-CA" w:eastAsia="en-CA"/>
              </w:rPr>
              <w:t xml:space="preserve">Viet Nam </w:t>
            </w:r>
          </w:p>
          <w:p w:rsidR="00234D9B" w:rsidRPr="00C70433" w:rsidRDefault="00234D9B" w:rsidP="007A69A7">
            <w:pPr>
              <w:jc w:val="left"/>
              <w:rPr>
                <w:sz w:val="19"/>
                <w:szCs w:val="19"/>
                <w:lang w:val="en-CA" w:eastAsia="en-CA"/>
              </w:rPr>
            </w:pPr>
            <w:r w:rsidRPr="00C70433">
              <w:rPr>
                <w:sz w:val="19"/>
                <w:szCs w:val="19"/>
                <w:lang w:val="en-CA" w:eastAsia="en-CA"/>
              </w:rPr>
              <w:t>(Stage II)</w:t>
            </w: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World Bank</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2017</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2,331,737</w:t>
            </w:r>
          </w:p>
        </w:tc>
        <w:tc>
          <w:tcPr>
            <w:tcW w:w="3373" w:type="dxa"/>
            <w:vMerge w:val="restart"/>
          </w:tcPr>
          <w:p w:rsidR="00234D9B" w:rsidRPr="00C70433" w:rsidRDefault="00234D9B" w:rsidP="007A69A7">
            <w:pPr>
              <w:rPr>
                <w:sz w:val="19"/>
                <w:szCs w:val="19"/>
                <w:lang w:val="en-CA" w:eastAsia="en-CA"/>
              </w:rPr>
            </w:pPr>
            <w:r w:rsidRPr="00C70433">
              <w:rPr>
                <w:sz w:val="19"/>
                <w:szCs w:val="19"/>
                <w:lang w:val="en-CA" w:eastAsia="en-CA"/>
              </w:rPr>
              <w:t>20 per cent disbursement threshold</w:t>
            </w:r>
          </w:p>
          <w:p w:rsidR="00234D9B" w:rsidRPr="00C70433" w:rsidRDefault="00234D9B" w:rsidP="007A69A7"/>
        </w:tc>
        <w:tc>
          <w:tcPr>
            <w:tcW w:w="5812" w:type="dxa"/>
            <w:vMerge w:val="restart"/>
          </w:tcPr>
          <w:p w:rsidR="00234D9B" w:rsidRPr="00C70433" w:rsidRDefault="00234D9B" w:rsidP="007A69A7">
            <w:pPr>
              <w:rPr>
                <w:sz w:val="19"/>
                <w:szCs w:val="19"/>
                <w:lang w:val="en-CA" w:eastAsia="en-CA"/>
              </w:rPr>
            </w:pPr>
            <w:r w:rsidRPr="00C70433">
              <w:rPr>
                <w:sz w:val="19"/>
                <w:szCs w:val="19"/>
                <w:lang w:val="en-CA"/>
              </w:rPr>
              <w:t>Noting that the overall disbursement rate of the first (2016) tranche of the HPMP was below the 20 per cent disbursement threshold, and urging the Government of Viet Nam to work with the Government of Japan and the World Bank to expedite implementation so that the second (2017) tranche could be submitted to the 84</w:t>
            </w:r>
            <w:r w:rsidRPr="00C70433">
              <w:rPr>
                <w:sz w:val="19"/>
                <w:szCs w:val="19"/>
                <w:vertAlign w:val="superscript"/>
                <w:lang w:val="en-CA"/>
              </w:rPr>
              <w:t>th</w:t>
            </w:r>
            <w:r w:rsidRPr="00C70433">
              <w:rPr>
                <w:sz w:val="19"/>
                <w:szCs w:val="19"/>
                <w:lang w:val="en-CA"/>
              </w:rPr>
              <w:t xml:space="preserve"> meeting with a revised plan of action to take into account the reallocation of the 2017 and subsequent tranches, on the understanding that the 20 per cent disbursement threshold for funding of the previous tranche had been achieved.</w:t>
            </w:r>
          </w:p>
        </w:tc>
      </w:tr>
      <w:tr w:rsidR="00234D9B" w:rsidRPr="00C70433" w:rsidTr="007A69A7">
        <w:trPr>
          <w:trHeight w:val="666"/>
        </w:trPr>
        <w:tc>
          <w:tcPr>
            <w:tcW w:w="1560" w:type="dxa"/>
            <w:vMerge/>
          </w:tcPr>
          <w:p w:rsidR="00234D9B" w:rsidRPr="00C70433" w:rsidRDefault="00234D9B" w:rsidP="007A69A7">
            <w:pPr>
              <w:jc w:val="left"/>
              <w:rPr>
                <w:sz w:val="19"/>
                <w:szCs w:val="19"/>
                <w:lang w:val="en-CA" w:eastAsia="en-CA"/>
              </w:rPr>
            </w:pPr>
          </w:p>
        </w:tc>
        <w:tc>
          <w:tcPr>
            <w:tcW w:w="1276" w:type="dxa"/>
          </w:tcPr>
          <w:p w:rsidR="00234D9B" w:rsidRPr="00C70433" w:rsidRDefault="00234D9B" w:rsidP="007A69A7">
            <w:pPr>
              <w:jc w:val="left"/>
              <w:rPr>
                <w:sz w:val="19"/>
                <w:szCs w:val="19"/>
                <w:lang w:val="en-CA" w:eastAsia="en-CA"/>
              </w:rPr>
            </w:pPr>
            <w:r w:rsidRPr="00C70433">
              <w:rPr>
                <w:sz w:val="19"/>
                <w:szCs w:val="19"/>
                <w:lang w:val="en-CA" w:eastAsia="en-CA"/>
              </w:rPr>
              <w:t>Japan</w:t>
            </w:r>
          </w:p>
        </w:tc>
        <w:tc>
          <w:tcPr>
            <w:tcW w:w="879" w:type="dxa"/>
          </w:tcPr>
          <w:p w:rsidR="00234D9B" w:rsidRPr="00C70433" w:rsidRDefault="00234D9B" w:rsidP="007A69A7">
            <w:pPr>
              <w:jc w:val="center"/>
              <w:rPr>
                <w:sz w:val="19"/>
                <w:szCs w:val="19"/>
                <w:lang w:val="en-CA" w:eastAsia="en-CA"/>
              </w:rPr>
            </w:pPr>
            <w:r w:rsidRPr="00C70433">
              <w:rPr>
                <w:sz w:val="19"/>
                <w:szCs w:val="19"/>
                <w:lang w:val="en-CA" w:eastAsia="en-CA"/>
              </w:rPr>
              <w:t>2017</w:t>
            </w:r>
          </w:p>
        </w:tc>
        <w:tc>
          <w:tcPr>
            <w:tcW w:w="1275" w:type="dxa"/>
          </w:tcPr>
          <w:p w:rsidR="00234D9B" w:rsidRPr="00C70433" w:rsidRDefault="00234D9B" w:rsidP="007A69A7">
            <w:pPr>
              <w:jc w:val="right"/>
              <w:rPr>
                <w:sz w:val="19"/>
                <w:szCs w:val="19"/>
                <w:lang w:val="en-CA" w:eastAsia="en-CA"/>
              </w:rPr>
            </w:pPr>
            <w:r w:rsidRPr="00C70433">
              <w:rPr>
                <w:sz w:val="19"/>
                <w:szCs w:val="19"/>
                <w:lang w:val="en-CA" w:eastAsia="en-CA"/>
              </w:rPr>
              <w:t>185,297</w:t>
            </w:r>
          </w:p>
        </w:tc>
        <w:tc>
          <w:tcPr>
            <w:tcW w:w="3373" w:type="dxa"/>
            <w:vMerge/>
          </w:tcPr>
          <w:p w:rsidR="00234D9B" w:rsidRPr="00C70433" w:rsidRDefault="00234D9B" w:rsidP="007A69A7"/>
        </w:tc>
        <w:tc>
          <w:tcPr>
            <w:tcW w:w="5812" w:type="dxa"/>
            <w:vMerge/>
          </w:tcPr>
          <w:p w:rsidR="00234D9B" w:rsidRPr="00C70433" w:rsidRDefault="00234D9B" w:rsidP="007A69A7">
            <w:pPr>
              <w:rPr>
                <w:sz w:val="19"/>
                <w:szCs w:val="19"/>
                <w:lang w:val="en-CA" w:eastAsia="en-CA"/>
              </w:rPr>
            </w:pPr>
          </w:p>
        </w:tc>
      </w:tr>
      <w:tr w:rsidR="00234D9B" w:rsidRPr="00D6383C" w:rsidTr="007A69A7">
        <w:trPr>
          <w:trHeight w:val="287"/>
        </w:trPr>
        <w:tc>
          <w:tcPr>
            <w:tcW w:w="1560" w:type="dxa"/>
            <w:hideMark/>
          </w:tcPr>
          <w:p w:rsidR="00234D9B" w:rsidRPr="00C70433" w:rsidRDefault="00234D9B" w:rsidP="007A69A7">
            <w:pPr>
              <w:jc w:val="left"/>
              <w:rPr>
                <w:b/>
                <w:sz w:val="19"/>
                <w:szCs w:val="19"/>
                <w:lang w:val="en-CA" w:eastAsia="en-CA"/>
              </w:rPr>
            </w:pPr>
            <w:r w:rsidRPr="00C70433">
              <w:rPr>
                <w:b/>
                <w:sz w:val="19"/>
                <w:szCs w:val="19"/>
                <w:lang w:val="en-CA" w:eastAsia="en-CA"/>
              </w:rPr>
              <w:lastRenderedPageBreak/>
              <w:t>Total</w:t>
            </w:r>
          </w:p>
        </w:tc>
        <w:tc>
          <w:tcPr>
            <w:tcW w:w="1276" w:type="dxa"/>
          </w:tcPr>
          <w:p w:rsidR="00234D9B" w:rsidRPr="00C70433" w:rsidRDefault="00234D9B" w:rsidP="007A69A7">
            <w:pPr>
              <w:jc w:val="center"/>
              <w:rPr>
                <w:b/>
                <w:sz w:val="19"/>
                <w:szCs w:val="19"/>
                <w:lang w:val="en-CA" w:eastAsia="en-CA"/>
              </w:rPr>
            </w:pPr>
          </w:p>
        </w:tc>
        <w:tc>
          <w:tcPr>
            <w:tcW w:w="879" w:type="dxa"/>
          </w:tcPr>
          <w:p w:rsidR="00234D9B" w:rsidRPr="00C70433" w:rsidRDefault="00234D9B" w:rsidP="007A69A7">
            <w:pPr>
              <w:jc w:val="center"/>
              <w:rPr>
                <w:b/>
                <w:sz w:val="19"/>
                <w:szCs w:val="19"/>
                <w:lang w:val="en-CA" w:eastAsia="en-CA"/>
              </w:rPr>
            </w:pPr>
          </w:p>
        </w:tc>
        <w:tc>
          <w:tcPr>
            <w:tcW w:w="1275" w:type="dxa"/>
            <w:hideMark/>
          </w:tcPr>
          <w:p w:rsidR="00234D9B" w:rsidRPr="00C70433" w:rsidRDefault="00234D9B" w:rsidP="007A69A7">
            <w:pPr>
              <w:jc w:val="right"/>
              <w:rPr>
                <w:b/>
                <w:sz w:val="19"/>
                <w:szCs w:val="19"/>
                <w:lang w:val="en-CA" w:eastAsia="en-CA"/>
              </w:rPr>
            </w:pPr>
            <w:r w:rsidRPr="00EB4400">
              <w:rPr>
                <w:b/>
                <w:sz w:val="19"/>
                <w:szCs w:val="19"/>
                <w:lang w:val="en-CA" w:eastAsia="en-CA"/>
              </w:rPr>
              <w:t>47</w:t>
            </w:r>
            <w:r>
              <w:rPr>
                <w:b/>
                <w:sz w:val="19"/>
                <w:szCs w:val="19"/>
                <w:lang w:val="en-CA" w:eastAsia="en-CA"/>
              </w:rPr>
              <w:t>,</w:t>
            </w:r>
            <w:r w:rsidRPr="00EB4400">
              <w:rPr>
                <w:b/>
                <w:sz w:val="19"/>
                <w:szCs w:val="19"/>
                <w:lang w:val="en-CA" w:eastAsia="en-CA"/>
              </w:rPr>
              <w:t>719</w:t>
            </w:r>
            <w:r>
              <w:rPr>
                <w:b/>
                <w:sz w:val="19"/>
                <w:szCs w:val="19"/>
                <w:lang w:val="en-CA" w:eastAsia="en-CA"/>
              </w:rPr>
              <w:t>,</w:t>
            </w:r>
            <w:r w:rsidRPr="00EB4400">
              <w:rPr>
                <w:b/>
                <w:sz w:val="19"/>
                <w:szCs w:val="19"/>
                <w:lang w:val="en-CA" w:eastAsia="en-CA"/>
              </w:rPr>
              <w:t>257</w:t>
            </w:r>
          </w:p>
        </w:tc>
        <w:tc>
          <w:tcPr>
            <w:tcW w:w="3373" w:type="dxa"/>
          </w:tcPr>
          <w:p w:rsidR="00234D9B" w:rsidRPr="00D6383C" w:rsidRDefault="00234D9B" w:rsidP="007A69A7">
            <w:pPr>
              <w:rPr>
                <w:b/>
                <w:sz w:val="19"/>
                <w:szCs w:val="19"/>
                <w:lang w:val="en-CA" w:eastAsia="en-CA"/>
              </w:rPr>
            </w:pPr>
          </w:p>
        </w:tc>
        <w:tc>
          <w:tcPr>
            <w:tcW w:w="5812" w:type="dxa"/>
          </w:tcPr>
          <w:p w:rsidR="00234D9B" w:rsidRPr="00D6383C" w:rsidRDefault="00234D9B" w:rsidP="007A69A7">
            <w:pPr>
              <w:rPr>
                <w:b/>
                <w:sz w:val="19"/>
                <w:szCs w:val="19"/>
                <w:lang w:val="en-CA" w:eastAsia="en-CA"/>
              </w:rPr>
            </w:pPr>
          </w:p>
        </w:tc>
      </w:tr>
    </w:tbl>
    <w:p w:rsidR="00234D9B" w:rsidRDefault="00234D9B" w:rsidP="00234D9B">
      <w:pPr>
        <w:tabs>
          <w:tab w:val="left" w:pos="8280"/>
        </w:tabs>
        <w:rPr>
          <w:sz w:val="20"/>
          <w:szCs w:val="20"/>
          <w:lang w:val="en-CA"/>
        </w:rPr>
      </w:pPr>
      <w:r w:rsidRPr="005A309B">
        <w:rPr>
          <w:sz w:val="20"/>
          <w:szCs w:val="20"/>
          <w:lang w:val="en-CA"/>
        </w:rPr>
        <w:t xml:space="preserve">   *Excluding Saudi Arabia for which the tranche could be submitted to the 83</w:t>
      </w:r>
      <w:r w:rsidRPr="005A309B">
        <w:rPr>
          <w:sz w:val="20"/>
          <w:szCs w:val="20"/>
          <w:vertAlign w:val="superscript"/>
          <w:lang w:val="en-CA"/>
        </w:rPr>
        <w:t>rd</w:t>
      </w:r>
      <w:r w:rsidRPr="005A309B">
        <w:rPr>
          <w:sz w:val="20"/>
          <w:szCs w:val="20"/>
          <w:lang w:val="en-CA"/>
        </w:rPr>
        <w:t xml:space="preserve"> or 84</w:t>
      </w:r>
      <w:r w:rsidRPr="005A309B">
        <w:rPr>
          <w:sz w:val="20"/>
          <w:szCs w:val="20"/>
          <w:vertAlign w:val="superscript"/>
          <w:lang w:val="en-CA"/>
        </w:rPr>
        <w:t>th</w:t>
      </w:r>
      <w:r w:rsidRPr="005A309B">
        <w:rPr>
          <w:sz w:val="20"/>
          <w:szCs w:val="20"/>
          <w:lang w:val="en-CA"/>
        </w:rPr>
        <w:t xml:space="preserve"> meeting (decision 82/44(b)).</w:t>
      </w:r>
    </w:p>
    <w:p w:rsidR="005A30B9" w:rsidRPr="005A30B9" w:rsidRDefault="005A30B9" w:rsidP="00234D9B">
      <w:pPr>
        <w:tabs>
          <w:tab w:val="left" w:pos="8280"/>
        </w:tabs>
        <w:rPr>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052C5C" w:rsidRPr="00052C5C" w:rsidTr="005A30B9">
        <w:trPr>
          <w:jc w:val="center"/>
        </w:trPr>
        <w:tc>
          <w:tcPr>
            <w:tcW w:w="1915" w:type="dxa"/>
          </w:tcPr>
          <w:p w:rsidR="00052C5C" w:rsidRPr="00052C5C" w:rsidRDefault="00052C5C" w:rsidP="00052C5C">
            <w:pPr>
              <w:tabs>
                <w:tab w:val="left" w:pos="8280"/>
              </w:tabs>
            </w:pPr>
          </w:p>
        </w:tc>
        <w:tc>
          <w:tcPr>
            <w:tcW w:w="1915" w:type="dxa"/>
          </w:tcPr>
          <w:p w:rsidR="00052C5C" w:rsidRPr="00052C5C" w:rsidRDefault="00052C5C" w:rsidP="00052C5C">
            <w:pPr>
              <w:tabs>
                <w:tab w:val="left" w:pos="8280"/>
              </w:tabs>
            </w:pPr>
          </w:p>
        </w:tc>
        <w:tc>
          <w:tcPr>
            <w:tcW w:w="1915" w:type="dxa"/>
            <w:tcBorders>
              <w:bottom w:val="single" w:sz="4" w:space="0" w:color="auto"/>
            </w:tcBorders>
          </w:tcPr>
          <w:p w:rsidR="00052C5C" w:rsidRPr="00052C5C" w:rsidRDefault="00052C5C" w:rsidP="00052C5C">
            <w:pPr>
              <w:tabs>
                <w:tab w:val="left" w:pos="8280"/>
              </w:tabs>
            </w:pPr>
          </w:p>
        </w:tc>
        <w:tc>
          <w:tcPr>
            <w:tcW w:w="1915" w:type="dxa"/>
          </w:tcPr>
          <w:p w:rsidR="00052C5C" w:rsidRPr="00052C5C" w:rsidRDefault="00052C5C" w:rsidP="00052C5C">
            <w:pPr>
              <w:tabs>
                <w:tab w:val="left" w:pos="8280"/>
              </w:tabs>
            </w:pPr>
          </w:p>
        </w:tc>
        <w:tc>
          <w:tcPr>
            <w:tcW w:w="1916" w:type="dxa"/>
          </w:tcPr>
          <w:p w:rsidR="00052C5C" w:rsidRPr="00052C5C" w:rsidRDefault="00052C5C" w:rsidP="00052C5C">
            <w:pPr>
              <w:tabs>
                <w:tab w:val="left" w:pos="8280"/>
              </w:tabs>
            </w:pPr>
          </w:p>
        </w:tc>
      </w:tr>
    </w:tbl>
    <w:p w:rsidR="00052C5C" w:rsidRPr="00052C5C" w:rsidRDefault="00052C5C" w:rsidP="00052C5C">
      <w:pPr>
        <w:tabs>
          <w:tab w:val="left" w:pos="8280"/>
        </w:tabs>
        <w:rPr>
          <w:lang w:val="en-CA"/>
        </w:rPr>
      </w:pPr>
    </w:p>
    <w:p w:rsidR="00052C5C" w:rsidRPr="001C3C80" w:rsidRDefault="00052C5C" w:rsidP="001C3C80">
      <w:pPr>
        <w:tabs>
          <w:tab w:val="left" w:pos="8280"/>
        </w:tabs>
      </w:pPr>
    </w:p>
    <w:sectPr w:rsidR="00052C5C" w:rsidRPr="001C3C80" w:rsidSect="005A30B9">
      <w:headerReference w:type="even" r:id="rId14"/>
      <w:headerReference w:type="default" r:id="rId15"/>
      <w:headerReference w:type="first" r:id="rId16"/>
      <w:footerReference w:type="first" r:id="rId17"/>
      <w:pgSz w:w="15840" w:h="12240" w:orient="landscape" w:code="1"/>
      <w:pgMar w:top="1440" w:right="720" w:bottom="144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D9B" w:rsidRDefault="00234D9B" w:rsidP="004A504B">
      <w:r>
        <w:separator/>
      </w:r>
    </w:p>
  </w:endnote>
  <w:endnote w:type="continuationSeparator" w:id="0">
    <w:p w:rsidR="00234D9B" w:rsidRDefault="00234D9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C4565D">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C4565D">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04224"/>
      <w:docPartObj>
        <w:docPartGallery w:val="Page Numbers (Bottom of Page)"/>
        <w:docPartUnique/>
      </w:docPartObj>
    </w:sdtPr>
    <w:sdtEndPr>
      <w:rPr>
        <w:noProof/>
      </w:rPr>
    </w:sdtEndPr>
    <w:sdtContent>
      <w:p w:rsidR="005A30B9" w:rsidRDefault="005A30B9" w:rsidP="005A30B9">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5A30B9" w:rsidRDefault="005A30B9" w:rsidP="005A30B9">
        <w:pPr>
          <w:pBdr>
            <w:top w:val="single" w:sz="4" w:space="1" w:color="auto"/>
            <w:left w:val="single" w:sz="4" w:space="4" w:color="auto"/>
            <w:bottom w:val="single" w:sz="4" w:space="1" w:color="auto"/>
            <w:right w:val="single" w:sz="4" w:space="4" w:color="auto"/>
          </w:pBdr>
          <w:jc w:val="center"/>
          <w:rPr>
            <w:sz w:val="18"/>
            <w:szCs w:val="18"/>
          </w:rPr>
        </w:pPr>
      </w:p>
      <w:p w:rsidR="007C227C" w:rsidRPr="005A30B9" w:rsidRDefault="00C4565D" w:rsidP="005A30B9">
        <w:pPr>
          <w:pStyle w:val="Foote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87038"/>
      <w:docPartObj>
        <w:docPartGallery w:val="Page Numbers (Bottom of Page)"/>
        <w:docPartUnique/>
      </w:docPartObj>
    </w:sdtPr>
    <w:sdtEndPr>
      <w:rPr>
        <w:noProof/>
      </w:rPr>
    </w:sdtEndPr>
    <w:sdtContent>
      <w:p w:rsidR="005A30B9" w:rsidRDefault="005A30B9">
        <w:pPr>
          <w:pStyle w:val="Footer"/>
          <w:jc w:val="center"/>
        </w:pPr>
        <w:r>
          <w:fldChar w:fldCharType="begin"/>
        </w:r>
        <w:r>
          <w:instrText xml:space="preserve"> PAGE   \* MERGEFORMAT </w:instrText>
        </w:r>
        <w:r>
          <w:fldChar w:fldCharType="separate"/>
        </w:r>
        <w:r w:rsidR="00C4565D">
          <w:rPr>
            <w:noProof/>
          </w:rPr>
          <w:t>1</w:t>
        </w:r>
        <w:r>
          <w:rPr>
            <w:noProof/>
          </w:rPr>
          <w:fldChar w:fldCharType="end"/>
        </w:r>
      </w:p>
    </w:sdtContent>
  </w:sdt>
  <w:p w:rsidR="005A30B9" w:rsidRPr="005A30B9" w:rsidRDefault="005A30B9" w:rsidP="005A30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D9B" w:rsidRDefault="00234D9B" w:rsidP="004A504B">
      <w:r>
        <w:separator/>
      </w:r>
    </w:p>
  </w:footnote>
  <w:footnote w:type="continuationSeparator" w:id="0">
    <w:p w:rsidR="00234D9B" w:rsidRDefault="00234D9B" w:rsidP="004A504B">
      <w:r>
        <w:continuationSeparator/>
      </w:r>
    </w:p>
  </w:footnote>
  <w:footnote w:id="1">
    <w:p w:rsidR="00234D9B" w:rsidRPr="00C70433" w:rsidRDefault="00234D9B" w:rsidP="00234D9B">
      <w:pPr>
        <w:pStyle w:val="FootnoteText"/>
        <w:rPr>
          <w:lang w:val="en-CA"/>
        </w:rPr>
      </w:pPr>
      <w:r w:rsidRPr="00C70433">
        <w:rPr>
          <w:rStyle w:val="FootnoteReference"/>
        </w:rPr>
        <w:footnoteRef/>
      </w:r>
      <w:r w:rsidRPr="00C70433">
        <w:t xml:space="preserve"> </w:t>
      </w:r>
      <w:r w:rsidRPr="00C70433">
        <w:rPr>
          <w:lang w:val="en-CA"/>
        </w:rPr>
        <w:t xml:space="preserve">The Executive Committee decided that a separate sub-agenda item on delays in the submission of annual tranches and disbursement of funds for tranches and obligations should be included for future meetings. </w:t>
      </w:r>
    </w:p>
  </w:footnote>
  <w:footnote w:id="2">
    <w:p w:rsidR="00234D9B" w:rsidRPr="00995843" w:rsidRDefault="00234D9B" w:rsidP="00234D9B">
      <w:pPr>
        <w:pStyle w:val="FootnoteText"/>
        <w:rPr>
          <w:lang w:val="en-US"/>
        </w:rPr>
      </w:pPr>
      <w:r>
        <w:rPr>
          <w:rStyle w:val="FootnoteReference"/>
        </w:rPr>
        <w:footnoteRef/>
      </w:r>
      <w:r>
        <w:t xml:space="preserve"> </w:t>
      </w:r>
      <w:r>
        <w:rPr>
          <w:lang w:val="en-US"/>
        </w:rPr>
        <w:t xml:space="preserve">Paragraph 173 to document </w:t>
      </w:r>
      <w:r>
        <w:t>UNEP/</w:t>
      </w:r>
      <w:proofErr w:type="spellStart"/>
      <w:r>
        <w:t>OzL.Pro</w:t>
      </w:r>
      <w:proofErr w:type="spellEnd"/>
      <w:r>
        <w:t>/</w:t>
      </w:r>
      <w:proofErr w:type="spellStart"/>
      <w:r>
        <w:t>ExCom</w:t>
      </w:r>
      <w:proofErr w:type="spellEnd"/>
      <w:r>
        <w:t>/82</w:t>
      </w:r>
      <w:r w:rsidRPr="00C70433">
        <w:t>/</w:t>
      </w:r>
      <w:r>
        <w:t>72</w:t>
      </w:r>
    </w:p>
  </w:footnote>
  <w:footnote w:id="3">
    <w:p w:rsidR="00234D9B" w:rsidRPr="00C70433"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/83/20</w:t>
      </w:r>
    </w:p>
  </w:footnote>
  <w:footnote w:id="4">
    <w:p w:rsidR="00234D9B" w:rsidRPr="00C70433"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/83/23</w:t>
      </w:r>
    </w:p>
  </w:footnote>
  <w:footnote w:id="5">
    <w:p w:rsidR="00234D9B" w:rsidRPr="00C70433"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/83/25</w:t>
      </w:r>
    </w:p>
  </w:footnote>
  <w:footnote w:id="6">
    <w:p w:rsidR="00234D9B" w:rsidRPr="00C70433"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/83/27</w:t>
      </w:r>
    </w:p>
  </w:footnote>
  <w:footnote w:id="7">
    <w:p w:rsidR="00234D9B" w:rsidRPr="00C70433"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/83/28</w:t>
      </w:r>
    </w:p>
  </w:footnote>
  <w:footnote w:id="8">
    <w:p w:rsidR="00234D9B" w:rsidRPr="00C70433"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/83/29</w:t>
      </w:r>
    </w:p>
  </w:footnote>
  <w:footnote w:id="9">
    <w:p w:rsidR="00234D9B" w:rsidRPr="00C70433"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/83/30</w:t>
      </w:r>
    </w:p>
  </w:footnote>
  <w:footnote w:id="10">
    <w:p w:rsidR="00234D9B" w:rsidRPr="00C70433"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/83/32</w:t>
      </w:r>
    </w:p>
  </w:footnote>
  <w:footnote w:id="11">
    <w:p w:rsidR="00234D9B" w:rsidRPr="00C70433"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/83/33</w:t>
      </w:r>
    </w:p>
  </w:footnote>
  <w:footnote w:id="12">
    <w:p w:rsidR="00234D9B" w:rsidRPr="00C70433"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/83/34</w:t>
      </w:r>
    </w:p>
  </w:footnote>
  <w:footnote w:id="13">
    <w:p w:rsidR="00234D9B" w:rsidRPr="00C70433"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/83/35</w:t>
      </w:r>
    </w:p>
  </w:footnote>
  <w:footnote w:id="14">
    <w:p w:rsidR="00234D9B" w:rsidRPr="00C70433"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/83/36</w:t>
      </w:r>
    </w:p>
  </w:footnote>
  <w:footnote w:id="15">
    <w:p w:rsidR="00234D9B" w:rsidRPr="00273FFF" w:rsidRDefault="00234D9B" w:rsidP="00234D9B">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/83/37</w:t>
      </w:r>
    </w:p>
  </w:footnote>
  <w:footnote w:id="16">
    <w:p w:rsidR="00234D9B" w:rsidRPr="00C70433" w:rsidRDefault="00234D9B" w:rsidP="00234D9B">
      <w:pPr>
        <w:pStyle w:val="FootnoteText"/>
        <w:tabs>
          <w:tab w:val="right" w:pos="9360"/>
        </w:tabs>
      </w:pPr>
      <w:r w:rsidRPr="00C70433">
        <w:rPr>
          <w:rStyle w:val="FootnoteReference"/>
        </w:rPr>
        <w:footnoteRef/>
      </w:r>
      <w:r w:rsidRPr="00C70433">
        <w:t xml:space="preserve"> Submitted but subsequently withdrawn.</w:t>
      </w:r>
    </w:p>
  </w:footnote>
  <w:footnote w:id="17">
    <w:p w:rsidR="00234D9B" w:rsidRPr="00C70433" w:rsidRDefault="00234D9B" w:rsidP="00234D9B">
      <w:pPr>
        <w:pStyle w:val="FootnoteText"/>
      </w:pPr>
      <w:r w:rsidRPr="00C70433">
        <w:rPr>
          <w:rStyle w:val="FootnoteReference"/>
        </w:rPr>
        <w:footnoteRef/>
      </w:r>
      <w:r w:rsidRPr="00C70433">
        <w:t xml:space="preserve"> Submitted but subsequently withdrawn.</w:t>
      </w:r>
    </w:p>
  </w:footnote>
  <w:footnote w:id="18">
    <w:p w:rsidR="00234D9B" w:rsidRPr="00132584" w:rsidRDefault="00234D9B" w:rsidP="00234D9B">
      <w:pPr>
        <w:pStyle w:val="FootnoteText"/>
      </w:pPr>
      <w:r>
        <w:rPr>
          <w:rStyle w:val="FootnoteReference"/>
        </w:rPr>
        <w:footnoteRef/>
      </w:r>
      <w:r>
        <w:t xml:space="preserve"> Montreal, 5-7 March 2019.</w:t>
      </w:r>
    </w:p>
  </w:footnote>
  <w:footnote w:id="19">
    <w:p w:rsidR="00234D9B" w:rsidRDefault="00234D9B" w:rsidP="00234D9B">
      <w:pPr>
        <w:pStyle w:val="FootnoteText"/>
        <w:rPr>
          <w:lang w:val="en-CA"/>
        </w:rPr>
      </w:pPr>
      <w:r w:rsidRPr="00C70433">
        <w:rPr>
          <w:rStyle w:val="FootnoteReference"/>
        </w:rPr>
        <w:footnoteRef/>
      </w:r>
      <w:r w:rsidRPr="00C70433">
        <w:t xml:space="preserve"> For comparison, at the 82</w:t>
      </w:r>
      <w:r w:rsidRPr="00C70433">
        <w:rPr>
          <w:vertAlign w:val="superscript"/>
        </w:rPr>
        <w:t>nd</w:t>
      </w:r>
      <w:r w:rsidRPr="00C70433">
        <w:t xml:space="preserve"> meeting, 51 tranches for </w:t>
      </w:r>
      <w:r w:rsidRPr="00FB28BE">
        <w:t>3</w:t>
      </w:r>
      <w:r>
        <w:t>6</w:t>
      </w:r>
      <w:r w:rsidRPr="00C70433">
        <w:t xml:space="preserve"> countries that were due were not submitted.</w:t>
      </w:r>
    </w:p>
  </w:footnote>
  <w:footnote w:id="20">
    <w:p w:rsidR="00234D9B" w:rsidRPr="00A16670" w:rsidRDefault="00234D9B" w:rsidP="00234D9B">
      <w:pPr>
        <w:pStyle w:val="FootnoteText"/>
        <w:rPr>
          <w:lang w:val="en-US"/>
        </w:rPr>
      </w:pPr>
      <w:r>
        <w:rPr>
          <w:rStyle w:val="FootnoteReference"/>
        </w:rPr>
        <w:footnoteRef/>
      </w:r>
      <w:r>
        <w:t xml:space="preserve"> </w:t>
      </w:r>
      <w:r w:rsidRPr="00A16670">
        <w:t>To request the Secretariat with respect to the HPMP for Algeria (stage I, first tranche) (ALG/PHA/66/INV/77), to send a letter to the Government seeking its agreement to cancel the project at the 83</w:t>
      </w:r>
      <w:r w:rsidRPr="00A16670">
        <w:rPr>
          <w:vertAlign w:val="superscript"/>
        </w:rPr>
        <w:t>rd</w:t>
      </w:r>
      <w:r>
        <w:t xml:space="preserve"> </w:t>
      </w:r>
      <w:r w:rsidRPr="00A16670">
        <w:t>meeting.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r>
      <w:fldChar w:fldCharType="begin"/>
    </w:r>
    <w:r>
      <w:instrText xml:space="preserve"> DOCPROPERTY "Document number"  \* MERGEFORMAT </w:instrText>
    </w:r>
    <w:r>
      <w:fldChar w:fldCharType="separate"/>
    </w:r>
    <w:r w:rsidR="005A30B9">
      <w:t>UNEP/</w:t>
    </w:r>
    <w:proofErr w:type="spellStart"/>
    <w:r w:rsidR="005A30B9">
      <w:t>OzL.Pro</w:t>
    </w:r>
    <w:proofErr w:type="spellEnd"/>
    <w:r w:rsidR="005A30B9">
      <w:t>/</w:t>
    </w:r>
    <w:proofErr w:type="spellStart"/>
    <w:r w:rsidR="005A30B9">
      <w:t>ExCom</w:t>
    </w:r>
    <w:proofErr w:type="spellEnd"/>
    <w:r w:rsidR="005A30B9">
      <w:t>/83/14</w:t>
    </w:r>
    <w:r>
      <w:fldChar w:fldCharType="end"/>
    </w:r>
  </w:p>
  <w:p w:rsidR="007C227C" w:rsidRPr="0033525D" w:rsidRDefault="007C227C"/>
  <w:p w:rsidR="007C227C" w:rsidRPr="0033525D" w:rsidRDefault="007C22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right"/>
    </w:pPr>
    <w:r>
      <w:fldChar w:fldCharType="begin"/>
    </w:r>
    <w:r>
      <w:instrText xml:space="preserve"> DOCPROPERTY "Document number"  \* MERGEFORMAT </w:instrText>
    </w:r>
    <w:r>
      <w:fldChar w:fldCharType="separate"/>
    </w:r>
    <w:r w:rsidR="005A30B9">
      <w:t>UNEP/</w:t>
    </w:r>
    <w:proofErr w:type="spellStart"/>
    <w:r w:rsidR="005A30B9">
      <w:t>OzL.Pro</w:t>
    </w:r>
    <w:proofErr w:type="spellEnd"/>
    <w:r w:rsidR="005A30B9">
      <w:t>/</w:t>
    </w:r>
    <w:proofErr w:type="spellStart"/>
    <w:r w:rsidR="005A30B9">
      <w:t>ExCom</w:t>
    </w:r>
    <w:proofErr w:type="spellEnd"/>
    <w:r w:rsidR="005A30B9">
      <w:t>/83/14</w:t>
    </w:r>
    <w:r>
      <w:fldChar w:fldCharType="end"/>
    </w:r>
  </w:p>
  <w:p w:rsidR="007C227C" w:rsidRPr="0033525D" w:rsidRDefault="007C227C"/>
  <w:p w:rsidR="007C227C" w:rsidRPr="0033525D" w:rsidRDefault="007C22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B9" w:rsidRPr="0033525D" w:rsidRDefault="005A30B9" w:rsidP="005A30B9">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/83/14</w:t>
    </w:r>
    <w:r>
      <w:fldChar w:fldCharType="end"/>
    </w:r>
  </w:p>
  <w:p w:rsidR="005A30B9" w:rsidRDefault="005A30B9" w:rsidP="005A30B9">
    <w:pPr>
      <w:pStyle w:val="Header"/>
      <w:jc w:val="left"/>
    </w:pPr>
    <w:r>
      <w:t>Annex I</w:t>
    </w:r>
  </w:p>
  <w:p w:rsidR="005A30B9" w:rsidRPr="0033525D" w:rsidRDefault="005A30B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B9" w:rsidRPr="0033525D" w:rsidRDefault="005A30B9" w:rsidP="005A30B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/83/14</w:t>
    </w:r>
    <w:r>
      <w:fldChar w:fldCharType="end"/>
    </w:r>
  </w:p>
  <w:p w:rsidR="005A30B9" w:rsidRDefault="005A30B9" w:rsidP="005A30B9">
    <w:pPr>
      <w:pStyle w:val="Header"/>
      <w:jc w:val="right"/>
    </w:pPr>
    <w:r>
      <w:t>Annex I</w:t>
    </w:r>
  </w:p>
  <w:p w:rsidR="005A30B9" w:rsidRPr="0033525D" w:rsidRDefault="005A30B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B9" w:rsidRPr="0033525D" w:rsidRDefault="005A30B9" w:rsidP="005A30B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/83/14</w:t>
    </w:r>
    <w:r>
      <w:fldChar w:fldCharType="end"/>
    </w:r>
  </w:p>
  <w:p w:rsidR="005A30B9" w:rsidRDefault="005A30B9" w:rsidP="005A30B9">
    <w:pPr>
      <w:pStyle w:val="Header"/>
      <w:jc w:val="right"/>
    </w:pPr>
    <w:r>
      <w:t>Annex I</w:t>
    </w:r>
  </w:p>
  <w:p w:rsidR="005A30B9" w:rsidRPr="005A30B9" w:rsidRDefault="005A30B9" w:rsidP="005A30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34D9B"/>
    <w:rsid w:val="00000FED"/>
    <w:rsid w:val="0000434E"/>
    <w:rsid w:val="000211A9"/>
    <w:rsid w:val="00031260"/>
    <w:rsid w:val="0003681A"/>
    <w:rsid w:val="00052C5C"/>
    <w:rsid w:val="00061EC2"/>
    <w:rsid w:val="00080ED0"/>
    <w:rsid w:val="00085B8F"/>
    <w:rsid w:val="00090481"/>
    <w:rsid w:val="000A6C26"/>
    <w:rsid w:val="000D52A4"/>
    <w:rsid w:val="000E07BC"/>
    <w:rsid w:val="000F1CD4"/>
    <w:rsid w:val="000F4103"/>
    <w:rsid w:val="000F70A7"/>
    <w:rsid w:val="00113CCA"/>
    <w:rsid w:val="00122F25"/>
    <w:rsid w:val="00135980"/>
    <w:rsid w:val="00164719"/>
    <w:rsid w:val="00166FC4"/>
    <w:rsid w:val="001677AC"/>
    <w:rsid w:val="001804EA"/>
    <w:rsid w:val="00190A61"/>
    <w:rsid w:val="001A3342"/>
    <w:rsid w:val="001A3E3D"/>
    <w:rsid w:val="001A7049"/>
    <w:rsid w:val="001B1D88"/>
    <w:rsid w:val="001B1E40"/>
    <w:rsid w:val="001B6487"/>
    <w:rsid w:val="001C3C80"/>
    <w:rsid w:val="001C764E"/>
    <w:rsid w:val="001E1052"/>
    <w:rsid w:val="001E21B1"/>
    <w:rsid w:val="001E2F93"/>
    <w:rsid w:val="001E61E5"/>
    <w:rsid w:val="001F2159"/>
    <w:rsid w:val="00214863"/>
    <w:rsid w:val="002156B4"/>
    <w:rsid w:val="00234D9B"/>
    <w:rsid w:val="00253222"/>
    <w:rsid w:val="00262847"/>
    <w:rsid w:val="00281BB2"/>
    <w:rsid w:val="002B08D9"/>
    <w:rsid w:val="002B72E9"/>
    <w:rsid w:val="002C7998"/>
    <w:rsid w:val="002F1E53"/>
    <w:rsid w:val="002F263D"/>
    <w:rsid w:val="002F2CAA"/>
    <w:rsid w:val="0030052C"/>
    <w:rsid w:val="003306E1"/>
    <w:rsid w:val="003320E4"/>
    <w:rsid w:val="0033525D"/>
    <w:rsid w:val="003414F3"/>
    <w:rsid w:val="0035613E"/>
    <w:rsid w:val="00363EE9"/>
    <w:rsid w:val="00376128"/>
    <w:rsid w:val="0037742E"/>
    <w:rsid w:val="00377D56"/>
    <w:rsid w:val="0038245A"/>
    <w:rsid w:val="003840E6"/>
    <w:rsid w:val="00385CFC"/>
    <w:rsid w:val="003919B9"/>
    <w:rsid w:val="0039337A"/>
    <w:rsid w:val="003A3189"/>
    <w:rsid w:val="003A3CA7"/>
    <w:rsid w:val="003B33BD"/>
    <w:rsid w:val="003B569D"/>
    <w:rsid w:val="003C0C29"/>
    <w:rsid w:val="003C3C0E"/>
    <w:rsid w:val="003D4FAC"/>
    <w:rsid w:val="003E7906"/>
    <w:rsid w:val="003F3C50"/>
    <w:rsid w:val="003F5FBE"/>
    <w:rsid w:val="00406A6A"/>
    <w:rsid w:val="00406B22"/>
    <w:rsid w:val="004174B4"/>
    <w:rsid w:val="004328A7"/>
    <w:rsid w:val="00434C74"/>
    <w:rsid w:val="00456EB4"/>
    <w:rsid w:val="004718F3"/>
    <w:rsid w:val="00475040"/>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15B2F"/>
    <w:rsid w:val="00533796"/>
    <w:rsid w:val="00555D75"/>
    <w:rsid w:val="00560DF0"/>
    <w:rsid w:val="0056759C"/>
    <w:rsid w:val="0059513E"/>
    <w:rsid w:val="005A30B9"/>
    <w:rsid w:val="005B48FF"/>
    <w:rsid w:val="00604C15"/>
    <w:rsid w:val="00614BE0"/>
    <w:rsid w:val="006158D5"/>
    <w:rsid w:val="00625D83"/>
    <w:rsid w:val="006623E7"/>
    <w:rsid w:val="00662B80"/>
    <w:rsid w:val="00670F6C"/>
    <w:rsid w:val="006852C7"/>
    <w:rsid w:val="006852CE"/>
    <w:rsid w:val="006C1727"/>
    <w:rsid w:val="006C32FD"/>
    <w:rsid w:val="006C39CE"/>
    <w:rsid w:val="006D0FCC"/>
    <w:rsid w:val="006D1D2D"/>
    <w:rsid w:val="006E1FC3"/>
    <w:rsid w:val="0070616B"/>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227C"/>
    <w:rsid w:val="007C3D33"/>
    <w:rsid w:val="007D294A"/>
    <w:rsid w:val="007D47D2"/>
    <w:rsid w:val="007D6EC0"/>
    <w:rsid w:val="007D7E1D"/>
    <w:rsid w:val="00831979"/>
    <w:rsid w:val="00851352"/>
    <w:rsid w:val="00863230"/>
    <w:rsid w:val="008717D8"/>
    <w:rsid w:val="0087215C"/>
    <w:rsid w:val="00880E35"/>
    <w:rsid w:val="008875FE"/>
    <w:rsid w:val="00887F8E"/>
    <w:rsid w:val="00896234"/>
    <w:rsid w:val="00897E43"/>
    <w:rsid w:val="008C5738"/>
    <w:rsid w:val="008C7EAD"/>
    <w:rsid w:val="008D0CFE"/>
    <w:rsid w:val="008D3375"/>
    <w:rsid w:val="008D6152"/>
    <w:rsid w:val="008F0F81"/>
    <w:rsid w:val="008F27BF"/>
    <w:rsid w:val="009142EC"/>
    <w:rsid w:val="009154C3"/>
    <w:rsid w:val="00923540"/>
    <w:rsid w:val="00926767"/>
    <w:rsid w:val="009361D5"/>
    <w:rsid w:val="009428A4"/>
    <w:rsid w:val="009659F4"/>
    <w:rsid w:val="00970D60"/>
    <w:rsid w:val="009960E5"/>
    <w:rsid w:val="009A7ADC"/>
    <w:rsid w:val="009C19B7"/>
    <w:rsid w:val="009D7C51"/>
    <w:rsid w:val="009E196C"/>
    <w:rsid w:val="009F36BF"/>
    <w:rsid w:val="00A111B6"/>
    <w:rsid w:val="00A2547B"/>
    <w:rsid w:val="00A26D27"/>
    <w:rsid w:val="00A376EE"/>
    <w:rsid w:val="00A42A99"/>
    <w:rsid w:val="00A5151A"/>
    <w:rsid w:val="00A56465"/>
    <w:rsid w:val="00A57E0A"/>
    <w:rsid w:val="00A823F6"/>
    <w:rsid w:val="00A93BBA"/>
    <w:rsid w:val="00AA0A89"/>
    <w:rsid w:val="00AA6429"/>
    <w:rsid w:val="00AC01AA"/>
    <w:rsid w:val="00AC4F72"/>
    <w:rsid w:val="00AE77AA"/>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F3022"/>
    <w:rsid w:val="00BF3214"/>
    <w:rsid w:val="00BF5573"/>
    <w:rsid w:val="00C15867"/>
    <w:rsid w:val="00C2296D"/>
    <w:rsid w:val="00C23155"/>
    <w:rsid w:val="00C40C41"/>
    <w:rsid w:val="00C4565D"/>
    <w:rsid w:val="00C45885"/>
    <w:rsid w:val="00C50F22"/>
    <w:rsid w:val="00C57971"/>
    <w:rsid w:val="00C65BD7"/>
    <w:rsid w:val="00C76BA4"/>
    <w:rsid w:val="00C83A48"/>
    <w:rsid w:val="00C85865"/>
    <w:rsid w:val="00C85E85"/>
    <w:rsid w:val="00CA2EAE"/>
    <w:rsid w:val="00CA4AC1"/>
    <w:rsid w:val="00CB0316"/>
    <w:rsid w:val="00CB0B11"/>
    <w:rsid w:val="00CB5354"/>
    <w:rsid w:val="00CC299E"/>
    <w:rsid w:val="00CC6A14"/>
    <w:rsid w:val="00CC70A3"/>
    <w:rsid w:val="00CD4442"/>
    <w:rsid w:val="00CD53C3"/>
    <w:rsid w:val="00CD574E"/>
    <w:rsid w:val="00CE4C22"/>
    <w:rsid w:val="00CF41EC"/>
    <w:rsid w:val="00CF5D04"/>
    <w:rsid w:val="00D04DE4"/>
    <w:rsid w:val="00D063F1"/>
    <w:rsid w:val="00D13CD0"/>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250F1"/>
    <w:rsid w:val="00E3550D"/>
    <w:rsid w:val="00E41335"/>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E66BA"/>
    <w:rsid w:val="00F21088"/>
    <w:rsid w:val="00F268BE"/>
    <w:rsid w:val="00F26E2B"/>
    <w:rsid w:val="00F327E7"/>
    <w:rsid w:val="00F35746"/>
    <w:rsid w:val="00F447C7"/>
    <w:rsid w:val="00F5211B"/>
    <w:rsid w:val="00F554A9"/>
    <w:rsid w:val="00F716FD"/>
    <w:rsid w:val="00F80355"/>
    <w:rsid w:val="00F87C4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4EA067-0A58-4865-818A-C98A3BDB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234D9B"/>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ink w:val="Heading3"/>
    <w:locked/>
    <w:rsid w:val="00234D9B"/>
    <w:rPr>
      <w:sz w:val="22"/>
      <w:szCs w:val="22"/>
      <w:lang w:val="en-GB"/>
    </w:rPr>
  </w:style>
  <w:style w:type="paragraph" w:styleId="FootnoteText">
    <w:name w:val="footnote text"/>
    <w:basedOn w:val="Normal"/>
    <w:link w:val="FootnoteTextChar"/>
    <w:uiPriority w:val="99"/>
    <w:semiHidden/>
    <w:unhideWhenUsed/>
    <w:rsid w:val="00234D9B"/>
    <w:rPr>
      <w:sz w:val="20"/>
      <w:szCs w:val="20"/>
    </w:rPr>
  </w:style>
  <w:style w:type="character" w:customStyle="1" w:styleId="FootnoteTextChar">
    <w:name w:val="Footnote Text Char"/>
    <w:basedOn w:val="DefaultParagraphFont"/>
    <w:link w:val="FootnoteText"/>
    <w:uiPriority w:val="99"/>
    <w:semiHidden/>
    <w:rsid w:val="00234D9B"/>
    <w:rPr>
      <w:lang w:val="en-GB"/>
    </w:rPr>
  </w:style>
  <w:style w:type="character" w:styleId="FootnoteReference">
    <w:name w:val="footnote reference"/>
    <w:uiPriority w:val="99"/>
    <w:semiHidden/>
    <w:unhideWhenUsed/>
    <w:rsid w:val="00234D9B"/>
    <w:rPr>
      <w:vertAlign w:val="superscript"/>
    </w:rPr>
  </w:style>
  <w:style w:type="character" w:customStyle="1" w:styleId="FooterChar">
    <w:name w:val="Footer Char"/>
    <w:basedOn w:val="DefaultParagraphFont"/>
    <w:link w:val="Footer"/>
    <w:uiPriority w:val="99"/>
    <w:rsid w:val="00234D9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UNEP/OzL.Pro/ExCom/83/14</Document_x0020_Number>
    <DocumentType xmlns="64e33b30-101d-41de-b951-961aab25ea29">Pre-session</DocumentType>
  </documentManagement>
</p:properties>
</file>

<file path=customXml/itemProps1.xml><?xml version="1.0" encoding="utf-8"?>
<ds:datastoreItem xmlns:ds="http://schemas.openxmlformats.org/officeDocument/2006/customXml" ds:itemID="{DBA6CFA3-F1FD-4A71-82D8-5E1C233D48B7}"/>
</file>

<file path=customXml/itemProps2.xml><?xml version="1.0" encoding="utf-8"?>
<ds:datastoreItem xmlns:ds="http://schemas.openxmlformats.org/officeDocument/2006/customXml" ds:itemID="{C94BEA9B-986A-42AF-8FCF-E0281A826CF8}"/>
</file>

<file path=customXml/itemProps3.xml><?xml version="1.0" encoding="utf-8"?>
<ds:datastoreItem xmlns:ds="http://schemas.openxmlformats.org/officeDocument/2006/customXml" ds:itemID="{9A824CEA-DE70-4F5D-BA2C-05D180F4EFB9}"/>
</file>

<file path=customXml/itemProps4.xml><?xml version="1.0" encoding="utf-8"?>
<ds:datastoreItem xmlns:ds="http://schemas.openxmlformats.org/officeDocument/2006/customXml" ds:itemID="{63B3B15C-998E-4AD8-9639-0DE31AE6F96E}"/>
</file>

<file path=docProps/app.xml><?xml version="1.0" encoding="utf-8"?>
<Properties xmlns="http://schemas.openxmlformats.org/officeDocument/2006/extended-properties" xmlns:vt="http://schemas.openxmlformats.org/officeDocument/2006/docPropsVTypes">
  <Template>Eec83G</Template>
  <TotalTime>7</TotalTime>
  <Pages>10</Pages>
  <Words>3733</Words>
  <Characters>19938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Tranche submission delays</vt:lpstr>
    </vt:vector>
  </TitlesOfParts>
  <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Tranche submission delays</dc:title>
  <dc:creator/>
  <cp:lastModifiedBy>HBE</cp:lastModifiedBy>
  <cp:revision>3</cp:revision>
  <cp:lastPrinted>2001-05-26T16:40:00Z</cp:lastPrinted>
  <dcterms:created xsi:type="dcterms:W3CDTF">2019-04-29T21:56:00Z</dcterms:created>
  <dcterms:modified xsi:type="dcterms:W3CDTF">2019-04-29T22:12:00Z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UNEP/OzL.Pro/ExCom/83/14</vt:lpwstr>
  </property>
  <property fmtid="{D5CDD505-2E9C-101B-9397-08002B2CF9AE}" pid="3" name="Revision date">
    <vt:lpwstr>04/29/2019</vt:lpwstr>
  </property>
  <property fmtid="{D5CDD505-2E9C-101B-9397-08002B2CF9AE}" pid="4" name="ContentTypeId">
    <vt:lpwstr>0x010100762D6C4AB31DDB43B4A5CC9B954409C8</vt:lpwstr>
  </property>
</Properties>
</file>