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864E5" w14:textId="77777777" w:rsidR="00EE66BA" w:rsidRPr="000B1D57" w:rsidRDefault="006D1D2D" w:rsidP="00084F0B">
      <w:r>
        <w:t xml:space="preserve"> </w:t>
      </w:r>
      <w:r w:rsidR="007C227C" w:rsidRPr="000B1D57">
        <w:rPr>
          <w:noProof/>
          <w:lang w:val="en-CA" w:eastAsia="en-CA"/>
        </w:rPr>
        <w:drawing>
          <wp:anchor distT="0" distB="0" distL="114300" distR="114300" simplePos="0" relativeHeight="251658240" behindDoc="1" locked="0" layoutInCell="1" allowOverlap="1" wp14:anchorId="0C6D5B16" wp14:editId="5A4C08C6">
            <wp:simplePos x="0" y="0"/>
            <wp:positionH relativeFrom="column">
              <wp:posOffset>0</wp:posOffset>
            </wp:positionH>
            <wp:positionV relativeFrom="paragraph">
              <wp:posOffset>-1270</wp:posOffset>
            </wp:positionV>
            <wp:extent cx="5943600" cy="2974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74975"/>
                    </a:xfrm>
                    <a:prstGeom prst="rect">
                      <a:avLst/>
                    </a:prstGeom>
                  </pic:spPr>
                </pic:pic>
              </a:graphicData>
            </a:graphic>
            <wp14:sizeRelH relativeFrom="page">
              <wp14:pctWidth>0</wp14:pctWidth>
            </wp14:sizeRelH>
            <wp14:sizeRelV relativeFrom="page">
              <wp14:pctHeight>0</wp14:pctHeight>
            </wp14:sizeRelV>
          </wp:anchor>
        </w:drawing>
      </w:r>
    </w:p>
    <w:p w14:paraId="42D360FC" w14:textId="77777777" w:rsidR="00EE66BA" w:rsidRPr="000B1D57" w:rsidRDefault="00EE66BA" w:rsidP="00084F0B">
      <w:pPr>
        <w:tabs>
          <w:tab w:val="left" w:pos="8280"/>
        </w:tabs>
      </w:pPr>
    </w:p>
    <w:p w14:paraId="423C7B70" w14:textId="77777777" w:rsidR="00EE66BA" w:rsidRPr="000B1D57" w:rsidRDefault="00EE66BA" w:rsidP="00084F0B">
      <w:pPr>
        <w:tabs>
          <w:tab w:val="left" w:pos="8280"/>
        </w:tabs>
      </w:pPr>
    </w:p>
    <w:p w14:paraId="25585400" w14:textId="77777777" w:rsidR="00EE66BA" w:rsidRPr="000B1D57" w:rsidRDefault="00EE66BA" w:rsidP="00084F0B">
      <w:pPr>
        <w:tabs>
          <w:tab w:val="left" w:pos="8280"/>
        </w:tabs>
      </w:pPr>
    </w:p>
    <w:p w14:paraId="489B5572" w14:textId="77777777" w:rsidR="00EE66BA" w:rsidRPr="000B1D57" w:rsidRDefault="00A56465" w:rsidP="00084F0B">
      <w:pPr>
        <w:tabs>
          <w:tab w:val="left" w:pos="3210"/>
        </w:tabs>
      </w:pPr>
      <w:r w:rsidRPr="000B1D57">
        <w:tab/>
      </w:r>
    </w:p>
    <w:p w14:paraId="0A29E144" w14:textId="77777777" w:rsidR="003919B9" w:rsidRPr="000B1D57" w:rsidRDefault="003919B9" w:rsidP="00084F0B">
      <w:pPr>
        <w:ind w:left="5040"/>
      </w:pPr>
      <w:r w:rsidRPr="000B1D57">
        <w:t xml:space="preserve">  </w:t>
      </w:r>
    </w:p>
    <w:p w14:paraId="03B3A1EF" w14:textId="77777777" w:rsidR="003919B9" w:rsidRPr="000B1D57" w:rsidRDefault="003919B9" w:rsidP="00084F0B">
      <w:pPr>
        <w:ind w:left="5040"/>
      </w:pPr>
    </w:p>
    <w:p w14:paraId="1D57F218" w14:textId="690238CA" w:rsidR="003919B9" w:rsidRPr="000B1D57" w:rsidRDefault="003919B9" w:rsidP="00084F0B">
      <w:pPr>
        <w:ind w:left="5040"/>
      </w:pPr>
      <w:r w:rsidRPr="000B1D57">
        <w:t xml:space="preserve">    </w:t>
      </w:r>
      <w:r w:rsidR="00061273" w:rsidRPr="000B1D57">
        <w:fldChar w:fldCharType="begin"/>
      </w:r>
      <w:r w:rsidR="00061273" w:rsidRPr="000B1D57">
        <w:instrText xml:space="preserve"> DOCPROPERTY "Document number"  \* MERGEFORMAT </w:instrText>
      </w:r>
      <w:r w:rsidR="00061273" w:rsidRPr="000B1D57">
        <w:fldChar w:fldCharType="separate"/>
      </w:r>
      <w:r w:rsidR="00DE79D8" w:rsidRPr="000B1D57">
        <w:t>UNEP/</w:t>
      </w:r>
      <w:proofErr w:type="spellStart"/>
      <w:r w:rsidR="00DE79D8" w:rsidRPr="000B1D57">
        <w:t>OzL.Pro</w:t>
      </w:r>
      <w:proofErr w:type="spellEnd"/>
      <w:r w:rsidR="00DE79D8" w:rsidRPr="000B1D57">
        <w:t>/</w:t>
      </w:r>
      <w:proofErr w:type="spellStart"/>
      <w:r w:rsidR="00DE79D8" w:rsidRPr="000B1D57">
        <w:t>ExCom</w:t>
      </w:r>
      <w:proofErr w:type="spellEnd"/>
      <w:r w:rsidR="00DE79D8" w:rsidRPr="000B1D57">
        <w:t>/83/15</w:t>
      </w:r>
      <w:r w:rsidR="00061273" w:rsidRPr="000B1D57">
        <w:fldChar w:fldCharType="end"/>
      </w:r>
      <w:r w:rsidRPr="000B1D57">
        <w:br/>
        <w:t xml:space="preserve">    </w:t>
      </w:r>
      <w:r w:rsidRPr="000B1D57">
        <w:fldChar w:fldCharType="begin"/>
      </w:r>
      <w:r w:rsidRPr="000B1D57">
        <w:instrText xml:space="preserve"> DOCPROPERTY "Revision date" \@ "d MMMM YYYY"  \* MERGEFORMAT </w:instrText>
      </w:r>
      <w:r w:rsidRPr="000B1D57">
        <w:fldChar w:fldCharType="separate"/>
      </w:r>
      <w:r w:rsidR="00D66A3E" w:rsidRPr="000B1D57">
        <w:t>8 May 2019</w:t>
      </w:r>
      <w:r w:rsidRPr="000B1D57">
        <w:fldChar w:fldCharType="end"/>
      </w:r>
    </w:p>
    <w:p w14:paraId="51EF32E6" w14:textId="77777777" w:rsidR="003919B9" w:rsidRPr="000B1D57" w:rsidRDefault="003919B9" w:rsidP="00084F0B"/>
    <w:p w14:paraId="60807386" w14:textId="77777777" w:rsidR="00EE66BA" w:rsidRPr="000B1D57" w:rsidRDefault="00EE66BA" w:rsidP="00084F0B">
      <w:pPr>
        <w:tabs>
          <w:tab w:val="left" w:pos="8280"/>
        </w:tabs>
      </w:pPr>
    </w:p>
    <w:p w14:paraId="3ADCD0F1" w14:textId="77777777" w:rsidR="003919B9" w:rsidRPr="000B1D57" w:rsidRDefault="00AE77AA" w:rsidP="00084F0B">
      <w:pPr>
        <w:tabs>
          <w:tab w:val="left" w:pos="8280"/>
        </w:tabs>
      </w:pPr>
      <w:r w:rsidRPr="000B1D57">
        <w:br/>
      </w:r>
      <w:r w:rsidR="002B08D9" w:rsidRPr="000B1D57">
        <w:br/>
      </w:r>
    </w:p>
    <w:p w14:paraId="444891A8" w14:textId="77777777" w:rsidR="003919B9" w:rsidRPr="000B1D57" w:rsidRDefault="003919B9" w:rsidP="00084F0B">
      <w:pPr>
        <w:tabs>
          <w:tab w:val="left" w:pos="8280"/>
        </w:tabs>
      </w:pPr>
    </w:p>
    <w:p w14:paraId="2F08A749" w14:textId="77777777" w:rsidR="003919B9" w:rsidRPr="000B1D57" w:rsidRDefault="003919B9" w:rsidP="00084F0B">
      <w:pPr>
        <w:tabs>
          <w:tab w:val="left" w:pos="8280"/>
        </w:tabs>
      </w:pPr>
    </w:p>
    <w:p w14:paraId="7A065968" w14:textId="77777777" w:rsidR="003919B9" w:rsidRPr="000B1D57" w:rsidRDefault="003919B9" w:rsidP="00084F0B">
      <w:pPr>
        <w:tabs>
          <w:tab w:val="left" w:pos="8280"/>
        </w:tabs>
      </w:pPr>
    </w:p>
    <w:p w14:paraId="60A0EC55" w14:textId="77777777" w:rsidR="003919B9" w:rsidRPr="000B1D57" w:rsidRDefault="003919B9" w:rsidP="00084F0B">
      <w:pPr>
        <w:tabs>
          <w:tab w:val="left" w:pos="8280"/>
        </w:tabs>
      </w:pPr>
    </w:p>
    <w:p w14:paraId="189754F8" w14:textId="77777777" w:rsidR="003919B9" w:rsidRPr="000B1D57" w:rsidRDefault="003919B9" w:rsidP="00084F0B">
      <w:pPr>
        <w:tabs>
          <w:tab w:val="left" w:pos="8280"/>
        </w:tabs>
      </w:pPr>
    </w:p>
    <w:p w14:paraId="00A36AA4" w14:textId="77777777" w:rsidR="003919B9" w:rsidRPr="000B1D57" w:rsidRDefault="003919B9" w:rsidP="00084F0B">
      <w:pPr>
        <w:tabs>
          <w:tab w:val="left" w:pos="8280"/>
        </w:tabs>
      </w:pPr>
    </w:p>
    <w:p w14:paraId="183EC011" w14:textId="77777777" w:rsidR="00802668" w:rsidRPr="000B1D57" w:rsidRDefault="00802668" w:rsidP="00084F0B">
      <w:pPr>
        <w:spacing w:after="240"/>
        <w:jc w:val="center"/>
        <w:outlineLvl w:val="0"/>
        <w:rPr>
          <w:b/>
          <w:caps/>
          <w:szCs w:val="28"/>
        </w:rPr>
      </w:pPr>
      <w:r w:rsidRPr="000B1D57">
        <w:rPr>
          <w:b/>
          <w:caps/>
          <w:szCs w:val="28"/>
        </w:rPr>
        <w:t>Overview of issues identified DURING project review</w:t>
      </w:r>
    </w:p>
    <w:p w14:paraId="3A5AFF47" w14:textId="77777777" w:rsidR="00802668" w:rsidRPr="000B1D57" w:rsidRDefault="00802668" w:rsidP="00084F0B">
      <w:pPr>
        <w:pStyle w:val="Heading1"/>
        <w:rPr>
          <w:snapToGrid w:val="0"/>
        </w:rPr>
      </w:pPr>
      <w:bookmarkStart w:id="0" w:name="_Toc232301366"/>
      <w:r w:rsidRPr="000B1D57">
        <w:t>This document consists of the following sections:</w:t>
      </w:r>
      <w:bookmarkEnd w:id="0"/>
    </w:p>
    <w:p w14:paraId="5000277D" w14:textId="77777777" w:rsidR="00802668" w:rsidRPr="000B1D57" w:rsidRDefault="00802668" w:rsidP="00084F0B">
      <w:pPr>
        <w:pStyle w:val="Heading2"/>
        <w:numPr>
          <w:ilvl w:val="1"/>
          <w:numId w:val="1"/>
        </w:numPr>
        <w:rPr>
          <w:snapToGrid w:val="0"/>
        </w:rPr>
      </w:pPr>
      <w:bookmarkStart w:id="1" w:name="_Toc232301367"/>
      <w:r w:rsidRPr="000B1D57">
        <w:t>An overview of projects and activities submitted by bilateral and implementing agencies;</w:t>
      </w:r>
      <w:bookmarkEnd w:id="1"/>
    </w:p>
    <w:p w14:paraId="5003EB91" w14:textId="1BDCBFE3" w:rsidR="00431653" w:rsidRPr="000B1D57" w:rsidRDefault="00802668" w:rsidP="00084F0B">
      <w:pPr>
        <w:pStyle w:val="Heading2"/>
        <w:numPr>
          <w:ilvl w:val="1"/>
          <w:numId w:val="1"/>
        </w:numPr>
      </w:pPr>
      <w:r w:rsidRPr="000B1D57">
        <w:t>Issues identified du</w:t>
      </w:r>
      <w:bookmarkStart w:id="2" w:name="_Toc232301370"/>
      <w:r w:rsidR="000E4235" w:rsidRPr="000B1D57">
        <w:t>ring the project review process;</w:t>
      </w:r>
    </w:p>
    <w:p w14:paraId="44A1A7A7" w14:textId="5D44D6B4" w:rsidR="00802668" w:rsidRPr="000B1D57" w:rsidRDefault="00802668" w:rsidP="00084F0B">
      <w:pPr>
        <w:widowControl w:val="0"/>
        <w:numPr>
          <w:ilvl w:val="1"/>
          <w:numId w:val="1"/>
        </w:numPr>
        <w:spacing w:after="240"/>
        <w:outlineLvl w:val="1"/>
        <w:rPr>
          <w:szCs w:val="28"/>
        </w:rPr>
      </w:pPr>
      <w:r w:rsidRPr="000B1D57">
        <w:rPr>
          <w:szCs w:val="28"/>
        </w:rPr>
        <w:t>Project</w:t>
      </w:r>
      <w:r w:rsidR="00D66A3E" w:rsidRPr="000B1D57">
        <w:rPr>
          <w:szCs w:val="28"/>
        </w:rPr>
        <w:t>s</w:t>
      </w:r>
      <w:r w:rsidRPr="000B1D57">
        <w:rPr>
          <w:szCs w:val="28"/>
        </w:rPr>
        <w:t xml:space="preserve"> and activities submitted for blanket approval; and</w:t>
      </w:r>
    </w:p>
    <w:p w14:paraId="08A9873D" w14:textId="77777777" w:rsidR="00802668" w:rsidRPr="000B1D57" w:rsidRDefault="00802668" w:rsidP="00084F0B">
      <w:pPr>
        <w:widowControl w:val="0"/>
        <w:numPr>
          <w:ilvl w:val="1"/>
          <w:numId w:val="1"/>
        </w:numPr>
        <w:spacing w:after="240"/>
        <w:outlineLvl w:val="1"/>
        <w:rPr>
          <w:szCs w:val="28"/>
        </w:rPr>
      </w:pPr>
      <w:r w:rsidRPr="000B1D57">
        <w:rPr>
          <w:szCs w:val="28"/>
        </w:rPr>
        <w:t>Investment projects for individual consideration.</w:t>
      </w:r>
    </w:p>
    <w:bookmarkEnd w:id="2"/>
    <w:p w14:paraId="6AB5F345" w14:textId="77777777" w:rsidR="00802668" w:rsidRPr="000B1D57" w:rsidRDefault="00802668" w:rsidP="00084F0B">
      <w:pPr>
        <w:pStyle w:val="StyleHeader4Para4Left0Firstline0"/>
        <w:numPr>
          <w:ilvl w:val="0"/>
          <w:numId w:val="0"/>
        </w:numPr>
        <w:rPr>
          <w:b/>
          <w:sz w:val="22"/>
        </w:rPr>
      </w:pPr>
      <w:r w:rsidRPr="000B1D57">
        <w:rPr>
          <w:b/>
          <w:sz w:val="22"/>
        </w:rPr>
        <w:t>Projects and activities submitted by bilateral and implementing agencies</w:t>
      </w:r>
    </w:p>
    <w:p w14:paraId="61427C2D" w14:textId="79EAA15D" w:rsidR="00802668" w:rsidRPr="000B1D57" w:rsidRDefault="00802668" w:rsidP="00084F0B">
      <w:pPr>
        <w:pStyle w:val="Heading1"/>
      </w:pPr>
      <w:r w:rsidRPr="000B1D57">
        <w:t xml:space="preserve">Bilateral and implementing agencies submitted </w:t>
      </w:r>
      <w:r w:rsidR="00E1040B" w:rsidRPr="000B1D57">
        <w:t>101</w:t>
      </w:r>
      <w:r w:rsidRPr="000B1D57">
        <w:t xml:space="preserve"> funding requests for tranches of approved multi</w:t>
      </w:r>
      <w:r w:rsidRPr="000B1D57">
        <w:noBreakHyphen/>
        <w:t>year agreements, projects and activities amounting to US $</w:t>
      </w:r>
      <w:r w:rsidR="00E1040B" w:rsidRPr="000B1D57">
        <w:t>96,021,850</w:t>
      </w:r>
      <w:r w:rsidRPr="000B1D57">
        <w:t xml:space="preserve"> (US $</w:t>
      </w:r>
      <w:r w:rsidR="00E1040B" w:rsidRPr="000B1D57">
        <w:t>148,331,866</w:t>
      </w:r>
      <w:r w:rsidRPr="000B1D57">
        <w:t xml:space="preserve"> including amount</w:t>
      </w:r>
      <w:r w:rsidR="00D66A3E" w:rsidRPr="000B1D57">
        <w:t>s</w:t>
      </w:r>
      <w:r w:rsidRPr="000B1D57">
        <w:t xml:space="preserve"> requested in principle), including agency support costs, where applicable. The funding requests covered: </w:t>
      </w:r>
    </w:p>
    <w:p w14:paraId="1A5CAEB1" w14:textId="37DD8CF6" w:rsidR="00802668" w:rsidRPr="000B1D57" w:rsidRDefault="00802668" w:rsidP="00084F0B">
      <w:pPr>
        <w:pStyle w:val="Heading2"/>
        <w:keepNext/>
        <w:widowControl/>
        <w:numPr>
          <w:ilvl w:val="1"/>
          <w:numId w:val="1"/>
        </w:numPr>
      </w:pPr>
      <w:r w:rsidRPr="000B1D57">
        <w:t>Stage</w:t>
      </w:r>
      <w:r w:rsidR="00D66A3E" w:rsidRPr="000B1D57">
        <w:t> </w:t>
      </w:r>
      <w:r w:rsidRPr="000B1D57">
        <w:t xml:space="preserve">II of the HCFC production phase-out management plan (HPPMP) for </w:t>
      </w:r>
      <w:r w:rsidR="00C416B1" w:rsidRPr="000B1D57">
        <w:t>one country</w:t>
      </w:r>
      <w:r w:rsidRPr="000B1D57">
        <w:t xml:space="preserve"> (to be considered by the Sub</w:t>
      </w:r>
      <w:r w:rsidR="00D66A3E" w:rsidRPr="000B1D57">
        <w:noBreakHyphen/>
      </w:r>
      <w:r w:rsidRPr="000B1D57">
        <w:t xml:space="preserve">group on the Production Sector); </w:t>
      </w:r>
    </w:p>
    <w:p w14:paraId="70A67F22" w14:textId="4F085D7B" w:rsidR="00802668" w:rsidRPr="000B1D57" w:rsidRDefault="00802668" w:rsidP="00084F0B">
      <w:pPr>
        <w:pStyle w:val="Heading2"/>
        <w:numPr>
          <w:ilvl w:val="1"/>
          <w:numId w:val="1"/>
        </w:numPr>
      </w:pPr>
      <w:r w:rsidRPr="000B1D57">
        <w:t>Tranches of approved H</w:t>
      </w:r>
      <w:r w:rsidR="00D66A3E" w:rsidRPr="000B1D57">
        <w:t>CFC phase-out management plans (H</w:t>
      </w:r>
      <w:r w:rsidR="00485E32" w:rsidRPr="000B1D57">
        <w:t>PMPs</w:t>
      </w:r>
      <w:r w:rsidR="00D30920" w:rsidRPr="000B1D57">
        <w:t xml:space="preserve">) </w:t>
      </w:r>
      <w:r w:rsidRPr="000B1D57">
        <w:t xml:space="preserve">for </w:t>
      </w:r>
      <w:r w:rsidR="00E1040B" w:rsidRPr="000B1D57">
        <w:t>19</w:t>
      </w:r>
      <w:r w:rsidR="00D30920" w:rsidRPr="000B1D57">
        <w:t> </w:t>
      </w:r>
      <w:r w:rsidRPr="000B1D57">
        <w:t>countries;</w:t>
      </w:r>
    </w:p>
    <w:p w14:paraId="48925600" w14:textId="4B0A08D9" w:rsidR="002074C3" w:rsidRPr="000B1D57" w:rsidRDefault="00D30920" w:rsidP="00084F0B">
      <w:pPr>
        <w:pStyle w:val="Heading2"/>
        <w:numPr>
          <w:ilvl w:val="1"/>
          <w:numId w:val="1"/>
        </w:numPr>
      </w:pPr>
      <w:r w:rsidRPr="000B1D57">
        <w:t xml:space="preserve">An investment project to phase </w:t>
      </w:r>
      <w:r w:rsidR="002074C3" w:rsidRPr="000B1D57">
        <w:t>out HCFC-142b/HCFC-22 in the extruded polystyrene</w:t>
      </w:r>
      <w:r w:rsidRPr="000B1D57">
        <w:t xml:space="preserve"> (XPS)</w:t>
      </w:r>
      <w:r w:rsidR="002074C3" w:rsidRPr="000B1D57">
        <w:t xml:space="preserve"> foam sector in </w:t>
      </w:r>
      <w:r w:rsidR="00C61887" w:rsidRPr="000B1D57">
        <w:t>one country</w:t>
      </w:r>
      <w:r w:rsidR="002074C3" w:rsidRPr="000B1D57">
        <w:t>;</w:t>
      </w:r>
    </w:p>
    <w:p w14:paraId="3FE406C8" w14:textId="2412C70E" w:rsidR="00802668" w:rsidRPr="000B1D57" w:rsidRDefault="00802668" w:rsidP="00084F0B">
      <w:pPr>
        <w:pStyle w:val="Heading2"/>
        <w:numPr>
          <w:ilvl w:val="1"/>
          <w:numId w:val="1"/>
        </w:numPr>
      </w:pPr>
      <w:r w:rsidRPr="000B1D57">
        <w:t xml:space="preserve">Renewals of institutional strengthening (IS) projects in </w:t>
      </w:r>
      <w:r w:rsidR="00E1040B" w:rsidRPr="000B1D57">
        <w:t>28</w:t>
      </w:r>
      <w:r w:rsidRPr="000B1D57">
        <w:t xml:space="preserve"> countries; </w:t>
      </w:r>
    </w:p>
    <w:p w14:paraId="2F8B29F3" w14:textId="4F78A888" w:rsidR="0049458A" w:rsidRPr="000B1D57" w:rsidRDefault="0049458A" w:rsidP="00084F0B">
      <w:pPr>
        <w:pStyle w:val="Heading2"/>
      </w:pPr>
      <w:r w:rsidRPr="000B1D57">
        <w:t xml:space="preserve">Preparation for stage II of HPMPs for </w:t>
      </w:r>
      <w:r w:rsidR="00A34E76" w:rsidRPr="000B1D57">
        <w:t>nine</w:t>
      </w:r>
      <w:r w:rsidRPr="000B1D57">
        <w:t xml:space="preserve"> countries and for stage III for </w:t>
      </w:r>
      <w:r w:rsidR="00A34E76" w:rsidRPr="000B1D57">
        <w:t xml:space="preserve">four </w:t>
      </w:r>
      <w:r w:rsidRPr="000B1D57">
        <w:t>countries;</w:t>
      </w:r>
    </w:p>
    <w:p w14:paraId="62E655FA" w14:textId="25786889" w:rsidR="00A34E76" w:rsidRPr="000B1D57" w:rsidRDefault="002074C3" w:rsidP="00084F0B">
      <w:pPr>
        <w:pStyle w:val="Heading2"/>
      </w:pPr>
      <w:r w:rsidRPr="000B1D57">
        <w:t>Control and phase</w:t>
      </w:r>
      <w:r w:rsidR="00D30920" w:rsidRPr="000B1D57">
        <w:noBreakHyphen/>
      </w:r>
      <w:r w:rsidRPr="000B1D57">
        <w:t>out of HFC</w:t>
      </w:r>
      <w:r w:rsidR="00D30920" w:rsidRPr="000B1D57">
        <w:noBreakHyphen/>
      </w:r>
      <w:r w:rsidRPr="000B1D57">
        <w:t xml:space="preserve">23 emissions in </w:t>
      </w:r>
      <w:r w:rsidR="00D30920" w:rsidRPr="000B1D57">
        <w:t xml:space="preserve">the </w:t>
      </w:r>
      <w:r w:rsidRPr="000B1D57">
        <w:t>production of HCFC</w:t>
      </w:r>
      <w:r w:rsidR="00D30920" w:rsidRPr="000B1D57">
        <w:noBreakHyphen/>
      </w:r>
      <w:r w:rsidRPr="000B1D57">
        <w:t xml:space="preserve">22 in </w:t>
      </w:r>
      <w:r w:rsidR="00C416B1" w:rsidRPr="000B1D57">
        <w:t>one country</w:t>
      </w:r>
      <w:r w:rsidRPr="000B1D57">
        <w:t xml:space="preserve"> (to be considered under agenda item 12(c)</w:t>
      </w:r>
      <w:r w:rsidR="00485E32" w:rsidRPr="000B1D57">
        <w:t>)</w:t>
      </w:r>
      <w:r w:rsidRPr="000B1D57">
        <w:t>;</w:t>
      </w:r>
      <w:r w:rsidR="00D30920" w:rsidRPr="000B1D57">
        <w:rPr>
          <w:rStyle w:val="FootnoteReference"/>
        </w:rPr>
        <w:footnoteReference w:id="1"/>
      </w:r>
    </w:p>
    <w:p w14:paraId="207D5CFF" w14:textId="51A1626A" w:rsidR="002074C3" w:rsidRPr="000B1D57" w:rsidRDefault="00C61887" w:rsidP="00084F0B">
      <w:pPr>
        <w:pStyle w:val="Heading2"/>
        <w:numPr>
          <w:ilvl w:val="1"/>
          <w:numId w:val="1"/>
        </w:numPr>
      </w:pPr>
      <w:r w:rsidRPr="000B1D57">
        <w:lastRenderedPageBreak/>
        <w:t>An HFC-related investment project for one country;</w:t>
      </w:r>
    </w:p>
    <w:p w14:paraId="3749602A" w14:textId="2000136D" w:rsidR="00C61887" w:rsidRPr="000B1D57" w:rsidRDefault="00C61887" w:rsidP="00084F0B">
      <w:pPr>
        <w:pStyle w:val="Heading2"/>
      </w:pPr>
      <w:r w:rsidRPr="000B1D57">
        <w:t>Project preparation for HFC-related investment projects in three countries</w:t>
      </w:r>
      <w:r w:rsidR="00C416B1" w:rsidRPr="000B1D57">
        <w:t>; and</w:t>
      </w:r>
    </w:p>
    <w:p w14:paraId="50A181B2" w14:textId="21FF33D3" w:rsidR="00802668" w:rsidRPr="000B1D57" w:rsidRDefault="00A34E76" w:rsidP="00084F0B">
      <w:pPr>
        <w:pStyle w:val="Heading2"/>
        <w:numPr>
          <w:ilvl w:val="1"/>
          <w:numId w:val="1"/>
        </w:numPr>
      </w:pPr>
      <w:r w:rsidRPr="000B1D57">
        <w:t>Enabling activities for HFC</w:t>
      </w:r>
      <w:r w:rsidR="00C416B1" w:rsidRPr="000B1D57">
        <w:t xml:space="preserve"> phase-down for one country.</w:t>
      </w:r>
    </w:p>
    <w:p w14:paraId="5EF97842" w14:textId="7D19AEFE" w:rsidR="00802668" w:rsidRPr="000B1D57" w:rsidRDefault="00802668" w:rsidP="00084F0B">
      <w:pPr>
        <w:pStyle w:val="Heading1"/>
      </w:pPr>
      <w:r w:rsidRPr="000B1D57">
        <w:t xml:space="preserve">Following the project review process, </w:t>
      </w:r>
      <w:r w:rsidR="00F559DF" w:rsidRPr="000B1D57">
        <w:t>72</w:t>
      </w:r>
      <w:r w:rsidR="00084F0B" w:rsidRPr="000B1D57">
        <w:t> </w:t>
      </w:r>
      <w:r w:rsidRPr="000B1D57">
        <w:t>projects and activities totalling US $</w:t>
      </w:r>
      <w:r w:rsidR="00F559DF" w:rsidRPr="000B1D57">
        <w:t>8,</w:t>
      </w:r>
      <w:r w:rsidR="004E691E">
        <w:t>576</w:t>
      </w:r>
      <w:r w:rsidR="00F559DF" w:rsidRPr="000B1D57">
        <w:t>,</w:t>
      </w:r>
      <w:r w:rsidR="004E691E">
        <w:t>869</w:t>
      </w:r>
      <w:r w:rsidRPr="000B1D57">
        <w:t xml:space="preserve">, including agency support costs, are recommended for blanket approval, and </w:t>
      </w:r>
      <w:r w:rsidR="009E1A79" w:rsidRPr="000B1D57">
        <w:t>16</w:t>
      </w:r>
      <w:r w:rsidR="00084F0B" w:rsidRPr="000B1D57">
        <w:t> </w:t>
      </w:r>
      <w:r w:rsidRPr="000B1D57">
        <w:t>projects and activities totalling US $</w:t>
      </w:r>
      <w:r w:rsidR="009E1A79" w:rsidRPr="000B1D57">
        <w:t>59,492,567</w:t>
      </w:r>
      <w:r w:rsidR="00C416B1" w:rsidRPr="000B1D57">
        <w:t xml:space="preserve"> (including agency support costs)</w:t>
      </w:r>
      <w:r w:rsidRPr="000B1D57">
        <w:t>, of which US $</w:t>
      </w:r>
      <w:r w:rsidR="009E1A79" w:rsidRPr="000B1D57">
        <w:t>31,619,787</w:t>
      </w:r>
      <w:r w:rsidRPr="000B1D57">
        <w:t xml:space="preserve"> is for the </w:t>
      </w:r>
      <w:r w:rsidR="009E1A79" w:rsidRPr="000B1D57">
        <w:t>third</w:t>
      </w:r>
      <w:r w:rsidR="002F4D0D" w:rsidRPr="000B1D57">
        <w:t xml:space="preserve"> </w:t>
      </w:r>
      <w:r w:rsidRPr="000B1D57">
        <w:t>tranche</w:t>
      </w:r>
      <w:r w:rsidR="00B1545E" w:rsidRPr="000B1D57">
        <w:t>s</w:t>
      </w:r>
      <w:r w:rsidRPr="000B1D57">
        <w:t xml:space="preserve"> of </w:t>
      </w:r>
      <w:r w:rsidR="00607B49" w:rsidRPr="000B1D57">
        <w:t>the XPS</w:t>
      </w:r>
      <w:r w:rsidR="00084F0B" w:rsidRPr="000B1D57">
        <w:t> </w:t>
      </w:r>
      <w:r w:rsidR="00607B49" w:rsidRPr="000B1D57">
        <w:t xml:space="preserve">foam, industrial and commercial refrigeration (ICR), solvents and refrigeration servicing </w:t>
      </w:r>
      <w:r w:rsidR="00B1545E" w:rsidRPr="000B1D57">
        <w:t>sector</w:t>
      </w:r>
      <w:r w:rsidR="002F4D0D" w:rsidRPr="000B1D57">
        <w:rPr>
          <w:rStyle w:val="FootnoteReference"/>
        </w:rPr>
        <w:footnoteReference w:id="2"/>
      </w:r>
      <w:r w:rsidR="002F4D0D" w:rsidRPr="000B1D57">
        <w:t xml:space="preserve"> </w:t>
      </w:r>
      <w:r w:rsidR="00B1545E" w:rsidRPr="000B1D57">
        <w:t xml:space="preserve">plans of </w:t>
      </w:r>
      <w:r w:rsidRPr="000B1D57">
        <w:t>stage</w:t>
      </w:r>
      <w:r w:rsidR="00D30920" w:rsidRPr="000B1D57">
        <w:t> </w:t>
      </w:r>
      <w:r w:rsidRPr="000B1D57">
        <w:t>II of the HPMP for China and US $</w:t>
      </w:r>
      <w:r w:rsidR="009E1A79" w:rsidRPr="000B1D57">
        <w:t>25,138,537</w:t>
      </w:r>
      <w:r w:rsidRPr="000B1D57" w:rsidDel="005977C2">
        <w:t xml:space="preserve"> </w:t>
      </w:r>
      <w:r w:rsidR="00C416B1" w:rsidRPr="000B1D57">
        <w:t>for the first tranche of</w:t>
      </w:r>
      <w:r w:rsidRPr="000B1D57">
        <w:t xml:space="preserve"> stage</w:t>
      </w:r>
      <w:r w:rsidR="00D30920" w:rsidRPr="000B1D57">
        <w:t> </w:t>
      </w:r>
      <w:r w:rsidRPr="000B1D57">
        <w:t xml:space="preserve">II </w:t>
      </w:r>
      <w:r w:rsidR="00D30920" w:rsidRPr="000B1D57">
        <w:t xml:space="preserve">of the </w:t>
      </w:r>
      <w:r w:rsidRPr="000B1D57">
        <w:t>HPPMP</w:t>
      </w:r>
      <w:r w:rsidR="00C416B1" w:rsidRPr="000B1D57">
        <w:t xml:space="preserve"> for China</w:t>
      </w:r>
      <w:r w:rsidRPr="000B1D57">
        <w:t>, are being forwarded for individual consideration. Together, the projects for blanket approval and those for individual consideration amount to US $</w:t>
      </w:r>
      <w:r w:rsidR="009E1A79" w:rsidRPr="000B1D57">
        <w:t>68,069,436</w:t>
      </w:r>
      <w:r w:rsidRPr="000B1D57">
        <w:t>.</w:t>
      </w:r>
    </w:p>
    <w:p w14:paraId="238759B7" w14:textId="56C8820B" w:rsidR="00802668" w:rsidRPr="000B1D57" w:rsidRDefault="00481311" w:rsidP="00084F0B">
      <w:pPr>
        <w:pStyle w:val="Heading1"/>
      </w:pPr>
      <w:r w:rsidRPr="000B1D57">
        <w:t xml:space="preserve">The </w:t>
      </w:r>
      <w:r w:rsidR="004E691E">
        <w:t xml:space="preserve">project for </w:t>
      </w:r>
      <w:r w:rsidRPr="000B1D57">
        <w:t xml:space="preserve">enabling activities for HFC phase-down for one country (Syrian Arab Republic) </w:t>
      </w:r>
      <w:r w:rsidR="004E691E">
        <w:t>is</w:t>
      </w:r>
      <w:r w:rsidR="00C416B1" w:rsidRPr="000B1D57">
        <w:t xml:space="preserve"> </w:t>
      </w:r>
      <w:r w:rsidRPr="000B1D57">
        <w:t xml:space="preserve">recommended for blanket approval </w:t>
      </w:r>
      <w:r w:rsidR="00C416B1" w:rsidRPr="000B1D57">
        <w:t xml:space="preserve">and </w:t>
      </w:r>
      <w:r w:rsidRPr="000B1D57">
        <w:t>will be funded under the additional contributions.</w:t>
      </w:r>
      <w:r w:rsidR="00802668" w:rsidRPr="000B1D57">
        <w:t xml:space="preserve"> </w:t>
      </w:r>
    </w:p>
    <w:p w14:paraId="1A897DE0" w14:textId="53E16380" w:rsidR="00802668" w:rsidRPr="000B1D57" w:rsidRDefault="00802668" w:rsidP="00084F0B">
      <w:pPr>
        <w:rPr>
          <w:i/>
          <w:lang w:val="en-CA"/>
        </w:rPr>
      </w:pPr>
      <w:r w:rsidRPr="000B1D57">
        <w:rPr>
          <w:i/>
          <w:snapToGrid w:val="0"/>
          <w:szCs w:val="28"/>
        </w:rPr>
        <w:t xml:space="preserve">HPMPs submitted and subsequently withdrawn </w:t>
      </w:r>
      <w:r w:rsidRPr="000B1D57">
        <w:rPr>
          <w:i/>
        </w:rPr>
        <w:t>(</w:t>
      </w:r>
      <w:r w:rsidR="00B1545E" w:rsidRPr="000B1D57">
        <w:rPr>
          <w:i/>
        </w:rPr>
        <w:t>Islamic Republic of</w:t>
      </w:r>
      <w:r w:rsidR="00692930" w:rsidRPr="000B1D57">
        <w:rPr>
          <w:i/>
        </w:rPr>
        <w:t xml:space="preserve"> Iran, Pakistan,</w:t>
      </w:r>
      <w:r w:rsidR="00F239D7" w:rsidRPr="000B1D57">
        <w:rPr>
          <w:i/>
        </w:rPr>
        <w:t xml:space="preserve"> </w:t>
      </w:r>
      <w:r w:rsidR="00671EDE" w:rsidRPr="000B1D57">
        <w:rPr>
          <w:i/>
        </w:rPr>
        <w:t>Serbia</w:t>
      </w:r>
      <w:r w:rsidRPr="000B1D57">
        <w:rPr>
          <w:i/>
        </w:rPr>
        <w:t>)</w:t>
      </w:r>
    </w:p>
    <w:p w14:paraId="27AEBD4A" w14:textId="77777777" w:rsidR="00802668" w:rsidRPr="000B1D57" w:rsidRDefault="00802668" w:rsidP="00084F0B">
      <w:pPr>
        <w:rPr>
          <w:i/>
          <w:lang w:val="en-CA"/>
        </w:rPr>
      </w:pPr>
    </w:p>
    <w:p w14:paraId="62EC3BFB" w14:textId="5D630366" w:rsidR="00692930" w:rsidRPr="000B1D57" w:rsidRDefault="00C71131" w:rsidP="00084F0B">
      <w:pPr>
        <w:pStyle w:val="Heading1"/>
        <w:rPr>
          <w:lang w:val="en-CA" w:eastAsia="en-CA"/>
        </w:rPr>
      </w:pPr>
      <w:r w:rsidRPr="000B1D57">
        <w:rPr>
          <w:lang w:val="en-US"/>
        </w:rPr>
        <w:t>UNDP</w:t>
      </w:r>
      <w:r w:rsidR="0097639A" w:rsidRPr="000B1D57">
        <w:rPr>
          <w:lang w:val="en-US"/>
        </w:rPr>
        <w:t xml:space="preserve">, on behalf of the Islamic Republic of Iran, submitted </w:t>
      </w:r>
      <w:r w:rsidRPr="000B1D57">
        <w:rPr>
          <w:lang w:val="en-US"/>
        </w:rPr>
        <w:t>the request for the second tranche of stage</w:t>
      </w:r>
      <w:r w:rsidR="00B1545E" w:rsidRPr="000B1D57">
        <w:rPr>
          <w:lang w:val="en-US"/>
        </w:rPr>
        <w:t> </w:t>
      </w:r>
      <w:r w:rsidRPr="000B1D57">
        <w:rPr>
          <w:lang w:val="en-US"/>
        </w:rPr>
        <w:t>II of the HPMP</w:t>
      </w:r>
      <w:r w:rsidR="0097639A" w:rsidRPr="000B1D57">
        <w:rPr>
          <w:lang w:val="en-US"/>
        </w:rPr>
        <w:t xml:space="preserve">. Upon review of the proposal by the Secretariat and subsequent discussion with UNDP, </w:t>
      </w:r>
      <w:r w:rsidRPr="000B1D57">
        <w:rPr>
          <w:lang w:val="en-US"/>
        </w:rPr>
        <w:t xml:space="preserve">the request could not be submitted for consideration by the Executive Committee as UNDP </w:t>
      </w:r>
      <w:r w:rsidR="00B1545E" w:rsidRPr="000B1D57">
        <w:rPr>
          <w:lang w:val="en-US"/>
        </w:rPr>
        <w:t>was unable to submit</w:t>
      </w:r>
      <w:r w:rsidRPr="000B1D57">
        <w:rPr>
          <w:lang w:val="en-US"/>
        </w:rPr>
        <w:t xml:space="preserve"> a report on the results of the conversion of the first 15 enterprises in the refrigeration and air</w:t>
      </w:r>
      <w:r w:rsidR="00B1545E" w:rsidRPr="000B1D57">
        <w:rPr>
          <w:lang w:val="en-US"/>
        </w:rPr>
        <w:noBreakHyphen/>
      </w:r>
      <w:r w:rsidRPr="000B1D57">
        <w:rPr>
          <w:lang w:val="en-US"/>
        </w:rPr>
        <w:t>conditioning manufacturing sector to low-global-warming-potential alternatives, highlighting the lessons learned and challenges faced</w:t>
      </w:r>
      <w:r w:rsidR="00B1545E" w:rsidRPr="000B1D57">
        <w:rPr>
          <w:lang w:val="en-US"/>
        </w:rPr>
        <w:t xml:space="preserve"> (decision 77/44(d)), and as UNIDO was unable</w:t>
      </w:r>
      <w:r w:rsidRPr="000B1D57">
        <w:rPr>
          <w:lang w:val="en-US"/>
        </w:rPr>
        <w:t xml:space="preserve"> to justify the incremental c</w:t>
      </w:r>
      <w:r w:rsidR="00B1545E" w:rsidRPr="000B1D57">
        <w:rPr>
          <w:lang w:val="en-US"/>
        </w:rPr>
        <w:t>ost of several changes that would</w:t>
      </w:r>
      <w:r w:rsidRPr="000B1D57">
        <w:rPr>
          <w:lang w:val="en-US"/>
        </w:rPr>
        <w:t xml:space="preserve"> take place in the foam sector plan. </w:t>
      </w:r>
      <w:r w:rsidR="0097639A" w:rsidRPr="000B1D57">
        <w:rPr>
          <w:lang w:val="en-US"/>
        </w:rPr>
        <w:t>T</w:t>
      </w:r>
      <w:r w:rsidRPr="000B1D57">
        <w:rPr>
          <w:lang w:val="en-CA" w:eastAsia="en-CA"/>
        </w:rPr>
        <w:t xml:space="preserve">he tranche request </w:t>
      </w:r>
      <w:r w:rsidR="0097639A" w:rsidRPr="000B1D57">
        <w:rPr>
          <w:lang w:val="en-CA" w:eastAsia="en-CA"/>
        </w:rPr>
        <w:t>is expected to be submitted to</w:t>
      </w:r>
      <w:r w:rsidRPr="000B1D57">
        <w:rPr>
          <w:lang w:val="en-CA" w:eastAsia="en-CA"/>
        </w:rPr>
        <w:t xml:space="preserve"> the </w:t>
      </w:r>
      <w:r w:rsidR="00F94605" w:rsidRPr="000B1D57">
        <w:rPr>
          <w:lang w:val="en-CA" w:eastAsia="en-CA"/>
        </w:rPr>
        <w:t>84</w:t>
      </w:r>
      <w:r w:rsidR="00F94605" w:rsidRPr="000B1D57">
        <w:rPr>
          <w:vertAlign w:val="superscript"/>
          <w:lang w:val="en-CA" w:eastAsia="en-CA"/>
        </w:rPr>
        <w:t>th</w:t>
      </w:r>
      <w:r w:rsidR="00BD2C65" w:rsidRPr="000B1D57">
        <w:rPr>
          <w:lang w:val="en-CA" w:eastAsia="en-CA"/>
        </w:rPr>
        <w:t> </w:t>
      </w:r>
      <w:r w:rsidR="00F94605" w:rsidRPr="000B1D57">
        <w:rPr>
          <w:lang w:val="en-CA" w:eastAsia="en-CA"/>
        </w:rPr>
        <w:t>meeting</w:t>
      </w:r>
      <w:r w:rsidRPr="000B1D57">
        <w:rPr>
          <w:lang w:val="en-CA" w:eastAsia="en-CA"/>
        </w:rPr>
        <w:t>.</w:t>
      </w:r>
    </w:p>
    <w:p w14:paraId="22D4EEB2" w14:textId="2E460AF5" w:rsidR="005B6263" w:rsidRPr="000B1D57" w:rsidRDefault="005B6263" w:rsidP="00084F0B">
      <w:pPr>
        <w:pStyle w:val="Heading1"/>
        <w:rPr>
          <w:lang w:val="en-CA" w:eastAsia="en-CA"/>
        </w:rPr>
      </w:pPr>
      <w:r w:rsidRPr="000B1D57">
        <w:rPr>
          <w:lang w:val="en-CA"/>
        </w:rPr>
        <w:t>In line with decision</w:t>
      </w:r>
      <w:r w:rsidR="00754DEF" w:rsidRPr="000B1D57">
        <w:rPr>
          <w:lang w:val="en-CA"/>
        </w:rPr>
        <w:t> </w:t>
      </w:r>
      <w:r w:rsidRPr="000B1D57">
        <w:rPr>
          <w:lang w:val="en-CA"/>
        </w:rPr>
        <w:t>76/39(f)</w:t>
      </w:r>
      <w:r w:rsidR="00BD2C65" w:rsidRPr="000B1D57">
        <w:rPr>
          <w:lang w:val="en-CA"/>
        </w:rPr>
        <w:t>,</w:t>
      </w:r>
      <w:r w:rsidRPr="000B1D57">
        <w:rPr>
          <w:rStyle w:val="FootnoteReference"/>
          <w:lang w:val="en-CA"/>
        </w:rPr>
        <w:footnoteReference w:id="3"/>
      </w:r>
      <w:r w:rsidRPr="000B1D57">
        <w:rPr>
          <w:lang w:val="en-CA"/>
        </w:rPr>
        <w:t xml:space="preserve"> UNIDO had submitted a project for the conversion of an XPS</w:t>
      </w:r>
      <w:r w:rsidR="00754DEF" w:rsidRPr="000B1D57">
        <w:rPr>
          <w:lang w:val="en-CA"/>
        </w:rPr>
        <w:t> </w:t>
      </w:r>
      <w:r w:rsidRPr="000B1D57">
        <w:rPr>
          <w:lang w:val="en-CA"/>
        </w:rPr>
        <w:t>foam enterprise (Symbol Industry) to dimethyl ether (DME), CO</w:t>
      </w:r>
      <w:r w:rsidRPr="000B1D57">
        <w:rPr>
          <w:vertAlign w:val="subscript"/>
          <w:lang w:val="en-CA"/>
        </w:rPr>
        <w:t>2</w:t>
      </w:r>
      <w:r w:rsidR="00D30920" w:rsidRPr="000B1D57">
        <w:rPr>
          <w:lang w:val="en-CA"/>
        </w:rPr>
        <w:t xml:space="preserve">, and </w:t>
      </w:r>
      <w:r w:rsidRPr="000B1D57">
        <w:rPr>
          <w:lang w:val="en-CA"/>
        </w:rPr>
        <w:t>HFO</w:t>
      </w:r>
      <w:r w:rsidR="00754DEF" w:rsidRPr="000B1D57">
        <w:rPr>
          <w:lang w:val="en-CA"/>
        </w:rPr>
        <w:t xml:space="preserve"> in Pakistan</w:t>
      </w:r>
      <w:r w:rsidRPr="000B1D57">
        <w:rPr>
          <w:lang w:val="en-CA"/>
        </w:rPr>
        <w:t>. The total cost of the proje</w:t>
      </w:r>
      <w:r w:rsidR="00C1325C" w:rsidRPr="000B1D57">
        <w:rPr>
          <w:lang w:val="en-CA"/>
        </w:rPr>
        <w:t>ct as submitted was US </w:t>
      </w:r>
      <w:r w:rsidRPr="000B1D57">
        <w:rPr>
          <w:lang w:val="en-CA"/>
        </w:rPr>
        <w:t>$871,527</w:t>
      </w:r>
      <w:r w:rsidR="00D30920" w:rsidRPr="000B1D57">
        <w:rPr>
          <w:lang w:val="en-CA"/>
        </w:rPr>
        <w:t>,</w:t>
      </w:r>
      <w:r w:rsidRPr="000B1D57">
        <w:rPr>
          <w:lang w:val="en-CA"/>
        </w:rPr>
        <w:t xml:space="preserve"> plus support costs </w:t>
      </w:r>
      <w:r w:rsidR="00754DEF" w:rsidRPr="000B1D57">
        <w:rPr>
          <w:lang w:val="en-CA"/>
        </w:rPr>
        <w:t>of</w:t>
      </w:r>
      <w:r w:rsidR="003769D0" w:rsidRPr="000B1D57">
        <w:rPr>
          <w:lang w:val="en-CA"/>
        </w:rPr>
        <w:t xml:space="preserve"> US $61,007 </w:t>
      </w:r>
      <w:r w:rsidRPr="000B1D57">
        <w:rPr>
          <w:lang w:val="en-CA"/>
        </w:rPr>
        <w:t xml:space="preserve">for UNIDO; with a cost effectiveness of </w:t>
      </w:r>
      <w:r w:rsidR="00CA796B" w:rsidRPr="000B1D57">
        <w:rPr>
          <w:lang w:val="en-CA"/>
        </w:rPr>
        <w:t>US </w:t>
      </w:r>
      <w:r w:rsidRPr="000B1D57">
        <w:rPr>
          <w:lang w:val="en-CA"/>
        </w:rPr>
        <w:t>$11.36/kg.</w:t>
      </w:r>
      <w:r w:rsidRPr="000B1D57">
        <w:rPr>
          <w:rStyle w:val="FootnoteReference"/>
          <w:lang w:val="en-CA"/>
        </w:rPr>
        <w:footnoteReference w:id="4"/>
      </w:r>
      <w:r w:rsidRPr="000B1D57">
        <w:rPr>
          <w:lang w:val="en-CA"/>
        </w:rPr>
        <w:t xml:space="preserve"> Despite exhaustive discussions, UNIDO and the Secretariat could not </w:t>
      </w:r>
      <w:r w:rsidR="003769D0" w:rsidRPr="000B1D57">
        <w:rPr>
          <w:lang w:val="en-CA"/>
        </w:rPr>
        <w:t xml:space="preserve">reach </w:t>
      </w:r>
      <w:r w:rsidRPr="000B1D57">
        <w:rPr>
          <w:lang w:val="en-CA"/>
        </w:rPr>
        <w:t>an agreement on the overall cost of the project by the deadline for project negotiation. The Secretariat subsequently requested that this project be resubmitted to the 84</w:t>
      </w:r>
      <w:r w:rsidRPr="000B1D57">
        <w:rPr>
          <w:vertAlign w:val="superscript"/>
          <w:lang w:val="en-CA"/>
        </w:rPr>
        <w:t>th</w:t>
      </w:r>
      <w:r w:rsidR="00754DEF" w:rsidRPr="000B1D57">
        <w:rPr>
          <w:lang w:val="en-CA"/>
        </w:rPr>
        <w:t> </w:t>
      </w:r>
      <w:r w:rsidRPr="000B1D57">
        <w:rPr>
          <w:lang w:val="en-CA"/>
        </w:rPr>
        <w:t xml:space="preserve">meeting. The Secretariat further noted that deferring the submission of this project would not affect the compliance </w:t>
      </w:r>
      <w:r w:rsidR="00084F0B" w:rsidRPr="000B1D57">
        <w:rPr>
          <w:lang w:val="en-CA"/>
        </w:rPr>
        <w:t xml:space="preserve">of the Government of Pakistan with </w:t>
      </w:r>
      <w:r w:rsidR="003769D0" w:rsidRPr="000B1D57">
        <w:rPr>
          <w:lang w:val="en-CA"/>
        </w:rPr>
        <w:t>Montreal Protocol obligations</w:t>
      </w:r>
      <w:r w:rsidRPr="000B1D57">
        <w:rPr>
          <w:lang w:val="en-CA"/>
        </w:rPr>
        <w:t>,</w:t>
      </w:r>
      <w:r w:rsidR="00754DEF" w:rsidRPr="000B1D57">
        <w:rPr>
          <w:lang w:val="en-CA"/>
        </w:rPr>
        <w:t xml:space="preserve"> </w:t>
      </w:r>
      <w:r w:rsidRPr="000B1D57">
        <w:rPr>
          <w:lang w:val="en-CA"/>
        </w:rPr>
        <w:t>as the Government had already agreed to reduce HCFC consumption by 50</w:t>
      </w:r>
      <w:r w:rsidR="00754DEF" w:rsidRPr="000B1D57">
        <w:rPr>
          <w:lang w:val="en-CA"/>
        </w:rPr>
        <w:t> </w:t>
      </w:r>
      <w:r w:rsidRPr="000B1D57">
        <w:rPr>
          <w:lang w:val="en-CA"/>
        </w:rPr>
        <w:t>per</w:t>
      </w:r>
      <w:r w:rsidR="00754DEF" w:rsidRPr="000B1D57">
        <w:rPr>
          <w:lang w:val="en-CA"/>
        </w:rPr>
        <w:t> </w:t>
      </w:r>
      <w:r w:rsidRPr="000B1D57">
        <w:rPr>
          <w:lang w:val="en-CA"/>
        </w:rPr>
        <w:t>cent of its baseline by 2020 through the activities included in stages</w:t>
      </w:r>
      <w:r w:rsidR="00D30920" w:rsidRPr="000B1D57">
        <w:rPr>
          <w:lang w:val="en-CA"/>
        </w:rPr>
        <w:t> </w:t>
      </w:r>
      <w:r w:rsidRPr="000B1D57">
        <w:rPr>
          <w:lang w:val="en-CA"/>
        </w:rPr>
        <w:t>I and II of the HPMP</w:t>
      </w:r>
      <w:r w:rsidR="00754DEF" w:rsidRPr="000B1D57">
        <w:rPr>
          <w:lang w:val="en-CA"/>
        </w:rPr>
        <w:t>, which did not include the</w:t>
      </w:r>
      <w:r w:rsidRPr="000B1D57">
        <w:rPr>
          <w:lang w:val="en-CA"/>
        </w:rPr>
        <w:t xml:space="preserve"> conversion in the XPS</w:t>
      </w:r>
      <w:r w:rsidR="00D30920" w:rsidRPr="000B1D57">
        <w:rPr>
          <w:lang w:val="en-CA"/>
        </w:rPr>
        <w:t> </w:t>
      </w:r>
      <w:r w:rsidR="00CA796B" w:rsidRPr="000B1D57">
        <w:rPr>
          <w:lang w:val="en-CA"/>
        </w:rPr>
        <w:t>foam</w:t>
      </w:r>
      <w:r w:rsidRPr="000B1D57">
        <w:rPr>
          <w:lang w:val="en-CA"/>
        </w:rPr>
        <w:t xml:space="preserve"> sect</w:t>
      </w:r>
      <w:r w:rsidR="00754DEF" w:rsidRPr="000B1D57">
        <w:rPr>
          <w:lang w:val="en-CA"/>
        </w:rPr>
        <w:t>or</w:t>
      </w:r>
      <w:r w:rsidRPr="000B1D57">
        <w:rPr>
          <w:lang w:val="en-CA"/>
        </w:rPr>
        <w:t>.</w:t>
      </w:r>
    </w:p>
    <w:p w14:paraId="564138C2" w14:textId="5B5055A8" w:rsidR="0097639A" w:rsidRPr="000B1D57" w:rsidRDefault="0097639A" w:rsidP="00084F0B">
      <w:pPr>
        <w:pStyle w:val="Heading1"/>
        <w:rPr>
          <w:lang w:val="en-CA" w:eastAsia="en-CA"/>
        </w:rPr>
      </w:pPr>
      <w:r w:rsidRPr="000B1D57">
        <w:rPr>
          <w:lang w:val="en-CA" w:eastAsia="en-CA"/>
        </w:rPr>
        <w:t>UNIDO, on behalf of the Government of Serbia, submitted a project for the elimination of R</w:t>
      </w:r>
      <w:r w:rsidR="00754DEF" w:rsidRPr="000B1D57">
        <w:rPr>
          <w:lang w:val="en-CA" w:eastAsia="en-CA"/>
        </w:rPr>
        <w:noBreakHyphen/>
      </w:r>
      <w:r w:rsidRPr="000B1D57">
        <w:rPr>
          <w:lang w:val="en-CA" w:eastAsia="en-CA"/>
        </w:rPr>
        <w:t xml:space="preserve">404A in the manufacturing of industrial freezing tunnels in the </w:t>
      </w:r>
      <w:r w:rsidR="00D30920" w:rsidRPr="000B1D57">
        <w:rPr>
          <w:lang w:val="en-CA" w:eastAsia="en-CA"/>
        </w:rPr>
        <w:t>enterprise</w:t>
      </w:r>
      <w:r w:rsidRPr="000B1D57">
        <w:rPr>
          <w:lang w:val="en-CA" w:eastAsia="en-CA"/>
        </w:rPr>
        <w:t xml:space="preserve"> Eko Elektro</w:t>
      </w:r>
      <w:r w:rsidR="00D30920" w:rsidRPr="000B1D57">
        <w:rPr>
          <w:lang w:val="en-CA" w:eastAsia="en-CA"/>
        </w:rPr>
        <w:t>f</w:t>
      </w:r>
      <w:r w:rsidRPr="000B1D57">
        <w:rPr>
          <w:lang w:val="en-CA" w:eastAsia="en-CA"/>
        </w:rPr>
        <w:t xml:space="preserve">rigo. Subsequent to a discussion, the project was withdrawn as it did not appear to meet the criteria </w:t>
      </w:r>
      <w:r w:rsidR="00754DEF" w:rsidRPr="000B1D57">
        <w:rPr>
          <w:lang w:val="en-CA" w:eastAsia="en-CA"/>
        </w:rPr>
        <w:t xml:space="preserve">listed </w:t>
      </w:r>
      <w:r w:rsidRPr="000B1D57">
        <w:rPr>
          <w:lang w:val="en-CA" w:eastAsia="en-CA"/>
        </w:rPr>
        <w:t>in decision</w:t>
      </w:r>
      <w:r w:rsidR="00754DEF" w:rsidRPr="000B1D57">
        <w:rPr>
          <w:lang w:val="en-CA" w:eastAsia="en-CA"/>
        </w:rPr>
        <w:t>s </w:t>
      </w:r>
      <w:r w:rsidRPr="000B1D57">
        <w:rPr>
          <w:lang w:val="en-CA" w:eastAsia="en-CA"/>
        </w:rPr>
        <w:t xml:space="preserve">78/3(g) </w:t>
      </w:r>
      <w:r w:rsidR="00754DEF" w:rsidRPr="000B1D57">
        <w:rPr>
          <w:lang w:val="en-CA" w:eastAsia="en-CA"/>
        </w:rPr>
        <w:t xml:space="preserve">and </w:t>
      </w:r>
      <w:r w:rsidRPr="000B1D57">
        <w:rPr>
          <w:lang w:val="en-CA" w:eastAsia="en-CA"/>
        </w:rPr>
        <w:t>79/45</w:t>
      </w:r>
      <w:r w:rsidR="001A4194" w:rsidRPr="000B1D57">
        <w:rPr>
          <w:lang w:val="en-CA" w:eastAsia="en-CA"/>
        </w:rPr>
        <w:t>. In particular, the application appeared to be in the assembly sub-sector, rather than the manufacturing sector, and the replicability of the technology was limited</w:t>
      </w:r>
      <w:r w:rsidRPr="000B1D57">
        <w:rPr>
          <w:lang w:val="en-CA" w:eastAsia="en-CA"/>
        </w:rPr>
        <w:t>. Noting that to date no stand-alone HFC projects have been submitted from the Europe and Central Asia region, and that geographic distribution is included amongst the criteria for consideration of HFC stand-alone projec</w:t>
      </w:r>
      <w:r w:rsidR="00D30920" w:rsidRPr="000B1D57">
        <w:rPr>
          <w:lang w:val="en-CA" w:eastAsia="en-CA"/>
        </w:rPr>
        <w:t xml:space="preserve">ts specified in </w:t>
      </w:r>
      <w:r w:rsidR="00D30920" w:rsidRPr="000B1D57">
        <w:rPr>
          <w:lang w:val="en-CA" w:eastAsia="en-CA"/>
        </w:rPr>
        <w:lastRenderedPageBreak/>
        <w:t>decision 79/45</w:t>
      </w:r>
      <w:r w:rsidRPr="000B1D57">
        <w:rPr>
          <w:lang w:val="en-CA" w:eastAsia="en-CA"/>
        </w:rPr>
        <w:t>, the Secretariat suggested that UNIDO consider submitting another project from that region to the 84</w:t>
      </w:r>
      <w:r w:rsidRPr="000B1D57">
        <w:rPr>
          <w:vertAlign w:val="superscript"/>
          <w:lang w:val="en-CA" w:eastAsia="en-CA"/>
        </w:rPr>
        <w:t>th</w:t>
      </w:r>
      <w:r w:rsidR="00D30920" w:rsidRPr="000B1D57">
        <w:rPr>
          <w:lang w:val="en-CA" w:eastAsia="en-CA"/>
        </w:rPr>
        <w:t> </w:t>
      </w:r>
      <w:r w:rsidRPr="000B1D57">
        <w:rPr>
          <w:lang w:val="en-CA" w:eastAsia="en-CA"/>
        </w:rPr>
        <w:t>meeting that meets the criteria of decision</w:t>
      </w:r>
      <w:r w:rsidR="005B09D7" w:rsidRPr="000B1D57">
        <w:rPr>
          <w:lang w:val="en-CA" w:eastAsia="en-CA"/>
        </w:rPr>
        <w:t> </w:t>
      </w:r>
      <w:r w:rsidRPr="000B1D57">
        <w:rPr>
          <w:lang w:val="en-CA" w:eastAsia="en-CA"/>
        </w:rPr>
        <w:t>78/3(g) and decision</w:t>
      </w:r>
      <w:r w:rsidR="005B09D7" w:rsidRPr="000B1D57">
        <w:rPr>
          <w:lang w:val="en-CA" w:eastAsia="en-CA"/>
        </w:rPr>
        <w:t> </w:t>
      </w:r>
      <w:r w:rsidRPr="000B1D57">
        <w:rPr>
          <w:lang w:val="en-CA" w:eastAsia="en-CA"/>
        </w:rPr>
        <w:t>79/45.</w:t>
      </w:r>
    </w:p>
    <w:p w14:paraId="3E7F7AB4" w14:textId="77777777" w:rsidR="00802668" w:rsidRPr="000B1D57" w:rsidRDefault="00802668" w:rsidP="00084F0B">
      <w:pPr>
        <w:pStyle w:val="Heading1"/>
        <w:keepNext/>
        <w:numPr>
          <w:ilvl w:val="0"/>
          <w:numId w:val="0"/>
        </w:numPr>
        <w:rPr>
          <w:i/>
        </w:rPr>
      </w:pPr>
      <w:r w:rsidRPr="000B1D57">
        <w:rPr>
          <w:i/>
        </w:rPr>
        <w:t>IS renewal requests</w:t>
      </w:r>
    </w:p>
    <w:p w14:paraId="48907E8D" w14:textId="0CBAC38F" w:rsidR="005B6263" w:rsidRPr="000B1D57" w:rsidRDefault="005B6263" w:rsidP="00084F0B">
      <w:pPr>
        <w:pStyle w:val="Heading1"/>
        <w:rPr>
          <w:lang w:val="en-CA"/>
        </w:rPr>
      </w:pPr>
      <w:r w:rsidRPr="000B1D57">
        <w:rPr>
          <w:lang w:val="en-CA"/>
        </w:rPr>
        <w:t>The Secretariat reviewed the terminal reports and requests for extension of IS funding for 28 countries against relevant decisions</w:t>
      </w:r>
      <w:r w:rsidR="00D30920" w:rsidRPr="000B1D57">
        <w:rPr>
          <w:lang w:val="en-CA"/>
        </w:rPr>
        <w:t>,</w:t>
      </w:r>
      <w:r w:rsidRPr="000B1D57">
        <w:rPr>
          <w:lang w:val="en-CA"/>
        </w:rPr>
        <w:t xml:space="preserve"> including decision</w:t>
      </w:r>
      <w:r w:rsidR="00D30920" w:rsidRPr="000B1D57">
        <w:rPr>
          <w:lang w:val="en-CA"/>
        </w:rPr>
        <w:t> </w:t>
      </w:r>
      <w:r w:rsidRPr="000B1D57">
        <w:rPr>
          <w:lang w:val="en-CA"/>
        </w:rPr>
        <w:t>74/51(c) on the funding level for IS projects, and decision</w:t>
      </w:r>
      <w:r w:rsidR="00D30920" w:rsidRPr="000B1D57">
        <w:rPr>
          <w:lang w:val="en-CA"/>
        </w:rPr>
        <w:t> </w:t>
      </w:r>
      <w:r w:rsidRPr="000B1D57">
        <w:rPr>
          <w:lang w:val="en-CA"/>
        </w:rPr>
        <w:t>74/51(e) on the requirement to include specific performance indicators for planned activities. All requests were cross</w:t>
      </w:r>
      <w:r w:rsidRPr="000B1D57">
        <w:rPr>
          <w:lang w:val="en-CA"/>
        </w:rPr>
        <w:noBreakHyphen/>
        <w:t xml:space="preserve">checked against: previous IS reports; progress reports on the implementation of country programmes (CP); data reported under Article 7 of the Montreal Protocol; the latest reports on </w:t>
      </w:r>
      <w:r w:rsidR="008B0F8E" w:rsidRPr="000B1D57">
        <w:rPr>
          <w:lang w:val="en-CA"/>
        </w:rPr>
        <w:t xml:space="preserve">the </w:t>
      </w:r>
      <w:r w:rsidRPr="000B1D57">
        <w:rPr>
          <w:lang w:val="en-CA"/>
        </w:rPr>
        <w:t>implementation of HPMPs; bilateral and implementing agencies’ progress reports submitted to the 82</w:t>
      </w:r>
      <w:r w:rsidRPr="000B1D57">
        <w:rPr>
          <w:vertAlign w:val="superscript"/>
          <w:lang w:val="en-CA"/>
        </w:rPr>
        <w:t>nd</w:t>
      </w:r>
      <w:r w:rsidRPr="000B1D57">
        <w:rPr>
          <w:lang w:val="en-CA"/>
        </w:rPr>
        <w:t xml:space="preserve"> meeting; and relevant decisions on compliance adopted by the Parties to the Montreal Protocol. All countries had 2017 </w:t>
      </w:r>
      <w:r w:rsidR="008B0F8E" w:rsidRPr="000B1D57">
        <w:rPr>
          <w:lang w:val="en-CA"/>
        </w:rPr>
        <w:t>CP</w:t>
      </w:r>
      <w:r w:rsidRPr="000B1D57">
        <w:rPr>
          <w:lang w:val="en-CA"/>
        </w:rPr>
        <w:t xml:space="preserve"> implementation data, and 18</w:t>
      </w:r>
      <w:r w:rsidR="00084F0B" w:rsidRPr="000B1D57">
        <w:rPr>
          <w:lang w:val="en-CA"/>
        </w:rPr>
        <w:t> </w:t>
      </w:r>
      <w:r w:rsidR="008B0F8E" w:rsidRPr="000B1D57">
        <w:rPr>
          <w:lang w:val="en-CA"/>
        </w:rPr>
        <w:t>countries had</w:t>
      </w:r>
      <w:r w:rsidRPr="000B1D57">
        <w:rPr>
          <w:lang w:val="en-CA"/>
        </w:rPr>
        <w:t xml:space="preserve"> submitted </w:t>
      </w:r>
      <w:r w:rsidR="008B0F8E" w:rsidRPr="000B1D57">
        <w:rPr>
          <w:lang w:val="en-CA"/>
        </w:rPr>
        <w:t xml:space="preserve">the </w:t>
      </w:r>
      <w:r w:rsidRPr="000B1D57">
        <w:rPr>
          <w:lang w:val="en-CA"/>
        </w:rPr>
        <w:t xml:space="preserve">2018 data as at issuance of the present document. All countries reported that they had achieved all or a majority </w:t>
      </w:r>
      <w:r w:rsidR="008B0F8E" w:rsidRPr="000B1D57">
        <w:rPr>
          <w:lang w:val="en-CA"/>
        </w:rPr>
        <w:t>of t</w:t>
      </w:r>
      <w:r w:rsidRPr="000B1D57">
        <w:rPr>
          <w:lang w:val="en-CA"/>
        </w:rPr>
        <w:t>he targets set for the specific performance indicators that are part of the progress report for the previous IS phase. The Secretariat recommended all IS projects submitted to the 83</w:t>
      </w:r>
      <w:r w:rsidRPr="000B1D57">
        <w:rPr>
          <w:vertAlign w:val="superscript"/>
          <w:lang w:val="en-CA"/>
        </w:rPr>
        <w:t>rd</w:t>
      </w:r>
      <w:r w:rsidRPr="000B1D57">
        <w:rPr>
          <w:lang w:val="en-CA"/>
        </w:rPr>
        <w:t xml:space="preserve"> meeting for blanket approval. </w:t>
      </w:r>
    </w:p>
    <w:p w14:paraId="1164128F" w14:textId="77777777" w:rsidR="00802668" w:rsidRPr="000B1D57" w:rsidRDefault="00802668" w:rsidP="00084F0B">
      <w:pPr>
        <w:pStyle w:val="Heading1"/>
        <w:numPr>
          <w:ilvl w:val="0"/>
          <w:numId w:val="0"/>
        </w:numPr>
        <w:rPr>
          <w:i/>
          <w:szCs w:val="28"/>
          <w:lang w:val="en-CA"/>
        </w:rPr>
      </w:pPr>
      <w:r w:rsidRPr="000B1D57">
        <w:rPr>
          <w:i/>
          <w:szCs w:val="28"/>
          <w:lang w:val="en-CA"/>
        </w:rPr>
        <w:t>Funding withheld pending submission of verification reports or meeting specific conditions</w:t>
      </w:r>
    </w:p>
    <w:p w14:paraId="7F8737C8" w14:textId="337F867F" w:rsidR="00802668" w:rsidRPr="000B1D57" w:rsidRDefault="00F9185E" w:rsidP="00084F0B">
      <w:pPr>
        <w:pStyle w:val="Heading1"/>
      </w:pPr>
      <w:r w:rsidRPr="000B1D57">
        <w:t>No approved funds are currently being withheld by the Treasurer pending submission of a verification report or meeting a specific condition.</w:t>
      </w:r>
    </w:p>
    <w:p w14:paraId="0173F237" w14:textId="77777777" w:rsidR="00802668" w:rsidRPr="000B1D57" w:rsidRDefault="00802668" w:rsidP="00084F0B">
      <w:pPr>
        <w:keepNext/>
        <w:rPr>
          <w:i/>
          <w:lang w:val="en-CA"/>
        </w:rPr>
      </w:pPr>
      <w:r w:rsidRPr="000B1D57">
        <w:rPr>
          <w:i/>
          <w:lang w:val="en-CA"/>
        </w:rPr>
        <w:t>Summary of prices of the controlled substances and alternatives</w:t>
      </w:r>
    </w:p>
    <w:p w14:paraId="581FD383" w14:textId="77777777" w:rsidR="00802668" w:rsidRPr="000B1D57" w:rsidRDefault="00802668" w:rsidP="00084F0B">
      <w:pPr>
        <w:keepNext/>
        <w:rPr>
          <w:u w:val="single"/>
          <w:lang w:val="en-CA"/>
        </w:rPr>
      </w:pPr>
    </w:p>
    <w:p w14:paraId="68006FCA" w14:textId="4318026D" w:rsidR="00802668" w:rsidRPr="000B1D57" w:rsidRDefault="00802668" w:rsidP="00084F0B">
      <w:pPr>
        <w:pStyle w:val="Heading1"/>
        <w:keepNext/>
      </w:pPr>
      <w:r w:rsidRPr="000B1D57">
        <w:rPr>
          <w:lang w:val="en-CA"/>
        </w:rPr>
        <w:t>At the 79</w:t>
      </w:r>
      <w:r w:rsidRPr="000B1D57">
        <w:rPr>
          <w:vertAlign w:val="superscript"/>
          <w:lang w:val="en-CA"/>
        </w:rPr>
        <w:t>th</w:t>
      </w:r>
      <w:r w:rsidRPr="000B1D57">
        <w:rPr>
          <w:lang w:val="en-CA"/>
        </w:rPr>
        <w:t xml:space="preserve"> meeting</w:t>
      </w:r>
      <w:r w:rsidR="008B0F8E" w:rsidRPr="000B1D57">
        <w:rPr>
          <w:lang w:val="en-CA"/>
        </w:rPr>
        <w:t>,</w:t>
      </w:r>
      <w:r w:rsidRPr="000B1D57">
        <w:rPr>
          <w:rStyle w:val="FootnoteReference"/>
          <w:lang w:val="en-CA"/>
        </w:rPr>
        <w:footnoteReference w:id="5"/>
      </w:r>
      <w:r w:rsidRPr="000B1D57">
        <w:rPr>
          <w:lang w:val="en-CA"/>
        </w:rPr>
        <w:t xml:space="preserve"> the Executive Committee requested the Secretariat to include in this document a summary of the prices of the controlled substances and the alternatives to be phased in, as communicated by enterprises requesting funding in any new project proposal, including clarification of any differences between those and the prices reported in the </w:t>
      </w:r>
      <w:r w:rsidR="008B0F8E" w:rsidRPr="000B1D57">
        <w:rPr>
          <w:lang w:val="en-CA"/>
        </w:rPr>
        <w:t>CP</w:t>
      </w:r>
      <w:r w:rsidRPr="000B1D57">
        <w:rPr>
          <w:lang w:val="en-CA"/>
        </w:rPr>
        <w:t xml:space="preserve"> data report.</w:t>
      </w:r>
      <w:r w:rsidR="001E1CCC" w:rsidRPr="000B1D57">
        <w:rPr>
          <w:lang w:val="en-CA"/>
        </w:rPr>
        <w:t xml:space="preserve"> No new investment projects are being presented for consideration at the 83</w:t>
      </w:r>
      <w:r w:rsidR="001E1CCC" w:rsidRPr="000B1D57">
        <w:rPr>
          <w:vertAlign w:val="superscript"/>
          <w:lang w:val="en-CA"/>
        </w:rPr>
        <w:t>rd</w:t>
      </w:r>
      <w:r w:rsidR="008B0F8E" w:rsidRPr="000B1D57">
        <w:rPr>
          <w:lang w:val="en-CA"/>
        </w:rPr>
        <w:t> </w:t>
      </w:r>
      <w:r w:rsidR="001E1CCC" w:rsidRPr="000B1D57">
        <w:rPr>
          <w:lang w:val="en-CA"/>
        </w:rPr>
        <w:t>meeting.</w:t>
      </w:r>
    </w:p>
    <w:p w14:paraId="73CD839A" w14:textId="77777777" w:rsidR="00802668" w:rsidRPr="000B1D57" w:rsidRDefault="00802668" w:rsidP="00084F0B">
      <w:pPr>
        <w:keepNext/>
        <w:rPr>
          <w:b/>
          <w:lang w:val="en-CA"/>
        </w:rPr>
      </w:pPr>
      <w:r w:rsidRPr="000B1D57">
        <w:rPr>
          <w:b/>
          <w:lang w:val="en-CA"/>
        </w:rPr>
        <w:t>Issues identified during project review</w:t>
      </w:r>
    </w:p>
    <w:p w14:paraId="2E3EA860" w14:textId="77777777" w:rsidR="00802668" w:rsidRPr="000B1D57" w:rsidRDefault="00802668" w:rsidP="00084F0B">
      <w:pPr>
        <w:keepNext/>
        <w:rPr>
          <w:u w:val="single"/>
        </w:rPr>
      </w:pPr>
    </w:p>
    <w:p w14:paraId="34CE476A" w14:textId="79614FD1" w:rsidR="00802668" w:rsidRPr="000B1D57" w:rsidRDefault="000E1859" w:rsidP="00084F0B">
      <w:pPr>
        <w:pStyle w:val="Heading1"/>
        <w:keepNext/>
        <w:rPr>
          <w:lang w:val="en-CA"/>
        </w:rPr>
      </w:pPr>
      <w:r w:rsidRPr="000B1D57">
        <w:t>No new policy issues for the attention of the Committee were identified during the review of projects submitted for consideration at the 83</w:t>
      </w:r>
      <w:r w:rsidRPr="000B1D57">
        <w:rPr>
          <w:vertAlign w:val="superscript"/>
        </w:rPr>
        <w:t>rd</w:t>
      </w:r>
      <w:r w:rsidRPr="000B1D57">
        <w:t xml:space="preserve"> meeting.</w:t>
      </w:r>
    </w:p>
    <w:p w14:paraId="6612A199" w14:textId="77777777" w:rsidR="00802668" w:rsidRPr="000B1D57" w:rsidRDefault="00802668" w:rsidP="00084F0B">
      <w:pPr>
        <w:pStyle w:val="Heading1"/>
        <w:numPr>
          <w:ilvl w:val="0"/>
          <w:numId w:val="0"/>
        </w:numPr>
        <w:rPr>
          <w:b/>
          <w:szCs w:val="28"/>
        </w:rPr>
      </w:pPr>
      <w:bookmarkStart w:id="3" w:name="_Toc232301385"/>
      <w:r w:rsidRPr="000B1D57">
        <w:rPr>
          <w:b/>
          <w:szCs w:val="28"/>
        </w:rPr>
        <w:t>Projects and activities submitted for blanket approval</w:t>
      </w:r>
    </w:p>
    <w:p w14:paraId="73CE5979" w14:textId="203425CE" w:rsidR="00802668" w:rsidRPr="000B1D57" w:rsidRDefault="00802668" w:rsidP="00084F0B">
      <w:pPr>
        <w:spacing w:after="240"/>
        <w:rPr>
          <w:szCs w:val="28"/>
        </w:rPr>
      </w:pPr>
      <w:r w:rsidRPr="000B1D57">
        <w:rPr>
          <w:szCs w:val="28"/>
          <w:u w:val="single"/>
        </w:rPr>
        <w:t xml:space="preserve">Verification reports of </w:t>
      </w:r>
      <w:r w:rsidR="00481311" w:rsidRPr="000B1D57">
        <w:rPr>
          <w:szCs w:val="28"/>
          <w:u w:val="single"/>
        </w:rPr>
        <w:t xml:space="preserve">low-volume-consuming (LVC) </w:t>
      </w:r>
      <w:r w:rsidRPr="000B1D57">
        <w:rPr>
          <w:szCs w:val="28"/>
          <w:u w:val="single"/>
        </w:rPr>
        <w:t>countries’ compliance with their HPMP agreement</w:t>
      </w:r>
      <w:r w:rsidR="008B0F8E" w:rsidRPr="000B1D57">
        <w:rPr>
          <w:szCs w:val="28"/>
          <w:u w:val="single"/>
        </w:rPr>
        <w:t>s</w:t>
      </w:r>
    </w:p>
    <w:p w14:paraId="4E4B7091" w14:textId="79E6959F" w:rsidR="00802668" w:rsidRPr="000B1D57" w:rsidRDefault="00802668" w:rsidP="00084F0B">
      <w:pPr>
        <w:pStyle w:val="Heading1"/>
      </w:pPr>
      <w:r w:rsidRPr="000B1D57">
        <w:t>In line with decision 61/46(c),</w:t>
      </w:r>
      <w:r w:rsidRPr="000B1D57">
        <w:rPr>
          <w:rStyle w:val="FootnoteReference"/>
          <w:szCs w:val="28"/>
        </w:rPr>
        <w:footnoteReference w:id="6"/>
      </w:r>
      <w:r w:rsidRPr="000B1D57">
        <w:t xml:space="preserve"> the Secretariat selected a sample of 1</w:t>
      </w:r>
      <w:r w:rsidR="0009632C" w:rsidRPr="000B1D57">
        <w:t>7</w:t>
      </w:r>
      <w:r w:rsidRPr="000B1D57">
        <w:t xml:space="preserve"> countries for the purpose of verifying compliance with the HPMP agreement, as shown in Table</w:t>
      </w:r>
      <w:r w:rsidR="008B0F8E" w:rsidRPr="000B1D57">
        <w:t> </w:t>
      </w:r>
      <w:r w:rsidR="001644AC" w:rsidRPr="000B1D57">
        <w:t>1</w:t>
      </w:r>
      <w:r w:rsidRPr="000B1D57">
        <w:t>. One of the criteria used to select the countries for verification was the proximity of the next tranche of their HPMP (between 20</w:t>
      </w:r>
      <w:r w:rsidR="001644AC" w:rsidRPr="000B1D57">
        <w:t>20</w:t>
      </w:r>
      <w:r w:rsidRPr="000B1D57">
        <w:t xml:space="preserve"> and 202</w:t>
      </w:r>
      <w:r w:rsidR="00FF459D" w:rsidRPr="000B1D57">
        <w:t>1</w:t>
      </w:r>
      <w:r w:rsidRPr="000B1D57">
        <w:t>) and, where possible, not having been previously selected for verification</w:t>
      </w:r>
      <w:r w:rsidR="00BA5E7F" w:rsidRPr="000B1D57">
        <w:t xml:space="preserve"> (this included several Pacific Island Countries)</w:t>
      </w:r>
      <w:r w:rsidRPr="000B1D57">
        <w:t>. However, noting the limited number of Article</w:t>
      </w:r>
      <w:r w:rsidR="005B09D7" w:rsidRPr="000B1D57">
        <w:t> </w:t>
      </w:r>
      <w:r w:rsidRPr="000B1D57">
        <w:t>5 countries classified as LVC</w:t>
      </w:r>
      <w:r w:rsidR="004E691E">
        <w:t xml:space="preserve"> countrie</w:t>
      </w:r>
      <w:r w:rsidRPr="000B1D57">
        <w:t>s</w:t>
      </w:r>
      <w:r w:rsidR="005B09D7" w:rsidRPr="000B1D57">
        <w:t xml:space="preserve"> that have not been previously selected to undertake verification</w:t>
      </w:r>
      <w:r w:rsidRPr="000B1D57">
        <w:t xml:space="preserve">, there may be some countries on this list where funding for verification was already provided in the past. In considering these, the Secretariat used additional criteria for selection: that their previous verification should have been approved </w:t>
      </w:r>
      <w:r w:rsidR="00BA5E7F" w:rsidRPr="000B1D57">
        <w:t>more than four</w:t>
      </w:r>
      <w:r w:rsidRPr="000B1D57">
        <w:t xml:space="preserve"> years ago</w:t>
      </w:r>
      <w:r w:rsidR="00BA5E7F" w:rsidRPr="000B1D57">
        <w:t xml:space="preserve"> and was completed</w:t>
      </w:r>
      <w:r w:rsidRPr="000B1D57">
        <w:t xml:space="preserve">, in addition to the criteria of geographic distribution, level of consumption, </w:t>
      </w:r>
      <w:r w:rsidRPr="000B1D57">
        <w:lastRenderedPageBreak/>
        <w:t>and distribution among bilateral and implementing agencies. The countries selected (</w:t>
      </w:r>
      <w:r w:rsidR="00C85FF7" w:rsidRPr="000B1D57">
        <w:t>four</w:t>
      </w:r>
      <w:r w:rsidRPr="000B1D57">
        <w:t xml:space="preserve"> in Africa, </w:t>
      </w:r>
      <w:r w:rsidR="00C85FF7" w:rsidRPr="000B1D57">
        <w:t xml:space="preserve">nine </w:t>
      </w:r>
      <w:r w:rsidRPr="000B1D57">
        <w:t xml:space="preserve">in Asia, </w:t>
      </w:r>
      <w:r w:rsidR="005B09D7" w:rsidRPr="000B1D57">
        <w:t xml:space="preserve">two in Europe, and </w:t>
      </w:r>
      <w:r w:rsidR="00C737BC" w:rsidRPr="000B1D57">
        <w:t>two</w:t>
      </w:r>
      <w:r w:rsidRPr="000B1D57">
        <w:t xml:space="preserve"> in Lati</w:t>
      </w:r>
      <w:r w:rsidR="005B09D7" w:rsidRPr="000B1D57">
        <w:t>n America and the Caribbean</w:t>
      </w:r>
      <w:r w:rsidR="008B0F8E" w:rsidRPr="000B1D57">
        <w:t>) are listed below.</w:t>
      </w:r>
    </w:p>
    <w:p w14:paraId="3F2A3D06" w14:textId="7DD916CE" w:rsidR="00802668" w:rsidRPr="000B1D57" w:rsidRDefault="00802668" w:rsidP="00084F0B">
      <w:pPr>
        <w:keepNext/>
        <w:contextualSpacing/>
        <w:rPr>
          <w:b/>
        </w:rPr>
      </w:pPr>
      <w:r w:rsidRPr="000B1D57">
        <w:rPr>
          <w:b/>
          <w:lang w:val="en-US"/>
        </w:rPr>
        <w:t xml:space="preserve">Table </w:t>
      </w:r>
      <w:r w:rsidR="001644AC" w:rsidRPr="000B1D57">
        <w:rPr>
          <w:b/>
          <w:lang w:val="en-US"/>
        </w:rPr>
        <w:t>1</w:t>
      </w:r>
      <w:r w:rsidRPr="000B1D57">
        <w:rPr>
          <w:b/>
          <w:lang w:val="en-US"/>
        </w:rPr>
        <w:t xml:space="preserve">. Sample of Article 5 countries </w:t>
      </w:r>
      <w:r w:rsidRPr="000B1D57">
        <w:rPr>
          <w:b/>
        </w:rPr>
        <w:t>for verification of compliance with their HPMP agreement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835"/>
        <w:gridCol w:w="1842"/>
        <w:gridCol w:w="1985"/>
        <w:gridCol w:w="2268"/>
      </w:tblGrid>
      <w:tr w:rsidR="00802668" w:rsidRPr="000B1D57" w14:paraId="631AC98F" w14:textId="77777777" w:rsidTr="008B0F8E">
        <w:trPr>
          <w:tblHeader/>
        </w:trPr>
        <w:tc>
          <w:tcPr>
            <w:tcW w:w="421" w:type="dxa"/>
            <w:shd w:val="clear" w:color="auto" w:fill="auto"/>
            <w:noWrap/>
            <w:tcMar>
              <w:left w:w="14" w:type="dxa"/>
              <w:right w:w="14" w:type="dxa"/>
            </w:tcMar>
            <w:hideMark/>
          </w:tcPr>
          <w:p w14:paraId="5273DA8F" w14:textId="77777777" w:rsidR="00802668" w:rsidRPr="000B1D57" w:rsidRDefault="00802668" w:rsidP="00084F0B">
            <w:pPr>
              <w:keepNext/>
              <w:jc w:val="left"/>
              <w:rPr>
                <w:b/>
                <w:sz w:val="20"/>
                <w:szCs w:val="20"/>
                <w:lang w:val="en-US"/>
              </w:rPr>
            </w:pPr>
            <w:r w:rsidRPr="000B1D57">
              <w:rPr>
                <w:b/>
                <w:sz w:val="20"/>
                <w:szCs w:val="20"/>
                <w:lang w:val="en-US"/>
              </w:rPr>
              <w:t>No.</w:t>
            </w:r>
          </w:p>
        </w:tc>
        <w:tc>
          <w:tcPr>
            <w:tcW w:w="2835" w:type="dxa"/>
            <w:shd w:val="clear" w:color="auto" w:fill="auto"/>
            <w:noWrap/>
            <w:hideMark/>
          </w:tcPr>
          <w:p w14:paraId="41946F73" w14:textId="77777777" w:rsidR="00802668" w:rsidRPr="000B1D57" w:rsidRDefault="00802668" w:rsidP="00084F0B">
            <w:pPr>
              <w:keepNext/>
              <w:jc w:val="left"/>
              <w:rPr>
                <w:b/>
                <w:sz w:val="20"/>
                <w:szCs w:val="20"/>
                <w:lang w:val="en-US"/>
              </w:rPr>
            </w:pPr>
            <w:r w:rsidRPr="000B1D57">
              <w:rPr>
                <w:b/>
                <w:sz w:val="20"/>
                <w:szCs w:val="20"/>
                <w:lang w:val="en-US"/>
              </w:rPr>
              <w:t>Country</w:t>
            </w:r>
          </w:p>
        </w:tc>
        <w:tc>
          <w:tcPr>
            <w:tcW w:w="1842" w:type="dxa"/>
          </w:tcPr>
          <w:p w14:paraId="76845DE6" w14:textId="77777777" w:rsidR="00802668" w:rsidRPr="000B1D57" w:rsidRDefault="00802668" w:rsidP="00084F0B">
            <w:pPr>
              <w:keepNext/>
              <w:jc w:val="center"/>
              <w:rPr>
                <w:b/>
                <w:sz w:val="20"/>
                <w:szCs w:val="20"/>
                <w:lang w:val="en-US"/>
              </w:rPr>
            </w:pPr>
            <w:r w:rsidRPr="000B1D57">
              <w:rPr>
                <w:b/>
                <w:sz w:val="20"/>
                <w:szCs w:val="20"/>
                <w:lang w:val="en-US"/>
              </w:rPr>
              <w:t>HCFC baseline (</w:t>
            </w:r>
            <w:proofErr w:type="spellStart"/>
            <w:r w:rsidRPr="000B1D57">
              <w:rPr>
                <w:b/>
                <w:sz w:val="20"/>
                <w:szCs w:val="20"/>
                <w:lang w:val="en-US"/>
              </w:rPr>
              <w:t>mt</w:t>
            </w:r>
            <w:proofErr w:type="spellEnd"/>
            <w:r w:rsidRPr="000B1D57">
              <w:rPr>
                <w:b/>
                <w:sz w:val="20"/>
                <w:szCs w:val="20"/>
                <w:lang w:val="en-US"/>
              </w:rPr>
              <w:t>)</w:t>
            </w:r>
          </w:p>
        </w:tc>
        <w:tc>
          <w:tcPr>
            <w:tcW w:w="1985" w:type="dxa"/>
            <w:shd w:val="clear" w:color="auto" w:fill="auto"/>
            <w:noWrap/>
            <w:tcMar>
              <w:left w:w="0" w:type="dxa"/>
              <w:right w:w="0" w:type="dxa"/>
            </w:tcMar>
            <w:hideMark/>
          </w:tcPr>
          <w:p w14:paraId="4F133990" w14:textId="77777777" w:rsidR="00802668" w:rsidRPr="000B1D57" w:rsidRDefault="00802668" w:rsidP="00084F0B">
            <w:pPr>
              <w:keepNext/>
              <w:jc w:val="center"/>
              <w:rPr>
                <w:b/>
                <w:sz w:val="20"/>
                <w:szCs w:val="20"/>
                <w:lang w:val="en-US"/>
              </w:rPr>
            </w:pPr>
            <w:r w:rsidRPr="000B1D57">
              <w:rPr>
                <w:b/>
                <w:sz w:val="20"/>
                <w:szCs w:val="20"/>
                <w:lang w:val="en-US"/>
              </w:rPr>
              <w:t>Lead/cooperating agency</w:t>
            </w:r>
          </w:p>
        </w:tc>
        <w:tc>
          <w:tcPr>
            <w:tcW w:w="2268" w:type="dxa"/>
          </w:tcPr>
          <w:p w14:paraId="2F9430A4" w14:textId="77777777" w:rsidR="00802668" w:rsidRPr="000B1D57" w:rsidRDefault="00802668" w:rsidP="00084F0B">
            <w:pPr>
              <w:keepNext/>
              <w:jc w:val="center"/>
              <w:rPr>
                <w:b/>
                <w:sz w:val="20"/>
                <w:szCs w:val="20"/>
                <w:lang w:val="en-US"/>
              </w:rPr>
            </w:pPr>
            <w:r w:rsidRPr="000B1D57">
              <w:rPr>
                <w:b/>
                <w:sz w:val="20"/>
                <w:szCs w:val="20"/>
                <w:lang w:val="en-US"/>
              </w:rPr>
              <w:t>Next tranche request</w:t>
            </w:r>
          </w:p>
        </w:tc>
      </w:tr>
      <w:tr w:rsidR="00326616" w:rsidRPr="000B1D57" w14:paraId="1175AEC4" w14:textId="77777777" w:rsidTr="008B0F8E">
        <w:tc>
          <w:tcPr>
            <w:tcW w:w="421" w:type="dxa"/>
            <w:shd w:val="clear" w:color="auto" w:fill="auto"/>
            <w:noWrap/>
            <w:tcMar>
              <w:left w:w="14" w:type="dxa"/>
              <w:right w:w="144" w:type="dxa"/>
            </w:tcMar>
            <w:vAlign w:val="bottom"/>
          </w:tcPr>
          <w:p w14:paraId="15B365D1" w14:textId="77777777" w:rsidR="00326616" w:rsidRPr="000B1D57" w:rsidRDefault="00326616" w:rsidP="00084F0B">
            <w:pPr>
              <w:jc w:val="right"/>
              <w:rPr>
                <w:sz w:val="20"/>
                <w:szCs w:val="20"/>
                <w:lang w:val="en-US"/>
              </w:rPr>
            </w:pPr>
            <w:r w:rsidRPr="000B1D57">
              <w:rPr>
                <w:sz w:val="20"/>
                <w:szCs w:val="20"/>
                <w:lang w:val="en-US"/>
              </w:rPr>
              <w:t>1</w:t>
            </w:r>
          </w:p>
        </w:tc>
        <w:tc>
          <w:tcPr>
            <w:tcW w:w="2835" w:type="dxa"/>
            <w:noWrap/>
            <w:vAlign w:val="center"/>
          </w:tcPr>
          <w:p w14:paraId="1E55C7DD" w14:textId="54EED86F" w:rsidR="00326616" w:rsidRPr="000B1D57" w:rsidRDefault="005226A4" w:rsidP="00084F0B">
            <w:pPr>
              <w:pStyle w:val="Heading1"/>
              <w:numPr>
                <w:ilvl w:val="0"/>
                <w:numId w:val="0"/>
              </w:numPr>
              <w:spacing w:before="100" w:beforeAutospacing="1" w:after="100" w:afterAutospacing="1"/>
              <w:contextualSpacing/>
              <w:jc w:val="left"/>
              <w:rPr>
                <w:sz w:val="20"/>
                <w:szCs w:val="20"/>
              </w:rPr>
            </w:pPr>
            <w:r w:rsidRPr="000B1D57">
              <w:rPr>
                <w:sz w:val="20"/>
                <w:szCs w:val="20"/>
              </w:rPr>
              <w:t>Angola (stage II)</w:t>
            </w:r>
          </w:p>
        </w:tc>
        <w:tc>
          <w:tcPr>
            <w:tcW w:w="1842" w:type="dxa"/>
            <w:vAlign w:val="center"/>
          </w:tcPr>
          <w:p w14:paraId="5BE120F5" w14:textId="319CF346" w:rsidR="00326616" w:rsidRPr="000B1D57" w:rsidRDefault="005226A4" w:rsidP="00084F0B">
            <w:pPr>
              <w:pStyle w:val="Heading1"/>
              <w:numPr>
                <w:ilvl w:val="0"/>
                <w:numId w:val="0"/>
              </w:numPr>
              <w:spacing w:before="100" w:beforeAutospacing="1" w:after="100" w:afterAutospacing="1"/>
              <w:contextualSpacing/>
              <w:jc w:val="right"/>
              <w:rPr>
                <w:sz w:val="20"/>
                <w:szCs w:val="20"/>
              </w:rPr>
            </w:pPr>
            <w:r w:rsidRPr="000B1D57">
              <w:rPr>
                <w:sz w:val="20"/>
                <w:szCs w:val="20"/>
              </w:rPr>
              <w:t>290.0</w:t>
            </w:r>
          </w:p>
        </w:tc>
        <w:tc>
          <w:tcPr>
            <w:tcW w:w="1985" w:type="dxa"/>
            <w:noWrap/>
            <w:vAlign w:val="center"/>
          </w:tcPr>
          <w:p w14:paraId="66BA2F44" w14:textId="5EB1F32C" w:rsidR="00326616" w:rsidRPr="000B1D57" w:rsidRDefault="005A2452" w:rsidP="00084F0B">
            <w:pPr>
              <w:pStyle w:val="Heading1"/>
              <w:numPr>
                <w:ilvl w:val="0"/>
                <w:numId w:val="0"/>
              </w:numPr>
              <w:spacing w:before="100" w:beforeAutospacing="1" w:after="100" w:afterAutospacing="1"/>
              <w:contextualSpacing/>
              <w:jc w:val="left"/>
              <w:rPr>
                <w:sz w:val="20"/>
                <w:szCs w:val="20"/>
              </w:rPr>
            </w:pPr>
            <w:r w:rsidRPr="000B1D57">
              <w:rPr>
                <w:sz w:val="20"/>
                <w:szCs w:val="20"/>
              </w:rPr>
              <w:t>UNDP</w:t>
            </w:r>
          </w:p>
        </w:tc>
        <w:tc>
          <w:tcPr>
            <w:tcW w:w="2268" w:type="dxa"/>
            <w:vAlign w:val="center"/>
          </w:tcPr>
          <w:p w14:paraId="0FB442DC" w14:textId="3F35B910" w:rsidR="00326616" w:rsidRPr="000B1D57" w:rsidRDefault="00326616" w:rsidP="00084F0B">
            <w:pPr>
              <w:pStyle w:val="Heading1"/>
              <w:numPr>
                <w:ilvl w:val="0"/>
                <w:numId w:val="0"/>
              </w:numPr>
              <w:spacing w:before="100" w:beforeAutospacing="1" w:after="100" w:afterAutospacing="1"/>
              <w:contextualSpacing/>
              <w:jc w:val="center"/>
              <w:rPr>
                <w:sz w:val="20"/>
                <w:szCs w:val="20"/>
              </w:rPr>
            </w:pPr>
            <w:r w:rsidRPr="000B1D57">
              <w:rPr>
                <w:sz w:val="20"/>
                <w:szCs w:val="20"/>
              </w:rPr>
              <w:t>202</w:t>
            </w:r>
            <w:r w:rsidR="005226A4" w:rsidRPr="000B1D57">
              <w:rPr>
                <w:sz w:val="20"/>
                <w:szCs w:val="20"/>
              </w:rPr>
              <w:t>1</w:t>
            </w:r>
          </w:p>
        </w:tc>
      </w:tr>
      <w:tr w:rsidR="00326616" w:rsidRPr="000B1D57" w14:paraId="4648A829" w14:textId="77777777" w:rsidTr="008B0F8E">
        <w:tc>
          <w:tcPr>
            <w:tcW w:w="421" w:type="dxa"/>
            <w:shd w:val="clear" w:color="auto" w:fill="auto"/>
            <w:noWrap/>
            <w:tcMar>
              <w:left w:w="14" w:type="dxa"/>
              <w:right w:w="144" w:type="dxa"/>
            </w:tcMar>
            <w:vAlign w:val="bottom"/>
          </w:tcPr>
          <w:p w14:paraId="6ABE5B8F" w14:textId="77777777" w:rsidR="00326616" w:rsidRPr="000B1D57" w:rsidRDefault="00326616" w:rsidP="00084F0B">
            <w:pPr>
              <w:jc w:val="right"/>
              <w:rPr>
                <w:sz w:val="20"/>
                <w:szCs w:val="20"/>
                <w:lang w:val="es-CO"/>
              </w:rPr>
            </w:pPr>
            <w:r w:rsidRPr="000B1D57">
              <w:rPr>
                <w:sz w:val="20"/>
                <w:szCs w:val="20"/>
                <w:lang w:val="es-CO"/>
              </w:rPr>
              <w:t>2</w:t>
            </w:r>
          </w:p>
        </w:tc>
        <w:tc>
          <w:tcPr>
            <w:tcW w:w="2835" w:type="dxa"/>
            <w:noWrap/>
            <w:vAlign w:val="center"/>
          </w:tcPr>
          <w:p w14:paraId="4E064FF0" w14:textId="69F2053F" w:rsidR="00326616" w:rsidRPr="000B1D57" w:rsidRDefault="005226A4" w:rsidP="00084F0B">
            <w:pPr>
              <w:pStyle w:val="Heading1"/>
              <w:numPr>
                <w:ilvl w:val="0"/>
                <w:numId w:val="0"/>
              </w:numPr>
              <w:spacing w:after="0"/>
              <w:contextualSpacing/>
              <w:jc w:val="left"/>
              <w:rPr>
                <w:sz w:val="20"/>
                <w:szCs w:val="20"/>
              </w:rPr>
            </w:pPr>
            <w:r w:rsidRPr="000B1D57">
              <w:rPr>
                <w:sz w:val="20"/>
                <w:szCs w:val="20"/>
              </w:rPr>
              <w:t>Armenia (stage II)</w:t>
            </w:r>
          </w:p>
        </w:tc>
        <w:tc>
          <w:tcPr>
            <w:tcW w:w="1842" w:type="dxa"/>
            <w:vAlign w:val="center"/>
          </w:tcPr>
          <w:p w14:paraId="63358A18" w14:textId="7752769A" w:rsidR="00326616" w:rsidRPr="000B1D57" w:rsidRDefault="005226A4" w:rsidP="00084F0B">
            <w:pPr>
              <w:pStyle w:val="Heading1"/>
              <w:numPr>
                <w:ilvl w:val="0"/>
                <w:numId w:val="0"/>
              </w:numPr>
              <w:spacing w:after="100" w:afterAutospacing="1"/>
              <w:contextualSpacing/>
              <w:jc w:val="right"/>
              <w:rPr>
                <w:sz w:val="20"/>
                <w:szCs w:val="20"/>
              </w:rPr>
            </w:pPr>
            <w:r w:rsidRPr="000B1D57">
              <w:rPr>
                <w:sz w:val="20"/>
                <w:szCs w:val="20"/>
              </w:rPr>
              <w:t xml:space="preserve">126.7 </w:t>
            </w:r>
          </w:p>
        </w:tc>
        <w:tc>
          <w:tcPr>
            <w:tcW w:w="1985" w:type="dxa"/>
            <w:noWrap/>
            <w:vAlign w:val="center"/>
          </w:tcPr>
          <w:p w14:paraId="17FFA7BE" w14:textId="77777777" w:rsidR="00326616" w:rsidRPr="000B1D57" w:rsidRDefault="00326616" w:rsidP="00084F0B">
            <w:pPr>
              <w:pStyle w:val="Heading1"/>
              <w:numPr>
                <w:ilvl w:val="0"/>
                <w:numId w:val="0"/>
              </w:numPr>
              <w:spacing w:after="100" w:afterAutospacing="1"/>
              <w:contextualSpacing/>
              <w:jc w:val="left"/>
              <w:rPr>
                <w:sz w:val="20"/>
                <w:szCs w:val="20"/>
              </w:rPr>
            </w:pPr>
            <w:r w:rsidRPr="000B1D57">
              <w:rPr>
                <w:sz w:val="20"/>
                <w:szCs w:val="20"/>
              </w:rPr>
              <w:t>UNDP</w:t>
            </w:r>
          </w:p>
        </w:tc>
        <w:tc>
          <w:tcPr>
            <w:tcW w:w="2268" w:type="dxa"/>
            <w:vAlign w:val="center"/>
          </w:tcPr>
          <w:p w14:paraId="45D2E283" w14:textId="2CF8F720" w:rsidR="00326616" w:rsidRPr="000B1D57" w:rsidRDefault="00326616" w:rsidP="00084F0B">
            <w:pPr>
              <w:pStyle w:val="Heading1"/>
              <w:numPr>
                <w:ilvl w:val="0"/>
                <w:numId w:val="0"/>
              </w:numPr>
              <w:spacing w:after="100" w:afterAutospacing="1"/>
              <w:contextualSpacing/>
              <w:jc w:val="center"/>
              <w:rPr>
                <w:sz w:val="20"/>
                <w:szCs w:val="20"/>
              </w:rPr>
            </w:pPr>
            <w:r w:rsidRPr="000B1D57">
              <w:rPr>
                <w:sz w:val="20"/>
                <w:szCs w:val="20"/>
              </w:rPr>
              <w:t>202</w:t>
            </w:r>
            <w:r w:rsidR="005226A4" w:rsidRPr="000B1D57">
              <w:rPr>
                <w:sz w:val="20"/>
                <w:szCs w:val="20"/>
              </w:rPr>
              <w:t>0</w:t>
            </w:r>
          </w:p>
        </w:tc>
      </w:tr>
      <w:tr w:rsidR="00326616" w:rsidRPr="000B1D57" w14:paraId="70524090" w14:textId="77777777" w:rsidTr="008B0F8E">
        <w:tc>
          <w:tcPr>
            <w:tcW w:w="421" w:type="dxa"/>
            <w:shd w:val="clear" w:color="auto" w:fill="auto"/>
            <w:noWrap/>
            <w:tcMar>
              <w:left w:w="14" w:type="dxa"/>
              <w:right w:w="144" w:type="dxa"/>
            </w:tcMar>
            <w:vAlign w:val="bottom"/>
          </w:tcPr>
          <w:p w14:paraId="6C680E4D" w14:textId="77777777" w:rsidR="00326616" w:rsidRPr="000B1D57" w:rsidRDefault="00326616" w:rsidP="00084F0B">
            <w:pPr>
              <w:jc w:val="right"/>
              <w:rPr>
                <w:sz w:val="20"/>
                <w:szCs w:val="20"/>
                <w:lang w:val="es-CO"/>
              </w:rPr>
            </w:pPr>
            <w:r w:rsidRPr="000B1D57">
              <w:rPr>
                <w:sz w:val="20"/>
                <w:szCs w:val="20"/>
                <w:lang w:val="es-CO"/>
              </w:rPr>
              <w:t>3</w:t>
            </w:r>
          </w:p>
        </w:tc>
        <w:tc>
          <w:tcPr>
            <w:tcW w:w="2835" w:type="dxa"/>
            <w:noWrap/>
            <w:vAlign w:val="center"/>
          </w:tcPr>
          <w:p w14:paraId="6EF97EE7"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Burkina Faso</w:t>
            </w:r>
          </w:p>
        </w:tc>
        <w:tc>
          <w:tcPr>
            <w:tcW w:w="1842" w:type="dxa"/>
            <w:vAlign w:val="center"/>
          </w:tcPr>
          <w:p w14:paraId="74866983" w14:textId="77777777" w:rsidR="00326616" w:rsidRPr="000B1D57" w:rsidRDefault="00326616" w:rsidP="00084F0B">
            <w:pPr>
              <w:pStyle w:val="Heading1"/>
              <w:numPr>
                <w:ilvl w:val="0"/>
                <w:numId w:val="0"/>
              </w:numPr>
              <w:spacing w:before="100" w:beforeAutospacing="1" w:after="100" w:afterAutospacing="1"/>
              <w:contextualSpacing/>
              <w:jc w:val="right"/>
              <w:rPr>
                <w:sz w:val="20"/>
                <w:szCs w:val="20"/>
              </w:rPr>
            </w:pPr>
            <w:r w:rsidRPr="000B1D57">
              <w:rPr>
                <w:sz w:val="20"/>
                <w:szCs w:val="20"/>
              </w:rPr>
              <w:t>525.1</w:t>
            </w:r>
          </w:p>
        </w:tc>
        <w:tc>
          <w:tcPr>
            <w:tcW w:w="1985" w:type="dxa"/>
            <w:noWrap/>
            <w:vAlign w:val="center"/>
          </w:tcPr>
          <w:p w14:paraId="638AC1B2" w14:textId="7BC37743"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UN</w:t>
            </w:r>
            <w:r w:rsidR="005226A4" w:rsidRPr="000B1D57">
              <w:rPr>
                <w:sz w:val="20"/>
                <w:szCs w:val="20"/>
              </w:rPr>
              <w:t>EP</w:t>
            </w:r>
          </w:p>
        </w:tc>
        <w:tc>
          <w:tcPr>
            <w:tcW w:w="2268" w:type="dxa"/>
            <w:vAlign w:val="center"/>
          </w:tcPr>
          <w:p w14:paraId="5D35B449" w14:textId="77777777" w:rsidR="00326616" w:rsidRPr="000B1D57" w:rsidRDefault="00326616" w:rsidP="00084F0B">
            <w:pPr>
              <w:pStyle w:val="Heading1"/>
              <w:numPr>
                <w:ilvl w:val="0"/>
                <w:numId w:val="0"/>
              </w:numPr>
              <w:spacing w:before="100" w:beforeAutospacing="1" w:after="100" w:afterAutospacing="1"/>
              <w:contextualSpacing/>
              <w:jc w:val="center"/>
              <w:rPr>
                <w:sz w:val="20"/>
                <w:szCs w:val="20"/>
              </w:rPr>
            </w:pPr>
            <w:r w:rsidRPr="000B1D57">
              <w:rPr>
                <w:sz w:val="20"/>
                <w:szCs w:val="20"/>
              </w:rPr>
              <w:t>2020</w:t>
            </w:r>
          </w:p>
        </w:tc>
      </w:tr>
      <w:tr w:rsidR="005A2452" w:rsidRPr="000B1D57" w14:paraId="0A112189" w14:textId="77777777" w:rsidTr="008B0F8E">
        <w:tc>
          <w:tcPr>
            <w:tcW w:w="421" w:type="dxa"/>
            <w:shd w:val="clear" w:color="auto" w:fill="auto"/>
            <w:noWrap/>
            <w:tcMar>
              <w:left w:w="14" w:type="dxa"/>
              <w:right w:w="144" w:type="dxa"/>
            </w:tcMar>
            <w:vAlign w:val="bottom"/>
          </w:tcPr>
          <w:p w14:paraId="10FA063D" w14:textId="24BC23C9" w:rsidR="005A2452" w:rsidRPr="000B1D57" w:rsidRDefault="005A2452" w:rsidP="00084F0B">
            <w:pPr>
              <w:jc w:val="right"/>
              <w:rPr>
                <w:sz w:val="20"/>
                <w:szCs w:val="20"/>
                <w:lang w:val="es-CO"/>
              </w:rPr>
            </w:pPr>
            <w:r w:rsidRPr="000B1D57">
              <w:rPr>
                <w:sz w:val="20"/>
                <w:szCs w:val="20"/>
                <w:lang w:val="es-CO"/>
              </w:rPr>
              <w:t>4</w:t>
            </w:r>
          </w:p>
        </w:tc>
        <w:tc>
          <w:tcPr>
            <w:tcW w:w="2835" w:type="dxa"/>
            <w:noWrap/>
            <w:vAlign w:val="center"/>
          </w:tcPr>
          <w:p w14:paraId="62CE1CF0" w14:textId="287E3F4C" w:rsidR="005A2452" w:rsidRPr="000B1D57" w:rsidRDefault="005A2452" w:rsidP="00084F0B">
            <w:pPr>
              <w:pStyle w:val="Heading1"/>
              <w:numPr>
                <w:ilvl w:val="0"/>
                <w:numId w:val="0"/>
              </w:numPr>
              <w:spacing w:before="100" w:beforeAutospacing="1" w:after="100" w:afterAutospacing="1"/>
              <w:contextualSpacing/>
              <w:jc w:val="left"/>
              <w:rPr>
                <w:sz w:val="20"/>
                <w:szCs w:val="20"/>
              </w:rPr>
            </w:pPr>
            <w:r w:rsidRPr="000B1D57">
              <w:rPr>
                <w:sz w:val="20"/>
                <w:szCs w:val="20"/>
              </w:rPr>
              <w:t>Cambodia</w:t>
            </w:r>
          </w:p>
        </w:tc>
        <w:tc>
          <w:tcPr>
            <w:tcW w:w="1842" w:type="dxa"/>
            <w:vAlign w:val="center"/>
          </w:tcPr>
          <w:p w14:paraId="183907AB" w14:textId="40C45C0E" w:rsidR="005A2452" w:rsidRPr="000B1D57" w:rsidRDefault="005A2452" w:rsidP="00084F0B">
            <w:pPr>
              <w:pStyle w:val="Heading1"/>
              <w:numPr>
                <w:ilvl w:val="0"/>
                <w:numId w:val="0"/>
              </w:numPr>
              <w:spacing w:before="100" w:beforeAutospacing="1" w:after="100" w:afterAutospacing="1"/>
              <w:contextualSpacing/>
              <w:jc w:val="right"/>
              <w:rPr>
                <w:sz w:val="20"/>
                <w:szCs w:val="20"/>
              </w:rPr>
            </w:pPr>
            <w:r w:rsidRPr="000B1D57">
              <w:rPr>
                <w:sz w:val="20"/>
                <w:szCs w:val="20"/>
              </w:rPr>
              <w:t>272.2</w:t>
            </w:r>
          </w:p>
        </w:tc>
        <w:tc>
          <w:tcPr>
            <w:tcW w:w="1985" w:type="dxa"/>
            <w:noWrap/>
            <w:vAlign w:val="center"/>
          </w:tcPr>
          <w:p w14:paraId="5EE7F4D9" w14:textId="4D392647" w:rsidR="005A2452" w:rsidRPr="000B1D57" w:rsidRDefault="005A2452" w:rsidP="00084F0B">
            <w:pPr>
              <w:pStyle w:val="Heading1"/>
              <w:numPr>
                <w:ilvl w:val="0"/>
                <w:numId w:val="0"/>
              </w:numPr>
              <w:spacing w:before="100" w:beforeAutospacing="1" w:after="100" w:afterAutospacing="1"/>
              <w:contextualSpacing/>
              <w:jc w:val="left"/>
              <w:rPr>
                <w:sz w:val="20"/>
                <w:szCs w:val="20"/>
              </w:rPr>
            </w:pPr>
            <w:r w:rsidRPr="000B1D57">
              <w:rPr>
                <w:sz w:val="20"/>
                <w:szCs w:val="20"/>
              </w:rPr>
              <w:t>UNEP</w:t>
            </w:r>
          </w:p>
        </w:tc>
        <w:tc>
          <w:tcPr>
            <w:tcW w:w="2268" w:type="dxa"/>
            <w:vAlign w:val="center"/>
          </w:tcPr>
          <w:p w14:paraId="03A91ED9" w14:textId="156BC9B2" w:rsidR="005A2452" w:rsidRPr="000B1D57" w:rsidRDefault="005A2452" w:rsidP="00084F0B">
            <w:pPr>
              <w:pStyle w:val="Heading1"/>
              <w:numPr>
                <w:ilvl w:val="0"/>
                <w:numId w:val="0"/>
              </w:numPr>
              <w:spacing w:before="100" w:beforeAutospacing="1" w:after="100" w:afterAutospacing="1"/>
              <w:contextualSpacing/>
              <w:jc w:val="center"/>
              <w:rPr>
                <w:sz w:val="20"/>
                <w:szCs w:val="20"/>
              </w:rPr>
            </w:pPr>
            <w:r w:rsidRPr="000B1D57">
              <w:rPr>
                <w:sz w:val="20"/>
                <w:szCs w:val="20"/>
              </w:rPr>
              <w:t>2020</w:t>
            </w:r>
          </w:p>
        </w:tc>
      </w:tr>
      <w:tr w:rsidR="00326616" w:rsidRPr="000B1D57" w14:paraId="2AA38C22" w14:textId="77777777" w:rsidTr="008B0F8E">
        <w:tc>
          <w:tcPr>
            <w:tcW w:w="421" w:type="dxa"/>
            <w:shd w:val="clear" w:color="auto" w:fill="auto"/>
            <w:noWrap/>
            <w:tcMar>
              <w:left w:w="14" w:type="dxa"/>
              <w:right w:w="144" w:type="dxa"/>
            </w:tcMar>
            <w:vAlign w:val="bottom"/>
          </w:tcPr>
          <w:p w14:paraId="1E83D1AB" w14:textId="5D51FB00" w:rsidR="00326616" w:rsidRPr="000B1D57" w:rsidRDefault="005A2452" w:rsidP="00084F0B">
            <w:pPr>
              <w:jc w:val="right"/>
              <w:rPr>
                <w:sz w:val="20"/>
                <w:szCs w:val="20"/>
                <w:lang w:val="es-CO"/>
              </w:rPr>
            </w:pPr>
            <w:r w:rsidRPr="000B1D57">
              <w:rPr>
                <w:sz w:val="20"/>
                <w:szCs w:val="20"/>
                <w:lang w:val="es-CO"/>
              </w:rPr>
              <w:t>5</w:t>
            </w:r>
          </w:p>
        </w:tc>
        <w:tc>
          <w:tcPr>
            <w:tcW w:w="2835" w:type="dxa"/>
            <w:noWrap/>
            <w:vAlign w:val="center"/>
          </w:tcPr>
          <w:p w14:paraId="420F629D"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Cook Islands</w:t>
            </w:r>
          </w:p>
        </w:tc>
        <w:tc>
          <w:tcPr>
            <w:tcW w:w="1842" w:type="dxa"/>
            <w:vAlign w:val="center"/>
          </w:tcPr>
          <w:p w14:paraId="6347048A" w14:textId="77777777" w:rsidR="00326616" w:rsidRPr="000B1D57" w:rsidRDefault="00326616" w:rsidP="00084F0B">
            <w:pPr>
              <w:pStyle w:val="Heading1"/>
              <w:numPr>
                <w:ilvl w:val="0"/>
                <w:numId w:val="0"/>
              </w:numPr>
              <w:spacing w:before="100" w:beforeAutospacing="1" w:after="100" w:afterAutospacing="1"/>
              <w:contextualSpacing/>
              <w:jc w:val="right"/>
              <w:rPr>
                <w:sz w:val="20"/>
                <w:szCs w:val="20"/>
              </w:rPr>
            </w:pPr>
            <w:r w:rsidRPr="000B1D57">
              <w:rPr>
                <w:sz w:val="20"/>
                <w:szCs w:val="20"/>
              </w:rPr>
              <w:t>0.9</w:t>
            </w:r>
          </w:p>
        </w:tc>
        <w:tc>
          <w:tcPr>
            <w:tcW w:w="1985" w:type="dxa"/>
            <w:noWrap/>
            <w:vAlign w:val="center"/>
          </w:tcPr>
          <w:p w14:paraId="3686045D"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UNEP</w:t>
            </w:r>
          </w:p>
        </w:tc>
        <w:tc>
          <w:tcPr>
            <w:tcW w:w="2268" w:type="dxa"/>
            <w:vAlign w:val="center"/>
          </w:tcPr>
          <w:p w14:paraId="4E6242A5" w14:textId="77777777" w:rsidR="00326616" w:rsidRPr="000B1D57" w:rsidRDefault="00326616" w:rsidP="00084F0B">
            <w:pPr>
              <w:pStyle w:val="Heading1"/>
              <w:numPr>
                <w:ilvl w:val="0"/>
                <w:numId w:val="0"/>
              </w:numPr>
              <w:spacing w:before="100" w:beforeAutospacing="1" w:after="100" w:afterAutospacing="1"/>
              <w:contextualSpacing/>
              <w:jc w:val="center"/>
              <w:rPr>
                <w:sz w:val="20"/>
                <w:szCs w:val="20"/>
              </w:rPr>
            </w:pPr>
            <w:r w:rsidRPr="000B1D57">
              <w:rPr>
                <w:sz w:val="20"/>
                <w:szCs w:val="20"/>
              </w:rPr>
              <w:t>2020</w:t>
            </w:r>
          </w:p>
        </w:tc>
      </w:tr>
      <w:tr w:rsidR="00326616" w:rsidRPr="000B1D57" w14:paraId="232B565C" w14:textId="77777777" w:rsidTr="008B0F8E">
        <w:tc>
          <w:tcPr>
            <w:tcW w:w="421" w:type="dxa"/>
            <w:shd w:val="clear" w:color="auto" w:fill="auto"/>
            <w:noWrap/>
            <w:tcMar>
              <w:left w:w="14" w:type="dxa"/>
              <w:right w:w="144" w:type="dxa"/>
            </w:tcMar>
            <w:vAlign w:val="bottom"/>
          </w:tcPr>
          <w:p w14:paraId="4AC2AA81" w14:textId="77777777" w:rsidR="00326616" w:rsidRPr="000B1D57" w:rsidRDefault="00326616" w:rsidP="00084F0B">
            <w:pPr>
              <w:jc w:val="right"/>
              <w:rPr>
                <w:sz w:val="20"/>
                <w:szCs w:val="20"/>
                <w:lang w:val="en-US"/>
              </w:rPr>
            </w:pPr>
            <w:r w:rsidRPr="000B1D57">
              <w:rPr>
                <w:sz w:val="20"/>
                <w:szCs w:val="20"/>
                <w:lang w:val="en-US"/>
              </w:rPr>
              <w:t>6</w:t>
            </w:r>
          </w:p>
        </w:tc>
        <w:tc>
          <w:tcPr>
            <w:tcW w:w="2835" w:type="dxa"/>
            <w:noWrap/>
            <w:vAlign w:val="center"/>
          </w:tcPr>
          <w:p w14:paraId="2913EFA8"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Guatemala</w:t>
            </w:r>
          </w:p>
        </w:tc>
        <w:tc>
          <w:tcPr>
            <w:tcW w:w="1842" w:type="dxa"/>
            <w:vAlign w:val="center"/>
          </w:tcPr>
          <w:p w14:paraId="7CDDBCDF" w14:textId="77777777" w:rsidR="00326616" w:rsidRPr="000B1D57" w:rsidRDefault="00326616" w:rsidP="00084F0B">
            <w:pPr>
              <w:pStyle w:val="Heading1"/>
              <w:numPr>
                <w:ilvl w:val="0"/>
                <w:numId w:val="0"/>
              </w:numPr>
              <w:spacing w:before="100" w:beforeAutospacing="1" w:after="100" w:afterAutospacing="1"/>
              <w:contextualSpacing/>
              <w:jc w:val="right"/>
              <w:rPr>
                <w:sz w:val="20"/>
                <w:szCs w:val="20"/>
              </w:rPr>
            </w:pPr>
            <w:r w:rsidRPr="000B1D57">
              <w:rPr>
                <w:sz w:val="20"/>
                <w:szCs w:val="20"/>
              </w:rPr>
              <w:t>143.8</w:t>
            </w:r>
          </w:p>
        </w:tc>
        <w:tc>
          <w:tcPr>
            <w:tcW w:w="1985" w:type="dxa"/>
            <w:noWrap/>
            <w:vAlign w:val="center"/>
          </w:tcPr>
          <w:p w14:paraId="61A3A3BB"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UNIDO</w:t>
            </w:r>
          </w:p>
        </w:tc>
        <w:tc>
          <w:tcPr>
            <w:tcW w:w="2268" w:type="dxa"/>
            <w:vAlign w:val="center"/>
          </w:tcPr>
          <w:p w14:paraId="5DCD2C5A" w14:textId="77777777" w:rsidR="00326616" w:rsidRPr="000B1D57" w:rsidRDefault="00326616" w:rsidP="00084F0B">
            <w:pPr>
              <w:pStyle w:val="Heading1"/>
              <w:numPr>
                <w:ilvl w:val="0"/>
                <w:numId w:val="0"/>
              </w:numPr>
              <w:spacing w:before="100" w:beforeAutospacing="1" w:after="100" w:afterAutospacing="1"/>
              <w:contextualSpacing/>
              <w:jc w:val="center"/>
              <w:rPr>
                <w:sz w:val="20"/>
                <w:szCs w:val="20"/>
              </w:rPr>
            </w:pPr>
            <w:r w:rsidRPr="000B1D57">
              <w:rPr>
                <w:sz w:val="20"/>
                <w:szCs w:val="20"/>
              </w:rPr>
              <w:t>2020</w:t>
            </w:r>
          </w:p>
        </w:tc>
      </w:tr>
      <w:tr w:rsidR="005A2452" w:rsidRPr="000B1D57" w14:paraId="0792213F" w14:textId="77777777" w:rsidTr="008B0F8E">
        <w:tc>
          <w:tcPr>
            <w:tcW w:w="421" w:type="dxa"/>
            <w:shd w:val="clear" w:color="auto" w:fill="auto"/>
            <w:noWrap/>
            <w:tcMar>
              <w:left w:w="14" w:type="dxa"/>
              <w:right w:w="144" w:type="dxa"/>
            </w:tcMar>
            <w:vAlign w:val="bottom"/>
          </w:tcPr>
          <w:p w14:paraId="440C84B6" w14:textId="1F455809" w:rsidR="005A2452" w:rsidRPr="000B1D57" w:rsidRDefault="005A2452" w:rsidP="00084F0B">
            <w:pPr>
              <w:jc w:val="right"/>
              <w:rPr>
                <w:sz w:val="20"/>
                <w:szCs w:val="20"/>
                <w:lang w:val="en-US"/>
              </w:rPr>
            </w:pPr>
            <w:r w:rsidRPr="000B1D57">
              <w:rPr>
                <w:sz w:val="20"/>
                <w:szCs w:val="20"/>
                <w:lang w:val="en-US"/>
              </w:rPr>
              <w:t>7</w:t>
            </w:r>
          </w:p>
        </w:tc>
        <w:tc>
          <w:tcPr>
            <w:tcW w:w="2835" w:type="dxa"/>
            <w:noWrap/>
            <w:vAlign w:val="center"/>
          </w:tcPr>
          <w:p w14:paraId="2F4C21AB" w14:textId="1A303B6C" w:rsidR="005A2452" w:rsidRPr="000B1D57" w:rsidRDefault="005A2452" w:rsidP="00084F0B">
            <w:pPr>
              <w:pStyle w:val="Heading1"/>
              <w:numPr>
                <w:ilvl w:val="0"/>
                <w:numId w:val="0"/>
              </w:numPr>
              <w:spacing w:before="100" w:beforeAutospacing="1" w:after="100" w:afterAutospacing="1"/>
              <w:contextualSpacing/>
              <w:jc w:val="left"/>
              <w:rPr>
                <w:sz w:val="20"/>
                <w:szCs w:val="20"/>
              </w:rPr>
            </w:pPr>
            <w:r w:rsidRPr="000B1D57">
              <w:rPr>
                <w:sz w:val="20"/>
                <w:szCs w:val="20"/>
              </w:rPr>
              <w:t>Honduras</w:t>
            </w:r>
          </w:p>
        </w:tc>
        <w:tc>
          <w:tcPr>
            <w:tcW w:w="1842" w:type="dxa"/>
            <w:vAlign w:val="center"/>
          </w:tcPr>
          <w:p w14:paraId="16B47803" w14:textId="526DAD53" w:rsidR="005A2452" w:rsidRPr="000B1D57" w:rsidRDefault="005A2452" w:rsidP="00084F0B">
            <w:pPr>
              <w:pStyle w:val="Heading1"/>
              <w:numPr>
                <w:ilvl w:val="0"/>
                <w:numId w:val="0"/>
              </w:numPr>
              <w:spacing w:before="100" w:beforeAutospacing="1" w:after="100" w:afterAutospacing="1"/>
              <w:contextualSpacing/>
              <w:jc w:val="right"/>
              <w:rPr>
                <w:sz w:val="20"/>
                <w:szCs w:val="20"/>
              </w:rPr>
            </w:pPr>
            <w:r w:rsidRPr="000B1D57">
              <w:rPr>
                <w:sz w:val="20"/>
                <w:szCs w:val="20"/>
              </w:rPr>
              <w:t>344.6</w:t>
            </w:r>
          </w:p>
        </w:tc>
        <w:tc>
          <w:tcPr>
            <w:tcW w:w="1985" w:type="dxa"/>
            <w:noWrap/>
            <w:vAlign w:val="center"/>
          </w:tcPr>
          <w:p w14:paraId="246CCB3B" w14:textId="74074E12" w:rsidR="005A2452" w:rsidRPr="000B1D57" w:rsidRDefault="005A2452" w:rsidP="00084F0B">
            <w:pPr>
              <w:pStyle w:val="Heading1"/>
              <w:numPr>
                <w:ilvl w:val="0"/>
                <w:numId w:val="0"/>
              </w:numPr>
              <w:spacing w:before="100" w:beforeAutospacing="1" w:after="100" w:afterAutospacing="1"/>
              <w:contextualSpacing/>
              <w:jc w:val="left"/>
              <w:rPr>
                <w:sz w:val="20"/>
                <w:szCs w:val="20"/>
              </w:rPr>
            </w:pPr>
            <w:r w:rsidRPr="000B1D57">
              <w:rPr>
                <w:sz w:val="20"/>
                <w:szCs w:val="20"/>
              </w:rPr>
              <w:t>UNIDO</w:t>
            </w:r>
          </w:p>
        </w:tc>
        <w:tc>
          <w:tcPr>
            <w:tcW w:w="2268" w:type="dxa"/>
            <w:vAlign w:val="center"/>
          </w:tcPr>
          <w:p w14:paraId="7CBD5C7D" w14:textId="0AAFBFDB" w:rsidR="005A2452" w:rsidRPr="000B1D57" w:rsidRDefault="005A2452" w:rsidP="00084F0B">
            <w:pPr>
              <w:pStyle w:val="Heading1"/>
              <w:numPr>
                <w:ilvl w:val="0"/>
                <w:numId w:val="0"/>
              </w:numPr>
              <w:spacing w:before="100" w:beforeAutospacing="1" w:after="100" w:afterAutospacing="1"/>
              <w:contextualSpacing/>
              <w:jc w:val="center"/>
              <w:rPr>
                <w:sz w:val="20"/>
                <w:szCs w:val="20"/>
              </w:rPr>
            </w:pPr>
            <w:r w:rsidRPr="000B1D57">
              <w:rPr>
                <w:sz w:val="20"/>
                <w:szCs w:val="20"/>
              </w:rPr>
              <w:t>2020</w:t>
            </w:r>
          </w:p>
        </w:tc>
      </w:tr>
      <w:tr w:rsidR="00326616" w:rsidRPr="000B1D57" w14:paraId="60726F3E" w14:textId="77777777" w:rsidTr="008B0F8E">
        <w:tc>
          <w:tcPr>
            <w:tcW w:w="421" w:type="dxa"/>
            <w:shd w:val="clear" w:color="auto" w:fill="auto"/>
            <w:noWrap/>
            <w:tcMar>
              <w:left w:w="14" w:type="dxa"/>
              <w:right w:w="144" w:type="dxa"/>
            </w:tcMar>
            <w:vAlign w:val="bottom"/>
          </w:tcPr>
          <w:p w14:paraId="509CBCD8" w14:textId="5DB79B0D" w:rsidR="00326616" w:rsidRPr="000B1D57" w:rsidRDefault="005A2452" w:rsidP="00084F0B">
            <w:pPr>
              <w:jc w:val="right"/>
              <w:rPr>
                <w:sz w:val="20"/>
                <w:szCs w:val="20"/>
                <w:lang w:val="en-US"/>
              </w:rPr>
            </w:pPr>
            <w:r w:rsidRPr="000B1D57">
              <w:rPr>
                <w:sz w:val="20"/>
                <w:szCs w:val="20"/>
                <w:lang w:val="en-US"/>
              </w:rPr>
              <w:t>8</w:t>
            </w:r>
          </w:p>
        </w:tc>
        <w:tc>
          <w:tcPr>
            <w:tcW w:w="2835" w:type="dxa"/>
            <w:noWrap/>
            <w:vAlign w:val="center"/>
          </w:tcPr>
          <w:p w14:paraId="280597DE"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Kiribati</w:t>
            </w:r>
          </w:p>
        </w:tc>
        <w:tc>
          <w:tcPr>
            <w:tcW w:w="1842" w:type="dxa"/>
            <w:vAlign w:val="center"/>
          </w:tcPr>
          <w:p w14:paraId="799FDA9D" w14:textId="77777777" w:rsidR="00326616" w:rsidRPr="000B1D57" w:rsidRDefault="00326616" w:rsidP="00084F0B">
            <w:pPr>
              <w:pStyle w:val="Heading1"/>
              <w:numPr>
                <w:ilvl w:val="0"/>
                <w:numId w:val="0"/>
              </w:numPr>
              <w:spacing w:before="100" w:beforeAutospacing="1" w:after="100" w:afterAutospacing="1"/>
              <w:contextualSpacing/>
              <w:jc w:val="right"/>
              <w:rPr>
                <w:sz w:val="20"/>
                <w:szCs w:val="20"/>
              </w:rPr>
            </w:pPr>
            <w:r w:rsidRPr="000B1D57">
              <w:rPr>
                <w:sz w:val="20"/>
                <w:szCs w:val="20"/>
              </w:rPr>
              <w:t>1.0</w:t>
            </w:r>
          </w:p>
        </w:tc>
        <w:tc>
          <w:tcPr>
            <w:tcW w:w="1985" w:type="dxa"/>
            <w:noWrap/>
            <w:vAlign w:val="center"/>
          </w:tcPr>
          <w:p w14:paraId="0492B75E"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UNEP</w:t>
            </w:r>
          </w:p>
        </w:tc>
        <w:tc>
          <w:tcPr>
            <w:tcW w:w="2268" w:type="dxa"/>
            <w:vAlign w:val="center"/>
          </w:tcPr>
          <w:p w14:paraId="0B914E38" w14:textId="77777777" w:rsidR="00326616" w:rsidRPr="000B1D57" w:rsidRDefault="00326616" w:rsidP="00084F0B">
            <w:pPr>
              <w:pStyle w:val="Heading1"/>
              <w:numPr>
                <w:ilvl w:val="0"/>
                <w:numId w:val="0"/>
              </w:numPr>
              <w:spacing w:before="100" w:beforeAutospacing="1" w:after="100" w:afterAutospacing="1"/>
              <w:contextualSpacing/>
              <w:jc w:val="center"/>
              <w:rPr>
                <w:sz w:val="20"/>
                <w:szCs w:val="20"/>
              </w:rPr>
            </w:pPr>
            <w:r w:rsidRPr="000B1D57">
              <w:rPr>
                <w:sz w:val="20"/>
                <w:szCs w:val="20"/>
              </w:rPr>
              <w:t>2020</w:t>
            </w:r>
          </w:p>
        </w:tc>
      </w:tr>
      <w:tr w:rsidR="005A2452" w:rsidRPr="000B1D57" w14:paraId="40F565E1" w14:textId="77777777" w:rsidTr="008B0F8E">
        <w:tc>
          <w:tcPr>
            <w:tcW w:w="421" w:type="dxa"/>
            <w:shd w:val="clear" w:color="auto" w:fill="auto"/>
            <w:noWrap/>
            <w:tcMar>
              <w:left w:w="14" w:type="dxa"/>
              <w:right w:w="144" w:type="dxa"/>
            </w:tcMar>
            <w:vAlign w:val="bottom"/>
          </w:tcPr>
          <w:p w14:paraId="7EB7CF84" w14:textId="2DC3954B" w:rsidR="005A2452" w:rsidRPr="000B1D57" w:rsidRDefault="006E2314" w:rsidP="00084F0B">
            <w:pPr>
              <w:jc w:val="right"/>
              <w:rPr>
                <w:sz w:val="20"/>
                <w:szCs w:val="20"/>
                <w:lang w:val="en-US"/>
              </w:rPr>
            </w:pPr>
            <w:r w:rsidRPr="000B1D57">
              <w:rPr>
                <w:sz w:val="20"/>
                <w:szCs w:val="20"/>
                <w:lang w:val="en-US"/>
              </w:rPr>
              <w:t>9</w:t>
            </w:r>
          </w:p>
        </w:tc>
        <w:tc>
          <w:tcPr>
            <w:tcW w:w="2835" w:type="dxa"/>
            <w:noWrap/>
            <w:vAlign w:val="center"/>
          </w:tcPr>
          <w:p w14:paraId="6CA0E9D8" w14:textId="6F306D92" w:rsidR="005A2452" w:rsidRPr="000B1D57" w:rsidRDefault="005A2452" w:rsidP="00084F0B">
            <w:pPr>
              <w:pStyle w:val="Heading1"/>
              <w:numPr>
                <w:ilvl w:val="0"/>
                <w:numId w:val="0"/>
              </w:numPr>
              <w:spacing w:before="100" w:beforeAutospacing="1" w:after="100" w:afterAutospacing="1"/>
              <w:contextualSpacing/>
              <w:jc w:val="left"/>
              <w:rPr>
                <w:sz w:val="20"/>
                <w:szCs w:val="20"/>
              </w:rPr>
            </w:pPr>
            <w:r w:rsidRPr="000B1D57">
              <w:rPr>
                <w:sz w:val="20"/>
                <w:szCs w:val="20"/>
              </w:rPr>
              <w:t>Lesotho</w:t>
            </w:r>
          </w:p>
        </w:tc>
        <w:tc>
          <w:tcPr>
            <w:tcW w:w="1842" w:type="dxa"/>
            <w:vAlign w:val="center"/>
          </w:tcPr>
          <w:p w14:paraId="7437FD13" w14:textId="4042BC0E" w:rsidR="005A2452" w:rsidRPr="000B1D57" w:rsidRDefault="006E2314" w:rsidP="00084F0B">
            <w:pPr>
              <w:pStyle w:val="Heading1"/>
              <w:numPr>
                <w:ilvl w:val="0"/>
                <w:numId w:val="0"/>
              </w:numPr>
              <w:spacing w:before="100" w:beforeAutospacing="1" w:after="100" w:afterAutospacing="1"/>
              <w:contextualSpacing/>
              <w:jc w:val="right"/>
              <w:rPr>
                <w:sz w:val="20"/>
                <w:szCs w:val="20"/>
              </w:rPr>
            </w:pPr>
            <w:r w:rsidRPr="000B1D57">
              <w:rPr>
                <w:sz w:val="20"/>
                <w:szCs w:val="20"/>
              </w:rPr>
              <w:t>62.</w:t>
            </w:r>
            <w:r w:rsidR="008B0F8E" w:rsidRPr="000B1D57">
              <w:rPr>
                <w:sz w:val="20"/>
                <w:szCs w:val="20"/>
              </w:rPr>
              <w:t>7</w:t>
            </w:r>
          </w:p>
        </w:tc>
        <w:tc>
          <w:tcPr>
            <w:tcW w:w="1985" w:type="dxa"/>
            <w:noWrap/>
            <w:vAlign w:val="center"/>
          </w:tcPr>
          <w:p w14:paraId="22F4BA9D" w14:textId="5174C994" w:rsidR="005A2452" w:rsidRPr="000B1D57" w:rsidRDefault="006E2314" w:rsidP="00084F0B">
            <w:pPr>
              <w:pStyle w:val="Heading1"/>
              <w:numPr>
                <w:ilvl w:val="0"/>
                <w:numId w:val="0"/>
              </w:numPr>
              <w:spacing w:before="100" w:beforeAutospacing="1" w:after="100" w:afterAutospacing="1"/>
              <w:contextualSpacing/>
              <w:jc w:val="left"/>
              <w:rPr>
                <w:sz w:val="20"/>
                <w:szCs w:val="20"/>
              </w:rPr>
            </w:pPr>
            <w:r w:rsidRPr="000B1D57">
              <w:rPr>
                <w:sz w:val="20"/>
                <w:szCs w:val="20"/>
              </w:rPr>
              <w:t>Germany</w:t>
            </w:r>
          </w:p>
        </w:tc>
        <w:tc>
          <w:tcPr>
            <w:tcW w:w="2268" w:type="dxa"/>
            <w:vAlign w:val="center"/>
          </w:tcPr>
          <w:p w14:paraId="21A7E47D" w14:textId="6D6DE98F" w:rsidR="005A2452" w:rsidRPr="000B1D57" w:rsidRDefault="006E2314" w:rsidP="00084F0B">
            <w:pPr>
              <w:pStyle w:val="Heading1"/>
              <w:numPr>
                <w:ilvl w:val="0"/>
                <w:numId w:val="0"/>
              </w:numPr>
              <w:spacing w:before="100" w:beforeAutospacing="1" w:after="100" w:afterAutospacing="1"/>
              <w:contextualSpacing/>
              <w:jc w:val="center"/>
              <w:rPr>
                <w:sz w:val="20"/>
                <w:szCs w:val="20"/>
              </w:rPr>
            </w:pPr>
            <w:r w:rsidRPr="000B1D57">
              <w:rPr>
                <w:sz w:val="20"/>
                <w:szCs w:val="20"/>
              </w:rPr>
              <w:t>2020</w:t>
            </w:r>
          </w:p>
        </w:tc>
      </w:tr>
      <w:tr w:rsidR="00326616" w:rsidRPr="000B1D57" w14:paraId="7F1D6B7F" w14:textId="77777777" w:rsidTr="008B0F8E">
        <w:tc>
          <w:tcPr>
            <w:tcW w:w="421" w:type="dxa"/>
            <w:shd w:val="clear" w:color="auto" w:fill="auto"/>
            <w:noWrap/>
            <w:tcMar>
              <w:left w:w="14" w:type="dxa"/>
              <w:right w:w="144" w:type="dxa"/>
            </w:tcMar>
            <w:vAlign w:val="bottom"/>
          </w:tcPr>
          <w:p w14:paraId="3060D32C" w14:textId="17874F11" w:rsidR="00326616" w:rsidRPr="000B1D57" w:rsidRDefault="005A2452" w:rsidP="00084F0B">
            <w:pPr>
              <w:jc w:val="right"/>
              <w:rPr>
                <w:sz w:val="20"/>
                <w:szCs w:val="20"/>
                <w:lang w:val="en-US"/>
              </w:rPr>
            </w:pPr>
            <w:r w:rsidRPr="000B1D57">
              <w:rPr>
                <w:sz w:val="20"/>
                <w:szCs w:val="20"/>
                <w:lang w:val="en-US"/>
              </w:rPr>
              <w:t>1</w:t>
            </w:r>
            <w:r w:rsidR="006E2314" w:rsidRPr="000B1D57">
              <w:rPr>
                <w:sz w:val="20"/>
                <w:szCs w:val="20"/>
                <w:lang w:val="en-US"/>
              </w:rPr>
              <w:t>0</w:t>
            </w:r>
          </w:p>
        </w:tc>
        <w:tc>
          <w:tcPr>
            <w:tcW w:w="2835" w:type="dxa"/>
            <w:noWrap/>
            <w:vAlign w:val="center"/>
          </w:tcPr>
          <w:p w14:paraId="0D9213A8" w14:textId="77777777" w:rsidR="00326616" w:rsidRPr="000B1D57" w:rsidRDefault="00326616" w:rsidP="00084F0B">
            <w:pPr>
              <w:pStyle w:val="Heading1"/>
              <w:numPr>
                <w:ilvl w:val="0"/>
                <w:numId w:val="0"/>
              </w:numPr>
              <w:spacing w:after="0"/>
              <w:contextualSpacing/>
              <w:jc w:val="left"/>
              <w:rPr>
                <w:sz w:val="20"/>
                <w:szCs w:val="20"/>
              </w:rPr>
            </w:pPr>
            <w:r w:rsidRPr="000B1D57">
              <w:rPr>
                <w:sz w:val="20"/>
                <w:szCs w:val="20"/>
              </w:rPr>
              <w:t>Marshall Islands</w:t>
            </w:r>
          </w:p>
        </w:tc>
        <w:tc>
          <w:tcPr>
            <w:tcW w:w="1842" w:type="dxa"/>
            <w:vAlign w:val="center"/>
          </w:tcPr>
          <w:p w14:paraId="3808D140" w14:textId="77777777" w:rsidR="00326616" w:rsidRPr="000B1D57" w:rsidRDefault="00326616" w:rsidP="00084F0B">
            <w:pPr>
              <w:pStyle w:val="Heading1"/>
              <w:numPr>
                <w:ilvl w:val="0"/>
                <w:numId w:val="0"/>
              </w:numPr>
              <w:spacing w:before="100" w:beforeAutospacing="1" w:after="100" w:afterAutospacing="1"/>
              <w:contextualSpacing/>
              <w:jc w:val="right"/>
              <w:rPr>
                <w:sz w:val="20"/>
                <w:szCs w:val="20"/>
              </w:rPr>
            </w:pPr>
            <w:r w:rsidRPr="000B1D57">
              <w:rPr>
                <w:sz w:val="20"/>
                <w:szCs w:val="20"/>
              </w:rPr>
              <w:t>4.0</w:t>
            </w:r>
          </w:p>
        </w:tc>
        <w:tc>
          <w:tcPr>
            <w:tcW w:w="1985" w:type="dxa"/>
            <w:noWrap/>
            <w:vAlign w:val="center"/>
          </w:tcPr>
          <w:p w14:paraId="45504716"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UNEP</w:t>
            </w:r>
          </w:p>
        </w:tc>
        <w:tc>
          <w:tcPr>
            <w:tcW w:w="2268" w:type="dxa"/>
            <w:vAlign w:val="center"/>
          </w:tcPr>
          <w:p w14:paraId="33C3F1BB" w14:textId="77777777" w:rsidR="00326616" w:rsidRPr="000B1D57" w:rsidRDefault="00326616" w:rsidP="00084F0B">
            <w:pPr>
              <w:pStyle w:val="Heading1"/>
              <w:numPr>
                <w:ilvl w:val="0"/>
                <w:numId w:val="0"/>
              </w:numPr>
              <w:spacing w:before="100" w:beforeAutospacing="1" w:after="100" w:afterAutospacing="1"/>
              <w:contextualSpacing/>
              <w:jc w:val="center"/>
              <w:rPr>
                <w:sz w:val="20"/>
                <w:szCs w:val="20"/>
              </w:rPr>
            </w:pPr>
            <w:r w:rsidRPr="000B1D57">
              <w:rPr>
                <w:sz w:val="20"/>
                <w:szCs w:val="20"/>
              </w:rPr>
              <w:t>2020</w:t>
            </w:r>
          </w:p>
        </w:tc>
      </w:tr>
      <w:tr w:rsidR="00326616" w:rsidRPr="000B1D57" w14:paraId="23319C54" w14:textId="77777777" w:rsidTr="008B0F8E">
        <w:tc>
          <w:tcPr>
            <w:tcW w:w="421" w:type="dxa"/>
            <w:shd w:val="clear" w:color="auto" w:fill="auto"/>
            <w:noWrap/>
            <w:tcMar>
              <w:left w:w="14" w:type="dxa"/>
              <w:right w:w="144" w:type="dxa"/>
            </w:tcMar>
            <w:vAlign w:val="bottom"/>
          </w:tcPr>
          <w:p w14:paraId="26B1DBCD" w14:textId="227B6CD7" w:rsidR="00326616" w:rsidRPr="000B1D57" w:rsidRDefault="00326616" w:rsidP="00084F0B">
            <w:pPr>
              <w:jc w:val="right"/>
              <w:rPr>
                <w:sz w:val="20"/>
                <w:szCs w:val="20"/>
                <w:lang w:val="en-US"/>
              </w:rPr>
            </w:pPr>
            <w:r w:rsidRPr="000B1D57">
              <w:rPr>
                <w:sz w:val="20"/>
                <w:szCs w:val="20"/>
                <w:lang w:val="en-US"/>
              </w:rPr>
              <w:t>1</w:t>
            </w:r>
            <w:r w:rsidR="006E2314" w:rsidRPr="000B1D57">
              <w:rPr>
                <w:sz w:val="20"/>
                <w:szCs w:val="20"/>
                <w:lang w:val="en-US"/>
              </w:rPr>
              <w:t>1</w:t>
            </w:r>
          </w:p>
        </w:tc>
        <w:tc>
          <w:tcPr>
            <w:tcW w:w="2835" w:type="dxa"/>
            <w:noWrap/>
            <w:vAlign w:val="center"/>
          </w:tcPr>
          <w:p w14:paraId="104A1A46" w14:textId="77777777" w:rsidR="00326616" w:rsidRPr="000B1D57" w:rsidRDefault="00326616" w:rsidP="00084F0B">
            <w:pPr>
              <w:pStyle w:val="Heading1"/>
              <w:numPr>
                <w:ilvl w:val="0"/>
                <w:numId w:val="0"/>
              </w:numPr>
              <w:contextualSpacing/>
              <w:jc w:val="left"/>
              <w:rPr>
                <w:sz w:val="20"/>
                <w:szCs w:val="20"/>
              </w:rPr>
            </w:pPr>
            <w:r w:rsidRPr="000B1D57">
              <w:rPr>
                <w:sz w:val="20"/>
                <w:szCs w:val="20"/>
              </w:rPr>
              <w:t>Micronesia (Federated States of)</w:t>
            </w:r>
          </w:p>
        </w:tc>
        <w:tc>
          <w:tcPr>
            <w:tcW w:w="1842" w:type="dxa"/>
            <w:vAlign w:val="center"/>
          </w:tcPr>
          <w:p w14:paraId="05DE97E5" w14:textId="77777777" w:rsidR="00326616" w:rsidRPr="000B1D57" w:rsidRDefault="00326616" w:rsidP="00084F0B">
            <w:pPr>
              <w:pStyle w:val="Heading1"/>
              <w:numPr>
                <w:ilvl w:val="0"/>
                <w:numId w:val="0"/>
              </w:numPr>
              <w:spacing w:before="100" w:beforeAutospacing="1" w:after="100" w:afterAutospacing="1"/>
              <w:contextualSpacing/>
              <w:jc w:val="right"/>
              <w:rPr>
                <w:sz w:val="20"/>
                <w:szCs w:val="20"/>
              </w:rPr>
            </w:pPr>
            <w:r w:rsidRPr="000B1D57">
              <w:rPr>
                <w:sz w:val="20"/>
                <w:szCs w:val="20"/>
              </w:rPr>
              <w:t>2.6</w:t>
            </w:r>
          </w:p>
        </w:tc>
        <w:tc>
          <w:tcPr>
            <w:tcW w:w="1985" w:type="dxa"/>
            <w:noWrap/>
            <w:vAlign w:val="center"/>
          </w:tcPr>
          <w:p w14:paraId="4775E2F7"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UNEP</w:t>
            </w:r>
          </w:p>
        </w:tc>
        <w:tc>
          <w:tcPr>
            <w:tcW w:w="2268" w:type="dxa"/>
            <w:vAlign w:val="center"/>
          </w:tcPr>
          <w:p w14:paraId="1090EF1B" w14:textId="77777777" w:rsidR="00326616" w:rsidRPr="000B1D57" w:rsidRDefault="00326616" w:rsidP="00084F0B">
            <w:pPr>
              <w:pStyle w:val="Heading1"/>
              <w:numPr>
                <w:ilvl w:val="0"/>
                <w:numId w:val="0"/>
              </w:numPr>
              <w:spacing w:before="100" w:beforeAutospacing="1" w:after="100" w:afterAutospacing="1"/>
              <w:contextualSpacing/>
              <w:jc w:val="center"/>
              <w:rPr>
                <w:sz w:val="20"/>
                <w:szCs w:val="20"/>
              </w:rPr>
            </w:pPr>
            <w:r w:rsidRPr="000B1D57">
              <w:rPr>
                <w:sz w:val="20"/>
                <w:szCs w:val="20"/>
              </w:rPr>
              <w:t>2020</w:t>
            </w:r>
          </w:p>
        </w:tc>
      </w:tr>
      <w:tr w:rsidR="00326616" w:rsidRPr="000B1D57" w14:paraId="682CC4F9" w14:textId="77777777" w:rsidTr="008B0F8E">
        <w:tc>
          <w:tcPr>
            <w:tcW w:w="421" w:type="dxa"/>
            <w:shd w:val="clear" w:color="auto" w:fill="auto"/>
            <w:noWrap/>
            <w:tcMar>
              <w:left w:w="14" w:type="dxa"/>
              <w:right w:w="144" w:type="dxa"/>
            </w:tcMar>
            <w:vAlign w:val="bottom"/>
          </w:tcPr>
          <w:p w14:paraId="1720A1FC" w14:textId="2080AAA6" w:rsidR="00326616" w:rsidRPr="000B1D57" w:rsidRDefault="00326616" w:rsidP="00084F0B">
            <w:pPr>
              <w:jc w:val="right"/>
              <w:rPr>
                <w:sz w:val="20"/>
                <w:szCs w:val="20"/>
                <w:lang w:val="en-US"/>
              </w:rPr>
            </w:pPr>
            <w:r w:rsidRPr="000B1D57">
              <w:rPr>
                <w:sz w:val="20"/>
                <w:szCs w:val="20"/>
                <w:lang w:val="en-US"/>
              </w:rPr>
              <w:t>1</w:t>
            </w:r>
            <w:r w:rsidR="006E2314" w:rsidRPr="000B1D57">
              <w:rPr>
                <w:sz w:val="20"/>
                <w:szCs w:val="20"/>
                <w:lang w:val="en-US"/>
              </w:rPr>
              <w:t>2</w:t>
            </w:r>
          </w:p>
        </w:tc>
        <w:tc>
          <w:tcPr>
            <w:tcW w:w="2835" w:type="dxa"/>
            <w:noWrap/>
            <w:vAlign w:val="center"/>
          </w:tcPr>
          <w:p w14:paraId="59F2F585"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Montenegro</w:t>
            </w:r>
          </w:p>
        </w:tc>
        <w:tc>
          <w:tcPr>
            <w:tcW w:w="1842" w:type="dxa"/>
            <w:tcBorders>
              <w:top w:val="nil"/>
              <w:left w:val="single" w:sz="4" w:space="0" w:color="auto"/>
              <w:bottom w:val="single" w:sz="4" w:space="0" w:color="auto"/>
              <w:right w:val="single" w:sz="4" w:space="0" w:color="auto"/>
            </w:tcBorders>
          </w:tcPr>
          <w:p w14:paraId="58C1D944" w14:textId="6DEDA663" w:rsidR="00326616" w:rsidRPr="000B1D57" w:rsidRDefault="00326616" w:rsidP="00084F0B">
            <w:pPr>
              <w:jc w:val="right"/>
              <w:rPr>
                <w:color w:val="000000"/>
                <w:sz w:val="20"/>
                <w:szCs w:val="20"/>
              </w:rPr>
            </w:pPr>
            <w:r w:rsidRPr="000B1D57">
              <w:rPr>
                <w:color w:val="000000"/>
                <w:sz w:val="20"/>
                <w:szCs w:val="20"/>
              </w:rPr>
              <w:t>39.0</w:t>
            </w:r>
          </w:p>
        </w:tc>
        <w:tc>
          <w:tcPr>
            <w:tcW w:w="1985" w:type="dxa"/>
            <w:noWrap/>
            <w:vAlign w:val="center"/>
          </w:tcPr>
          <w:p w14:paraId="1FB8D966"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UNIDO</w:t>
            </w:r>
          </w:p>
        </w:tc>
        <w:tc>
          <w:tcPr>
            <w:tcW w:w="2268" w:type="dxa"/>
            <w:vAlign w:val="center"/>
          </w:tcPr>
          <w:p w14:paraId="1178F3C7" w14:textId="77777777" w:rsidR="00326616" w:rsidRPr="000B1D57" w:rsidRDefault="00326616" w:rsidP="00084F0B">
            <w:pPr>
              <w:pStyle w:val="Heading1"/>
              <w:numPr>
                <w:ilvl w:val="0"/>
                <w:numId w:val="0"/>
              </w:numPr>
              <w:spacing w:before="100" w:beforeAutospacing="1" w:after="100" w:afterAutospacing="1"/>
              <w:contextualSpacing/>
              <w:jc w:val="center"/>
              <w:rPr>
                <w:sz w:val="20"/>
                <w:szCs w:val="20"/>
              </w:rPr>
            </w:pPr>
            <w:r w:rsidRPr="000B1D57">
              <w:rPr>
                <w:sz w:val="20"/>
                <w:szCs w:val="20"/>
              </w:rPr>
              <w:t>2020</w:t>
            </w:r>
          </w:p>
        </w:tc>
      </w:tr>
      <w:tr w:rsidR="00326616" w:rsidRPr="000B1D57" w14:paraId="1C7E0793" w14:textId="77777777" w:rsidTr="008B0F8E">
        <w:tc>
          <w:tcPr>
            <w:tcW w:w="421" w:type="dxa"/>
            <w:shd w:val="clear" w:color="auto" w:fill="auto"/>
            <w:noWrap/>
            <w:tcMar>
              <w:left w:w="14" w:type="dxa"/>
              <w:right w:w="144" w:type="dxa"/>
            </w:tcMar>
            <w:vAlign w:val="bottom"/>
            <w:hideMark/>
          </w:tcPr>
          <w:p w14:paraId="188D80B1" w14:textId="09C79727" w:rsidR="00326616" w:rsidRPr="000B1D57" w:rsidRDefault="00326616" w:rsidP="00084F0B">
            <w:pPr>
              <w:jc w:val="right"/>
              <w:rPr>
                <w:sz w:val="20"/>
                <w:szCs w:val="20"/>
                <w:lang w:val="en-US"/>
              </w:rPr>
            </w:pPr>
            <w:r w:rsidRPr="000B1D57">
              <w:rPr>
                <w:sz w:val="20"/>
                <w:szCs w:val="20"/>
                <w:lang w:val="en-US"/>
              </w:rPr>
              <w:t>1</w:t>
            </w:r>
            <w:r w:rsidR="006E2314" w:rsidRPr="000B1D57">
              <w:rPr>
                <w:sz w:val="20"/>
                <w:szCs w:val="20"/>
                <w:lang w:val="en-US"/>
              </w:rPr>
              <w:t>3</w:t>
            </w:r>
          </w:p>
        </w:tc>
        <w:tc>
          <w:tcPr>
            <w:tcW w:w="2835" w:type="dxa"/>
            <w:noWrap/>
            <w:vAlign w:val="center"/>
          </w:tcPr>
          <w:p w14:paraId="078EBFED"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Nauru</w:t>
            </w:r>
          </w:p>
        </w:tc>
        <w:tc>
          <w:tcPr>
            <w:tcW w:w="1842" w:type="dxa"/>
            <w:vAlign w:val="center"/>
          </w:tcPr>
          <w:p w14:paraId="0A658E5D" w14:textId="77777777" w:rsidR="00326616" w:rsidRPr="000B1D57" w:rsidRDefault="00326616" w:rsidP="00084F0B">
            <w:pPr>
              <w:pStyle w:val="Heading1"/>
              <w:numPr>
                <w:ilvl w:val="0"/>
                <w:numId w:val="0"/>
              </w:numPr>
              <w:spacing w:before="100" w:beforeAutospacing="1" w:after="100" w:afterAutospacing="1"/>
              <w:contextualSpacing/>
              <w:jc w:val="right"/>
              <w:rPr>
                <w:sz w:val="20"/>
                <w:szCs w:val="20"/>
              </w:rPr>
            </w:pPr>
            <w:r w:rsidRPr="000B1D57">
              <w:rPr>
                <w:sz w:val="20"/>
                <w:szCs w:val="20"/>
              </w:rPr>
              <w:t>0.2</w:t>
            </w:r>
          </w:p>
        </w:tc>
        <w:tc>
          <w:tcPr>
            <w:tcW w:w="1985" w:type="dxa"/>
            <w:noWrap/>
            <w:vAlign w:val="center"/>
          </w:tcPr>
          <w:p w14:paraId="75134027"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UNEP</w:t>
            </w:r>
          </w:p>
        </w:tc>
        <w:tc>
          <w:tcPr>
            <w:tcW w:w="2268" w:type="dxa"/>
            <w:vAlign w:val="center"/>
          </w:tcPr>
          <w:p w14:paraId="7E91051C" w14:textId="77777777" w:rsidR="00326616" w:rsidRPr="000B1D57" w:rsidRDefault="00326616" w:rsidP="00084F0B">
            <w:pPr>
              <w:pStyle w:val="Heading1"/>
              <w:numPr>
                <w:ilvl w:val="0"/>
                <w:numId w:val="0"/>
              </w:numPr>
              <w:spacing w:before="100" w:beforeAutospacing="1" w:after="100" w:afterAutospacing="1"/>
              <w:contextualSpacing/>
              <w:jc w:val="center"/>
              <w:rPr>
                <w:sz w:val="20"/>
                <w:szCs w:val="20"/>
              </w:rPr>
            </w:pPr>
            <w:r w:rsidRPr="000B1D57">
              <w:rPr>
                <w:sz w:val="20"/>
                <w:szCs w:val="20"/>
              </w:rPr>
              <w:t>2020</w:t>
            </w:r>
          </w:p>
        </w:tc>
      </w:tr>
      <w:tr w:rsidR="00326616" w:rsidRPr="000B1D57" w14:paraId="4CAFA82D" w14:textId="77777777" w:rsidTr="008B0F8E">
        <w:tc>
          <w:tcPr>
            <w:tcW w:w="421" w:type="dxa"/>
            <w:shd w:val="clear" w:color="auto" w:fill="auto"/>
            <w:noWrap/>
            <w:tcMar>
              <w:left w:w="14" w:type="dxa"/>
              <w:right w:w="144" w:type="dxa"/>
            </w:tcMar>
            <w:vAlign w:val="bottom"/>
          </w:tcPr>
          <w:p w14:paraId="29F54462" w14:textId="50B9CCA2" w:rsidR="00326616" w:rsidRPr="000B1D57" w:rsidRDefault="00326616" w:rsidP="00084F0B">
            <w:pPr>
              <w:jc w:val="right"/>
              <w:rPr>
                <w:sz w:val="20"/>
                <w:szCs w:val="20"/>
                <w:lang w:val="en-US"/>
              </w:rPr>
            </w:pPr>
            <w:r w:rsidRPr="000B1D57">
              <w:rPr>
                <w:sz w:val="20"/>
                <w:szCs w:val="20"/>
                <w:lang w:val="en-US"/>
              </w:rPr>
              <w:t>1</w:t>
            </w:r>
            <w:r w:rsidR="006E2314" w:rsidRPr="000B1D57">
              <w:rPr>
                <w:sz w:val="20"/>
                <w:szCs w:val="20"/>
                <w:lang w:val="en-US"/>
              </w:rPr>
              <w:t>4</w:t>
            </w:r>
          </w:p>
        </w:tc>
        <w:tc>
          <w:tcPr>
            <w:tcW w:w="2835" w:type="dxa"/>
            <w:noWrap/>
            <w:vAlign w:val="center"/>
          </w:tcPr>
          <w:p w14:paraId="414D1CFF"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Niue</w:t>
            </w:r>
          </w:p>
        </w:tc>
        <w:tc>
          <w:tcPr>
            <w:tcW w:w="1842" w:type="dxa"/>
            <w:vAlign w:val="center"/>
          </w:tcPr>
          <w:p w14:paraId="465E41B8" w14:textId="77777777" w:rsidR="00326616" w:rsidRPr="000B1D57" w:rsidRDefault="00326616" w:rsidP="00084F0B">
            <w:pPr>
              <w:pStyle w:val="Heading1"/>
              <w:numPr>
                <w:ilvl w:val="0"/>
                <w:numId w:val="0"/>
              </w:numPr>
              <w:spacing w:before="100" w:beforeAutospacing="1" w:after="100" w:afterAutospacing="1"/>
              <w:contextualSpacing/>
              <w:jc w:val="right"/>
              <w:rPr>
                <w:sz w:val="20"/>
                <w:szCs w:val="20"/>
              </w:rPr>
            </w:pPr>
            <w:r w:rsidRPr="000B1D57">
              <w:rPr>
                <w:sz w:val="20"/>
                <w:szCs w:val="20"/>
              </w:rPr>
              <w:t>0.2</w:t>
            </w:r>
          </w:p>
        </w:tc>
        <w:tc>
          <w:tcPr>
            <w:tcW w:w="1985" w:type="dxa"/>
            <w:noWrap/>
            <w:vAlign w:val="center"/>
          </w:tcPr>
          <w:p w14:paraId="290C1CF1"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UNEP</w:t>
            </w:r>
          </w:p>
        </w:tc>
        <w:tc>
          <w:tcPr>
            <w:tcW w:w="2268" w:type="dxa"/>
            <w:vAlign w:val="center"/>
          </w:tcPr>
          <w:p w14:paraId="50BF0F02" w14:textId="77777777" w:rsidR="00326616" w:rsidRPr="000B1D57" w:rsidRDefault="00326616" w:rsidP="00084F0B">
            <w:pPr>
              <w:pStyle w:val="Heading1"/>
              <w:numPr>
                <w:ilvl w:val="0"/>
                <w:numId w:val="0"/>
              </w:numPr>
              <w:spacing w:before="100" w:beforeAutospacing="1" w:after="100" w:afterAutospacing="1"/>
              <w:contextualSpacing/>
              <w:jc w:val="center"/>
              <w:rPr>
                <w:sz w:val="20"/>
                <w:szCs w:val="20"/>
              </w:rPr>
            </w:pPr>
            <w:r w:rsidRPr="000B1D57">
              <w:rPr>
                <w:sz w:val="20"/>
                <w:szCs w:val="20"/>
              </w:rPr>
              <w:t>2020</w:t>
            </w:r>
          </w:p>
        </w:tc>
      </w:tr>
      <w:tr w:rsidR="00326616" w:rsidRPr="000B1D57" w14:paraId="0CC3138C" w14:textId="77777777" w:rsidTr="008B0F8E">
        <w:tc>
          <w:tcPr>
            <w:tcW w:w="421" w:type="dxa"/>
            <w:shd w:val="clear" w:color="auto" w:fill="auto"/>
            <w:noWrap/>
            <w:tcMar>
              <w:left w:w="14" w:type="dxa"/>
              <w:right w:w="144" w:type="dxa"/>
            </w:tcMar>
            <w:vAlign w:val="bottom"/>
          </w:tcPr>
          <w:p w14:paraId="032C48D0" w14:textId="4CACAE3F" w:rsidR="00326616" w:rsidRPr="000B1D57" w:rsidRDefault="00326616" w:rsidP="00084F0B">
            <w:pPr>
              <w:jc w:val="right"/>
              <w:rPr>
                <w:sz w:val="20"/>
                <w:szCs w:val="20"/>
                <w:lang w:val="en-US"/>
              </w:rPr>
            </w:pPr>
            <w:r w:rsidRPr="000B1D57">
              <w:rPr>
                <w:sz w:val="20"/>
                <w:szCs w:val="20"/>
                <w:lang w:val="en-US"/>
              </w:rPr>
              <w:t>1</w:t>
            </w:r>
            <w:r w:rsidR="006E2314" w:rsidRPr="000B1D57">
              <w:rPr>
                <w:sz w:val="20"/>
                <w:szCs w:val="20"/>
                <w:lang w:val="en-US"/>
              </w:rPr>
              <w:t>5</w:t>
            </w:r>
          </w:p>
        </w:tc>
        <w:tc>
          <w:tcPr>
            <w:tcW w:w="2835" w:type="dxa"/>
            <w:noWrap/>
            <w:vAlign w:val="center"/>
          </w:tcPr>
          <w:p w14:paraId="54F1F774"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South Sudan</w:t>
            </w:r>
          </w:p>
        </w:tc>
        <w:tc>
          <w:tcPr>
            <w:tcW w:w="1842" w:type="dxa"/>
            <w:vAlign w:val="center"/>
          </w:tcPr>
          <w:p w14:paraId="61AEF734" w14:textId="77777777" w:rsidR="00326616" w:rsidRPr="000B1D57" w:rsidRDefault="00326616" w:rsidP="00084F0B">
            <w:pPr>
              <w:pStyle w:val="Heading1"/>
              <w:numPr>
                <w:ilvl w:val="0"/>
                <w:numId w:val="0"/>
              </w:numPr>
              <w:spacing w:before="100" w:beforeAutospacing="1" w:after="100" w:afterAutospacing="1"/>
              <w:contextualSpacing/>
              <w:jc w:val="right"/>
              <w:rPr>
                <w:sz w:val="20"/>
                <w:szCs w:val="20"/>
              </w:rPr>
            </w:pPr>
            <w:r w:rsidRPr="000B1D57">
              <w:rPr>
                <w:sz w:val="20"/>
                <w:szCs w:val="20"/>
              </w:rPr>
              <w:t>75.0</w:t>
            </w:r>
          </w:p>
        </w:tc>
        <w:tc>
          <w:tcPr>
            <w:tcW w:w="1985" w:type="dxa"/>
            <w:noWrap/>
            <w:vAlign w:val="center"/>
          </w:tcPr>
          <w:p w14:paraId="104E8379" w14:textId="6DE58729" w:rsidR="00326616" w:rsidRPr="000B1D57" w:rsidRDefault="005226A4" w:rsidP="00084F0B">
            <w:pPr>
              <w:pStyle w:val="Heading1"/>
              <w:numPr>
                <w:ilvl w:val="0"/>
                <w:numId w:val="0"/>
              </w:numPr>
              <w:spacing w:before="100" w:beforeAutospacing="1" w:after="100" w:afterAutospacing="1"/>
              <w:contextualSpacing/>
              <w:jc w:val="left"/>
              <w:rPr>
                <w:sz w:val="20"/>
                <w:szCs w:val="20"/>
              </w:rPr>
            </w:pPr>
            <w:r w:rsidRPr="000B1D57">
              <w:rPr>
                <w:sz w:val="20"/>
                <w:szCs w:val="20"/>
              </w:rPr>
              <w:t>UNEP</w:t>
            </w:r>
          </w:p>
        </w:tc>
        <w:tc>
          <w:tcPr>
            <w:tcW w:w="2268" w:type="dxa"/>
            <w:vAlign w:val="center"/>
          </w:tcPr>
          <w:p w14:paraId="2F167CEB" w14:textId="77777777" w:rsidR="00326616" w:rsidRPr="000B1D57" w:rsidRDefault="00326616" w:rsidP="00084F0B">
            <w:pPr>
              <w:pStyle w:val="Heading1"/>
              <w:numPr>
                <w:ilvl w:val="0"/>
                <w:numId w:val="0"/>
              </w:numPr>
              <w:spacing w:before="100" w:beforeAutospacing="1" w:after="100" w:afterAutospacing="1"/>
              <w:contextualSpacing/>
              <w:jc w:val="center"/>
              <w:rPr>
                <w:sz w:val="20"/>
                <w:szCs w:val="20"/>
              </w:rPr>
            </w:pPr>
            <w:r w:rsidRPr="000B1D57">
              <w:rPr>
                <w:sz w:val="20"/>
                <w:szCs w:val="20"/>
              </w:rPr>
              <w:t>2019 (from 2018) / 2020</w:t>
            </w:r>
          </w:p>
        </w:tc>
      </w:tr>
      <w:tr w:rsidR="00326616" w:rsidRPr="000B1D57" w14:paraId="01FBD41D" w14:textId="77777777" w:rsidTr="008B0F8E">
        <w:tc>
          <w:tcPr>
            <w:tcW w:w="421" w:type="dxa"/>
            <w:noWrap/>
            <w:tcMar>
              <w:left w:w="14" w:type="dxa"/>
              <w:right w:w="144" w:type="dxa"/>
            </w:tcMar>
          </w:tcPr>
          <w:p w14:paraId="669BED89" w14:textId="6B41F8BE" w:rsidR="00326616" w:rsidRPr="000B1D57" w:rsidRDefault="006E2314" w:rsidP="00084F0B">
            <w:pPr>
              <w:pStyle w:val="Heading1"/>
              <w:numPr>
                <w:ilvl w:val="0"/>
                <w:numId w:val="0"/>
              </w:numPr>
              <w:spacing w:before="100" w:beforeAutospacing="1" w:after="100" w:afterAutospacing="1"/>
              <w:jc w:val="right"/>
              <w:rPr>
                <w:sz w:val="20"/>
                <w:szCs w:val="20"/>
              </w:rPr>
            </w:pPr>
            <w:r w:rsidRPr="000B1D57">
              <w:rPr>
                <w:sz w:val="20"/>
                <w:szCs w:val="20"/>
              </w:rPr>
              <w:t>16</w:t>
            </w:r>
          </w:p>
        </w:tc>
        <w:tc>
          <w:tcPr>
            <w:tcW w:w="2835" w:type="dxa"/>
            <w:noWrap/>
            <w:vAlign w:val="center"/>
          </w:tcPr>
          <w:p w14:paraId="06F487E0"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Tuvalu</w:t>
            </w:r>
          </w:p>
        </w:tc>
        <w:tc>
          <w:tcPr>
            <w:tcW w:w="1842" w:type="dxa"/>
            <w:vAlign w:val="center"/>
          </w:tcPr>
          <w:p w14:paraId="6E0D4D73" w14:textId="77777777" w:rsidR="00326616" w:rsidRPr="000B1D57" w:rsidRDefault="00326616" w:rsidP="00084F0B">
            <w:pPr>
              <w:pStyle w:val="Heading1"/>
              <w:numPr>
                <w:ilvl w:val="0"/>
                <w:numId w:val="0"/>
              </w:numPr>
              <w:spacing w:before="100" w:beforeAutospacing="1" w:after="100" w:afterAutospacing="1"/>
              <w:contextualSpacing/>
              <w:jc w:val="right"/>
              <w:rPr>
                <w:sz w:val="20"/>
                <w:szCs w:val="20"/>
              </w:rPr>
            </w:pPr>
            <w:r w:rsidRPr="000B1D57">
              <w:rPr>
                <w:sz w:val="20"/>
                <w:szCs w:val="20"/>
              </w:rPr>
              <w:t>1.6</w:t>
            </w:r>
          </w:p>
        </w:tc>
        <w:tc>
          <w:tcPr>
            <w:tcW w:w="1985" w:type="dxa"/>
            <w:noWrap/>
            <w:vAlign w:val="center"/>
          </w:tcPr>
          <w:p w14:paraId="0F613402"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UNEP</w:t>
            </w:r>
          </w:p>
        </w:tc>
        <w:tc>
          <w:tcPr>
            <w:tcW w:w="2268" w:type="dxa"/>
            <w:vAlign w:val="center"/>
          </w:tcPr>
          <w:p w14:paraId="1F14F4B0" w14:textId="77777777" w:rsidR="00326616" w:rsidRPr="000B1D57" w:rsidRDefault="00326616" w:rsidP="00084F0B">
            <w:pPr>
              <w:pStyle w:val="Heading1"/>
              <w:numPr>
                <w:ilvl w:val="0"/>
                <w:numId w:val="0"/>
              </w:numPr>
              <w:spacing w:before="100" w:beforeAutospacing="1" w:after="100" w:afterAutospacing="1"/>
              <w:contextualSpacing/>
              <w:jc w:val="center"/>
              <w:rPr>
                <w:sz w:val="20"/>
                <w:szCs w:val="20"/>
              </w:rPr>
            </w:pPr>
            <w:r w:rsidRPr="000B1D57">
              <w:rPr>
                <w:sz w:val="20"/>
                <w:szCs w:val="20"/>
              </w:rPr>
              <w:t>2020</w:t>
            </w:r>
          </w:p>
        </w:tc>
      </w:tr>
      <w:tr w:rsidR="00326616" w:rsidRPr="000B1D57" w14:paraId="3D0FBB01" w14:textId="77777777" w:rsidTr="008B0F8E">
        <w:tc>
          <w:tcPr>
            <w:tcW w:w="421" w:type="dxa"/>
            <w:noWrap/>
            <w:tcMar>
              <w:left w:w="14" w:type="dxa"/>
              <w:right w:w="144" w:type="dxa"/>
            </w:tcMar>
          </w:tcPr>
          <w:p w14:paraId="35051DA6" w14:textId="1162DB1E" w:rsidR="00326616" w:rsidRPr="000B1D57" w:rsidRDefault="006E2314" w:rsidP="00084F0B">
            <w:pPr>
              <w:pStyle w:val="Heading1"/>
              <w:numPr>
                <w:ilvl w:val="0"/>
                <w:numId w:val="0"/>
              </w:numPr>
              <w:spacing w:before="100" w:beforeAutospacing="1" w:after="100" w:afterAutospacing="1"/>
              <w:jc w:val="right"/>
              <w:rPr>
                <w:sz w:val="20"/>
                <w:szCs w:val="20"/>
              </w:rPr>
            </w:pPr>
            <w:r w:rsidRPr="000B1D57">
              <w:rPr>
                <w:sz w:val="20"/>
                <w:szCs w:val="20"/>
              </w:rPr>
              <w:t>17</w:t>
            </w:r>
          </w:p>
        </w:tc>
        <w:tc>
          <w:tcPr>
            <w:tcW w:w="2835" w:type="dxa"/>
            <w:noWrap/>
            <w:vAlign w:val="center"/>
          </w:tcPr>
          <w:p w14:paraId="204F3D3B"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Vanuatu</w:t>
            </w:r>
          </w:p>
        </w:tc>
        <w:tc>
          <w:tcPr>
            <w:tcW w:w="1842" w:type="dxa"/>
            <w:vAlign w:val="center"/>
          </w:tcPr>
          <w:p w14:paraId="1AECB556" w14:textId="77777777" w:rsidR="00326616" w:rsidRPr="000B1D57" w:rsidRDefault="00326616" w:rsidP="00084F0B">
            <w:pPr>
              <w:pStyle w:val="Heading1"/>
              <w:numPr>
                <w:ilvl w:val="0"/>
                <w:numId w:val="0"/>
              </w:numPr>
              <w:spacing w:before="100" w:beforeAutospacing="1" w:after="100" w:afterAutospacing="1"/>
              <w:contextualSpacing/>
              <w:jc w:val="right"/>
              <w:rPr>
                <w:sz w:val="20"/>
                <w:szCs w:val="20"/>
              </w:rPr>
            </w:pPr>
            <w:r w:rsidRPr="000B1D57">
              <w:rPr>
                <w:sz w:val="20"/>
                <w:szCs w:val="20"/>
              </w:rPr>
              <w:t>5.1</w:t>
            </w:r>
          </w:p>
        </w:tc>
        <w:tc>
          <w:tcPr>
            <w:tcW w:w="1985" w:type="dxa"/>
            <w:noWrap/>
            <w:vAlign w:val="center"/>
          </w:tcPr>
          <w:p w14:paraId="05F560DD" w14:textId="77777777" w:rsidR="00326616" w:rsidRPr="000B1D57" w:rsidRDefault="00326616" w:rsidP="00084F0B">
            <w:pPr>
              <w:pStyle w:val="Heading1"/>
              <w:numPr>
                <w:ilvl w:val="0"/>
                <w:numId w:val="0"/>
              </w:numPr>
              <w:spacing w:before="100" w:beforeAutospacing="1" w:after="100" w:afterAutospacing="1"/>
              <w:contextualSpacing/>
              <w:jc w:val="left"/>
              <w:rPr>
                <w:sz w:val="20"/>
                <w:szCs w:val="20"/>
              </w:rPr>
            </w:pPr>
            <w:r w:rsidRPr="000B1D57">
              <w:rPr>
                <w:sz w:val="20"/>
                <w:szCs w:val="20"/>
              </w:rPr>
              <w:t>UNEP</w:t>
            </w:r>
          </w:p>
        </w:tc>
        <w:tc>
          <w:tcPr>
            <w:tcW w:w="2268" w:type="dxa"/>
            <w:vAlign w:val="center"/>
          </w:tcPr>
          <w:p w14:paraId="3191AFBD" w14:textId="77777777" w:rsidR="00326616" w:rsidRPr="000B1D57" w:rsidRDefault="00326616" w:rsidP="00084F0B">
            <w:pPr>
              <w:pStyle w:val="Heading1"/>
              <w:numPr>
                <w:ilvl w:val="0"/>
                <w:numId w:val="0"/>
              </w:numPr>
              <w:spacing w:before="100" w:beforeAutospacing="1" w:after="100" w:afterAutospacing="1"/>
              <w:contextualSpacing/>
              <w:jc w:val="center"/>
              <w:rPr>
                <w:sz w:val="20"/>
                <w:szCs w:val="20"/>
              </w:rPr>
            </w:pPr>
            <w:r w:rsidRPr="000B1D57">
              <w:rPr>
                <w:sz w:val="20"/>
                <w:szCs w:val="20"/>
              </w:rPr>
              <w:t>2020</w:t>
            </w:r>
          </w:p>
        </w:tc>
      </w:tr>
    </w:tbl>
    <w:p w14:paraId="1F85EAEF" w14:textId="77777777" w:rsidR="00802668" w:rsidRPr="000B1D57" w:rsidRDefault="00802668" w:rsidP="00084F0B">
      <w:pPr>
        <w:rPr>
          <w:lang w:val="en-CA"/>
        </w:rPr>
      </w:pPr>
    </w:p>
    <w:p w14:paraId="6F9296EE" w14:textId="77777777" w:rsidR="00802668" w:rsidRPr="000B1D57" w:rsidRDefault="00802668" w:rsidP="00084F0B">
      <w:pPr>
        <w:widowControl w:val="0"/>
        <w:spacing w:after="240"/>
        <w:rPr>
          <w:i/>
          <w:szCs w:val="28"/>
          <w:lang w:val="en-CA"/>
        </w:rPr>
      </w:pPr>
      <w:r w:rsidRPr="000B1D57">
        <w:rPr>
          <w:i/>
          <w:szCs w:val="28"/>
          <w:lang w:val="en-CA"/>
        </w:rPr>
        <w:t>Secretariat’s recommendation</w:t>
      </w:r>
    </w:p>
    <w:p w14:paraId="536B1F8C" w14:textId="36905B6F" w:rsidR="00EB35CC" w:rsidRPr="000B1D57" w:rsidRDefault="00802668" w:rsidP="00084F0B">
      <w:pPr>
        <w:pStyle w:val="Heading1"/>
      </w:pPr>
      <w:r w:rsidRPr="000B1D57">
        <w:t xml:space="preserve">The Executive Committee may wish </w:t>
      </w:r>
      <w:r w:rsidR="00EB35CC" w:rsidRPr="000B1D57">
        <w:t>to request relevant bilateral and implementing agencies to include in their amendments to their respective work programmes, due for submission to the 84</w:t>
      </w:r>
      <w:r w:rsidR="00EB35CC" w:rsidRPr="000B1D57">
        <w:rPr>
          <w:vertAlign w:val="superscript"/>
        </w:rPr>
        <w:t>th</w:t>
      </w:r>
      <w:r w:rsidR="008B0F8E" w:rsidRPr="000B1D57">
        <w:t> </w:t>
      </w:r>
      <w:r w:rsidR="00EB35CC" w:rsidRPr="000B1D57">
        <w:t>meeting, funding, in the amount of US $30,000, plus agency support costs, for verification reports for stage</w:t>
      </w:r>
      <w:r w:rsidR="008B0F8E" w:rsidRPr="000B1D57">
        <w:t> </w:t>
      </w:r>
      <w:r w:rsidR="00EB35CC" w:rsidRPr="000B1D57">
        <w:t xml:space="preserve">I of the HPMPs for </w:t>
      </w:r>
      <w:r w:rsidR="00FF459D" w:rsidRPr="000B1D57">
        <w:t>Burkina Faso, Cambodia, Cook Islands, Guatemala, Honduras, Kiribati, Lesotho, Marshall Islands, Micronesia (Federated States of), Montenegro, Nauru, Niue, South Sudan, Tuvalu and Vanuatu</w:t>
      </w:r>
      <w:r w:rsidR="00EB35CC" w:rsidRPr="000B1D57">
        <w:t>, and for verification reports for stage</w:t>
      </w:r>
      <w:r w:rsidR="008B0F8E" w:rsidRPr="000B1D57">
        <w:t> </w:t>
      </w:r>
      <w:r w:rsidR="00EB35CC" w:rsidRPr="000B1D57">
        <w:t>II of the HPMP</w:t>
      </w:r>
      <w:r w:rsidR="005B09D7" w:rsidRPr="000B1D57">
        <w:t>s</w:t>
      </w:r>
      <w:r w:rsidR="00EB35CC" w:rsidRPr="000B1D57">
        <w:t xml:space="preserve"> for Angola</w:t>
      </w:r>
      <w:r w:rsidR="00FF459D" w:rsidRPr="000B1D57">
        <w:t xml:space="preserve"> and Armenia</w:t>
      </w:r>
      <w:r w:rsidR="00EF01D2" w:rsidRPr="000B1D57">
        <w:t>.</w:t>
      </w:r>
    </w:p>
    <w:bookmarkEnd w:id="3"/>
    <w:p w14:paraId="7289AC0E" w14:textId="51686EA3" w:rsidR="00802668" w:rsidRPr="000B1D57" w:rsidRDefault="00802668" w:rsidP="00084F0B">
      <w:pPr>
        <w:pStyle w:val="Heading1"/>
        <w:rPr>
          <w:snapToGrid w:val="0"/>
        </w:rPr>
      </w:pPr>
      <w:r w:rsidRPr="000B1D57">
        <w:rPr>
          <w:snapToGrid w:val="0"/>
        </w:rPr>
        <w:t>Annex</w:t>
      </w:r>
      <w:r w:rsidR="00565CA6" w:rsidRPr="000B1D57">
        <w:rPr>
          <w:snapToGrid w:val="0"/>
        </w:rPr>
        <w:t> </w:t>
      </w:r>
      <w:r w:rsidR="00A572DF" w:rsidRPr="000B1D57">
        <w:rPr>
          <w:snapToGrid w:val="0"/>
        </w:rPr>
        <w:t>I</w:t>
      </w:r>
      <w:r w:rsidRPr="000B1D57">
        <w:rPr>
          <w:snapToGrid w:val="0"/>
        </w:rPr>
        <w:t xml:space="preserve"> to the present document lists </w:t>
      </w:r>
      <w:r w:rsidR="00481311" w:rsidRPr="000B1D57">
        <w:rPr>
          <w:snapToGrid w:val="0"/>
        </w:rPr>
        <w:t>72</w:t>
      </w:r>
      <w:r w:rsidR="00565CA6" w:rsidRPr="000B1D57">
        <w:rPr>
          <w:snapToGrid w:val="0"/>
        </w:rPr>
        <w:t> </w:t>
      </w:r>
      <w:r w:rsidRPr="000B1D57">
        <w:rPr>
          <w:snapToGrid w:val="0"/>
        </w:rPr>
        <w:t>projects and activities totalling US $</w:t>
      </w:r>
      <w:r w:rsidR="00481311" w:rsidRPr="000B1D57">
        <w:rPr>
          <w:snapToGrid w:val="0"/>
        </w:rPr>
        <w:t>8,</w:t>
      </w:r>
      <w:r w:rsidR="004E691E">
        <w:rPr>
          <w:snapToGrid w:val="0"/>
        </w:rPr>
        <w:t>576</w:t>
      </w:r>
      <w:r w:rsidR="00481311" w:rsidRPr="000B1D57">
        <w:rPr>
          <w:snapToGrid w:val="0"/>
        </w:rPr>
        <w:t>,</w:t>
      </w:r>
      <w:r w:rsidR="004E691E">
        <w:rPr>
          <w:snapToGrid w:val="0"/>
        </w:rPr>
        <w:t>869</w:t>
      </w:r>
      <w:r w:rsidR="005B09D7" w:rsidRPr="000B1D57">
        <w:rPr>
          <w:snapToGrid w:val="0"/>
        </w:rPr>
        <w:t>,</w:t>
      </w:r>
      <w:r w:rsidRPr="000B1D57">
        <w:rPr>
          <w:snapToGrid w:val="0"/>
        </w:rPr>
        <w:t xml:space="preserve"> including agency support costs</w:t>
      </w:r>
      <w:r w:rsidR="005B09D7" w:rsidRPr="000B1D57">
        <w:rPr>
          <w:snapToGrid w:val="0"/>
        </w:rPr>
        <w:t>,</w:t>
      </w:r>
      <w:r w:rsidRPr="000B1D57">
        <w:rPr>
          <w:snapToGrid w:val="0"/>
        </w:rPr>
        <w:t xml:space="preserve"> that are recommended for blanket approval. The approval of these projects would include the relevant conditions or provisions in the corresponding project evaluation sheets</w:t>
      </w:r>
      <w:r w:rsidR="00565CA6" w:rsidRPr="000B1D57">
        <w:rPr>
          <w:snapToGrid w:val="0"/>
        </w:rPr>
        <w:t>,</w:t>
      </w:r>
      <w:r w:rsidRPr="000B1D57">
        <w:rPr>
          <w:snapToGrid w:val="0"/>
        </w:rPr>
        <w:t xml:space="preserve"> as well as the approval of implementation programmes associated with the relevant tranches of multi</w:t>
      </w:r>
      <w:r w:rsidRPr="000B1D57">
        <w:rPr>
          <w:snapToGrid w:val="0"/>
        </w:rPr>
        <w:noBreakHyphen/>
        <w:t>year projects.</w:t>
      </w:r>
    </w:p>
    <w:p w14:paraId="269A901F" w14:textId="77777777" w:rsidR="00802668" w:rsidRPr="000B1D57" w:rsidRDefault="00802668" w:rsidP="00084F0B">
      <w:pPr>
        <w:widowControl w:val="0"/>
        <w:spacing w:after="240"/>
        <w:outlineLvl w:val="0"/>
        <w:rPr>
          <w:b/>
          <w:bCs/>
          <w:szCs w:val="28"/>
        </w:rPr>
      </w:pPr>
      <w:r w:rsidRPr="000B1D57">
        <w:rPr>
          <w:b/>
          <w:bCs/>
          <w:szCs w:val="28"/>
        </w:rPr>
        <w:t>Investment projects for individual consideration</w:t>
      </w:r>
    </w:p>
    <w:p w14:paraId="33FEEA89" w14:textId="214C3115" w:rsidR="005B09D7" w:rsidRPr="000B1D57" w:rsidRDefault="00FF39CA" w:rsidP="00084F0B">
      <w:pPr>
        <w:pStyle w:val="Heading1"/>
        <w:rPr>
          <w:strike/>
        </w:rPr>
      </w:pPr>
      <w:r w:rsidRPr="000B1D57">
        <w:t>Sixteen</w:t>
      </w:r>
      <w:r w:rsidR="00802668" w:rsidRPr="000B1D57">
        <w:rPr>
          <w:snapToGrid w:val="0"/>
        </w:rPr>
        <w:t xml:space="preserve"> projects/activities totalling US $</w:t>
      </w:r>
      <w:r w:rsidRPr="000B1D57">
        <w:rPr>
          <w:snapToGrid w:val="0"/>
        </w:rPr>
        <w:t>59,492,567</w:t>
      </w:r>
      <w:r w:rsidR="005B09D7" w:rsidRPr="000B1D57">
        <w:rPr>
          <w:snapToGrid w:val="0"/>
        </w:rPr>
        <w:t>,</w:t>
      </w:r>
      <w:r w:rsidR="00802668" w:rsidRPr="000B1D57">
        <w:rPr>
          <w:snapToGrid w:val="0"/>
        </w:rPr>
        <w:t xml:space="preserve"> including agency support costs, </w:t>
      </w:r>
      <w:r w:rsidR="00802668" w:rsidRPr="000B1D57">
        <w:t>of which US $</w:t>
      </w:r>
      <w:r w:rsidRPr="000B1D57">
        <w:t>31,619,787</w:t>
      </w:r>
      <w:r w:rsidR="005B09D7" w:rsidRPr="000B1D57">
        <w:t>,</w:t>
      </w:r>
      <w:r w:rsidR="00802668" w:rsidRPr="000B1D57">
        <w:t xml:space="preserve"> </w:t>
      </w:r>
      <w:r w:rsidR="005B09D7" w:rsidRPr="000B1D57">
        <w:t xml:space="preserve">including agency support costs, </w:t>
      </w:r>
      <w:r w:rsidR="00802668" w:rsidRPr="000B1D57">
        <w:t xml:space="preserve">is for the </w:t>
      </w:r>
      <w:r w:rsidR="00481311" w:rsidRPr="000B1D57">
        <w:t>third</w:t>
      </w:r>
      <w:r w:rsidR="00802668" w:rsidRPr="000B1D57">
        <w:t xml:space="preserve"> tranche</w:t>
      </w:r>
      <w:r w:rsidR="00884806" w:rsidRPr="000B1D57">
        <w:t>s</w:t>
      </w:r>
      <w:r w:rsidR="00802668" w:rsidRPr="000B1D57">
        <w:t xml:space="preserve"> of </w:t>
      </w:r>
      <w:r w:rsidR="00884806" w:rsidRPr="000B1D57">
        <w:t>the XPS foam, ICR, solvents and refrigeration servicing sector</w:t>
      </w:r>
      <w:r w:rsidR="002F4D0D" w:rsidRPr="000B1D57">
        <w:rPr>
          <w:rStyle w:val="FootnoteReference"/>
        </w:rPr>
        <w:footnoteReference w:id="7"/>
      </w:r>
      <w:r w:rsidR="00884806" w:rsidRPr="000B1D57">
        <w:t xml:space="preserve"> plans of </w:t>
      </w:r>
      <w:r w:rsidR="00802668" w:rsidRPr="000B1D57">
        <w:t>stage II of the HPMP for China, and US $</w:t>
      </w:r>
      <w:r w:rsidRPr="000B1D57">
        <w:t>25,138,537</w:t>
      </w:r>
      <w:r w:rsidR="005B09D7" w:rsidRPr="000B1D57">
        <w:t xml:space="preserve">, </w:t>
      </w:r>
      <w:r w:rsidR="005B09D7" w:rsidRPr="000B1D57">
        <w:rPr>
          <w:snapToGrid w:val="0"/>
        </w:rPr>
        <w:t>including agency support costs,</w:t>
      </w:r>
      <w:r w:rsidR="00802668" w:rsidRPr="000B1D57">
        <w:t xml:space="preserve"> f</w:t>
      </w:r>
      <w:r w:rsidR="005B09D7" w:rsidRPr="000B1D57">
        <w:t xml:space="preserve">or the first tranche of </w:t>
      </w:r>
      <w:r w:rsidR="00802668" w:rsidRPr="000B1D57">
        <w:t xml:space="preserve">stage II </w:t>
      </w:r>
      <w:r w:rsidR="005B09D7" w:rsidRPr="000B1D57">
        <w:t xml:space="preserve">of the </w:t>
      </w:r>
      <w:r w:rsidR="00802668" w:rsidRPr="000B1D57">
        <w:t>HPPMP</w:t>
      </w:r>
      <w:r w:rsidR="00802668" w:rsidRPr="000B1D57">
        <w:rPr>
          <w:snapToGrid w:val="0"/>
        </w:rPr>
        <w:t xml:space="preserve"> </w:t>
      </w:r>
      <w:r w:rsidR="005B09D7" w:rsidRPr="000B1D57">
        <w:rPr>
          <w:snapToGrid w:val="0"/>
        </w:rPr>
        <w:t xml:space="preserve">for China </w:t>
      </w:r>
      <w:r w:rsidR="00802668" w:rsidRPr="000B1D57">
        <w:rPr>
          <w:snapToGrid w:val="0"/>
        </w:rPr>
        <w:t>(US $</w:t>
      </w:r>
      <w:r w:rsidR="00606AD1" w:rsidRPr="000B1D57">
        <w:rPr>
          <w:snapToGrid w:val="0"/>
        </w:rPr>
        <w:t>109,769,643</w:t>
      </w:r>
      <w:r w:rsidR="00802668" w:rsidRPr="000B1D57">
        <w:rPr>
          <w:snapToGrid w:val="0"/>
        </w:rPr>
        <w:t xml:space="preserve"> including amount requested in principle, of which US $</w:t>
      </w:r>
      <w:r w:rsidR="00606AD1" w:rsidRPr="000B1D57">
        <w:rPr>
          <w:snapToGrid w:val="0"/>
        </w:rPr>
        <w:t>75,415,613</w:t>
      </w:r>
      <w:r w:rsidR="00802668" w:rsidRPr="000B1D57">
        <w:rPr>
          <w:snapToGrid w:val="0"/>
        </w:rPr>
        <w:t xml:space="preserve"> is for </w:t>
      </w:r>
      <w:r w:rsidR="005B09D7" w:rsidRPr="000B1D57">
        <w:t>the</w:t>
      </w:r>
      <w:r w:rsidR="00802668" w:rsidRPr="000B1D57">
        <w:rPr>
          <w:snapToGrid w:val="0"/>
        </w:rPr>
        <w:t xml:space="preserve"> HPPMP</w:t>
      </w:r>
      <w:r w:rsidR="005B09D7" w:rsidRPr="000B1D57">
        <w:rPr>
          <w:snapToGrid w:val="0"/>
        </w:rPr>
        <w:t xml:space="preserve"> for China</w:t>
      </w:r>
      <w:r w:rsidR="00802668" w:rsidRPr="000B1D57">
        <w:rPr>
          <w:snapToGrid w:val="0"/>
        </w:rPr>
        <w:t xml:space="preserve">), after the review by the Secretariat, are proposed for individual consideration. </w:t>
      </w:r>
    </w:p>
    <w:p w14:paraId="1297B2A2" w14:textId="1065FF46" w:rsidR="00802668" w:rsidRPr="000B1D57" w:rsidRDefault="00802668" w:rsidP="00084F0B">
      <w:pPr>
        <w:pStyle w:val="Heading1"/>
        <w:rPr>
          <w:strike/>
        </w:rPr>
      </w:pPr>
      <w:r w:rsidRPr="000B1D57">
        <w:rPr>
          <w:snapToGrid w:val="0"/>
        </w:rPr>
        <w:t xml:space="preserve">To facilitate the Executive Committee’s consideration of the investment projects for individual consideration, the Secretariat has classified the projects by sector, and has grouped them according to the issues, as shown in Table </w:t>
      </w:r>
      <w:r w:rsidR="00135C79" w:rsidRPr="000B1D57">
        <w:rPr>
          <w:snapToGrid w:val="0"/>
        </w:rPr>
        <w:t>2.</w:t>
      </w:r>
    </w:p>
    <w:p w14:paraId="60AC9B42" w14:textId="0C9719A3" w:rsidR="00802668" w:rsidRPr="000B1D57" w:rsidRDefault="00802668" w:rsidP="00084F0B">
      <w:pPr>
        <w:pStyle w:val="Heading1"/>
        <w:keepNext/>
        <w:numPr>
          <w:ilvl w:val="0"/>
          <w:numId w:val="0"/>
        </w:numPr>
        <w:spacing w:after="0"/>
        <w:rPr>
          <w:b/>
          <w:snapToGrid w:val="0"/>
        </w:rPr>
      </w:pPr>
      <w:r w:rsidRPr="000B1D57">
        <w:rPr>
          <w:b/>
          <w:snapToGrid w:val="0"/>
        </w:rPr>
        <w:lastRenderedPageBreak/>
        <w:t xml:space="preserve">Table </w:t>
      </w:r>
      <w:r w:rsidR="00135C79" w:rsidRPr="000B1D57">
        <w:rPr>
          <w:b/>
          <w:snapToGrid w:val="0"/>
        </w:rPr>
        <w:t>2</w:t>
      </w:r>
      <w:r w:rsidRPr="000B1D57">
        <w:rPr>
          <w:b/>
          <w:snapToGrid w:val="0"/>
        </w:rPr>
        <w:t>. Investment projects submitted for individual consideration</w:t>
      </w:r>
    </w:p>
    <w:tbl>
      <w:tblPr>
        <w:tblStyle w:val="TableGrid"/>
        <w:tblW w:w="9356" w:type="dxa"/>
        <w:tblInd w:w="-5" w:type="dxa"/>
        <w:tblLayout w:type="fixed"/>
        <w:tblLook w:val="04A0" w:firstRow="1" w:lastRow="0" w:firstColumn="1" w:lastColumn="0" w:noHBand="0" w:noVBand="1"/>
      </w:tblPr>
      <w:tblGrid>
        <w:gridCol w:w="1560"/>
        <w:gridCol w:w="2693"/>
        <w:gridCol w:w="1559"/>
        <w:gridCol w:w="1116"/>
        <w:gridCol w:w="18"/>
        <w:gridCol w:w="2410"/>
      </w:tblGrid>
      <w:tr w:rsidR="00802668" w:rsidRPr="000B1D57" w14:paraId="050E4194" w14:textId="77777777" w:rsidTr="005B09D7">
        <w:trPr>
          <w:tblHeader/>
        </w:trPr>
        <w:tc>
          <w:tcPr>
            <w:tcW w:w="1560" w:type="dxa"/>
            <w:vAlign w:val="center"/>
          </w:tcPr>
          <w:p w14:paraId="58CD2BD6" w14:textId="77777777" w:rsidR="00802668" w:rsidRPr="000B1D57" w:rsidRDefault="00802668" w:rsidP="00084F0B">
            <w:pPr>
              <w:keepNext/>
              <w:jc w:val="center"/>
              <w:rPr>
                <w:b/>
                <w:sz w:val="20"/>
                <w:szCs w:val="20"/>
              </w:rPr>
            </w:pPr>
            <w:r w:rsidRPr="000B1D57">
              <w:rPr>
                <w:b/>
                <w:sz w:val="20"/>
                <w:szCs w:val="20"/>
              </w:rPr>
              <w:t>Country</w:t>
            </w:r>
          </w:p>
        </w:tc>
        <w:tc>
          <w:tcPr>
            <w:tcW w:w="2693" w:type="dxa"/>
            <w:vAlign w:val="center"/>
          </w:tcPr>
          <w:p w14:paraId="52178A0E" w14:textId="77777777" w:rsidR="00802668" w:rsidRPr="000B1D57" w:rsidRDefault="00802668" w:rsidP="00084F0B">
            <w:pPr>
              <w:keepNext/>
              <w:jc w:val="center"/>
              <w:rPr>
                <w:b/>
                <w:sz w:val="20"/>
                <w:szCs w:val="20"/>
              </w:rPr>
            </w:pPr>
            <w:r w:rsidRPr="000B1D57">
              <w:rPr>
                <w:b/>
                <w:sz w:val="20"/>
                <w:szCs w:val="20"/>
              </w:rPr>
              <w:t>Project</w:t>
            </w:r>
          </w:p>
        </w:tc>
        <w:tc>
          <w:tcPr>
            <w:tcW w:w="1559" w:type="dxa"/>
            <w:vAlign w:val="center"/>
          </w:tcPr>
          <w:p w14:paraId="6C1828B4" w14:textId="77777777" w:rsidR="00802668" w:rsidRPr="000B1D57" w:rsidRDefault="00802668" w:rsidP="00084F0B">
            <w:pPr>
              <w:keepNext/>
              <w:jc w:val="center"/>
              <w:rPr>
                <w:b/>
                <w:sz w:val="20"/>
                <w:szCs w:val="20"/>
              </w:rPr>
            </w:pPr>
            <w:r w:rsidRPr="000B1D57">
              <w:rPr>
                <w:b/>
                <w:sz w:val="20"/>
                <w:szCs w:val="20"/>
              </w:rPr>
              <w:t>Agency</w:t>
            </w:r>
          </w:p>
        </w:tc>
        <w:tc>
          <w:tcPr>
            <w:tcW w:w="1116" w:type="dxa"/>
            <w:vAlign w:val="center"/>
          </w:tcPr>
          <w:p w14:paraId="75DE77A0" w14:textId="77777777" w:rsidR="00802668" w:rsidRPr="000B1D57" w:rsidRDefault="00326616" w:rsidP="00084F0B">
            <w:pPr>
              <w:keepNext/>
              <w:jc w:val="center"/>
              <w:rPr>
                <w:b/>
                <w:sz w:val="20"/>
                <w:szCs w:val="20"/>
              </w:rPr>
            </w:pPr>
            <w:proofErr w:type="spellStart"/>
            <w:r w:rsidRPr="000B1D57">
              <w:rPr>
                <w:b/>
                <w:sz w:val="20"/>
                <w:szCs w:val="20"/>
              </w:rPr>
              <w:t>ExCom</w:t>
            </w:r>
            <w:proofErr w:type="spellEnd"/>
            <w:r w:rsidRPr="000B1D57">
              <w:rPr>
                <w:b/>
                <w:sz w:val="20"/>
                <w:szCs w:val="20"/>
              </w:rPr>
              <w:t xml:space="preserve"> document number</w:t>
            </w:r>
          </w:p>
        </w:tc>
        <w:tc>
          <w:tcPr>
            <w:tcW w:w="2428" w:type="dxa"/>
            <w:gridSpan w:val="2"/>
            <w:vAlign w:val="center"/>
          </w:tcPr>
          <w:p w14:paraId="72A0273D" w14:textId="77777777" w:rsidR="00802668" w:rsidRPr="000B1D57" w:rsidRDefault="00802668" w:rsidP="00084F0B">
            <w:pPr>
              <w:keepNext/>
              <w:jc w:val="center"/>
              <w:rPr>
                <w:b/>
                <w:sz w:val="20"/>
                <w:szCs w:val="20"/>
              </w:rPr>
            </w:pPr>
            <w:r w:rsidRPr="000B1D57">
              <w:rPr>
                <w:b/>
                <w:sz w:val="20"/>
                <w:szCs w:val="20"/>
              </w:rPr>
              <w:t>Issue</w:t>
            </w:r>
          </w:p>
        </w:tc>
      </w:tr>
      <w:tr w:rsidR="00802668" w:rsidRPr="000B1D57" w14:paraId="04495C39" w14:textId="77777777" w:rsidTr="00E34A56">
        <w:trPr>
          <w:trHeight w:val="47"/>
        </w:trPr>
        <w:tc>
          <w:tcPr>
            <w:tcW w:w="9356" w:type="dxa"/>
            <w:gridSpan w:val="6"/>
            <w:vAlign w:val="center"/>
          </w:tcPr>
          <w:p w14:paraId="1B5E1B48" w14:textId="77777777" w:rsidR="00802668" w:rsidRPr="000B1D57" w:rsidRDefault="00802668" w:rsidP="00084F0B">
            <w:pPr>
              <w:keepNext/>
              <w:jc w:val="left"/>
              <w:rPr>
                <w:sz w:val="20"/>
                <w:szCs w:val="20"/>
              </w:rPr>
            </w:pPr>
            <w:r w:rsidRPr="000B1D57">
              <w:rPr>
                <w:b/>
                <w:sz w:val="20"/>
                <w:szCs w:val="20"/>
              </w:rPr>
              <w:t>Tranche request of stage I, stage II HPMP</w:t>
            </w:r>
          </w:p>
        </w:tc>
      </w:tr>
      <w:tr w:rsidR="00DE79D8" w:rsidRPr="000B1D57" w14:paraId="1255F4B4" w14:textId="77777777" w:rsidTr="00F04F05">
        <w:tc>
          <w:tcPr>
            <w:tcW w:w="1560" w:type="dxa"/>
            <w:tcBorders>
              <w:top w:val="single" w:sz="4" w:space="0" w:color="auto"/>
              <w:left w:val="single" w:sz="4" w:space="0" w:color="auto"/>
              <w:bottom w:val="single" w:sz="4" w:space="0" w:color="auto"/>
              <w:right w:val="single" w:sz="4" w:space="0" w:color="auto"/>
            </w:tcBorders>
          </w:tcPr>
          <w:p w14:paraId="0D6399A1" w14:textId="77777777" w:rsidR="00DE79D8" w:rsidRPr="000B1D57" w:rsidRDefault="00DE79D8" w:rsidP="00084F0B">
            <w:pPr>
              <w:widowControl w:val="0"/>
              <w:jc w:val="left"/>
              <w:rPr>
                <w:sz w:val="20"/>
                <w:szCs w:val="20"/>
              </w:rPr>
            </w:pPr>
            <w:r w:rsidRPr="000B1D57">
              <w:rPr>
                <w:sz w:val="20"/>
                <w:szCs w:val="20"/>
              </w:rPr>
              <w:t>China</w:t>
            </w:r>
          </w:p>
        </w:tc>
        <w:tc>
          <w:tcPr>
            <w:tcW w:w="2693" w:type="dxa"/>
            <w:tcBorders>
              <w:top w:val="single" w:sz="4" w:space="0" w:color="auto"/>
              <w:left w:val="single" w:sz="4" w:space="0" w:color="auto"/>
              <w:bottom w:val="single" w:sz="4" w:space="0" w:color="auto"/>
              <w:right w:val="single" w:sz="4" w:space="0" w:color="auto"/>
            </w:tcBorders>
          </w:tcPr>
          <w:p w14:paraId="41095B54" w14:textId="77777777" w:rsidR="00DE79D8" w:rsidRPr="000B1D57" w:rsidRDefault="00DE79D8" w:rsidP="00084F0B">
            <w:pPr>
              <w:widowControl w:val="0"/>
              <w:jc w:val="left"/>
              <w:rPr>
                <w:sz w:val="20"/>
                <w:szCs w:val="20"/>
              </w:rPr>
            </w:pPr>
            <w:r w:rsidRPr="000B1D57">
              <w:rPr>
                <w:sz w:val="20"/>
                <w:szCs w:val="20"/>
              </w:rPr>
              <w:t>HCFC phase-out management plan (stage I, annual progress reports)</w:t>
            </w:r>
          </w:p>
          <w:p w14:paraId="1F0174F1" w14:textId="77777777" w:rsidR="00DE79D8" w:rsidRPr="000B1D57" w:rsidRDefault="00DE79D8" w:rsidP="00084F0B">
            <w:pPr>
              <w:widowControl w:val="0"/>
              <w:jc w:val="left"/>
              <w:rPr>
                <w:sz w:val="20"/>
                <w:szCs w:val="20"/>
              </w:rPr>
            </w:pPr>
            <w:r w:rsidRPr="000B1D57">
              <w:rPr>
                <w:sz w:val="20"/>
                <w:szCs w:val="20"/>
              </w:rPr>
              <w:t>Room Air-Conditioning</w:t>
            </w:r>
          </w:p>
        </w:tc>
        <w:tc>
          <w:tcPr>
            <w:tcW w:w="1559" w:type="dxa"/>
            <w:tcBorders>
              <w:top w:val="single" w:sz="4" w:space="0" w:color="auto"/>
              <w:left w:val="single" w:sz="4" w:space="0" w:color="auto"/>
              <w:bottom w:val="single" w:sz="4" w:space="0" w:color="auto"/>
              <w:right w:val="single" w:sz="4" w:space="0" w:color="auto"/>
            </w:tcBorders>
            <w:tcMar>
              <w:left w:w="29" w:type="dxa"/>
              <w:right w:w="0" w:type="dxa"/>
            </w:tcMar>
          </w:tcPr>
          <w:p w14:paraId="15F009B6" w14:textId="77777777" w:rsidR="00DE79D8" w:rsidRPr="000B1D57" w:rsidRDefault="00DE79D8" w:rsidP="00084F0B">
            <w:pPr>
              <w:widowControl w:val="0"/>
              <w:jc w:val="left"/>
              <w:rPr>
                <w:sz w:val="20"/>
                <w:szCs w:val="20"/>
              </w:rPr>
            </w:pPr>
            <w:r w:rsidRPr="000B1D57">
              <w:rPr>
                <w:sz w:val="20"/>
                <w:szCs w:val="20"/>
              </w:rPr>
              <w:t>UNIDO</w:t>
            </w:r>
          </w:p>
        </w:tc>
        <w:tc>
          <w:tcPr>
            <w:tcW w:w="1134" w:type="dxa"/>
            <w:gridSpan w:val="2"/>
            <w:tcBorders>
              <w:top w:val="single" w:sz="4" w:space="0" w:color="auto"/>
              <w:left w:val="single" w:sz="4" w:space="0" w:color="auto"/>
              <w:bottom w:val="single" w:sz="4" w:space="0" w:color="auto"/>
              <w:right w:val="single" w:sz="4" w:space="0" w:color="auto"/>
            </w:tcBorders>
          </w:tcPr>
          <w:p w14:paraId="34B13B86" w14:textId="77777777" w:rsidR="00DE79D8" w:rsidRPr="000B1D57" w:rsidRDefault="00DE79D8" w:rsidP="00E34A56">
            <w:pPr>
              <w:widowControl w:val="0"/>
              <w:jc w:val="center"/>
              <w:rPr>
                <w:sz w:val="20"/>
                <w:szCs w:val="20"/>
              </w:rPr>
            </w:pPr>
            <w:r w:rsidRPr="000B1D57">
              <w:rPr>
                <w:sz w:val="20"/>
                <w:szCs w:val="20"/>
              </w:rPr>
              <w:t>83/22</w:t>
            </w:r>
          </w:p>
        </w:tc>
        <w:tc>
          <w:tcPr>
            <w:tcW w:w="2410" w:type="dxa"/>
            <w:tcBorders>
              <w:top w:val="single" w:sz="4" w:space="0" w:color="auto"/>
              <w:left w:val="single" w:sz="4" w:space="0" w:color="auto"/>
              <w:bottom w:val="single" w:sz="4" w:space="0" w:color="auto"/>
              <w:right w:val="single" w:sz="4" w:space="0" w:color="auto"/>
            </w:tcBorders>
          </w:tcPr>
          <w:p w14:paraId="0E454432" w14:textId="6364887F" w:rsidR="00DE79D8" w:rsidRPr="000B1D57" w:rsidRDefault="00E94525" w:rsidP="00084F0B">
            <w:pPr>
              <w:widowControl w:val="0"/>
              <w:jc w:val="left"/>
              <w:rPr>
                <w:sz w:val="20"/>
                <w:szCs w:val="20"/>
              </w:rPr>
            </w:pPr>
            <w:r w:rsidRPr="000B1D57">
              <w:rPr>
                <w:sz w:val="20"/>
                <w:szCs w:val="20"/>
              </w:rPr>
              <w:t>Proposed scheme to allocate IOCs</w:t>
            </w:r>
          </w:p>
        </w:tc>
      </w:tr>
      <w:tr w:rsidR="00DE79D8" w:rsidRPr="000B1D57" w14:paraId="624A944E" w14:textId="77777777" w:rsidTr="00F04F05">
        <w:tc>
          <w:tcPr>
            <w:tcW w:w="1560" w:type="dxa"/>
            <w:tcBorders>
              <w:top w:val="single" w:sz="4" w:space="0" w:color="auto"/>
              <w:left w:val="single" w:sz="4" w:space="0" w:color="auto"/>
              <w:bottom w:val="single" w:sz="4" w:space="0" w:color="auto"/>
              <w:right w:val="single" w:sz="4" w:space="0" w:color="auto"/>
            </w:tcBorders>
          </w:tcPr>
          <w:p w14:paraId="06995C42" w14:textId="77777777" w:rsidR="00DE79D8" w:rsidRPr="000B1D57" w:rsidRDefault="00DE79D8" w:rsidP="00084F0B">
            <w:pPr>
              <w:widowControl w:val="0"/>
              <w:jc w:val="left"/>
              <w:rPr>
                <w:sz w:val="20"/>
                <w:szCs w:val="20"/>
              </w:rPr>
            </w:pPr>
            <w:r w:rsidRPr="000B1D57">
              <w:rPr>
                <w:sz w:val="20"/>
                <w:szCs w:val="20"/>
              </w:rPr>
              <w:t>China (Overarching)</w:t>
            </w:r>
          </w:p>
        </w:tc>
        <w:tc>
          <w:tcPr>
            <w:tcW w:w="2693" w:type="dxa"/>
            <w:tcBorders>
              <w:top w:val="single" w:sz="4" w:space="0" w:color="auto"/>
              <w:left w:val="single" w:sz="4" w:space="0" w:color="auto"/>
              <w:bottom w:val="single" w:sz="4" w:space="0" w:color="auto"/>
              <w:right w:val="single" w:sz="4" w:space="0" w:color="auto"/>
            </w:tcBorders>
          </w:tcPr>
          <w:p w14:paraId="447512AA" w14:textId="77777777" w:rsidR="00DE79D8" w:rsidRPr="000B1D57" w:rsidRDefault="00DE79D8" w:rsidP="00084F0B">
            <w:pPr>
              <w:widowControl w:val="0"/>
              <w:jc w:val="left"/>
              <w:rPr>
                <w:sz w:val="20"/>
                <w:szCs w:val="20"/>
              </w:rPr>
            </w:pPr>
            <w:r w:rsidRPr="000B1D57">
              <w:rPr>
                <w:sz w:val="20"/>
                <w:szCs w:val="20"/>
              </w:rPr>
              <w:t>HCFC phase-out management plan (stage II)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5A59D08F" w14:textId="77777777" w:rsidR="00DE79D8" w:rsidRPr="000B1D57" w:rsidRDefault="00DE79D8" w:rsidP="00084F0B">
            <w:pPr>
              <w:widowControl w:val="0"/>
              <w:jc w:val="left"/>
              <w:rPr>
                <w:sz w:val="20"/>
                <w:szCs w:val="20"/>
                <w:lang w:eastAsia="en-CA"/>
              </w:rPr>
            </w:pPr>
            <w:r w:rsidRPr="000B1D57">
              <w:rPr>
                <w:sz w:val="20"/>
                <w:szCs w:val="20"/>
                <w:lang w:eastAsia="en-CA"/>
              </w:rPr>
              <w:t>UNDP/UNEP/ UNIDO/World Bank/Germany/ Japan</w:t>
            </w:r>
          </w:p>
        </w:tc>
        <w:tc>
          <w:tcPr>
            <w:tcW w:w="1134" w:type="dxa"/>
            <w:gridSpan w:val="2"/>
            <w:tcBorders>
              <w:top w:val="single" w:sz="4" w:space="0" w:color="auto"/>
              <w:left w:val="single" w:sz="4" w:space="0" w:color="auto"/>
              <w:bottom w:val="single" w:sz="4" w:space="0" w:color="auto"/>
              <w:right w:val="single" w:sz="4" w:space="0" w:color="auto"/>
            </w:tcBorders>
          </w:tcPr>
          <w:p w14:paraId="42A2DEC2" w14:textId="77777777" w:rsidR="00DE79D8" w:rsidRPr="000B1D57" w:rsidRDefault="00DE79D8" w:rsidP="00E34A56">
            <w:pPr>
              <w:jc w:val="center"/>
            </w:pPr>
            <w:r w:rsidRPr="000B1D57">
              <w:rPr>
                <w:sz w:val="20"/>
                <w:szCs w:val="20"/>
              </w:rPr>
              <w:t>83/22</w:t>
            </w:r>
          </w:p>
        </w:tc>
        <w:tc>
          <w:tcPr>
            <w:tcW w:w="2410" w:type="dxa"/>
            <w:tcBorders>
              <w:top w:val="single" w:sz="4" w:space="0" w:color="auto"/>
              <w:left w:val="single" w:sz="4" w:space="0" w:color="auto"/>
              <w:bottom w:val="single" w:sz="4" w:space="0" w:color="auto"/>
              <w:right w:val="single" w:sz="4" w:space="0" w:color="auto"/>
            </w:tcBorders>
          </w:tcPr>
          <w:p w14:paraId="7D488606" w14:textId="77777777" w:rsidR="00DE79D8" w:rsidRPr="000B1D57" w:rsidRDefault="00DE79D8" w:rsidP="00084F0B">
            <w:pPr>
              <w:widowControl w:val="0"/>
              <w:jc w:val="left"/>
              <w:rPr>
                <w:sz w:val="20"/>
                <w:szCs w:val="20"/>
                <w:lang w:val="en-CA"/>
              </w:rPr>
            </w:pPr>
            <w:r w:rsidRPr="000B1D57">
              <w:rPr>
                <w:sz w:val="20"/>
                <w:szCs w:val="20"/>
                <w:lang w:val="en-CA"/>
              </w:rPr>
              <w:t>Revision of the Agreement (decision 81/45)</w:t>
            </w:r>
          </w:p>
        </w:tc>
      </w:tr>
      <w:tr w:rsidR="00DE79D8" w:rsidRPr="000B1D57" w14:paraId="1DF93A1C" w14:textId="77777777" w:rsidTr="00F04F05">
        <w:tc>
          <w:tcPr>
            <w:tcW w:w="1560" w:type="dxa"/>
            <w:tcBorders>
              <w:top w:val="single" w:sz="4" w:space="0" w:color="auto"/>
              <w:left w:val="single" w:sz="4" w:space="0" w:color="auto"/>
              <w:bottom w:val="single" w:sz="4" w:space="0" w:color="auto"/>
              <w:right w:val="single" w:sz="4" w:space="0" w:color="auto"/>
            </w:tcBorders>
          </w:tcPr>
          <w:p w14:paraId="6228658D" w14:textId="77777777" w:rsidR="00DE79D8" w:rsidRPr="000B1D57" w:rsidRDefault="00DE79D8" w:rsidP="00084F0B">
            <w:pPr>
              <w:keepNext/>
              <w:jc w:val="left"/>
              <w:rPr>
                <w:sz w:val="20"/>
                <w:szCs w:val="20"/>
              </w:rPr>
            </w:pPr>
            <w:r w:rsidRPr="000B1D57">
              <w:rPr>
                <w:sz w:val="20"/>
                <w:szCs w:val="20"/>
              </w:rPr>
              <w:t xml:space="preserve">China </w:t>
            </w:r>
          </w:p>
          <w:p w14:paraId="42CCBDAC" w14:textId="77777777" w:rsidR="00DE79D8" w:rsidRPr="000B1D57" w:rsidRDefault="00DE79D8" w:rsidP="00084F0B">
            <w:pPr>
              <w:keepNext/>
              <w:jc w:val="left"/>
              <w:rPr>
                <w:sz w:val="20"/>
                <w:szCs w:val="20"/>
              </w:rPr>
            </w:pPr>
            <w:r w:rsidRPr="000B1D57">
              <w:rPr>
                <w:sz w:val="20"/>
                <w:szCs w:val="20"/>
              </w:rPr>
              <w:t>(XPS foam)</w:t>
            </w:r>
          </w:p>
        </w:tc>
        <w:tc>
          <w:tcPr>
            <w:tcW w:w="2693" w:type="dxa"/>
            <w:tcBorders>
              <w:top w:val="single" w:sz="4" w:space="0" w:color="auto"/>
              <w:left w:val="single" w:sz="4" w:space="0" w:color="auto"/>
              <w:bottom w:val="single" w:sz="4" w:space="0" w:color="auto"/>
              <w:right w:val="single" w:sz="4" w:space="0" w:color="auto"/>
            </w:tcBorders>
          </w:tcPr>
          <w:p w14:paraId="43953518" w14:textId="77777777" w:rsidR="00DE79D8" w:rsidRPr="000B1D57" w:rsidRDefault="00DE79D8" w:rsidP="00084F0B">
            <w:pPr>
              <w:keepNext/>
              <w:jc w:val="left"/>
              <w:rPr>
                <w:sz w:val="20"/>
                <w:szCs w:val="20"/>
              </w:rPr>
            </w:pPr>
            <w:r w:rsidRPr="000B1D57">
              <w:rPr>
                <w:sz w:val="20"/>
                <w:szCs w:val="20"/>
              </w:rPr>
              <w:t>HCFC phase-out management plan (stage II, third tranche)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4E22A9BE" w14:textId="77777777" w:rsidR="00DE79D8" w:rsidRPr="000B1D57" w:rsidRDefault="00DE79D8" w:rsidP="00084F0B">
            <w:pPr>
              <w:keepNext/>
              <w:jc w:val="left"/>
              <w:rPr>
                <w:sz w:val="20"/>
                <w:szCs w:val="20"/>
              </w:rPr>
            </w:pPr>
            <w:r w:rsidRPr="000B1D57">
              <w:rPr>
                <w:sz w:val="20"/>
                <w:szCs w:val="20"/>
              </w:rPr>
              <w:t>UNIDO/</w:t>
            </w:r>
          </w:p>
          <w:p w14:paraId="22D6B791" w14:textId="77777777" w:rsidR="00DE79D8" w:rsidRPr="000B1D57" w:rsidRDefault="00DE79D8" w:rsidP="00084F0B">
            <w:pPr>
              <w:keepNext/>
              <w:jc w:val="left"/>
              <w:rPr>
                <w:sz w:val="20"/>
                <w:szCs w:val="20"/>
              </w:rPr>
            </w:pPr>
            <w:r w:rsidRPr="000B1D57">
              <w:rPr>
                <w:sz w:val="20"/>
                <w:szCs w:val="20"/>
              </w:rPr>
              <w:t>Germany</w:t>
            </w:r>
          </w:p>
        </w:tc>
        <w:tc>
          <w:tcPr>
            <w:tcW w:w="1134" w:type="dxa"/>
            <w:gridSpan w:val="2"/>
            <w:tcBorders>
              <w:top w:val="single" w:sz="4" w:space="0" w:color="auto"/>
              <w:left w:val="single" w:sz="4" w:space="0" w:color="auto"/>
              <w:bottom w:val="single" w:sz="4" w:space="0" w:color="auto"/>
              <w:right w:val="single" w:sz="4" w:space="0" w:color="auto"/>
            </w:tcBorders>
          </w:tcPr>
          <w:p w14:paraId="224CEB7A" w14:textId="77777777" w:rsidR="00DE79D8" w:rsidRPr="000B1D57" w:rsidRDefault="00DE79D8" w:rsidP="00E34A56">
            <w:pPr>
              <w:jc w:val="center"/>
            </w:pPr>
            <w:r w:rsidRPr="000B1D57">
              <w:rPr>
                <w:sz w:val="20"/>
                <w:szCs w:val="20"/>
              </w:rPr>
              <w:t>83/22</w:t>
            </w:r>
          </w:p>
        </w:tc>
        <w:tc>
          <w:tcPr>
            <w:tcW w:w="2410" w:type="dxa"/>
            <w:tcBorders>
              <w:top w:val="single" w:sz="4" w:space="0" w:color="auto"/>
              <w:left w:val="single" w:sz="4" w:space="0" w:color="auto"/>
              <w:bottom w:val="single" w:sz="4" w:space="0" w:color="auto"/>
              <w:right w:val="single" w:sz="4" w:space="0" w:color="auto"/>
            </w:tcBorders>
          </w:tcPr>
          <w:p w14:paraId="7BF26AD4" w14:textId="77777777" w:rsidR="00DE79D8" w:rsidRPr="000B1D57" w:rsidRDefault="00DE79D8" w:rsidP="00084F0B">
            <w:pPr>
              <w:keepNext/>
              <w:jc w:val="left"/>
              <w:rPr>
                <w:sz w:val="20"/>
                <w:szCs w:val="20"/>
                <w:lang w:val="en-CA"/>
              </w:rPr>
            </w:pPr>
            <w:r w:rsidRPr="000B1D57">
              <w:rPr>
                <w:sz w:val="20"/>
                <w:szCs w:val="20"/>
                <w:lang w:val="en-CA"/>
              </w:rPr>
              <w:t>Tranche above 5 million.</w:t>
            </w:r>
            <w:r w:rsidRPr="000B1D57">
              <w:t xml:space="preserve"> </w:t>
            </w:r>
            <w:r w:rsidRPr="000B1D57">
              <w:rPr>
                <w:sz w:val="20"/>
                <w:szCs w:val="20"/>
                <w:lang w:val="en-CA"/>
              </w:rPr>
              <w:t>All technical and cost issues resolved</w:t>
            </w:r>
          </w:p>
        </w:tc>
      </w:tr>
      <w:tr w:rsidR="00DE79D8" w:rsidRPr="000B1D57" w14:paraId="0DE7C633" w14:textId="77777777" w:rsidTr="00F04F05">
        <w:tc>
          <w:tcPr>
            <w:tcW w:w="1560" w:type="dxa"/>
            <w:tcBorders>
              <w:top w:val="single" w:sz="4" w:space="0" w:color="auto"/>
              <w:left w:val="single" w:sz="4" w:space="0" w:color="auto"/>
              <w:bottom w:val="single" w:sz="4" w:space="0" w:color="auto"/>
              <w:right w:val="single" w:sz="4" w:space="0" w:color="auto"/>
            </w:tcBorders>
          </w:tcPr>
          <w:p w14:paraId="7D36F7A5" w14:textId="77777777" w:rsidR="00DE79D8" w:rsidRPr="000B1D57" w:rsidRDefault="00DE79D8" w:rsidP="00084F0B">
            <w:pPr>
              <w:widowControl w:val="0"/>
              <w:jc w:val="left"/>
              <w:rPr>
                <w:sz w:val="20"/>
                <w:szCs w:val="20"/>
              </w:rPr>
            </w:pPr>
            <w:r w:rsidRPr="000B1D57">
              <w:rPr>
                <w:sz w:val="20"/>
                <w:szCs w:val="20"/>
              </w:rPr>
              <w:t xml:space="preserve">China </w:t>
            </w:r>
          </w:p>
          <w:p w14:paraId="40C76CFA" w14:textId="77777777" w:rsidR="00DE79D8" w:rsidRPr="000B1D57" w:rsidRDefault="00DE79D8" w:rsidP="00084F0B">
            <w:pPr>
              <w:widowControl w:val="0"/>
              <w:jc w:val="left"/>
              <w:rPr>
                <w:sz w:val="20"/>
                <w:szCs w:val="20"/>
              </w:rPr>
            </w:pPr>
            <w:r w:rsidRPr="000B1D57">
              <w:rPr>
                <w:sz w:val="20"/>
                <w:szCs w:val="20"/>
              </w:rPr>
              <w:t>(ICR)</w:t>
            </w:r>
          </w:p>
        </w:tc>
        <w:tc>
          <w:tcPr>
            <w:tcW w:w="2693" w:type="dxa"/>
            <w:tcBorders>
              <w:top w:val="single" w:sz="4" w:space="0" w:color="auto"/>
              <w:left w:val="single" w:sz="4" w:space="0" w:color="auto"/>
              <w:bottom w:val="single" w:sz="4" w:space="0" w:color="auto"/>
              <w:right w:val="single" w:sz="4" w:space="0" w:color="auto"/>
            </w:tcBorders>
          </w:tcPr>
          <w:p w14:paraId="3DAC8C5C" w14:textId="77777777" w:rsidR="00DE79D8" w:rsidRPr="000B1D57" w:rsidRDefault="00DE79D8" w:rsidP="00084F0B">
            <w:pPr>
              <w:widowControl w:val="0"/>
              <w:jc w:val="left"/>
              <w:rPr>
                <w:sz w:val="20"/>
                <w:szCs w:val="20"/>
              </w:rPr>
            </w:pPr>
            <w:r w:rsidRPr="000B1D57">
              <w:rPr>
                <w:sz w:val="20"/>
                <w:szCs w:val="20"/>
              </w:rPr>
              <w:t>HCFC phase-out management plan (stage II, third tranche)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1F918196" w14:textId="77777777" w:rsidR="00DE79D8" w:rsidRPr="000B1D57" w:rsidRDefault="00DE79D8" w:rsidP="00084F0B">
            <w:pPr>
              <w:widowControl w:val="0"/>
              <w:jc w:val="left"/>
              <w:rPr>
                <w:sz w:val="20"/>
                <w:szCs w:val="20"/>
              </w:rPr>
            </w:pPr>
            <w:r w:rsidRPr="000B1D57">
              <w:rPr>
                <w:sz w:val="20"/>
                <w:szCs w:val="20"/>
              </w:rPr>
              <w:t>UNDP</w:t>
            </w:r>
          </w:p>
        </w:tc>
        <w:tc>
          <w:tcPr>
            <w:tcW w:w="1134" w:type="dxa"/>
            <w:gridSpan w:val="2"/>
            <w:tcBorders>
              <w:top w:val="single" w:sz="4" w:space="0" w:color="auto"/>
              <w:left w:val="single" w:sz="4" w:space="0" w:color="auto"/>
              <w:bottom w:val="single" w:sz="4" w:space="0" w:color="auto"/>
              <w:right w:val="single" w:sz="4" w:space="0" w:color="auto"/>
            </w:tcBorders>
          </w:tcPr>
          <w:p w14:paraId="2C251B01" w14:textId="77777777" w:rsidR="00DE79D8" w:rsidRPr="000B1D57" w:rsidRDefault="00DE79D8" w:rsidP="00E34A56">
            <w:pPr>
              <w:jc w:val="center"/>
            </w:pPr>
            <w:r w:rsidRPr="000B1D57">
              <w:rPr>
                <w:sz w:val="20"/>
                <w:szCs w:val="20"/>
              </w:rPr>
              <w:t>83/22</w:t>
            </w:r>
          </w:p>
        </w:tc>
        <w:tc>
          <w:tcPr>
            <w:tcW w:w="2410" w:type="dxa"/>
            <w:tcBorders>
              <w:top w:val="single" w:sz="4" w:space="0" w:color="auto"/>
              <w:left w:val="single" w:sz="4" w:space="0" w:color="auto"/>
              <w:bottom w:val="single" w:sz="4" w:space="0" w:color="auto"/>
              <w:right w:val="single" w:sz="4" w:space="0" w:color="auto"/>
            </w:tcBorders>
          </w:tcPr>
          <w:p w14:paraId="2689C217" w14:textId="77777777" w:rsidR="00DE79D8" w:rsidRPr="000B1D57" w:rsidRDefault="00DE79D8" w:rsidP="00084F0B">
            <w:pPr>
              <w:widowControl w:val="0"/>
              <w:jc w:val="left"/>
              <w:rPr>
                <w:sz w:val="20"/>
                <w:szCs w:val="20"/>
                <w:lang w:val="en-CA"/>
              </w:rPr>
            </w:pPr>
            <w:r w:rsidRPr="000B1D57">
              <w:rPr>
                <w:sz w:val="20"/>
                <w:szCs w:val="20"/>
                <w:lang w:val="en-CA"/>
              </w:rPr>
              <w:t>Tranche above 5 million.</w:t>
            </w:r>
            <w:r w:rsidRPr="000B1D57">
              <w:t xml:space="preserve"> </w:t>
            </w:r>
            <w:r w:rsidRPr="000B1D57">
              <w:rPr>
                <w:sz w:val="20"/>
                <w:szCs w:val="20"/>
                <w:lang w:val="en-CA"/>
              </w:rPr>
              <w:t>All technical and cost issues resolved</w:t>
            </w:r>
          </w:p>
        </w:tc>
      </w:tr>
      <w:tr w:rsidR="00DE79D8" w:rsidRPr="000B1D57" w14:paraId="28780321" w14:textId="77777777" w:rsidTr="00F04F05">
        <w:tc>
          <w:tcPr>
            <w:tcW w:w="1560" w:type="dxa"/>
            <w:tcBorders>
              <w:top w:val="single" w:sz="4" w:space="0" w:color="auto"/>
              <w:left w:val="single" w:sz="4" w:space="0" w:color="auto"/>
              <w:bottom w:val="single" w:sz="4" w:space="0" w:color="auto"/>
              <w:right w:val="single" w:sz="4" w:space="0" w:color="auto"/>
            </w:tcBorders>
          </w:tcPr>
          <w:p w14:paraId="0FAB3DD7" w14:textId="77777777" w:rsidR="00DE79D8" w:rsidRPr="000B1D57" w:rsidRDefault="00DE79D8" w:rsidP="00084F0B">
            <w:pPr>
              <w:widowControl w:val="0"/>
              <w:jc w:val="left"/>
              <w:rPr>
                <w:sz w:val="20"/>
                <w:szCs w:val="20"/>
              </w:rPr>
            </w:pPr>
            <w:r w:rsidRPr="000B1D57">
              <w:rPr>
                <w:sz w:val="20"/>
                <w:szCs w:val="20"/>
              </w:rPr>
              <w:t>China (Servicing)</w:t>
            </w:r>
          </w:p>
        </w:tc>
        <w:tc>
          <w:tcPr>
            <w:tcW w:w="2693" w:type="dxa"/>
            <w:tcBorders>
              <w:top w:val="single" w:sz="4" w:space="0" w:color="auto"/>
              <w:left w:val="single" w:sz="4" w:space="0" w:color="auto"/>
              <w:bottom w:val="single" w:sz="4" w:space="0" w:color="auto"/>
              <w:right w:val="single" w:sz="4" w:space="0" w:color="auto"/>
            </w:tcBorders>
          </w:tcPr>
          <w:p w14:paraId="37701422" w14:textId="77777777" w:rsidR="00DE79D8" w:rsidRPr="000B1D57" w:rsidRDefault="00DE79D8" w:rsidP="00084F0B">
            <w:pPr>
              <w:widowControl w:val="0"/>
              <w:jc w:val="left"/>
              <w:rPr>
                <w:sz w:val="20"/>
                <w:szCs w:val="20"/>
              </w:rPr>
            </w:pPr>
            <w:r w:rsidRPr="000B1D57">
              <w:rPr>
                <w:sz w:val="20"/>
                <w:szCs w:val="20"/>
              </w:rPr>
              <w:t>HCFC phase-out management plan (stage II, third tranche)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61C12A93" w14:textId="77777777" w:rsidR="00DE79D8" w:rsidRPr="000B1D57" w:rsidRDefault="00DE79D8" w:rsidP="00084F0B">
            <w:pPr>
              <w:widowControl w:val="0"/>
              <w:jc w:val="left"/>
              <w:rPr>
                <w:sz w:val="20"/>
                <w:szCs w:val="20"/>
              </w:rPr>
            </w:pPr>
            <w:r w:rsidRPr="000B1D57">
              <w:rPr>
                <w:sz w:val="20"/>
                <w:szCs w:val="20"/>
                <w:lang w:eastAsia="en-CA"/>
              </w:rPr>
              <w:t>UNEP/Japan/ Germany</w:t>
            </w:r>
          </w:p>
        </w:tc>
        <w:tc>
          <w:tcPr>
            <w:tcW w:w="1134" w:type="dxa"/>
            <w:gridSpan w:val="2"/>
            <w:tcBorders>
              <w:top w:val="single" w:sz="4" w:space="0" w:color="auto"/>
              <w:left w:val="single" w:sz="4" w:space="0" w:color="auto"/>
              <w:bottom w:val="single" w:sz="4" w:space="0" w:color="auto"/>
              <w:right w:val="single" w:sz="4" w:space="0" w:color="auto"/>
            </w:tcBorders>
          </w:tcPr>
          <w:p w14:paraId="4A8B3B85" w14:textId="77777777" w:rsidR="00DE79D8" w:rsidRPr="000B1D57" w:rsidRDefault="00DE79D8" w:rsidP="00E34A56">
            <w:pPr>
              <w:jc w:val="center"/>
            </w:pPr>
            <w:r w:rsidRPr="000B1D57">
              <w:rPr>
                <w:sz w:val="20"/>
                <w:szCs w:val="20"/>
              </w:rPr>
              <w:t>83/22</w:t>
            </w:r>
          </w:p>
        </w:tc>
        <w:tc>
          <w:tcPr>
            <w:tcW w:w="2410" w:type="dxa"/>
            <w:tcBorders>
              <w:top w:val="single" w:sz="4" w:space="0" w:color="auto"/>
              <w:left w:val="single" w:sz="4" w:space="0" w:color="auto"/>
              <w:bottom w:val="single" w:sz="4" w:space="0" w:color="auto"/>
              <w:right w:val="single" w:sz="4" w:space="0" w:color="auto"/>
            </w:tcBorders>
          </w:tcPr>
          <w:p w14:paraId="5A77294B" w14:textId="77777777" w:rsidR="00DE79D8" w:rsidRPr="000B1D57" w:rsidRDefault="00DE79D8" w:rsidP="00084F0B">
            <w:pPr>
              <w:widowControl w:val="0"/>
              <w:jc w:val="left"/>
              <w:rPr>
                <w:sz w:val="20"/>
                <w:szCs w:val="20"/>
                <w:lang w:val="en-CA"/>
              </w:rPr>
            </w:pPr>
            <w:r w:rsidRPr="000B1D57">
              <w:rPr>
                <w:sz w:val="20"/>
                <w:szCs w:val="20"/>
                <w:lang w:val="en-CA"/>
              </w:rPr>
              <w:t>All technical and cost issues resolved</w:t>
            </w:r>
          </w:p>
        </w:tc>
      </w:tr>
      <w:tr w:rsidR="00DE79D8" w:rsidRPr="000B1D57" w14:paraId="4D6914EA" w14:textId="77777777" w:rsidTr="00F04F05">
        <w:tc>
          <w:tcPr>
            <w:tcW w:w="1560" w:type="dxa"/>
            <w:tcBorders>
              <w:top w:val="single" w:sz="4" w:space="0" w:color="auto"/>
              <w:left w:val="single" w:sz="4" w:space="0" w:color="auto"/>
              <w:bottom w:val="single" w:sz="4" w:space="0" w:color="auto"/>
              <w:right w:val="single" w:sz="4" w:space="0" w:color="auto"/>
            </w:tcBorders>
          </w:tcPr>
          <w:p w14:paraId="1F1CDD82" w14:textId="77777777" w:rsidR="00DE79D8" w:rsidRPr="000B1D57" w:rsidRDefault="00DE79D8" w:rsidP="00084F0B">
            <w:pPr>
              <w:widowControl w:val="0"/>
              <w:jc w:val="left"/>
              <w:rPr>
                <w:sz w:val="20"/>
                <w:szCs w:val="20"/>
              </w:rPr>
            </w:pPr>
            <w:r w:rsidRPr="000B1D57">
              <w:rPr>
                <w:sz w:val="20"/>
                <w:szCs w:val="20"/>
              </w:rPr>
              <w:t>China (Solvent)</w:t>
            </w:r>
          </w:p>
        </w:tc>
        <w:tc>
          <w:tcPr>
            <w:tcW w:w="2693" w:type="dxa"/>
            <w:tcBorders>
              <w:top w:val="single" w:sz="4" w:space="0" w:color="auto"/>
              <w:left w:val="single" w:sz="4" w:space="0" w:color="auto"/>
              <w:bottom w:val="single" w:sz="4" w:space="0" w:color="auto"/>
              <w:right w:val="single" w:sz="4" w:space="0" w:color="auto"/>
            </w:tcBorders>
          </w:tcPr>
          <w:p w14:paraId="316A99DF" w14:textId="77777777" w:rsidR="00DE79D8" w:rsidRPr="000B1D57" w:rsidRDefault="00DE79D8" w:rsidP="00084F0B">
            <w:pPr>
              <w:widowControl w:val="0"/>
              <w:jc w:val="left"/>
              <w:rPr>
                <w:sz w:val="20"/>
                <w:szCs w:val="20"/>
              </w:rPr>
            </w:pPr>
            <w:r w:rsidRPr="000B1D57">
              <w:rPr>
                <w:sz w:val="20"/>
                <w:szCs w:val="20"/>
              </w:rPr>
              <w:t>HCFC phase-out management plan (stage II, third tranche)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14:paraId="619DCB17" w14:textId="77777777" w:rsidR="00DE79D8" w:rsidRPr="000B1D57" w:rsidRDefault="00DE79D8" w:rsidP="00084F0B">
            <w:pPr>
              <w:widowControl w:val="0"/>
              <w:jc w:val="left"/>
              <w:rPr>
                <w:sz w:val="20"/>
                <w:szCs w:val="20"/>
                <w:lang w:eastAsia="en-CA"/>
              </w:rPr>
            </w:pPr>
            <w:r w:rsidRPr="000B1D57">
              <w:rPr>
                <w:sz w:val="20"/>
                <w:szCs w:val="20"/>
                <w:lang w:eastAsia="en-CA"/>
              </w:rPr>
              <w:t>UNDP</w:t>
            </w:r>
          </w:p>
        </w:tc>
        <w:tc>
          <w:tcPr>
            <w:tcW w:w="1116" w:type="dxa"/>
            <w:tcBorders>
              <w:top w:val="single" w:sz="4" w:space="0" w:color="auto"/>
              <w:left w:val="single" w:sz="4" w:space="0" w:color="auto"/>
              <w:bottom w:val="single" w:sz="4" w:space="0" w:color="auto"/>
              <w:right w:val="single" w:sz="4" w:space="0" w:color="auto"/>
            </w:tcBorders>
          </w:tcPr>
          <w:p w14:paraId="7D850B57" w14:textId="77777777" w:rsidR="00DE79D8" w:rsidRPr="000B1D57" w:rsidRDefault="00DE79D8" w:rsidP="00E34A56">
            <w:pPr>
              <w:jc w:val="center"/>
            </w:pPr>
            <w:r w:rsidRPr="000B1D57">
              <w:rPr>
                <w:sz w:val="20"/>
                <w:szCs w:val="20"/>
              </w:rPr>
              <w:t>83/22</w:t>
            </w:r>
          </w:p>
        </w:tc>
        <w:tc>
          <w:tcPr>
            <w:tcW w:w="2428" w:type="dxa"/>
            <w:gridSpan w:val="2"/>
            <w:tcBorders>
              <w:top w:val="single" w:sz="4" w:space="0" w:color="auto"/>
              <w:left w:val="single" w:sz="4" w:space="0" w:color="auto"/>
              <w:bottom w:val="single" w:sz="4" w:space="0" w:color="auto"/>
              <w:right w:val="single" w:sz="4" w:space="0" w:color="auto"/>
            </w:tcBorders>
          </w:tcPr>
          <w:p w14:paraId="74110E93" w14:textId="77777777" w:rsidR="00DE79D8" w:rsidRPr="000B1D57" w:rsidRDefault="00DE79D8" w:rsidP="00084F0B">
            <w:pPr>
              <w:widowControl w:val="0"/>
              <w:jc w:val="left"/>
              <w:rPr>
                <w:sz w:val="20"/>
                <w:szCs w:val="20"/>
                <w:lang w:val="en-CA"/>
              </w:rPr>
            </w:pPr>
            <w:r w:rsidRPr="000B1D57">
              <w:rPr>
                <w:sz w:val="20"/>
                <w:szCs w:val="20"/>
                <w:lang w:val="en-CA"/>
              </w:rPr>
              <w:t>All technical and cost issues resolved</w:t>
            </w:r>
          </w:p>
        </w:tc>
      </w:tr>
      <w:tr w:rsidR="00DE79D8" w:rsidRPr="000B1D57" w14:paraId="0BAB0D60" w14:textId="77777777" w:rsidTr="00F04F05">
        <w:tc>
          <w:tcPr>
            <w:tcW w:w="1560" w:type="dxa"/>
            <w:tcBorders>
              <w:top w:val="single" w:sz="4" w:space="0" w:color="auto"/>
              <w:left w:val="single" w:sz="4" w:space="0" w:color="auto"/>
              <w:bottom w:val="single" w:sz="4" w:space="0" w:color="auto"/>
              <w:right w:val="single" w:sz="4" w:space="0" w:color="auto"/>
            </w:tcBorders>
          </w:tcPr>
          <w:p w14:paraId="5354240E" w14:textId="77777777" w:rsidR="00DE79D8" w:rsidRPr="000B1D57" w:rsidRDefault="00DE79D8" w:rsidP="00084F0B">
            <w:pPr>
              <w:widowControl w:val="0"/>
              <w:jc w:val="left"/>
              <w:rPr>
                <w:sz w:val="20"/>
                <w:szCs w:val="20"/>
              </w:rPr>
            </w:pPr>
            <w:r w:rsidRPr="000B1D57">
              <w:rPr>
                <w:sz w:val="20"/>
                <w:szCs w:val="20"/>
              </w:rPr>
              <w:t>Kuwait</w:t>
            </w:r>
          </w:p>
        </w:tc>
        <w:tc>
          <w:tcPr>
            <w:tcW w:w="2693" w:type="dxa"/>
            <w:tcBorders>
              <w:top w:val="single" w:sz="4" w:space="0" w:color="auto"/>
              <w:left w:val="single" w:sz="4" w:space="0" w:color="auto"/>
              <w:bottom w:val="single" w:sz="4" w:space="0" w:color="auto"/>
              <w:right w:val="single" w:sz="4" w:space="0" w:color="auto"/>
            </w:tcBorders>
          </w:tcPr>
          <w:p w14:paraId="5DF81F20" w14:textId="77777777" w:rsidR="00DE79D8" w:rsidRPr="000B1D57" w:rsidRDefault="00DE79D8" w:rsidP="00084F0B">
            <w:pPr>
              <w:widowControl w:val="0"/>
              <w:jc w:val="left"/>
              <w:rPr>
                <w:sz w:val="20"/>
                <w:szCs w:val="20"/>
              </w:rPr>
            </w:pPr>
            <w:r w:rsidRPr="000B1D57">
              <w:rPr>
                <w:sz w:val="20"/>
                <w:szCs w:val="20"/>
              </w:rPr>
              <w:t>HCFC phase-out management plan (stage I, third tranche)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14:paraId="12CEFA00" w14:textId="77777777" w:rsidR="00DE79D8" w:rsidRPr="000B1D57" w:rsidRDefault="00DE79D8" w:rsidP="00084F0B">
            <w:pPr>
              <w:widowControl w:val="0"/>
              <w:jc w:val="left"/>
              <w:rPr>
                <w:sz w:val="20"/>
                <w:szCs w:val="20"/>
                <w:lang w:eastAsia="en-CA"/>
              </w:rPr>
            </w:pPr>
            <w:r w:rsidRPr="000B1D57">
              <w:rPr>
                <w:sz w:val="20"/>
                <w:szCs w:val="20"/>
                <w:lang w:eastAsia="en-CA"/>
              </w:rPr>
              <w:t>UNEP and UNIDO</w:t>
            </w:r>
          </w:p>
        </w:tc>
        <w:tc>
          <w:tcPr>
            <w:tcW w:w="1116" w:type="dxa"/>
            <w:tcBorders>
              <w:top w:val="single" w:sz="4" w:space="0" w:color="auto"/>
              <w:left w:val="single" w:sz="4" w:space="0" w:color="auto"/>
              <w:bottom w:val="single" w:sz="4" w:space="0" w:color="auto"/>
              <w:right w:val="single" w:sz="4" w:space="0" w:color="auto"/>
            </w:tcBorders>
          </w:tcPr>
          <w:p w14:paraId="295990A4" w14:textId="77777777" w:rsidR="00DE79D8" w:rsidRPr="000B1D57" w:rsidRDefault="00DE79D8" w:rsidP="00084F0B">
            <w:pPr>
              <w:jc w:val="center"/>
            </w:pPr>
            <w:r w:rsidRPr="000B1D57">
              <w:rPr>
                <w:sz w:val="20"/>
                <w:szCs w:val="20"/>
              </w:rPr>
              <w:t>83/29</w:t>
            </w:r>
          </w:p>
        </w:tc>
        <w:tc>
          <w:tcPr>
            <w:tcW w:w="2428" w:type="dxa"/>
            <w:gridSpan w:val="2"/>
            <w:tcBorders>
              <w:top w:val="single" w:sz="4" w:space="0" w:color="auto"/>
              <w:left w:val="single" w:sz="4" w:space="0" w:color="auto"/>
              <w:bottom w:val="single" w:sz="4" w:space="0" w:color="auto"/>
              <w:right w:val="single" w:sz="4" w:space="0" w:color="auto"/>
            </w:tcBorders>
          </w:tcPr>
          <w:p w14:paraId="6C0EB7B8" w14:textId="167D37AF" w:rsidR="00DE79D8" w:rsidRPr="000B1D57" w:rsidRDefault="00606AD1" w:rsidP="00084F0B">
            <w:pPr>
              <w:widowControl w:val="0"/>
              <w:jc w:val="left"/>
              <w:rPr>
                <w:sz w:val="20"/>
                <w:szCs w:val="20"/>
                <w:lang w:val="en-CA"/>
              </w:rPr>
            </w:pPr>
            <w:r w:rsidRPr="000B1D57">
              <w:rPr>
                <w:sz w:val="20"/>
                <w:szCs w:val="20"/>
                <w:lang w:val="en-CA"/>
              </w:rPr>
              <w:t>Extension of stage I and r</w:t>
            </w:r>
            <w:r w:rsidR="00DE79D8" w:rsidRPr="000B1D57">
              <w:rPr>
                <w:sz w:val="20"/>
                <w:szCs w:val="20"/>
                <w:lang w:val="en-CA"/>
              </w:rPr>
              <w:t>evision of Agreement</w:t>
            </w:r>
            <w:r w:rsidRPr="000B1D57">
              <w:rPr>
                <w:sz w:val="20"/>
                <w:szCs w:val="20"/>
                <w:lang w:val="en-CA"/>
              </w:rPr>
              <w:t xml:space="preserve">. </w:t>
            </w:r>
            <w:r w:rsidR="00DE79D8" w:rsidRPr="000B1D57">
              <w:rPr>
                <w:sz w:val="20"/>
                <w:szCs w:val="20"/>
                <w:lang w:val="en-CA"/>
              </w:rPr>
              <w:t>All technical and cost issues resolved</w:t>
            </w:r>
          </w:p>
        </w:tc>
      </w:tr>
      <w:tr w:rsidR="00606AD1" w:rsidRPr="00E45D1E" w14:paraId="3694AF9C" w14:textId="77777777" w:rsidTr="00F04F05">
        <w:tc>
          <w:tcPr>
            <w:tcW w:w="1560" w:type="dxa"/>
            <w:tcBorders>
              <w:top w:val="single" w:sz="4" w:space="0" w:color="auto"/>
              <w:left w:val="single" w:sz="4" w:space="0" w:color="auto"/>
              <w:bottom w:val="single" w:sz="4" w:space="0" w:color="auto"/>
              <w:right w:val="single" w:sz="4" w:space="0" w:color="auto"/>
            </w:tcBorders>
          </w:tcPr>
          <w:p w14:paraId="4632A651" w14:textId="0C1B381C" w:rsidR="00606AD1" w:rsidRPr="000B1D57" w:rsidRDefault="00606AD1" w:rsidP="00084F0B">
            <w:pPr>
              <w:widowControl w:val="0"/>
              <w:jc w:val="left"/>
              <w:rPr>
                <w:sz w:val="20"/>
                <w:szCs w:val="20"/>
              </w:rPr>
            </w:pPr>
            <w:r w:rsidRPr="000B1D57">
              <w:rPr>
                <w:sz w:val="20"/>
                <w:szCs w:val="20"/>
              </w:rPr>
              <w:t>Morocco</w:t>
            </w:r>
          </w:p>
        </w:tc>
        <w:tc>
          <w:tcPr>
            <w:tcW w:w="2693" w:type="dxa"/>
            <w:tcBorders>
              <w:top w:val="single" w:sz="4" w:space="0" w:color="auto"/>
              <w:left w:val="single" w:sz="4" w:space="0" w:color="auto"/>
              <w:bottom w:val="single" w:sz="4" w:space="0" w:color="auto"/>
              <w:right w:val="single" w:sz="4" w:space="0" w:color="auto"/>
            </w:tcBorders>
          </w:tcPr>
          <w:p w14:paraId="20234BF1" w14:textId="10D77F1D" w:rsidR="00606AD1" w:rsidRPr="000B1D57" w:rsidRDefault="00606AD1" w:rsidP="00084F0B">
            <w:pPr>
              <w:widowControl w:val="0"/>
              <w:jc w:val="left"/>
              <w:rPr>
                <w:sz w:val="20"/>
                <w:szCs w:val="20"/>
              </w:rPr>
            </w:pPr>
            <w:r w:rsidRPr="000B1D57">
              <w:rPr>
                <w:sz w:val="20"/>
                <w:szCs w:val="20"/>
              </w:rPr>
              <w:t>HCFC phase-out management plan (stage I, third tranche)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14:paraId="05252037" w14:textId="562E87B5" w:rsidR="00606AD1" w:rsidRPr="000B1D57" w:rsidRDefault="00606AD1" w:rsidP="00084F0B">
            <w:pPr>
              <w:widowControl w:val="0"/>
              <w:jc w:val="left"/>
              <w:rPr>
                <w:sz w:val="20"/>
                <w:szCs w:val="20"/>
                <w:lang w:eastAsia="en-CA"/>
              </w:rPr>
            </w:pPr>
            <w:r w:rsidRPr="000B1D57">
              <w:rPr>
                <w:sz w:val="20"/>
                <w:szCs w:val="20"/>
                <w:lang w:eastAsia="en-CA"/>
              </w:rPr>
              <w:t>UNIDO</w:t>
            </w:r>
          </w:p>
        </w:tc>
        <w:tc>
          <w:tcPr>
            <w:tcW w:w="1116" w:type="dxa"/>
            <w:tcBorders>
              <w:top w:val="single" w:sz="4" w:space="0" w:color="auto"/>
              <w:left w:val="single" w:sz="4" w:space="0" w:color="auto"/>
              <w:bottom w:val="single" w:sz="4" w:space="0" w:color="auto"/>
              <w:right w:val="single" w:sz="4" w:space="0" w:color="auto"/>
            </w:tcBorders>
          </w:tcPr>
          <w:p w14:paraId="7C519247" w14:textId="46E5C159" w:rsidR="00606AD1" w:rsidRPr="000B1D57" w:rsidRDefault="00606AD1" w:rsidP="00084F0B">
            <w:pPr>
              <w:jc w:val="center"/>
              <w:rPr>
                <w:sz w:val="20"/>
                <w:szCs w:val="20"/>
              </w:rPr>
            </w:pPr>
            <w:r w:rsidRPr="000B1D57">
              <w:rPr>
                <w:sz w:val="20"/>
                <w:szCs w:val="20"/>
              </w:rPr>
              <w:t>83/32</w:t>
            </w:r>
          </w:p>
        </w:tc>
        <w:tc>
          <w:tcPr>
            <w:tcW w:w="2428" w:type="dxa"/>
            <w:gridSpan w:val="2"/>
            <w:tcBorders>
              <w:top w:val="single" w:sz="4" w:space="0" w:color="auto"/>
              <w:left w:val="single" w:sz="4" w:space="0" w:color="auto"/>
              <w:bottom w:val="single" w:sz="4" w:space="0" w:color="auto"/>
              <w:right w:val="single" w:sz="4" w:space="0" w:color="auto"/>
            </w:tcBorders>
          </w:tcPr>
          <w:p w14:paraId="6065A5C0" w14:textId="68515CCD" w:rsidR="00606AD1" w:rsidRPr="00606AD1" w:rsidRDefault="00606AD1" w:rsidP="00084F0B">
            <w:pPr>
              <w:widowControl w:val="0"/>
              <w:jc w:val="left"/>
              <w:rPr>
                <w:sz w:val="20"/>
                <w:szCs w:val="20"/>
                <w:lang w:val="en-CA"/>
              </w:rPr>
            </w:pPr>
            <w:r w:rsidRPr="000B1D57">
              <w:rPr>
                <w:sz w:val="20"/>
                <w:szCs w:val="20"/>
                <w:lang w:val="en-CA"/>
              </w:rPr>
              <w:t>Extension of stage I and revision of Agreement. All technical and cost issues resolved</w:t>
            </w:r>
          </w:p>
        </w:tc>
      </w:tr>
    </w:tbl>
    <w:p w14:paraId="576CFA89" w14:textId="77777777" w:rsidR="00802668" w:rsidRPr="00AD3012" w:rsidRDefault="00802668" w:rsidP="00084F0B">
      <w:pPr>
        <w:tabs>
          <w:tab w:val="center" w:pos="4680"/>
          <w:tab w:val="left" w:pos="7884"/>
        </w:tabs>
        <w:jc w:val="center"/>
        <w:outlineLvl w:val="0"/>
        <w:rPr>
          <w:sz w:val="18"/>
          <w:szCs w:val="18"/>
          <w:lang w:val="en-CA"/>
        </w:rPr>
      </w:pPr>
      <w:bookmarkStart w:id="4" w:name="_GoBack"/>
      <w:bookmarkEnd w:id="4"/>
    </w:p>
    <w:p w14:paraId="0AD44525" w14:textId="77777777" w:rsidR="00CC299E" w:rsidRPr="00802668" w:rsidRDefault="00CC299E" w:rsidP="00084F0B">
      <w:pPr>
        <w:tabs>
          <w:tab w:val="left" w:pos="8280"/>
        </w:tabs>
        <w:rPr>
          <w:lang w:val="en-CA"/>
        </w:rPr>
      </w:pPr>
    </w:p>
    <w:sectPr w:rsidR="00CC299E" w:rsidRPr="00802668" w:rsidSect="001C3CA0">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B556D" w14:textId="77777777" w:rsidR="00A464B2" w:rsidRDefault="00A464B2" w:rsidP="004A504B">
      <w:r>
        <w:separator/>
      </w:r>
    </w:p>
  </w:endnote>
  <w:endnote w:type="continuationSeparator" w:id="0">
    <w:p w14:paraId="5588D73F" w14:textId="77777777" w:rsidR="00A464B2" w:rsidRDefault="00A464B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6087D" w14:textId="565A0E18" w:rsidR="00F239D7" w:rsidRPr="0033525D" w:rsidRDefault="00F239D7">
    <w:pPr>
      <w:jc w:val="center"/>
    </w:pPr>
    <w:r>
      <w:fldChar w:fldCharType="begin"/>
    </w:r>
    <w:r>
      <w:instrText xml:space="preserve"> PAGE </w:instrText>
    </w:r>
    <w:r>
      <w:fldChar w:fldCharType="separate"/>
    </w:r>
    <w:r w:rsidR="00447AC1">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76361" w14:textId="1AB9B725" w:rsidR="001C3CA0" w:rsidRPr="0033525D" w:rsidRDefault="001C3CA0" w:rsidP="001C3CA0">
    <w:pPr>
      <w:jc w:val="center"/>
    </w:pPr>
    <w:r>
      <w:fldChar w:fldCharType="begin"/>
    </w:r>
    <w:r>
      <w:instrText xml:space="preserve"> PAGE </w:instrText>
    </w:r>
    <w:r>
      <w:fldChar w:fldCharType="separate"/>
    </w:r>
    <w:r w:rsidR="00447AC1">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43B1" w14:textId="77777777" w:rsidR="00F239D7" w:rsidRDefault="00F239D7"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6262C958" w14:textId="77777777" w:rsidR="00F239D7" w:rsidRDefault="00F239D7"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D95D9" w14:textId="77777777" w:rsidR="00A464B2" w:rsidRDefault="00A464B2" w:rsidP="004A504B">
      <w:r>
        <w:separator/>
      </w:r>
    </w:p>
  </w:footnote>
  <w:footnote w:type="continuationSeparator" w:id="0">
    <w:p w14:paraId="7C3E6837" w14:textId="77777777" w:rsidR="00A464B2" w:rsidRDefault="00A464B2" w:rsidP="004A504B">
      <w:r>
        <w:continuationSeparator/>
      </w:r>
    </w:p>
  </w:footnote>
  <w:footnote w:id="1">
    <w:p w14:paraId="254ACFC1" w14:textId="77777777" w:rsidR="00D30920" w:rsidRPr="002074C3" w:rsidRDefault="00D30920" w:rsidP="00D30920">
      <w:pPr>
        <w:pStyle w:val="FootnoteText"/>
        <w:rPr>
          <w:lang w:val="en-CA"/>
        </w:rPr>
      </w:pPr>
      <w:r>
        <w:rPr>
          <w:rStyle w:val="FootnoteReference"/>
        </w:rPr>
        <w:footnoteRef/>
      </w:r>
      <w:r>
        <w:t xml:space="preserve"> </w:t>
      </w:r>
      <w:r>
        <w:rPr>
          <w:lang w:val="en-CA"/>
        </w:rPr>
        <w:t>Key aspects related to HFC-23 by-product control technologies (decision 82/85).</w:t>
      </w:r>
    </w:p>
  </w:footnote>
  <w:footnote w:id="2">
    <w:p w14:paraId="79D3C0DB" w14:textId="2AF940E1" w:rsidR="002F4D0D" w:rsidRPr="00783EFA" w:rsidRDefault="002F4D0D" w:rsidP="002F4D0D">
      <w:pPr>
        <w:pStyle w:val="FootnoteText"/>
        <w:rPr>
          <w:lang w:val="en-CA"/>
        </w:rPr>
      </w:pPr>
      <w:r>
        <w:rPr>
          <w:rStyle w:val="FootnoteReference"/>
        </w:rPr>
        <w:footnoteRef/>
      </w:r>
      <w:r>
        <w:t xml:space="preserve"> </w:t>
      </w:r>
      <w:r w:rsidRPr="00783EFA">
        <w:t xml:space="preserve">The request </w:t>
      </w:r>
      <w:r w:rsidRPr="00783EFA">
        <w:rPr>
          <w:lang w:val="en-CA"/>
        </w:rPr>
        <w:t>also includes the Government of Germany’s component of the fourth tranche for the refrigeration and air</w:t>
      </w:r>
      <w:r w:rsidRPr="00783EFA">
        <w:rPr>
          <w:lang w:val="en-CA"/>
        </w:rPr>
        <w:noBreakHyphen/>
        <w:t xml:space="preserve">conditioning servicing sector plan and the enabling </w:t>
      </w:r>
      <w:r w:rsidR="004E691E">
        <w:rPr>
          <w:lang w:val="en-CA"/>
        </w:rPr>
        <w:t>programme</w:t>
      </w:r>
      <w:r w:rsidRPr="00783EFA">
        <w:rPr>
          <w:lang w:val="en-CA"/>
        </w:rPr>
        <w:t>.</w:t>
      </w:r>
    </w:p>
  </w:footnote>
  <w:footnote w:id="3">
    <w:p w14:paraId="7AB76A7D" w14:textId="3B4A5ED2" w:rsidR="005B6263" w:rsidRPr="00783EFA" w:rsidRDefault="005B6263" w:rsidP="005B6263">
      <w:pPr>
        <w:pStyle w:val="FootnoteText"/>
        <w:rPr>
          <w:lang w:val="en-US"/>
        </w:rPr>
      </w:pPr>
      <w:r w:rsidRPr="00783EFA">
        <w:rPr>
          <w:rStyle w:val="FootnoteReference"/>
        </w:rPr>
        <w:footnoteRef/>
      </w:r>
      <w:r w:rsidRPr="00783EFA">
        <w:t xml:space="preserve"> The Executive Committee decided to note that during the implementation of stage</w:t>
      </w:r>
      <w:r w:rsidR="00754DEF" w:rsidRPr="00783EFA">
        <w:t> </w:t>
      </w:r>
      <w:r w:rsidRPr="00783EFA">
        <w:t>II of the HPMP, the Government of Pakistan could submit an investment project to phase out the use of HCFC-142b in the extruded polystyrene foam manufacturing sector on the condition that the country’s baseline consumption was revised to include HCFC</w:t>
      </w:r>
      <w:r w:rsidR="00754DEF" w:rsidRPr="00783EFA">
        <w:noBreakHyphen/>
      </w:r>
      <w:r w:rsidRPr="00783EFA">
        <w:t>142b and approved by the Meeting of the Parties to the Montreal Protocol</w:t>
      </w:r>
      <w:r w:rsidR="00754DEF" w:rsidRPr="00783EFA">
        <w:t>.</w:t>
      </w:r>
    </w:p>
  </w:footnote>
  <w:footnote w:id="4">
    <w:p w14:paraId="697D34EB" w14:textId="083C69C9" w:rsidR="005B6263" w:rsidRPr="00204FAA" w:rsidRDefault="005B6263" w:rsidP="005B6263">
      <w:pPr>
        <w:pStyle w:val="FootnoteText"/>
        <w:rPr>
          <w:lang w:val="en-US"/>
        </w:rPr>
      </w:pPr>
      <w:r w:rsidRPr="00783EFA">
        <w:rPr>
          <w:rStyle w:val="FootnoteReference"/>
        </w:rPr>
        <w:footnoteRef/>
      </w:r>
      <w:r w:rsidR="00754DEF" w:rsidRPr="00783EFA">
        <w:t xml:space="preserve"> </w:t>
      </w:r>
      <w:r w:rsidR="00413D82" w:rsidRPr="00783EFA">
        <w:t>The c</w:t>
      </w:r>
      <w:r w:rsidR="00754DEF" w:rsidRPr="00783EFA">
        <w:t>ost-</w:t>
      </w:r>
      <w:r w:rsidRPr="00783EFA">
        <w:t>effectiveness</w:t>
      </w:r>
      <w:r>
        <w:t xml:space="preserve"> </w:t>
      </w:r>
      <w:r w:rsidRPr="00204FAA">
        <w:t>threshold established for the XPS</w:t>
      </w:r>
      <w:r>
        <w:t xml:space="preserve"> foam</w:t>
      </w:r>
      <w:r w:rsidR="009B0ACC">
        <w:t xml:space="preserve"> sector </w:t>
      </w:r>
      <w:r>
        <w:t>is</w:t>
      </w:r>
      <w:r w:rsidRPr="00204FAA">
        <w:t xml:space="preserve"> </w:t>
      </w:r>
      <w:r w:rsidR="00754DEF">
        <w:t>US $</w:t>
      </w:r>
      <w:r w:rsidRPr="00204FAA">
        <w:t>10.27/kg.</w:t>
      </w:r>
    </w:p>
  </w:footnote>
  <w:footnote w:id="5">
    <w:p w14:paraId="6CF2A1EC" w14:textId="77777777" w:rsidR="00F239D7" w:rsidRPr="00915068" w:rsidRDefault="00F239D7" w:rsidP="00802668">
      <w:pPr>
        <w:pStyle w:val="FootnoteText"/>
        <w:rPr>
          <w:lang w:val="en-CA"/>
        </w:rPr>
      </w:pPr>
      <w:r>
        <w:rPr>
          <w:rStyle w:val="FootnoteReference"/>
        </w:rPr>
        <w:footnoteRef/>
      </w:r>
      <w:r>
        <w:t xml:space="preserve"> </w:t>
      </w:r>
      <w:r>
        <w:rPr>
          <w:lang w:val="en-CA"/>
        </w:rPr>
        <w:t>Decision 79/4(c).</w:t>
      </w:r>
    </w:p>
  </w:footnote>
  <w:footnote w:id="6">
    <w:p w14:paraId="46307536" w14:textId="44ECF106" w:rsidR="00F239D7" w:rsidRPr="003A4439" w:rsidRDefault="00F239D7" w:rsidP="00802668">
      <w:pPr>
        <w:pStyle w:val="FootnoteText"/>
      </w:pPr>
      <w:r>
        <w:rPr>
          <w:rStyle w:val="FootnoteReference"/>
        </w:rPr>
        <w:footnoteRef/>
      </w:r>
      <w:r>
        <w:t xml:space="preserve"> T</w:t>
      </w:r>
      <w:r w:rsidRPr="003A4439">
        <w:t>he Secretariat was requested to provide</w:t>
      </w:r>
      <w:r>
        <w:t>,</w:t>
      </w:r>
      <w:r w:rsidRPr="003A4439">
        <w:t xml:space="preserve"> at the first meeting of each year, a list representing 20</w:t>
      </w:r>
      <w:r w:rsidR="008B0F8E">
        <w:t> </w:t>
      </w:r>
      <w:r w:rsidRPr="003A4439">
        <w:t>per</w:t>
      </w:r>
      <w:r w:rsidR="008B0F8E">
        <w:t> </w:t>
      </w:r>
      <w:r w:rsidRPr="003A4439">
        <w:t>cent of countries with an HCFC consumption baseline of up to 360</w:t>
      </w:r>
      <w:r w:rsidR="008B0F8E">
        <w:t> </w:t>
      </w:r>
      <w:r w:rsidRPr="003A4439">
        <w:t>metric</w:t>
      </w:r>
      <w:r w:rsidR="008B0F8E">
        <w:t> </w:t>
      </w:r>
      <w:r w:rsidRPr="003A4439">
        <w:t>tonnes (</w:t>
      </w:r>
      <w:proofErr w:type="spellStart"/>
      <w:r w:rsidRPr="003A4439">
        <w:t>mt</w:t>
      </w:r>
      <w:proofErr w:type="spellEnd"/>
      <w:r w:rsidRPr="003A4439">
        <w:t>)</w:t>
      </w:r>
      <w:r>
        <w:t>,</w:t>
      </w:r>
      <w:r w:rsidRPr="003A4439">
        <w:t xml:space="preserve"> and </w:t>
      </w:r>
      <w:r>
        <w:t>with</w:t>
      </w:r>
      <w:r w:rsidRPr="003A4439">
        <w:t xml:space="preserve"> an approved HPMP, to approve funding for them for the purposes of verification of that country’s compliance with the HPMP agreement for that year.</w:t>
      </w:r>
    </w:p>
  </w:footnote>
  <w:footnote w:id="7">
    <w:p w14:paraId="0303B28C" w14:textId="6E170AB9" w:rsidR="002F4D0D" w:rsidRPr="00FF39CA" w:rsidRDefault="002F4D0D" w:rsidP="002F4D0D">
      <w:pPr>
        <w:pStyle w:val="FootnoteText"/>
        <w:rPr>
          <w:lang w:val="en-CA"/>
        </w:rPr>
      </w:pPr>
      <w:r>
        <w:rPr>
          <w:rStyle w:val="FootnoteReference"/>
        </w:rPr>
        <w:footnoteRef/>
      </w:r>
      <w:r>
        <w:t xml:space="preserve"> </w:t>
      </w:r>
      <w:r w:rsidRPr="00783EFA">
        <w:rPr>
          <w:lang w:val="en-CA"/>
        </w:rPr>
        <w:t>The request also includes the Government of Germany’s component of the fourth tranche f</w:t>
      </w:r>
      <w:r w:rsidR="004E691E">
        <w:rPr>
          <w:lang w:val="en-CA"/>
        </w:rPr>
        <w:t>or the</w:t>
      </w:r>
      <w:r w:rsidRPr="00783EFA">
        <w:rPr>
          <w:lang w:val="en-CA"/>
        </w:rPr>
        <w:t xml:space="preserve"> refrigeration and air</w:t>
      </w:r>
      <w:r w:rsidRPr="00783EFA">
        <w:rPr>
          <w:lang w:val="en-CA"/>
        </w:rPr>
        <w:noBreakHyphen/>
        <w:t>conditioning servicing sector plan and</w:t>
      </w:r>
      <w:r w:rsidRPr="009E1A79">
        <w:rPr>
          <w:lang w:val="en-CA"/>
        </w:rPr>
        <w:t xml:space="preserve"> enabling </w:t>
      </w:r>
      <w:r w:rsidR="004E691E">
        <w:rPr>
          <w:lang w:val="en-CA"/>
        </w:rPr>
        <w:t>programme</w:t>
      </w:r>
      <w:r>
        <w:rPr>
          <w:lang w:val="en-C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29812" w14:textId="56BC2CED" w:rsidR="00F239D7" w:rsidRPr="0033525D" w:rsidRDefault="00061273">
    <w:r>
      <w:fldChar w:fldCharType="begin"/>
    </w:r>
    <w:r>
      <w:instrText xml:space="preserve"> DOCPROPERTY "Document number"  \* MERGEFORMAT </w:instrText>
    </w:r>
    <w:r>
      <w:fldChar w:fldCharType="separate"/>
    </w:r>
    <w:r w:rsidR="00E34A56">
      <w:t>UNEP/</w:t>
    </w:r>
    <w:proofErr w:type="spellStart"/>
    <w:r w:rsidR="00E34A56">
      <w:t>OzL.Pro</w:t>
    </w:r>
    <w:proofErr w:type="spellEnd"/>
    <w:r w:rsidR="00E34A56">
      <w:t>/</w:t>
    </w:r>
    <w:proofErr w:type="spellStart"/>
    <w:r w:rsidR="00E34A56">
      <w:t>ExCom</w:t>
    </w:r>
    <w:proofErr w:type="spellEnd"/>
    <w:r w:rsidR="00E34A56">
      <w:t>/83/15</w:t>
    </w:r>
    <w:r>
      <w:fldChar w:fldCharType="end"/>
    </w:r>
  </w:p>
  <w:p w14:paraId="0230BACB" w14:textId="77777777" w:rsidR="00F239D7" w:rsidRPr="0033525D" w:rsidRDefault="00F239D7"/>
  <w:p w14:paraId="227A9F77" w14:textId="77777777" w:rsidR="00F239D7" w:rsidRPr="0033525D" w:rsidRDefault="00F239D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83E9" w14:textId="03B42A5D" w:rsidR="001C3CA0" w:rsidRDefault="001C3CA0" w:rsidP="001C3CA0">
    <w:pPr>
      <w:jc w:val="right"/>
    </w:pPr>
    <w:r>
      <w:fldChar w:fldCharType="begin"/>
    </w:r>
    <w:r>
      <w:instrText xml:space="preserve"> DOCPROPERTY "Document number"  \* MERGEFORMAT </w:instrText>
    </w:r>
    <w:r>
      <w:fldChar w:fldCharType="separate"/>
    </w:r>
    <w:r w:rsidR="00E34A56">
      <w:t>UNEP/</w:t>
    </w:r>
    <w:proofErr w:type="spellStart"/>
    <w:r w:rsidR="00E34A56">
      <w:t>OzL.Pro</w:t>
    </w:r>
    <w:proofErr w:type="spellEnd"/>
    <w:r w:rsidR="00E34A56">
      <w:t>/</w:t>
    </w:r>
    <w:proofErr w:type="spellStart"/>
    <w:r w:rsidR="00E34A56">
      <w:t>ExCom</w:t>
    </w:r>
    <w:proofErr w:type="spellEnd"/>
    <w:r w:rsidR="00E34A56">
      <w:t>/83/15</w:t>
    </w:r>
    <w:r>
      <w:fldChar w:fldCharType="end"/>
    </w:r>
  </w:p>
  <w:p w14:paraId="2C16DB34" w14:textId="77777777" w:rsidR="001C3CA0" w:rsidRPr="0033525D" w:rsidRDefault="001C3CA0" w:rsidP="001C3CA0">
    <w:pPr>
      <w:jc w:val="right"/>
    </w:pPr>
  </w:p>
  <w:p w14:paraId="2C3FC966" w14:textId="5B3D72DA" w:rsidR="001C3CA0" w:rsidRDefault="001C3CA0" w:rsidP="001C3CA0">
    <w:pPr>
      <w:pStyle w:val="Header"/>
      <w:tabs>
        <w:tab w:val="clear" w:pos="4320"/>
        <w:tab w:val="clear" w:pos="8640"/>
        <w:tab w:val="left" w:pos="12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F1259A8"/>
    <w:lvl w:ilvl="0">
      <w:start w:val="1"/>
      <w:numFmt w:val="decimal"/>
      <w:pStyle w:val="Heading1"/>
      <w:lvlText w:val="%1."/>
      <w:lvlJc w:val="left"/>
      <w:pPr>
        <w:tabs>
          <w:tab w:val="num" w:pos="0"/>
        </w:tabs>
        <w:ind w:left="0" w:firstLine="0"/>
      </w:pPr>
      <w:rPr>
        <w:strike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944266F"/>
    <w:multiLevelType w:val="hybridMultilevel"/>
    <w:tmpl w:val="9D683EDE"/>
    <w:lvl w:ilvl="0" w:tplc="4562455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4D12120"/>
    <w:multiLevelType w:val="hybridMultilevel"/>
    <w:tmpl w:val="B65A103A"/>
    <w:lvl w:ilvl="0" w:tplc="F8D828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002F1"/>
    <w:multiLevelType w:val="hybridMultilevel"/>
    <w:tmpl w:val="EFFC54DC"/>
    <w:lvl w:ilvl="0" w:tplc="C1766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7E3F05E7"/>
    <w:multiLevelType w:val="hybridMultilevel"/>
    <w:tmpl w:val="747E8F5E"/>
    <w:lvl w:ilvl="0" w:tplc="A27E44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8"/>
  </w:num>
  <w:num w:numId="20">
    <w:abstractNumId w:val="13"/>
  </w:num>
  <w:num w:numId="21">
    <w:abstractNumId w:val="11"/>
  </w:num>
  <w:num w:numId="22">
    <w:abstractNumId w:val="1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063836"/>
    <w:rsid w:val="00000FED"/>
    <w:rsid w:val="0000434E"/>
    <w:rsid w:val="00005849"/>
    <w:rsid w:val="000211A9"/>
    <w:rsid w:val="00031260"/>
    <w:rsid w:val="00033E3F"/>
    <w:rsid w:val="0003681A"/>
    <w:rsid w:val="00052C5C"/>
    <w:rsid w:val="00061273"/>
    <w:rsid w:val="00061EC2"/>
    <w:rsid w:val="00063836"/>
    <w:rsid w:val="00066BB2"/>
    <w:rsid w:val="00080ED0"/>
    <w:rsid w:val="00084F0B"/>
    <w:rsid w:val="00085B8F"/>
    <w:rsid w:val="00085FE8"/>
    <w:rsid w:val="00090481"/>
    <w:rsid w:val="0009632C"/>
    <w:rsid w:val="000A4787"/>
    <w:rsid w:val="000A6C26"/>
    <w:rsid w:val="000B1D57"/>
    <w:rsid w:val="000D52A4"/>
    <w:rsid w:val="000E07BC"/>
    <w:rsid w:val="000E1859"/>
    <w:rsid w:val="000E4235"/>
    <w:rsid w:val="000F1CD4"/>
    <w:rsid w:val="000F4103"/>
    <w:rsid w:val="000F697B"/>
    <w:rsid w:val="000F70A7"/>
    <w:rsid w:val="00113CCA"/>
    <w:rsid w:val="00122F25"/>
    <w:rsid w:val="00135980"/>
    <w:rsid w:val="00135C79"/>
    <w:rsid w:val="001644AC"/>
    <w:rsid w:val="00164719"/>
    <w:rsid w:val="00166FC4"/>
    <w:rsid w:val="001677AC"/>
    <w:rsid w:val="001804EA"/>
    <w:rsid w:val="00190A61"/>
    <w:rsid w:val="001A3342"/>
    <w:rsid w:val="001A3E3D"/>
    <w:rsid w:val="001A4194"/>
    <w:rsid w:val="001A7049"/>
    <w:rsid w:val="001B1D88"/>
    <w:rsid w:val="001B1E40"/>
    <w:rsid w:val="001B6487"/>
    <w:rsid w:val="001C3C80"/>
    <w:rsid w:val="001C3CA0"/>
    <w:rsid w:val="001C6FF5"/>
    <w:rsid w:val="001C764E"/>
    <w:rsid w:val="001E1052"/>
    <w:rsid w:val="001E1CCC"/>
    <w:rsid w:val="001E21B1"/>
    <w:rsid w:val="001E2F93"/>
    <w:rsid w:val="001E61E5"/>
    <w:rsid w:val="001F2159"/>
    <w:rsid w:val="002074C3"/>
    <w:rsid w:val="00214863"/>
    <w:rsid w:val="002156B4"/>
    <w:rsid w:val="0022224C"/>
    <w:rsid w:val="00247843"/>
    <w:rsid w:val="00253222"/>
    <w:rsid w:val="00262847"/>
    <w:rsid w:val="00270A4B"/>
    <w:rsid w:val="00281BB2"/>
    <w:rsid w:val="002B08D9"/>
    <w:rsid w:val="002B72E9"/>
    <w:rsid w:val="002C7998"/>
    <w:rsid w:val="002F1E53"/>
    <w:rsid w:val="002F263D"/>
    <w:rsid w:val="002F2CAA"/>
    <w:rsid w:val="002F4D0D"/>
    <w:rsid w:val="0030052C"/>
    <w:rsid w:val="003030AC"/>
    <w:rsid w:val="00326616"/>
    <w:rsid w:val="003306E1"/>
    <w:rsid w:val="003320E4"/>
    <w:rsid w:val="0033525D"/>
    <w:rsid w:val="003414F3"/>
    <w:rsid w:val="0035613E"/>
    <w:rsid w:val="00363EE9"/>
    <w:rsid w:val="00376128"/>
    <w:rsid w:val="003769D0"/>
    <w:rsid w:val="0037742E"/>
    <w:rsid w:val="00377D56"/>
    <w:rsid w:val="0038245A"/>
    <w:rsid w:val="003840E6"/>
    <w:rsid w:val="00385CFC"/>
    <w:rsid w:val="003919B9"/>
    <w:rsid w:val="0039337A"/>
    <w:rsid w:val="003A3189"/>
    <w:rsid w:val="003A3CA7"/>
    <w:rsid w:val="003B33BD"/>
    <w:rsid w:val="003B569D"/>
    <w:rsid w:val="003C0C29"/>
    <w:rsid w:val="003C3C0E"/>
    <w:rsid w:val="003D47DA"/>
    <w:rsid w:val="003D4FAC"/>
    <w:rsid w:val="003E7906"/>
    <w:rsid w:val="003F3C50"/>
    <w:rsid w:val="003F5FBE"/>
    <w:rsid w:val="00406A6A"/>
    <w:rsid w:val="00406B22"/>
    <w:rsid w:val="00413D82"/>
    <w:rsid w:val="004174B4"/>
    <w:rsid w:val="00431653"/>
    <w:rsid w:val="004328A7"/>
    <w:rsid w:val="00434C74"/>
    <w:rsid w:val="00447AC1"/>
    <w:rsid w:val="004518BC"/>
    <w:rsid w:val="00456EB4"/>
    <w:rsid w:val="004640F8"/>
    <w:rsid w:val="004718F3"/>
    <w:rsid w:val="00475040"/>
    <w:rsid w:val="00481311"/>
    <w:rsid w:val="00484136"/>
    <w:rsid w:val="00485E32"/>
    <w:rsid w:val="00493D40"/>
    <w:rsid w:val="0049458A"/>
    <w:rsid w:val="004967B6"/>
    <w:rsid w:val="004A504B"/>
    <w:rsid w:val="004A6911"/>
    <w:rsid w:val="004B54E0"/>
    <w:rsid w:val="004B7384"/>
    <w:rsid w:val="004B75AC"/>
    <w:rsid w:val="004C1A69"/>
    <w:rsid w:val="004C4269"/>
    <w:rsid w:val="004D6236"/>
    <w:rsid w:val="004D7F90"/>
    <w:rsid w:val="004E360B"/>
    <w:rsid w:val="004E4DBB"/>
    <w:rsid w:val="004E4E41"/>
    <w:rsid w:val="004E691E"/>
    <w:rsid w:val="004E7F9C"/>
    <w:rsid w:val="004F3493"/>
    <w:rsid w:val="004F5143"/>
    <w:rsid w:val="00503EB0"/>
    <w:rsid w:val="00512B09"/>
    <w:rsid w:val="00515B2F"/>
    <w:rsid w:val="005175CA"/>
    <w:rsid w:val="005226A4"/>
    <w:rsid w:val="00533796"/>
    <w:rsid w:val="005421D1"/>
    <w:rsid w:val="005432AA"/>
    <w:rsid w:val="00555D75"/>
    <w:rsid w:val="00560DF0"/>
    <w:rsid w:val="00565CA6"/>
    <w:rsid w:val="0056759C"/>
    <w:rsid w:val="0059513E"/>
    <w:rsid w:val="005A2452"/>
    <w:rsid w:val="005B09D7"/>
    <w:rsid w:val="005B48FF"/>
    <w:rsid w:val="005B6263"/>
    <w:rsid w:val="005B62E0"/>
    <w:rsid w:val="00604C15"/>
    <w:rsid w:val="00606AD1"/>
    <w:rsid w:val="00607B49"/>
    <w:rsid w:val="00614BE0"/>
    <w:rsid w:val="006158D5"/>
    <w:rsid w:val="00625D83"/>
    <w:rsid w:val="006623E7"/>
    <w:rsid w:val="00662B80"/>
    <w:rsid w:val="00670F6C"/>
    <w:rsid w:val="00671EDE"/>
    <w:rsid w:val="006852C7"/>
    <w:rsid w:val="006852CE"/>
    <w:rsid w:val="00692930"/>
    <w:rsid w:val="006C1727"/>
    <w:rsid w:val="006C32FD"/>
    <w:rsid w:val="006C39CE"/>
    <w:rsid w:val="006D0FCC"/>
    <w:rsid w:val="006D1D2D"/>
    <w:rsid w:val="006E1FC3"/>
    <w:rsid w:val="006E2314"/>
    <w:rsid w:val="0070616B"/>
    <w:rsid w:val="00706FDA"/>
    <w:rsid w:val="00711F9A"/>
    <w:rsid w:val="00713810"/>
    <w:rsid w:val="007303A5"/>
    <w:rsid w:val="00730B3E"/>
    <w:rsid w:val="00731B99"/>
    <w:rsid w:val="0073420B"/>
    <w:rsid w:val="0074760E"/>
    <w:rsid w:val="00754ABA"/>
    <w:rsid w:val="00754DEF"/>
    <w:rsid w:val="00783EFA"/>
    <w:rsid w:val="007A1546"/>
    <w:rsid w:val="007A228C"/>
    <w:rsid w:val="007A368E"/>
    <w:rsid w:val="007A5868"/>
    <w:rsid w:val="007B04CE"/>
    <w:rsid w:val="007B6871"/>
    <w:rsid w:val="007B7A2F"/>
    <w:rsid w:val="007C227C"/>
    <w:rsid w:val="007C3D33"/>
    <w:rsid w:val="007D294A"/>
    <w:rsid w:val="007D47D2"/>
    <w:rsid w:val="007D6EC0"/>
    <w:rsid w:val="007D7E1D"/>
    <w:rsid w:val="00802668"/>
    <w:rsid w:val="00831979"/>
    <w:rsid w:val="008332F3"/>
    <w:rsid w:val="00851352"/>
    <w:rsid w:val="00863230"/>
    <w:rsid w:val="008717D8"/>
    <w:rsid w:val="0087215C"/>
    <w:rsid w:val="00880E35"/>
    <w:rsid w:val="00884806"/>
    <w:rsid w:val="008875FE"/>
    <w:rsid w:val="00887F8E"/>
    <w:rsid w:val="00896234"/>
    <w:rsid w:val="00897E43"/>
    <w:rsid w:val="008B0F8E"/>
    <w:rsid w:val="008C5738"/>
    <w:rsid w:val="008C7EAD"/>
    <w:rsid w:val="008D0CFE"/>
    <w:rsid w:val="008D3375"/>
    <w:rsid w:val="008D6152"/>
    <w:rsid w:val="008F0F81"/>
    <w:rsid w:val="008F27BF"/>
    <w:rsid w:val="009142EC"/>
    <w:rsid w:val="009154C3"/>
    <w:rsid w:val="00923540"/>
    <w:rsid w:val="00926767"/>
    <w:rsid w:val="009361D5"/>
    <w:rsid w:val="009428A4"/>
    <w:rsid w:val="00964BF5"/>
    <w:rsid w:val="009659F4"/>
    <w:rsid w:val="00970D60"/>
    <w:rsid w:val="009736C4"/>
    <w:rsid w:val="0097639A"/>
    <w:rsid w:val="009960E5"/>
    <w:rsid w:val="009A7ADC"/>
    <w:rsid w:val="009B0ACC"/>
    <w:rsid w:val="009B437B"/>
    <w:rsid w:val="009C19B7"/>
    <w:rsid w:val="009C2289"/>
    <w:rsid w:val="009C28DC"/>
    <w:rsid w:val="009C6CB9"/>
    <w:rsid w:val="009D7C51"/>
    <w:rsid w:val="009E196C"/>
    <w:rsid w:val="009E1A79"/>
    <w:rsid w:val="009F36BF"/>
    <w:rsid w:val="00A111B6"/>
    <w:rsid w:val="00A2547B"/>
    <w:rsid w:val="00A26D27"/>
    <w:rsid w:val="00A34E76"/>
    <w:rsid w:val="00A376EE"/>
    <w:rsid w:val="00A42A99"/>
    <w:rsid w:val="00A464B2"/>
    <w:rsid w:val="00A5151A"/>
    <w:rsid w:val="00A56465"/>
    <w:rsid w:val="00A572DF"/>
    <w:rsid w:val="00A57E0A"/>
    <w:rsid w:val="00A823F6"/>
    <w:rsid w:val="00A93BBA"/>
    <w:rsid w:val="00AA0A89"/>
    <w:rsid w:val="00AA6429"/>
    <w:rsid w:val="00AC01AA"/>
    <w:rsid w:val="00AC1415"/>
    <w:rsid w:val="00AC4F72"/>
    <w:rsid w:val="00AE77AA"/>
    <w:rsid w:val="00AF741A"/>
    <w:rsid w:val="00B01ADB"/>
    <w:rsid w:val="00B04161"/>
    <w:rsid w:val="00B056F9"/>
    <w:rsid w:val="00B06117"/>
    <w:rsid w:val="00B11E3D"/>
    <w:rsid w:val="00B12B29"/>
    <w:rsid w:val="00B1545E"/>
    <w:rsid w:val="00B17E82"/>
    <w:rsid w:val="00B349C0"/>
    <w:rsid w:val="00B4575A"/>
    <w:rsid w:val="00B575BA"/>
    <w:rsid w:val="00B62736"/>
    <w:rsid w:val="00B76429"/>
    <w:rsid w:val="00B956D4"/>
    <w:rsid w:val="00B97446"/>
    <w:rsid w:val="00BA5E7F"/>
    <w:rsid w:val="00BA7432"/>
    <w:rsid w:val="00BC1AA0"/>
    <w:rsid w:val="00BC2495"/>
    <w:rsid w:val="00BC7EB9"/>
    <w:rsid w:val="00BD2643"/>
    <w:rsid w:val="00BD2C65"/>
    <w:rsid w:val="00BD56B1"/>
    <w:rsid w:val="00BD6558"/>
    <w:rsid w:val="00BF3022"/>
    <w:rsid w:val="00BF3214"/>
    <w:rsid w:val="00BF5573"/>
    <w:rsid w:val="00C07A3B"/>
    <w:rsid w:val="00C1325C"/>
    <w:rsid w:val="00C15867"/>
    <w:rsid w:val="00C2296D"/>
    <w:rsid w:val="00C23155"/>
    <w:rsid w:val="00C3289A"/>
    <w:rsid w:val="00C34460"/>
    <w:rsid w:val="00C40C41"/>
    <w:rsid w:val="00C416B1"/>
    <w:rsid w:val="00C45885"/>
    <w:rsid w:val="00C50F22"/>
    <w:rsid w:val="00C52473"/>
    <w:rsid w:val="00C57971"/>
    <w:rsid w:val="00C61887"/>
    <w:rsid w:val="00C65BD7"/>
    <w:rsid w:val="00C71131"/>
    <w:rsid w:val="00C737BC"/>
    <w:rsid w:val="00C76BA4"/>
    <w:rsid w:val="00C83A48"/>
    <w:rsid w:val="00C85865"/>
    <w:rsid w:val="00C85E85"/>
    <w:rsid w:val="00C85FF7"/>
    <w:rsid w:val="00CA2EAE"/>
    <w:rsid w:val="00CA4AC1"/>
    <w:rsid w:val="00CA796B"/>
    <w:rsid w:val="00CB0316"/>
    <w:rsid w:val="00CB0B11"/>
    <w:rsid w:val="00CB5354"/>
    <w:rsid w:val="00CC299E"/>
    <w:rsid w:val="00CC6A14"/>
    <w:rsid w:val="00CC70A3"/>
    <w:rsid w:val="00CD4442"/>
    <w:rsid w:val="00CD53C3"/>
    <w:rsid w:val="00CD574E"/>
    <w:rsid w:val="00CE4C22"/>
    <w:rsid w:val="00CF41EC"/>
    <w:rsid w:val="00CF5D04"/>
    <w:rsid w:val="00D04DE4"/>
    <w:rsid w:val="00D063F1"/>
    <w:rsid w:val="00D13CD0"/>
    <w:rsid w:val="00D14F22"/>
    <w:rsid w:val="00D21DE9"/>
    <w:rsid w:val="00D30920"/>
    <w:rsid w:val="00D4741C"/>
    <w:rsid w:val="00D57918"/>
    <w:rsid w:val="00D66A3E"/>
    <w:rsid w:val="00D73DC6"/>
    <w:rsid w:val="00D74C1A"/>
    <w:rsid w:val="00D754C1"/>
    <w:rsid w:val="00D75C63"/>
    <w:rsid w:val="00D77393"/>
    <w:rsid w:val="00D77A35"/>
    <w:rsid w:val="00D81B3E"/>
    <w:rsid w:val="00D90C70"/>
    <w:rsid w:val="00D90E49"/>
    <w:rsid w:val="00D96ADE"/>
    <w:rsid w:val="00DA0CE2"/>
    <w:rsid w:val="00DC6A10"/>
    <w:rsid w:val="00DE35F0"/>
    <w:rsid w:val="00DE657E"/>
    <w:rsid w:val="00DE79D8"/>
    <w:rsid w:val="00DF4704"/>
    <w:rsid w:val="00E024AA"/>
    <w:rsid w:val="00E1040B"/>
    <w:rsid w:val="00E250F1"/>
    <w:rsid w:val="00E27C03"/>
    <w:rsid w:val="00E34A56"/>
    <w:rsid w:val="00E3550D"/>
    <w:rsid w:val="00E41335"/>
    <w:rsid w:val="00E614E0"/>
    <w:rsid w:val="00E73F7F"/>
    <w:rsid w:val="00E85409"/>
    <w:rsid w:val="00E94525"/>
    <w:rsid w:val="00EA429F"/>
    <w:rsid w:val="00EA4F9E"/>
    <w:rsid w:val="00EA63CA"/>
    <w:rsid w:val="00EA6D3B"/>
    <w:rsid w:val="00EB00AD"/>
    <w:rsid w:val="00EB136C"/>
    <w:rsid w:val="00EB35CC"/>
    <w:rsid w:val="00EB480E"/>
    <w:rsid w:val="00EB5EC6"/>
    <w:rsid w:val="00EB7FC9"/>
    <w:rsid w:val="00ED27E8"/>
    <w:rsid w:val="00ED7137"/>
    <w:rsid w:val="00EE66BA"/>
    <w:rsid w:val="00EF01D2"/>
    <w:rsid w:val="00F21088"/>
    <w:rsid w:val="00F22BC7"/>
    <w:rsid w:val="00F239D7"/>
    <w:rsid w:val="00F268BE"/>
    <w:rsid w:val="00F26E2B"/>
    <w:rsid w:val="00F327E7"/>
    <w:rsid w:val="00F35746"/>
    <w:rsid w:val="00F447C7"/>
    <w:rsid w:val="00F5211B"/>
    <w:rsid w:val="00F554A9"/>
    <w:rsid w:val="00F559DF"/>
    <w:rsid w:val="00F716FD"/>
    <w:rsid w:val="00F80355"/>
    <w:rsid w:val="00F87C43"/>
    <w:rsid w:val="00F9185E"/>
    <w:rsid w:val="00F94605"/>
    <w:rsid w:val="00FB0C81"/>
    <w:rsid w:val="00FC2200"/>
    <w:rsid w:val="00FC2540"/>
    <w:rsid w:val="00FF0204"/>
    <w:rsid w:val="00FF39CA"/>
    <w:rsid w:val="00FF3AED"/>
    <w:rsid w:val="00FF45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D562F3"/>
  <w15:docId w15:val="{306C93CC-DDC9-4C00-BDAA-F602CBC7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802668"/>
    <w:rPr>
      <w:sz w:val="22"/>
      <w:szCs w:val="22"/>
      <w:lang w:val="en-GB"/>
    </w:rPr>
  </w:style>
  <w:style w:type="character" w:styleId="FootnoteReference">
    <w:name w:val="footnote reference"/>
    <w:basedOn w:val="DefaultParagraphFont"/>
    <w:uiPriority w:val="99"/>
    <w:semiHidden/>
    <w:unhideWhenUsed/>
    <w:rsid w:val="00802668"/>
    <w:rPr>
      <w:vertAlign w:val="superscript"/>
    </w:rPr>
  </w:style>
  <w:style w:type="paragraph" w:styleId="ListParagraph">
    <w:name w:val="List Paragraph"/>
    <w:basedOn w:val="Normal"/>
    <w:uiPriority w:val="34"/>
    <w:qFormat/>
    <w:rsid w:val="00802668"/>
    <w:pPr>
      <w:ind w:left="720"/>
      <w:contextualSpacing/>
    </w:pPr>
  </w:style>
  <w:style w:type="paragraph" w:styleId="FootnoteText">
    <w:name w:val="footnote text"/>
    <w:aliases w:val="Char1,Char1 Char Char, Char1, Char1 Char Char"/>
    <w:basedOn w:val="Normal"/>
    <w:link w:val="FootnoteTextChar"/>
    <w:uiPriority w:val="99"/>
    <w:unhideWhenUsed/>
    <w:qFormat/>
    <w:rsid w:val="00802668"/>
    <w:rPr>
      <w:sz w:val="20"/>
      <w:szCs w:val="20"/>
    </w:rPr>
  </w:style>
  <w:style w:type="character" w:customStyle="1" w:styleId="FootnoteTextChar">
    <w:name w:val="Footnote Text Char"/>
    <w:aliases w:val="Char1 Char,Char1 Char Char Char, Char1 Char, Char1 Char Char Char"/>
    <w:basedOn w:val="DefaultParagraphFont"/>
    <w:link w:val="FootnoteText"/>
    <w:uiPriority w:val="99"/>
    <w:rsid w:val="00802668"/>
    <w:rPr>
      <w:lang w:val="en-GB"/>
    </w:rPr>
  </w:style>
  <w:style w:type="paragraph" w:styleId="Revision">
    <w:name w:val="Revision"/>
    <w:hidden/>
    <w:uiPriority w:val="99"/>
    <w:semiHidden/>
    <w:rsid w:val="00802668"/>
    <w:rPr>
      <w:sz w:val="22"/>
      <w:szCs w:val="22"/>
      <w:lang w:val="en-GB"/>
    </w:rPr>
  </w:style>
  <w:style w:type="character" w:customStyle="1" w:styleId="FooterChar">
    <w:name w:val="Footer Char"/>
    <w:basedOn w:val="DefaultParagraphFont"/>
    <w:link w:val="Footer"/>
    <w:uiPriority w:val="99"/>
    <w:rsid w:val="00802668"/>
    <w:rPr>
      <w:sz w:val="22"/>
      <w:szCs w:val="22"/>
      <w:lang w:val="en-GB"/>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uiPriority w:val="9"/>
    <w:rsid w:val="00802668"/>
    <w:rPr>
      <w:sz w:val="22"/>
      <w:szCs w:val="22"/>
      <w:lang w:val="en-GB"/>
    </w:rPr>
  </w:style>
  <w:style w:type="character" w:customStyle="1" w:styleId="Heading4Char">
    <w:name w:val="Heading 4 Char"/>
    <w:aliases w:val="Heading 11 Char,para 4 Char,Título 41 Char,heading 4 Char,Heading 41 Char"/>
    <w:basedOn w:val="DefaultParagraphFont"/>
    <w:link w:val="Heading4"/>
    <w:uiPriority w:val="9"/>
    <w:rsid w:val="00802668"/>
    <w:rPr>
      <w:sz w:val="22"/>
      <w:szCs w:val="22"/>
      <w:lang w:val="en-GB"/>
    </w:rPr>
  </w:style>
  <w:style w:type="character" w:customStyle="1" w:styleId="Heading5Char">
    <w:name w:val="Heading 5 Char"/>
    <w:basedOn w:val="DefaultParagraphFont"/>
    <w:link w:val="Heading5"/>
    <w:rsid w:val="00802668"/>
    <w:rPr>
      <w:sz w:val="22"/>
      <w:szCs w:val="22"/>
      <w:lang w:val="en-GB"/>
    </w:rPr>
  </w:style>
  <w:style w:type="character" w:customStyle="1" w:styleId="Heading6Char">
    <w:name w:val="Heading 6 Char"/>
    <w:basedOn w:val="DefaultParagraphFont"/>
    <w:link w:val="Heading6"/>
    <w:uiPriority w:val="9"/>
    <w:rsid w:val="00802668"/>
    <w:rPr>
      <w:rFonts w:ascii="Arial" w:hAnsi="Arial"/>
      <w:i/>
      <w:sz w:val="22"/>
      <w:szCs w:val="22"/>
      <w:lang w:val="en-GB"/>
    </w:rPr>
  </w:style>
  <w:style w:type="character" w:customStyle="1" w:styleId="Heading7Char">
    <w:name w:val="Heading 7 Char"/>
    <w:basedOn w:val="DefaultParagraphFont"/>
    <w:link w:val="Heading7"/>
    <w:uiPriority w:val="9"/>
    <w:rsid w:val="00802668"/>
    <w:rPr>
      <w:rFonts w:ascii="Arial" w:hAnsi="Arial"/>
      <w:sz w:val="22"/>
      <w:szCs w:val="22"/>
      <w:lang w:val="en-GB"/>
    </w:rPr>
  </w:style>
  <w:style w:type="character" w:customStyle="1" w:styleId="Heading8Char">
    <w:name w:val="Heading 8 Char"/>
    <w:basedOn w:val="DefaultParagraphFont"/>
    <w:link w:val="Heading8"/>
    <w:rsid w:val="00802668"/>
    <w:rPr>
      <w:b/>
      <w:sz w:val="22"/>
      <w:szCs w:val="22"/>
      <w:lang w:val="en-GB"/>
    </w:rPr>
  </w:style>
  <w:style w:type="character" w:customStyle="1" w:styleId="Heading9Char">
    <w:name w:val="Heading 9 Char"/>
    <w:basedOn w:val="DefaultParagraphFont"/>
    <w:link w:val="Heading9"/>
    <w:uiPriority w:val="9"/>
    <w:rsid w:val="00802668"/>
    <w:rPr>
      <w:rFonts w:ascii="Arial" w:hAnsi="Arial"/>
      <w:i/>
      <w:sz w:val="18"/>
      <w:szCs w:val="22"/>
      <w:lang w:val="en-GB"/>
    </w:rPr>
  </w:style>
  <w:style w:type="numbering" w:customStyle="1" w:styleId="1111111">
    <w:name w:val="1 / 1.1 / 1.1.11"/>
    <w:basedOn w:val="NoList"/>
    <w:next w:val="111111"/>
    <w:semiHidden/>
    <w:rsid w:val="00802668"/>
  </w:style>
  <w:style w:type="character" w:customStyle="1" w:styleId="HeaderChar">
    <w:name w:val="Header Char"/>
    <w:basedOn w:val="DefaultParagraphFont"/>
    <w:link w:val="Header"/>
    <w:rsid w:val="00802668"/>
    <w:rPr>
      <w:sz w:val="22"/>
      <w:szCs w:val="22"/>
      <w:lang w:val="en-GB"/>
    </w:rPr>
  </w:style>
  <w:style w:type="numbering" w:customStyle="1" w:styleId="1ai1">
    <w:name w:val="1 / a / i1"/>
    <w:basedOn w:val="NoList"/>
    <w:next w:val="1ai"/>
    <w:semiHidden/>
    <w:rsid w:val="00802668"/>
  </w:style>
  <w:style w:type="numbering" w:customStyle="1" w:styleId="ArticleSection1">
    <w:name w:val="Article / Section1"/>
    <w:basedOn w:val="NoList"/>
    <w:next w:val="ArticleSection"/>
    <w:semiHidden/>
    <w:rsid w:val="00802668"/>
  </w:style>
  <w:style w:type="character" w:customStyle="1" w:styleId="BodyText3Char">
    <w:name w:val="Body Text 3 Char"/>
    <w:basedOn w:val="DefaultParagraphFont"/>
    <w:link w:val="BodyText3"/>
    <w:semiHidden/>
    <w:rsid w:val="00802668"/>
    <w:rPr>
      <w:sz w:val="16"/>
      <w:szCs w:val="16"/>
      <w:lang w:val="en-GB"/>
    </w:rPr>
  </w:style>
  <w:style w:type="character" w:customStyle="1" w:styleId="BodyTextIndent3Char">
    <w:name w:val="Body Text Indent 3 Char"/>
    <w:basedOn w:val="DefaultParagraphFont"/>
    <w:link w:val="BodyTextIndent3"/>
    <w:semiHidden/>
    <w:rsid w:val="00802668"/>
    <w:rPr>
      <w:sz w:val="16"/>
      <w:szCs w:val="16"/>
      <w:lang w:val="en-GB"/>
    </w:rPr>
  </w:style>
  <w:style w:type="character" w:customStyle="1" w:styleId="PlainTextChar">
    <w:name w:val="Plain Text Char"/>
    <w:basedOn w:val="DefaultParagraphFont"/>
    <w:link w:val="PlainText"/>
    <w:semiHidden/>
    <w:rsid w:val="00802668"/>
    <w:rPr>
      <w:rFonts w:ascii="Courier New" w:hAnsi="Courier New" w:cs="Courier New"/>
      <w:szCs w:val="22"/>
      <w:lang w:val="en-GB"/>
    </w:rPr>
  </w:style>
  <w:style w:type="character" w:customStyle="1" w:styleId="SubtitleChar">
    <w:name w:val="Subtitle Char"/>
    <w:basedOn w:val="DefaultParagraphFont"/>
    <w:link w:val="Subtitle"/>
    <w:rsid w:val="00802668"/>
    <w:rPr>
      <w:rFonts w:ascii="Arial" w:hAnsi="Arial" w:cs="Arial"/>
      <w:sz w:val="22"/>
      <w:szCs w:val="22"/>
      <w:lang w:val="en-GB"/>
    </w:rPr>
  </w:style>
  <w:style w:type="character" w:customStyle="1" w:styleId="TitleChar">
    <w:name w:val="Title Char"/>
    <w:basedOn w:val="DefaultParagraphFont"/>
    <w:link w:val="Title"/>
    <w:rsid w:val="00802668"/>
    <w:rPr>
      <w:rFonts w:ascii="Arial" w:hAnsi="Arial" w:cs="Arial"/>
      <w:b/>
      <w:bCs/>
      <w:kern w:val="28"/>
      <w:sz w:val="22"/>
      <w:szCs w:val="22"/>
      <w:lang w:val="en-GB"/>
    </w:rPr>
  </w:style>
  <w:style w:type="character" w:customStyle="1" w:styleId="DateChar">
    <w:name w:val="Date Char"/>
    <w:basedOn w:val="DefaultParagraphFont"/>
    <w:link w:val="Date"/>
    <w:rsid w:val="00802668"/>
    <w:rPr>
      <w:sz w:val="22"/>
      <w:szCs w:val="22"/>
      <w:lang w:val="en-GB"/>
    </w:rPr>
  </w:style>
  <w:style w:type="table" w:customStyle="1" w:styleId="TableGrid20">
    <w:name w:val="Table Grid2"/>
    <w:basedOn w:val="TableNormal"/>
    <w:next w:val="TableGrid"/>
    <w:uiPriority w:val="59"/>
    <w:rsid w:val="00802668"/>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2D6C4AB31DDB43B4A5CC9B954409C8" ma:contentTypeVersion="4" ma:contentTypeDescription="Create a new document." ma:contentTypeScope="" ma:versionID="a032a06b6410868b9d03ae8563bc7304">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UNEP/OzL.Pro/ExCom/83/15</Document_x0020_Number>
    <DocumentType xmlns="64e33b30-101d-41de-b951-961aab25ea29">Pre-session</DocumentType>
  </documentManagement>
</p:properties>
</file>

<file path=customXml/itemProps1.xml><?xml version="1.0" encoding="utf-8"?>
<ds:datastoreItem xmlns:ds="http://schemas.openxmlformats.org/officeDocument/2006/customXml" ds:itemID="{89F55E7F-6C92-4A7F-B5EC-8BC95CAC76D2}"/>
</file>

<file path=customXml/itemProps2.xml><?xml version="1.0" encoding="utf-8"?>
<ds:datastoreItem xmlns:ds="http://schemas.openxmlformats.org/officeDocument/2006/customXml" ds:itemID="{5A2CA9E2-30F1-4F0D-B600-4A57DC78D21F}"/>
</file>

<file path=customXml/itemProps3.xml><?xml version="1.0" encoding="utf-8"?>
<ds:datastoreItem xmlns:ds="http://schemas.openxmlformats.org/officeDocument/2006/customXml" ds:itemID="{77954E8F-DD34-4EDB-9372-B28084AA02EC}"/>
</file>

<file path=customXml/itemProps4.xml><?xml version="1.0" encoding="utf-8"?>
<ds:datastoreItem xmlns:ds="http://schemas.openxmlformats.org/officeDocument/2006/customXml" ds:itemID="{16693453-B03C-4932-B2D4-EC02BFF70B03}"/>
</file>

<file path=docProps/app.xml><?xml version="1.0" encoding="utf-8"?>
<Properties xmlns="http://schemas.openxmlformats.org/officeDocument/2006/extended-properties" xmlns:vt="http://schemas.openxmlformats.org/officeDocument/2006/docPropsVTypes">
  <Template>Eec83G</Template>
  <TotalTime>50</TotalTime>
  <Pages>5</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Overview of issues identified during project review</vt:lpstr>
    </vt:vector>
  </TitlesOfParts>
  <Company>UNMFS</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issues identified during project review</dc:title>
  <dc:creator>Dominika Anna Suwik</dc:creator>
  <cp:keywords>83rd</cp:keywords>
  <cp:lastModifiedBy>HBE</cp:lastModifiedBy>
  <cp:revision>16</cp:revision>
  <cp:lastPrinted>2019-05-08T21:25:00Z</cp:lastPrinted>
  <dcterms:created xsi:type="dcterms:W3CDTF">2019-05-08T20:26:00Z</dcterms:created>
  <dcterms:modified xsi:type="dcterms:W3CDTF">2019-05-08T23:20:00Z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UNEP/OzL.Pro/ExCom/83/15</vt:lpwstr>
  </property>
  <property fmtid="{D5CDD505-2E9C-101B-9397-08002B2CF9AE}" pid="3" name="Revision date">
    <vt:lpwstr>05/08/2019</vt:lpwstr>
  </property>
  <property fmtid="{D5CDD505-2E9C-101B-9397-08002B2CF9AE}" pid="4" name="ContentTypeId">
    <vt:lpwstr>0x010100762D6C4AB31DDB43B4A5CC9B954409C8</vt:lpwstr>
  </property>
</Properties>
</file>