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9F" w:rsidRDefault="00C27E9F" w:rsidP="008C34EC">
      <w:pPr>
        <w:rPr>
          <w:noProof/>
          <w:lang w:val="en-US" w:eastAsia="zh-CN"/>
        </w:rPr>
      </w:pPr>
    </w:p>
    <w:p w:rsidR="00C27E9F" w:rsidRDefault="00C27E9F" w:rsidP="008C34EC">
      <w:pPr>
        <w:rPr>
          <w:noProof/>
          <w:lang w:val="en-US" w:eastAsia="zh-CN"/>
        </w:rPr>
      </w:pPr>
    </w:p>
    <w:p w:rsidR="00C27E9F" w:rsidRDefault="00C27E9F" w:rsidP="008C34EC">
      <w:pPr>
        <w:rPr>
          <w:noProof/>
          <w:lang w:val="en-US" w:eastAsia="zh-CN"/>
        </w:rPr>
      </w:pPr>
    </w:p>
    <w:p w:rsidR="00C27E9F" w:rsidRDefault="00C27E9F" w:rsidP="008C34EC">
      <w:pPr>
        <w:rPr>
          <w:noProof/>
          <w:lang w:val="en-US" w:eastAsia="zh-CN"/>
        </w:rPr>
      </w:pPr>
    </w:p>
    <w:p w:rsidR="00B84BA0" w:rsidRPr="008C34EC" w:rsidRDefault="00490BCB" w:rsidP="008C34EC">
      <w:pPr>
        <w:tabs>
          <w:tab w:val="left" w:pos="5544"/>
        </w:tabs>
        <w:ind w:firstLine="5040"/>
        <w:rPr>
          <w:lang w:val="en-CA"/>
        </w:rPr>
      </w:pPr>
      <w:r w:rsidRPr="008C34EC">
        <w:rPr>
          <w:noProof/>
          <w:lang w:val="en-CA" w:eastAsia="en-CA"/>
        </w:rPr>
        <w:drawing>
          <wp:anchor distT="0" distB="0" distL="114300" distR="114300" simplePos="0" relativeHeight="251661312" behindDoc="1" locked="1" layoutInCell="1" allowOverlap="1" wp14:anchorId="11AF5479" wp14:editId="0E48656D">
            <wp:simplePos x="0" y="0"/>
            <wp:positionH relativeFrom="page">
              <wp:posOffset>914400</wp:posOffset>
            </wp:positionH>
            <wp:positionV relativeFrom="page">
              <wp:posOffset>469900</wp:posOffset>
            </wp:positionV>
            <wp:extent cx="5940000" cy="2973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000" cy="2973600"/>
                    </a:xfrm>
                    <a:prstGeom prst="rect">
                      <a:avLst/>
                    </a:prstGeom>
                  </pic:spPr>
                </pic:pic>
              </a:graphicData>
            </a:graphic>
            <wp14:sizeRelH relativeFrom="page">
              <wp14:pctWidth>0</wp14:pctWidth>
            </wp14:sizeRelH>
            <wp14:sizeRelV relativeFrom="page">
              <wp14:pctHeight>0</wp14:pctHeight>
            </wp14:sizeRelV>
          </wp:anchor>
        </w:drawing>
      </w:r>
    </w:p>
    <w:p w:rsidR="00C27E9F" w:rsidRPr="008C34EC" w:rsidRDefault="00B84BA0" w:rsidP="008C34EC">
      <w:pPr>
        <w:tabs>
          <w:tab w:val="left" w:pos="5544"/>
        </w:tabs>
        <w:ind w:firstLine="5040"/>
      </w:pPr>
      <w:r w:rsidRPr="008C34EC">
        <w:rPr>
          <w:lang w:val="en-CA"/>
        </w:rPr>
        <w:t xml:space="preserve">   </w:t>
      </w:r>
      <w:r w:rsidR="00C27E9F" w:rsidRPr="008C34EC">
        <w:rPr>
          <w:lang w:val="en-CA"/>
        </w:rPr>
        <w:fldChar w:fldCharType="begin"/>
      </w:r>
      <w:r w:rsidR="00C27E9F" w:rsidRPr="008C34EC">
        <w:rPr>
          <w:lang w:val="en-CA"/>
        </w:rPr>
        <w:instrText xml:space="preserve"> DOCPROPERTY "Document number"  \* MERGEFORMAT </w:instrText>
      </w:r>
      <w:r w:rsidR="00C27E9F" w:rsidRPr="008C34EC">
        <w:rPr>
          <w:lang w:val="en-CA"/>
        </w:rPr>
        <w:fldChar w:fldCharType="separate"/>
      </w:r>
      <w:r w:rsidR="00A42678" w:rsidRPr="008C34EC">
        <w:rPr>
          <w:lang w:val="en-CA"/>
        </w:rPr>
        <w:t>UNEP/OzL.Pro/ExCom/83/21</w:t>
      </w:r>
      <w:r w:rsidR="00C27E9F" w:rsidRPr="008C34EC">
        <w:rPr>
          <w:lang w:val="en-CA"/>
        </w:rPr>
        <w:fldChar w:fldCharType="end"/>
      </w:r>
    </w:p>
    <w:p w:rsidR="00C27E9F" w:rsidRPr="008C34EC" w:rsidRDefault="00B84BA0" w:rsidP="008C34EC">
      <w:pPr>
        <w:ind w:left="5040"/>
        <w:rPr>
          <w:lang w:val="en-CA"/>
        </w:rPr>
      </w:pPr>
      <w:r w:rsidRPr="008C34EC">
        <w:rPr>
          <w:lang w:val="en-CA"/>
        </w:rPr>
        <w:t xml:space="preserve">   </w:t>
      </w:r>
      <w:r w:rsidR="00C27E9F" w:rsidRPr="008C34EC">
        <w:rPr>
          <w:lang w:val="en-CA"/>
        </w:rPr>
        <w:fldChar w:fldCharType="begin"/>
      </w:r>
      <w:r w:rsidR="00C27E9F" w:rsidRPr="008C34EC">
        <w:rPr>
          <w:lang w:val="en-CA"/>
        </w:rPr>
        <w:instrText xml:space="preserve"> DOCPROPERTY "Revision date" \@ "d MMMM YYYY"  \* MERGEFORMAT </w:instrText>
      </w:r>
      <w:r w:rsidR="00C27E9F" w:rsidRPr="008C34EC">
        <w:rPr>
          <w:lang w:val="en-CA"/>
        </w:rPr>
        <w:fldChar w:fldCharType="separate"/>
      </w:r>
      <w:r w:rsidR="008162E0" w:rsidRPr="008C34EC">
        <w:rPr>
          <w:lang w:val="en-CA"/>
        </w:rPr>
        <w:t>30 April 2019</w:t>
      </w:r>
      <w:r w:rsidR="00C27E9F" w:rsidRPr="008C34EC">
        <w:rPr>
          <w:lang w:val="en-CA"/>
        </w:rPr>
        <w:fldChar w:fldCharType="end"/>
      </w:r>
    </w:p>
    <w:p w:rsidR="00490BCB" w:rsidRPr="008C34EC" w:rsidRDefault="00490BCB" w:rsidP="008C34EC">
      <w:pPr>
        <w:rPr>
          <w:lang w:val="en-CA"/>
        </w:rPr>
      </w:pPr>
    </w:p>
    <w:p w:rsidR="00490BCB" w:rsidRPr="008C34EC" w:rsidRDefault="00490BCB" w:rsidP="008C34EC"/>
    <w:p w:rsidR="00490BCB" w:rsidRPr="008C34EC" w:rsidRDefault="00490BCB" w:rsidP="008C34EC"/>
    <w:p w:rsidR="00490BCB" w:rsidRPr="008C34EC" w:rsidRDefault="00490BCB" w:rsidP="008C34EC"/>
    <w:p w:rsidR="00490BCB" w:rsidRPr="008C34EC" w:rsidRDefault="00490BCB" w:rsidP="008C34EC"/>
    <w:p w:rsidR="00490BCB" w:rsidRPr="008C34EC" w:rsidRDefault="00C27E9F" w:rsidP="008C34EC">
      <w:pPr>
        <w:tabs>
          <w:tab w:val="left" w:pos="1850"/>
        </w:tabs>
      </w:pPr>
      <w:r w:rsidRPr="008C34EC">
        <w:tab/>
      </w:r>
    </w:p>
    <w:p w:rsidR="00490BCB" w:rsidRPr="008C34EC" w:rsidRDefault="00490BCB" w:rsidP="008C34EC"/>
    <w:p w:rsidR="00490BCB" w:rsidRPr="008C34EC" w:rsidRDefault="00490BCB" w:rsidP="008C34EC"/>
    <w:p w:rsidR="00490BCB" w:rsidRPr="008C34EC" w:rsidRDefault="00490BCB" w:rsidP="008C34EC"/>
    <w:p w:rsidR="00C15867" w:rsidRPr="008C34EC" w:rsidRDefault="00C15867" w:rsidP="008C34EC">
      <w:pPr>
        <w:jc w:val="left"/>
        <w:rPr>
          <w:lang w:val="en-CA"/>
        </w:rPr>
      </w:pPr>
    </w:p>
    <w:p w:rsidR="004E7F9C" w:rsidRPr="008C34EC" w:rsidRDefault="004E7F9C" w:rsidP="008C34EC">
      <w:pPr>
        <w:pStyle w:val="Title1"/>
        <w:rPr>
          <w:lang w:val="en-CA"/>
        </w:rPr>
      </w:pPr>
    </w:p>
    <w:p w:rsidR="00FE3307" w:rsidRPr="008C34EC" w:rsidRDefault="00FE3307" w:rsidP="008C34EC">
      <w:pPr>
        <w:jc w:val="center"/>
        <w:rPr>
          <w:b/>
          <w:lang w:val="en-CA"/>
        </w:rPr>
      </w:pPr>
    </w:p>
    <w:p w:rsidR="00FE3307" w:rsidRPr="008C34EC" w:rsidRDefault="00FE3307" w:rsidP="008C34EC">
      <w:pPr>
        <w:rPr>
          <w:lang w:val="en-CA"/>
        </w:rPr>
      </w:pPr>
    </w:p>
    <w:p w:rsidR="00FE3307" w:rsidRPr="008C34EC" w:rsidRDefault="00FE3307" w:rsidP="008C34EC">
      <w:pPr>
        <w:jc w:val="center"/>
        <w:rPr>
          <w:b/>
          <w:lang w:val="en-CA"/>
        </w:rPr>
      </w:pPr>
      <w:r w:rsidRPr="008C34EC">
        <w:rPr>
          <w:b/>
          <w:lang w:val="en-CA"/>
        </w:rPr>
        <w:t>PROJECT PROPOSAL</w:t>
      </w:r>
      <w:r w:rsidR="004F2BBD" w:rsidRPr="008C34EC">
        <w:rPr>
          <w:b/>
          <w:lang w:val="en-CA"/>
        </w:rPr>
        <w:t>: CAMBODIA</w:t>
      </w:r>
    </w:p>
    <w:p w:rsidR="00FE3307" w:rsidRPr="008C34EC" w:rsidRDefault="00FE3307" w:rsidP="008C34EC">
      <w:pPr>
        <w:rPr>
          <w:lang w:val="en-CA"/>
        </w:rPr>
      </w:pPr>
    </w:p>
    <w:p w:rsidR="00FE3307" w:rsidRPr="008C34EC" w:rsidRDefault="00FE3307" w:rsidP="008C34EC">
      <w:pPr>
        <w:rPr>
          <w:lang w:val="en-CA"/>
        </w:rPr>
      </w:pPr>
    </w:p>
    <w:p w:rsidR="00FE3307" w:rsidRPr="008C34EC" w:rsidRDefault="00FE3307" w:rsidP="008C34EC">
      <w:pPr>
        <w:ind w:firstLine="720"/>
        <w:rPr>
          <w:lang w:val="en-CA"/>
        </w:rPr>
      </w:pPr>
      <w:r w:rsidRPr="008C34EC">
        <w:rPr>
          <w:lang w:val="en-CA"/>
        </w:rPr>
        <w:t xml:space="preserve">This document consists of the comments and recommendation of the Secretariat on the following project proposal: </w:t>
      </w:r>
    </w:p>
    <w:p w:rsidR="00FE3307" w:rsidRPr="008C34EC" w:rsidRDefault="00FE3307" w:rsidP="008C34EC">
      <w:pPr>
        <w:rPr>
          <w:lang w:val="en-CA"/>
        </w:rPr>
      </w:pPr>
    </w:p>
    <w:p w:rsidR="00FE3307" w:rsidRPr="008C34EC" w:rsidRDefault="00FE3307" w:rsidP="008C34EC">
      <w:pPr>
        <w:rPr>
          <w:u w:val="single"/>
          <w:lang w:val="en-CA"/>
        </w:rPr>
      </w:pPr>
      <w:r w:rsidRPr="008C34EC">
        <w:rPr>
          <w:u w:val="single"/>
          <w:lang w:val="en-CA"/>
        </w:rPr>
        <w:t>Phase-out</w:t>
      </w:r>
    </w:p>
    <w:p w:rsidR="00FE3307" w:rsidRPr="008C34EC" w:rsidRDefault="00FE3307" w:rsidP="008C34E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E3307" w:rsidRPr="008C34EC" w:rsidTr="005D77AC">
        <w:tc>
          <w:tcPr>
            <w:tcW w:w="6941" w:type="dxa"/>
          </w:tcPr>
          <w:p w:rsidR="00FE3307" w:rsidRPr="008C34EC" w:rsidRDefault="00FE3307" w:rsidP="008C34EC">
            <w:pPr>
              <w:pStyle w:val="ListParagraph"/>
              <w:numPr>
                <w:ilvl w:val="0"/>
                <w:numId w:val="21"/>
              </w:numPr>
              <w:ind w:hanging="830"/>
              <w:rPr>
                <w:lang w:val="en-CA"/>
              </w:rPr>
            </w:pPr>
            <w:r w:rsidRPr="008C34EC">
              <w:rPr>
                <w:lang w:val="en-CA"/>
              </w:rPr>
              <w:t>HCFC pha</w:t>
            </w:r>
            <w:r w:rsidR="004F2BBD" w:rsidRPr="008C34EC">
              <w:rPr>
                <w:lang w:val="en-CA"/>
              </w:rPr>
              <w:t>se-out management plan (stage I</w:t>
            </w:r>
            <w:r w:rsidRPr="008C34EC">
              <w:rPr>
                <w:lang w:val="en-CA"/>
              </w:rPr>
              <w:t xml:space="preserve">, </w:t>
            </w:r>
            <w:r w:rsidR="004F2BBD" w:rsidRPr="008C34EC">
              <w:rPr>
                <w:lang w:val="en-CA"/>
              </w:rPr>
              <w:t xml:space="preserve">fourth </w:t>
            </w:r>
            <w:r w:rsidRPr="008C34EC">
              <w:rPr>
                <w:lang w:val="en-CA"/>
              </w:rPr>
              <w:t>tranche)</w:t>
            </w:r>
          </w:p>
        </w:tc>
        <w:tc>
          <w:tcPr>
            <w:tcW w:w="2409" w:type="dxa"/>
          </w:tcPr>
          <w:p w:rsidR="00FE3307" w:rsidRPr="008C34EC" w:rsidRDefault="004F2BBD" w:rsidP="008C34EC">
            <w:pPr>
              <w:jc w:val="right"/>
              <w:rPr>
                <w:lang w:val="en-CA"/>
              </w:rPr>
            </w:pPr>
            <w:r w:rsidRPr="008C34EC">
              <w:rPr>
                <w:lang w:val="en-CA"/>
              </w:rPr>
              <w:t xml:space="preserve">UNEP </w:t>
            </w:r>
            <w:r w:rsidR="00FE3307" w:rsidRPr="008C34EC">
              <w:rPr>
                <w:lang w:val="en-CA"/>
              </w:rPr>
              <w:t xml:space="preserve">and </w:t>
            </w:r>
            <w:r w:rsidRPr="008C34EC">
              <w:rPr>
                <w:lang w:val="en-CA"/>
              </w:rPr>
              <w:t>UNDP</w:t>
            </w:r>
          </w:p>
        </w:tc>
      </w:tr>
    </w:tbl>
    <w:p w:rsidR="00FE3307" w:rsidRPr="008C34EC" w:rsidRDefault="00FE3307" w:rsidP="008C34EC">
      <w:pPr>
        <w:jc w:val="right"/>
        <w:rPr>
          <w:lang w:val="en-CA"/>
        </w:rPr>
      </w:pPr>
    </w:p>
    <w:p w:rsidR="00FE3307" w:rsidRPr="008C34EC" w:rsidRDefault="00FE3307" w:rsidP="008C34EC">
      <w:pPr>
        <w:rPr>
          <w:lang w:val="en-CA"/>
        </w:rPr>
      </w:pPr>
    </w:p>
    <w:p w:rsidR="00FE3307" w:rsidRPr="008C34EC" w:rsidRDefault="00FE3307" w:rsidP="008C34EC">
      <w:pPr>
        <w:rPr>
          <w:lang w:val="en-CA"/>
        </w:rPr>
      </w:pPr>
    </w:p>
    <w:p w:rsidR="00FE3307" w:rsidRPr="008C34EC" w:rsidRDefault="00FE3307" w:rsidP="008C34EC">
      <w:pPr>
        <w:rPr>
          <w:lang w:val="en-CA"/>
        </w:rPr>
      </w:pPr>
      <w:r w:rsidRPr="008C34EC">
        <w:rPr>
          <w:lang w:val="en-CA"/>
        </w:rPr>
        <w:br w:type="page"/>
      </w:r>
    </w:p>
    <w:p w:rsidR="00FE3307" w:rsidRPr="008C34EC" w:rsidRDefault="00FE3307" w:rsidP="008C34EC">
      <w:pPr>
        <w:jc w:val="center"/>
        <w:rPr>
          <w:b/>
          <w:lang w:val="en-CA"/>
        </w:rPr>
      </w:pPr>
      <w:r w:rsidRPr="008C34EC">
        <w:rPr>
          <w:b/>
          <w:lang w:val="en-CA"/>
        </w:rPr>
        <w:lastRenderedPageBreak/>
        <w:t>PROJECT EVALUATION SHEET – MULTI-YEAR PROJECTS</w:t>
      </w:r>
    </w:p>
    <w:p w:rsidR="00FE3307" w:rsidRPr="008C34EC" w:rsidRDefault="00FE3307" w:rsidP="008C34EC">
      <w:pPr>
        <w:jc w:val="center"/>
        <w:rPr>
          <w:lang w:val="en-CA"/>
        </w:rPr>
      </w:pPr>
    </w:p>
    <w:p w:rsidR="00FE3307" w:rsidRPr="008C34EC" w:rsidRDefault="004F2BBD" w:rsidP="008C34EC">
      <w:pPr>
        <w:jc w:val="center"/>
        <w:rPr>
          <w:b/>
          <w:lang w:val="en-CA"/>
        </w:rPr>
      </w:pPr>
      <w:r w:rsidRPr="008C34EC">
        <w:rPr>
          <w:b/>
          <w:lang w:val="en-CA"/>
        </w:rPr>
        <w:t>Cambodia</w:t>
      </w:r>
    </w:p>
    <w:p w:rsidR="00FE3307" w:rsidRPr="008C34EC" w:rsidRDefault="00FE3307" w:rsidP="008C34EC">
      <w:pPr>
        <w:jc w:val="center"/>
        <w:rPr>
          <w:lang w:val="en-CA"/>
        </w:rPr>
      </w:pPr>
    </w:p>
    <w:p w:rsidR="00066FAC" w:rsidRPr="008C34EC" w:rsidRDefault="00066FAC" w:rsidP="008C34EC">
      <w:pPr>
        <w:spacing w:after="80"/>
        <w:jc w:val="center"/>
        <w:rPr>
          <w:lang w:val="en-US"/>
        </w:rPr>
      </w:pPr>
      <w:r w:rsidRPr="008C34EC">
        <w:rPr>
          <w:b/>
          <w:sz w:val="24"/>
          <w:lang w:val="en-US"/>
        </w:rPr>
        <w:t xml:space="preserve">                                          </w:t>
      </w:r>
    </w:p>
    <w:tbl>
      <w:tblPr>
        <w:tblStyle w:val="TableGrid"/>
        <w:tblW w:w="5000" w:type="pct"/>
        <w:tblLook w:val="04A0" w:firstRow="1" w:lastRow="0" w:firstColumn="1" w:lastColumn="0" w:noHBand="0" w:noVBand="1"/>
      </w:tblPr>
      <w:tblGrid>
        <w:gridCol w:w="2830"/>
        <w:gridCol w:w="1986"/>
        <w:gridCol w:w="2195"/>
        <w:gridCol w:w="2339"/>
      </w:tblGrid>
      <w:tr w:rsidR="00066FAC" w:rsidRPr="008C34EC" w:rsidTr="00A42678">
        <w:trPr>
          <w:trHeight w:val="240"/>
        </w:trPr>
        <w:tc>
          <w:tcPr>
            <w:tcW w:w="1513" w:type="pct"/>
            <w:shd w:val="clear" w:color="auto" w:fill="auto"/>
          </w:tcPr>
          <w:p w:rsidR="00066FAC" w:rsidRPr="008C34EC" w:rsidRDefault="00066FAC" w:rsidP="008C34EC">
            <w:pPr>
              <w:spacing w:after="80"/>
              <w:jc w:val="left"/>
              <w:rPr>
                <w:b/>
                <w:sz w:val="18"/>
                <w:lang w:val="en-US"/>
              </w:rPr>
            </w:pPr>
            <w:r w:rsidRPr="008C34EC">
              <w:rPr>
                <w:b/>
                <w:sz w:val="18"/>
                <w:lang w:val="en-US"/>
              </w:rPr>
              <w:t>(I) PROJECT TITLE</w:t>
            </w:r>
          </w:p>
        </w:tc>
        <w:tc>
          <w:tcPr>
            <w:tcW w:w="1062" w:type="pct"/>
            <w:shd w:val="clear" w:color="auto" w:fill="auto"/>
          </w:tcPr>
          <w:p w:rsidR="00066FAC" w:rsidRPr="008C34EC" w:rsidRDefault="00066FAC" w:rsidP="008C34EC">
            <w:pPr>
              <w:spacing w:after="80"/>
              <w:jc w:val="center"/>
              <w:rPr>
                <w:b/>
                <w:sz w:val="18"/>
                <w:lang w:val="en-US"/>
              </w:rPr>
            </w:pPr>
            <w:r w:rsidRPr="008C34EC">
              <w:rPr>
                <w:b/>
                <w:sz w:val="18"/>
                <w:lang w:val="en-US"/>
              </w:rPr>
              <w:t>AGENCY</w:t>
            </w:r>
          </w:p>
        </w:tc>
        <w:tc>
          <w:tcPr>
            <w:tcW w:w="1174" w:type="pct"/>
            <w:shd w:val="clear" w:color="auto" w:fill="auto"/>
          </w:tcPr>
          <w:p w:rsidR="00066FAC" w:rsidRPr="008C34EC" w:rsidRDefault="00066FAC" w:rsidP="008C34EC">
            <w:pPr>
              <w:spacing w:after="80"/>
              <w:jc w:val="center"/>
              <w:rPr>
                <w:b/>
                <w:sz w:val="18"/>
                <w:lang w:val="en-US"/>
              </w:rPr>
            </w:pPr>
            <w:r w:rsidRPr="008C34EC">
              <w:rPr>
                <w:b/>
                <w:sz w:val="18"/>
                <w:lang w:val="en-US"/>
              </w:rPr>
              <w:t>MEETING APPROVED</w:t>
            </w:r>
          </w:p>
        </w:tc>
        <w:tc>
          <w:tcPr>
            <w:tcW w:w="1251" w:type="pct"/>
            <w:shd w:val="clear" w:color="auto" w:fill="auto"/>
          </w:tcPr>
          <w:p w:rsidR="00066FAC" w:rsidRPr="008C34EC" w:rsidRDefault="00066FAC" w:rsidP="008C34EC">
            <w:pPr>
              <w:spacing w:after="80"/>
              <w:jc w:val="center"/>
              <w:rPr>
                <w:b/>
                <w:sz w:val="18"/>
                <w:lang w:val="en-US"/>
              </w:rPr>
            </w:pPr>
            <w:r w:rsidRPr="008C34EC">
              <w:rPr>
                <w:b/>
                <w:sz w:val="18"/>
                <w:lang w:val="en-US"/>
              </w:rPr>
              <w:t>CONTROL MEASURE</w:t>
            </w:r>
          </w:p>
        </w:tc>
      </w:tr>
      <w:tr w:rsidR="00066FAC" w:rsidRPr="008C34EC" w:rsidTr="00A42678">
        <w:trPr>
          <w:trHeight w:val="240"/>
        </w:trPr>
        <w:tc>
          <w:tcPr>
            <w:tcW w:w="1513" w:type="pct"/>
            <w:shd w:val="clear" w:color="auto" w:fill="auto"/>
          </w:tcPr>
          <w:p w:rsidR="00066FAC" w:rsidRPr="008C34EC" w:rsidRDefault="00066FAC" w:rsidP="008C34EC">
            <w:pPr>
              <w:spacing w:after="80"/>
              <w:jc w:val="center"/>
              <w:rPr>
                <w:sz w:val="18"/>
                <w:lang w:val="en-US"/>
              </w:rPr>
            </w:pPr>
            <w:r w:rsidRPr="008C34EC">
              <w:rPr>
                <w:sz w:val="18"/>
                <w:lang w:val="en-US"/>
              </w:rPr>
              <w:t>HCFC phase-out management plan (stage I)</w:t>
            </w:r>
          </w:p>
        </w:tc>
        <w:tc>
          <w:tcPr>
            <w:tcW w:w="1062" w:type="pct"/>
            <w:shd w:val="clear" w:color="auto" w:fill="auto"/>
          </w:tcPr>
          <w:p w:rsidR="00066FAC" w:rsidRPr="008C34EC" w:rsidRDefault="00066FAC" w:rsidP="008C34EC">
            <w:pPr>
              <w:spacing w:after="80"/>
              <w:jc w:val="center"/>
              <w:rPr>
                <w:sz w:val="18"/>
                <w:lang w:val="en-US"/>
              </w:rPr>
            </w:pPr>
            <w:r w:rsidRPr="008C34EC">
              <w:rPr>
                <w:sz w:val="18"/>
                <w:lang w:val="en-US"/>
              </w:rPr>
              <w:t>UNDP, UNEP (lead)</w:t>
            </w:r>
          </w:p>
        </w:tc>
        <w:tc>
          <w:tcPr>
            <w:tcW w:w="1174" w:type="pct"/>
            <w:shd w:val="clear" w:color="auto" w:fill="auto"/>
          </w:tcPr>
          <w:p w:rsidR="00066FAC" w:rsidRPr="008C34EC" w:rsidRDefault="00066FAC" w:rsidP="008C34EC">
            <w:pPr>
              <w:spacing w:after="80"/>
              <w:jc w:val="center"/>
              <w:rPr>
                <w:sz w:val="18"/>
                <w:lang w:val="en-US"/>
              </w:rPr>
            </w:pPr>
            <w:r w:rsidRPr="008C34EC">
              <w:rPr>
                <w:sz w:val="18"/>
                <w:lang w:val="en-US"/>
              </w:rPr>
              <w:t>61</w:t>
            </w:r>
            <w:r w:rsidRPr="008C34EC">
              <w:rPr>
                <w:sz w:val="18"/>
                <w:vertAlign w:val="superscript"/>
                <w:lang w:val="en-US"/>
              </w:rPr>
              <w:t>st</w:t>
            </w:r>
            <w:r w:rsidRPr="008C34EC">
              <w:rPr>
                <w:sz w:val="18"/>
                <w:lang w:val="en-US"/>
              </w:rPr>
              <w:t xml:space="preserve"> </w:t>
            </w:r>
          </w:p>
        </w:tc>
        <w:tc>
          <w:tcPr>
            <w:tcW w:w="1251" w:type="pct"/>
            <w:shd w:val="clear" w:color="auto" w:fill="auto"/>
          </w:tcPr>
          <w:p w:rsidR="00066FAC" w:rsidRPr="008C34EC" w:rsidRDefault="00066FAC" w:rsidP="008C34EC">
            <w:pPr>
              <w:spacing w:after="80"/>
              <w:jc w:val="center"/>
              <w:rPr>
                <w:sz w:val="18"/>
                <w:lang w:val="en-US"/>
              </w:rPr>
            </w:pPr>
            <w:r w:rsidRPr="008C34EC">
              <w:rPr>
                <w:sz w:val="18"/>
                <w:lang w:val="en-US"/>
              </w:rPr>
              <w:t>Total by 2035</w:t>
            </w:r>
          </w:p>
        </w:tc>
      </w:tr>
    </w:tbl>
    <w:p w:rsidR="00066FAC" w:rsidRPr="008C34EC" w:rsidRDefault="00066FAC" w:rsidP="008C34EC">
      <w:pPr>
        <w:spacing w:after="60"/>
        <w:jc w:val="center"/>
        <w:rPr>
          <w:lang w:val="en-US"/>
        </w:rPr>
      </w:pPr>
    </w:p>
    <w:tbl>
      <w:tblPr>
        <w:tblStyle w:val="TableGrid"/>
        <w:tblW w:w="5000" w:type="pct"/>
        <w:tblLook w:val="04A0" w:firstRow="1" w:lastRow="0" w:firstColumn="1" w:lastColumn="0" w:noHBand="0" w:noVBand="1"/>
      </w:tblPr>
      <w:tblGrid>
        <w:gridCol w:w="4862"/>
        <w:gridCol w:w="2244"/>
        <w:gridCol w:w="2244"/>
      </w:tblGrid>
      <w:tr w:rsidR="00066FAC" w:rsidRPr="008C34EC" w:rsidTr="00A42678">
        <w:trPr>
          <w:trHeight w:val="240"/>
        </w:trPr>
        <w:tc>
          <w:tcPr>
            <w:tcW w:w="2600" w:type="pct"/>
            <w:shd w:val="clear" w:color="auto" w:fill="auto"/>
          </w:tcPr>
          <w:p w:rsidR="00066FAC" w:rsidRPr="008C34EC" w:rsidRDefault="00066FAC" w:rsidP="008C34EC">
            <w:pPr>
              <w:spacing w:after="60"/>
              <w:jc w:val="left"/>
              <w:rPr>
                <w:b/>
                <w:sz w:val="18"/>
                <w:lang w:val="en-US"/>
              </w:rPr>
            </w:pPr>
            <w:r w:rsidRPr="008C34EC">
              <w:rPr>
                <w:b/>
                <w:sz w:val="18"/>
                <w:lang w:val="en-US"/>
              </w:rPr>
              <w:t>(II) LATEST ARTICLE 7 DATA (Annex C Group l)</w:t>
            </w:r>
          </w:p>
        </w:tc>
        <w:tc>
          <w:tcPr>
            <w:tcW w:w="1200" w:type="pct"/>
            <w:shd w:val="clear" w:color="auto" w:fill="auto"/>
          </w:tcPr>
          <w:p w:rsidR="00066FAC" w:rsidRPr="008C34EC" w:rsidRDefault="00066FAC" w:rsidP="008C34EC">
            <w:pPr>
              <w:spacing w:after="60"/>
              <w:jc w:val="center"/>
              <w:rPr>
                <w:sz w:val="18"/>
                <w:lang w:val="en-US"/>
              </w:rPr>
            </w:pPr>
            <w:r w:rsidRPr="008C34EC">
              <w:rPr>
                <w:sz w:val="18"/>
                <w:lang w:val="en-US"/>
              </w:rPr>
              <w:t>Year: 201</w:t>
            </w:r>
            <w:r w:rsidR="00E67AB1" w:rsidRPr="008C34EC">
              <w:rPr>
                <w:sz w:val="18"/>
                <w:lang w:val="en-US"/>
              </w:rPr>
              <w:t>7</w:t>
            </w:r>
          </w:p>
        </w:tc>
        <w:tc>
          <w:tcPr>
            <w:tcW w:w="1200" w:type="pct"/>
            <w:shd w:val="clear" w:color="auto" w:fill="auto"/>
          </w:tcPr>
          <w:p w:rsidR="00066FAC" w:rsidRPr="008C34EC" w:rsidRDefault="000F485F" w:rsidP="008C34EC">
            <w:pPr>
              <w:spacing w:after="60"/>
              <w:jc w:val="right"/>
              <w:rPr>
                <w:sz w:val="18"/>
                <w:lang w:val="en-US"/>
              </w:rPr>
            </w:pPr>
            <w:r w:rsidRPr="008C34EC">
              <w:rPr>
                <w:sz w:val="18"/>
                <w:lang w:val="en-US"/>
              </w:rPr>
              <w:t xml:space="preserve">4.64 </w:t>
            </w:r>
            <w:r w:rsidR="00066FAC" w:rsidRPr="008C34EC">
              <w:rPr>
                <w:sz w:val="18"/>
                <w:lang w:val="en-US"/>
              </w:rPr>
              <w:t>(ODP tonnes)</w:t>
            </w:r>
          </w:p>
        </w:tc>
      </w:tr>
    </w:tbl>
    <w:p w:rsidR="00066FAC" w:rsidRPr="008C34EC" w:rsidRDefault="00066FAC" w:rsidP="008C34EC">
      <w:pPr>
        <w:spacing w:after="60"/>
        <w:jc w:val="center"/>
        <w:rPr>
          <w:lang w:val="en-US"/>
        </w:rPr>
      </w:pPr>
    </w:p>
    <w:tbl>
      <w:tblPr>
        <w:tblStyle w:val="TableGrid"/>
        <w:tblW w:w="5000" w:type="pct"/>
        <w:tblLook w:val="04A0" w:firstRow="1" w:lastRow="0" w:firstColumn="1" w:lastColumn="0" w:noHBand="0" w:noVBand="1"/>
      </w:tblPr>
      <w:tblGrid>
        <w:gridCol w:w="1118"/>
        <w:gridCol w:w="786"/>
        <w:gridCol w:w="627"/>
        <w:gridCol w:w="866"/>
        <w:gridCol w:w="1286"/>
        <w:gridCol w:w="906"/>
        <w:gridCol w:w="767"/>
        <w:gridCol w:w="897"/>
        <w:gridCol w:w="565"/>
        <w:gridCol w:w="1532"/>
      </w:tblGrid>
      <w:tr w:rsidR="00066FAC" w:rsidRPr="008C34EC" w:rsidTr="00A42678">
        <w:trPr>
          <w:trHeight w:val="240"/>
        </w:trPr>
        <w:tc>
          <w:tcPr>
            <w:tcW w:w="3867" w:type="pct"/>
            <w:gridSpan w:val="8"/>
            <w:shd w:val="clear" w:color="auto" w:fill="auto"/>
          </w:tcPr>
          <w:p w:rsidR="00066FAC" w:rsidRPr="008C34EC" w:rsidRDefault="00066FAC" w:rsidP="008C34EC">
            <w:pPr>
              <w:spacing w:after="60"/>
              <w:jc w:val="left"/>
              <w:rPr>
                <w:b/>
                <w:sz w:val="18"/>
                <w:lang w:val="en-US"/>
              </w:rPr>
            </w:pPr>
            <w:r w:rsidRPr="008C34EC">
              <w:rPr>
                <w:b/>
                <w:sz w:val="18"/>
                <w:lang w:val="en-US"/>
              </w:rPr>
              <w:t>(III) LATEST COUNTRY PROGRAMME SECTORAL DATA (ODP tonnes)</w:t>
            </w:r>
          </w:p>
        </w:tc>
        <w:tc>
          <w:tcPr>
            <w:tcW w:w="1133" w:type="pct"/>
            <w:gridSpan w:val="2"/>
            <w:shd w:val="clear" w:color="auto" w:fill="auto"/>
          </w:tcPr>
          <w:p w:rsidR="00066FAC" w:rsidRPr="008C34EC" w:rsidRDefault="00066FAC" w:rsidP="008C34EC">
            <w:pPr>
              <w:spacing w:after="60"/>
              <w:jc w:val="right"/>
              <w:rPr>
                <w:b/>
                <w:sz w:val="18"/>
                <w:lang w:val="en-US"/>
              </w:rPr>
            </w:pPr>
            <w:r w:rsidRPr="008C34EC">
              <w:rPr>
                <w:b/>
                <w:sz w:val="18"/>
                <w:lang w:val="en-US"/>
              </w:rPr>
              <w:t>Year: 201</w:t>
            </w:r>
            <w:r w:rsidR="000D384E" w:rsidRPr="008C34EC">
              <w:rPr>
                <w:b/>
                <w:sz w:val="18"/>
                <w:lang w:val="en-US"/>
              </w:rPr>
              <w:t>8</w:t>
            </w:r>
          </w:p>
        </w:tc>
      </w:tr>
      <w:tr w:rsidR="00066FAC" w:rsidRPr="008C34EC" w:rsidTr="00A42678">
        <w:trPr>
          <w:trHeight w:val="240"/>
        </w:trPr>
        <w:tc>
          <w:tcPr>
            <w:tcW w:w="604" w:type="pct"/>
            <w:shd w:val="clear" w:color="auto" w:fill="auto"/>
          </w:tcPr>
          <w:p w:rsidR="00066FAC" w:rsidRPr="008C34EC" w:rsidRDefault="00066FAC" w:rsidP="008C34EC">
            <w:pPr>
              <w:spacing w:after="60"/>
              <w:jc w:val="center"/>
              <w:rPr>
                <w:sz w:val="18"/>
                <w:lang w:val="en-US"/>
              </w:rPr>
            </w:pPr>
            <w:r w:rsidRPr="008C34EC">
              <w:rPr>
                <w:sz w:val="18"/>
                <w:lang w:val="en-US"/>
              </w:rPr>
              <w:t>Chemical</w:t>
            </w:r>
          </w:p>
        </w:tc>
        <w:tc>
          <w:tcPr>
            <w:tcW w:w="386" w:type="pct"/>
            <w:shd w:val="clear" w:color="auto" w:fill="auto"/>
          </w:tcPr>
          <w:p w:rsidR="00066FAC" w:rsidRPr="008C34EC" w:rsidRDefault="00066FAC" w:rsidP="008C34EC">
            <w:pPr>
              <w:spacing w:after="60"/>
              <w:jc w:val="center"/>
              <w:rPr>
                <w:sz w:val="18"/>
                <w:lang w:val="en-US"/>
              </w:rPr>
            </w:pPr>
            <w:r w:rsidRPr="008C34EC">
              <w:rPr>
                <w:sz w:val="18"/>
                <w:lang w:val="en-US"/>
              </w:rPr>
              <w:t>Aerosol</w:t>
            </w:r>
          </w:p>
        </w:tc>
        <w:tc>
          <w:tcPr>
            <w:tcW w:w="335" w:type="pct"/>
            <w:shd w:val="clear" w:color="auto" w:fill="auto"/>
          </w:tcPr>
          <w:p w:rsidR="00066FAC" w:rsidRPr="008C34EC" w:rsidRDefault="00066FAC" w:rsidP="008C34EC">
            <w:pPr>
              <w:spacing w:after="60"/>
              <w:jc w:val="center"/>
              <w:rPr>
                <w:sz w:val="18"/>
                <w:lang w:val="en-US"/>
              </w:rPr>
            </w:pPr>
            <w:r w:rsidRPr="008C34EC">
              <w:rPr>
                <w:sz w:val="18"/>
                <w:lang w:val="en-US"/>
              </w:rPr>
              <w:t>Foam</w:t>
            </w:r>
          </w:p>
        </w:tc>
        <w:tc>
          <w:tcPr>
            <w:tcW w:w="468" w:type="pct"/>
            <w:shd w:val="clear" w:color="auto" w:fill="auto"/>
          </w:tcPr>
          <w:p w:rsidR="00066FAC" w:rsidRPr="008C34EC" w:rsidRDefault="00066FAC" w:rsidP="008C34EC">
            <w:pPr>
              <w:spacing w:after="60"/>
              <w:jc w:val="center"/>
              <w:rPr>
                <w:sz w:val="18"/>
                <w:lang w:val="en-US"/>
              </w:rPr>
            </w:pPr>
            <w:r w:rsidRPr="008C34EC">
              <w:rPr>
                <w:sz w:val="18"/>
                <w:lang w:val="en-US"/>
              </w:rPr>
              <w:t>Fire fighting</w:t>
            </w:r>
          </w:p>
        </w:tc>
        <w:tc>
          <w:tcPr>
            <w:tcW w:w="1172" w:type="pct"/>
            <w:gridSpan w:val="2"/>
            <w:shd w:val="clear" w:color="auto" w:fill="auto"/>
          </w:tcPr>
          <w:p w:rsidR="00066FAC" w:rsidRPr="008C34EC" w:rsidRDefault="00066FAC" w:rsidP="008C34EC">
            <w:pPr>
              <w:spacing w:after="60"/>
              <w:jc w:val="center"/>
              <w:rPr>
                <w:sz w:val="18"/>
                <w:lang w:val="en-US"/>
              </w:rPr>
            </w:pPr>
            <w:r w:rsidRPr="008C34EC">
              <w:rPr>
                <w:sz w:val="18"/>
                <w:lang w:val="en-US"/>
              </w:rPr>
              <w:t>Refrigeration</w:t>
            </w:r>
          </w:p>
        </w:tc>
        <w:tc>
          <w:tcPr>
            <w:tcW w:w="410" w:type="pct"/>
            <w:shd w:val="clear" w:color="auto" w:fill="auto"/>
          </w:tcPr>
          <w:p w:rsidR="00066FAC" w:rsidRPr="008C34EC" w:rsidRDefault="00066FAC" w:rsidP="008C34EC">
            <w:pPr>
              <w:spacing w:after="60"/>
              <w:jc w:val="center"/>
              <w:rPr>
                <w:sz w:val="18"/>
                <w:lang w:val="en-US"/>
              </w:rPr>
            </w:pPr>
            <w:r w:rsidRPr="008C34EC">
              <w:rPr>
                <w:sz w:val="18"/>
                <w:lang w:val="en-US"/>
              </w:rPr>
              <w:t>Solvent</w:t>
            </w:r>
          </w:p>
        </w:tc>
        <w:tc>
          <w:tcPr>
            <w:tcW w:w="491" w:type="pct"/>
            <w:shd w:val="clear" w:color="auto" w:fill="auto"/>
          </w:tcPr>
          <w:p w:rsidR="00066FAC" w:rsidRPr="008C34EC" w:rsidRDefault="00066FAC" w:rsidP="008C34EC">
            <w:pPr>
              <w:spacing w:after="60"/>
              <w:jc w:val="center"/>
              <w:rPr>
                <w:sz w:val="18"/>
                <w:lang w:val="en-US"/>
              </w:rPr>
            </w:pPr>
            <w:r w:rsidRPr="008C34EC">
              <w:rPr>
                <w:sz w:val="18"/>
                <w:lang w:val="en-US"/>
              </w:rPr>
              <w:t>Process agent</w:t>
            </w:r>
          </w:p>
        </w:tc>
        <w:tc>
          <w:tcPr>
            <w:tcW w:w="308" w:type="pct"/>
            <w:shd w:val="clear" w:color="auto" w:fill="auto"/>
          </w:tcPr>
          <w:p w:rsidR="00066FAC" w:rsidRPr="008C34EC" w:rsidRDefault="00066FAC" w:rsidP="008C34EC">
            <w:pPr>
              <w:spacing w:after="60"/>
              <w:jc w:val="center"/>
              <w:rPr>
                <w:sz w:val="18"/>
                <w:lang w:val="en-US"/>
              </w:rPr>
            </w:pPr>
            <w:r w:rsidRPr="008C34EC">
              <w:rPr>
                <w:sz w:val="18"/>
                <w:lang w:val="en-US"/>
              </w:rPr>
              <w:t>Lab use</w:t>
            </w:r>
          </w:p>
        </w:tc>
        <w:tc>
          <w:tcPr>
            <w:tcW w:w="825" w:type="pct"/>
            <w:shd w:val="clear" w:color="auto" w:fill="auto"/>
          </w:tcPr>
          <w:p w:rsidR="00066FAC" w:rsidRPr="008C34EC" w:rsidRDefault="00066FAC" w:rsidP="008C34EC">
            <w:pPr>
              <w:spacing w:after="60"/>
              <w:jc w:val="center"/>
              <w:rPr>
                <w:sz w:val="18"/>
                <w:lang w:val="en-US"/>
              </w:rPr>
            </w:pPr>
            <w:r w:rsidRPr="008C34EC">
              <w:rPr>
                <w:sz w:val="18"/>
                <w:lang w:val="en-US"/>
              </w:rPr>
              <w:t>Total sector consumption</w:t>
            </w:r>
          </w:p>
        </w:tc>
      </w:tr>
      <w:tr w:rsidR="00066FAC" w:rsidRPr="008C34EC" w:rsidTr="00A42678">
        <w:trPr>
          <w:trHeight w:val="240"/>
        </w:trPr>
        <w:tc>
          <w:tcPr>
            <w:tcW w:w="1794" w:type="pct"/>
            <w:gridSpan w:val="4"/>
            <w:shd w:val="clear" w:color="auto" w:fill="auto"/>
          </w:tcPr>
          <w:p w:rsidR="00066FAC" w:rsidRPr="008C34EC" w:rsidRDefault="00066FAC" w:rsidP="008C34EC">
            <w:pPr>
              <w:spacing w:after="60"/>
              <w:jc w:val="center"/>
              <w:rPr>
                <w:sz w:val="18"/>
                <w:lang w:val="en-US"/>
              </w:rPr>
            </w:pPr>
            <w:r w:rsidRPr="008C34EC">
              <w:rPr>
                <w:sz w:val="18"/>
                <w:lang w:val="en-US"/>
              </w:rPr>
              <w:t xml:space="preserve"> </w:t>
            </w:r>
          </w:p>
        </w:tc>
        <w:tc>
          <w:tcPr>
            <w:tcW w:w="688" w:type="pct"/>
            <w:shd w:val="clear" w:color="auto" w:fill="auto"/>
          </w:tcPr>
          <w:p w:rsidR="00066FAC" w:rsidRPr="008C34EC" w:rsidRDefault="00066FAC" w:rsidP="008C34EC">
            <w:pPr>
              <w:spacing w:after="60"/>
              <w:jc w:val="center"/>
              <w:rPr>
                <w:sz w:val="18"/>
                <w:lang w:val="en-US"/>
              </w:rPr>
            </w:pPr>
            <w:r w:rsidRPr="008C34EC">
              <w:rPr>
                <w:sz w:val="18"/>
                <w:lang w:val="en-US"/>
              </w:rPr>
              <w:t>Manufacturing</w:t>
            </w:r>
          </w:p>
        </w:tc>
        <w:tc>
          <w:tcPr>
            <w:tcW w:w="484" w:type="pct"/>
            <w:shd w:val="clear" w:color="auto" w:fill="auto"/>
          </w:tcPr>
          <w:p w:rsidR="00066FAC" w:rsidRPr="008C34EC" w:rsidRDefault="00066FAC" w:rsidP="008C34EC">
            <w:pPr>
              <w:spacing w:after="60"/>
              <w:jc w:val="center"/>
              <w:rPr>
                <w:sz w:val="18"/>
                <w:lang w:val="en-US"/>
              </w:rPr>
            </w:pPr>
            <w:r w:rsidRPr="008C34EC">
              <w:rPr>
                <w:sz w:val="18"/>
                <w:lang w:val="en-US"/>
              </w:rPr>
              <w:t>Servicing</w:t>
            </w:r>
          </w:p>
        </w:tc>
        <w:tc>
          <w:tcPr>
            <w:tcW w:w="2034" w:type="pct"/>
            <w:gridSpan w:val="4"/>
            <w:shd w:val="clear" w:color="auto" w:fill="auto"/>
          </w:tcPr>
          <w:p w:rsidR="00066FAC" w:rsidRPr="008C34EC" w:rsidRDefault="00066FAC" w:rsidP="008C34EC">
            <w:pPr>
              <w:spacing w:after="60"/>
              <w:jc w:val="center"/>
              <w:rPr>
                <w:sz w:val="18"/>
                <w:lang w:val="en-US"/>
              </w:rPr>
            </w:pPr>
          </w:p>
        </w:tc>
      </w:tr>
      <w:tr w:rsidR="00070CB2" w:rsidRPr="008C34EC" w:rsidTr="00A42678">
        <w:trPr>
          <w:trHeight w:val="240"/>
        </w:trPr>
        <w:tc>
          <w:tcPr>
            <w:tcW w:w="604" w:type="pct"/>
            <w:shd w:val="clear" w:color="auto" w:fill="auto"/>
          </w:tcPr>
          <w:p w:rsidR="00070CB2" w:rsidRPr="008C34EC" w:rsidRDefault="00070CB2" w:rsidP="008C34EC">
            <w:pPr>
              <w:spacing w:after="60"/>
              <w:jc w:val="left"/>
              <w:rPr>
                <w:sz w:val="18"/>
                <w:lang w:val="en-US"/>
              </w:rPr>
            </w:pPr>
            <w:r w:rsidRPr="008C34EC">
              <w:rPr>
                <w:sz w:val="18"/>
                <w:lang w:val="en-US"/>
              </w:rPr>
              <w:t>HCFC-22</w:t>
            </w:r>
          </w:p>
        </w:tc>
        <w:tc>
          <w:tcPr>
            <w:tcW w:w="386" w:type="pct"/>
            <w:shd w:val="clear" w:color="auto" w:fill="auto"/>
          </w:tcPr>
          <w:p w:rsidR="00070CB2" w:rsidRPr="008C34EC" w:rsidRDefault="00070CB2" w:rsidP="008C34EC">
            <w:pPr>
              <w:spacing w:after="60"/>
              <w:jc w:val="right"/>
              <w:rPr>
                <w:sz w:val="18"/>
                <w:lang w:val="en-US"/>
              </w:rPr>
            </w:pPr>
          </w:p>
        </w:tc>
        <w:tc>
          <w:tcPr>
            <w:tcW w:w="335" w:type="pct"/>
            <w:shd w:val="clear" w:color="auto" w:fill="auto"/>
          </w:tcPr>
          <w:p w:rsidR="00070CB2" w:rsidRPr="008C34EC" w:rsidRDefault="00070CB2" w:rsidP="008C34EC">
            <w:pPr>
              <w:spacing w:after="60"/>
              <w:jc w:val="right"/>
              <w:rPr>
                <w:sz w:val="18"/>
                <w:lang w:val="en-US"/>
              </w:rPr>
            </w:pPr>
          </w:p>
        </w:tc>
        <w:tc>
          <w:tcPr>
            <w:tcW w:w="468" w:type="pct"/>
            <w:shd w:val="clear" w:color="auto" w:fill="auto"/>
          </w:tcPr>
          <w:p w:rsidR="00070CB2" w:rsidRPr="008C34EC" w:rsidRDefault="00070CB2" w:rsidP="008C34EC">
            <w:pPr>
              <w:spacing w:after="60"/>
              <w:jc w:val="right"/>
              <w:rPr>
                <w:sz w:val="18"/>
                <w:lang w:val="en-US"/>
              </w:rPr>
            </w:pPr>
          </w:p>
        </w:tc>
        <w:tc>
          <w:tcPr>
            <w:tcW w:w="688" w:type="pct"/>
            <w:shd w:val="clear" w:color="auto" w:fill="auto"/>
          </w:tcPr>
          <w:p w:rsidR="00070CB2" w:rsidRPr="008C34EC" w:rsidRDefault="00070CB2" w:rsidP="008C34EC">
            <w:pPr>
              <w:spacing w:after="60"/>
              <w:jc w:val="right"/>
              <w:rPr>
                <w:sz w:val="18"/>
                <w:lang w:val="en-US"/>
              </w:rPr>
            </w:pPr>
          </w:p>
        </w:tc>
        <w:tc>
          <w:tcPr>
            <w:tcW w:w="484" w:type="pct"/>
            <w:shd w:val="clear" w:color="auto" w:fill="auto"/>
          </w:tcPr>
          <w:p w:rsidR="00070CB2" w:rsidRPr="008C34EC" w:rsidRDefault="008F3116" w:rsidP="008C34EC">
            <w:pPr>
              <w:spacing w:after="60"/>
              <w:jc w:val="right"/>
              <w:rPr>
                <w:sz w:val="18"/>
                <w:lang w:val="en-US"/>
              </w:rPr>
            </w:pPr>
            <w:r w:rsidRPr="008C34EC">
              <w:rPr>
                <w:sz w:val="18"/>
                <w:lang w:val="en-US"/>
              </w:rPr>
              <w:t>4.98</w:t>
            </w:r>
          </w:p>
        </w:tc>
        <w:tc>
          <w:tcPr>
            <w:tcW w:w="410" w:type="pct"/>
            <w:shd w:val="clear" w:color="auto" w:fill="auto"/>
          </w:tcPr>
          <w:p w:rsidR="00070CB2" w:rsidRPr="008C34EC" w:rsidRDefault="00070CB2" w:rsidP="008C34EC">
            <w:pPr>
              <w:spacing w:after="60"/>
              <w:jc w:val="right"/>
              <w:rPr>
                <w:sz w:val="18"/>
                <w:lang w:val="en-US"/>
              </w:rPr>
            </w:pPr>
          </w:p>
        </w:tc>
        <w:tc>
          <w:tcPr>
            <w:tcW w:w="491" w:type="pct"/>
            <w:shd w:val="clear" w:color="auto" w:fill="auto"/>
          </w:tcPr>
          <w:p w:rsidR="00070CB2" w:rsidRPr="008C34EC" w:rsidRDefault="00070CB2" w:rsidP="008C34EC">
            <w:pPr>
              <w:spacing w:after="60"/>
              <w:jc w:val="right"/>
              <w:rPr>
                <w:sz w:val="18"/>
                <w:lang w:val="en-US"/>
              </w:rPr>
            </w:pPr>
          </w:p>
        </w:tc>
        <w:tc>
          <w:tcPr>
            <w:tcW w:w="308" w:type="pct"/>
            <w:shd w:val="clear" w:color="auto" w:fill="auto"/>
          </w:tcPr>
          <w:p w:rsidR="00070CB2" w:rsidRPr="008C34EC" w:rsidRDefault="00070CB2" w:rsidP="008C34EC">
            <w:pPr>
              <w:spacing w:after="60"/>
              <w:jc w:val="right"/>
              <w:rPr>
                <w:sz w:val="18"/>
                <w:lang w:val="en-US"/>
              </w:rPr>
            </w:pPr>
          </w:p>
        </w:tc>
        <w:tc>
          <w:tcPr>
            <w:tcW w:w="825" w:type="pct"/>
            <w:shd w:val="clear" w:color="auto" w:fill="auto"/>
          </w:tcPr>
          <w:p w:rsidR="00070CB2" w:rsidRPr="008C34EC" w:rsidRDefault="008F3116" w:rsidP="008C34EC">
            <w:pPr>
              <w:spacing w:after="60"/>
              <w:jc w:val="right"/>
              <w:rPr>
                <w:sz w:val="18"/>
                <w:lang w:val="en-US"/>
              </w:rPr>
            </w:pPr>
            <w:r w:rsidRPr="008C34EC">
              <w:rPr>
                <w:sz w:val="18"/>
                <w:lang w:val="en-US"/>
              </w:rPr>
              <w:t>4.98</w:t>
            </w:r>
          </w:p>
        </w:tc>
      </w:tr>
      <w:tr w:rsidR="00066FAC" w:rsidRPr="008C34EC" w:rsidTr="00A42678">
        <w:trPr>
          <w:trHeight w:val="800"/>
        </w:trPr>
        <w:tc>
          <w:tcPr>
            <w:tcW w:w="604" w:type="pct"/>
            <w:shd w:val="clear" w:color="auto" w:fill="auto"/>
          </w:tcPr>
          <w:p w:rsidR="00066FAC" w:rsidRPr="008C34EC" w:rsidRDefault="00066FAC" w:rsidP="008C34EC">
            <w:pPr>
              <w:spacing w:after="60"/>
              <w:jc w:val="left"/>
              <w:rPr>
                <w:sz w:val="18"/>
                <w:lang w:val="en-US"/>
              </w:rPr>
            </w:pPr>
            <w:r w:rsidRPr="008C34EC">
              <w:rPr>
                <w:sz w:val="18"/>
                <w:lang w:val="en-US"/>
              </w:rPr>
              <w:t xml:space="preserve">HCFC-141b in </w:t>
            </w:r>
            <w:r w:rsidR="0042788C" w:rsidRPr="008C34EC">
              <w:rPr>
                <w:sz w:val="18"/>
                <w:lang w:val="en-US"/>
              </w:rPr>
              <w:t>imported pre-blended polyol</w:t>
            </w:r>
          </w:p>
        </w:tc>
        <w:tc>
          <w:tcPr>
            <w:tcW w:w="386" w:type="pct"/>
            <w:shd w:val="clear" w:color="auto" w:fill="auto"/>
          </w:tcPr>
          <w:p w:rsidR="00066FAC" w:rsidRPr="008C34EC" w:rsidRDefault="00066FAC" w:rsidP="008C34EC">
            <w:pPr>
              <w:spacing w:after="60"/>
              <w:jc w:val="right"/>
              <w:rPr>
                <w:sz w:val="18"/>
                <w:lang w:val="en-US"/>
              </w:rPr>
            </w:pPr>
          </w:p>
        </w:tc>
        <w:tc>
          <w:tcPr>
            <w:tcW w:w="335" w:type="pct"/>
            <w:shd w:val="clear" w:color="auto" w:fill="auto"/>
          </w:tcPr>
          <w:p w:rsidR="00066FAC" w:rsidRPr="008C34EC" w:rsidRDefault="000F485F" w:rsidP="008C34EC">
            <w:pPr>
              <w:spacing w:after="60"/>
              <w:jc w:val="right"/>
              <w:rPr>
                <w:sz w:val="18"/>
                <w:lang w:val="en-US"/>
              </w:rPr>
            </w:pPr>
            <w:r w:rsidRPr="008C34EC">
              <w:rPr>
                <w:sz w:val="18"/>
                <w:lang w:val="en-US"/>
              </w:rPr>
              <w:t>3.15</w:t>
            </w:r>
          </w:p>
        </w:tc>
        <w:tc>
          <w:tcPr>
            <w:tcW w:w="468" w:type="pct"/>
            <w:shd w:val="clear" w:color="auto" w:fill="auto"/>
          </w:tcPr>
          <w:p w:rsidR="00066FAC" w:rsidRPr="008C34EC" w:rsidRDefault="00066FAC" w:rsidP="008C34EC">
            <w:pPr>
              <w:spacing w:after="60"/>
              <w:jc w:val="right"/>
              <w:rPr>
                <w:sz w:val="18"/>
                <w:lang w:val="en-US"/>
              </w:rPr>
            </w:pPr>
          </w:p>
        </w:tc>
        <w:tc>
          <w:tcPr>
            <w:tcW w:w="688" w:type="pct"/>
            <w:shd w:val="clear" w:color="auto" w:fill="auto"/>
          </w:tcPr>
          <w:p w:rsidR="00066FAC" w:rsidRPr="008C34EC" w:rsidRDefault="00066FAC" w:rsidP="008C34EC">
            <w:pPr>
              <w:spacing w:after="60"/>
              <w:jc w:val="right"/>
              <w:rPr>
                <w:sz w:val="18"/>
                <w:lang w:val="en-US"/>
              </w:rPr>
            </w:pPr>
          </w:p>
        </w:tc>
        <w:tc>
          <w:tcPr>
            <w:tcW w:w="484" w:type="pct"/>
            <w:shd w:val="clear" w:color="auto" w:fill="auto"/>
          </w:tcPr>
          <w:p w:rsidR="00066FAC" w:rsidRPr="008C34EC" w:rsidRDefault="00066FAC" w:rsidP="008C34EC">
            <w:pPr>
              <w:spacing w:after="60"/>
              <w:jc w:val="right"/>
              <w:rPr>
                <w:sz w:val="18"/>
                <w:lang w:val="en-US"/>
              </w:rPr>
            </w:pPr>
          </w:p>
        </w:tc>
        <w:tc>
          <w:tcPr>
            <w:tcW w:w="410" w:type="pct"/>
            <w:shd w:val="clear" w:color="auto" w:fill="auto"/>
          </w:tcPr>
          <w:p w:rsidR="00066FAC" w:rsidRPr="008C34EC" w:rsidRDefault="00066FAC" w:rsidP="008C34EC">
            <w:pPr>
              <w:spacing w:after="60"/>
              <w:jc w:val="right"/>
              <w:rPr>
                <w:sz w:val="18"/>
                <w:lang w:val="en-US"/>
              </w:rPr>
            </w:pPr>
          </w:p>
        </w:tc>
        <w:tc>
          <w:tcPr>
            <w:tcW w:w="491" w:type="pct"/>
            <w:shd w:val="clear" w:color="auto" w:fill="auto"/>
          </w:tcPr>
          <w:p w:rsidR="00066FAC" w:rsidRPr="008C34EC" w:rsidRDefault="00066FAC" w:rsidP="008C34EC">
            <w:pPr>
              <w:spacing w:after="60"/>
              <w:jc w:val="right"/>
              <w:rPr>
                <w:sz w:val="18"/>
                <w:lang w:val="en-US"/>
              </w:rPr>
            </w:pPr>
          </w:p>
        </w:tc>
        <w:tc>
          <w:tcPr>
            <w:tcW w:w="308" w:type="pct"/>
            <w:shd w:val="clear" w:color="auto" w:fill="auto"/>
          </w:tcPr>
          <w:p w:rsidR="00066FAC" w:rsidRPr="008C34EC" w:rsidRDefault="00066FAC" w:rsidP="008C34EC">
            <w:pPr>
              <w:spacing w:after="60"/>
              <w:jc w:val="right"/>
              <w:rPr>
                <w:sz w:val="18"/>
                <w:lang w:val="en-US"/>
              </w:rPr>
            </w:pPr>
          </w:p>
        </w:tc>
        <w:tc>
          <w:tcPr>
            <w:tcW w:w="825" w:type="pct"/>
            <w:shd w:val="clear" w:color="auto" w:fill="auto"/>
          </w:tcPr>
          <w:p w:rsidR="00066FAC" w:rsidRPr="008C34EC" w:rsidRDefault="000F485F" w:rsidP="008C34EC">
            <w:pPr>
              <w:spacing w:after="60"/>
              <w:jc w:val="right"/>
              <w:rPr>
                <w:sz w:val="18"/>
                <w:lang w:val="en-US"/>
              </w:rPr>
            </w:pPr>
            <w:r w:rsidRPr="008C34EC">
              <w:rPr>
                <w:sz w:val="18"/>
                <w:lang w:val="en-US"/>
              </w:rPr>
              <w:t>3.15</w:t>
            </w:r>
          </w:p>
        </w:tc>
      </w:tr>
    </w:tbl>
    <w:p w:rsidR="00066FAC" w:rsidRPr="008C34EC" w:rsidRDefault="00066FAC" w:rsidP="008C34EC">
      <w:pPr>
        <w:spacing w:after="60"/>
        <w:jc w:val="center"/>
        <w:rPr>
          <w:lang w:val="en-US"/>
        </w:rPr>
      </w:pPr>
    </w:p>
    <w:tbl>
      <w:tblPr>
        <w:tblStyle w:val="TableGrid"/>
        <w:tblW w:w="5000" w:type="pct"/>
        <w:tblLook w:val="04A0" w:firstRow="1" w:lastRow="0" w:firstColumn="1" w:lastColumn="0" w:noHBand="0" w:noVBand="1"/>
      </w:tblPr>
      <w:tblGrid>
        <w:gridCol w:w="2511"/>
        <w:gridCol w:w="754"/>
        <w:gridCol w:w="5333"/>
        <w:gridCol w:w="752"/>
      </w:tblGrid>
      <w:tr w:rsidR="00066FAC" w:rsidRPr="008C34EC" w:rsidTr="00A42678">
        <w:trPr>
          <w:trHeight w:val="240"/>
        </w:trPr>
        <w:tc>
          <w:tcPr>
            <w:tcW w:w="5000" w:type="pct"/>
            <w:gridSpan w:val="4"/>
            <w:shd w:val="clear" w:color="auto" w:fill="auto"/>
          </w:tcPr>
          <w:p w:rsidR="00066FAC" w:rsidRPr="008C34EC" w:rsidRDefault="00066FAC" w:rsidP="008C34EC">
            <w:pPr>
              <w:spacing w:after="60"/>
              <w:jc w:val="left"/>
              <w:rPr>
                <w:b/>
                <w:sz w:val="18"/>
                <w:lang w:val="en-US"/>
              </w:rPr>
            </w:pPr>
            <w:r w:rsidRPr="008C34EC">
              <w:rPr>
                <w:b/>
                <w:sz w:val="18"/>
                <w:lang w:val="en-US"/>
              </w:rPr>
              <w:t>(IV) CONSUMPTION DATA (ODP tonnes)</w:t>
            </w:r>
          </w:p>
        </w:tc>
      </w:tr>
      <w:tr w:rsidR="00066FAC" w:rsidRPr="008C34EC" w:rsidTr="00A42678">
        <w:trPr>
          <w:trHeight w:val="240"/>
        </w:trPr>
        <w:tc>
          <w:tcPr>
            <w:tcW w:w="1343" w:type="pct"/>
            <w:shd w:val="clear" w:color="auto" w:fill="auto"/>
          </w:tcPr>
          <w:p w:rsidR="00066FAC" w:rsidRPr="008C34EC" w:rsidRDefault="00066FAC" w:rsidP="008C34EC">
            <w:pPr>
              <w:spacing w:after="60"/>
              <w:jc w:val="center"/>
              <w:rPr>
                <w:sz w:val="18"/>
                <w:lang w:val="en-US"/>
              </w:rPr>
            </w:pPr>
            <w:r w:rsidRPr="008C34EC">
              <w:rPr>
                <w:sz w:val="18"/>
                <w:lang w:val="en-US"/>
              </w:rPr>
              <w:t>2009 - 2010 baseline:</w:t>
            </w:r>
          </w:p>
        </w:tc>
        <w:tc>
          <w:tcPr>
            <w:tcW w:w="403" w:type="pct"/>
            <w:shd w:val="clear" w:color="auto" w:fill="auto"/>
          </w:tcPr>
          <w:p w:rsidR="00066FAC" w:rsidRPr="008C34EC" w:rsidRDefault="00066FAC" w:rsidP="008C34EC">
            <w:pPr>
              <w:spacing w:after="60"/>
              <w:jc w:val="right"/>
              <w:rPr>
                <w:sz w:val="18"/>
                <w:lang w:val="en-US"/>
              </w:rPr>
            </w:pPr>
            <w:r w:rsidRPr="008C34EC">
              <w:rPr>
                <w:sz w:val="18"/>
                <w:lang w:val="en-US"/>
              </w:rPr>
              <w:t>15.0</w:t>
            </w:r>
          </w:p>
        </w:tc>
        <w:tc>
          <w:tcPr>
            <w:tcW w:w="2852" w:type="pct"/>
            <w:shd w:val="clear" w:color="auto" w:fill="auto"/>
          </w:tcPr>
          <w:p w:rsidR="00066FAC" w:rsidRPr="008C34EC" w:rsidRDefault="00066FAC" w:rsidP="008C34EC">
            <w:pPr>
              <w:spacing w:after="60"/>
              <w:jc w:val="center"/>
              <w:rPr>
                <w:sz w:val="18"/>
                <w:lang w:val="en-US"/>
              </w:rPr>
            </w:pPr>
            <w:r w:rsidRPr="008C34EC">
              <w:rPr>
                <w:sz w:val="18"/>
                <w:lang w:val="en-US"/>
              </w:rPr>
              <w:t>Starting point for sustained aggregate reductions:</w:t>
            </w:r>
          </w:p>
        </w:tc>
        <w:tc>
          <w:tcPr>
            <w:tcW w:w="403" w:type="pct"/>
            <w:shd w:val="clear" w:color="auto" w:fill="auto"/>
          </w:tcPr>
          <w:p w:rsidR="00066FAC" w:rsidRPr="008C34EC" w:rsidRDefault="00066FAC" w:rsidP="008C34EC">
            <w:pPr>
              <w:spacing w:after="60"/>
              <w:jc w:val="right"/>
              <w:rPr>
                <w:sz w:val="18"/>
                <w:lang w:val="en-US"/>
              </w:rPr>
            </w:pPr>
            <w:r w:rsidRPr="008C34EC">
              <w:rPr>
                <w:sz w:val="18"/>
                <w:lang w:val="en-US"/>
              </w:rPr>
              <w:t>15.0</w:t>
            </w:r>
          </w:p>
        </w:tc>
      </w:tr>
      <w:tr w:rsidR="00066FAC" w:rsidRPr="008C34EC" w:rsidTr="00A42678">
        <w:trPr>
          <w:trHeight w:val="240"/>
        </w:trPr>
        <w:tc>
          <w:tcPr>
            <w:tcW w:w="5000" w:type="pct"/>
            <w:gridSpan w:val="4"/>
            <w:shd w:val="clear" w:color="auto" w:fill="auto"/>
          </w:tcPr>
          <w:p w:rsidR="00066FAC" w:rsidRPr="008C34EC" w:rsidRDefault="00066FAC" w:rsidP="008C34EC">
            <w:pPr>
              <w:spacing w:after="60"/>
              <w:jc w:val="center"/>
              <w:rPr>
                <w:b/>
                <w:sz w:val="18"/>
                <w:lang w:val="en-US"/>
              </w:rPr>
            </w:pPr>
            <w:r w:rsidRPr="008C34EC">
              <w:rPr>
                <w:b/>
                <w:sz w:val="18"/>
                <w:lang w:val="en-US"/>
              </w:rPr>
              <w:t>CONSUMPTION ELIGIBLE FOR FUNDING (ODP tonnes)</w:t>
            </w:r>
          </w:p>
        </w:tc>
      </w:tr>
      <w:tr w:rsidR="00066FAC" w:rsidRPr="008C34EC" w:rsidTr="00A42678">
        <w:trPr>
          <w:trHeight w:val="240"/>
        </w:trPr>
        <w:tc>
          <w:tcPr>
            <w:tcW w:w="1343" w:type="pct"/>
            <w:shd w:val="clear" w:color="auto" w:fill="auto"/>
          </w:tcPr>
          <w:p w:rsidR="00066FAC" w:rsidRPr="008C34EC" w:rsidRDefault="00066FAC" w:rsidP="008C34EC">
            <w:pPr>
              <w:spacing w:after="60"/>
              <w:jc w:val="center"/>
              <w:rPr>
                <w:sz w:val="18"/>
                <w:lang w:val="en-US"/>
              </w:rPr>
            </w:pPr>
            <w:r w:rsidRPr="008C34EC">
              <w:rPr>
                <w:sz w:val="18"/>
                <w:lang w:val="en-US"/>
              </w:rPr>
              <w:t>Already approved:</w:t>
            </w:r>
          </w:p>
        </w:tc>
        <w:tc>
          <w:tcPr>
            <w:tcW w:w="403" w:type="pct"/>
            <w:shd w:val="clear" w:color="auto" w:fill="auto"/>
          </w:tcPr>
          <w:p w:rsidR="00066FAC" w:rsidRPr="008C34EC" w:rsidRDefault="00070CB2" w:rsidP="008C34EC">
            <w:pPr>
              <w:spacing w:after="60"/>
              <w:jc w:val="right"/>
              <w:rPr>
                <w:sz w:val="18"/>
                <w:lang w:val="en-US"/>
              </w:rPr>
            </w:pPr>
            <w:r w:rsidRPr="008C34EC">
              <w:rPr>
                <w:sz w:val="18"/>
                <w:lang w:val="en-US"/>
              </w:rPr>
              <w:t>15.0</w:t>
            </w:r>
          </w:p>
        </w:tc>
        <w:tc>
          <w:tcPr>
            <w:tcW w:w="2852" w:type="pct"/>
            <w:shd w:val="clear" w:color="auto" w:fill="auto"/>
          </w:tcPr>
          <w:p w:rsidR="00066FAC" w:rsidRPr="008C34EC" w:rsidRDefault="00066FAC" w:rsidP="008C34EC">
            <w:pPr>
              <w:spacing w:after="60"/>
              <w:jc w:val="center"/>
              <w:rPr>
                <w:sz w:val="18"/>
                <w:lang w:val="en-US"/>
              </w:rPr>
            </w:pPr>
            <w:r w:rsidRPr="008C34EC">
              <w:rPr>
                <w:sz w:val="18"/>
                <w:lang w:val="en-US"/>
              </w:rPr>
              <w:t>Remaining:</w:t>
            </w:r>
          </w:p>
        </w:tc>
        <w:tc>
          <w:tcPr>
            <w:tcW w:w="403" w:type="pct"/>
            <w:shd w:val="clear" w:color="auto" w:fill="auto"/>
          </w:tcPr>
          <w:p w:rsidR="00066FAC" w:rsidRPr="008C34EC" w:rsidRDefault="00070CB2" w:rsidP="008C34EC">
            <w:pPr>
              <w:spacing w:after="60"/>
              <w:jc w:val="right"/>
              <w:rPr>
                <w:sz w:val="18"/>
                <w:lang w:val="en-US"/>
              </w:rPr>
            </w:pPr>
            <w:r w:rsidRPr="008C34EC">
              <w:rPr>
                <w:sz w:val="18"/>
                <w:lang w:val="en-US"/>
              </w:rPr>
              <w:t>0</w:t>
            </w:r>
          </w:p>
        </w:tc>
      </w:tr>
    </w:tbl>
    <w:p w:rsidR="00066FAC" w:rsidRPr="008C34EC" w:rsidRDefault="00066FAC" w:rsidP="008C34EC">
      <w:pPr>
        <w:spacing w:after="60"/>
        <w:jc w:val="center"/>
        <w:rPr>
          <w:lang w:val="en-US"/>
        </w:rPr>
      </w:pPr>
    </w:p>
    <w:tbl>
      <w:tblPr>
        <w:tblStyle w:val="TableGrid"/>
        <w:tblW w:w="5000" w:type="pct"/>
        <w:tblLook w:val="04A0" w:firstRow="1" w:lastRow="0" w:firstColumn="1" w:lastColumn="0" w:noHBand="0" w:noVBand="1"/>
      </w:tblPr>
      <w:tblGrid>
        <w:gridCol w:w="1134"/>
        <w:gridCol w:w="3798"/>
        <w:gridCol w:w="1105"/>
        <w:gridCol w:w="1105"/>
        <w:gridCol w:w="1105"/>
        <w:gridCol w:w="1103"/>
      </w:tblGrid>
      <w:tr w:rsidR="00A42678" w:rsidRPr="008C34EC" w:rsidTr="00A42678">
        <w:trPr>
          <w:trHeight w:val="240"/>
        </w:trPr>
        <w:tc>
          <w:tcPr>
            <w:tcW w:w="2637" w:type="pct"/>
            <w:gridSpan w:val="2"/>
            <w:shd w:val="clear" w:color="auto" w:fill="auto"/>
          </w:tcPr>
          <w:p w:rsidR="00A42678" w:rsidRPr="008C34EC" w:rsidRDefault="00A42678" w:rsidP="008C34EC">
            <w:pPr>
              <w:spacing w:after="60"/>
              <w:jc w:val="left"/>
              <w:rPr>
                <w:b/>
                <w:sz w:val="18"/>
                <w:lang w:val="en-US"/>
              </w:rPr>
            </w:pPr>
            <w:r w:rsidRPr="008C34EC">
              <w:rPr>
                <w:b/>
                <w:sz w:val="18"/>
                <w:lang w:val="en-US"/>
              </w:rPr>
              <w:t>(V) BUSINESS PLAN</w:t>
            </w:r>
          </w:p>
        </w:tc>
        <w:tc>
          <w:tcPr>
            <w:tcW w:w="591" w:type="pct"/>
            <w:shd w:val="clear" w:color="auto" w:fill="auto"/>
          </w:tcPr>
          <w:p w:rsidR="00A42678" w:rsidRPr="008C34EC" w:rsidRDefault="00A42678" w:rsidP="008C34EC">
            <w:pPr>
              <w:spacing w:after="60"/>
              <w:jc w:val="center"/>
              <w:rPr>
                <w:b/>
                <w:sz w:val="18"/>
                <w:lang w:val="en-US"/>
              </w:rPr>
            </w:pPr>
            <w:r w:rsidRPr="008C34EC">
              <w:rPr>
                <w:b/>
                <w:sz w:val="18"/>
                <w:lang w:val="en-US"/>
              </w:rPr>
              <w:t>2019</w:t>
            </w:r>
          </w:p>
        </w:tc>
        <w:tc>
          <w:tcPr>
            <w:tcW w:w="591" w:type="pct"/>
            <w:shd w:val="clear" w:color="auto" w:fill="auto"/>
          </w:tcPr>
          <w:p w:rsidR="00A42678" w:rsidRPr="008C34EC" w:rsidRDefault="00A42678" w:rsidP="008C34EC">
            <w:pPr>
              <w:spacing w:after="60"/>
              <w:jc w:val="center"/>
              <w:rPr>
                <w:b/>
                <w:sz w:val="18"/>
                <w:lang w:val="en-US"/>
              </w:rPr>
            </w:pPr>
            <w:r w:rsidRPr="008C34EC">
              <w:rPr>
                <w:b/>
                <w:sz w:val="18"/>
                <w:lang w:val="en-US"/>
              </w:rPr>
              <w:t>2020</w:t>
            </w:r>
          </w:p>
        </w:tc>
        <w:tc>
          <w:tcPr>
            <w:tcW w:w="591" w:type="pct"/>
          </w:tcPr>
          <w:p w:rsidR="00A42678" w:rsidRPr="008C34EC" w:rsidRDefault="00A42678" w:rsidP="008C34EC">
            <w:pPr>
              <w:spacing w:after="60"/>
              <w:jc w:val="center"/>
              <w:rPr>
                <w:b/>
                <w:sz w:val="18"/>
                <w:lang w:val="en-US"/>
              </w:rPr>
            </w:pPr>
            <w:r w:rsidRPr="008C34EC">
              <w:rPr>
                <w:b/>
                <w:sz w:val="18"/>
                <w:lang w:val="en-US"/>
              </w:rPr>
              <w:t>2021</w:t>
            </w:r>
          </w:p>
        </w:tc>
        <w:tc>
          <w:tcPr>
            <w:tcW w:w="590" w:type="pct"/>
            <w:shd w:val="clear" w:color="auto" w:fill="auto"/>
          </w:tcPr>
          <w:p w:rsidR="00A42678" w:rsidRPr="008C34EC" w:rsidRDefault="00A42678" w:rsidP="008C34EC">
            <w:pPr>
              <w:spacing w:after="60"/>
              <w:jc w:val="center"/>
              <w:rPr>
                <w:b/>
                <w:sz w:val="18"/>
                <w:lang w:val="en-US"/>
              </w:rPr>
            </w:pPr>
            <w:r w:rsidRPr="008C34EC">
              <w:rPr>
                <w:b/>
                <w:sz w:val="18"/>
                <w:lang w:val="en-US"/>
              </w:rPr>
              <w:t>Total</w:t>
            </w:r>
          </w:p>
        </w:tc>
      </w:tr>
      <w:tr w:rsidR="00A42678" w:rsidRPr="008C34EC" w:rsidTr="00A42678">
        <w:trPr>
          <w:trHeight w:val="240"/>
        </w:trPr>
        <w:tc>
          <w:tcPr>
            <w:tcW w:w="606" w:type="pct"/>
            <w:vMerge w:val="restart"/>
            <w:shd w:val="clear" w:color="auto" w:fill="auto"/>
          </w:tcPr>
          <w:p w:rsidR="00A42678" w:rsidRPr="008C34EC" w:rsidRDefault="00A42678" w:rsidP="008C34EC">
            <w:pPr>
              <w:spacing w:after="60"/>
              <w:jc w:val="center"/>
              <w:rPr>
                <w:sz w:val="18"/>
                <w:lang w:val="en-US"/>
              </w:rPr>
            </w:pPr>
            <w:r w:rsidRPr="008C34EC">
              <w:rPr>
                <w:sz w:val="18"/>
                <w:lang w:val="en-US"/>
              </w:rPr>
              <w:t>UNEP</w:t>
            </w:r>
          </w:p>
        </w:tc>
        <w:tc>
          <w:tcPr>
            <w:tcW w:w="2031" w:type="pct"/>
            <w:shd w:val="clear" w:color="auto" w:fill="auto"/>
          </w:tcPr>
          <w:p w:rsidR="00A42678" w:rsidRPr="008C34EC" w:rsidRDefault="00A42678" w:rsidP="008C34EC">
            <w:pPr>
              <w:spacing w:after="60"/>
              <w:jc w:val="left"/>
              <w:rPr>
                <w:sz w:val="18"/>
                <w:lang w:val="en-US"/>
              </w:rPr>
            </w:pPr>
            <w:r w:rsidRPr="008C34EC">
              <w:rPr>
                <w:sz w:val="18"/>
                <w:lang w:val="en-US"/>
              </w:rPr>
              <w:t>ODS phase-out (ODP tonnes)</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0.94</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0.00</w:t>
            </w:r>
          </w:p>
        </w:tc>
        <w:tc>
          <w:tcPr>
            <w:tcW w:w="591" w:type="pct"/>
          </w:tcPr>
          <w:p w:rsidR="00A42678" w:rsidRPr="008C34EC" w:rsidRDefault="00A42678" w:rsidP="008C34EC">
            <w:pPr>
              <w:spacing w:after="60"/>
              <w:jc w:val="right"/>
              <w:rPr>
                <w:sz w:val="18"/>
                <w:lang w:val="en-US"/>
              </w:rPr>
            </w:pPr>
            <w:r w:rsidRPr="008C34EC">
              <w:rPr>
                <w:sz w:val="18"/>
                <w:lang w:val="en-US"/>
              </w:rPr>
              <w:t>0.00</w:t>
            </w:r>
          </w:p>
        </w:tc>
        <w:tc>
          <w:tcPr>
            <w:tcW w:w="590" w:type="pct"/>
            <w:shd w:val="clear" w:color="auto" w:fill="auto"/>
          </w:tcPr>
          <w:p w:rsidR="00A42678" w:rsidRPr="008C34EC" w:rsidRDefault="00A42678" w:rsidP="008C34EC">
            <w:pPr>
              <w:spacing w:after="60"/>
              <w:jc w:val="right"/>
              <w:rPr>
                <w:sz w:val="18"/>
                <w:lang w:val="en-US"/>
              </w:rPr>
            </w:pPr>
            <w:r w:rsidRPr="008C34EC">
              <w:rPr>
                <w:sz w:val="18"/>
                <w:lang w:val="en-US"/>
              </w:rPr>
              <w:t>0.94</w:t>
            </w:r>
          </w:p>
        </w:tc>
      </w:tr>
      <w:tr w:rsidR="00A42678" w:rsidRPr="008C34EC" w:rsidTr="00A42678">
        <w:trPr>
          <w:trHeight w:val="240"/>
        </w:trPr>
        <w:tc>
          <w:tcPr>
            <w:tcW w:w="606" w:type="pct"/>
            <w:vMerge/>
            <w:shd w:val="clear" w:color="auto" w:fill="auto"/>
          </w:tcPr>
          <w:p w:rsidR="00A42678" w:rsidRPr="008C34EC" w:rsidRDefault="00A42678" w:rsidP="008C34EC">
            <w:pPr>
              <w:spacing w:after="60"/>
              <w:jc w:val="center"/>
              <w:rPr>
                <w:sz w:val="18"/>
                <w:lang w:val="en-US"/>
              </w:rPr>
            </w:pPr>
          </w:p>
        </w:tc>
        <w:tc>
          <w:tcPr>
            <w:tcW w:w="2031" w:type="pct"/>
            <w:shd w:val="clear" w:color="auto" w:fill="auto"/>
          </w:tcPr>
          <w:p w:rsidR="00A42678" w:rsidRPr="008C34EC" w:rsidRDefault="00A42678" w:rsidP="008C34EC">
            <w:pPr>
              <w:spacing w:after="60"/>
              <w:jc w:val="left"/>
              <w:rPr>
                <w:sz w:val="18"/>
                <w:lang w:val="en-US"/>
              </w:rPr>
            </w:pPr>
            <w:r w:rsidRPr="008C34EC">
              <w:rPr>
                <w:sz w:val="18"/>
                <w:lang w:val="en-US"/>
              </w:rPr>
              <w:t>Funding (US $)</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113,000</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0</w:t>
            </w:r>
          </w:p>
        </w:tc>
        <w:tc>
          <w:tcPr>
            <w:tcW w:w="591" w:type="pct"/>
          </w:tcPr>
          <w:p w:rsidR="00A42678" w:rsidRPr="008C34EC" w:rsidRDefault="00A42678" w:rsidP="008C34EC">
            <w:pPr>
              <w:spacing w:after="60"/>
              <w:jc w:val="right"/>
              <w:rPr>
                <w:sz w:val="18"/>
                <w:lang w:val="en-US"/>
              </w:rPr>
            </w:pPr>
            <w:r w:rsidRPr="008C34EC">
              <w:rPr>
                <w:sz w:val="18"/>
                <w:lang w:val="en-US"/>
              </w:rPr>
              <w:t>0</w:t>
            </w:r>
          </w:p>
        </w:tc>
        <w:tc>
          <w:tcPr>
            <w:tcW w:w="590" w:type="pct"/>
            <w:shd w:val="clear" w:color="auto" w:fill="auto"/>
          </w:tcPr>
          <w:p w:rsidR="00A42678" w:rsidRPr="008C34EC" w:rsidRDefault="00A42678" w:rsidP="008C34EC">
            <w:pPr>
              <w:spacing w:after="60"/>
              <w:jc w:val="right"/>
              <w:rPr>
                <w:sz w:val="18"/>
                <w:lang w:val="en-US"/>
              </w:rPr>
            </w:pPr>
            <w:r w:rsidRPr="008C34EC">
              <w:rPr>
                <w:sz w:val="18"/>
                <w:lang w:val="en-US"/>
              </w:rPr>
              <w:t>113,000</w:t>
            </w:r>
          </w:p>
        </w:tc>
      </w:tr>
      <w:tr w:rsidR="00A42678" w:rsidRPr="008C34EC" w:rsidTr="00A42678">
        <w:trPr>
          <w:trHeight w:val="240"/>
        </w:trPr>
        <w:tc>
          <w:tcPr>
            <w:tcW w:w="606" w:type="pct"/>
            <w:vMerge w:val="restart"/>
            <w:shd w:val="clear" w:color="auto" w:fill="auto"/>
          </w:tcPr>
          <w:p w:rsidR="00A42678" w:rsidRPr="008C34EC" w:rsidRDefault="00A42678" w:rsidP="008C34EC">
            <w:pPr>
              <w:spacing w:after="60"/>
              <w:jc w:val="center"/>
              <w:rPr>
                <w:sz w:val="18"/>
                <w:lang w:val="en-US"/>
              </w:rPr>
            </w:pPr>
            <w:r w:rsidRPr="008C34EC">
              <w:rPr>
                <w:sz w:val="18"/>
                <w:lang w:val="en-US"/>
              </w:rPr>
              <w:t>UNDP</w:t>
            </w:r>
          </w:p>
        </w:tc>
        <w:tc>
          <w:tcPr>
            <w:tcW w:w="2031" w:type="pct"/>
            <w:shd w:val="clear" w:color="auto" w:fill="auto"/>
          </w:tcPr>
          <w:p w:rsidR="00A42678" w:rsidRPr="008C34EC" w:rsidRDefault="00A42678" w:rsidP="008C34EC">
            <w:pPr>
              <w:spacing w:after="60"/>
              <w:jc w:val="left"/>
              <w:rPr>
                <w:sz w:val="18"/>
                <w:lang w:val="en-US"/>
              </w:rPr>
            </w:pPr>
            <w:r w:rsidRPr="008C34EC">
              <w:rPr>
                <w:sz w:val="18"/>
                <w:lang w:val="en-US"/>
              </w:rPr>
              <w:t>ODS phase-out (ODP tonnes)</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1.41</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 xml:space="preserve">0.00 </w:t>
            </w:r>
          </w:p>
        </w:tc>
        <w:tc>
          <w:tcPr>
            <w:tcW w:w="591" w:type="pct"/>
          </w:tcPr>
          <w:p w:rsidR="00A42678" w:rsidRPr="008C34EC" w:rsidRDefault="00A42678" w:rsidP="008C34EC">
            <w:pPr>
              <w:spacing w:after="60"/>
              <w:jc w:val="right"/>
              <w:rPr>
                <w:sz w:val="18"/>
                <w:lang w:val="en-US"/>
              </w:rPr>
            </w:pPr>
            <w:r w:rsidRPr="008C34EC">
              <w:rPr>
                <w:sz w:val="18"/>
                <w:lang w:val="en-US"/>
              </w:rPr>
              <w:t>0.00</w:t>
            </w:r>
          </w:p>
        </w:tc>
        <w:tc>
          <w:tcPr>
            <w:tcW w:w="590" w:type="pct"/>
            <w:shd w:val="clear" w:color="auto" w:fill="auto"/>
          </w:tcPr>
          <w:p w:rsidR="00A42678" w:rsidRPr="008C34EC" w:rsidRDefault="00A42678" w:rsidP="008C34EC">
            <w:pPr>
              <w:spacing w:after="60"/>
              <w:jc w:val="right"/>
              <w:rPr>
                <w:sz w:val="18"/>
                <w:lang w:val="en-US"/>
              </w:rPr>
            </w:pPr>
            <w:r w:rsidRPr="008C34EC">
              <w:rPr>
                <w:sz w:val="18"/>
                <w:lang w:val="en-US"/>
              </w:rPr>
              <w:t>1.41</w:t>
            </w:r>
          </w:p>
        </w:tc>
      </w:tr>
      <w:tr w:rsidR="00A42678" w:rsidRPr="008C34EC" w:rsidTr="00A42678">
        <w:trPr>
          <w:trHeight w:val="240"/>
        </w:trPr>
        <w:tc>
          <w:tcPr>
            <w:tcW w:w="606" w:type="pct"/>
            <w:vMerge/>
            <w:shd w:val="clear" w:color="auto" w:fill="auto"/>
          </w:tcPr>
          <w:p w:rsidR="00A42678" w:rsidRPr="008C34EC" w:rsidRDefault="00A42678" w:rsidP="008C34EC">
            <w:pPr>
              <w:spacing w:after="60"/>
              <w:jc w:val="center"/>
              <w:rPr>
                <w:sz w:val="18"/>
                <w:lang w:val="en-US"/>
              </w:rPr>
            </w:pPr>
          </w:p>
        </w:tc>
        <w:tc>
          <w:tcPr>
            <w:tcW w:w="2031" w:type="pct"/>
            <w:shd w:val="clear" w:color="auto" w:fill="auto"/>
          </w:tcPr>
          <w:p w:rsidR="00A42678" w:rsidRPr="008C34EC" w:rsidRDefault="00A42678" w:rsidP="008C34EC">
            <w:pPr>
              <w:spacing w:after="60"/>
              <w:jc w:val="left"/>
              <w:rPr>
                <w:sz w:val="18"/>
                <w:lang w:val="en-US"/>
              </w:rPr>
            </w:pPr>
            <w:r w:rsidRPr="008C34EC">
              <w:rPr>
                <w:sz w:val="18"/>
                <w:lang w:val="en-US"/>
              </w:rPr>
              <w:t>Funding (US $)</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161,250</w:t>
            </w:r>
          </w:p>
        </w:tc>
        <w:tc>
          <w:tcPr>
            <w:tcW w:w="591" w:type="pct"/>
            <w:shd w:val="clear" w:color="auto" w:fill="auto"/>
          </w:tcPr>
          <w:p w:rsidR="00A42678" w:rsidRPr="008C34EC" w:rsidRDefault="00A42678" w:rsidP="008C34EC">
            <w:pPr>
              <w:spacing w:after="60"/>
              <w:jc w:val="right"/>
              <w:rPr>
                <w:sz w:val="18"/>
                <w:lang w:val="en-US"/>
              </w:rPr>
            </w:pPr>
            <w:r w:rsidRPr="008C34EC">
              <w:rPr>
                <w:sz w:val="18"/>
                <w:lang w:val="en-US"/>
              </w:rPr>
              <w:t>0</w:t>
            </w:r>
          </w:p>
        </w:tc>
        <w:tc>
          <w:tcPr>
            <w:tcW w:w="591" w:type="pct"/>
          </w:tcPr>
          <w:p w:rsidR="00A42678" w:rsidRPr="008C34EC" w:rsidRDefault="00A42678" w:rsidP="008C34EC">
            <w:pPr>
              <w:spacing w:after="60"/>
              <w:jc w:val="right"/>
              <w:rPr>
                <w:sz w:val="18"/>
                <w:lang w:val="en-US"/>
              </w:rPr>
            </w:pPr>
            <w:r w:rsidRPr="008C34EC">
              <w:rPr>
                <w:sz w:val="18"/>
                <w:lang w:val="en-US"/>
              </w:rPr>
              <w:t>0</w:t>
            </w:r>
          </w:p>
        </w:tc>
        <w:tc>
          <w:tcPr>
            <w:tcW w:w="590" w:type="pct"/>
            <w:shd w:val="clear" w:color="auto" w:fill="auto"/>
          </w:tcPr>
          <w:p w:rsidR="00A42678" w:rsidRPr="008C34EC" w:rsidRDefault="00A42678" w:rsidP="008C34EC">
            <w:pPr>
              <w:spacing w:after="60"/>
              <w:jc w:val="right"/>
              <w:rPr>
                <w:sz w:val="18"/>
                <w:lang w:val="en-US"/>
              </w:rPr>
            </w:pPr>
            <w:r w:rsidRPr="008C34EC">
              <w:rPr>
                <w:sz w:val="18"/>
                <w:lang w:val="en-US"/>
              </w:rPr>
              <w:t>161,250</w:t>
            </w:r>
          </w:p>
        </w:tc>
      </w:tr>
    </w:tbl>
    <w:p w:rsidR="00FE3307" w:rsidRPr="008C34EC" w:rsidRDefault="00FE3307" w:rsidP="008C34EC">
      <w:pPr>
        <w:jc w:val="center"/>
        <w:rPr>
          <w:lang w:val="en-CA"/>
        </w:rPr>
      </w:pPr>
    </w:p>
    <w:p w:rsidR="00066FAC" w:rsidRPr="008C34EC" w:rsidRDefault="00066FAC" w:rsidP="008C34EC">
      <w:pPr>
        <w:jc w:val="center"/>
        <w:rPr>
          <w:lang w:val="en-CA"/>
        </w:rPr>
        <w:sectPr w:rsidR="00066FAC" w:rsidRPr="008C34EC" w:rsidSect="00896234">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864" w:left="1440" w:header="720" w:footer="475" w:gutter="0"/>
          <w:cols w:space="720"/>
          <w:titlePg/>
        </w:sectPr>
      </w:pPr>
    </w:p>
    <w:tbl>
      <w:tblPr>
        <w:tblStyle w:val="TableGrid"/>
        <w:tblW w:w="5000" w:type="pct"/>
        <w:tblLook w:val="04A0" w:firstRow="1" w:lastRow="0" w:firstColumn="1" w:lastColumn="0" w:noHBand="0" w:noVBand="1"/>
      </w:tblPr>
      <w:tblGrid>
        <w:gridCol w:w="819"/>
        <w:gridCol w:w="750"/>
        <w:gridCol w:w="833"/>
        <w:gridCol w:w="846"/>
        <w:gridCol w:w="672"/>
        <w:gridCol w:w="846"/>
        <w:gridCol w:w="607"/>
        <w:gridCol w:w="607"/>
        <w:gridCol w:w="846"/>
        <w:gridCol w:w="672"/>
        <w:gridCol w:w="846"/>
        <w:gridCol w:w="672"/>
        <w:gridCol w:w="846"/>
        <w:gridCol w:w="672"/>
        <w:gridCol w:w="846"/>
        <w:gridCol w:w="672"/>
        <w:gridCol w:w="607"/>
        <w:gridCol w:w="749"/>
        <w:gridCol w:w="838"/>
      </w:tblGrid>
      <w:tr w:rsidR="001A4EC1" w:rsidRPr="008C34EC" w:rsidTr="00A42678">
        <w:tc>
          <w:tcPr>
            <w:tcW w:w="842" w:type="pct"/>
            <w:gridSpan w:val="3"/>
            <w:shd w:val="clear" w:color="auto" w:fill="auto"/>
          </w:tcPr>
          <w:p w:rsidR="001A4EC1" w:rsidRPr="008C34EC" w:rsidRDefault="001A4EC1" w:rsidP="008C34EC">
            <w:pPr>
              <w:spacing w:after="60"/>
              <w:jc w:val="left"/>
              <w:rPr>
                <w:b/>
                <w:sz w:val="18"/>
                <w:szCs w:val="18"/>
                <w:lang w:val="en-US"/>
              </w:rPr>
            </w:pPr>
            <w:r w:rsidRPr="008C34EC">
              <w:rPr>
                <w:b/>
                <w:sz w:val="18"/>
                <w:szCs w:val="18"/>
                <w:lang w:val="en-US"/>
              </w:rPr>
              <w:lastRenderedPageBreak/>
              <w:t>(VI) PROJECT DATA</w:t>
            </w:r>
          </w:p>
        </w:tc>
        <w:tc>
          <w:tcPr>
            <w:tcW w:w="297" w:type="pct"/>
          </w:tcPr>
          <w:p w:rsidR="001A4EC1" w:rsidRPr="008C34EC" w:rsidRDefault="001A4EC1" w:rsidP="008C34EC">
            <w:pPr>
              <w:spacing w:after="60"/>
              <w:jc w:val="center"/>
              <w:rPr>
                <w:b/>
                <w:sz w:val="18"/>
                <w:szCs w:val="18"/>
                <w:lang w:val="en-US"/>
              </w:rPr>
            </w:pPr>
            <w:r w:rsidRPr="008C34EC">
              <w:rPr>
                <w:b/>
                <w:sz w:val="18"/>
                <w:szCs w:val="18"/>
                <w:lang w:val="en-US"/>
              </w:rPr>
              <w:t>2010</w:t>
            </w:r>
          </w:p>
        </w:tc>
        <w:tc>
          <w:tcPr>
            <w:tcW w:w="236" w:type="pct"/>
          </w:tcPr>
          <w:p w:rsidR="001A4EC1" w:rsidRPr="008C34EC" w:rsidRDefault="001A4EC1" w:rsidP="008C34EC">
            <w:pPr>
              <w:spacing w:after="60"/>
              <w:jc w:val="center"/>
              <w:rPr>
                <w:b/>
                <w:sz w:val="18"/>
                <w:szCs w:val="18"/>
                <w:lang w:val="en-US"/>
              </w:rPr>
            </w:pPr>
            <w:r w:rsidRPr="008C34EC">
              <w:rPr>
                <w:b/>
                <w:sz w:val="18"/>
                <w:szCs w:val="18"/>
                <w:lang w:val="en-US"/>
              </w:rPr>
              <w:t>2011-2012</w:t>
            </w:r>
          </w:p>
        </w:tc>
        <w:tc>
          <w:tcPr>
            <w:tcW w:w="297"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2013</w:t>
            </w:r>
          </w:p>
        </w:tc>
        <w:tc>
          <w:tcPr>
            <w:tcW w:w="213"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2014</w:t>
            </w:r>
          </w:p>
        </w:tc>
        <w:tc>
          <w:tcPr>
            <w:tcW w:w="213"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2015</w:t>
            </w:r>
          </w:p>
        </w:tc>
        <w:tc>
          <w:tcPr>
            <w:tcW w:w="297"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2016</w:t>
            </w:r>
          </w:p>
        </w:tc>
        <w:tc>
          <w:tcPr>
            <w:tcW w:w="236"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2017-2018</w:t>
            </w:r>
          </w:p>
        </w:tc>
        <w:tc>
          <w:tcPr>
            <w:tcW w:w="297"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2019</w:t>
            </w:r>
          </w:p>
        </w:tc>
        <w:tc>
          <w:tcPr>
            <w:tcW w:w="236"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2020-2021</w:t>
            </w:r>
          </w:p>
        </w:tc>
        <w:tc>
          <w:tcPr>
            <w:tcW w:w="297"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2022</w:t>
            </w:r>
          </w:p>
        </w:tc>
        <w:tc>
          <w:tcPr>
            <w:tcW w:w="236"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2023-2024</w:t>
            </w:r>
          </w:p>
        </w:tc>
        <w:tc>
          <w:tcPr>
            <w:tcW w:w="297"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2025</w:t>
            </w:r>
          </w:p>
        </w:tc>
        <w:tc>
          <w:tcPr>
            <w:tcW w:w="236"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2026-2029</w:t>
            </w:r>
          </w:p>
        </w:tc>
        <w:tc>
          <w:tcPr>
            <w:tcW w:w="213"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2030</w:t>
            </w:r>
          </w:p>
        </w:tc>
        <w:tc>
          <w:tcPr>
            <w:tcW w:w="263"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2031</w:t>
            </w:r>
          </w:p>
        </w:tc>
        <w:tc>
          <w:tcPr>
            <w:tcW w:w="295" w:type="pct"/>
            <w:shd w:val="clear" w:color="auto" w:fill="auto"/>
          </w:tcPr>
          <w:p w:rsidR="001A4EC1" w:rsidRPr="008C34EC" w:rsidRDefault="001A4EC1" w:rsidP="008C34EC">
            <w:pPr>
              <w:spacing w:after="60"/>
              <w:jc w:val="center"/>
              <w:rPr>
                <w:b/>
                <w:sz w:val="18"/>
                <w:szCs w:val="18"/>
                <w:lang w:val="en-US"/>
              </w:rPr>
            </w:pPr>
            <w:r w:rsidRPr="008C34EC">
              <w:rPr>
                <w:b/>
                <w:sz w:val="18"/>
                <w:szCs w:val="18"/>
                <w:lang w:val="en-US"/>
              </w:rPr>
              <w:t>Total</w:t>
            </w:r>
          </w:p>
        </w:tc>
      </w:tr>
      <w:tr w:rsidR="001A4EC1" w:rsidRPr="008C34EC" w:rsidTr="00A42678">
        <w:tc>
          <w:tcPr>
            <w:tcW w:w="842" w:type="pct"/>
            <w:gridSpan w:val="3"/>
            <w:shd w:val="clear" w:color="auto" w:fill="auto"/>
          </w:tcPr>
          <w:p w:rsidR="001A4EC1" w:rsidRPr="008C34EC" w:rsidRDefault="001A4EC1" w:rsidP="008C34EC">
            <w:pPr>
              <w:spacing w:after="60"/>
              <w:jc w:val="left"/>
              <w:rPr>
                <w:sz w:val="18"/>
                <w:szCs w:val="18"/>
                <w:lang w:val="en-US"/>
              </w:rPr>
            </w:pPr>
            <w:r w:rsidRPr="008C34EC">
              <w:rPr>
                <w:sz w:val="18"/>
                <w:szCs w:val="18"/>
                <w:lang w:val="en-US"/>
              </w:rPr>
              <w:t>Montreal Protocol consumption limits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n/a</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n/a</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15.0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15.0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9.</w:t>
            </w:r>
            <w:r w:rsidR="00FB1C91" w:rsidRPr="008C34EC">
              <w:rPr>
                <w:sz w:val="18"/>
                <w:szCs w:val="18"/>
                <w:lang w:val="en-US"/>
              </w:rPr>
              <w:t>75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9.</w:t>
            </w:r>
            <w:r w:rsidR="00FB1C91" w:rsidRPr="008C34EC">
              <w:rPr>
                <w:sz w:val="18"/>
                <w:szCs w:val="18"/>
                <w:lang w:val="en-US"/>
              </w:rPr>
              <w:t>75</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9.</w:t>
            </w:r>
            <w:r w:rsidR="00FB1C91" w:rsidRPr="008C34EC">
              <w:rPr>
                <w:sz w:val="18"/>
                <w:szCs w:val="18"/>
                <w:lang w:val="en-US"/>
              </w:rPr>
              <w:t>75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4.88</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4.</w:t>
            </w:r>
            <w:r w:rsidR="00FB1C91" w:rsidRPr="008C34EC">
              <w:rPr>
                <w:sz w:val="18"/>
                <w:szCs w:val="18"/>
                <w:lang w:val="en-US"/>
              </w:rPr>
              <w:t>88</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r w:rsidR="00FB1C91" w:rsidRPr="008C34EC">
              <w:rPr>
                <w:sz w:val="18"/>
                <w:szCs w:val="18"/>
                <w:lang w:val="en-US"/>
              </w:rPr>
              <w:t>38</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r w:rsidR="00FB1C91" w:rsidRPr="008C34EC">
              <w:rPr>
                <w:sz w:val="18"/>
                <w:szCs w:val="18"/>
                <w:lang w:val="en-US"/>
              </w:rPr>
              <w:t>38</w:t>
            </w:r>
          </w:p>
        </w:tc>
        <w:tc>
          <w:tcPr>
            <w:tcW w:w="295" w:type="pct"/>
            <w:shd w:val="clear" w:color="auto" w:fill="auto"/>
          </w:tcPr>
          <w:p w:rsidR="001A4EC1" w:rsidRPr="008C34EC" w:rsidRDefault="001A4EC1" w:rsidP="008C34EC">
            <w:pPr>
              <w:spacing w:after="60"/>
              <w:jc w:val="center"/>
              <w:rPr>
                <w:sz w:val="18"/>
                <w:szCs w:val="18"/>
                <w:lang w:val="en-US"/>
              </w:rPr>
            </w:pPr>
            <w:r w:rsidRPr="008C34EC">
              <w:rPr>
                <w:sz w:val="18"/>
                <w:szCs w:val="18"/>
                <w:lang w:val="en-US"/>
              </w:rPr>
              <w:t>n/a</w:t>
            </w:r>
          </w:p>
        </w:tc>
      </w:tr>
      <w:tr w:rsidR="001A4EC1" w:rsidRPr="008C34EC" w:rsidTr="00A42678">
        <w:tc>
          <w:tcPr>
            <w:tcW w:w="842" w:type="pct"/>
            <w:gridSpan w:val="3"/>
            <w:shd w:val="clear" w:color="auto" w:fill="auto"/>
          </w:tcPr>
          <w:p w:rsidR="001A4EC1" w:rsidRPr="008C34EC" w:rsidRDefault="001A4EC1" w:rsidP="008C34EC">
            <w:pPr>
              <w:spacing w:after="60"/>
              <w:jc w:val="left"/>
              <w:rPr>
                <w:sz w:val="18"/>
                <w:szCs w:val="18"/>
                <w:lang w:val="en-US"/>
              </w:rPr>
            </w:pPr>
            <w:r w:rsidRPr="008C34EC">
              <w:rPr>
                <w:sz w:val="18"/>
                <w:szCs w:val="18"/>
                <w:lang w:val="en-US"/>
              </w:rPr>
              <w:t>Maximum allowable consumption (ODP tonnes)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n/a</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n/a</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15.0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15.0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13.5</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9.</w:t>
            </w:r>
            <w:r w:rsidR="00FB1C91" w:rsidRPr="008C34EC">
              <w:rPr>
                <w:sz w:val="18"/>
                <w:szCs w:val="18"/>
                <w:lang w:val="en-US"/>
              </w:rPr>
              <w:t>75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9.</w:t>
            </w:r>
            <w:r w:rsidR="00FB1C91" w:rsidRPr="008C34EC">
              <w:rPr>
                <w:sz w:val="18"/>
                <w:szCs w:val="18"/>
                <w:lang w:val="en-US"/>
              </w:rPr>
              <w:t>75</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9.</w:t>
            </w:r>
            <w:r w:rsidR="00FB1C91" w:rsidRPr="008C34EC">
              <w:rPr>
                <w:sz w:val="18"/>
                <w:szCs w:val="18"/>
                <w:lang w:val="en-US"/>
              </w:rPr>
              <w:t>75</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4.88</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4.</w:t>
            </w:r>
            <w:r w:rsidR="00FB1C91" w:rsidRPr="008C34EC">
              <w:rPr>
                <w:sz w:val="18"/>
                <w:szCs w:val="18"/>
                <w:lang w:val="en-US"/>
              </w:rPr>
              <w:t>88</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r w:rsidR="00FB1C91" w:rsidRPr="008C34EC">
              <w:rPr>
                <w:sz w:val="18"/>
                <w:szCs w:val="18"/>
                <w:lang w:val="en-US"/>
              </w:rPr>
              <w:t>38</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r w:rsidR="00FB1C91" w:rsidRPr="008C34EC">
              <w:rPr>
                <w:sz w:val="18"/>
                <w:szCs w:val="18"/>
                <w:lang w:val="en-US"/>
              </w:rPr>
              <w:t>38</w:t>
            </w:r>
          </w:p>
        </w:tc>
        <w:tc>
          <w:tcPr>
            <w:tcW w:w="295" w:type="pct"/>
            <w:shd w:val="clear" w:color="auto" w:fill="auto"/>
          </w:tcPr>
          <w:p w:rsidR="001A4EC1" w:rsidRPr="008C34EC" w:rsidRDefault="001A4EC1" w:rsidP="008C34EC">
            <w:pPr>
              <w:spacing w:after="60"/>
              <w:jc w:val="center"/>
              <w:rPr>
                <w:sz w:val="18"/>
                <w:szCs w:val="18"/>
                <w:lang w:val="en-US"/>
              </w:rPr>
            </w:pPr>
            <w:r w:rsidRPr="008C34EC">
              <w:rPr>
                <w:sz w:val="18"/>
                <w:szCs w:val="18"/>
                <w:lang w:val="en-US"/>
              </w:rPr>
              <w:t>n/a</w:t>
            </w:r>
          </w:p>
        </w:tc>
      </w:tr>
      <w:tr w:rsidR="001A4EC1" w:rsidRPr="008C34EC" w:rsidTr="00A42678">
        <w:tc>
          <w:tcPr>
            <w:tcW w:w="287" w:type="pct"/>
            <w:vMerge w:val="restart"/>
            <w:shd w:val="clear" w:color="auto" w:fill="auto"/>
          </w:tcPr>
          <w:p w:rsidR="001A4EC1" w:rsidRPr="008C34EC" w:rsidRDefault="001A4EC1" w:rsidP="008C34EC">
            <w:pPr>
              <w:spacing w:after="60"/>
              <w:jc w:val="left"/>
              <w:rPr>
                <w:sz w:val="18"/>
                <w:szCs w:val="18"/>
                <w:lang w:val="en-US"/>
              </w:rPr>
            </w:pPr>
            <w:r w:rsidRPr="008C34EC">
              <w:rPr>
                <w:sz w:val="18"/>
                <w:szCs w:val="18"/>
                <w:lang w:val="en-US"/>
              </w:rPr>
              <w:t>Agreed funding (US $)</w:t>
            </w:r>
          </w:p>
        </w:tc>
        <w:tc>
          <w:tcPr>
            <w:tcW w:w="262" w:type="pct"/>
            <w:vMerge w:val="restart"/>
            <w:shd w:val="clear" w:color="auto" w:fill="auto"/>
          </w:tcPr>
          <w:p w:rsidR="001A4EC1" w:rsidRPr="008C34EC" w:rsidRDefault="001A4EC1" w:rsidP="008C34EC">
            <w:pPr>
              <w:spacing w:after="60"/>
              <w:jc w:val="center"/>
              <w:rPr>
                <w:sz w:val="18"/>
                <w:szCs w:val="18"/>
                <w:lang w:val="en-US"/>
              </w:rPr>
            </w:pPr>
            <w:r w:rsidRPr="008C34EC">
              <w:rPr>
                <w:sz w:val="18"/>
                <w:szCs w:val="18"/>
                <w:lang w:val="en-US"/>
              </w:rPr>
              <w:t>UNDP</w:t>
            </w: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Project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200,000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200,000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100,000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150,000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650,000</w:t>
            </w:r>
          </w:p>
        </w:tc>
      </w:tr>
      <w:tr w:rsidR="001A4EC1" w:rsidRPr="008C34EC" w:rsidTr="00A42678">
        <w:tc>
          <w:tcPr>
            <w:tcW w:w="287" w:type="pct"/>
            <w:vMerge/>
            <w:shd w:val="clear" w:color="auto" w:fill="auto"/>
          </w:tcPr>
          <w:p w:rsidR="001A4EC1" w:rsidRPr="008C34EC" w:rsidRDefault="001A4EC1" w:rsidP="008C34EC">
            <w:pPr>
              <w:spacing w:after="60"/>
              <w:jc w:val="center"/>
              <w:rPr>
                <w:sz w:val="18"/>
                <w:szCs w:val="18"/>
                <w:lang w:val="en-US"/>
              </w:rPr>
            </w:pPr>
          </w:p>
        </w:tc>
        <w:tc>
          <w:tcPr>
            <w:tcW w:w="262" w:type="pct"/>
            <w:vMerge/>
            <w:shd w:val="clear" w:color="auto" w:fill="auto"/>
          </w:tcPr>
          <w:p w:rsidR="001A4EC1" w:rsidRPr="008C34EC" w:rsidRDefault="001A4EC1" w:rsidP="008C34EC">
            <w:pPr>
              <w:spacing w:after="60"/>
              <w:jc w:val="center"/>
              <w:rPr>
                <w:sz w:val="18"/>
                <w:szCs w:val="18"/>
                <w:lang w:val="en-US"/>
              </w:rPr>
            </w:pP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Support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15,000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15,000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7,500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11,250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48,750</w:t>
            </w:r>
          </w:p>
        </w:tc>
      </w:tr>
      <w:tr w:rsidR="001A4EC1" w:rsidRPr="008C34EC" w:rsidTr="00A42678">
        <w:tc>
          <w:tcPr>
            <w:tcW w:w="287" w:type="pct"/>
            <w:vMerge/>
            <w:shd w:val="clear" w:color="auto" w:fill="auto"/>
          </w:tcPr>
          <w:p w:rsidR="001A4EC1" w:rsidRPr="008C34EC" w:rsidRDefault="001A4EC1" w:rsidP="008C34EC">
            <w:pPr>
              <w:spacing w:after="60"/>
              <w:jc w:val="center"/>
              <w:rPr>
                <w:sz w:val="18"/>
                <w:szCs w:val="18"/>
                <w:lang w:val="en-US"/>
              </w:rPr>
            </w:pPr>
          </w:p>
        </w:tc>
        <w:tc>
          <w:tcPr>
            <w:tcW w:w="262" w:type="pct"/>
            <w:vMerge w:val="restart"/>
            <w:shd w:val="clear" w:color="auto" w:fill="auto"/>
          </w:tcPr>
          <w:p w:rsidR="001A4EC1" w:rsidRPr="008C34EC" w:rsidRDefault="001A4EC1" w:rsidP="008C34EC">
            <w:pPr>
              <w:spacing w:after="60"/>
              <w:jc w:val="center"/>
              <w:rPr>
                <w:sz w:val="18"/>
                <w:szCs w:val="18"/>
                <w:lang w:val="en-US"/>
              </w:rPr>
            </w:pPr>
            <w:r w:rsidRPr="008C34EC">
              <w:rPr>
                <w:sz w:val="18"/>
                <w:szCs w:val="18"/>
                <w:lang w:val="en-US"/>
              </w:rPr>
              <w:t>UNEP</w:t>
            </w: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Project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150,000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100,000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150,000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100,000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200,000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200,000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50,000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950,000</w:t>
            </w:r>
          </w:p>
        </w:tc>
      </w:tr>
      <w:tr w:rsidR="001A4EC1" w:rsidRPr="008C34EC" w:rsidTr="00A42678">
        <w:tc>
          <w:tcPr>
            <w:tcW w:w="287" w:type="pct"/>
            <w:vMerge/>
            <w:shd w:val="clear" w:color="auto" w:fill="auto"/>
          </w:tcPr>
          <w:p w:rsidR="001A4EC1" w:rsidRPr="008C34EC" w:rsidRDefault="001A4EC1" w:rsidP="008C34EC">
            <w:pPr>
              <w:spacing w:after="60"/>
              <w:jc w:val="center"/>
              <w:rPr>
                <w:sz w:val="18"/>
                <w:szCs w:val="18"/>
                <w:lang w:val="en-US"/>
              </w:rPr>
            </w:pPr>
          </w:p>
        </w:tc>
        <w:tc>
          <w:tcPr>
            <w:tcW w:w="262" w:type="pct"/>
            <w:vMerge/>
            <w:shd w:val="clear" w:color="auto" w:fill="auto"/>
          </w:tcPr>
          <w:p w:rsidR="001A4EC1" w:rsidRPr="008C34EC" w:rsidRDefault="001A4EC1" w:rsidP="008C34EC">
            <w:pPr>
              <w:spacing w:after="60"/>
              <w:jc w:val="center"/>
              <w:rPr>
                <w:sz w:val="18"/>
                <w:szCs w:val="18"/>
                <w:lang w:val="en-US"/>
              </w:rPr>
            </w:pP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Support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19,500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13,000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19,500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13,000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26,000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26,000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6,500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123,500</w:t>
            </w:r>
          </w:p>
        </w:tc>
      </w:tr>
      <w:tr w:rsidR="001A4EC1" w:rsidRPr="008C34EC" w:rsidTr="00A42678">
        <w:tc>
          <w:tcPr>
            <w:tcW w:w="550" w:type="pct"/>
            <w:gridSpan w:val="2"/>
            <w:vMerge w:val="restart"/>
            <w:shd w:val="clear" w:color="auto" w:fill="auto"/>
          </w:tcPr>
          <w:p w:rsidR="001A4EC1" w:rsidRPr="008C34EC" w:rsidRDefault="001A4EC1" w:rsidP="008C34EC">
            <w:pPr>
              <w:spacing w:after="60"/>
              <w:jc w:val="left"/>
              <w:rPr>
                <w:sz w:val="18"/>
                <w:szCs w:val="18"/>
                <w:lang w:val="en-US"/>
              </w:rPr>
            </w:pPr>
            <w:r w:rsidRPr="008C34EC">
              <w:rPr>
                <w:sz w:val="18"/>
                <w:szCs w:val="18"/>
                <w:lang w:val="en-US"/>
              </w:rPr>
              <w:t>Funds approved by ExCom (US $)</w:t>
            </w: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Project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350,000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300,000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250,000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900,000</w:t>
            </w:r>
          </w:p>
        </w:tc>
      </w:tr>
      <w:tr w:rsidR="001A4EC1" w:rsidRPr="008C34EC" w:rsidTr="00A42678">
        <w:tc>
          <w:tcPr>
            <w:tcW w:w="550" w:type="pct"/>
            <w:gridSpan w:val="2"/>
            <w:vMerge/>
            <w:shd w:val="clear" w:color="auto" w:fill="auto"/>
          </w:tcPr>
          <w:p w:rsidR="001A4EC1" w:rsidRPr="008C34EC" w:rsidRDefault="001A4EC1" w:rsidP="008C34EC">
            <w:pPr>
              <w:spacing w:after="60"/>
              <w:jc w:val="center"/>
              <w:rPr>
                <w:sz w:val="18"/>
                <w:szCs w:val="18"/>
                <w:lang w:val="en-US"/>
              </w:rPr>
            </w:pP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Support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34,500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28,000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27,000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89,500</w:t>
            </w:r>
          </w:p>
        </w:tc>
      </w:tr>
      <w:tr w:rsidR="001A4EC1" w:rsidRPr="008C34EC" w:rsidTr="00A42678">
        <w:tc>
          <w:tcPr>
            <w:tcW w:w="550" w:type="pct"/>
            <w:gridSpan w:val="2"/>
            <w:vMerge w:val="restart"/>
            <w:shd w:val="clear" w:color="auto" w:fill="auto"/>
          </w:tcPr>
          <w:p w:rsidR="001A4EC1" w:rsidRPr="008C34EC" w:rsidRDefault="001A4EC1" w:rsidP="008C34EC">
            <w:pPr>
              <w:spacing w:after="60"/>
              <w:jc w:val="left"/>
              <w:rPr>
                <w:sz w:val="18"/>
                <w:szCs w:val="18"/>
                <w:lang w:val="en-US"/>
              </w:rPr>
            </w:pPr>
            <w:r w:rsidRPr="008C34EC">
              <w:rPr>
                <w:sz w:val="18"/>
                <w:szCs w:val="18"/>
                <w:lang w:val="en-US"/>
              </w:rPr>
              <w:t>Total funds requested for approval at this meeting (US $)</w:t>
            </w: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Project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250,000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250,000</w:t>
            </w:r>
          </w:p>
        </w:tc>
      </w:tr>
      <w:tr w:rsidR="001A4EC1" w:rsidRPr="008C34EC" w:rsidTr="00A42678">
        <w:tc>
          <w:tcPr>
            <w:tcW w:w="550" w:type="pct"/>
            <w:gridSpan w:val="2"/>
            <w:vMerge/>
            <w:shd w:val="clear" w:color="auto" w:fill="auto"/>
          </w:tcPr>
          <w:p w:rsidR="001A4EC1" w:rsidRPr="008C34EC" w:rsidRDefault="001A4EC1" w:rsidP="008C34EC">
            <w:pPr>
              <w:spacing w:after="60"/>
              <w:jc w:val="center"/>
              <w:rPr>
                <w:sz w:val="18"/>
                <w:szCs w:val="18"/>
                <w:lang w:val="en-US"/>
              </w:rPr>
            </w:pPr>
          </w:p>
        </w:tc>
        <w:tc>
          <w:tcPr>
            <w:tcW w:w="292" w:type="pct"/>
            <w:shd w:val="clear" w:color="auto" w:fill="auto"/>
          </w:tcPr>
          <w:p w:rsidR="001A4EC1" w:rsidRPr="008C34EC" w:rsidRDefault="001A4EC1" w:rsidP="008C34EC">
            <w:pPr>
              <w:spacing w:after="60"/>
              <w:jc w:val="left"/>
              <w:rPr>
                <w:sz w:val="18"/>
                <w:szCs w:val="18"/>
                <w:lang w:val="en-US"/>
              </w:rPr>
            </w:pPr>
            <w:r w:rsidRPr="008C34EC">
              <w:rPr>
                <w:sz w:val="18"/>
                <w:szCs w:val="18"/>
                <w:lang w:val="en-US"/>
              </w:rPr>
              <w:t>Support costs</w:t>
            </w:r>
          </w:p>
        </w:tc>
        <w:tc>
          <w:tcPr>
            <w:tcW w:w="297"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24,250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7"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36"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1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63" w:type="pct"/>
            <w:shd w:val="clear" w:color="auto" w:fill="auto"/>
          </w:tcPr>
          <w:p w:rsidR="001A4EC1" w:rsidRPr="008C34EC" w:rsidRDefault="001A4EC1" w:rsidP="008C34EC">
            <w:pPr>
              <w:spacing w:after="60"/>
              <w:jc w:val="right"/>
              <w:rPr>
                <w:sz w:val="18"/>
                <w:szCs w:val="18"/>
                <w:lang w:val="en-US"/>
              </w:rPr>
            </w:pPr>
            <w:r w:rsidRPr="008C34EC">
              <w:rPr>
                <w:sz w:val="18"/>
                <w:szCs w:val="18"/>
                <w:lang w:val="en-US"/>
              </w:rPr>
              <w:t>0</w:t>
            </w:r>
          </w:p>
        </w:tc>
        <w:tc>
          <w:tcPr>
            <w:tcW w:w="295" w:type="pct"/>
            <w:shd w:val="clear" w:color="auto" w:fill="auto"/>
          </w:tcPr>
          <w:p w:rsidR="001A4EC1" w:rsidRPr="008C34EC" w:rsidRDefault="00F46E3F" w:rsidP="008C34EC">
            <w:pPr>
              <w:spacing w:after="60"/>
              <w:jc w:val="right"/>
              <w:rPr>
                <w:sz w:val="18"/>
                <w:szCs w:val="18"/>
                <w:lang w:val="en-US"/>
              </w:rPr>
            </w:pPr>
            <w:r w:rsidRPr="008C34EC">
              <w:rPr>
                <w:sz w:val="18"/>
                <w:szCs w:val="18"/>
                <w:lang w:val="en-US"/>
              </w:rPr>
              <w:t>24,250</w:t>
            </w:r>
          </w:p>
        </w:tc>
      </w:tr>
    </w:tbl>
    <w:p w:rsidR="00FE3307" w:rsidRPr="008C34EC" w:rsidRDefault="00FE3307" w:rsidP="008C34EC">
      <w:pPr>
        <w:jc w:val="center"/>
        <w:rPr>
          <w:lang w:val="en-CA"/>
        </w:rPr>
      </w:pPr>
    </w:p>
    <w:p w:rsidR="00066FAC" w:rsidRPr="008C34EC" w:rsidRDefault="00066FAC" w:rsidP="008C34EC">
      <w:pPr>
        <w:jc w:val="center"/>
        <w:rPr>
          <w:lang w:val="en-CA"/>
        </w:rPr>
      </w:pPr>
    </w:p>
    <w:tbl>
      <w:tblPr>
        <w:tblStyle w:val="TableGrid"/>
        <w:tblW w:w="5000" w:type="pct"/>
        <w:tblLook w:val="04A0" w:firstRow="1" w:lastRow="0" w:firstColumn="1" w:lastColumn="0" w:noHBand="0" w:noVBand="1"/>
      </w:tblPr>
      <w:tblGrid>
        <w:gridCol w:w="3963"/>
        <w:gridCol w:w="10283"/>
      </w:tblGrid>
      <w:tr w:rsidR="00066FAC" w:rsidRPr="008C34EC" w:rsidTr="00A42678">
        <w:trPr>
          <w:trHeight w:val="240"/>
        </w:trPr>
        <w:tc>
          <w:tcPr>
            <w:tcW w:w="1391" w:type="pct"/>
            <w:shd w:val="clear" w:color="auto" w:fill="auto"/>
          </w:tcPr>
          <w:p w:rsidR="00066FAC" w:rsidRPr="008C34EC" w:rsidRDefault="00066FAC" w:rsidP="008C34EC">
            <w:pPr>
              <w:spacing w:after="60"/>
              <w:jc w:val="left"/>
              <w:rPr>
                <w:b/>
                <w:sz w:val="18"/>
                <w:lang w:val="en-US"/>
              </w:rPr>
            </w:pPr>
            <w:r w:rsidRPr="008C34EC">
              <w:rPr>
                <w:b/>
                <w:sz w:val="18"/>
                <w:lang w:val="en-US"/>
              </w:rPr>
              <w:t>Secretariat's recommendation:</w:t>
            </w:r>
          </w:p>
        </w:tc>
        <w:tc>
          <w:tcPr>
            <w:tcW w:w="3609" w:type="pct"/>
            <w:shd w:val="clear" w:color="auto" w:fill="auto"/>
          </w:tcPr>
          <w:p w:rsidR="00066FAC" w:rsidRPr="008C34EC" w:rsidRDefault="001A4EC1" w:rsidP="008C34EC">
            <w:pPr>
              <w:spacing w:after="60"/>
              <w:jc w:val="center"/>
              <w:rPr>
                <w:sz w:val="18"/>
                <w:lang w:val="en-US"/>
              </w:rPr>
            </w:pPr>
            <w:r w:rsidRPr="008C34EC">
              <w:rPr>
                <w:sz w:val="18"/>
                <w:lang w:val="en-US"/>
              </w:rPr>
              <w:t>Blanket approval</w:t>
            </w:r>
          </w:p>
        </w:tc>
      </w:tr>
    </w:tbl>
    <w:p w:rsidR="00066FAC" w:rsidRPr="008C34EC" w:rsidRDefault="00066FAC" w:rsidP="008C34EC">
      <w:pPr>
        <w:rPr>
          <w:lang w:val="en-CA"/>
        </w:rPr>
        <w:sectPr w:rsidR="00066FAC" w:rsidRPr="008C34EC" w:rsidSect="00066FAC">
          <w:footerReference w:type="first" r:id="rId15"/>
          <w:pgSz w:w="15840" w:h="12240" w:orient="landscape" w:code="1"/>
          <w:pgMar w:top="1440" w:right="720" w:bottom="1440" w:left="864" w:header="720" w:footer="475" w:gutter="0"/>
          <w:cols w:space="720"/>
          <w:titlePg/>
          <w:docGrid w:linePitch="299"/>
        </w:sectPr>
      </w:pPr>
    </w:p>
    <w:p w:rsidR="00FE3307" w:rsidRPr="008C34EC" w:rsidRDefault="00FE3307" w:rsidP="008C34EC">
      <w:pPr>
        <w:rPr>
          <w:lang w:val="en-CA"/>
        </w:rPr>
      </w:pPr>
    </w:p>
    <w:p w:rsidR="00FE3307" w:rsidRPr="008C34EC" w:rsidRDefault="00FE3307" w:rsidP="008C34EC">
      <w:pPr>
        <w:jc w:val="center"/>
        <w:rPr>
          <w:b/>
          <w:lang w:val="en-CA"/>
        </w:rPr>
      </w:pPr>
      <w:r w:rsidRPr="008C34EC">
        <w:rPr>
          <w:b/>
          <w:lang w:val="en-CA"/>
        </w:rPr>
        <w:t>PROJECT DESCRIPTION</w:t>
      </w:r>
    </w:p>
    <w:p w:rsidR="00FE3307" w:rsidRPr="008C34EC" w:rsidRDefault="00FE3307" w:rsidP="008C34EC">
      <w:pPr>
        <w:rPr>
          <w:lang w:val="en-CA"/>
        </w:rPr>
      </w:pPr>
    </w:p>
    <w:p w:rsidR="00FE3307" w:rsidRPr="008C34EC" w:rsidRDefault="00FE3307" w:rsidP="008C34EC">
      <w:pPr>
        <w:pStyle w:val="Heading1"/>
        <w:rPr>
          <w:lang w:val="en-CA"/>
        </w:rPr>
      </w:pPr>
      <w:r w:rsidRPr="008C34EC">
        <w:rPr>
          <w:lang w:val="en-CA"/>
        </w:rPr>
        <w:t xml:space="preserve">On behalf of the Government of </w:t>
      </w:r>
      <w:r w:rsidR="0058063C" w:rsidRPr="008C34EC">
        <w:rPr>
          <w:lang w:val="en-CA"/>
        </w:rPr>
        <w:t>Cambodia</w:t>
      </w:r>
      <w:r w:rsidRPr="008C34EC">
        <w:rPr>
          <w:lang w:val="en-CA"/>
        </w:rPr>
        <w:t xml:space="preserve">, </w:t>
      </w:r>
      <w:r w:rsidR="00CD2700" w:rsidRPr="008C34EC">
        <w:rPr>
          <w:lang w:val="en-CA"/>
        </w:rPr>
        <w:t>UNEP</w:t>
      </w:r>
      <w:r w:rsidRPr="008C34EC">
        <w:rPr>
          <w:lang w:val="en-CA"/>
        </w:rPr>
        <w:t xml:space="preserve"> as the lead implementing agency, has submitted a request for funding for the </w:t>
      </w:r>
      <w:r w:rsidR="00CD2700" w:rsidRPr="008C34EC">
        <w:rPr>
          <w:lang w:val="en-CA"/>
        </w:rPr>
        <w:t>fourth</w:t>
      </w:r>
      <w:r w:rsidRPr="008C34EC">
        <w:rPr>
          <w:lang w:val="en-CA"/>
        </w:rPr>
        <w:t xml:space="preserve"> tranche of stage I of the HCFC phase-out management plan (HPMP</w:t>
      </w:r>
      <w:r w:rsidR="00CD2700" w:rsidRPr="008C34EC">
        <w:rPr>
          <w:lang w:val="en-CA"/>
        </w:rPr>
        <w:t xml:space="preserve">), </w:t>
      </w:r>
      <w:r w:rsidRPr="008C34EC">
        <w:rPr>
          <w:lang w:val="en-CA"/>
        </w:rPr>
        <w:t>at a total cost of US $</w:t>
      </w:r>
      <w:r w:rsidR="00CD2700" w:rsidRPr="008C34EC">
        <w:rPr>
          <w:lang w:val="en-CA"/>
        </w:rPr>
        <w:t>274,250</w:t>
      </w:r>
      <w:r w:rsidRPr="008C34EC">
        <w:rPr>
          <w:lang w:val="en-CA"/>
        </w:rPr>
        <w:t>, consisting of US $</w:t>
      </w:r>
      <w:r w:rsidR="00CD2700" w:rsidRPr="008C34EC">
        <w:rPr>
          <w:lang w:val="en-CA"/>
        </w:rPr>
        <w:t>100,000</w:t>
      </w:r>
      <w:r w:rsidRPr="008C34EC">
        <w:rPr>
          <w:lang w:val="en-CA"/>
        </w:rPr>
        <w:t>, plus agency support costs of US $</w:t>
      </w:r>
      <w:r w:rsidR="00CD2700" w:rsidRPr="008C34EC">
        <w:rPr>
          <w:lang w:val="en-CA"/>
        </w:rPr>
        <w:t>13,000</w:t>
      </w:r>
      <w:r w:rsidRPr="008C34EC">
        <w:rPr>
          <w:lang w:val="en-CA"/>
        </w:rPr>
        <w:t xml:space="preserve"> for </w:t>
      </w:r>
      <w:r w:rsidR="00CD2700" w:rsidRPr="008C34EC">
        <w:rPr>
          <w:lang w:val="en-CA"/>
        </w:rPr>
        <w:t>UNEP</w:t>
      </w:r>
      <w:r w:rsidRPr="008C34EC">
        <w:rPr>
          <w:lang w:val="en-CA"/>
        </w:rPr>
        <w:t>, and US $</w:t>
      </w:r>
      <w:r w:rsidR="00CD2700" w:rsidRPr="008C34EC">
        <w:rPr>
          <w:lang w:val="en-CA"/>
        </w:rPr>
        <w:t>150,000</w:t>
      </w:r>
      <w:r w:rsidRPr="008C34EC">
        <w:rPr>
          <w:lang w:val="en-CA"/>
        </w:rPr>
        <w:t>, plus agency support costs of US $</w:t>
      </w:r>
      <w:r w:rsidR="00CD2700" w:rsidRPr="008C34EC">
        <w:rPr>
          <w:lang w:val="en-CA"/>
        </w:rPr>
        <w:t>11,250</w:t>
      </w:r>
      <w:r w:rsidRPr="008C34EC">
        <w:rPr>
          <w:lang w:val="en-CA"/>
        </w:rPr>
        <w:t xml:space="preserve"> for </w:t>
      </w:r>
      <w:r w:rsidR="00CD2700" w:rsidRPr="008C34EC">
        <w:rPr>
          <w:lang w:val="en-CA"/>
        </w:rPr>
        <w:t>UNDP.</w:t>
      </w:r>
      <w:r w:rsidRPr="008C34EC">
        <w:rPr>
          <w:rStyle w:val="FootnoteReference"/>
          <w:lang w:val="en-CA"/>
        </w:rPr>
        <w:footnoteReference w:id="1"/>
      </w:r>
      <w:r w:rsidRPr="008C34EC">
        <w:rPr>
          <w:lang w:val="en-CA"/>
        </w:rPr>
        <w:t xml:space="preserve"> The submission includes a progress report on the implementation of the </w:t>
      </w:r>
      <w:r w:rsidR="00CD2700" w:rsidRPr="008C34EC">
        <w:rPr>
          <w:lang w:val="en-CA"/>
        </w:rPr>
        <w:t>third tranche</w:t>
      </w:r>
      <w:r w:rsidRPr="008C34EC">
        <w:rPr>
          <w:lang w:val="en-CA"/>
        </w:rPr>
        <w:t xml:space="preserve"> and the tranche implementation plan for 2019 to 20</w:t>
      </w:r>
      <w:r w:rsidR="007636E6" w:rsidRPr="008C34EC">
        <w:rPr>
          <w:lang w:val="en-CA"/>
        </w:rPr>
        <w:t>22</w:t>
      </w:r>
      <w:r w:rsidRPr="008C34EC">
        <w:rPr>
          <w:lang w:val="en-CA"/>
        </w:rPr>
        <w:t>.</w:t>
      </w:r>
    </w:p>
    <w:p w:rsidR="00FE3307" w:rsidRPr="008C34EC" w:rsidRDefault="00FE3307" w:rsidP="008C34EC">
      <w:pPr>
        <w:rPr>
          <w:u w:val="single"/>
          <w:lang w:val="en-CA"/>
        </w:rPr>
      </w:pPr>
      <w:r w:rsidRPr="008C34EC">
        <w:rPr>
          <w:u w:val="single"/>
          <w:lang w:val="en-CA"/>
        </w:rPr>
        <w:t>Report on HCFC consumption</w:t>
      </w:r>
    </w:p>
    <w:p w:rsidR="00FE3307" w:rsidRPr="008C34EC" w:rsidRDefault="00FE3307" w:rsidP="008C34EC">
      <w:pPr>
        <w:rPr>
          <w:lang w:val="en-CA"/>
        </w:rPr>
      </w:pPr>
    </w:p>
    <w:p w:rsidR="00FE3307" w:rsidRPr="008C34EC" w:rsidRDefault="00FE3307" w:rsidP="008C34EC">
      <w:pPr>
        <w:pStyle w:val="Heading1"/>
        <w:rPr>
          <w:lang w:val="en-CA"/>
        </w:rPr>
      </w:pPr>
      <w:r w:rsidRPr="008C34EC">
        <w:rPr>
          <w:lang w:val="en-CA"/>
        </w:rPr>
        <w:t xml:space="preserve">The Government of </w:t>
      </w:r>
      <w:r w:rsidR="00070CB2" w:rsidRPr="008C34EC">
        <w:rPr>
          <w:lang w:val="en-CA"/>
        </w:rPr>
        <w:t>Cambodia</w:t>
      </w:r>
      <w:r w:rsidRPr="008C34EC">
        <w:rPr>
          <w:lang w:val="en-CA"/>
        </w:rPr>
        <w:t xml:space="preserve"> reported a consumption of </w:t>
      </w:r>
      <w:r w:rsidR="0020784F" w:rsidRPr="008C34EC">
        <w:rPr>
          <w:lang w:val="en-CA"/>
        </w:rPr>
        <w:t>4.64</w:t>
      </w:r>
      <w:r w:rsidRPr="008C34EC">
        <w:rPr>
          <w:lang w:val="en-CA"/>
        </w:rPr>
        <w:t> ODP tonnes of HCFC in 201</w:t>
      </w:r>
      <w:r w:rsidR="00070CB2" w:rsidRPr="008C34EC">
        <w:rPr>
          <w:lang w:val="en-CA"/>
        </w:rPr>
        <w:t>7</w:t>
      </w:r>
      <w:r w:rsidRPr="008C34EC">
        <w:rPr>
          <w:lang w:val="en-CA"/>
        </w:rPr>
        <w:t xml:space="preserve"> and estimated a consumption of </w:t>
      </w:r>
      <w:r w:rsidR="0020784F" w:rsidRPr="008C34EC">
        <w:rPr>
          <w:lang w:val="en-CA"/>
        </w:rPr>
        <w:t>4.98</w:t>
      </w:r>
      <w:r w:rsidRPr="008C34EC">
        <w:rPr>
          <w:lang w:val="en-CA"/>
        </w:rPr>
        <w:t> ODP tonnes for 201</w:t>
      </w:r>
      <w:r w:rsidR="00070CB2" w:rsidRPr="008C34EC">
        <w:rPr>
          <w:lang w:val="en-CA"/>
        </w:rPr>
        <w:t>8</w:t>
      </w:r>
      <w:r w:rsidRPr="008C34EC">
        <w:rPr>
          <w:lang w:val="en-CA"/>
        </w:rPr>
        <w:t xml:space="preserve">, which is </w:t>
      </w:r>
      <w:r w:rsidR="000F485F" w:rsidRPr="008C34EC">
        <w:rPr>
          <w:lang w:val="en-CA"/>
        </w:rPr>
        <w:t>67</w:t>
      </w:r>
      <w:r w:rsidRPr="008C34EC">
        <w:rPr>
          <w:lang w:val="en-CA"/>
        </w:rPr>
        <w:t> per cent below the HCFC baseline for compliance. The 2014-2018 HCFC consumption is shown in Table 1.</w:t>
      </w:r>
    </w:p>
    <w:p w:rsidR="00FE3307" w:rsidRPr="008C34EC" w:rsidRDefault="00FE3307" w:rsidP="008C34EC">
      <w:pPr>
        <w:rPr>
          <w:b/>
          <w:lang w:val="en-CA"/>
        </w:rPr>
      </w:pPr>
      <w:r w:rsidRPr="008C34EC">
        <w:rPr>
          <w:b/>
          <w:lang w:val="en-CA"/>
        </w:rPr>
        <w:t xml:space="preserve">Table 1. HCFC consumption in </w:t>
      </w:r>
      <w:r w:rsidR="00CD2700" w:rsidRPr="008C34EC">
        <w:rPr>
          <w:b/>
          <w:lang w:val="en-CA"/>
        </w:rPr>
        <w:t>Cambodia</w:t>
      </w:r>
      <w:r w:rsidRPr="008C34EC">
        <w:rPr>
          <w:b/>
          <w:lang w:val="en-CA"/>
        </w:rPr>
        <w:t xml:space="preserve"> (2014-2018 Article 7 data)</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FE3307" w:rsidRPr="008C34EC" w:rsidTr="005D77AC">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8C34EC" w:rsidRDefault="00FE3307" w:rsidP="008C34EC">
            <w:pPr>
              <w:widowControl w:val="0"/>
              <w:jc w:val="left"/>
              <w:rPr>
                <w:b/>
                <w:bCs/>
                <w:color w:val="000000"/>
                <w:sz w:val="20"/>
                <w:szCs w:val="20"/>
                <w:lang w:val="en-CA"/>
              </w:rPr>
            </w:pPr>
            <w:r w:rsidRPr="008C34EC">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FE3307" w:rsidRPr="008C34EC" w:rsidRDefault="00FE3307" w:rsidP="008C34EC">
            <w:pPr>
              <w:widowControl w:val="0"/>
              <w:jc w:val="center"/>
              <w:rPr>
                <w:b/>
                <w:bCs/>
                <w:color w:val="000000"/>
                <w:sz w:val="20"/>
                <w:szCs w:val="20"/>
                <w:lang w:val="en-CA"/>
              </w:rPr>
            </w:pPr>
            <w:r w:rsidRPr="008C34EC">
              <w:rPr>
                <w:b/>
                <w:bCs/>
                <w:color w:val="000000"/>
                <w:sz w:val="20"/>
                <w:szCs w:val="20"/>
                <w:lang w:val="en-CA"/>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FE3307" w:rsidRPr="008C34EC" w:rsidRDefault="00FE3307" w:rsidP="008C34EC">
            <w:pPr>
              <w:widowControl w:val="0"/>
              <w:jc w:val="center"/>
              <w:rPr>
                <w:b/>
                <w:bCs/>
                <w:color w:val="000000"/>
                <w:sz w:val="20"/>
                <w:szCs w:val="20"/>
                <w:lang w:val="en-CA"/>
              </w:rPr>
            </w:pPr>
            <w:r w:rsidRPr="008C34EC">
              <w:rPr>
                <w:b/>
                <w:bCs/>
                <w:color w:val="000000"/>
                <w:sz w:val="20"/>
                <w:szCs w:val="20"/>
                <w:lang w:val="en-CA"/>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FE3307" w:rsidRPr="008C34EC" w:rsidRDefault="00FE3307" w:rsidP="008C34EC">
            <w:pPr>
              <w:widowControl w:val="0"/>
              <w:jc w:val="center"/>
              <w:rPr>
                <w:b/>
                <w:bCs/>
                <w:color w:val="000000"/>
                <w:sz w:val="20"/>
                <w:szCs w:val="20"/>
                <w:lang w:val="en-CA"/>
              </w:rPr>
            </w:pPr>
            <w:r w:rsidRPr="008C34EC">
              <w:rPr>
                <w:b/>
                <w:bCs/>
                <w:color w:val="000000"/>
                <w:sz w:val="20"/>
                <w:szCs w:val="20"/>
                <w:lang w:val="en-CA"/>
              </w:rPr>
              <w:t>2016</w:t>
            </w:r>
          </w:p>
        </w:tc>
        <w:tc>
          <w:tcPr>
            <w:tcW w:w="529" w:type="pct"/>
            <w:tcBorders>
              <w:top w:val="single" w:sz="4" w:space="0" w:color="auto"/>
              <w:left w:val="nil"/>
              <w:bottom w:val="single" w:sz="4" w:space="0" w:color="auto"/>
              <w:right w:val="single" w:sz="4" w:space="0" w:color="auto"/>
            </w:tcBorders>
          </w:tcPr>
          <w:p w:rsidR="00FE3307" w:rsidRPr="008C34EC" w:rsidRDefault="00FE3307" w:rsidP="008C34EC">
            <w:pPr>
              <w:widowControl w:val="0"/>
              <w:jc w:val="center"/>
              <w:rPr>
                <w:b/>
                <w:bCs/>
                <w:color w:val="000000"/>
                <w:sz w:val="20"/>
                <w:szCs w:val="20"/>
                <w:lang w:val="en-CA"/>
              </w:rPr>
            </w:pPr>
            <w:r w:rsidRPr="008C34EC">
              <w:rPr>
                <w:b/>
                <w:bCs/>
                <w:color w:val="000000"/>
                <w:sz w:val="20"/>
                <w:szCs w:val="20"/>
                <w:lang w:val="en-CA"/>
              </w:rPr>
              <w:t>2017</w:t>
            </w:r>
          </w:p>
        </w:tc>
        <w:tc>
          <w:tcPr>
            <w:tcW w:w="530" w:type="pct"/>
            <w:tcBorders>
              <w:top w:val="single" w:sz="4" w:space="0" w:color="auto"/>
              <w:left w:val="single" w:sz="4" w:space="0" w:color="auto"/>
              <w:bottom w:val="single" w:sz="4" w:space="0" w:color="auto"/>
              <w:right w:val="single" w:sz="4" w:space="0" w:color="auto"/>
            </w:tcBorders>
          </w:tcPr>
          <w:p w:rsidR="00FE3307" w:rsidRPr="008C34EC" w:rsidRDefault="00FE3307" w:rsidP="008C34EC">
            <w:pPr>
              <w:widowControl w:val="0"/>
              <w:jc w:val="center"/>
              <w:rPr>
                <w:b/>
                <w:bCs/>
                <w:color w:val="000000"/>
                <w:sz w:val="20"/>
                <w:szCs w:val="20"/>
                <w:lang w:val="en-CA"/>
              </w:rPr>
            </w:pPr>
            <w:r w:rsidRPr="008C34EC">
              <w:rPr>
                <w:b/>
                <w:bCs/>
                <w:color w:val="000000"/>
                <w:sz w:val="20"/>
                <w:szCs w:val="20"/>
                <w:lang w:val="en-CA"/>
              </w:rPr>
              <w:t>2018</w:t>
            </w:r>
            <w:r w:rsidR="008F3116" w:rsidRPr="008C34EC">
              <w:rPr>
                <w:b/>
                <w:bCs/>
                <w:color w:val="000000"/>
                <w:sz w:val="20"/>
                <w:szCs w:val="20"/>
                <w:lang w:val="en-CA"/>
              </w:rPr>
              <w:t>*</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307" w:rsidRPr="008C34EC" w:rsidRDefault="00FE3307" w:rsidP="008C34EC">
            <w:pPr>
              <w:widowControl w:val="0"/>
              <w:jc w:val="center"/>
              <w:rPr>
                <w:b/>
                <w:bCs/>
                <w:color w:val="000000"/>
                <w:sz w:val="20"/>
                <w:szCs w:val="20"/>
                <w:lang w:val="en-CA"/>
              </w:rPr>
            </w:pPr>
            <w:r w:rsidRPr="008C34EC">
              <w:rPr>
                <w:b/>
                <w:bCs/>
                <w:color w:val="000000"/>
                <w:sz w:val="20"/>
                <w:szCs w:val="20"/>
                <w:lang w:val="en-CA"/>
              </w:rPr>
              <w:t>Baseline</w:t>
            </w:r>
          </w:p>
        </w:tc>
      </w:tr>
      <w:tr w:rsidR="00FE3307" w:rsidRPr="008C34EC" w:rsidTr="000D384E">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8C34EC" w:rsidRDefault="00FE3307" w:rsidP="008C34EC">
            <w:pPr>
              <w:widowControl w:val="0"/>
              <w:jc w:val="left"/>
              <w:rPr>
                <w:b/>
                <w:bCs/>
                <w:color w:val="000000"/>
                <w:sz w:val="20"/>
                <w:szCs w:val="20"/>
                <w:lang w:val="en-CA"/>
              </w:rPr>
            </w:pPr>
            <w:r w:rsidRPr="008C34EC">
              <w:rPr>
                <w:b/>
                <w:bCs/>
                <w:color w:val="000000"/>
                <w:sz w:val="20"/>
                <w:szCs w:val="20"/>
                <w:lang w:val="en-CA"/>
              </w:rPr>
              <w:t>Metric tonnes</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FE3307" w:rsidP="008C34EC">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FE3307" w:rsidP="008C34EC">
            <w:pPr>
              <w:widowControl w:val="0"/>
              <w:jc w:val="center"/>
              <w:rPr>
                <w:b/>
                <w:bCs/>
                <w:color w:val="000000"/>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FE3307" w:rsidP="008C34EC">
            <w:pPr>
              <w:widowControl w:val="0"/>
              <w:jc w:val="center"/>
              <w:rPr>
                <w:b/>
                <w:bCs/>
                <w:color w:val="000000"/>
                <w:sz w:val="20"/>
                <w:szCs w:val="20"/>
                <w:lang w:val="en-CA"/>
              </w:rPr>
            </w:pPr>
          </w:p>
        </w:tc>
        <w:tc>
          <w:tcPr>
            <w:tcW w:w="529" w:type="pct"/>
            <w:tcBorders>
              <w:top w:val="single" w:sz="4" w:space="0" w:color="auto"/>
              <w:left w:val="nil"/>
              <w:bottom w:val="single" w:sz="4" w:space="0" w:color="auto"/>
              <w:right w:val="single" w:sz="4" w:space="0" w:color="auto"/>
            </w:tcBorders>
          </w:tcPr>
          <w:p w:rsidR="00FE3307" w:rsidRPr="008C34EC" w:rsidRDefault="00FE3307" w:rsidP="008C34EC">
            <w:pPr>
              <w:widowControl w:val="0"/>
              <w:jc w:val="center"/>
              <w:rPr>
                <w:b/>
                <w:bCs/>
                <w:color w:val="000000"/>
                <w:sz w:val="20"/>
                <w:szCs w:val="20"/>
                <w:lang w:val="en-CA"/>
              </w:rPr>
            </w:pPr>
          </w:p>
        </w:tc>
        <w:tc>
          <w:tcPr>
            <w:tcW w:w="530" w:type="pct"/>
            <w:tcBorders>
              <w:top w:val="nil"/>
              <w:left w:val="single" w:sz="4" w:space="0" w:color="auto"/>
              <w:bottom w:val="single" w:sz="4" w:space="0" w:color="auto"/>
              <w:right w:val="single" w:sz="4" w:space="0" w:color="auto"/>
            </w:tcBorders>
          </w:tcPr>
          <w:p w:rsidR="00FE3307" w:rsidRPr="008C34EC" w:rsidRDefault="00FE3307" w:rsidP="008C34EC">
            <w:pPr>
              <w:widowControl w:val="0"/>
              <w:jc w:val="center"/>
              <w:rPr>
                <w:b/>
                <w:bCs/>
                <w:color w:val="000000"/>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FE3307" w:rsidRPr="008C34EC" w:rsidRDefault="00FE3307" w:rsidP="008C34EC">
            <w:pPr>
              <w:widowControl w:val="0"/>
              <w:jc w:val="center"/>
              <w:rPr>
                <w:b/>
                <w:bCs/>
                <w:color w:val="000000"/>
                <w:sz w:val="20"/>
                <w:szCs w:val="20"/>
                <w:lang w:val="en-CA"/>
              </w:rPr>
            </w:pPr>
          </w:p>
        </w:tc>
      </w:tr>
      <w:tr w:rsidR="00FE3307" w:rsidRPr="008C34EC" w:rsidTr="005D77A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8C34EC" w:rsidRDefault="00FE3307" w:rsidP="008C34EC">
            <w:pPr>
              <w:widowControl w:val="0"/>
              <w:jc w:val="left"/>
              <w:rPr>
                <w:color w:val="000000"/>
                <w:sz w:val="20"/>
                <w:szCs w:val="20"/>
                <w:lang w:val="en-CA"/>
              </w:rPr>
            </w:pPr>
            <w:r w:rsidRPr="008C34EC">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sz w:val="20"/>
                <w:szCs w:val="20"/>
                <w:lang w:val="en-CA"/>
              </w:rPr>
            </w:pPr>
            <w:r w:rsidRPr="008C34EC">
              <w:rPr>
                <w:sz w:val="20"/>
                <w:szCs w:val="20"/>
                <w:lang w:val="en-CA"/>
              </w:rPr>
              <w:t>203.01</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sz w:val="20"/>
                <w:szCs w:val="20"/>
                <w:lang w:val="en-CA"/>
              </w:rPr>
            </w:pPr>
            <w:r w:rsidRPr="008C34EC">
              <w:rPr>
                <w:sz w:val="20"/>
                <w:szCs w:val="20"/>
                <w:lang w:val="en-CA"/>
              </w:rPr>
              <w:t>211.74</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color w:val="000000"/>
                <w:sz w:val="20"/>
                <w:szCs w:val="20"/>
                <w:lang w:val="en-CA"/>
              </w:rPr>
            </w:pPr>
            <w:r w:rsidRPr="008C34EC">
              <w:rPr>
                <w:color w:val="000000"/>
                <w:sz w:val="20"/>
                <w:szCs w:val="20"/>
                <w:lang w:val="en-CA"/>
              </w:rPr>
              <w:t>82.13</w:t>
            </w:r>
          </w:p>
        </w:tc>
        <w:tc>
          <w:tcPr>
            <w:tcW w:w="529" w:type="pct"/>
            <w:tcBorders>
              <w:top w:val="single" w:sz="4" w:space="0" w:color="auto"/>
              <w:left w:val="nil"/>
              <w:bottom w:val="single" w:sz="4" w:space="0" w:color="auto"/>
              <w:right w:val="single" w:sz="4" w:space="0" w:color="auto"/>
            </w:tcBorders>
          </w:tcPr>
          <w:p w:rsidR="00FE3307" w:rsidRPr="008C34EC" w:rsidRDefault="0044049E" w:rsidP="008C34EC">
            <w:pPr>
              <w:widowControl w:val="0"/>
              <w:jc w:val="right"/>
              <w:rPr>
                <w:color w:val="000000"/>
                <w:sz w:val="20"/>
                <w:szCs w:val="20"/>
                <w:lang w:val="en-CA"/>
              </w:rPr>
            </w:pPr>
            <w:r w:rsidRPr="008C34EC">
              <w:rPr>
                <w:color w:val="000000"/>
                <w:sz w:val="20"/>
                <w:szCs w:val="20"/>
                <w:lang w:val="en-CA"/>
              </w:rPr>
              <w:t>84.28</w:t>
            </w:r>
          </w:p>
        </w:tc>
        <w:tc>
          <w:tcPr>
            <w:tcW w:w="530" w:type="pct"/>
            <w:tcBorders>
              <w:top w:val="nil"/>
              <w:left w:val="single" w:sz="4" w:space="0" w:color="auto"/>
              <w:bottom w:val="single" w:sz="4" w:space="0" w:color="auto"/>
              <w:right w:val="single" w:sz="4" w:space="0" w:color="auto"/>
            </w:tcBorders>
          </w:tcPr>
          <w:p w:rsidR="00FE3307" w:rsidRPr="008C34EC" w:rsidRDefault="0020784F" w:rsidP="008C34EC">
            <w:pPr>
              <w:widowControl w:val="0"/>
              <w:jc w:val="right"/>
              <w:rPr>
                <w:color w:val="000000"/>
                <w:sz w:val="20"/>
                <w:szCs w:val="20"/>
                <w:lang w:val="en-CA"/>
              </w:rPr>
            </w:pPr>
            <w:r w:rsidRPr="008C34EC">
              <w:rPr>
                <w:color w:val="000000"/>
                <w:sz w:val="20"/>
                <w:szCs w:val="20"/>
                <w:lang w:val="en-CA"/>
              </w:rPr>
              <w:t>90.53</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color w:val="000000"/>
                <w:sz w:val="20"/>
                <w:szCs w:val="20"/>
                <w:lang w:val="en-CA"/>
              </w:rPr>
            </w:pPr>
            <w:r w:rsidRPr="008C34EC">
              <w:rPr>
                <w:color w:val="000000"/>
                <w:sz w:val="20"/>
                <w:szCs w:val="20"/>
                <w:lang w:val="en-CA"/>
              </w:rPr>
              <w:t>388.8</w:t>
            </w:r>
          </w:p>
        </w:tc>
      </w:tr>
      <w:tr w:rsidR="00FE3307" w:rsidRPr="008C34EC" w:rsidTr="005D77A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8C34EC" w:rsidRDefault="00FE3307" w:rsidP="008C34EC">
            <w:pPr>
              <w:widowControl w:val="0"/>
              <w:jc w:val="left"/>
              <w:rPr>
                <w:color w:val="000000"/>
                <w:sz w:val="20"/>
                <w:szCs w:val="20"/>
                <w:lang w:val="en-CA"/>
              </w:rPr>
            </w:pPr>
            <w:r w:rsidRPr="008C34EC">
              <w:rPr>
                <w:color w:val="000000"/>
                <w:sz w:val="20"/>
                <w:szCs w:val="20"/>
                <w:lang w:val="en-CA"/>
              </w:rPr>
              <w:t>HCFC-123</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sz w:val="20"/>
                <w:szCs w:val="20"/>
                <w:lang w:val="en-CA"/>
              </w:rPr>
            </w:pPr>
            <w:r w:rsidRPr="008C34EC">
              <w:rPr>
                <w:sz w:val="20"/>
                <w:szCs w:val="20"/>
                <w:lang w:val="en-CA"/>
              </w:rPr>
              <w:t>1.14</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sz w:val="20"/>
                <w:szCs w:val="20"/>
                <w:lang w:val="en-CA"/>
              </w:rPr>
            </w:pPr>
            <w:r w:rsidRPr="008C34EC">
              <w:rPr>
                <w:sz w:val="20"/>
                <w:szCs w:val="20"/>
                <w:lang w:val="en-CA"/>
              </w:rPr>
              <w:t>2.13</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color w:val="000000"/>
                <w:sz w:val="20"/>
                <w:szCs w:val="20"/>
                <w:lang w:val="en-CA"/>
              </w:rPr>
            </w:pPr>
            <w:r w:rsidRPr="008C34EC">
              <w:rPr>
                <w:color w:val="000000"/>
                <w:sz w:val="20"/>
                <w:szCs w:val="20"/>
                <w:lang w:val="en-CA"/>
              </w:rPr>
              <w:t>0.00</w:t>
            </w:r>
          </w:p>
        </w:tc>
        <w:tc>
          <w:tcPr>
            <w:tcW w:w="529" w:type="pct"/>
            <w:tcBorders>
              <w:top w:val="single" w:sz="4" w:space="0" w:color="auto"/>
              <w:left w:val="nil"/>
              <w:bottom w:val="single" w:sz="4" w:space="0" w:color="auto"/>
              <w:right w:val="single" w:sz="4" w:space="0" w:color="auto"/>
            </w:tcBorders>
          </w:tcPr>
          <w:p w:rsidR="00FE3307" w:rsidRPr="008C34EC" w:rsidRDefault="0044049E" w:rsidP="008C34EC">
            <w:pPr>
              <w:widowControl w:val="0"/>
              <w:jc w:val="right"/>
              <w:rPr>
                <w:color w:val="000000"/>
                <w:sz w:val="20"/>
                <w:szCs w:val="20"/>
                <w:lang w:val="en-CA"/>
              </w:rPr>
            </w:pPr>
            <w:r w:rsidRPr="008C34EC">
              <w:rPr>
                <w:color w:val="000000"/>
                <w:sz w:val="20"/>
                <w:szCs w:val="20"/>
                <w:lang w:val="en-CA"/>
              </w:rPr>
              <w:t>0.00</w:t>
            </w:r>
          </w:p>
        </w:tc>
        <w:tc>
          <w:tcPr>
            <w:tcW w:w="530" w:type="pct"/>
            <w:tcBorders>
              <w:top w:val="nil"/>
              <w:left w:val="single" w:sz="4" w:space="0" w:color="auto"/>
              <w:bottom w:val="single" w:sz="4" w:space="0" w:color="auto"/>
              <w:right w:val="single" w:sz="4" w:space="0" w:color="auto"/>
            </w:tcBorders>
          </w:tcPr>
          <w:p w:rsidR="00FE3307" w:rsidRPr="008C34EC" w:rsidRDefault="0020784F" w:rsidP="008C34EC">
            <w:pPr>
              <w:widowControl w:val="0"/>
              <w:jc w:val="right"/>
              <w:rPr>
                <w:color w:val="000000"/>
                <w:sz w:val="20"/>
                <w:szCs w:val="20"/>
                <w:lang w:val="en-CA"/>
              </w:rPr>
            </w:pPr>
            <w:r w:rsidRPr="008C34EC">
              <w:rPr>
                <w:color w:val="000000"/>
                <w:sz w:val="20"/>
                <w:szCs w:val="20"/>
                <w:lang w:val="en-CA"/>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color w:val="000000"/>
                <w:sz w:val="20"/>
                <w:szCs w:val="20"/>
                <w:lang w:val="en-CA"/>
              </w:rPr>
            </w:pPr>
            <w:r w:rsidRPr="008C34EC">
              <w:rPr>
                <w:color w:val="000000"/>
                <w:sz w:val="20"/>
                <w:szCs w:val="20"/>
                <w:lang w:val="en-CA"/>
              </w:rPr>
              <w:t>0.0</w:t>
            </w:r>
          </w:p>
        </w:tc>
      </w:tr>
      <w:tr w:rsidR="00FE3307" w:rsidRPr="008C34EC" w:rsidTr="005D77A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rsidR="00FE3307" w:rsidRPr="008C34EC" w:rsidRDefault="00FE3307" w:rsidP="008C34EC">
            <w:pPr>
              <w:jc w:val="left"/>
              <w:rPr>
                <w:rFonts w:eastAsiaTheme="minorHAnsi"/>
                <w:b/>
                <w:color w:val="000000"/>
                <w:sz w:val="20"/>
                <w:szCs w:val="20"/>
                <w:lang w:val="en-CA"/>
              </w:rPr>
            </w:pPr>
            <w:r w:rsidRPr="008C34EC">
              <w:rPr>
                <w:b/>
                <w:color w:val="000000"/>
                <w:sz w:val="20"/>
                <w:szCs w:val="20"/>
                <w:lang w:val="en-CA"/>
              </w:rPr>
              <w:t>Total (mt)</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b/>
                <w:color w:val="000000"/>
                <w:sz w:val="20"/>
                <w:szCs w:val="20"/>
                <w:lang w:val="en-CA"/>
              </w:rPr>
            </w:pPr>
            <w:r w:rsidRPr="008C34EC">
              <w:rPr>
                <w:b/>
                <w:color w:val="000000"/>
                <w:sz w:val="20"/>
                <w:szCs w:val="20"/>
                <w:lang w:val="en-CA"/>
              </w:rPr>
              <w:t>204.15</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b/>
                <w:color w:val="000000"/>
                <w:sz w:val="20"/>
                <w:szCs w:val="20"/>
                <w:lang w:val="en-CA"/>
              </w:rPr>
            </w:pPr>
            <w:r w:rsidRPr="008C34EC">
              <w:rPr>
                <w:b/>
                <w:color w:val="000000"/>
                <w:sz w:val="20"/>
                <w:szCs w:val="20"/>
                <w:lang w:val="en-CA"/>
              </w:rPr>
              <w:t>213.87</w:t>
            </w:r>
          </w:p>
        </w:tc>
        <w:tc>
          <w:tcPr>
            <w:tcW w:w="529" w:type="pct"/>
            <w:tcBorders>
              <w:top w:val="nil"/>
              <w:left w:val="nil"/>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b/>
                <w:color w:val="000000"/>
                <w:sz w:val="20"/>
                <w:szCs w:val="20"/>
                <w:lang w:val="en-CA"/>
              </w:rPr>
            </w:pPr>
            <w:r w:rsidRPr="008C34EC">
              <w:rPr>
                <w:b/>
                <w:color w:val="000000"/>
                <w:sz w:val="20"/>
                <w:szCs w:val="20"/>
                <w:lang w:val="en-CA"/>
              </w:rPr>
              <w:t>82.13</w:t>
            </w:r>
          </w:p>
        </w:tc>
        <w:tc>
          <w:tcPr>
            <w:tcW w:w="529" w:type="pct"/>
            <w:tcBorders>
              <w:top w:val="single" w:sz="4" w:space="0" w:color="auto"/>
              <w:left w:val="nil"/>
              <w:bottom w:val="single" w:sz="4" w:space="0" w:color="auto"/>
              <w:right w:val="single" w:sz="4" w:space="0" w:color="auto"/>
            </w:tcBorders>
          </w:tcPr>
          <w:p w:rsidR="00FE3307" w:rsidRPr="008C34EC" w:rsidRDefault="0044049E" w:rsidP="008C34EC">
            <w:pPr>
              <w:widowControl w:val="0"/>
              <w:jc w:val="right"/>
              <w:rPr>
                <w:b/>
                <w:color w:val="000000"/>
                <w:sz w:val="20"/>
                <w:szCs w:val="20"/>
                <w:lang w:val="en-CA"/>
              </w:rPr>
            </w:pPr>
            <w:r w:rsidRPr="008C34EC">
              <w:rPr>
                <w:b/>
                <w:color w:val="000000"/>
                <w:sz w:val="20"/>
                <w:szCs w:val="20"/>
                <w:lang w:val="en-CA"/>
              </w:rPr>
              <w:t>84.28</w:t>
            </w:r>
          </w:p>
        </w:tc>
        <w:tc>
          <w:tcPr>
            <w:tcW w:w="530" w:type="pct"/>
            <w:tcBorders>
              <w:top w:val="nil"/>
              <w:left w:val="single" w:sz="4" w:space="0" w:color="auto"/>
              <w:bottom w:val="single" w:sz="4" w:space="0" w:color="auto"/>
              <w:right w:val="single" w:sz="4" w:space="0" w:color="auto"/>
            </w:tcBorders>
          </w:tcPr>
          <w:p w:rsidR="00FE3307" w:rsidRPr="008C34EC" w:rsidRDefault="0020784F" w:rsidP="008C34EC">
            <w:pPr>
              <w:widowControl w:val="0"/>
              <w:jc w:val="right"/>
              <w:rPr>
                <w:b/>
                <w:color w:val="000000"/>
                <w:sz w:val="20"/>
                <w:szCs w:val="20"/>
                <w:lang w:val="en-CA"/>
              </w:rPr>
            </w:pPr>
            <w:r w:rsidRPr="008C34EC">
              <w:rPr>
                <w:b/>
                <w:color w:val="000000"/>
                <w:sz w:val="20"/>
                <w:szCs w:val="20"/>
                <w:lang w:val="en-CA"/>
              </w:rPr>
              <w:t>90.53</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b/>
                <w:color w:val="000000"/>
                <w:sz w:val="20"/>
                <w:szCs w:val="20"/>
                <w:lang w:val="en-CA"/>
              </w:rPr>
            </w:pPr>
            <w:r w:rsidRPr="008C34EC">
              <w:rPr>
                <w:b/>
                <w:color w:val="000000"/>
                <w:sz w:val="20"/>
                <w:szCs w:val="20"/>
                <w:lang w:val="en-CA"/>
              </w:rPr>
              <w:t>388.8</w:t>
            </w:r>
          </w:p>
        </w:tc>
      </w:tr>
      <w:tr w:rsidR="00C0352B" w:rsidRPr="008C34EC" w:rsidTr="008F3116">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rsidR="00C0352B" w:rsidRPr="008C34EC" w:rsidRDefault="00C0352B" w:rsidP="008C34EC">
            <w:pPr>
              <w:jc w:val="left"/>
              <w:rPr>
                <w:color w:val="000000"/>
                <w:sz w:val="20"/>
                <w:szCs w:val="20"/>
                <w:lang w:val="en-CA"/>
              </w:rPr>
            </w:pPr>
            <w:r w:rsidRPr="008C34EC">
              <w:rPr>
                <w:color w:val="000000"/>
                <w:sz w:val="20"/>
                <w:szCs w:val="20"/>
                <w:lang w:val="en-CA"/>
              </w:rPr>
              <w:t>HCFC-141b in imported</w:t>
            </w:r>
            <w:r w:rsidR="000D384E" w:rsidRPr="008C34EC">
              <w:rPr>
                <w:color w:val="000000"/>
                <w:sz w:val="20"/>
                <w:szCs w:val="20"/>
                <w:lang w:val="en-CA"/>
              </w:rPr>
              <w:t xml:space="preserve"> pre-blended </w:t>
            </w:r>
            <w:r w:rsidRPr="008C34EC">
              <w:rPr>
                <w:color w:val="000000"/>
                <w:sz w:val="20"/>
                <w:szCs w:val="20"/>
                <w:lang w:val="en-CA"/>
              </w:rPr>
              <w:t>polyols*</w:t>
            </w:r>
            <w:r w:rsidR="00BA5899" w:rsidRPr="008C34EC">
              <w:rPr>
                <w:color w:val="000000"/>
                <w:sz w:val="20"/>
                <w:szCs w:val="20"/>
                <w:lang w:val="en-CA"/>
              </w:rPr>
              <w:t>*</w:t>
            </w:r>
          </w:p>
        </w:tc>
        <w:tc>
          <w:tcPr>
            <w:tcW w:w="529" w:type="pct"/>
            <w:tcBorders>
              <w:top w:val="nil"/>
              <w:left w:val="nil"/>
              <w:bottom w:val="single" w:sz="4" w:space="0" w:color="auto"/>
              <w:right w:val="single" w:sz="4" w:space="0" w:color="auto"/>
            </w:tcBorders>
            <w:shd w:val="clear" w:color="auto" w:fill="auto"/>
            <w:noWrap/>
          </w:tcPr>
          <w:p w:rsidR="00C0352B" w:rsidRPr="008C34EC" w:rsidRDefault="000D384E" w:rsidP="008C34EC">
            <w:pPr>
              <w:widowControl w:val="0"/>
              <w:jc w:val="right"/>
              <w:rPr>
                <w:color w:val="000000"/>
                <w:sz w:val="20"/>
                <w:szCs w:val="20"/>
                <w:lang w:val="en-CA"/>
              </w:rPr>
            </w:pPr>
            <w:r w:rsidRPr="008C34EC">
              <w:rPr>
                <w:color w:val="000000"/>
                <w:sz w:val="20"/>
                <w:szCs w:val="20"/>
                <w:lang w:val="en-CA"/>
              </w:rPr>
              <w:t>-</w:t>
            </w:r>
          </w:p>
        </w:tc>
        <w:tc>
          <w:tcPr>
            <w:tcW w:w="529" w:type="pct"/>
            <w:tcBorders>
              <w:top w:val="nil"/>
              <w:left w:val="nil"/>
              <w:bottom w:val="single" w:sz="4" w:space="0" w:color="auto"/>
              <w:right w:val="single" w:sz="4" w:space="0" w:color="auto"/>
            </w:tcBorders>
            <w:shd w:val="clear" w:color="auto" w:fill="auto"/>
            <w:noWrap/>
          </w:tcPr>
          <w:p w:rsidR="00C0352B" w:rsidRPr="008C34EC" w:rsidRDefault="000D384E" w:rsidP="008C34EC">
            <w:pPr>
              <w:widowControl w:val="0"/>
              <w:jc w:val="right"/>
              <w:rPr>
                <w:color w:val="000000"/>
                <w:sz w:val="20"/>
                <w:szCs w:val="20"/>
                <w:lang w:val="en-CA"/>
              </w:rPr>
            </w:pPr>
            <w:r w:rsidRPr="008C34EC">
              <w:rPr>
                <w:color w:val="000000"/>
                <w:sz w:val="20"/>
                <w:szCs w:val="20"/>
                <w:lang w:val="en-CA"/>
              </w:rPr>
              <w:t>-</w:t>
            </w:r>
          </w:p>
        </w:tc>
        <w:tc>
          <w:tcPr>
            <w:tcW w:w="529" w:type="pct"/>
            <w:tcBorders>
              <w:top w:val="nil"/>
              <w:left w:val="nil"/>
              <w:bottom w:val="single" w:sz="4" w:space="0" w:color="auto"/>
              <w:right w:val="single" w:sz="4" w:space="0" w:color="auto"/>
            </w:tcBorders>
            <w:shd w:val="clear" w:color="auto" w:fill="auto"/>
            <w:noWrap/>
          </w:tcPr>
          <w:p w:rsidR="00C0352B" w:rsidRPr="008C34EC" w:rsidRDefault="000D384E" w:rsidP="008C34EC">
            <w:pPr>
              <w:widowControl w:val="0"/>
              <w:jc w:val="right"/>
              <w:rPr>
                <w:color w:val="000000"/>
                <w:sz w:val="20"/>
                <w:szCs w:val="20"/>
                <w:lang w:val="en-CA"/>
              </w:rPr>
            </w:pPr>
            <w:r w:rsidRPr="008C34EC">
              <w:rPr>
                <w:color w:val="000000"/>
                <w:sz w:val="20"/>
                <w:szCs w:val="20"/>
                <w:lang w:val="en-CA"/>
              </w:rPr>
              <w:t>-</w:t>
            </w:r>
          </w:p>
        </w:tc>
        <w:tc>
          <w:tcPr>
            <w:tcW w:w="529" w:type="pct"/>
            <w:tcBorders>
              <w:top w:val="single" w:sz="4" w:space="0" w:color="auto"/>
              <w:left w:val="nil"/>
              <w:bottom w:val="single" w:sz="4" w:space="0" w:color="auto"/>
              <w:right w:val="single" w:sz="4" w:space="0" w:color="auto"/>
            </w:tcBorders>
          </w:tcPr>
          <w:p w:rsidR="00C0352B" w:rsidRPr="008C34EC" w:rsidRDefault="000D384E" w:rsidP="008C34EC">
            <w:pPr>
              <w:widowControl w:val="0"/>
              <w:jc w:val="right"/>
              <w:rPr>
                <w:color w:val="000000"/>
                <w:sz w:val="20"/>
                <w:szCs w:val="20"/>
                <w:lang w:val="en-CA"/>
              </w:rPr>
            </w:pPr>
            <w:r w:rsidRPr="008C34EC">
              <w:rPr>
                <w:color w:val="000000"/>
                <w:sz w:val="20"/>
                <w:szCs w:val="20"/>
                <w:lang w:val="en-CA"/>
              </w:rPr>
              <w:t>8.40</w:t>
            </w:r>
          </w:p>
        </w:tc>
        <w:tc>
          <w:tcPr>
            <w:tcW w:w="530" w:type="pct"/>
            <w:tcBorders>
              <w:top w:val="nil"/>
              <w:left w:val="single" w:sz="4" w:space="0" w:color="auto"/>
              <w:bottom w:val="single" w:sz="4" w:space="0" w:color="auto"/>
              <w:right w:val="single" w:sz="4" w:space="0" w:color="auto"/>
            </w:tcBorders>
          </w:tcPr>
          <w:p w:rsidR="00C0352B" w:rsidRPr="008C34EC" w:rsidRDefault="000D384E" w:rsidP="008C34EC">
            <w:pPr>
              <w:widowControl w:val="0"/>
              <w:jc w:val="right"/>
              <w:rPr>
                <w:color w:val="000000"/>
                <w:sz w:val="20"/>
                <w:szCs w:val="20"/>
                <w:lang w:val="en-CA"/>
              </w:rPr>
            </w:pPr>
            <w:r w:rsidRPr="008C34EC">
              <w:rPr>
                <w:color w:val="000000"/>
                <w:sz w:val="20"/>
                <w:szCs w:val="20"/>
                <w:lang w:val="en-CA"/>
              </w:rPr>
              <w:t>28.64</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C0352B" w:rsidRPr="008C34EC" w:rsidRDefault="00C0352B" w:rsidP="008C34EC">
            <w:pPr>
              <w:widowControl w:val="0"/>
              <w:jc w:val="right"/>
              <w:rPr>
                <w:color w:val="000000"/>
                <w:sz w:val="20"/>
                <w:szCs w:val="20"/>
                <w:lang w:val="en-CA"/>
              </w:rPr>
            </w:pPr>
            <w:r w:rsidRPr="008C34EC">
              <w:rPr>
                <w:color w:val="000000"/>
                <w:sz w:val="20"/>
                <w:szCs w:val="20"/>
                <w:lang w:val="en-CA"/>
              </w:rPr>
              <w:t>-</w:t>
            </w:r>
          </w:p>
        </w:tc>
      </w:tr>
      <w:tr w:rsidR="00FE3307" w:rsidRPr="008C34EC" w:rsidTr="008F3116">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8C34EC" w:rsidRDefault="00FE3307" w:rsidP="008C34EC">
            <w:pPr>
              <w:widowControl w:val="0"/>
              <w:jc w:val="left"/>
              <w:rPr>
                <w:b/>
                <w:bCs/>
                <w:color w:val="000000"/>
                <w:sz w:val="20"/>
                <w:szCs w:val="20"/>
                <w:lang w:val="en-CA"/>
              </w:rPr>
            </w:pPr>
            <w:r w:rsidRPr="008C34EC">
              <w:rPr>
                <w:b/>
                <w:bCs/>
                <w:color w:val="000000"/>
                <w:sz w:val="20"/>
                <w:szCs w:val="20"/>
                <w:lang w:val="en-CA"/>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FE3307" w:rsidP="008C34EC">
            <w:pPr>
              <w:widowControl w:val="0"/>
              <w:jc w:val="center"/>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FE3307" w:rsidP="008C34EC">
            <w:pPr>
              <w:widowControl w:val="0"/>
              <w:jc w:val="center"/>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FE3307" w:rsidP="008C34EC">
            <w:pPr>
              <w:widowControl w:val="0"/>
              <w:jc w:val="center"/>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tcPr>
          <w:p w:rsidR="00FE3307" w:rsidRPr="008C34EC" w:rsidRDefault="00FE3307" w:rsidP="008C34EC">
            <w:pPr>
              <w:widowControl w:val="0"/>
              <w:jc w:val="right"/>
              <w:rPr>
                <w:color w:val="000000"/>
                <w:sz w:val="20"/>
                <w:szCs w:val="20"/>
                <w:lang w:val="en-CA"/>
              </w:rPr>
            </w:pPr>
          </w:p>
        </w:tc>
        <w:tc>
          <w:tcPr>
            <w:tcW w:w="530" w:type="pct"/>
            <w:tcBorders>
              <w:top w:val="single" w:sz="4" w:space="0" w:color="auto"/>
              <w:left w:val="single" w:sz="4" w:space="0" w:color="auto"/>
              <w:bottom w:val="single" w:sz="4" w:space="0" w:color="auto"/>
              <w:right w:val="single" w:sz="4" w:space="0" w:color="auto"/>
            </w:tcBorders>
          </w:tcPr>
          <w:p w:rsidR="00FE3307" w:rsidRPr="008C34EC" w:rsidRDefault="00FE3307" w:rsidP="008C34EC">
            <w:pPr>
              <w:widowControl w:val="0"/>
              <w:jc w:val="center"/>
              <w:rPr>
                <w:color w:val="000000"/>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FE3307" w:rsidP="008C34EC">
            <w:pPr>
              <w:widowControl w:val="0"/>
              <w:jc w:val="right"/>
              <w:rPr>
                <w:color w:val="000000"/>
                <w:sz w:val="20"/>
                <w:szCs w:val="20"/>
                <w:lang w:val="en-CA"/>
              </w:rPr>
            </w:pPr>
          </w:p>
        </w:tc>
      </w:tr>
      <w:tr w:rsidR="00FE3307" w:rsidRPr="008C34EC" w:rsidTr="005D77A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8C34EC" w:rsidRDefault="00FE3307" w:rsidP="008C34EC">
            <w:pPr>
              <w:widowControl w:val="0"/>
              <w:jc w:val="left"/>
              <w:rPr>
                <w:color w:val="000000"/>
                <w:sz w:val="20"/>
                <w:szCs w:val="20"/>
                <w:lang w:val="en-CA"/>
              </w:rPr>
            </w:pPr>
            <w:r w:rsidRPr="008C34EC">
              <w:rPr>
                <w:color w:val="000000"/>
                <w:sz w:val="20"/>
                <w:szCs w:val="20"/>
                <w:lang w:val="en-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color w:val="000000"/>
                <w:sz w:val="20"/>
                <w:szCs w:val="20"/>
                <w:lang w:val="en-CA" w:eastAsia="en-CA"/>
              </w:rPr>
            </w:pPr>
            <w:r w:rsidRPr="008C34EC">
              <w:rPr>
                <w:color w:val="000000"/>
                <w:sz w:val="20"/>
                <w:szCs w:val="20"/>
                <w:lang w:val="en-CA" w:eastAsia="en-CA"/>
              </w:rPr>
              <w:t>11.17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color w:val="000000"/>
                <w:sz w:val="20"/>
                <w:szCs w:val="20"/>
                <w:lang w:val="en-CA"/>
              </w:rPr>
            </w:pPr>
            <w:r w:rsidRPr="008C34EC">
              <w:rPr>
                <w:color w:val="000000"/>
                <w:sz w:val="20"/>
                <w:szCs w:val="20"/>
                <w:lang w:val="en-CA"/>
              </w:rPr>
              <w:t>11.65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color w:val="000000"/>
                <w:sz w:val="20"/>
                <w:szCs w:val="20"/>
                <w:lang w:val="en-CA"/>
              </w:rPr>
            </w:pPr>
            <w:r w:rsidRPr="008C34EC">
              <w:rPr>
                <w:color w:val="000000"/>
                <w:sz w:val="20"/>
                <w:szCs w:val="20"/>
                <w:lang w:val="en-CA"/>
              </w:rPr>
              <w:t>4.52</w:t>
            </w:r>
          </w:p>
        </w:tc>
        <w:tc>
          <w:tcPr>
            <w:tcW w:w="529" w:type="pct"/>
            <w:tcBorders>
              <w:top w:val="single" w:sz="4" w:space="0" w:color="auto"/>
              <w:left w:val="single" w:sz="4" w:space="0" w:color="auto"/>
              <w:bottom w:val="single" w:sz="4" w:space="0" w:color="auto"/>
              <w:right w:val="single" w:sz="4" w:space="0" w:color="auto"/>
            </w:tcBorders>
          </w:tcPr>
          <w:p w:rsidR="00FE3307" w:rsidRPr="008C34EC" w:rsidRDefault="0044049E" w:rsidP="008C34EC">
            <w:pPr>
              <w:widowControl w:val="0"/>
              <w:jc w:val="right"/>
              <w:rPr>
                <w:color w:val="000000"/>
                <w:sz w:val="20"/>
                <w:szCs w:val="20"/>
                <w:lang w:val="en-CA"/>
              </w:rPr>
            </w:pPr>
            <w:r w:rsidRPr="008C34EC">
              <w:rPr>
                <w:color w:val="000000"/>
                <w:sz w:val="20"/>
                <w:szCs w:val="20"/>
                <w:lang w:val="en-CA"/>
              </w:rPr>
              <w:t>4.64</w:t>
            </w:r>
          </w:p>
        </w:tc>
        <w:tc>
          <w:tcPr>
            <w:tcW w:w="530" w:type="pct"/>
            <w:tcBorders>
              <w:top w:val="single" w:sz="4" w:space="0" w:color="auto"/>
              <w:left w:val="single" w:sz="4" w:space="0" w:color="auto"/>
              <w:bottom w:val="single" w:sz="4" w:space="0" w:color="auto"/>
              <w:right w:val="single" w:sz="4" w:space="0" w:color="auto"/>
            </w:tcBorders>
          </w:tcPr>
          <w:p w:rsidR="00FE3307" w:rsidRPr="008C34EC" w:rsidRDefault="0020784F" w:rsidP="008C34EC">
            <w:pPr>
              <w:widowControl w:val="0"/>
              <w:jc w:val="right"/>
              <w:rPr>
                <w:color w:val="000000"/>
                <w:sz w:val="20"/>
                <w:szCs w:val="20"/>
                <w:lang w:val="en-CA"/>
              </w:rPr>
            </w:pPr>
            <w:r w:rsidRPr="008C34EC">
              <w:rPr>
                <w:color w:val="000000"/>
                <w:sz w:val="20"/>
                <w:szCs w:val="20"/>
                <w:lang w:val="en-CA"/>
              </w:rPr>
              <w:t>4.98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color w:val="000000"/>
                <w:sz w:val="20"/>
                <w:szCs w:val="20"/>
                <w:lang w:val="en-CA"/>
              </w:rPr>
            </w:pPr>
            <w:r w:rsidRPr="008C34EC">
              <w:rPr>
                <w:color w:val="000000"/>
                <w:sz w:val="20"/>
                <w:szCs w:val="20"/>
                <w:lang w:val="en-CA"/>
              </w:rPr>
              <w:t>15.0</w:t>
            </w:r>
          </w:p>
        </w:tc>
      </w:tr>
      <w:tr w:rsidR="00FE3307" w:rsidRPr="008C34EC" w:rsidTr="005D77A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E3307" w:rsidRPr="008C34EC" w:rsidRDefault="00FE3307" w:rsidP="008C34EC">
            <w:pPr>
              <w:widowControl w:val="0"/>
              <w:jc w:val="left"/>
              <w:rPr>
                <w:color w:val="000000"/>
                <w:sz w:val="20"/>
                <w:szCs w:val="20"/>
                <w:lang w:val="en-CA"/>
              </w:rPr>
            </w:pPr>
            <w:r w:rsidRPr="008C34EC">
              <w:rPr>
                <w:color w:val="000000"/>
                <w:sz w:val="20"/>
                <w:szCs w:val="20"/>
                <w:lang w:val="en-CA"/>
              </w:rPr>
              <w:t>HCFC-123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color w:val="000000"/>
                <w:sz w:val="20"/>
                <w:szCs w:val="20"/>
                <w:lang w:val="en-CA" w:eastAsia="en-CA"/>
              </w:rPr>
            </w:pPr>
            <w:r w:rsidRPr="008C34EC">
              <w:rPr>
                <w:color w:val="000000"/>
                <w:sz w:val="20"/>
                <w:szCs w:val="20"/>
                <w:lang w:val="en-CA" w:eastAsia="en-CA"/>
              </w:rPr>
              <w:t>0.02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color w:val="000000"/>
                <w:sz w:val="20"/>
                <w:szCs w:val="20"/>
                <w:lang w:val="en-CA"/>
              </w:rPr>
            </w:pPr>
            <w:r w:rsidRPr="008C34EC">
              <w:rPr>
                <w:color w:val="000000"/>
                <w:sz w:val="20"/>
                <w:szCs w:val="20"/>
                <w:lang w:val="en-CA"/>
              </w:rPr>
              <w:t>0.04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color w:val="000000"/>
                <w:sz w:val="20"/>
                <w:szCs w:val="20"/>
                <w:lang w:val="en-CA"/>
              </w:rPr>
            </w:pPr>
            <w:r w:rsidRPr="008C34EC">
              <w:rPr>
                <w:color w:val="000000"/>
                <w:sz w:val="20"/>
                <w:szCs w:val="20"/>
                <w:lang w:val="en-CA"/>
              </w:rPr>
              <w:t>0.00</w:t>
            </w:r>
          </w:p>
        </w:tc>
        <w:tc>
          <w:tcPr>
            <w:tcW w:w="529" w:type="pct"/>
            <w:tcBorders>
              <w:top w:val="single" w:sz="4" w:space="0" w:color="auto"/>
              <w:left w:val="single" w:sz="4" w:space="0" w:color="auto"/>
              <w:bottom w:val="single" w:sz="4" w:space="0" w:color="auto"/>
              <w:right w:val="single" w:sz="4" w:space="0" w:color="auto"/>
            </w:tcBorders>
          </w:tcPr>
          <w:p w:rsidR="00FE3307" w:rsidRPr="008C34EC" w:rsidRDefault="0044049E" w:rsidP="008C34EC">
            <w:pPr>
              <w:widowControl w:val="0"/>
              <w:jc w:val="right"/>
              <w:rPr>
                <w:color w:val="000000"/>
                <w:sz w:val="20"/>
                <w:szCs w:val="20"/>
                <w:lang w:val="en-CA"/>
              </w:rPr>
            </w:pPr>
            <w:r w:rsidRPr="008C34EC">
              <w:rPr>
                <w:color w:val="000000"/>
                <w:sz w:val="20"/>
                <w:szCs w:val="20"/>
                <w:lang w:val="en-CA"/>
              </w:rPr>
              <w:t>0.00</w:t>
            </w:r>
          </w:p>
        </w:tc>
        <w:tc>
          <w:tcPr>
            <w:tcW w:w="530" w:type="pct"/>
            <w:tcBorders>
              <w:top w:val="single" w:sz="4" w:space="0" w:color="auto"/>
              <w:left w:val="single" w:sz="4" w:space="0" w:color="auto"/>
              <w:bottom w:val="single" w:sz="4" w:space="0" w:color="auto"/>
              <w:right w:val="single" w:sz="4" w:space="0" w:color="auto"/>
            </w:tcBorders>
          </w:tcPr>
          <w:p w:rsidR="00FE3307" w:rsidRPr="008C34EC" w:rsidRDefault="0020784F" w:rsidP="008C34EC">
            <w:pPr>
              <w:widowControl w:val="0"/>
              <w:jc w:val="right"/>
              <w:rPr>
                <w:color w:val="000000"/>
                <w:sz w:val="20"/>
                <w:szCs w:val="20"/>
                <w:lang w:val="en-CA"/>
              </w:rPr>
            </w:pPr>
            <w:r w:rsidRPr="008C34EC">
              <w:rPr>
                <w:color w:val="000000"/>
                <w:sz w:val="20"/>
                <w:szCs w:val="20"/>
                <w:lang w:val="en-CA"/>
              </w:rPr>
              <w:t>0.00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color w:val="000000"/>
                <w:sz w:val="20"/>
                <w:szCs w:val="20"/>
                <w:lang w:val="en-CA"/>
              </w:rPr>
            </w:pPr>
            <w:r w:rsidRPr="008C34EC">
              <w:rPr>
                <w:color w:val="000000"/>
                <w:sz w:val="20"/>
                <w:szCs w:val="20"/>
                <w:lang w:val="en-CA"/>
              </w:rPr>
              <w:t>0.0</w:t>
            </w:r>
          </w:p>
        </w:tc>
      </w:tr>
      <w:tr w:rsidR="00FE3307" w:rsidRPr="008C34EC" w:rsidTr="005D77A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rsidR="00FE3307" w:rsidRPr="008C34EC" w:rsidRDefault="00FE3307" w:rsidP="008C34EC">
            <w:pPr>
              <w:jc w:val="left"/>
              <w:rPr>
                <w:rFonts w:eastAsiaTheme="minorHAnsi"/>
                <w:b/>
                <w:sz w:val="20"/>
                <w:szCs w:val="20"/>
                <w:lang w:val="en-CA"/>
              </w:rPr>
            </w:pPr>
            <w:r w:rsidRPr="008C34EC">
              <w:rPr>
                <w:b/>
                <w:sz w:val="20"/>
                <w:szCs w:val="20"/>
                <w:lang w:val="en-CA"/>
              </w:rPr>
              <w:t>Total (ODP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C437A9" w:rsidP="008C34EC">
            <w:pPr>
              <w:widowControl w:val="0"/>
              <w:jc w:val="right"/>
              <w:rPr>
                <w:b/>
                <w:color w:val="000000"/>
                <w:sz w:val="20"/>
                <w:szCs w:val="20"/>
                <w:lang w:val="en-CA" w:eastAsia="en-CA"/>
              </w:rPr>
            </w:pPr>
            <w:r w:rsidRPr="008C34EC">
              <w:rPr>
                <w:b/>
                <w:color w:val="000000"/>
                <w:sz w:val="20"/>
                <w:szCs w:val="20"/>
                <w:lang w:val="en-CA" w:eastAsia="en-CA"/>
              </w:rPr>
              <w:t>11.19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b/>
                <w:color w:val="000000"/>
                <w:sz w:val="20"/>
                <w:szCs w:val="20"/>
                <w:lang w:val="en-CA"/>
              </w:rPr>
            </w:pPr>
            <w:r w:rsidRPr="008C34EC">
              <w:rPr>
                <w:b/>
                <w:color w:val="000000"/>
                <w:sz w:val="20"/>
                <w:szCs w:val="20"/>
                <w:lang w:val="en-CA"/>
              </w:rPr>
              <w:t>11.69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307" w:rsidRPr="008C34EC" w:rsidRDefault="0044049E" w:rsidP="008C34EC">
            <w:pPr>
              <w:widowControl w:val="0"/>
              <w:jc w:val="right"/>
              <w:rPr>
                <w:b/>
                <w:color w:val="000000"/>
                <w:sz w:val="20"/>
                <w:szCs w:val="20"/>
                <w:lang w:val="en-CA"/>
              </w:rPr>
            </w:pPr>
            <w:r w:rsidRPr="008C34EC">
              <w:rPr>
                <w:b/>
                <w:color w:val="000000"/>
                <w:sz w:val="20"/>
                <w:szCs w:val="20"/>
                <w:lang w:val="en-CA"/>
              </w:rPr>
              <w:t>4.52</w:t>
            </w:r>
          </w:p>
        </w:tc>
        <w:tc>
          <w:tcPr>
            <w:tcW w:w="529" w:type="pct"/>
            <w:tcBorders>
              <w:top w:val="single" w:sz="4" w:space="0" w:color="auto"/>
              <w:left w:val="single" w:sz="4" w:space="0" w:color="auto"/>
              <w:bottom w:val="single" w:sz="4" w:space="0" w:color="auto"/>
              <w:right w:val="single" w:sz="4" w:space="0" w:color="auto"/>
            </w:tcBorders>
          </w:tcPr>
          <w:p w:rsidR="00FE3307" w:rsidRPr="008C34EC" w:rsidRDefault="0044049E" w:rsidP="008C34EC">
            <w:pPr>
              <w:jc w:val="right"/>
              <w:rPr>
                <w:b/>
                <w:color w:val="000000"/>
                <w:sz w:val="20"/>
                <w:szCs w:val="20"/>
                <w:lang w:val="en-CA"/>
              </w:rPr>
            </w:pPr>
            <w:r w:rsidRPr="008C34EC">
              <w:rPr>
                <w:b/>
                <w:color w:val="000000"/>
                <w:sz w:val="20"/>
                <w:szCs w:val="20"/>
                <w:lang w:val="en-CA"/>
              </w:rPr>
              <w:t>4.64</w:t>
            </w:r>
          </w:p>
        </w:tc>
        <w:tc>
          <w:tcPr>
            <w:tcW w:w="530" w:type="pct"/>
            <w:tcBorders>
              <w:top w:val="single" w:sz="4" w:space="0" w:color="auto"/>
              <w:left w:val="single" w:sz="4" w:space="0" w:color="auto"/>
              <w:bottom w:val="single" w:sz="4" w:space="0" w:color="auto"/>
              <w:right w:val="single" w:sz="4" w:space="0" w:color="auto"/>
            </w:tcBorders>
          </w:tcPr>
          <w:p w:rsidR="00FE3307" w:rsidRPr="008C34EC" w:rsidRDefault="0020784F" w:rsidP="008C34EC">
            <w:pPr>
              <w:jc w:val="right"/>
              <w:rPr>
                <w:b/>
                <w:color w:val="000000"/>
                <w:sz w:val="20"/>
                <w:szCs w:val="20"/>
                <w:lang w:val="en-CA"/>
              </w:rPr>
            </w:pPr>
            <w:r w:rsidRPr="008C34EC">
              <w:rPr>
                <w:b/>
                <w:color w:val="000000"/>
                <w:sz w:val="20"/>
                <w:szCs w:val="20"/>
                <w:lang w:val="en-CA"/>
              </w:rPr>
              <w:t>4.98</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rsidR="00FE3307" w:rsidRPr="008C34EC" w:rsidRDefault="00C437A9" w:rsidP="008C34EC">
            <w:pPr>
              <w:jc w:val="right"/>
              <w:rPr>
                <w:rFonts w:eastAsiaTheme="minorHAnsi"/>
                <w:b/>
                <w:color w:val="000000"/>
                <w:sz w:val="20"/>
                <w:szCs w:val="20"/>
                <w:lang w:val="en-CA"/>
              </w:rPr>
            </w:pPr>
            <w:r w:rsidRPr="008C34EC">
              <w:rPr>
                <w:rFonts w:eastAsiaTheme="minorHAnsi"/>
                <w:b/>
                <w:color w:val="000000"/>
                <w:sz w:val="20"/>
                <w:szCs w:val="20"/>
                <w:lang w:val="en-CA"/>
              </w:rPr>
              <w:t>15.0</w:t>
            </w:r>
          </w:p>
        </w:tc>
      </w:tr>
      <w:tr w:rsidR="00C0352B" w:rsidRPr="008C34EC" w:rsidTr="00876788">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cPr>
          <w:p w:rsidR="00C0352B" w:rsidRPr="008C34EC" w:rsidRDefault="000D384E" w:rsidP="008C34EC">
            <w:pPr>
              <w:rPr>
                <w:sz w:val="20"/>
                <w:szCs w:val="20"/>
              </w:rPr>
            </w:pPr>
            <w:r w:rsidRPr="008C34EC">
              <w:rPr>
                <w:sz w:val="20"/>
                <w:szCs w:val="20"/>
              </w:rPr>
              <w:t xml:space="preserve">HCFC-141b in imported pre-blended </w:t>
            </w:r>
            <w:r w:rsidR="00C0352B" w:rsidRPr="008C34EC">
              <w:rPr>
                <w:sz w:val="20"/>
                <w:szCs w:val="20"/>
              </w:rPr>
              <w:t>polyols*</w:t>
            </w:r>
            <w:r w:rsidR="00BA5899" w:rsidRPr="008C34EC">
              <w:rPr>
                <w:sz w:val="20"/>
                <w:szCs w:val="20"/>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C0352B" w:rsidRPr="008C34EC" w:rsidRDefault="000D384E" w:rsidP="008C34EC">
            <w:pPr>
              <w:jc w:val="right"/>
              <w:rPr>
                <w:sz w:val="20"/>
                <w:szCs w:val="20"/>
              </w:rPr>
            </w:pPr>
            <w:r w:rsidRPr="008C34EC">
              <w:rPr>
                <w:sz w:val="20"/>
                <w:szCs w:val="20"/>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C0352B" w:rsidRPr="008C34EC" w:rsidRDefault="000D384E" w:rsidP="008C34EC">
            <w:pPr>
              <w:jc w:val="right"/>
              <w:rPr>
                <w:sz w:val="20"/>
                <w:szCs w:val="20"/>
              </w:rPr>
            </w:pPr>
            <w:r w:rsidRPr="008C34EC">
              <w:rPr>
                <w:sz w:val="20"/>
                <w:szCs w:val="20"/>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C0352B" w:rsidRPr="008C34EC" w:rsidRDefault="000D384E" w:rsidP="008C34EC">
            <w:pPr>
              <w:jc w:val="right"/>
              <w:rPr>
                <w:sz w:val="20"/>
                <w:szCs w:val="20"/>
              </w:rPr>
            </w:pPr>
            <w:r w:rsidRPr="008C34EC">
              <w:rPr>
                <w:sz w:val="20"/>
                <w:szCs w:val="20"/>
              </w:rPr>
              <w:t>-</w:t>
            </w:r>
          </w:p>
        </w:tc>
        <w:tc>
          <w:tcPr>
            <w:tcW w:w="529" w:type="pct"/>
            <w:tcBorders>
              <w:top w:val="single" w:sz="4" w:space="0" w:color="auto"/>
              <w:left w:val="single" w:sz="4" w:space="0" w:color="auto"/>
              <w:bottom w:val="single" w:sz="4" w:space="0" w:color="auto"/>
              <w:right w:val="single" w:sz="4" w:space="0" w:color="auto"/>
            </w:tcBorders>
          </w:tcPr>
          <w:p w:rsidR="00C0352B" w:rsidRPr="008C34EC" w:rsidRDefault="00E67AB1" w:rsidP="008C34EC">
            <w:pPr>
              <w:jc w:val="right"/>
              <w:rPr>
                <w:sz w:val="20"/>
                <w:szCs w:val="20"/>
              </w:rPr>
            </w:pPr>
            <w:r w:rsidRPr="008C34EC">
              <w:rPr>
                <w:sz w:val="20"/>
                <w:szCs w:val="20"/>
              </w:rPr>
              <w:t>0.92</w:t>
            </w:r>
          </w:p>
        </w:tc>
        <w:tc>
          <w:tcPr>
            <w:tcW w:w="530" w:type="pct"/>
            <w:tcBorders>
              <w:top w:val="single" w:sz="4" w:space="0" w:color="auto"/>
              <w:left w:val="single" w:sz="4" w:space="0" w:color="auto"/>
              <w:bottom w:val="single" w:sz="4" w:space="0" w:color="auto"/>
              <w:right w:val="single" w:sz="4" w:space="0" w:color="auto"/>
            </w:tcBorders>
          </w:tcPr>
          <w:p w:rsidR="00C0352B" w:rsidRPr="008C34EC" w:rsidRDefault="00E67AB1" w:rsidP="008C34EC">
            <w:pPr>
              <w:jc w:val="right"/>
              <w:rPr>
                <w:sz w:val="20"/>
                <w:szCs w:val="20"/>
              </w:rPr>
            </w:pPr>
            <w:r w:rsidRPr="008C34EC">
              <w:rPr>
                <w:sz w:val="20"/>
                <w:szCs w:val="20"/>
              </w:rPr>
              <w:t>3.15</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rsidR="00C0352B" w:rsidRPr="008C34EC" w:rsidRDefault="00C0352B" w:rsidP="008C34EC">
            <w:pPr>
              <w:jc w:val="right"/>
              <w:rPr>
                <w:sz w:val="20"/>
                <w:szCs w:val="20"/>
              </w:rPr>
            </w:pPr>
            <w:r w:rsidRPr="008C34EC">
              <w:rPr>
                <w:sz w:val="20"/>
                <w:szCs w:val="20"/>
              </w:rPr>
              <w:t>-</w:t>
            </w:r>
          </w:p>
        </w:tc>
      </w:tr>
    </w:tbl>
    <w:p w:rsidR="00BA5899" w:rsidRPr="008C34EC" w:rsidRDefault="00BA5899" w:rsidP="008C34EC">
      <w:pPr>
        <w:rPr>
          <w:sz w:val="16"/>
          <w:szCs w:val="16"/>
          <w:lang w:val="en-CA"/>
        </w:rPr>
      </w:pPr>
      <w:r w:rsidRPr="008C34EC">
        <w:rPr>
          <w:sz w:val="16"/>
          <w:szCs w:val="16"/>
          <w:lang w:val="en-CA"/>
        </w:rPr>
        <w:t>* Country programme</w:t>
      </w:r>
      <w:r w:rsidR="00A42678" w:rsidRPr="008C34EC">
        <w:rPr>
          <w:sz w:val="16"/>
          <w:szCs w:val="16"/>
          <w:lang w:val="en-CA"/>
        </w:rPr>
        <w:t xml:space="preserve"> (CP)</w:t>
      </w:r>
      <w:r w:rsidRPr="008C34EC">
        <w:rPr>
          <w:sz w:val="16"/>
          <w:szCs w:val="16"/>
          <w:lang w:val="en-CA"/>
        </w:rPr>
        <w:t xml:space="preserve"> data submitted on 3 April 2019.</w:t>
      </w:r>
    </w:p>
    <w:p w:rsidR="008F3116" w:rsidRPr="008C34EC" w:rsidRDefault="008F3116" w:rsidP="008C34EC">
      <w:pPr>
        <w:rPr>
          <w:sz w:val="16"/>
          <w:szCs w:val="16"/>
          <w:lang w:val="en-CA"/>
        </w:rPr>
      </w:pPr>
      <w:r w:rsidRPr="008C34EC">
        <w:rPr>
          <w:sz w:val="16"/>
          <w:szCs w:val="16"/>
          <w:lang w:val="en-CA"/>
        </w:rPr>
        <w:t xml:space="preserve">** </w:t>
      </w:r>
      <w:r w:rsidR="00BA5899" w:rsidRPr="008C34EC">
        <w:rPr>
          <w:sz w:val="16"/>
          <w:szCs w:val="16"/>
          <w:lang w:val="en-CA"/>
        </w:rPr>
        <w:t>Based on</w:t>
      </w:r>
      <w:r w:rsidRPr="008C34EC">
        <w:rPr>
          <w:sz w:val="16"/>
          <w:szCs w:val="16"/>
          <w:lang w:val="en-CA"/>
        </w:rPr>
        <w:t xml:space="preserve"> CP data.</w:t>
      </w:r>
    </w:p>
    <w:p w:rsidR="00FE3307" w:rsidRPr="008C34EC" w:rsidRDefault="00FE3307" w:rsidP="008C34EC">
      <w:pPr>
        <w:rPr>
          <w:lang w:val="en-CA"/>
        </w:rPr>
      </w:pPr>
    </w:p>
    <w:p w:rsidR="001E5BE1" w:rsidRPr="008C34EC" w:rsidRDefault="001E5BE1" w:rsidP="008C34EC">
      <w:pPr>
        <w:pStyle w:val="Heading1"/>
      </w:pPr>
      <w:r w:rsidRPr="008C34EC">
        <w:t xml:space="preserve">The HCFC-22 consumption decreased significantly in 2016 compared to the 2015 consumption due to the following reasons: the </w:t>
      </w:r>
      <w:r w:rsidR="006E430C" w:rsidRPr="008C34EC">
        <w:t>replacement of</w:t>
      </w:r>
      <w:r w:rsidRPr="008C34EC">
        <w:t xml:space="preserve"> HCFC-22</w:t>
      </w:r>
      <w:r w:rsidRPr="008C34EC">
        <w:noBreakHyphen/>
        <w:t>based equipment in the ice-making industry to ammonia</w:t>
      </w:r>
      <w:r w:rsidRPr="008C34EC">
        <w:noBreakHyphen/>
        <w:t xml:space="preserve">based equipment; the strict enforcement of the licensing system; the impact of the activities being implemented under the HPMP for the servicing sector (i.e., training in good servicing practices had </w:t>
      </w:r>
      <w:r w:rsidR="0039358B" w:rsidRPr="008C34EC">
        <w:t>prompted</w:t>
      </w:r>
      <w:r w:rsidRPr="008C34EC">
        <w:t xml:space="preserve"> technicians </w:t>
      </w:r>
      <w:r w:rsidR="0039358B" w:rsidRPr="008C34EC">
        <w:t>to use nitrogen f</w:t>
      </w:r>
      <w:r w:rsidRPr="008C34EC">
        <w:t>or flushing</w:t>
      </w:r>
      <w:r w:rsidR="0039358B" w:rsidRPr="008C34EC">
        <w:t xml:space="preserve"> instead of HCFC-22</w:t>
      </w:r>
      <w:r w:rsidR="006E430C" w:rsidRPr="008C34EC">
        <w:t xml:space="preserve">; and </w:t>
      </w:r>
      <w:bookmarkStart w:id="0" w:name="_GoBack"/>
      <w:bookmarkEnd w:id="0"/>
      <w:r w:rsidR="006E430C" w:rsidRPr="008C34EC">
        <w:t>imports of non</w:t>
      </w:r>
      <w:r w:rsidR="000C7DFE" w:rsidRPr="008C34EC">
        <w:noBreakHyphen/>
      </w:r>
      <w:r w:rsidR="006E430C" w:rsidRPr="008C34EC">
        <w:t>HCFC</w:t>
      </w:r>
      <w:r w:rsidR="000C7DFE" w:rsidRPr="008C34EC">
        <w:noBreakHyphen/>
      </w:r>
      <w:r w:rsidR="006E430C" w:rsidRPr="008C34EC">
        <w:t>based air</w:t>
      </w:r>
      <w:r w:rsidR="000C7DFE" w:rsidRPr="008C34EC">
        <w:noBreakHyphen/>
      </w:r>
      <w:r w:rsidR="006E430C" w:rsidRPr="008C34EC">
        <w:t>conditioning equipment (i.e., R-410A</w:t>
      </w:r>
      <w:r w:rsidR="0039358B" w:rsidRPr="008C34EC">
        <w:t>)</w:t>
      </w:r>
      <w:r w:rsidR="006E430C" w:rsidRPr="008C34EC">
        <w:t xml:space="preserve"> since 2012)</w:t>
      </w:r>
      <w:r w:rsidRPr="008C34EC">
        <w:t>.</w:t>
      </w:r>
    </w:p>
    <w:p w:rsidR="00505B1A" w:rsidRPr="008C34EC" w:rsidRDefault="00C902F5" w:rsidP="008C34EC">
      <w:pPr>
        <w:pStyle w:val="Heading1"/>
        <w:rPr>
          <w:lang w:val="en-CA"/>
        </w:rPr>
      </w:pPr>
      <w:r w:rsidRPr="008C34EC">
        <w:rPr>
          <w:lang w:val="en-CA"/>
        </w:rPr>
        <w:t xml:space="preserve">The </w:t>
      </w:r>
      <w:r w:rsidR="008162E0" w:rsidRPr="008C34EC">
        <w:rPr>
          <w:lang w:val="en-CA"/>
        </w:rPr>
        <w:t xml:space="preserve">slight </w:t>
      </w:r>
      <w:r w:rsidRPr="008C34EC">
        <w:rPr>
          <w:lang w:val="en-CA"/>
        </w:rPr>
        <w:t>increas</w:t>
      </w:r>
      <w:r w:rsidR="00616075" w:rsidRPr="008C34EC">
        <w:rPr>
          <w:lang w:val="en-CA"/>
        </w:rPr>
        <w:t>e</w:t>
      </w:r>
      <w:r w:rsidRPr="008C34EC">
        <w:rPr>
          <w:lang w:val="en-CA"/>
        </w:rPr>
        <w:t xml:space="preserve"> in consumption of HCFC-22 </w:t>
      </w:r>
      <w:r w:rsidR="008162E0" w:rsidRPr="008C34EC">
        <w:rPr>
          <w:lang w:val="en-CA"/>
        </w:rPr>
        <w:t xml:space="preserve">in </w:t>
      </w:r>
      <w:r w:rsidRPr="008C34EC">
        <w:rPr>
          <w:lang w:val="en-CA"/>
        </w:rPr>
        <w:t xml:space="preserve">2018 was attributed to </w:t>
      </w:r>
      <w:r w:rsidR="00A42678" w:rsidRPr="008C34EC">
        <w:rPr>
          <w:lang w:val="en-CA"/>
        </w:rPr>
        <w:t>an</w:t>
      </w:r>
      <w:r w:rsidRPr="008C34EC">
        <w:rPr>
          <w:lang w:val="en-CA"/>
        </w:rPr>
        <w:t xml:space="preserve"> expansion of condominium construction in Phnom Penh where HCFC</w:t>
      </w:r>
      <w:r w:rsidRPr="008C34EC">
        <w:rPr>
          <w:lang w:val="en-CA"/>
        </w:rPr>
        <w:noBreakHyphen/>
        <w:t>22</w:t>
      </w:r>
      <w:r w:rsidRPr="008C34EC">
        <w:rPr>
          <w:lang w:val="en-CA"/>
        </w:rPr>
        <w:noBreakHyphen/>
        <w:t xml:space="preserve">based air-conditioners were installed. </w:t>
      </w:r>
      <w:r w:rsidR="00505B1A" w:rsidRPr="008C34EC">
        <w:rPr>
          <w:lang w:val="en-CA"/>
        </w:rPr>
        <w:t>To address this, the Government has included a provision to ban the import of HCFC-based refrigeration and air</w:t>
      </w:r>
      <w:r w:rsidR="00BA5899" w:rsidRPr="008C34EC">
        <w:rPr>
          <w:lang w:val="en-CA"/>
        </w:rPr>
        <w:noBreakHyphen/>
      </w:r>
      <w:r w:rsidR="00505B1A" w:rsidRPr="008C34EC">
        <w:rPr>
          <w:lang w:val="en-CA"/>
        </w:rPr>
        <w:t>conditioning (RAC) equipment starting 1</w:t>
      </w:r>
      <w:r w:rsidR="00801E6A" w:rsidRPr="008C34EC">
        <w:rPr>
          <w:lang w:val="en-CA"/>
        </w:rPr>
        <w:t> </w:t>
      </w:r>
      <w:r w:rsidR="00505B1A" w:rsidRPr="008C34EC">
        <w:rPr>
          <w:lang w:val="en-CA"/>
        </w:rPr>
        <w:t>January</w:t>
      </w:r>
      <w:r w:rsidR="00801E6A" w:rsidRPr="008C34EC">
        <w:rPr>
          <w:lang w:val="en-CA"/>
        </w:rPr>
        <w:t> </w:t>
      </w:r>
      <w:r w:rsidR="00505B1A" w:rsidRPr="008C34EC">
        <w:rPr>
          <w:lang w:val="en-CA"/>
        </w:rPr>
        <w:t xml:space="preserve">2020 in amended ODS regulations. </w:t>
      </w:r>
    </w:p>
    <w:p w:rsidR="00C902F5" w:rsidRPr="008C34EC" w:rsidRDefault="00505B1A" w:rsidP="008C34EC">
      <w:pPr>
        <w:pStyle w:val="Heading1"/>
        <w:rPr>
          <w:lang w:val="en-CA"/>
        </w:rPr>
      </w:pPr>
      <w:r w:rsidRPr="008C34EC">
        <w:rPr>
          <w:lang w:val="en-CA"/>
        </w:rPr>
        <w:t>HCFC-22 imports for the first quarter of 2019 (29.594 mt</w:t>
      </w:r>
      <w:r w:rsidR="00BA5899" w:rsidRPr="008C34EC">
        <w:rPr>
          <w:lang w:val="en-CA"/>
        </w:rPr>
        <w:t>, 1.63 ODP tonnes</w:t>
      </w:r>
      <w:r w:rsidRPr="008C34EC">
        <w:rPr>
          <w:lang w:val="en-CA"/>
        </w:rPr>
        <w:t>) indicate a slight increase from the import amount during the same period in 2018 (28.365 mt</w:t>
      </w:r>
      <w:r w:rsidR="00BA5899" w:rsidRPr="008C34EC">
        <w:rPr>
          <w:lang w:val="en-CA"/>
        </w:rPr>
        <w:t>, 1.56 ODP tonnes</w:t>
      </w:r>
      <w:r w:rsidRPr="008C34EC">
        <w:rPr>
          <w:lang w:val="en-CA"/>
        </w:rPr>
        <w:t xml:space="preserve">). </w:t>
      </w:r>
      <w:r w:rsidR="00C902F5" w:rsidRPr="008C34EC">
        <w:rPr>
          <w:lang w:val="en-CA"/>
        </w:rPr>
        <w:t xml:space="preserve">The Government is negotiating with importers </w:t>
      </w:r>
      <w:r w:rsidR="00CB44E0" w:rsidRPr="008C34EC">
        <w:rPr>
          <w:lang w:val="en-CA"/>
        </w:rPr>
        <w:t xml:space="preserve">to limit </w:t>
      </w:r>
      <w:r w:rsidR="00811DFD" w:rsidRPr="008C34EC">
        <w:rPr>
          <w:lang w:val="en-CA"/>
        </w:rPr>
        <w:t>the import</w:t>
      </w:r>
      <w:r w:rsidR="00CB44E0" w:rsidRPr="008C34EC">
        <w:rPr>
          <w:lang w:val="en-CA"/>
        </w:rPr>
        <w:t xml:space="preserve"> of </w:t>
      </w:r>
      <w:r w:rsidR="00C902F5" w:rsidRPr="008C34EC">
        <w:rPr>
          <w:lang w:val="en-CA"/>
        </w:rPr>
        <w:t>HCFC</w:t>
      </w:r>
      <w:r w:rsidR="00C902F5" w:rsidRPr="008C34EC">
        <w:rPr>
          <w:lang w:val="en-CA"/>
        </w:rPr>
        <w:noBreakHyphen/>
        <w:t xml:space="preserve">22-based air-conditioners </w:t>
      </w:r>
      <w:r w:rsidR="00811DFD" w:rsidRPr="008C34EC">
        <w:rPr>
          <w:lang w:val="en-CA"/>
        </w:rPr>
        <w:t xml:space="preserve">to </w:t>
      </w:r>
      <w:r w:rsidR="00CB44E0" w:rsidRPr="008C34EC">
        <w:rPr>
          <w:lang w:val="en-CA"/>
        </w:rPr>
        <w:t xml:space="preserve">below 30,000 units in 2019, which is lower than the </w:t>
      </w:r>
      <w:r w:rsidR="007656A9" w:rsidRPr="008C34EC">
        <w:rPr>
          <w:lang w:val="en-CA"/>
        </w:rPr>
        <w:t xml:space="preserve">number of units imported in </w:t>
      </w:r>
      <w:r w:rsidR="00CB44E0" w:rsidRPr="008C34EC">
        <w:rPr>
          <w:lang w:val="en-CA"/>
        </w:rPr>
        <w:t>2018.</w:t>
      </w:r>
    </w:p>
    <w:p w:rsidR="004B2F8A" w:rsidRPr="008C34EC" w:rsidRDefault="004B2F8A" w:rsidP="008C34EC">
      <w:pPr>
        <w:pStyle w:val="Heading1"/>
        <w:rPr>
          <w:i/>
          <w:lang w:val="en-CA"/>
        </w:rPr>
      </w:pPr>
      <w:r w:rsidRPr="008C34EC">
        <w:rPr>
          <w:lang w:val="en-CA"/>
        </w:rPr>
        <w:t>Consumption of HCFC-141b in imported pre-blended polyols was reported in 2017 and 2018 due to one enterprise manufacturing</w:t>
      </w:r>
      <w:r w:rsidR="00811DFD" w:rsidRPr="008C34EC">
        <w:rPr>
          <w:lang w:val="en-CA"/>
        </w:rPr>
        <w:t xml:space="preserve"> sandwich panels identified in 2017.</w:t>
      </w:r>
      <w:r w:rsidRPr="008C34EC">
        <w:rPr>
          <w:lang w:val="en-CA"/>
        </w:rPr>
        <w:t xml:space="preserve"> Based on discussions with the </w:t>
      </w:r>
      <w:r w:rsidR="00D30FD6" w:rsidRPr="008C34EC">
        <w:rPr>
          <w:lang w:val="en-CA"/>
        </w:rPr>
        <w:t>National Ozone Unit (</w:t>
      </w:r>
      <w:r w:rsidRPr="008C34EC">
        <w:rPr>
          <w:lang w:val="en-CA"/>
        </w:rPr>
        <w:t>NOU</w:t>
      </w:r>
      <w:r w:rsidR="00D30FD6" w:rsidRPr="008C34EC">
        <w:rPr>
          <w:lang w:val="en-CA"/>
        </w:rPr>
        <w:t>)</w:t>
      </w:r>
      <w:r w:rsidRPr="008C34EC">
        <w:rPr>
          <w:lang w:val="en-CA"/>
        </w:rPr>
        <w:t xml:space="preserve">, the enterprise </w:t>
      </w:r>
      <w:r w:rsidR="00BA5899" w:rsidRPr="008C34EC">
        <w:rPr>
          <w:lang w:val="en-CA"/>
        </w:rPr>
        <w:t xml:space="preserve">had </w:t>
      </w:r>
      <w:r w:rsidRPr="008C34EC">
        <w:rPr>
          <w:lang w:val="en-CA"/>
        </w:rPr>
        <w:t xml:space="preserve">stopped using HCFC-141b in its manufacturing process as of </w:t>
      </w:r>
      <w:r w:rsidRPr="008C34EC">
        <w:rPr>
          <w:lang w:val="en-CA"/>
        </w:rPr>
        <w:lastRenderedPageBreak/>
        <w:t>March</w:t>
      </w:r>
      <w:r w:rsidR="00EA13CF" w:rsidRPr="008C34EC">
        <w:rPr>
          <w:lang w:val="en-CA"/>
        </w:rPr>
        <w:t> </w:t>
      </w:r>
      <w:r w:rsidRPr="008C34EC">
        <w:rPr>
          <w:lang w:val="en-CA"/>
        </w:rPr>
        <w:t xml:space="preserve">2019, and </w:t>
      </w:r>
      <w:r w:rsidR="00811DFD" w:rsidRPr="008C34EC">
        <w:rPr>
          <w:lang w:val="en-CA"/>
        </w:rPr>
        <w:t>completed its conversion to cyclopentane technology</w:t>
      </w:r>
      <w:r w:rsidR="007656A9" w:rsidRPr="008C34EC">
        <w:rPr>
          <w:lang w:val="en-CA"/>
        </w:rPr>
        <w:t xml:space="preserve"> with its own financial resources. HCFC-123 has not been imported into the country since 2016 due to preventive maintenance of equipment using HCFC-123.</w:t>
      </w:r>
      <w:r w:rsidR="00811DFD" w:rsidRPr="008C34EC">
        <w:rPr>
          <w:lang w:val="en-CA"/>
        </w:rPr>
        <w:t xml:space="preserve"> </w:t>
      </w:r>
    </w:p>
    <w:p w:rsidR="00FE3307" w:rsidRPr="008C34EC" w:rsidRDefault="00FE3307" w:rsidP="008C34EC">
      <w:pPr>
        <w:pStyle w:val="Heading1"/>
        <w:numPr>
          <w:ilvl w:val="0"/>
          <w:numId w:val="0"/>
        </w:numPr>
        <w:rPr>
          <w:i/>
          <w:lang w:val="en-CA"/>
        </w:rPr>
      </w:pPr>
      <w:r w:rsidRPr="008C34EC">
        <w:rPr>
          <w:i/>
          <w:lang w:val="en-CA"/>
        </w:rPr>
        <w:t>Country programme (CP) implementation report</w:t>
      </w:r>
    </w:p>
    <w:p w:rsidR="00FE3307" w:rsidRPr="008C34EC" w:rsidRDefault="00FE3307" w:rsidP="008C34EC">
      <w:pPr>
        <w:pStyle w:val="Heading1"/>
        <w:rPr>
          <w:lang w:val="en-CA"/>
        </w:rPr>
      </w:pPr>
      <w:r w:rsidRPr="008C34EC">
        <w:rPr>
          <w:lang w:val="en-CA"/>
        </w:rPr>
        <w:t xml:space="preserve">The Government of </w:t>
      </w:r>
      <w:r w:rsidR="00CD2700" w:rsidRPr="008C34EC">
        <w:rPr>
          <w:lang w:val="en-CA"/>
        </w:rPr>
        <w:t>Cambodia</w:t>
      </w:r>
      <w:r w:rsidRPr="008C34EC">
        <w:rPr>
          <w:lang w:val="en-CA"/>
        </w:rPr>
        <w:t xml:space="preserve"> reported HCFC sector consumption data under the 2017 CP implementation report which is consistent with the data reported under Article 7 of the Montreal Protocol. </w:t>
      </w:r>
    </w:p>
    <w:p w:rsidR="00FE3307" w:rsidRPr="008C34EC" w:rsidRDefault="00FE3307" w:rsidP="008C34EC">
      <w:pPr>
        <w:keepNext/>
        <w:rPr>
          <w:u w:val="single"/>
          <w:lang w:val="en-CA"/>
        </w:rPr>
      </w:pPr>
      <w:r w:rsidRPr="008C34EC">
        <w:rPr>
          <w:u w:val="single"/>
          <w:lang w:val="en-CA"/>
        </w:rPr>
        <w:t xml:space="preserve">Progress report on the implementation of the </w:t>
      </w:r>
      <w:r w:rsidR="00CD2700" w:rsidRPr="008C34EC">
        <w:rPr>
          <w:u w:val="single"/>
          <w:lang w:val="en-CA"/>
        </w:rPr>
        <w:t>third</w:t>
      </w:r>
      <w:r w:rsidRPr="008C34EC">
        <w:rPr>
          <w:u w:val="single"/>
          <w:lang w:val="en-CA"/>
        </w:rPr>
        <w:t xml:space="preserve"> tranche of the HPMP</w:t>
      </w:r>
    </w:p>
    <w:p w:rsidR="00FE3307" w:rsidRPr="008C34EC" w:rsidRDefault="00FE3307" w:rsidP="008C34EC">
      <w:pPr>
        <w:keepNext/>
        <w:rPr>
          <w:lang w:val="en-CA"/>
        </w:rPr>
      </w:pPr>
    </w:p>
    <w:p w:rsidR="00FE3307" w:rsidRPr="008C34EC" w:rsidRDefault="00FE3307" w:rsidP="008C34EC">
      <w:pPr>
        <w:keepNext/>
        <w:rPr>
          <w:i/>
          <w:lang w:val="en-CA"/>
        </w:rPr>
      </w:pPr>
      <w:r w:rsidRPr="008C34EC">
        <w:rPr>
          <w:i/>
          <w:lang w:val="en-CA"/>
        </w:rPr>
        <w:t>Legal framework</w:t>
      </w:r>
    </w:p>
    <w:p w:rsidR="00FE3307" w:rsidRPr="008C34EC" w:rsidRDefault="00FE3307" w:rsidP="008C34EC">
      <w:pPr>
        <w:keepNext/>
        <w:rPr>
          <w:lang w:val="en-CA"/>
        </w:rPr>
      </w:pPr>
    </w:p>
    <w:p w:rsidR="00FE3307" w:rsidRPr="008C34EC" w:rsidRDefault="00C02504" w:rsidP="008C34EC">
      <w:pPr>
        <w:pStyle w:val="Heading1"/>
        <w:rPr>
          <w:lang w:val="en-CA"/>
        </w:rPr>
      </w:pPr>
      <w:r w:rsidRPr="008C34EC">
        <w:rPr>
          <w:lang w:val="en-CA"/>
        </w:rPr>
        <w:t xml:space="preserve">The Government of Cambodia </w:t>
      </w:r>
      <w:r w:rsidR="006B2184" w:rsidRPr="008C34EC">
        <w:rPr>
          <w:lang w:val="en-CA"/>
        </w:rPr>
        <w:t xml:space="preserve">revised </w:t>
      </w:r>
      <w:r w:rsidRPr="008C34EC">
        <w:rPr>
          <w:lang w:val="en-CA"/>
        </w:rPr>
        <w:t>t</w:t>
      </w:r>
      <w:r w:rsidR="007656A9" w:rsidRPr="008C34EC">
        <w:rPr>
          <w:lang w:val="en-CA"/>
        </w:rPr>
        <w:t>he Sub-decree on ODS Management,</w:t>
      </w:r>
      <w:r w:rsidR="007656A9" w:rsidRPr="008C34EC">
        <w:rPr>
          <w:rStyle w:val="FootnoteReference"/>
          <w:lang w:val="en-CA"/>
        </w:rPr>
        <w:footnoteReference w:id="2"/>
      </w:r>
      <w:r w:rsidR="007656A9" w:rsidRPr="008C34EC">
        <w:rPr>
          <w:lang w:val="en-CA"/>
        </w:rPr>
        <w:t xml:space="preserve"> </w:t>
      </w:r>
      <w:r w:rsidR="0035697D" w:rsidRPr="008C34EC">
        <w:rPr>
          <w:lang w:val="en-CA"/>
        </w:rPr>
        <w:t>to add</w:t>
      </w:r>
      <w:r w:rsidRPr="008C34EC">
        <w:rPr>
          <w:lang w:val="en-CA"/>
        </w:rPr>
        <w:t xml:space="preserve"> provisions requiring a license for the export/import</w:t>
      </w:r>
      <w:r w:rsidR="009852A6" w:rsidRPr="008C34EC">
        <w:rPr>
          <w:lang w:val="en-CA"/>
        </w:rPr>
        <w:t xml:space="preserve"> of</w:t>
      </w:r>
      <w:r w:rsidRPr="008C34EC">
        <w:rPr>
          <w:lang w:val="en-CA"/>
        </w:rPr>
        <w:t xml:space="preserve"> ODS, HFCs</w:t>
      </w:r>
      <w:r w:rsidR="005E1C71" w:rsidRPr="008C34EC">
        <w:rPr>
          <w:lang w:val="en-CA"/>
        </w:rPr>
        <w:t xml:space="preserve">, </w:t>
      </w:r>
      <w:r w:rsidR="009852A6" w:rsidRPr="008C34EC">
        <w:rPr>
          <w:lang w:val="en-CA"/>
        </w:rPr>
        <w:t xml:space="preserve">other </w:t>
      </w:r>
      <w:r w:rsidRPr="008C34EC">
        <w:rPr>
          <w:lang w:val="en-CA"/>
        </w:rPr>
        <w:t>refrigerants</w:t>
      </w:r>
      <w:r w:rsidR="009852A6" w:rsidRPr="008C34EC">
        <w:rPr>
          <w:lang w:val="en-CA"/>
        </w:rPr>
        <w:t xml:space="preserve"> in bulk, </w:t>
      </w:r>
      <w:r w:rsidR="005E1C71" w:rsidRPr="008C34EC">
        <w:rPr>
          <w:lang w:val="en-CA"/>
        </w:rPr>
        <w:t>and</w:t>
      </w:r>
      <w:r w:rsidR="002410B4" w:rsidRPr="008C34EC">
        <w:rPr>
          <w:lang w:val="en-CA"/>
        </w:rPr>
        <w:t xml:space="preserve"> </w:t>
      </w:r>
      <w:r w:rsidR="009852A6" w:rsidRPr="008C34EC">
        <w:rPr>
          <w:lang w:val="en-CA"/>
        </w:rPr>
        <w:t xml:space="preserve">all types of </w:t>
      </w:r>
      <w:r w:rsidRPr="008C34EC">
        <w:rPr>
          <w:lang w:val="en-CA"/>
        </w:rPr>
        <w:t xml:space="preserve">RAC equipment using </w:t>
      </w:r>
      <w:r w:rsidR="009852A6" w:rsidRPr="008C34EC">
        <w:rPr>
          <w:lang w:val="en-CA"/>
        </w:rPr>
        <w:t>any</w:t>
      </w:r>
      <w:r w:rsidRPr="008C34EC">
        <w:rPr>
          <w:lang w:val="en-CA"/>
        </w:rPr>
        <w:t xml:space="preserve"> type of refrigerants</w:t>
      </w:r>
      <w:r w:rsidR="005E1C71" w:rsidRPr="008C34EC">
        <w:rPr>
          <w:lang w:val="en-CA"/>
        </w:rPr>
        <w:t>;</w:t>
      </w:r>
      <w:r w:rsidR="009852A6" w:rsidRPr="008C34EC">
        <w:rPr>
          <w:lang w:val="en-CA"/>
        </w:rPr>
        <w:t xml:space="preserve"> </w:t>
      </w:r>
      <w:r w:rsidR="005E1C71" w:rsidRPr="008C34EC">
        <w:rPr>
          <w:lang w:val="en-CA"/>
        </w:rPr>
        <w:t xml:space="preserve">and including </w:t>
      </w:r>
      <w:r w:rsidR="002410B4" w:rsidRPr="008C34EC">
        <w:rPr>
          <w:lang w:val="en-CA"/>
        </w:rPr>
        <w:t xml:space="preserve">provisions for </w:t>
      </w:r>
      <w:r w:rsidR="009852A6" w:rsidRPr="008C34EC">
        <w:rPr>
          <w:lang w:val="en-CA"/>
        </w:rPr>
        <w:t>data reporting and monitoring systems for these</w:t>
      </w:r>
      <w:r w:rsidR="00811DFD" w:rsidRPr="008C34EC">
        <w:rPr>
          <w:lang w:val="en-CA"/>
        </w:rPr>
        <w:t xml:space="preserve"> imports</w:t>
      </w:r>
      <w:r w:rsidR="009852A6" w:rsidRPr="008C34EC">
        <w:rPr>
          <w:lang w:val="en-CA"/>
        </w:rPr>
        <w:t xml:space="preserve">. </w:t>
      </w:r>
      <w:r w:rsidR="00811DFD" w:rsidRPr="008C34EC">
        <w:rPr>
          <w:lang w:val="en-CA"/>
        </w:rPr>
        <w:t>The</w:t>
      </w:r>
      <w:r w:rsidR="006B2184" w:rsidRPr="008C34EC">
        <w:rPr>
          <w:lang w:val="en-CA"/>
        </w:rPr>
        <w:t xml:space="preserve"> amended </w:t>
      </w:r>
      <w:r w:rsidR="00A76D05" w:rsidRPr="008C34EC">
        <w:rPr>
          <w:lang w:val="en-CA"/>
        </w:rPr>
        <w:t>S</w:t>
      </w:r>
      <w:r w:rsidR="006B2184" w:rsidRPr="008C34EC">
        <w:rPr>
          <w:lang w:val="en-CA"/>
        </w:rPr>
        <w:t>ub-decree</w:t>
      </w:r>
      <w:r w:rsidR="00811DFD" w:rsidRPr="008C34EC">
        <w:rPr>
          <w:lang w:val="en-CA"/>
        </w:rPr>
        <w:t xml:space="preserve"> also includes a ban on</w:t>
      </w:r>
      <w:r w:rsidR="006B2184" w:rsidRPr="008C34EC">
        <w:rPr>
          <w:lang w:val="en-CA"/>
        </w:rPr>
        <w:t xml:space="preserve"> the import of </w:t>
      </w:r>
      <w:r w:rsidR="002410B4" w:rsidRPr="008C34EC">
        <w:rPr>
          <w:lang w:val="en-CA"/>
        </w:rPr>
        <w:t xml:space="preserve">HCFC-based </w:t>
      </w:r>
      <w:r w:rsidR="00C0352B" w:rsidRPr="008C34EC">
        <w:rPr>
          <w:lang w:val="en-CA"/>
        </w:rPr>
        <w:t xml:space="preserve">RAC </w:t>
      </w:r>
      <w:r w:rsidR="002410B4" w:rsidRPr="008C34EC">
        <w:rPr>
          <w:lang w:val="en-CA"/>
        </w:rPr>
        <w:t xml:space="preserve">equipment from </w:t>
      </w:r>
      <w:r w:rsidR="006B2184" w:rsidRPr="008C34EC">
        <w:rPr>
          <w:lang w:val="en-CA"/>
        </w:rPr>
        <w:t>1</w:t>
      </w:r>
      <w:r w:rsidR="00D30FD6" w:rsidRPr="008C34EC">
        <w:rPr>
          <w:lang w:val="en-CA"/>
        </w:rPr>
        <w:t> </w:t>
      </w:r>
      <w:r w:rsidR="006B2184" w:rsidRPr="008C34EC">
        <w:rPr>
          <w:lang w:val="en-CA"/>
        </w:rPr>
        <w:t>January</w:t>
      </w:r>
      <w:r w:rsidR="00D30FD6" w:rsidRPr="008C34EC">
        <w:rPr>
          <w:lang w:val="en-CA"/>
        </w:rPr>
        <w:t> </w:t>
      </w:r>
      <w:r w:rsidR="002410B4" w:rsidRPr="008C34EC">
        <w:rPr>
          <w:lang w:val="en-CA"/>
        </w:rPr>
        <w:t>2020</w:t>
      </w:r>
      <w:r w:rsidR="00811DFD" w:rsidRPr="008C34EC">
        <w:rPr>
          <w:lang w:val="en-CA"/>
        </w:rPr>
        <w:t xml:space="preserve">. It </w:t>
      </w:r>
      <w:r w:rsidR="002410B4" w:rsidRPr="008C34EC">
        <w:rPr>
          <w:lang w:val="en-CA"/>
        </w:rPr>
        <w:t>incorporates HFC phase</w:t>
      </w:r>
      <w:r w:rsidR="006B2184" w:rsidRPr="008C34EC">
        <w:rPr>
          <w:lang w:val="en-CA"/>
        </w:rPr>
        <w:noBreakHyphen/>
      </w:r>
      <w:r w:rsidR="00811DFD" w:rsidRPr="008C34EC">
        <w:rPr>
          <w:lang w:val="en-CA"/>
        </w:rPr>
        <w:t xml:space="preserve">down obligations and would apply the quota system to the import of HFCs and blends in bulk. </w:t>
      </w:r>
      <w:r w:rsidR="004B2F8A" w:rsidRPr="008C34EC">
        <w:rPr>
          <w:lang w:val="en-CA"/>
        </w:rPr>
        <w:t xml:space="preserve">This revised </w:t>
      </w:r>
      <w:r w:rsidR="00A76D05" w:rsidRPr="008C34EC">
        <w:rPr>
          <w:lang w:val="en-CA"/>
        </w:rPr>
        <w:t>S</w:t>
      </w:r>
      <w:r w:rsidR="004B2F8A" w:rsidRPr="008C34EC">
        <w:rPr>
          <w:lang w:val="en-CA"/>
        </w:rPr>
        <w:t>ub-decree is in its final review process and is expected to be approved by the Council of Ministers for implementation and enforcement by September 2019.</w:t>
      </w:r>
    </w:p>
    <w:p w:rsidR="00C0352B" w:rsidRPr="008C34EC" w:rsidRDefault="0045791B" w:rsidP="008C34EC">
      <w:pPr>
        <w:pStyle w:val="Heading1"/>
        <w:rPr>
          <w:lang w:val="en-CA"/>
        </w:rPr>
      </w:pPr>
      <w:r w:rsidRPr="008C34EC">
        <w:rPr>
          <w:lang w:val="en-CA"/>
        </w:rPr>
        <w:t>Three training workshops to strengthen the capacity of enforcement officers in monitoring and controlling HCFC import and export were conducted for 121 Customs and enforcement officers of the General Department of Customs and Excise, CamControl and Anti-Economic Crime Police Department. The Ministry of Environment (MOE) continued to collaborate with the General Department of Customs and Excise to monitor the use of refrigerant identifiers received under the HPMP</w:t>
      </w:r>
      <w:r w:rsidR="00A76D05" w:rsidRPr="008C34EC">
        <w:rPr>
          <w:lang w:val="en-CA"/>
        </w:rPr>
        <w:t>. The Government</w:t>
      </w:r>
      <w:r w:rsidRPr="008C34EC">
        <w:rPr>
          <w:lang w:val="en-CA"/>
        </w:rPr>
        <w:t xml:space="preserve"> hosted </w:t>
      </w:r>
      <w:r w:rsidRPr="008C34EC">
        <w:rPr>
          <w:color w:val="000000"/>
          <w:lang w:val="en-US" w:eastAsia="zh-CN"/>
        </w:rPr>
        <w:t>a border dialogue to strengthen the cooperation in ODS and HFCs trade control, participated by 31 Ozone and Customs officers from Cambodia and Viet Nam</w:t>
      </w:r>
      <w:r w:rsidRPr="008C34EC">
        <w:rPr>
          <w:lang w:val="en-CA"/>
        </w:rPr>
        <w:t xml:space="preserve">. </w:t>
      </w:r>
    </w:p>
    <w:p w:rsidR="00FE3307" w:rsidRPr="008C34EC" w:rsidRDefault="00FE3307" w:rsidP="008C34EC">
      <w:pPr>
        <w:keepNext/>
        <w:rPr>
          <w:i/>
          <w:lang w:val="en-CA"/>
        </w:rPr>
      </w:pPr>
      <w:r w:rsidRPr="008C34EC">
        <w:rPr>
          <w:i/>
          <w:lang w:val="en-CA"/>
        </w:rPr>
        <w:t>Refrigeration servicing sector</w:t>
      </w:r>
    </w:p>
    <w:p w:rsidR="00FE3307" w:rsidRPr="008C34EC" w:rsidRDefault="00FE3307" w:rsidP="008C34EC">
      <w:pPr>
        <w:keepNext/>
        <w:rPr>
          <w:lang w:val="en-CA"/>
        </w:rPr>
      </w:pPr>
    </w:p>
    <w:p w:rsidR="00820BA0" w:rsidRPr="008C34EC" w:rsidRDefault="00820BA0" w:rsidP="008C34EC">
      <w:pPr>
        <w:pStyle w:val="Heading1"/>
        <w:keepNext/>
        <w:rPr>
          <w:lang w:val="en-CA"/>
        </w:rPr>
      </w:pPr>
      <w:r w:rsidRPr="008C34EC">
        <w:rPr>
          <w:lang w:val="en-CA"/>
        </w:rPr>
        <w:t>Seven t</w:t>
      </w:r>
      <w:r w:rsidR="00D5417A" w:rsidRPr="008C34EC">
        <w:rPr>
          <w:lang w:val="en-CA"/>
        </w:rPr>
        <w:t xml:space="preserve">raining </w:t>
      </w:r>
      <w:r w:rsidRPr="008C34EC">
        <w:rPr>
          <w:lang w:val="en-CA"/>
        </w:rPr>
        <w:t xml:space="preserve">workshops on good </w:t>
      </w:r>
      <w:r w:rsidR="004B2F8A" w:rsidRPr="008C34EC">
        <w:rPr>
          <w:lang w:val="en-CA"/>
        </w:rPr>
        <w:t xml:space="preserve">refrigeration servicing </w:t>
      </w:r>
      <w:r w:rsidRPr="008C34EC">
        <w:rPr>
          <w:lang w:val="en-CA"/>
        </w:rPr>
        <w:t>practices including safe handling of air</w:t>
      </w:r>
      <w:r w:rsidR="00D30FD6" w:rsidRPr="008C34EC">
        <w:rPr>
          <w:lang w:val="en-CA"/>
        </w:rPr>
        <w:noBreakHyphen/>
      </w:r>
      <w:r w:rsidRPr="008C34EC">
        <w:rPr>
          <w:lang w:val="en-CA"/>
        </w:rPr>
        <w:t>conditioners using HFC</w:t>
      </w:r>
      <w:r w:rsidR="007A79F8" w:rsidRPr="008C34EC">
        <w:rPr>
          <w:lang w:val="en-CA"/>
        </w:rPr>
        <w:noBreakHyphen/>
      </w:r>
      <w:r w:rsidRPr="008C34EC">
        <w:rPr>
          <w:lang w:val="en-CA"/>
        </w:rPr>
        <w:t xml:space="preserve">32 and R-290 </w:t>
      </w:r>
      <w:r w:rsidR="00A76D05" w:rsidRPr="008C34EC">
        <w:rPr>
          <w:lang w:val="en-CA"/>
        </w:rPr>
        <w:t xml:space="preserve">refrigerants </w:t>
      </w:r>
      <w:r w:rsidRPr="008C34EC">
        <w:rPr>
          <w:lang w:val="en-CA"/>
        </w:rPr>
        <w:t xml:space="preserve">for 259 RAC technicians </w:t>
      </w:r>
      <w:r w:rsidR="007A79F8" w:rsidRPr="008C34EC">
        <w:rPr>
          <w:lang w:val="en-CA"/>
        </w:rPr>
        <w:t xml:space="preserve">were </w:t>
      </w:r>
      <w:r w:rsidR="00D30FD6" w:rsidRPr="008C34EC">
        <w:rPr>
          <w:lang w:val="en-CA"/>
        </w:rPr>
        <w:t>conducted;</w:t>
      </w:r>
      <w:r w:rsidR="007A79F8" w:rsidRPr="008C34EC">
        <w:rPr>
          <w:lang w:eastAsia="zh-CN"/>
        </w:rPr>
        <w:t xml:space="preserve"> 16 master trainers from vocational schools and four MOE staff participated in a t</w:t>
      </w:r>
      <w:r w:rsidR="00C14710" w:rsidRPr="008C34EC">
        <w:rPr>
          <w:lang w:val="en-CA"/>
        </w:rPr>
        <w:t>raining on safe management, installation and servicing of R</w:t>
      </w:r>
      <w:r w:rsidR="007A79F8" w:rsidRPr="008C34EC">
        <w:rPr>
          <w:lang w:val="en-CA"/>
        </w:rPr>
        <w:noBreakHyphen/>
      </w:r>
      <w:r w:rsidR="00C14710" w:rsidRPr="008C34EC">
        <w:rPr>
          <w:lang w:val="en-CA"/>
        </w:rPr>
        <w:t>290</w:t>
      </w:r>
      <w:r w:rsidR="00C14710" w:rsidRPr="008C34EC">
        <w:rPr>
          <w:lang w:val="en-CA"/>
        </w:rPr>
        <w:noBreakHyphen/>
        <w:t>based room air</w:t>
      </w:r>
      <w:r w:rsidR="00C14710" w:rsidRPr="008C34EC">
        <w:rPr>
          <w:lang w:val="en-CA"/>
        </w:rPr>
        <w:noBreakHyphen/>
        <w:t>conditioners</w:t>
      </w:r>
      <w:r w:rsidR="007A79F8" w:rsidRPr="008C34EC">
        <w:rPr>
          <w:lang w:val="en-CA"/>
        </w:rPr>
        <w:t>.</w:t>
      </w:r>
    </w:p>
    <w:p w:rsidR="00C4049B" w:rsidRPr="008C34EC" w:rsidRDefault="007A3DF9" w:rsidP="008C34EC">
      <w:pPr>
        <w:pStyle w:val="Heading1"/>
        <w:rPr>
          <w:lang w:val="en-CA"/>
        </w:rPr>
      </w:pPr>
      <w:r w:rsidRPr="008C34EC">
        <w:rPr>
          <w:lang w:val="en-CA"/>
        </w:rPr>
        <w:t>T</w:t>
      </w:r>
      <w:r w:rsidR="00507F6D" w:rsidRPr="008C34EC">
        <w:rPr>
          <w:lang w:val="en-CA"/>
        </w:rPr>
        <w:t xml:space="preserve">he MOE </w:t>
      </w:r>
      <w:r w:rsidR="00A76D05" w:rsidRPr="008C34EC">
        <w:rPr>
          <w:lang w:val="en-CA"/>
        </w:rPr>
        <w:t>worked</w:t>
      </w:r>
      <w:r w:rsidR="00507F6D" w:rsidRPr="008C34EC">
        <w:rPr>
          <w:lang w:val="en-CA"/>
        </w:rPr>
        <w:t xml:space="preserve"> with the Department of Standard and Curriculum</w:t>
      </w:r>
      <w:r w:rsidR="00A76D05" w:rsidRPr="008C34EC">
        <w:rPr>
          <w:lang w:val="en-CA"/>
        </w:rPr>
        <w:t xml:space="preserve"> of the</w:t>
      </w:r>
      <w:r w:rsidR="00507F6D" w:rsidRPr="008C34EC">
        <w:rPr>
          <w:lang w:val="en-CA"/>
        </w:rPr>
        <w:t xml:space="preserve"> Ministry of Labour and Vocational Training</w:t>
      </w:r>
      <w:r w:rsidR="00A76D05" w:rsidRPr="008C34EC">
        <w:rPr>
          <w:lang w:val="en-CA"/>
        </w:rPr>
        <w:t>,</w:t>
      </w:r>
      <w:r w:rsidR="00507F6D" w:rsidRPr="008C34EC">
        <w:rPr>
          <w:lang w:val="en-CA"/>
        </w:rPr>
        <w:t xml:space="preserve"> and vocational training schools </w:t>
      </w:r>
      <w:r w:rsidR="00A76D05" w:rsidRPr="008C34EC">
        <w:rPr>
          <w:lang w:val="en-CA"/>
        </w:rPr>
        <w:t>and</w:t>
      </w:r>
      <w:r w:rsidR="00507F6D" w:rsidRPr="008C34EC">
        <w:rPr>
          <w:lang w:val="en-CA"/>
        </w:rPr>
        <w:t xml:space="preserve"> finalize</w:t>
      </w:r>
      <w:r w:rsidR="00A76D05" w:rsidRPr="008C34EC">
        <w:rPr>
          <w:lang w:val="en-CA"/>
        </w:rPr>
        <w:t>d</w:t>
      </w:r>
      <w:r w:rsidR="00507F6D" w:rsidRPr="008C34EC">
        <w:rPr>
          <w:lang w:val="en-CA"/>
        </w:rPr>
        <w:t xml:space="preserve"> the </w:t>
      </w:r>
      <w:r w:rsidR="00A76D05" w:rsidRPr="008C34EC">
        <w:rPr>
          <w:lang w:val="en-CA"/>
        </w:rPr>
        <w:t>g</w:t>
      </w:r>
      <w:r w:rsidR="00507F6D" w:rsidRPr="008C34EC">
        <w:rPr>
          <w:lang w:val="en-CA"/>
        </w:rPr>
        <w:t xml:space="preserve">uidelines for </w:t>
      </w:r>
      <w:r w:rsidR="00A76D05" w:rsidRPr="008C34EC">
        <w:rPr>
          <w:lang w:val="en-CA"/>
        </w:rPr>
        <w:t>skill s</w:t>
      </w:r>
      <w:r w:rsidR="00507F6D" w:rsidRPr="008C34EC">
        <w:rPr>
          <w:lang w:val="en-CA"/>
        </w:rPr>
        <w:t xml:space="preserve">tandards and </w:t>
      </w:r>
      <w:r w:rsidR="00A76D05" w:rsidRPr="008C34EC">
        <w:rPr>
          <w:lang w:val="en-CA"/>
        </w:rPr>
        <w:t>certificate t</w:t>
      </w:r>
      <w:r w:rsidRPr="008C34EC">
        <w:rPr>
          <w:lang w:val="en-CA"/>
        </w:rPr>
        <w:t xml:space="preserve">esting </w:t>
      </w:r>
      <w:r w:rsidR="00507F6D" w:rsidRPr="008C34EC">
        <w:rPr>
          <w:lang w:val="en-CA"/>
        </w:rPr>
        <w:t>for RAC technicians</w:t>
      </w:r>
      <w:r w:rsidR="000F29AC" w:rsidRPr="008C34EC">
        <w:rPr>
          <w:lang w:val="en-CA"/>
        </w:rPr>
        <w:t xml:space="preserve">, which was </w:t>
      </w:r>
      <w:r w:rsidR="00801E6A" w:rsidRPr="008C34EC">
        <w:rPr>
          <w:lang w:val="en-CA"/>
        </w:rPr>
        <w:t>approved on March 2019</w:t>
      </w:r>
      <w:r w:rsidR="00C4049B" w:rsidRPr="008C34EC">
        <w:rPr>
          <w:lang w:val="en-CA"/>
        </w:rPr>
        <w:t xml:space="preserve">. These guidelines </w:t>
      </w:r>
      <w:r w:rsidR="00801E6A" w:rsidRPr="008C34EC">
        <w:rPr>
          <w:lang w:val="en-CA"/>
        </w:rPr>
        <w:t xml:space="preserve">will enable the Government to implement </w:t>
      </w:r>
      <w:r w:rsidR="00B2475F" w:rsidRPr="008C34EC">
        <w:rPr>
          <w:lang w:val="en-CA"/>
        </w:rPr>
        <w:t xml:space="preserve">its </w:t>
      </w:r>
      <w:r w:rsidR="00801E6A" w:rsidRPr="008C34EC">
        <w:rPr>
          <w:lang w:val="en-CA"/>
        </w:rPr>
        <w:t>competency</w:t>
      </w:r>
      <w:r w:rsidR="00B2475F" w:rsidRPr="008C34EC">
        <w:rPr>
          <w:lang w:val="en-CA"/>
        </w:rPr>
        <w:noBreakHyphen/>
      </w:r>
      <w:r w:rsidR="00801E6A" w:rsidRPr="008C34EC">
        <w:rPr>
          <w:lang w:val="en-CA"/>
        </w:rPr>
        <w:t>based assessment certification</w:t>
      </w:r>
      <w:r w:rsidR="00B2475F" w:rsidRPr="008C34EC">
        <w:rPr>
          <w:lang w:val="en-CA"/>
        </w:rPr>
        <w:t xml:space="preserve"> programme</w:t>
      </w:r>
      <w:r w:rsidR="00C4049B" w:rsidRPr="008C34EC">
        <w:rPr>
          <w:lang w:val="en-CA"/>
        </w:rPr>
        <w:t xml:space="preserve"> for technicians without formal education/training and </w:t>
      </w:r>
      <w:r w:rsidR="00616075" w:rsidRPr="008C34EC">
        <w:rPr>
          <w:lang w:val="en-CA"/>
        </w:rPr>
        <w:t xml:space="preserve">those who are </w:t>
      </w:r>
      <w:r w:rsidR="00C4049B" w:rsidRPr="008C34EC">
        <w:rPr>
          <w:lang w:val="en-CA"/>
        </w:rPr>
        <w:t>enrolled</w:t>
      </w:r>
      <w:r w:rsidR="00616075" w:rsidRPr="008C34EC">
        <w:rPr>
          <w:lang w:val="en-CA"/>
        </w:rPr>
        <w:t>/received training</w:t>
      </w:r>
      <w:r w:rsidR="00C4049B" w:rsidRPr="008C34EC">
        <w:rPr>
          <w:lang w:val="en-CA"/>
        </w:rPr>
        <w:t xml:space="preserve"> in vocational schools. A</w:t>
      </w:r>
      <w:r w:rsidR="009D5751" w:rsidRPr="008C34EC">
        <w:rPr>
          <w:lang w:val="en-CA"/>
        </w:rPr>
        <w:t xml:space="preserve"> database of tr</w:t>
      </w:r>
      <w:r w:rsidR="007A79F8" w:rsidRPr="008C34EC">
        <w:rPr>
          <w:lang w:val="en-CA"/>
        </w:rPr>
        <w:t xml:space="preserve">ained and certified technicians is </w:t>
      </w:r>
      <w:r w:rsidR="000F29AC" w:rsidRPr="008C34EC">
        <w:rPr>
          <w:lang w:val="en-CA"/>
        </w:rPr>
        <w:t xml:space="preserve">currently </w:t>
      </w:r>
      <w:r w:rsidR="007A79F8" w:rsidRPr="008C34EC">
        <w:rPr>
          <w:lang w:val="en-CA"/>
        </w:rPr>
        <w:t>being developed; and three awareness workshops were conducted to outreach the certification programme for RAC technicians.</w:t>
      </w:r>
      <w:r w:rsidR="00C4049B" w:rsidRPr="008C34EC">
        <w:rPr>
          <w:lang w:val="en-CA"/>
        </w:rPr>
        <w:t xml:space="preserve"> </w:t>
      </w:r>
    </w:p>
    <w:p w:rsidR="00D5417A" w:rsidRPr="008C34EC" w:rsidRDefault="00C4049B" w:rsidP="008C34EC">
      <w:pPr>
        <w:pStyle w:val="Heading1"/>
        <w:rPr>
          <w:lang w:val="en-CA"/>
        </w:rPr>
      </w:pPr>
      <w:r w:rsidRPr="008C34EC">
        <w:rPr>
          <w:lang w:val="en-CA"/>
        </w:rPr>
        <w:t>This certification will be issued by the vocational training schools that have complied with the criteria and been accredited to be the assessment centre.</w:t>
      </w:r>
    </w:p>
    <w:p w:rsidR="00FE3307" w:rsidRPr="008C34EC" w:rsidRDefault="007A79F8" w:rsidP="008C34EC">
      <w:pPr>
        <w:pStyle w:val="Heading1"/>
        <w:rPr>
          <w:lang w:val="en-CA"/>
        </w:rPr>
      </w:pPr>
      <w:r w:rsidRPr="008C34EC">
        <w:rPr>
          <w:lang w:val="en-CA"/>
        </w:rPr>
        <w:t>Six vocational training institutes and 32 RAC servicing workshops received e</w:t>
      </w:r>
      <w:r w:rsidR="00710B3B" w:rsidRPr="008C34EC">
        <w:rPr>
          <w:lang w:val="en-CA"/>
        </w:rPr>
        <w:t>quipment</w:t>
      </w:r>
      <w:r w:rsidR="00191607" w:rsidRPr="008C34EC">
        <w:rPr>
          <w:lang w:val="en-CA"/>
        </w:rPr>
        <w:t xml:space="preserve"> and </w:t>
      </w:r>
      <w:r w:rsidR="00710B3B" w:rsidRPr="008C34EC">
        <w:rPr>
          <w:lang w:val="en-CA"/>
        </w:rPr>
        <w:t>tools (e.g. vacuum pump, manifold gauges, leak detector, servicing tool boxes, recovery machine and cylinders)</w:t>
      </w:r>
      <w:r w:rsidR="00FC7613" w:rsidRPr="008C34EC">
        <w:rPr>
          <w:lang w:val="en-CA"/>
        </w:rPr>
        <w:t xml:space="preserve">. The implementation of the equipment replacement programme for residential air-conditioners was </w:t>
      </w:r>
      <w:r w:rsidR="00FC7613" w:rsidRPr="008C34EC">
        <w:rPr>
          <w:lang w:val="en-CA"/>
        </w:rPr>
        <w:lastRenderedPageBreak/>
        <w:t xml:space="preserve">discussed with </w:t>
      </w:r>
      <w:r w:rsidR="00295BFF" w:rsidRPr="008C34EC">
        <w:rPr>
          <w:lang w:val="en-CA"/>
        </w:rPr>
        <w:t xml:space="preserve">importers of RAC equipment </w:t>
      </w:r>
      <w:r w:rsidR="007F3F57" w:rsidRPr="008C34EC">
        <w:rPr>
          <w:lang w:val="en-CA"/>
        </w:rPr>
        <w:t xml:space="preserve">and servicing workshops; </w:t>
      </w:r>
      <w:r w:rsidR="00FC7613" w:rsidRPr="008C34EC">
        <w:rPr>
          <w:lang w:val="en-CA"/>
        </w:rPr>
        <w:t>eligibility criteria for replacement were finalized and disseminated to servicing workshops</w:t>
      </w:r>
      <w:r w:rsidR="00191607" w:rsidRPr="008C34EC">
        <w:rPr>
          <w:lang w:val="en-CA"/>
        </w:rPr>
        <w:t>; and</w:t>
      </w:r>
      <w:r w:rsidR="00FC7613" w:rsidRPr="008C34EC">
        <w:rPr>
          <w:lang w:val="en-CA"/>
        </w:rPr>
        <w:t xml:space="preserve"> </w:t>
      </w:r>
      <w:r w:rsidR="007F3F57" w:rsidRPr="008C34EC">
        <w:rPr>
          <w:lang w:val="en-CA"/>
        </w:rPr>
        <w:t>awareness training on non-ODS low-</w:t>
      </w:r>
      <w:r w:rsidR="00C4049B" w:rsidRPr="008C34EC">
        <w:rPr>
          <w:lang w:val="en-CA"/>
        </w:rPr>
        <w:t>global warming potential (</w:t>
      </w:r>
      <w:r w:rsidR="007F3F57" w:rsidRPr="008C34EC">
        <w:rPr>
          <w:lang w:val="en-CA"/>
        </w:rPr>
        <w:t>GWP</w:t>
      </w:r>
      <w:r w:rsidR="00C4049B" w:rsidRPr="008C34EC">
        <w:rPr>
          <w:lang w:val="en-CA"/>
        </w:rPr>
        <w:t>)</w:t>
      </w:r>
      <w:r w:rsidR="007F3F57" w:rsidRPr="008C34EC">
        <w:rPr>
          <w:lang w:val="en-CA"/>
        </w:rPr>
        <w:t xml:space="preserve"> technology were conducted for end-u</w:t>
      </w:r>
      <w:r w:rsidR="00191607" w:rsidRPr="008C34EC">
        <w:rPr>
          <w:lang w:val="en-CA"/>
        </w:rPr>
        <w:t>sers, suppliers and technicians. As of February 2019, the</w:t>
      </w:r>
      <w:r w:rsidR="00D63563" w:rsidRPr="008C34EC">
        <w:rPr>
          <w:lang w:val="en-CA"/>
        </w:rPr>
        <w:t xml:space="preserve"> Government </w:t>
      </w:r>
      <w:r w:rsidR="007F3F57" w:rsidRPr="008C34EC">
        <w:rPr>
          <w:lang w:val="en-CA"/>
        </w:rPr>
        <w:t>provided incentive</w:t>
      </w:r>
      <w:r w:rsidR="004B2F8A" w:rsidRPr="008C34EC">
        <w:rPr>
          <w:lang w:val="en-CA"/>
        </w:rPr>
        <w:t>s</w:t>
      </w:r>
      <w:r w:rsidR="007F3F57" w:rsidRPr="008C34EC">
        <w:rPr>
          <w:lang w:val="en-CA"/>
        </w:rPr>
        <w:t xml:space="preserve"> to replace 57 units </w:t>
      </w:r>
      <w:r w:rsidR="008162E0" w:rsidRPr="008C34EC">
        <w:rPr>
          <w:lang w:val="en-CA"/>
        </w:rPr>
        <w:t>of HCFC-22</w:t>
      </w:r>
      <w:r w:rsidR="008162E0" w:rsidRPr="008C34EC">
        <w:rPr>
          <w:lang w:val="en-CA"/>
        </w:rPr>
        <w:noBreakHyphen/>
        <w:t xml:space="preserve">based </w:t>
      </w:r>
      <w:r w:rsidR="006408F6" w:rsidRPr="008C34EC">
        <w:rPr>
          <w:lang w:val="en-CA"/>
        </w:rPr>
        <w:t>air</w:t>
      </w:r>
      <w:r w:rsidR="008162E0" w:rsidRPr="008C34EC">
        <w:rPr>
          <w:lang w:val="en-CA"/>
        </w:rPr>
        <w:noBreakHyphen/>
      </w:r>
      <w:r w:rsidR="006408F6" w:rsidRPr="008C34EC">
        <w:rPr>
          <w:lang w:val="en-CA"/>
        </w:rPr>
        <w:t xml:space="preserve">conditioners </w:t>
      </w:r>
      <w:r w:rsidR="004B2F8A" w:rsidRPr="008C34EC">
        <w:rPr>
          <w:lang w:val="en-CA"/>
        </w:rPr>
        <w:t>with</w:t>
      </w:r>
      <w:r w:rsidR="007F3F57" w:rsidRPr="008C34EC">
        <w:rPr>
          <w:lang w:val="en-CA"/>
        </w:rPr>
        <w:t xml:space="preserve"> </w:t>
      </w:r>
      <w:r w:rsidR="00AE592A" w:rsidRPr="008C34EC">
        <w:rPr>
          <w:lang w:val="en-CA"/>
        </w:rPr>
        <w:t xml:space="preserve">HFC-32-based </w:t>
      </w:r>
      <w:r w:rsidR="007F3F57" w:rsidRPr="008C34EC">
        <w:rPr>
          <w:lang w:val="en-CA"/>
        </w:rPr>
        <w:t>residential air</w:t>
      </w:r>
      <w:r w:rsidR="007F3F57" w:rsidRPr="008C34EC">
        <w:rPr>
          <w:lang w:val="en-CA"/>
        </w:rPr>
        <w:noBreakHyphen/>
        <w:t>conditioners</w:t>
      </w:r>
      <w:r w:rsidR="006408F6" w:rsidRPr="008C34EC">
        <w:rPr>
          <w:lang w:val="en-CA"/>
        </w:rPr>
        <w:t xml:space="preserve"> that were installed at end-users’ premises</w:t>
      </w:r>
      <w:r w:rsidR="00191607" w:rsidRPr="008C34EC">
        <w:rPr>
          <w:lang w:val="en-CA"/>
        </w:rPr>
        <w:t>.</w:t>
      </w:r>
    </w:p>
    <w:p w:rsidR="004B2F8A" w:rsidRPr="008C34EC" w:rsidRDefault="00D5417A" w:rsidP="008C34EC">
      <w:pPr>
        <w:pStyle w:val="Heading1"/>
        <w:widowControl w:val="0"/>
        <w:rPr>
          <w:lang w:val="en-CA"/>
        </w:rPr>
      </w:pPr>
      <w:r w:rsidRPr="008C34EC">
        <w:rPr>
          <w:lang w:val="en-CA"/>
        </w:rPr>
        <w:t>Public awareness, and information, education and communication activities</w:t>
      </w:r>
      <w:r w:rsidR="007F3F57" w:rsidRPr="008C34EC">
        <w:rPr>
          <w:lang w:val="en-CA"/>
        </w:rPr>
        <w:t xml:space="preserve"> </w:t>
      </w:r>
      <w:r w:rsidR="00CC7DA4" w:rsidRPr="008C34EC">
        <w:rPr>
          <w:lang w:val="en-CA"/>
        </w:rPr>
        <w:t xml:space="preserve">(i.e., </w:t>
      </w:r>
      <w:r w:rsidR="007F3F57" w:rsidRPr="008C34EC">
        <w:rPr>
          <w:lang w:eastAsia="zh-CN"/>
        </w:rPr>
        <w:t xml:space="preserve">awareness workshops, awareness program broadcasting and distribution of </w:t>
      </w:r>
      <w:r w:rsidR="00CC7DA4" w:rsidRPr="008C34EC">
        <w:rPr>
          <w:lang w:eastAsia="zh-CN"/>
        </w:rPr>
        <w:t>information</w:t>
      </w:r>
      <w:r w:rsidR="007F3F57" w:rsidRPr="008C34EC">
        <w:rPr>
          <w:lang w:eastAsia="zh-CN"/>
        </w:rPr>
        <w:t xml:space="preserve"> materials</w:t>
      </w:r>
      <w:r w:rsidR="00CC7DA4" w:rsidRPr="008C34EC">
        <w:rPr>
          <w:lang w:eastAsia="zh-CN"/>
        </w:rPr>
        <w:t>) were conducted.</w:t>
      </w:r>
    </w:p>
    <w:p w:rsidR="00FE3307" w:rsidRPr="008C34EC" w:rsidRDefault="00FE3307" w:rsidP="008C34EC">
      <w:pPr>
        <w:widowControl w:val="0"/>
        <w:rPr>
          <w:i/>
          <w:lang w:val="en-CA"/>
        </w:rPr>
      </w:pPr>
      <w:r w:rsidRPr="008C34EC">
        <w:rPr>
          <w:i/>
          <w:lang w:val="en-CA"/>
        </w:rPr>
        <w:t>Project implementation and monitoring unit (PMU)</w:t>
      </w:r>
    </w:p>
    <w:p w:rsidR="00FE3307" w:rsidRPr="008C34EC" w:rsidRDefault="00FE3307" w:rsidP="008C34EC">
      <w:pPr>
        <w:widowControl w:val="0"/>
        <w:rPr>
          <w:lang w:val="en-CA"/>
        </w:rPr>
      </w:pPr>
    </w:p>
    <w:p w:rsidR="00FE3307" w:rsidRPr="008C34EC" w:rsidRDefault="00D5417A" w:rsidP="008C34EC">
      <w:pPr>
        <w:pStyle w:val="Heading1"/>
        <w:widowControl w:val="0"/>
        <w:rPr>
          <w:lang w:val="en-CA"/>
        </w:rPr>
      </w:pPr>
      <w:r w:rsidRPr="008C34EC">
        <w:rPr>
          <w:lang w:val="en-CA"/>
        </w:rPr>
        <w:t>The PMU</w:t>
      </w:r>
      <w:r w:rsidR="00D63563" w:rsidRPr="008C34EC">
        <w:rPr>
          <w:lang w:val="en-CA"/>
        </w:rPr>
        <w:t xml:space="preserve"> is embedded within the NOU and is under the overall supervision of the head of the NOU. It </w:t>
      </w:r>
      <w:r w:rsidR="00CC7DA4" w:rsidRPr="008C34EC">
        <w:rPr>
          <w:lang w:val="en-CA"/>
        </w:rPr>
        <w:t xml:space="preserve">consists of </w:t>
      </w:r>
      <w:r w:rsidR="00CC7DA4" w:rsidRPr="008C34EC">
        <w:rPr>
          <w:color w:val="000000"/>
          <w:lang w:eastAsia="zh-CN"/>
        </w:rPr>
        <w:t>one full</w:t>
      </w:r>
      <w:r w:rsidR="00D30FD6" w:rsidRPr="008C34EC">
        <w:rPr>
          <w:color w:val="000000"/>
          <w:lang w:eastAsia="zh-CN"/>
        </w:rPr>
        <w:t>-</w:t>
      </w:r>
      <w:r w:rsidR="00CC7DA4" w:rsidRPr="008C34EC">
        <w:rPr>
          <w:color w:val="000000"/>
          <w:lang w:eastAsia="zh-CN"/>
        </w:rPr>
        <w:t xml:space="preserve">time assistant and three part-time </w:t>
      </w:r>
      <w:r w:rsidR="00D63563" w:rsidRPr="008C34EC">
        <w:rPr>
          <w:color w:val="000000"/>
          <w:lang w:eastAsia="zh-CN"/>
        </w:rPr>
        <w:t>staff</w:t>
      </w:r>
      <w:r w:rsidR="00CC7DA4" w:rsidRPr="008C34EC">
        <w:rPr>
          <w:color w:val="000000"/>
          <w:lang w:eastAsia="zh-CN"/>
        </w:rPr>
        <w:t xml:space="preserve"> </w:t>
      </w:r>
      <w:r w:rsidR="00D63563" w:rsidRPr="008C34EC">
        <w:rPr>
          <w:color w:val="000000"/>
          <w:lang w:eastAsia="zh-CN"/>
        </w:rPr>
        <w:t>to support the implementation of the HPMP activities</w:t>
      </w:r>
      <w:r w:rsidRPr="008C34EC">
        <w:rPr>
          <w:lang w:val="en-CA"/>
        </w:rPr>
        <w:t>.</w:t>
      </w:r>
    </w:p>
    <w:p w:rsidR="00FE3307" w:rsidRPr="008C34EC" w:rsidRDefault="00FE3307" w:rsidP="008C34EC">
      <w:pPr>
        <w:keepNext/>
        <w:rPr>
          <w:u w:val="single"/>
          <w:lang w:val="en-CA"/>
        </w:rPr>
      </w:pPr>
      <w:r w:rsidRPr="008C34EC">
        <w:rPr>
          <w:u w:val="single"/>
          <w:lang w:val="en-CA"/>
        </w:rPr>
        <w:t>Level of fund disbursement</w:t>
      </w:r>
    </w:p>
    <w:p w:rsidR="00FE3307" w:rsidRPr="008C34EC" w:rsidRDefault="00FE3307" w:rsidP="008C34EC">
      <w:pPr>
        <w:keepNext/>
        <w:rPr>
          <w:lang w:val="en-CA"/>
        </w:rPr>
      </w:pPr>
    </w:p>
    <w:p w:rsidR="00FE3307" w:rsidRPr="008C34EC" w:rsidRDefault="00FE3307" w:rsidP="008C34EC">
      <w:pPr>
        <w:pStyle w:val="Heading1"/>
        <w:keepNext/>
        <w:rPr>
          <w:lang w:val="en-CA"/>
        </w:rPr>
      </w:pPr>
      <w:r w:rsidRPr="008C34EC">
        <w:rPr>
          <w:lang w:val="en-CA"/>
        </w:rPr>
        <w:t xml:space="preserve">As of </w:t>
      </w:r>
      <w:r w:rsidR="00D53F57" w:rsidRPr="008C34EC">
        <w:rPr>
          <w:lang w:val="en-CA"/>
        </w:rPr>
        <w:t>March</w:t>
      </w:r>
      <w:r w:rsidRPr="008C34EC">
        <w:rPr>
          <w:lang w:val="en-CA"/>
        </w:rPr>
        <w:t xml:space="preserve"> 2019, of the US $</w:t>
      </w:r>
      <w:r w:rsidR="00F24F34" w:rsidRPr="008C34EC">
        <w:rPr>
          <w:lang w:val="en-CA"/>
        </w:rPr>
        <w:t>900</w:t>
      </w:r>
      <w:r w:rsidR="00D53F57" w:rsidRPr="008C34EC">
        <w:rPr>
          <w:lang w:val="en-CA"/>
        </w:rPr>
        <w:t>,000</w:t>
      </w:r>
      <w:r w:rsidRPr="008C34EC">
        <w:rPr>
          <w:lang w:val="en-CA"/>
        </w:rPr>
        <w:t xml:space="preserve"> approved so far, US $</w:t>
      </w:r>
      <w:r w:rsidR="005B602F" w:rsidRPr="008C34EC">
        <w:rPr>
          <w:lang w:val="en-CA"/>
        </w:rPr>
        <w:t>783,395</w:t>
      </w:r>
      <w:r w:rsidRPr="008C34EC">
        <w:rPr>
          <w:lang w:val="en-CA"/>
        </w:rPr>
        <w:t xml:space="preserve"> had been disbursed (US $</w:t>
      </w:r>
      <w:r w:rsidR="005B602F" w:rsidRPr="008C34EC">
        <w:rPr>
          <w:lang w:val="en-CA"/>
        </w:rPr>
        <w:t>356,660</w:t>
      </w:r>
      <w:r w:rsidRPr="008C34EC">
        <w:rPr>
          <w:lang w:val="en-CA"/>
        </w:rPr>
        <w:t xml:space="preserve"> for </w:t>
      </w:r>
      <w:r w:rsidR="00D53F57" w:rsidRPr="008C34EC">
        <w:rPr>
          <w:lang w:val="en-CA"/>
        </w:rPr>
        <w:t>UNEP</w:t>
      </w:r>
      <w:r w:rsidRPr="008C34EC">
        <w:rPr>
          <w:lang w:val="en-CA"/>
        </w:rPr>
        <w:t xml:space="preserve"> and US $</w:t>
      </w:r>
      <w:r w:rsidR="005B602F" w:rsidRPr="008C34EC">
        <w:rPr>
          <w:lang w:val="en-CA"/>
        </w:rPr>
        <w:t>426,734</w:t>
      </w:r>
      <w:r w:rsidRPr="008C34EC">
        <w:rPr>
          <w:lang w:val="en-CA"/>
        </w:rPr>
        <w:t xml:space="preserve"> for </w:t>
      </w:r>
      <w:r w:rsidR="00D53F57" w:rsidRPr="008C34EC">
        <w:rPr>
          <w:lang w:val="en-CA"/>
        </w:rPr>
        <w:t>UNDP</w:t>
      </w:r>
      <w:r w:rsidRPr="008C34EC">
        <w:rPr>
          <w:lang w:val="en-CA"/>
        </w:rPr>
        <w:t>) as shown in Table 2. The balance of US $</w:t>
      </w:r>
      <w:r w:rsidR="005B602F" w:rsidRPr="008C34EC">
        <w:rPr>
          <w:lang w:val="en-CA"/>
        </w:rPr>
        <w:t>116,605</w:t>
      </w:r>
      <w:r w:rsidRPr="008C34EC">
        <w:rPr>
          <w:lang w:val="en-CA"/>
        </w:rPr>
        <w:t xml:space="preserve"> will be disbursed in </w:t>
      </w:r>
      <w:r w:rsidR="004B2F8A" w:rsidRPr="008C34EC">
        <w:rPr>
          <w:lang w:val="en-CA"/>
        </w:rPr>
        <w:t>2019-2020.</w:t>
      </w:r>
    </w:p>
    <w:p w:rsidR="00FE3307" w:rsidRPr="008C34EC" w:rsidRDefault="00FE3307" w:rsidP="008C34EC">
      <w:pPr>
        <w:rPr>
          <w:b/>
          <w:lang w:val="en-CA"/>
        </w:rPr>
      </w:pPr>
      <w:r w:rsidRPr="008C34EC">
        <w:rPr>
          <w:b/>
          <w:lang w:val="en-CA"/>
        </w:rPr>
        <w:t xml:space="preserve">Table 2. Financial report of stage I of the HPMP for </w:t>
      </w:r>
      <w:r w:rsidR="00D5417A" w:rsidRPr="008C34EC">
        <w:rPr>
          <w:b/>
          <w:lang w:val="en-CA"/>
        </w:rPr>
        <w:t>Cambodia</w:t>
      </w:r>
      <w:r w:rsidRPr="008C34EC">
        <w:rPr>
          <w:b/>
          <w:lang w:val="en-CA"/>
        </w:rPr>
        <w:t xml:space="preserve"> (US $)</w:t>
      </w: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7"/>
        <w:gridCol w:w="1417"/>
        <w:gridCol w:w="1418"/>
        <w:gridCol w:w="2410"/>
      </w:tblGrid>
      <w:tr w:rsidR="00FE3307" w:rsidRPr="008C34EC" w:rsidTr="00EA13CF">
        <w:trPr>
          <w:trHeight w:val="404"/>
          <w:tblHeader/>
        </w:trPr>
        <w:tc>
          <w:tcPr>
            <w:tcW w:w="2671" w:type="dxa"/>
            <w:gridSpan w:val="2"/>
            <w:shd w:val="clear" w:color="auto" w:fill="auto"/>
            <w:noWrap/>
            <w:vAlign w:val="center"/>
            <w:hideMark/>
          </w:tcPr>
          <w:p w:rsidR="00FE3307" w:rsidRPr="008C34EC" w:rsidRDefault="00FE3307" w:rsidP="008C34EC">
            <w:pPr>
              <w:rPr>
                <w:b/>
                <w:bCs/>
                <w:color w:val="000000"/>
                <w:sz w:val="20"/>
                <w:szCs w:val="20"/>
                <w:lang w:val="en-CA" w:eastAsia="en-CA"/>
              </w:rPr>
            </w:pPr>
            <w:r w:rsidRPr="008C34EC">
              <w:rPr>
                <w:b/>
                <w:bCs/>
                <w:color w:val="000000"/>
                <w:sz w:val="20"/>
                <w:szCs w:val="20"/>
                <w:lang w:val="en-CA" w:eastAsia="en-CA"/>
              </w:rPr>
              <w:t>Tranche</w:t>
            </w:r>
          </w:p>
        </w:tc>
        <w:tc>
          <w:tcPr>
            <w:tcW w:w="1417" w:type="dxa"/>
            <w:shd w:val="clear" w:color="auto" w:fill="auto"/>
            <w:noWrap/>
            <w:vAlign w:val="center"/>
            <w:hideMark/>
          </w:tcPr>
          <w:p w:rsidR="00FE3307" w:rsidRPr="008C34EC" w:rsidRDefault="00D5417A" w:rsidP="008C34EC">
            <w:pPr>
              <w:jc w:val="center"/>
              <w:rPr>
                <w:b/>
                <w:color w:val="000000"/>
                <w:sz w:val="20"/>
                <w:szCs w:val="20"/>
                <w:lang w:val="en-CA" w:eastAsia="en-CA"/>
              </w:rPr>
            </w:pPr>
            <w:r w:rsidRPr="008C34EC">
              <w:rPr>
                <w:b/>
                <w:color w:val="000000"/>
                <w:sz w:val="20"/>
                <w:szCs w:val="20"/>
                <w:lang w:val="en-CA" w:eastAsia="en-CA"/>
              </w:rPr>
              <w:t>UNEP</w:t>
            </w:r>
          </w:p>
        </w:tc>
        <w:tc>
          <w:tcPr>
            <w:tcW w:w="1417" w:type="dxa"/>
            <w:vAlign w:val="center"/>
          </w:tcPr>
          <w:p w:rsidR="00FE3307" w:rsidRPr="008C34EC" w:rsidRDefault="00D5417A" w:rsidP="008C34EC">
            <w:pPr>
              <w:jc w:val="center"/>
              <w:rPr>
                <w:b/>
                <w:color w:val="000000"/>
                <w:sz w:val="20"/>
                <w:szCs w:val="20"/>
                <w:lang w:val="en-CA" w:eastAsia="en-CA"/>
              </w:rPr>
            </w:pPr>
            <w:r w:rsidRPr="008C34EC">
              <w:rPr>
                <w:b/>
                <w:color w:val="000000"/>
                <w:sz w:val="20"/>
                <w:szCs w:val="20"/>
                <w:lang w:val="en-CA" w:eastAsia="en-CA"/>
              </w:rPr>
              <w:t>UNDP</w:t>
            </w:r>
          </w:p>
        </w:tc>
        <w:tc>
          <w:tcPr>
            <w:tcW w:w="1418" w:type="dxa"/>
            <w:shd w:val="clear" w:color="auto" w:fill="auto"/>
            <w:noWrap/>
            <w:vAlign w:val="center"/>
            <w:hideMark/>
          </w:tcPr>
          <w:p w:rsidR="00FE3307" w:rsidRPr="008C34EC" w:rsidRDefault="00FE3307" w:rsidP="008C34EC">
            <w:pPr>
              <w:jc w:val="center"/>
              <w:rPr>
                <w:b/>
                <w:color w:val="000000"/>
                <w:sz w:val="20"/>
                <w:szCs w:val="20"/>
                <w:lang w:val="en-CA" w:eastAsia="en-CA"/>
              </w:rPr>
            </w:pPr>
            <w:r w:rsidRPr="008C34EC">
              <w:rPr>
                <w:b/>
                <w:color w:val="000000"/>
                <w:sz w:val="20"/>
                <w:szCs w:val="20"/>
                <w:lang w:val="en-CA" w:eastAsia="en-CA"/>
              </w:rPr>
              <w:t>Total</w:t>
            </w:r>
          </w:p>
        </w:tc>
        <w:tc>
          <w:tcPr>
            <w:tcW w:w="2410" w:type="dxa"/>
            <w:shd w:val="clear" w:color="auto" w:fill="auto"/>
            <w:noWrap/>
            <w:vAlign w:val="center"/>
            <w:hideMark/>
          </w:tcPr>
          <w:p w:rsidR="00FE3307" w:rsidRPr="008C34EC" w:rsidRDefault="00FE3307" w:rsidP="008C34EC">
            <w:pPr>
              <w:jc w:val="center"/>
              <w:rPr>
                <w:b/>
                <w:color w:val="000000"/>
                <w:sz w:val="20"/>
                <w:szCs w:val="20"/>
                <w:lang w:val="en-CA" w:eastAsia="en-CA"/>
              </w:rPr>
            </w:pPr>
            <w:r w:rsidRPr="008C34EC">
              <w:rPr>
                <w:b/>
                <w:color w:val="000000"/>
                <w:sz w:val="20"/>
                <w:szCs w:val="20"/>
                <w:lang w:val="en-CA" w:eastAsia="en-CA"/>
              </w:rPr>
              <w:t>Disbursement rate (%)</w:t>
            </w:r>
          </w:p>
        </w:tc>
      </w:tr>
      <w:tr w:rsidR="00FE3307" w:rsidRPr="008C34EC" w:rsidTr="005D77AC">
        <w:trPr>
          <w:trHeight w:val="179"/>
        </w:trPr>
        <w:tc>
          <w:tcPr>
            <w:tcW w:w="1537" w:type="dxa"/>
            <w:vMerge w:val="restart"/>
            <w:shd w:val="clear" w:color="auto" w:fill="auto"/>
            <w:noWrap/>
            <w:vAlign w:val="center"/>
            <w:hideMark/>
          </w:tcPr>
          <w:p w:rsidR="00FE3307" w:rsidRPr="008C34EC" w:rsidRDefault="00FE3307" w:rsidP="008C34EC">
            <w:pPr>
              <w:jc w:val="left"/>
              <w:rPr>
                <w:bCs/>
                <w:color w:val="000000"/>
                <w:sz w:val="20"/>
                <w:szCs w:val="20"/>
                <w:lang w:val="en-CA" w:eastAsia="en-CA"/>
              </w:rPr>
            </w:pPr>
            <w:r w:rsidRPr="008C34EC">
              <w:rPr>
                <w:bCs/>
                <w:color w:val="000000"/>
                <w:sz w:val="20"/>
                <w:szCs w:val="20"/>
                <w:lang w:val="en-CA" w:eastAsia="en-CA"/>
              </w:rPr>
              <w:t>First tranche</w:t>
            </w:r>
          </w:p>
        </w:tc>
        <w:tc>
          <w:tcPr>
            <w:tcW w:w="1134" w:type="dxa"/>
            <w:shd w:val="clear" w:color="auto" w:fill="auto"/>
            <w:noWrap/>
            <w:vAlign w:val="center"/>
            <w:hideMark/>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Approved </w:t>
            </w:r>
          </w:p>
        </w:tc>
        <w:tc>
          <w:tcPr>
            <w:tcW w:w="1417" w:type="dxa"/>
            <w:shd w:val="clear" w:color="auto" w:fill="auto"/>
            <w:noWrap/>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150,000</w:t>
            </w:r>
          </w:p>
        </w:tc>
        <w:tc>
          <w:tcPr>
            <w:tcW w:w="1417" w:type="dxa"/>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200,000</w:t>
            </w:r>
          </w:p>
        </w:tc>
        <w:tc>
          <w:tcPr>
            <w:tcW w:w="1418" w:type="dxa"/>
            <w:shd w:val="clear" w:color="auto" w:fill="auto"/>
            <w:noWrap/>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350,000</w:t>
            </w:r>
          </w:p>
        </w:tc>
        <w:tc>
          <w:tcPr>
            <w:tcW w:w="2410" w:type="dxa"/>
            <w:vMerge w:val="restart"/>
            <w:shd w:val="clear" w:color="auto" w:fill="auto"/>
            <w:noWrap/>
            <w:vAlign w:val="center"/>
          </w:tcPr>
          <w:p w:rsidR="00FE3307" w:rsidRPr="008C34EC" w:rsidRDefault="005B602F" w:rsidP="008C34EC">
            <w:pPr>
              <w:jc w:val="center"/>
              <w:rPr>
                <w:color w:val="000000"/>
                <w:sz w:val="20"/>
                <w:szCs w:val="20"/>
                <w:lang w:val="en-CA" w:eastAsia="en-CA"/>
              </w:rPr>
            </w:pPr>
            <w:r w:rsidRPr="008C34EC">
              <w:rPr>
                <w:color w:val="000000"/>
                <w:sz w:val="20"/>
                <w:szCs w:val="20"/>
                <w:lang w:val="en-CA" w:eastAsia="en-CA"/>
              </w:rPr>
              <w:t>100</w:t>
            </w:r>
          </w:p>
        </w:tc>
      </w:tr>
      <w:tr w:rsidR="00FE3307" w:rsidRPr="008C34EC" w:rsidTr="005D77AC">
        <w:trPr>
          <w:trHeight w:val="215"/>
        </w:trPr>
        <w:tc>
          <w:tcPr>
            <w:tcW w:w="1537" w:type="dxa"/>
            <w:vMerge/>
            <w:vAlign w:val="center"/>
            <w:hideMark/>
          </w:tcPr>
          <w:p w:rsidR="00FE3307" w:rsidRPr="008C34EC" w:rsidRDefault="00FE3307" w:rsidP="008C34EC">
            <w:pPr>
              <w:jc w:val="left"/>
              <w:rPr>
                <w:bCs/>
                <w:color w:val="000000"/>
                <w:sz w:val="20"/>
                <w:szCs w:val="20"/>
                <w:lang w:val="en-CA" w:eastAsia="en-CA"/>
              </w:rPr>
            </w:pPr>
          </w:p>
        </w:tc>
        <w:tc>
          <w:tcPr>
            <w:tcW w:w="1134" w:type="dxa"/>
            <w:shd w:val="clear" w:color="auto" w:fill="auto"/>
            <w:noWrap/>
            <w:vAlign w:val="center"/>
            <w:hideMark/>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Disbursed </w:t>
            </w:r>
          </w:p>
        </w:tc>
        <w:tc>
          <w:tcPr>
            <w:tcW w:w="1417" w:type="dxa"/>
            <w:shd w:val="clear" w:color="auto" w:fill="auto"/>
            <w:noWrap/>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150,000</w:t>
            </w:r>
          </w:p>
        </w:tc>
        <w:tc>
          <w:tcPr>
            <w:tcW w:w="1417" w:type="dxa"/>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200,000</w:t>
            </w:r>
          </w:p>
        </w:tc>
        <w:tc>
          <w:tcPr>
            <w:tcW w:w="1418" w:type="dxa"/>
            <w:shd w:val="clear" w:color="auto" w:fill="auto"/>
            <w:noWrap/>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350,000</w:t>
            </w:r>
          </w:p>
        </w:tc>
        <w:tc>
          <w:tcPr>
            <w:tcW w:w="2410" w:type="dxa"/>
            <w:vMerge/>
            <w:vAlign w:val="center"/>
          </w:tcPr>
          <w:p w:rsidR="00FE3307" w:rsidRPr="008C34EC" w:rsidRDefault="00FE3307" w:rsidP="008C34EC">
            <w:pPr>
              <w:jc w:val="center"/>
              <w:rPr>
                <w:color w:val="000000"/>
                <w:sz w:val="20"/>
                <w:szCs w:val="20"/>
                <w:lang w:val="en-CA" w:eastAsia="en-CA"/>
              </w:rPr>
            </w:pPr>
          </w:p>
        </w:tc>
      </w:tr>
      <w:tr w:rsidR="00FE3307" w:rsidRPr="008C34EC" w:rsidTr="005D77AC">
        <w:trPr>
          <w:trHeight w:val="152"/>
        </w:trPr>
        <w:tc>
          <w:tcPr>
            <w:tcW w:w="1537" w:type="dxa"/>
            <w:vMerge w:val="restart"/>
            <w:shd w:val="clear" w:color="auto" w:fill="auto"/>
            <w:noWrap/>
            <w:vAlign w:val="center"/>
            <w:hideMark/>
          </w:tcPr>
          <w:p w:rsidR="00FE3307" w:rsidRPr="008C34EC" w:rsidRDefault="00FE3307" w:rsidP="008C34EC">
            <w:pPr>
              <w:jc w:val="left"/>
              <w:rPr>
                <w:bCs/>
                <w:color w:val="000000"/>
                <w:sz w:val="20"/>
                <w:szCs w:val="20"/>
                <w:lang w:val="en-CA" w:eastAsia="en-CA"/>
              </w:rPr>
            </w:pPr>
            <w:r w:rsidRPr="008C34EC">
              <w:rPr>
                <w:bCs/>
                <w:color w:val="000000"/>
                <w:sz w:val="20"/>
                <w:szCs w:val="20"/>
                <w:lang w:val="en-CA" w:eastAsia="en-CA"/>
              </w:rPr>
              <w:t>Second tranche</w:t>
            </w:r>
          </w:p>
        </w:tc>
        <w:tc>
          <w:tcPr>
            <w:tcW w:w="1134" w:type="dxa"/>
            <w:shd w:val="clear" w:color="auto" w:fill="auto"/>
            <w:noWrap/>
            <w:vAlign w:val="center"/>
            <w:hideMark/>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Approved </w:t>
            </w:r>
          </w:p>
        </w:tc>
        <w:tc>
          <w:tcPr>
            <w:tcW w:w="1417" w:type="dxa"/>
            <w:shd w:val="clear" w:color="auto" w:fill="auto"/>
            <w:noWrap/>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100,000</w:t>
            </w:r>
          </w:p>
        </w:tc>
        <w:tc>
          <w:tcPr>
            <w:tcW w:w="1417" w:type="dxa"/>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200,000</w:t>
            </w:r>
          </w:p>
        </w:tc>
        <w:tc>
          <w:tcPr>
            <w:tcW w:w="1418" w:type="dxa"/>
            <w:shd w:val="clear" w:color="auto" w:fill="auto"/>
            <w:noWrap/>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300,000</w:t>
            </w:r>
          </w:p>
        </w:tc>
        <w:tc>
          <w:tcPr>
            <w:tcW w:w="2410" w:type="dxa"/>
            <w:vMerge w:val="restart"/>
            <w:shd w:val="clear" w:color="auto" w:fill="auto"/>
            <w:noWrap/>
            <w:vAlign w:val="center"/>
          </w:tcPr>
          <w:p w:rsidR="00FE3307" w:rsidRPr="008C34EC" w:rsidRDefault="005B602F" w:rsidP="008C34EC">
            <w:pPr>
              <w:jc w:val="center"/>
              <w:rPr>
                <w:color w:val="000000"/>
                <w:sz w:val="20"/>
                <w:szCs w:val="20"/>
                <w:lang w:val="en-CA" w:eastAsia="en-CA"/>
              </w:rPr>
            </w:pPr>
            <w:r w:rsidRPr="008C34EC">
              <w:rPr>
                <w:color w:val="000000"/>
                <w:sz w:val="20"/>
                <w:szCs w:val="20"/>
                <w:lang w:val="en-CA" w:eastAsia="en-CA"/>
              </w:rPr>
              <w:t>100</w:t>
            </w:r>
          </w:p>
        </w:tc>
      </w:tr>
      <w:tr w:rsidR="00FE3307" w:rsidRPr="008C34EC" w:rsidTr="005D77AC">
        <w:trPr>
          <w:trHeight w:val="179"/>
        </w:trPr>
        <w:tc>
          <w:tcPr>
            <w:tcW w:w="1537" w:type="dxa"/>
            <w:vMerge/>
            <w:vAlign w:val="center"/>
            <w:hideMark/>
          </w:tcPr>
          <w:p w:rsidR="00FE3307" w:rsidRPr="008C34EC" w:rsidRDefault="00FE3307" w:rsidP="008C34EC">
            <w:pPr>
              <w:jc w:val="left"/>
              <w:rPr>
                <w:bCs/>
                <w:color w:val="000000"/>
                <w:sz w:val="20"/>
                <w:szCs w:val="20"/>
                <w:lang w:val="en-CA" w:eastAsia="en-CA"/>
              </w:rPr>
            </w:pPr>
          </w:p>
        </w:tc>
        <w:tc>
          <w:tcPr>
            <w:tcW w:w="1134" w:type="dxa"/>
            <w:shd w:val="clear" w:color="auto" w:fill="auto"/>
            <w:noWrap/>
            <w:vAlign w:val="center"/>
            <w:hideMark/>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Disbursed </w:t>
            </w:r>
          </w:p>
        </w:tc>
        <w:tc>
          <w:tcPr>
            <w:tcW w:w="1417" w:type="dxa"/>
            <w:shd w:val="clear" w:color="auto" w:fill="auto"/>
            <w:noWrap/>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100,000</w:t>
            </w:r>
          </w:p>
        </w:tc>
        <w:tc>
          <w:tcPr>
            <w:tcW w:w="1417" w:type="dxa"/>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200,000</w:t>
            </w:r>
          </w:p>
        </w:tc>
        <w:tc>
          <w:tcPr>
            <w:tcW w:w="1418" w:type="dxa"/>
            <w:shd w:val="clear" w:color="auto" w:fill="auto"/>
            <w:noWrap/>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300,000</w:t>
            </w:r>
          </w:p>
        </w:tc>
        <w:tc>
          <w:tcPr>
            <w:tcW w:w="2410" w:type="dxa"/>
            <w:vMerge/>
            <w:vAlign w:val="center"/>
          </w:tcPr>
          <w:p w:rsidR="00FE3307" w:rsidRPr="008C34EC" w:rsidRDefault="00FE3307" w:rsidP="008C34EC">
            <w:pPr>
              <w:jc w:val="center"/>
              <w:rPr>
                <w:color w:val="000000"/>
                <w:sz w:val="20"/>
                <w:szCs w:val="20"/>
                <w:lang w:val="en-CA" w:eastAsia="en-CA"/>
              </w:rPr>
            </w:pPr>
          </w:p>
        </w:tc>
      </w:tr>
      <w:tr w:rsidR="00FE3307" w:rsidRPr="008C34EC" w:rsidTr="005D77AC">
        <w:trPr>
          <w:trHeight w:val="125"/>
        </w:trPr>
        <w:tc>
          <w:tcPr>
            <w:tcW w:w="1537" w:type="dxa"/>
            <w:vMerge w:val="restart"/>
            <w:shd w:val="clear" w:color="auto" w:fill="auto"/>
            <w:noWrap/>
            <w:vAlign w:val="center"/>
            <w:hideMark/>
          </w:tcPr>
          <w:p w:rsidR="00FE3307" w:rsidRPr="008C34EC" w:rsidRDefault="00FE3307" w:rsidP="008C34EC">
            <w:pPr>
              <w:jc w:val="left"/>
              <w:rPr>
                <w:bCs/>
                <w:color w:val="000000"/>
                <w:sz w:val="20"/>
                <w:szCs w:val="20"/>
                <w:lang w:val="en-CA" w:eastAsia="en-CA"/>
              </w:rPr>
            </w:pPr>
            <w:r w:rsidRPr="008C34EC">
              <w:rPr>
                <w:bCs/>
                <w:color w:val="000000"/>
                <w:sz w:val="20"/>
                <w:szCs w:val="20"/>
                <w:lang w:val="en-CA" w:eastAsia="en-CA"/>
              </w:rPr>
              <w:t>Third tranche</w:t>
            </w:r>
          </w:p>
        </w:tc>
        <w:tc>
          <w:tcPr>
            <w:tcW w:w="1134" w:type="dxa"/>
            <w:shd w:val="clear" w:color="auto" w:fill="auto"/>
            <w:noWrap/>
            <w:vAlign w:val="center"/>
            <w:hideMark/>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Approved </w:t>
            </w:r>
          </w:p>
        </w:tc>
        <w:tc>
          <w:tcPr>
            <w:tcW w:w="1417" w:type="dxa"/>
            <w:shd w:val="clear" w:color="auto" w:fill="auto"/>
            <w:noWrap/>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150,000</w:t>
            </w:r>
          </w:p>
        </w:tc>
        <w:tc>
          <w:tcPr>
            <w:tcW w:w="1417" w:type="dxa"/>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100,000</w:t>
            </w:r>
          </w:p>
        </w:tc>
        <w:tc>
          <w:tcPr>
            <w:tcW w:w="1418" w:type="dxa"/>
            <w:shd w:val="clear" w:color="auto" w:fill="auto"/>
            <w:noWrap/>
            <w:vAlign w:val="center"/>
          </w:tcPr>
          <w:p w:rsidR="00FE3307" w:rsidRPr="008C34EC" w:rsidRDefault="00CC7DA4" w:rsidP="008C34EC">
            <w:pPr>
              <w:jc w:val="right"/>
              <w:rPr>
                <w:color w:val="000000"/>
                <w:sz w:val="20"/>
                <w:szCs w:val="20"/>
                <w:lang w:val="en-CA" w:eastAsia="en-CA"/>
              </w:rPr>
            </w:pPr>
            <w:r w:rsidRPr="008C34EC">
              <w:rPr>
                <w:color w:val="000000"/>
                <w:sz w:val="20"/>
                <w:szCs w:val="20"/>
                <w:lang w:val="en-CA" w:eastAsia="en-CA"/>
              </w:rPr>
              <w:t>250,000</w:t>
            </w:r>
          </w:p>
        </w:tc>
        <w:tc>
          <w:tcPr>
            <w:tcW w:w="2410" w:type="dxa"/>
            <w:vMerge w:val="restart"/>
            <w:shd w:val="clear" w:color="auto" w:fill="auto"/>
            <w:noWrap/>
            <w:vAlign w:val="center"/>
          </w:tcPr>
          <w:p w:rsidR="00FE3307" w:rsidRPr="008C34EC" w:rsidRDefault="00CC7DA4" w:rsidP="008C34EC">
            <w:pPr>
              <w:jc w:val="center"/>
              <w:rPr>
                <w:color w:val="000000"/>
                <w:sz w:val="20"/>
                <w:szCs w:val="20"/>
                <w:lang w:val="en-CA" w:eastAsia="en-CA"/>
              </w:rPr>
            </w:pPr>
            <w:r w:rsidRPr="008C34EC">
              <w:rPr>
                <w:color w:val="000000"/>
                <w:sz w:val="20"/>
                <w:szCs w:val="20"/>
                <w:lang w:val="en-CA" w:eastAsia="en-CA"/>
              </w:rPr>
              <w:t>53</w:t>
            </w:r>
          </w:p>
        </w:tc>
      </w:tr>
      <w:tr w:rsidR="00FE3307" w:rsidRPr="008C34EC" w:rsidTr="005D77AC">
        <w:trPr>
          <w:trHeight w:val="58"/>
        </w:trPr>
        <w:tc>
          <w:tcPr>
            <w:tcW w:w="1537" w:type="dxa"/>
            <w:vMerge/>
            <w:vAlign w:val="center"/>
            <w:hideMark/>
          </w:tcPr>
          <w:p w:rsidR="00FE3307" w:rsidRPr="008C34EC" w:rsidRDefault="00FE3307" w:rsidP="008C34EC">
            <w:pPr>
              <w:jc w:val="left"/>
              <w:rPr>
                <w:bCs/>
                <w:color w:val="000000"/>
                <w:sz w:val="20"/>
                <w:szCs w:val="20"/>
                <w:lang w:val="en-CA" w:eastAsia="en-CA"/>
              </w:rPr>
            </w:pPr>
          </w:p>
        </w:tc>
        <w:tc>
          <w:tcPr>
            <w:tcW w:w="1134" w:type="dxa"/>
            <w:shd w:val="clear" w:color="auto" w:fill="auto"/>
            <w:noWrap/>
            <w:vAlign w:val="center"/>
            <w:hideMark/>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Disbursed </w:t>
            </w:r>
          </w:p>
        </w:tc>
        <w:tc>
          <w:tcPr>
            <w:tcW w:w="1417" w:type="dxa"/>
            <w:shd w:val="clear" w:color="auto" w:fill="auto"/>
            <w:noWrap/>
            <w:vAlign w:val="center"/>
          </w:tcPr>
          <w:p w:rsidR="00FE3307" w:rsidRPr="008C34EC" w:rsidRDefault="00CC7DA4" w:rsidP="008C34EC">
            <w:pPr>
              <w:jc w:val="right"/>
              <w:rPr>
                <w:color w:val="000000"/>
                <w:sz w:val="20"/>
                <w:szCs w:val="20"/>
                <w:lang w:val="en-CA" w:eastAsia="en-CA"/>
              </w:rPr>
            </w:pPr>
            <w:r w:rsidRPr="008C34EC">
              <w:rPr>
                <w:color w:val="000000"/>
                <w:sz w:val="20"/>
                <w:szCs w:val="20"/>
                <w:lang w:val="en-CA" w:eastAsia="en-CA"/>
              </w:rPr>
              <w:t>106,660</w:t>
            </w:r>
          </w:p>
        </w:tc>
        <w:tc>
          <w:tcPr>
            <w:tcW w:w="1417" w:type="dxa"/>
            <w:vAlign w:val="center"/>
          </w:tcPr>
          <w:p w:rsidR="00FE3307" w:rsidRPr="008C34EC" w:rsidRDefault="00CC7DA4" w:rsidP="008C34EC">
            <w:pPr>
              <w:jc w:val="right"/>
              <w:rPr>
                <w:color w:val="000000"/>
                <w:sz w:val="20"/>
                <w:szCs w:val="20"/>
                <w:lang w:val="en-CA" w:eastAsia="en-CA"/>
              </w:rPr>
            </w:pPr>
            <w:r w:rsidRPr="008C34EC">
              <w:rPr>
                <w:color w:val="000000"/>
                <w:sz w:val="20"/>
                <w:szCs w:val="20"/>
                <w:lang w:val="en-CA" w:eastAsia="en-CA"/>
              </w:rPr>
              <w:t>26,734</w:t>
            </w:r>
          </w:p>
        </w:tc>
        <w:tc>
          <w:tcPr>
            <w:tcW w:w="1418" w:type="dxa"/>
            <w:shd w:val="clear" w:color="auto" w:fill="auto"/>
            <w:noWrap/>
            <w:vAlign w:val="center"/>
          </w:tcPr>
          <w:p w:rsidR="00FE3307" w:rsidRPr="008C34EC" w:rsidRDefault="00CC7DA4" w:rsidP="008C34EC">
            <w:pPr>
              <w:jc w:val="right"/>
              <w:rPr>
                <w:color w:val="000000"/>
                <w:sz w:val="20"/>
                <w:szCs w:val="20"/>
                <w:lang w:val="en-CA" w:eastAsia="en-CA"/>
              </w:rPr>
            </w:pPr>
            <w:r w:rsidRPr="008C34EC">
              <w:rPr>
                <w:color w:val="000000"/>
                <w:sz w:val="20"/>
                <w:szCs w:val="20"/>
                <w:lang w:val="en-CA" w:eastAsia="en-CA"/>
              </w:rPr>
              <w:t>133,394</w:t>
            </w:r>
          </w:p>
        </w:tc>
        <w:tc>
          <w:tcPr>
            <w:tcW w:w="2410" w:type="dxa"/>
            <w:vMerge/>
            <w:vAlign w:val="center"/>
          </w:tcPr>
          <w:p w:rsidR="00FE3307" w:rsidRPr="008C34EC" w:rsidRDefault="00FE3307" w:rsidP="008C34EC">
            <w:pPr>
              <w:jc w:val="center"/>
              <w:rPr>
                <w:color w:val="000000"/>
                <w:sz w:val="20"/>
                <w:szCs w:val="20"/>
                <w:lang w:val="en-CA" w:eastAsia="en-CA"/>
              </w:rPr>
            </w:pPr>
          </w:p>
        </w:tc>
      </w:tr>
      <w:tr w:rsidR="00FE3307" w:rsidRPr="008C34EC" w:rsidTr="005D77AC">
        <w:trPr>
          <w:trHeight w:val="58"/>
        </w:trPr>
        <w:tc>
          <w:tcPr>
            <w:tcW w:w="1537" w:type="dxa"/>
            <w:vMerge w:val="restart"/>
            <w:shd w:val="clear" w:color="auto" w:fill="auto"/>
            <w:vAlign w:val="center"/>
            <w:hideMark/>
          </w:tcPr>
          <w:p w:rsidR="00FE3307" w:rsidRPr="008C34EC" w:rsidRDefault="00FE3307" w:rsidP="008C34EC">
            <w:pPr>
              <w:jc w:val="left"/>
              <w:rPr>
                <w:bCs/>
                <w:color w:val="000000"/>
                <w:sz w:val="20"/>
                <w:szCs w:val="20"/>
                <w:lang w:val="en-CA" w:eastAsia="en-CA"/>
              </w:rPr>
            </w:pPr>
            <w:r w:rsidRPr="008C34EC">
              <w:rPr>
                <w:bCs/>
                <w:color w:val="000000"/>
                <w:sz w:val="20"/>
                <w:szCs w:val="20"/>
                <w:lang w:val="en-CA" w:eastAsia="en-CA"/>
              </w:rPr>
              <w:t>Total</w:t>
            </w:r>
          </w:p>
        </w:tc>
        <w:tc>
          <w:tcPr>
            <w:tcW w:w="1134" w:type="dxa"/>
            <w:shd w:val="clear" w:color="auto" w:fill="auto"/>
            <w:vAlign w:val="center"/>
            <w:hideMark/>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Approved </w:t>
            </w:r>
          </w:p>
        </w:tc>
        <w:tc>
          <w:tcPr>
            <w:tcW w:w="1417" w:type="dxa"/>
            <w:shd w:val="clear" w:color="auto" w:fill="auto"/>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400,000</w:t>
            </w:r>
          </w:p>
        </w:tc>
        <w:tc>
          <w:tcPr>
            <w:tcW w:w="1417" w:type="dxa"/>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500,000</w:t>
            </w:r>
          </w:p>
        </w:tc>
        <w:tc>
          <w:tcPr>
            <w:tcW w:w="1418" w:type="dxa"/>
            <w:shd w:val="clear" w:color="auto" w:fill="auto"/>
            <w:vAlign w:val="center"/>
          </w:tcPr>
          <w:p w:rsidR="00FE3307" w:rsidRPr="008C34EC" w:rsidRDefault="00241962" w:rsidP="008C34EC">
            <w:pPr>
              <w:jc w:val="right"/>
              <w:rPr>
                <w:color w:val="000000"/>
                <w:sz w:val="20"/>
                <w:szCs w:val="20"/>
                <w:lang w:val="en-CA" w:eastAsia="en-CA"/>
              </w:rPr>
            </w:pPr>
            <w:r w:rsidRPr="008C34EC">
              <w:rPr>
                <w:color w:val="000000"/>
                <w:sz w:val="20"/>
                <w:szCs w:val="20"/>
                <w:lang w:val="en-CA" w:eastAsia="en-CA"/>
              </w:rPr>
              <w:t>900,000</w:t>
            </w:r>
          </w:p>
        </w:tc>
        <w:tc>
          <w:tcPr>
            <w:tcW w:w="2410" w:type="dxa"/>
            <w:vMerge w:val="restart"/>
            <w:shd w:val="clear" w:color="auto" w:fill="auto"/>
            <w:vAlign w:val="center"/>
          </w:tcPr>
          <w:p w:rsidR="00FE3307" w:rsidRPr="008C34EC" w:rsidRDefault="005B602F" w:rsidP="008C34EC">
            <w:pPr>
              <w:jc w:val="center"/>
              <w:rPr>
                <w:color w:val="000000"/>
                <w:sz w:val="20"/>
                <w:szCs w:val="20"/>
                <w:lang w:val="en-CA" w:eastAsia="en-CA"/>
              </w:rPr>
            </w:pPr>
            <w:r w:rsidRPr="008C34EC">
              <w:rPr>
                <w:color w:val="000000"/>
                <w:sz w:val="20"/>
                <w:szCs w:val="20"/>
                <w:lang w:val="en-CA" w:eastAsia="en-CA"/>
              </w:rPr>
              <w:t>87</w:t>
            </w:r>
          </w:p>
        </w:tc>
      </w:tr>
      <w:tr w:rsidR="00FE3307" w:rsidRPr="008C34EC" w:rsidTr="005D77AC">
        <w:trPr>
          <w:trHeight w:val="179"/>
        </w:trPr>
        <w:tc>
          <w:tcPr>
            <w:tcW w:w="1537" w:type="dxa"/>
            <w:vMerge/>
            <w:shd w:val="clear" w:color="auto" w:fill="auto"/>
            <w:vAlign w:val="center"/>
          </w:tcPr>
          <w:p w:rsidR="00FE3307" w:rsidRPr="008C34EC" w:rsidRDefault="00FE3307" w:rsidP="008C34EC">
            <w:pPr>
              <w:jc w:val="left"/>
              <w:rPr>
                <w:b/>
                <w:bCs/>
                <w:color w:val="000000"/>
                <w:sz w:val="20"/>
                <w:szCs w:val="20"/>
                <w:lang w:val="en-CA" w:eastAsia="en-CA"/>
              </w:rPr>
            </w:pPr>
          </w:p>
        </w:tc>
        <w:tc>
          <w:tcPr>
            <w:tcW w:w="1134" w:type="dxa"/>
            <w:shd w:val="clear" w:color="auto" w:fill="auto"/>
            <w:vAlign w:val="center"/>
          </w:tcPr>
          <w:p w:rsidR="00FE3307" w:rsidRPr="008C34EC" w:rsidRDefault="00FE3307" w:rsidP="008C34EC">
            <w:pPr>
              <w:rPr>
                <w:bCs/>
                <w:color w:val="000000"/>
                <w:sz w:val="20"/>
                <w:szCs w:val="20"/>
                <w:lang w:val="en-CA" w:eastAsia="en-CA"/>
              </w:rPr>
            </w:pPr>
            <w:r w:rsidRPr="008C34EC">
              <w:rPr>
                <w:bCs/>
                <w:color w:val="000000"/>
                <w:sz w:val="20"/>
                <w:szCs w:val="20"/>
                <w:lang w:val="en-CA" w:eastAsia="en-CA"/>
              </w:rPr>
              <w:t xml:space="preserve">Disbursed </w:t>
            </w:r>
          </w:p>
        </w:tc>
        <w:tc>
          <w:tcPr>
            <w:tcW w:w="1417" w:type="dxa"/>
            <w:shd w:val="clear" w:color="auto" w:fill="auto"/>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356,660</w:t>
            </w:r>
          </w:p>
        </w:tc>
        <w:tc>
          <w:tcPr>
            <w:tcW w:w="1417" w:type="dxa"/>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426,734</w:t>
            </w:r>
          </w:p>
        </w:tc>
        <w:tc>
          <w:tcPr>
            <w:tcW w:w="1418" w:type="dxa"/>
            <w:shd w:val="clear" w:color="auto" w:fill="auto"/>
            <w:vAlign w:val="center"/>
          </w:tcPr>
          <w:p w:rsidR="00FE3307" w:rsidRPr="008C34EC" w:rsidRDefault="005B602F" w:rsidP="008C34EC">
            <w:pPr>
              <w:jc w:val="right"/>
              <w:rPr>
                <w:color w:val="000000"/>
                <w:sz w:val="20"/>
                <w:szCs w:val="20"/>
                <w:lang w:val="en-CA" w:eastAsia="en-CA"/>
              </w:rPr>
            </w:pPr>
            <w:r w:rsidRPr="008C34EC">
              <w:rPr>
                <w:color w:val="000000"/>
                <w:sz w:val="20"/>
                <w:szCs w:val="20"/>
                <w:lang w:val="en-CA" w:eastAsia="en-CA"/>
              </w:rPr>
              <w:t>783,39</w:t>
            </w:r>
            <w:r w:rsidR="006408F6" w:rsidRPr="008C34EC">
              <w:rPr>
                <w:color w:val="000000"/>
                <w:sz w:val="20"/>
                <w:szCs w:val="20"/>
                <w:lang w:val="en-CA" w:eastAsia="en-CA"/>
              </w:rPr>
              <w:t>4</w:t>
            </w:r>
          </w:p>
        </w:tc>
        <w:tc>
          <w:tcPr>
            <w:tcW w:w="2410" w:type="dxa"/>
            <w:vMerge/>
            <w:shd w:val="clear" w:color="auto" w:fill="auto"/>
            <w:vAlign w:val="center"/>
          </w:tcPr>
          <w:p w:rsidR="00FE3307" w:rsidRPr="008C34EC" w:rsidRDefault="00FE3307" w:rsidP="008C34EC">
            <w:pPr>
              <w:jc w:val="center"/>
              <w:rPr>
                <w:color w:val="000000"/>
                <w:sz w:val="20"/>
                <w:szCs w:val="20"/>
                <w:lang w:val="en-CA" w:eastAsia="en-CA"/>
              </w:rPr>
            </w:pPr>
          </w:p>
        </w:tc>
      </w:tr>
    </w:tbl>
    <w:p w:rsidR="00FE3307" w:rsidRPr="008C34EC" w:rsidRDefault="00FE3307" w:rsidP="008C34EC">
      <w:pPr>
        <w:rPr>
          <w:lang w:val="en-CA"/>
        </w:rPr>
      </w:pPr>
    </w:p>
    <w:p w:rsidR="00FE3307" w:rsidRPr="008C34EC" w:rsidRDefault="00FE3307" w:rsidP="008C34EC">
      <w:pPr>
        <w:rPr>
          <w:u w:val="single"/>
          <w:lang w:val="en-CA"/>
        </w:rPr>
      </w:pPr>
      <w:r w:rsidRPr="008C34EC">
        <w:rPr>
          <w:u w:val="single"/>
          <w:lang w:val="en-CA"/>
        </w:rPr>
        <w:t xml:space="preserve">Implementation plan for the </w:t>
      </w:r>
      <w:r w:rsidR="00D5417A" w:rsidRPr="008C34EC">
        <w:rPr>
          <w:u w:val="single"/>
          <w:lang w:val="en-CA"/>
        </w:rPr>
        <w:t>fourth</w:t>
      </w:r>
      <w:r w:rsidRPr="008C34EC">
        <w:rPr>
          <w:u w:val="single"/>
          <w:lang w:val="en-CA"/>
        </w:rPr>
        <w:t xml:space="preserve"> tranche of the HPMP</w:t>
      </w:r>
    </w:p>
    <w:p w:rsidR="00FE3307" w:rsidRPr="008C34EC" w:rsidRDefault="00FE3307" w:rsidP="008C34EC">
      <w:pPr>
        <w:rPr>
          <w:lang w:val="en-CA"/>
        </w:rPr>
      </w:pPr>
    </w:p>
    <w:p w:rsidR="00FE3307" w:rsidRPr="008C34EC" w:rsidRDefault="00FE3307" w:rsidP="008C34EC">
      <w:pPr>
        <w:pStyle w:val="Heading1"/>
        <w:rPr>
          <w:lang w:val="en-CA"/>
        </w:rPr>
      </w:pPr>
      <w:r w:rsidRPr="008C34EC">
        <w:rPr>
          <w:lang w:val="en-CA"/>
        </w:rPr>
        <w:t xml:space="preserve">The following activities will be implemented between </w:t>
      </w:r>
      <w:r w:rsidR="006408F6" w:rsidRPr="008C34EC">
        <w:rPr>
          <w:lang w:val="en-CA"/>
        </w:rPr>
        <w:t>March</w:t>
      </w:r>
      <w:r w:rsidRPr="008C34EC">
        <w:rPr>
          <w:lang w:val="en-CA"/>
        </w:rPr>
        <w:t xml:space="preserve"> 2019 and </w:t>
      </w:r>
      <w:r w:rsidR="006E3568" w:rsidRPr="008C34EC">
        <w:rPr>
          <w:lang w:val="en-CA"/>
        </w:rPr>
        <w:t>December 2022</w:t>
      </w:r>
      <w:r w:rsidRPr="008C34EC">
        <w:rPr>
          <w:lang w:val="en-CA"/>
        </w:rPr>
        <w:t>:</w:t>
      </w:r>
    </w:p>
    <w:p w:rsidR="00FE3307" w:rsidRPr="008C34EC" w:rsidRDefault="007657C2" w:rsidP="008C34EC">
      <w:pPr>
        <w:pStyle w:val="Heading2"/>
        <w:rPr>
          <w:lang w:val="en-CA"/>
        </w:rPr>
      </w:pPr>
      <w:r w:rsidRPr="008C34EC">
        <w:rPr>
          <w:lang w:val="en-CA"/>
        </w:rPr>
        <w:t xml:space="preserve">Submission of </w:t>
      </w:r>
      <w:r w:rsidR="006408F6" w:rsidRPr="008C34EC">
        <w:rPr>
          <w:lang w:val="en-CA"/>
        </w:rPr>
        <w:t xml:space="preserve">the </w:t>
      </w:r>
      <w:r w:rsidRPr="008C34EC">
        <w:rPr>
          <w:lang w:val="en-CA"/>
        </w:rPr>
        <w:t>final draft of Su</w:t>
      </w:r>
      <w:r w:rsidR="006408F6" w:rsidRPr="008C34EC">
        <w:rPr>
          <w:lang w:val="en-CA"/>
        </w:rPr>
        <w:t>b-decree on ODS and Refrigerant</w:t>
      </w:r>
      <w:r w:rsidRPr="008C34EC">
        <w:rPr>
          <w:lang w:val="en-CA"/>
        </w:rPr>
        <w:t xml:space="preserve"> Management </w:t>
      </w:r>
      <w:r w:rsidR="006408F6" w:rsidRPr="008C34EC">
        <w:rPr>
          <w:lang w:val="en-CA"/>
        </w:rPr>
        <w:t>for the approval by</w:t>
      </w:r>
      <w:r w:rsidRPr="008C34EC">
        <w:rPr>
          <w:lang w:val="en-CA"/>
        </w:rPr>
        <w:t xml:space="preserve"> the Council Ministers</w:t>
      </w:r>
      <w:r w:rsidR="006408F6" w:rsidRPr="008C34EC">
        <w:rPr>
          <w:lang w:val="en-CA"/>
        </w:rPr>
        <w:t>,</w:t>
      </w:r>
      <w:r w:rsidRPr="008C34EC">
        <w:rPr>
          <w:lang w:val="en-CA"/>
        </w:rPr>
        <w:t xml:space="preserve"> expected </w:t>
      </w:r>
      <w:r w:rsidR="006408F6" w:rsidRPr="008C34EC">
        <w:rPr>
          <w:lang w:val="en-CA"/>
        </w:rPr>
        <w:t>by</w:t>
      </w:r>
      <w:r w:rsidRPr="008C34EC">
        <w:rPr>
          <w:lang w:val="en-CA"/>
        </w:rPr>
        <w:t xml:space="preserve"> </w:t>
      </w:r>
      <w:r w:rsidR="00B2475F" w:rsidRPr="008C34EC">
        <w:rPr>
          <w:lang w:val="en-CA"/>
        </w:rPr>
        <w:t xml:space="preserve">September </w:t>
      </w:r>
      <w:r w:rsidRPr="008C34EC">
        <w:rPr>
          <w:lang w:val="en-CA"/>
        </w:rPr>
        <w:t>2019; enforcement of the Sub</w:t>
      </w:r>
      <w:r w:rsidR="00D30FD6" w:rsidRPr="008C34EC">
        <w:rPr>
          <w:lang w:val="en-CA"/>
        </w:rPr>
        <w:noBreakHyphen/>
      </w:r>
      <w:r w:rsidRPr="008C34EC">
        <w:rPr>
          <w:lang w:val="en-CA"/>
        </w:rPr>
        <w:t xml:space="preserve">decree </w:t>
      </w:r>
      <w:r w:rsidR="006408F6" w:rsidRPr="008C34EC">
        <w:rPr>
          <w:lang w:val="en-CA"/>
        </w:rPr>
        <w:t xml:space="preserve">on ODS and Refrigerant Management </w:t>
      </w:r>
      <w:r w:rsidRPr="008C34EC">
        <w:rPr>
          <w:lang w:val="en-CA"/>
        </w:rPr>
        <w:t>through online licensing and quota system for HCFCs</w:t>
      </w:r>
      <w:r w:rsidR="00A2314D" w:rsidRPr="008C34EC">
        <w:rPr>
          <w:lang w:val="en-CA"/>
        </w:rPr>
        <w:t xml:space="preserve">; </w:t>
      </w:r>
      <w:r w:rsidR="006408F6" w:rsidRPr="008C34EC">
        <w:rPr>
          <w:lang w:val="en-CA"/>
        </w:rPr>
        <w:t xml:space="preserve">and </w:t>
      </w:r>
      <w:r w:rsidR="00A2314D" w:rsidRPr="008C34EC">
        <w:rPr>
          <w:lang w:val="en-CA"/>
        </w:rPr>
        <w:t>development of a quick guide for the implementation of national standards on RAC in local language</w:t>
      </w:r>
      <w:r w:rsidR="00D5764C" w:rsidRPr="008C34EC">
        <w:rPr>
          <w:lang w:val="en-CA"/>
        </w:rPr>
        <w:t xml:space="preserve"> </w:t>
      </w:r>
      <w:r w:rsidR="00FE3307" w:rsidRPr="008C34EC">
        <w:rPr>
          <w:lang w:val="en-CA"/>
        </w:rPr>
        <w:t>(</w:t>
      </w:r>
      <w:r w:rsidR="00C80AE1" w:rsidRPr="008C34EC">
        <w:rPr>
          <w:lang w:val="en-CA"/>
        </w:rPr>
        <w:t>UNEP</w:t>
      </w:r>
      <w:r w:rsidR="00FE3307" w:rsidRPr="008C34EC">
        <w:rPr>
          <w:lang w:val="en-CA"/>
        </w:rPr>
        <w:t>) (</w:t>
      </w:r>
      <w:r w:rsidR="007E6741" w:rsidRPr="008C34EC">
        <w:rPr>
          <w:lang w:val="en-CA"/>
        </w:rPr>
        <w:t>US $5,000</w:t>
      </w:r>
      <w:r w:rsidR="00FE3307" w:rsidRPr="008C34EC">
        <w:rPr>
          <w:lang w:val="en-CA"/>
        </w:rPr>
        <w:t>);</w:t>
      </w:r>
    </w:p>
    <w:p w:rsidR="00A2314D" w:rsidRPr="008C34EC" w:rsidRDefault="00465728" w:rsidP="008C34EC">
      <w:pPr>
        <w:pStyle w:val="Heading2"/>
        <w:keepNext/>
        <w:widowControl/>
        <w:rPr>
          <w:lang w:val="en-CA"/>
        </w:rPr>
      </w:pPr>
      <w:r w:rsidRPr="008C34EC">
        <w:rPr>
          <w:lang w:val="en-CA"/>
        </w:rPr>
        <w:t xml:space="preserve">Training </w:t>
      </w:r>
      <w:r w:rsidR="00A2314D" w:rsidRPr="008C34EC">
        <w:rPr>
          <w:lang w:val="en-CA"/>
        </w:rPr>
        <w:t>for 60</w:t>
      </w:r>
      <w:r w:rsidRPr="008C34EC">
        <w:rPr>
          <w:lang w:val="en-CA"/>
        </w:rPr>
        <w:t xml:space="preserve"> enforcement officers to include new provisions </w:t>
      </w:r>
      <w:r w:rsidR="008E4E4E" w:rsidRPr="008C34EC">
        <w:rPr>
          <w:lang w:val="en-CA"/>
        </w:rPr>
        <w:t xml:space="preserve">for the licensing system </w:t>
      </w:r>
      <w:r w:rsidRPr="008C34EC">
        <w:rPr>
          <w:lang w:val="en-CA"/>
        </w:rPr>
        <w:t>under the Sub-decree on ODS and Refrigerant Manage</w:t>
      </w:r>
      <w:r w:rsidR="007C5C2B" w:rsidRPr="008C34EC">
        <w:rPr>
          <w:lang w:val="en-CA"/>
        </w:rPr>
        <w:t xml:space="preserve">ment </w:t>
      </w:r>
      <w:r w:rsidR="008E4E4E" w:rsidRPr="008C34EC">
        <w:rPr>
          <w:lang w:val="en-CA"/>
        </w:rPr>
        <w:t>especially as it relate</w:t>
      </w:r>
      <w:r w:rsidR="00D30FD6" w:rsidRPr="008C34EC">
        <w:rPr>
          <w:lang w:val="en-CA"/>
        </w:rPr>
        <w:t>s</w:t>
      </w:r>
      <w:r w:rsidR="008E4E4E" w:rsidRPr="008C34EC">
        <w:rPr>
          <w:lang w:val="en-CA"/>
        </w:rPr>
        <w:t xml:space="preserve"> to</w:t>
      </w:r>
      <w:r w:rsidRPr="008C34EC">
        <w:rPr>
          <w:lang w:val="en-CA"/>
        </w:rPr>
        <w:t xml:space="preserve"> HFCs</w:t>
      </w:r>
      <w:r w:rsidR="008E4E4E" w:rsidRPr="008C34EC">
        <w:rPr>
          <w:lang w:val="en-CA"/>
        </w:rPr>
        <w:t>,</w:t>
      </w:r>
      <w:r w:rsidRPr="008C34EC">
        <w:rPr>
          <w:lang w:val="en-CA"/>
        </w:rPr>
        <w:t xml:space="preserve"> the ban on imports of HCFC</w:t>
      </w:r>
      <w:r w:rsidRPr="008C34EC">
        <w:rPr>
          <w:lang w:val="en-CA"/>
        </w:rPr>
        <w:noBreakHyphen/>
        <w:t>based equipment from 1 January 2020</w:t>
      </w:r>
      <w:r w:rsidR="008E4E4E" w:rsidRPr="008C34EC">
        <w:rPr>
          <w:lang w:val="en-CA"/>
        </w:rPr>
        <w:t>, and</w:t>
      </w:r>
      <w:r w:rsidR="00A2314D" w:rsidRPr="008C34EC">
        <w:rPr>
          <w:lang w:val="en-CA"/>
        </w:rPr>
        <w:t xml:space="preserve"> mandatory labelling of HCFC cylinders in the domestic market</w:t>
      </w:r>
      <w:r w:rsidR="008E4E4E" w:rsidRPr="008C34EC">
        <w:rPr>
          <w:lang w:val="en-CA"/>
        </w:rPr>
        <w:t>;</w:t>
      </w:r>
      <w:r w:rsidR="00A2314D" w:rsidRPr="008C34EC">
        <w:rPr>
          <w:lang w:val="en-CA"/>
        </w:rPr>
        <w:t xml:space="preserve"> </w:t>
      </w:r>
      <w:r w:rsidR="006408F6" w:rsidRPr="008C34EC">
        <w:rPr>
          <w:lang w:val="en-CA"/>
        </w:rPr>
        <w:t xml:space="preserve">and </w:t>
      </w:r>
      <w:r w:rsidR="00A2314D" w:rsidRPr="008C34EC">
        <w:rPr>
          <w:lang w:val="en-CA"/>
        </w:rPr>
        <w:t xml:space="preserve">establishment of a joint inspection team to monitor refrigerants sold in the local market to prevent </w:t>
      </w:r>
      <w:r w:rsidR="008E4E4E" w:rsidRPr="008C34EC">
        <w:rPr>
          <w:lang w:val="en-CA"/>
        </w:rPr>
        <w:t>illegal ODS trade</w:t>
      </w:r>
      <w:r w:rsidR="00A2314D" w:rsidRPr="008C34EC">
        <w:rPr>
          <w:lang w:val="en-CA"/>
        </w:rPr>
        <w:t xml:space="preserve"> (UNEP) (US </w:t>
      </w:r>
      <w:r w:rsidR="007E6741" w:rsidRPr="008C34EC">
        <w:rPr>
          <w:lang w:val="en-CA"/>
        </w:rPr>
        <w:t>$</w:t>
      </w:r>
      <w:r w:rsidR="00A2314D" w:rsidRPr="008C34EC">
        <w:rPr>
          <w:lang w:val="en-CA"/>
        </w:rPr>
        <w:t>10,000);</w:t>
      </w:r>
    </w:p>
    <w:p w:rsidR="00A2314D" w:rsidRPr="008C34EC" w:rsidRDefault="008E4E4E" w:rsidP="008C34EC">
      <w:pPr>
        <w:pStyle w:val="Heading2"/>
        <w:rPr>
          <w:lang w:val="en-CA"/>
        </w:rPr>
      </w:pPr>
      <w:r w:rsidRPr="008C34EC">
        <w:rPr>
          <w:lang w:val="en-CA"/>
        </w:rPr>
        <w:t xml:space="preserve">Continued consultations </w:t>
      </w:r>
      <w:r w:rsidR="00A2314D" w:rsidRPr="008C34EC">
        <w:rPr>
          <w:lang w:val="en-CA"/>
        </w:rPr>
        <w:t xml:space="preserve">with the Department of Standard and Curriculum and </w:t>
      </w:r>
      <w:r w:rsidR="00B2475F" w:rsidRPr="008C34EC">
        <w:rPr>
          <w:lang w:val="en-CA"/>
        </w:rPr>
        <w:t xml:space="preserve">the </w:t>
      </w:r>
      <w:r w:rsidR="00A2314D" w:rsidRPr="008C34EC">
        <w:rPr>
          <w:lang w:val="en-CA"/>
        </w:rPr>
        <w:t xml:space="preserve">competency assessment centres </w:t>
      </w:r>
      <w:r w:rsidR="00B2475F" w:rsidRPr="008C34EC">
        <w:rPr>
          <w:lang w:val="en-CA"/>
        </w:rPr>
        <w:t>to launch competency assessment and certification of</w:t>
      </w:r>
      <w:r w:rsidR="00A2314D" w:rsidRPr="008C34EC">
        <w:rPr>
          <w:lang w:val="en-CA"/>
        </w:rPr>
        <w:t xml:space="preserve"> RAC technicians; </w:t>
      </w:r>
      <w:r w:rsidR="006408F6" w:rsidRPr="008C34EC">
        <w:rPr>
          <w:lang w:val="en-CA"/>
        </w:rPr>
        <w:t xml:space="preserve">and </w:t>
      </w:r>
      <w:r w:rsidR="00A2314D" w:rsidRPr="008C34EC">
        <w:rPr>
          <w:lang w:val="en-CA"/>
        </w:rPr>
        <w:t>development and maintenance of database of trained and certified technicians (UNEP) (US </w:t>
      </w:r>
      <w:r w:rsidR="007E6741" w:rsidRPr="008C34EC">
        <w:rPr>
          <w:lang w:val="en-CA"/>
        </w:rPr>
        <w:t>$</w:t>
      </w:r>
      <w:r w:rsidR="00A2314D" w:rsidRPr="008C34EC">
        <w:rPr>
          <w:lang w:val="en-CA"/>
        </w:rPr>
        <w:t>5,000);</w:t>
      </w:r>
    </w:p>
    <w:p w:rsidR="0092434E" w:rsidRPr="008C34EC" w:rsidRDefault="008E4E4E" w:rsidP="008C34EC">
      <w:pPr>
        <w:pStyle w:val="Heading2"/>
        <w:keepNext/>
        <w:widowControl/>
        <w:rPr>
          <w:lang w:val="en-CA"/>
        </w:rPr>
      </w:pPr>
      <w:r w:rsidRPr="008C34EC">
        <w:rPr>
          <w:lang w:val="en-CA"/>
        </w:rPr>
        <w:lastRenderedPageBreak/>
        <w:t>Five t</w:t>
      </w:r>
      <w:r w:rsidR="007C5C2B" w:rsidRPr="008C34EC">
        <w:rPr>
          <w:lang w:val="en-CA"/>
        </w:rPr>
        <w:t>raining workshops on good practices for 150 RAC technicians and one train</w:t>
      </w:r>
      <w:r w:rsidR="007C5C2B" w:rsidRPr="008C34EC">
        <w:rPr>
          <w:lang w:val="en-CA"/>
        </w:rPr>
        <w:noBreakHyphen/>
        <w:t>the</w:t>
      </w:r>
      <w:r w:rsidR="007C5C2B" w:rsidRPr="008C34EC">
        <w:rPr>
          <w:lang w:val="en-CA"/>
        </w:rPr>
        <w:noBreakHyphen/>
        <w:t>trainer workshop on good practices for low</w:t>
      </w:r>
      <w:r w:rsidR="007C5C2B" w:rsidRPr="008C34EC">
        <w:rPr>
          <w:lang w:val="en-CA"/>
        </w:rPr>
        <w:noBreakHyphen/>
        <w:t>GWP technology for 30 trainers (UNEP) (US </w:t>
      </w:r>
      <w:r w:rsidR="007E6741" w:rsidRPr="008C34EC">
        <w:rPr>
          <w:lang w:val="en-CA"/>
        </w:rPr>
        <w:t>$</w:t>
      </w:r>
      <w:r w:rsidR="00D5764C" w:rsidRPr="008C34EC">
        <w:rPr>
          <w:lang w:val="en-CA"/>
        </w:rPr>
        <w:t>35,000</w:t>
      </w:r>
      <w:r w:rsidR="007C5C2B" w:rsidRPr="008C34EC">
        <w:rPr>
          <w:lang w:val="en-CA"/>
        </w:rPr>
        <w:t>);</w:t>
      </w:r>
    </w:p>
    <w:p w:rsidR="00ED79D2" w:rsidRPr="008C34EC" w:rsidRDefault="008E4E4E" w:rsidP="008C34EC">
      <w:pPr>
        <w:pStyle w:val="Heading2"/>
        <w:rPr>
          <w:lang w:val="en-CA"/>
        </w:rPr>
      </w:pPr>
      <w:r w:rsidRPr="008C34EC">
        <w:rPr>
          <w:lang w:val="en-CA"/>
        </w:rPr>
        <w:t xml:space="preserve">Provision of </w:t>
      </w:r>
      <w:r w:rsidR="00ED79D2" w:rsidRPr="008C34EC">
        <w:rPr>
          <w:lang w:val="en-CA"/>
        </w:rPr>
        <w:t xml:space="preserve">equipment/tools to 50 workshops </w:t>
      </w:r>
      <w:r w:rsidR="00B2475F" w:rsidRPr="008C34EC">
        <w:rPr>
          <w:lang w:val="en-CA"/>
        </w:rPr>
        <w:t>(</w:t>
      </w:r>
      <w:r w:rsidR="00FA41C0" w:rsidRPr="008C34EC">
        <w:rPr>
          <w:lang w:val="en-CA"/>
        </w:rPr>
        <w:t xml:space="preserve">e.g., vacuum pump, manifold gauges, leak detector, electronic scale, vacuum meter and servicing tool box) </w:t>
      </w:r>
      <w:r w:rsidR="00ED79D2" w:rsidRPr="008C34EC">
        <w:rPr>
          <w:lang w:val="en-CA"/>
        </w:rPr>
        <w:t xml:space="preserve">and </w:t>
      </w:r>
      <w:r w:rsidR="006408F6" w:rsidRPr="008C34EC">
        <w:rPr>
          <w:lang w:val="en-CA"/>
        </w:rPr>
        <w:t xml:space="preserve">to </w:t>
      </w:r>
      <w:r w:rsidR="00D30FD6" w:rsidRPr="008C34EC">
        <w:rPr>
          <w:lang w:val="en-CA"/>
        </w:rPr>
        <w:t xml:space="preserve">five </w:t>
      </w:r>
      <w:r w:rsidR="00ED79D2" w:rsidRPr="008C34EC">
        <w:rPr>
          <w:lang w:val="en-CA"/>
        </w:rPr>
        <w:t xml:space="preserve">training centres </w:t>
      </w:r>
      <w:r w:rsidR="00FA41C0" w:rsidRPr="008C34EC">
        <w:rPr>
          <w:lang w:val="en-CA"/>
        </w:rPr>
        <w:t>(e.g., vacuum pump, manifold gauges, leak detector, electronic scale, vacuum meter, servicing tool boxes, recovery machine and recovery cylinder)</w:t>
      </w:r>
      <w:r w:rsidR="00ED79D2" w:rsidRPr="008C34EC">
        <w:rPr>
          <w:lang w:val="en-CA"/>
        </w:rPr>
        <w:t xml:space="preserve">; training on </w:t>
      </w:r>
      <w:r w:rsidRPr="008C34EC">
        <w:rPr>
          <w:lang w:val="en-CA"/>
        </w:rPr>
        <w:t>the use of</w:t>
      </w:r>
      <w:r w:rsidR="00ED79D2" w:rsidRPr="008C34EC">
        <w:rPr>
          <w:lang w:val="en-CA"/>
        </w:rPr>
        <w:t xml:space="preserve"> these equipment/tools</w:t>
      </w:r>
      <w:r w:rsidRPr="008C34EC">
        <w:rPr>
          <w:lang w:val="en-CA"/>
        </w:rPr>
        <w:t xml:space="preserve"> and other t</w:t>
      </w:r>
      <w:r w:rsidR="00ED79D2" w:rsidRPr="008C34EC">
        <w:rPr>
          <w:lang w:val="en-CA"/>
        </w:rPr>
        <w:t xml:space="preserve">echnical issues </w:t>
      </w:r>
      <w:r w:rsidRPr="008C34EC">
        <w:rPr>
          <w:lang w:val="en-CA"/>
        </w:rPr>
        <w:t>related to the</w:t>
      </w:r>
      <w:r w:rsidR="00FA41C0" w:rsidRPr="008C34EC">
        <w:rPr>
          <w:lang w:val="en-CA"/>
        </w:rPr>
        <w:t xml:space="preserve"> recovery and recycling </w:t>
      </w:r>
      <w:r w:rsidR="006408F6" w:rsidRPr="008C34EC">
        <w:rPr>
          <w:lang w:val="en-CA"/>
        </w:rPr>
        <w:t xml:space="preserve">programme; and </w:t>
      </w:r>
      <w:r w:rsidR="00ED79D2" w:rsidRPr="008C34EC">
        <w:rPr>
          <w:lang w:val="en-CA"/>
        </w:rPr>
        <w:t xml:space="preserve">information </w:t>
      </w:r>
      <w:r w:rsidR="007B6F8C" w:rsidRPr="008C34EC">
        <w:rPr>
          <w:lang w:val="en-CA"/>
        </w:rPr>
        <w:t>outreach</w:t>
      </w:r>
      <w:r w:rsidR="00ED79D2" w:rsidRPr="008C34EC">
        <w:rPr>
          <w:lang w:val="en-CA"/>
        </w:rPr>
        <w:t xml:space="preserve"> </w:t>
      </w:r>
      <w:r w:rsidR="007B6F8C" w:rsidRPr="008C34EC">
        <w:rPr>
          <w:lang w:val="en-CA"/>
        </w:rPr>
        <w:t xml:space="preserve">about the </w:t>
      </w:r>
      <w:r w:rsidR="006408F6" w:rsidRPr="008C34EC">
        <w:rPr>
          <w:lang w:val="en-CA"/>
        </w:rPr>
        <w:t xml:space="preserve">refrigerant </w:t>
      </w:r>
      <w:r w:rsidR="007B6F8C" w:rsidRPr="008C34EC">
        <w:rPr>
          <w:lang w:val="en-CA"/>
        </w:rPr>
        <w:t xml:space="preserve">reclamation programme </w:t>
      </w:r>
      <w:r w:rsidR="006408F6" w:rsidRPr="008C34EC">
        <w:rPr>
          <w:lang w:val="en-CA"/>
        </w:rPr>
        <w:t xml:space="preserve">to </w:t>
      </w:r>
      <w:r w:rsidR="007B6F8C" w:rsidRPr="008C34EC">
        <w:rPr>
          <w:lang w:val="en-CA"/>
        </w:rPr>
        <w:t>techni</w:t>
      </w:r>
      <w:r w:rsidR="00B2234D" w:rsidRPr="008C34EC">
        <w:rPr>
          <w:lang w:val="en-CA"/>
        </w:rPr>
        <w:t>cians</w:t>
      </w:r>
      <w:r w:rsidR="006E14E5" w:rsidRPr="008C34EC">
        <w:rPr>
          <w:lang w:val="en-CA"/>
        </w:rPr>
        <w:t xml:space="preserve"> (UNDP) (US </w:t>
      </w:r>
      <w:r w:rsidR="007E6741" w:rsidRPr="008C34EC">
        <w:rPr>
          <w:lang w:val="en-CA"/>
        </w:rPr>
        <w:t>$</w:t>
      </w:r>
      <w:r w:rsidR="00D5764C" w:rsidRPr="008C34EC">
        <w:rPr>
          <w:lang w:val="en-CA"/>
        </w:rPr>
        <w:t>50,000</w:t>
      </w:r>
      <w:r w:rsidR="006E14E5" w:rsidRPr="008C34EC">
        <w:rPr>
          <w:lang w:val="en-CA"/>
        </w:rPr>
        <w:t>);</w:t>
      </w:r>
    </w:p>
    <w:p w:rsidR="006E14E5" w:rsidRPr="008C34EC" w:rsidRDefault="00D30FD6" w:rsidP="008C34EC">
      <w:pPr>
        <w:pStyle w:val="Heading2"/>
        <w:rPr>
          <w:lang w:val="en-CA"/>
        </w:rPr>
      </w:pPr>
      <w:r w:rsidRPr="008C34EC">
        <w:rPr>
          <w:lang w:val="en-CA"/>
        </w:rPr>
        <w:t>Provision of</w:t>
      </w:r>
      <w:r w:rsidR="008E4E4E" w:rsidRPr="008C34EC">
        <w:rPr>
          <w:lang w:val="en-CA"/>
        </w:rPr>
        <w:t xml:space="preserve"> incentives to replace</w:t>
      </w:r>
      <w:r w:rsidR="006E14E5" w:rsidRPr="008C34EC">
        <w:rPr>
          <w:lang w:val="en-CA"/>
        </w:rPr>
        <w:t xml:space="preserve"> </w:t>
      </w:r>
      <w:r w:rsidR="008E4E4E" w:rsidRPr="008C34EC">
        <w:rPr>
          <w:lang w:val="en-CA"/>
        </w:rPr>
        <w:t xml:space="preserve">an additional </w:t>
      </w:r>
      <w:r w:rsidR="006E14E5" w:rsidRPr="008C34EC">
        <w:rPr>
          <w:lang w:val="en-CA"/>
        </w:rPr>
        <w:t>850 units</w:t>
      </w:r>
      <w:r w:rsidR="008E4E4E" w:rsidRPr="008C34EC">
        <w:rPr>
          <w:lang w:val="en-CA"/>
        </w:rPr>
        <w:t xml:space="preserve"> of HCFC-based </w:t>
      </w:r>
      <w:r w:rsidR="006408F6" w:rsidRPr="008C34EC">
        <w:rPr>
          <w:lang w:val="en-CA"/>
        </w:rPr>
        <w:t>air</w:t>
      </w:r>
      <w:r w:rsidR="006408F6" w:rsidRPr="008C34EC">
        <w:rPr>
          <w:lang w:val="en-CA"/>
        </w:rPr>
        <w:noBreakHyphen/>
        <w:t>conditioners</w:t>
      </w:r>
      <w:r w:rsidR="008E4E4E" w:rsidRPr="008C34EC">
        <w:rPr>
          <w:lang w:val="en-CA"/>
        </w:rPr>
        <w:t xml:space="preserve"> with low</w:t>
      </w:r>
      <w:r w:rsidRPr="008C34EC">
        <w:rPr>
          <w:lang w:val="en-CA"/>
        </w:rPr>
        <w:noBreakHyphen/>
      </w:r>
      <w:r w:rsidR="008E4E4E" w:rsidRPr="008C34EC">
        <w:rPr>
          <w:lang w:val="en-CA"/>
        </w:rPr>
        <w:t>GWP</w:t>
      </w:r>
      <w:r w:rsidRPr="008C34EC">
        <w:rPr>
          <w:lang w:val="en-CA"/>
        </w:rPr>
        <w:noBreakHyphen/>
      </w:r>
      <w:r w:rsidR="008E4E4E" w:rsidRPr="008C34EC">
        <w:rPr>
          <w:lang w:val="en-CA"/>
        </w:rPr>
        <w:t>based systems</w:t>
      </w:r>
      <w:r w:rsidR="006408F6" w:rsidRPr="008C34EC">
        <w:rPr>
          <w:lang w:val="en-CA"/>
        </w:rPr>
        <w:t xml:space="preserve"> to end users</w:t>
      </w:r>
      <w:r w:rsidR="006E14E5" w:rsidRPr="008C34EC">
        <w:rPr>
          <w:lang w:val="en-CA"/>
        </w:rPr>
        <w:t xml:space="preserve">; awareness programmes </w:t>
      </w:r>
      <w:r w:rsidR="00AD16A2" w:rsidRPr="008C34EC">
        <w:rPr>
          <w:lang w:val="en-CA"/>
        </w:rPr>
        <w:t xml:space="preserve">to the public on energy efficiency </w:t>
      </w:r>
      <w:r w:rsidR="00AB4038" w:rsidRPr="008C34EC">
        <w:rPr>
          <w:lang w:val="en-CA"/>
        </w:rPr>
        <w:t xml:space="preserve">benefits from </w:t>
      </w:r>
      <w:r w:rsidR="00AD16A2" w:rsidRPr="008C34EC">
        <w:rPr>
          <w:lang w:val="en-CA"/>
        </w:rPr>
        <w:t>non</w:t>
      </w:r>
      <w:r w:rsidR="00AB4038" w:rsidRPr="008C34EC">
        <w:rPr>
          <w:lang w:val="en-CA"/>
        </w:rPr>
        <w:noBreakHyphen/>
      </w:r>
      <w:r w:rsidR="00AD16A2" w:rsidRPr="008C34EC">
        <w:rPr>
          <w:lang w:val="en-CA"/>
        </w:rPr>
        <w:t>ODS low-GWP technology</w:t>
      </w:r>
      <w:r w:rsidR="008E4E4E" w:rsidRPr="008C34EC">
        <w:rPr>
          <w:lang w:val="en-CA"/>
        </w:rPr>
        <w:t xml:space="preserve">, and outreach </w:t>
      </w:r>
      <w:r w:rsidR="006E3568" w:rsidRPr="008C34EC">
        <w:rPr>
          <w:lang w:val="en-CA"/>
        </w:rPr>
        <w:t xml:space="preserve">the </w:t>
      </w:r>
      <w:r w:rsidR="006E14E5" w:rsidRPr="008C34EC">
        <w:rPr>
          <w:lang w:val="en-CA"/>
        </w:rPr>
        <w:t>replacement incentive programme for participating workshops</w:t>
      </w:r>
      <w:r w:rsidR="008E4E4E" w:rsidRPr="008C34EC">
        <w:rPr>
          <w:lang w:val="en-CA"/>
        </w:rPr>
        <w:t xml:space="preserve">, retail sellers and importers </w:t>
      </w:r>
      <w:r w:rsidR="006E3568" w:rsidRPr="008C34EC">
        <w:rPr>
          <w:lang w:val="en-CA"/>
        </w:rPr>
        <w:t>(UNDP) (US </w:t>
      </w:r>
      <w:r w:rsidR="007E6741" w:rsidRPr="008C34EC">
        <w:rPr>
          <w:lang w:val="en-CA"/>
        </w:rPr>
        <w:t>$</w:t>
      </w:r>
      <w:r w:rsidR="00D5764C" w:rsidRPr="008C34EC">
        <w:rPr>
          <w:lang w:val="en-CA"/>
        </w:rPr>
        <w:t>1</w:t>
      </w:r>
      <w:r w:rsidR="007E6741" w:rsidRPr="008C34EC">
        <w:rPr>
          <w:lang w:val="en-CA"/>
        </w:rPr>
        <w:t>0</w:t>
      </w:r>
      <w:r w:rsidR="00D5764C" w:rsidRPr="008C34EC">
        <w:rPr>
          <w:lang w:val="en-CA"/>
        </w:rPr>
        <w:t>0,000</w:t>
      </w:r>
      <w:r w:rsidR="006E3568" w:rsidRPr="008C34EC">
        <w:rPr>
          <w:lang w:val="en-CA"/>
        </w:rPr>
        <w:t>);</w:t>
      </w:r>
      <w:r w:rsidR="006E14E5" w:rsidRPr="008C34EC">
        <w:rPr>
          <w:lang w:val="en-CA"/>
        </w:rPr>
        <w:t xml:space="preserve"> </w:t>
      </w:r>
    </w:p>
    <w:p w:rsidR="006E14E5" w:rsidRPr="008C34EC" w:rsidRDefault="006E3568" w:rsidP="008C34EC">
      <w:pPr>
        <w:pStyle w:val="Heading2"/>
        <w:rPr>
          <w:lang w:val="en-CA"/>
        </w:rPr>
      </w:pPr>
      <w:r w:rsidRPr="008C34EC">
        <w:rPr>
          <w:lang w:val="en-CA"/>
        </w:rPr>
        <w:t>Information, education and communications activities</w:t>
      </w:r>
      <w:r w:rsidR="00AD16A2" w:rsidRPr="008C34EC">
        <w:t xml:space="preserve"> on </w:t>
      </w:r>
      <w:r w:rsidR="00AD16A2" w:rsidRPr="008C34EC">
        <w:rPr>
          <w:lang w:val="en-CA"/>
        </w:rPr>
        <w:t>OzonAction tools and materials and demonstration of application to support HCFC phase-out activities for enforcement officers and RAC trainers of vocational schools</w:t>
      </w:r>
      <w:r w:rsidRPr="008C34EC">
        <w:rPr>
          <w:lang w:val="en-CA"/>
        </w:rPr>
        <w:t xml:space="preserve"> (UNEP) (US </w:t>
      </w:r>
      <w:r w:rsidR="007E6741" w:rsidRPr="008C34EC">
        <w:rPr>
          <w:lang w:val="en-CA"/>
        </w:rPr>
        <w:t>$20</w:t>
      </w:r>
      <w:r w:rsidR="00A2314D" w:rsidRPr="008C34EC">
        <w:rPr>
          <w:lang w:val="en-CA"/>
        </w:rPr>
        <w:t>,000</w:t>
      </w:r>
      <w:r w:rsidRPr="008C34EC">
        <w:rPr>
          <w:lang w:val="en-CA"/>
        </w:rPr>
        <w:t>); and</w:t>
      </w:r>
    </w:p>
    <w:p w:rsidR="006E3568" w:rsidRPr="008C34EC" w:rsidRDefault="006E3568" w:rsidP="008C34EC">
      <w:pPr>
        <w:pStyle w:val="Heading2"/>
        <w:rPr>
          <w:lang w:val="en-CA"/>
        </w:rPr>
      </w:pPr>
      <w:r w:rsidRPr="008C34EC">
        <w:rPr>
          <w:lang w:val="en-CA"/>
        </w:rPr>
        <w:t>Project coordination and management (UNEP)</w:t>
      </w:r>
      <w:r w:rsidR="00A2314D" w:rsidRPr="008C34EC">
        <w:rPr>
          <w:lang w:val="en-CA"/>
        </w:rPr>
        <w:t xml:space="preserve"> (US </w:t>
      </w:r>
      <w:r w:rsidR="007E6741" w:rsidRPr="008C34EC">
        <w:rPr>
          <w:lang w:val="en-CA"/>
        </w:rPr>
        <w:t>$</w:t>
      </w:r>
      <w:r w:rsidR="00A2314D" w:rsidRPr="008C34EC">
        <w:rPr>
          <w:lang w:val="en-CA"/>
        </w:rPr>
        <w:t>25,000).</w:t>
      </w:r>
    </w:p>
    <w:p w:rsidR="00FE3307" w:rsidRPr="008C34EC" w:rsidRDefault="00FE3307" w:rsidP="008C34EC">
      <w:pPr>
        <w:jc w:val="center"/>
        <w:rPr>
          <w:b/>
          <w:lang w:val="en-CA"/>
        </w:rPr>
      </w:pPr>
      <w:r w:rsidRPr="008C34EC">
        <w:rPr>
          <w:b/>
          <w:lang w:val="en-CA"/>
        </w:rPr>
        <w:t>SECRETARIAT’S COMMENTS AND RECOMMENDATION</w:t>
      </w:r>
    </w:p>
    <w:p w:rsidR="00FE3307" w:rsidRPr="008C34EC" w:rsidRDefault="00FE3307" w:rsidP="008C34EC">
      <w:pPr>
        <w:rPr>
          <w:lang w:val="en-CA"/>
        </w:rPr>
      </w:pPr>
    </w:p>
    <w:p w:rsidR="00FE3307" w:rsidRPr="008C34EC" w:rsidRDefault="00FE3307" w:rsidP="008C34EC">
      <w:pPr>
        <w:rPr>
          <w:b/>
          <w:lang w:val="en-CA"/>
        </w:rPr>
      </w:pPr>
      <w:r w:rsidRPr="008C34EC">
        <w:rPr>
          <w:b/>
          <w:lang w:val="en-CA"/>
        </w:rPr>
        <w:t>COMMENTS</w:t>
      </w:r>
    </w:p>
    <w:p w:rsidR="00FE3307" w:rsidRPr="008C34EC" w:rsidRDefault="00FE3307" w:rsidP="008C34EC">
      <w:pPr>
        <w:rPr>
          <w:lang w:val="en-CA"/>
        </w:rPr>
      </w:pPr>
    </w:p>
    <w:p w:rsidR="00FE3307" w:rsidRPr="008C34EC" w:rsidRDefault="00FE3307" w:rsidP="008C34EC">
      <w:pPr>
        <w:rPr>
          <w:u w:val="single"/>
          <w:lang w:val="en-CA"/>
        </w:rPr>
      </w:pPr>
      <w:r w:rsidRPr="008C34EC">
        <w:rPr>
          <w:u w:val="single"/>
          <w:lang w:val="en-CA"/>
        </w:rPr>
        <w:t>Report on HCFC consumption</w:t>
      </w:r>
    </w:p>
    <w:p w:rsidR="00FE3307" w:rsidRPr="008C34EC" w:rsidRDefault="00FE3307" w:rsidP="008C34EC">
      <w:pPr>
        <w:rPr>
          <w:lang w:val="en-CA"/>
        </w:rPr>
      </w:pPr>
    </w:p>
    <w:p w:rsidR="00FE3307" w:rsidRPr="008C34EC" w:rsidRDefault="0024011B" w:rsidP="008C34EC">
      <w:pPr>
        <w:pStyle w:val="Heading1"/>
        <w:rPr>
          <w:lang w:val="en-CA"/>
        </w:rPr>
      </w:pPr>
      <w:r w:rsidRPr="008C34EC">
        <w:rPr>
          <w:lang w:val="en-CA"/>
        </w:rPr>
        <w:t xml:space="preserve">With regard to the reported consumption of HCFC-141b in imported pre-blended polyols, UNEP confirmed that there was no license issued for its import in 2019. In addition, the enterprise </w:t>
      </w:r>
      <w:r w:rsidR="00AB4038" w:rsidRPr="008C34EC">
        <w:rPr>
          <w:lang w:val="en-CA"/>
        </w:rPr>
        <w:t xml:space="preserve">that imported such polyols in 2017 and 2018 </w:t>
      </w:r>
      <w:r w:rsidRPr="008C34EC">
        <w:rPr>
          <w:lang w:val="en-CA"/>
        </w:rPr>
        <w:t xml:space="preserve">had already converted </w:t>
      </w:r>
      <w:r w:rsidR="00AB4038" w:rsidRPr="008C34EC">
        <w:rPr>
          <w:lang w:val="en-CA"/>
        </w:rPr>
        <w:t xml:space="preserve">with its own resources </w:t>
      </w:r>
      <w:r w:rsidRPr="008C34EC">
        <w:rPr>
          <w:lang w:val="en-CA"/>
        </w:rPr>
        <w:t>and no other enterprise using th</w:t>
      </w:r>
      <w:r w:rsidR="004467F6" w:rsidRPr="008C34EC">
        <w:rPr>
          <w:lang w:val="en-CA"/>
        </w:rPr>
        <w:t>ese</w:t>
      </w:r>
      <w:r w:rsidRPr="008C34EC">
        <w:rPr>
          <w:lang w:val="en-CA"/>
        </w:rPr>
        <w:t xml:space="preserve"> </w:t>
      </w:r>
      <w:r w:rsidR="00AB4038" w:rsidRPr="008C34EC">
        <w:rPr>
          <w:lang w:val="en-CA"/>
        </w:rPr>
        <w:t>pre-blended polyols systems</w:t>
      </w:r>
      <w:r w:rsidRPr="008C34EC">
        <w:rPr>
          <w:lang w:val="en-CA"/>
        </w:rPr>
        <w:t xml:space="preserve"> had been identified. UNEP also mentioned that with the implementation of the new </w:t>
      </w:r>
      <w:r w:rsidR="00AB4038" w:rsidRPr="008C34EC">
        <w:rPr>
          <w:lang w:val="en-CA"/>
        </w:rPr>
        <w:t>S</w:t>
      </w:r>
      <w:r w:rsidRPr="008C34EC">
        <w:rPr>
          <w:lang w:val="en-CA"/>
        </w:rPr>
        <w:t xml:space="preserve">ub-decree, imports of </w:t>
      </w:r>
      <w:r w:rsidR="00AB4038" w:rsidRPr="008C34EC">
        <w:rPr>
          <w:lang w:val="en-CA"/>
        </w:rPr>
        <w:t>HCFC-141b contained in imported pre-blended polyols</w:t>
      </w:r>
      <w:r w:rsidRPr="008C34EC">
        <w:rPr>
          <w:lang w:val="en-CA"/>
        </w:rPr>
        <w:t xml:space="preserve"> will be strictly controlled and eventually banned. </w:t>
      </w:r>
    </w:p>
    <w:p w:rsidR="00FE3307" w:rsidRPr="008C34EC" w:rsidRDefault="00FE3307" w:rsidP="008C34EC">
      <w:pPr>
        <w:keepNext/>
        <w:rPr>
          <w:u w:val="single"/>
          <w:lang w:val="en-CA"/>
        </w:rPr>
      </w:pPr>
      <w:r w:rsidRPr="008C34EC">
        <w:rPr>
          <w:u w:val="single"/>
          <w:lang w:val="en-CA"/>
        </w:rPr>
        <w:t xml:space="preserve">Progress report on the implementation of the </w:t>
      </w:r>
      <w:r w:rsidR="00F24F34" w:rsidRPr="008C34EC">
        <w:rPr>
          <w:u w:val="single"/>
          <w:lang w:val="en-CA"/>
        </w:rPr>
        <w:t>third</w:t>
      </w:r>
      <w:r w:rsidRPr="008C34EC">
        <w:rPr>
          <w:u w:val="single"/>
          <w:lang w:val="en-CA"/>
        </w:rPr>
        <w:t xml:space="preserve"> tranche of the HPMP</w:t>
      </w:r>
    </w:p>
    <w:p w:rsidR="00FE3307" w:rsidRPr="008C34EC" w:rsidRDefault="00FE3307" w:rsidP="008C34EC">
      <w:pPr>
        <w:keepNext/>
        <w:rPr>
          <w:lang w:val="en-CA"/>
        </w:rPr>
      </w:pPr>
    </w:p>
    <w:p w:rsidR="00FE3307" w:rsidRPr="008C34EC" w:rsidRDefault="00FE3307" w:rsidP="008C34EC">
      <w:pPr>
        <w:keepNext/>
        <w:rPr>
          <w:i/>
          <w:lang w:val="en-CA"/>
        </w:rPr>
      </w:pPr>
      <w:r w:rsidRPr="008C34EC">
        <w:rPr>
          <w:i/>
          <w:lang w:val="en-CA"/>
        </w:rPr>
        <w:t>Legal framework</w:t>
      </w:r>
    </w:p>
    <w:p w:rsidR="00FE3307" w:rsidRPr="008C34EC" w:rsidRDefault="00FE3307" w:rsidP="008C34EC">
      <w:pPr>
        <w:keepNext/>
        <w:rPr>
          <w:lang w:val="en-CA"/>
        </w:rPr>
      </w:pPr>
    </w:p>
    <w:p w:rsidR="00FE3307" w:rsidRPr="008C34EC" w:rsidRDefault="00FE3307" w:rsidP="008C34EC">
      <w:pPr>
        <w:pStyle w:val="Heading1"/>
        <w:keepNext/>
        <w:rPr>
          <w:lang w:val="en-CA"/>
        </w:rPr>
      </w:pPr>
      <w:r w:rsidRPr="008C34EC">
        <w:rPr>
          <w:lang w:val="en-CA"/>
        </w:rPr>
        <w:t xml:space="preserve">The Government of </w:t>
      </w:r>
      <w:r w:rsidR="00F24F34" w:rsidRPr="008C34EC">
        <w:rPr>
          <w:lang w:val="en-CA"/>
        </w:rPr>
        <w:t>Cambodia</w:t>
      </w:r>
      <w:r w:rsidRPr="008C34EC">
        <w:rPr>
          <w:lang w:val="en-CA"/>
        </w:rPr>
        <w:t xml:space="preserve"> has already issued HCFC import quotas for 2019 at </w:t>
      </w:r>
      <w:r w:rsidR="00505B1A" w:rsidRPr="008C34EC">
        <w:rPr>
          <w:lang w:val="en-CA"/>
        </w:rPr>
        <w:t>9.75</w:t>
      </w:r>
      <w:r w:rsidRPr="008C34EC">
        <w:rPr>
          <w:lang w:val="en-CA"/>
        </w:rPr>
        <w:t> ODP</w:t>
      </w:r>
      <w:r w:rsidR="00505B1A" w:rsidRPr="008C34EC">
        <w:rPr>
          <w:lang w:val="en-CA"/>
        </w:rPr>
        <w:t> </w:t>
      </w:r>
      <w:r w:rsidRPr="008C34EC">
        <w:rPr>
          <w:lang w:val="en-CA"/>
        </w:rPr>
        <w:t xml:space="preserve">tonnes, which is </w:t>
      </w:r>
      <w:r w:rsidR="00AB4038" w:rsidRPr="008C34EC">
        <w:rPr>
          <w:lang w:val="en-CA"/>
        </w:rPr>
        <w:t xml:space="preserve">27.7 per cent </w:t>
      </w:r>
      <w:r w:rsidRPr="008C34EC">
        <w:rPr>
          <w:lang w:val="en-CA"/>
        </w:rPr>
        <w:t>lower than the Mo</w:t>
      </w:r>
      <w:r w:rsidR="00505B1A" w:rsidRPr="008C34EC">
        <w:rPr>
          <w:lang w:val="en-CA"/>
        </w:rPr>
        <w:t>ntreal Protocol control targets</w:t>
      </w:r>
      <w:r w:rsidR="00AB4038" w:rsidRPr="008C34EC">
        <w:rPr>
          <w:lang w:val="en-CA"/>
        </w:rPr>
        <w:t xml:space="preserve"> and the maximum allowable level under the Agreement with the Executive Committee</w:t>
      </w:r>
      <w:r w:rsidRPr="008C34EC">
        <w:rPr>
          <w:lang w:val="en-CA"/>
        </w:rPr>
        <w:t>.</w:t>
      </w:r>
    </w:p>
    <w:p w:rsidR="0031593B" w:rsidRPr="008C34EC" w:rsidRDefault="0031593B" w:rsidP="008C34EC">
      <w:pPr>
        <w:pStyle w:val="Heading1"/>
        <w:rPr>
          <w:lang w:val="en-CA"/>
        </w:rPr>
      </w:pPr>
      <w:r w:rsidRPr="008C34EC">
        <w:rPr>
          <w:lang w:val="en-CA"/>
        </w:rPr>
        <w:t>The revised Sub-decree on ODS and Refrigerant Management will ensure the sustainability of the phase-out of HCFCs in Cambodia.</w:t>
      </w:r>
    </w:p>
    <w:p w:rsidR="00FE3307" w:rsidRPr="008C34EC" w:rsidRDefault="00FE3307" w:rsidP="008C34EC">
      <w:pPr>
        <w:rPr>
          <w:i/>
          <w:lang w:val="en-CA"/>
        </w:rPr>
      </w:pPr>
      <w:r w:rsidRPr="008C34EC">
        <w:rPr>
          <w:i/>
          <w:lang w:val="en-CA"/>
        </w:rPr>
        <w:t>Refrigeration servicing sector</w:t>
      </w:r>
    </w:p>
    <w:p w:rsidR="00FE3307" w:rsidRPr="008C34EC" w:rsidRDefault="00FE3307" w:rsidP="008C34EC">
      <w:pPr>
        <w:rPr>
          <w:lang w:val="en-CA"/>
        </w:rPr>
      </w:pPr>
    </w:p>
    <w:p w:rsidR="00FE3307" w:rsidRPr="008C34EC" w:rsidRDefault="007817CD" w:rsidP="008C34EC">
      <w:pPr>
        <w:pStyle w:val="Heading1"/>
        <w:rPr>
          <w:lang w:val="en-US"/>
        </w:rPr>
      </w:pPr>
      <w:r w:rsidRPr="008C34EC">
        <w:rPr>
          <w:lang w:val="en-CA"/>
        </w:rPr>
        <w:t xml:space="preserve">UNEP explained that </w:t>
      </w:r>
      <w:r w:rsidR="004467F6" w:rsidRPr="008C34EC">
        <w:rPr>
          <w:lang w:val="en-CA"/>
        </w:rPr>
        <w:t xml:space="preserve">the guidelines </w:t>
      </w:r>
      <w:r w:rsidRPr="008C34EC">
        <w:rPr>
          <w:lang w:val="en-CA"/>
        </w:rPr>
        <w:t xml:space="preserve">for technician certification in the country have been adopted only in March 2019. With these guidelines, the </w:t>
      </w:r>
      <w:r w:rsidRPr="008C34EC">
        <w:t xml:space="preserve">Government of Cambodia will have the framework to implement the competency-based assessment certification programme which will be closely linked to new </w:t>
      </w:r>
      <w:r w:rsidRPr="008C34EC">
        <w:lastRenderedPageBreak/>
        <w:t xml:space="preserve">requirements for renewal of business licenses (i.e., a </w:t>
      </w:r>
      <w:r w:rsidR="00AB4038" w:rsidRPr="008C34EC">
        <w:t xml:space="preserve">refrigerant </w:t>
      </w:r>
      <w:r w:rsidRPr="008C34EC">
        <w:t xml:space="preserve">service </w:t>
      </w:r>
      <w:r w:rsidR="00AB4038" w:rsidRPr="008C34EC">
        <w:t>work</w:t>
      </w:r>
      <w:r w:rsidRPr="008C34EC">
        <w:t xml:space="preserve">shop should have at least one certified RAC technician), and the restriction of sales of refrigerants only to registered workshops or certified technicians. It was also clarified that the </w:t>
      </w:r>
      <w:r w:rsidRPr="008C34EC">
        <w:rPr>
          <w:lang w:val="en-US"/>
        </w:rPr>
        <w:t xml:space="preserve">competency assessment is for </w:t>
      </w:r>
      <w:r w:rsidR="00962D0D" w:rsidRPr="008C34EC">
        <w:rPr>
          <w:lang w:val="en-US"/>
        </w:rPr>
        <w:t>both the</w:t>
      </w:r>
      <w:r w:rsidRPr="008C34EC">
        <w:rPr>
          <w:lang w:val="en-US"/>
        </w:rPr>
        <w:t xml:space="preserve"> informal </w:t>
      </w:r>
      <w:r w:rsidR="00962D0D" w:rsidRPr="008C34EC">
        <w:rPr>
          <w:lang w:val="en-US"/>
        </w:rPr>
        <w:t xml:space="preserve">technicians </w:t>
      </w:r>
      <w:r w:rsidRPr="008C34EC">
        <w:rPr>
          <w:lang w:val="en-US"/>
        </w:rPr>
        <w:t xml:space="preserve">and those enrolled </w:t>
      </w:r>
      <w:r w:rsidR="00962D0D" w:rsidRPr="008C34EC">
        <w:rPr>
          <w:lang w:val="en-US"/>
        </w:rPr>
        <w:t>or have received formal education.</w:t>
      </w:r>
    </w:p>
    <w:p w:rsidR="00962D0D" w:rsidRPr="008C34EC" w:rsidRDefault="00962D0D" w:rsidP="008C34EC">
      <w:pPr>
        <w:pStyle w:val="Heading1"/>
      </w:pPr>
      <w:r w:rsidRPr="008C34EC">
        <w:rPr>
          <w:lang w:val="en-US"/>
        </w:rPr>
        <w:t xml:space="preserve">In responding to queries related to the end-user incentive programme being implemented by UNDP, UNEP mentioned that the recipients of the new HFC-32 equipment had reported energy savings resulting from the use of this equipment. New beneficiaries targeting </w:t>
      </w:r>
      <w:r w:rsidRPr="008C34EC">
        <w:t xml:space="preserve">school, hospitals, and other public buildings are being explored for the next tranche. </w:t>
      </w:r>
    </w:p>
    <w:p w:rsidR="0031593B" w:rsidRPr="008C34EC" w:rsidRDefault="0031593B" w:rsidP="008C34EC">
      <w:pPr>
        <w:pStyle w:val="Heading1"/>
      </w:pPr>
      <w:r w:rsidRPr="008C34EC">
        <w:t>With regard to the long-term sustainability of the refrigeration training programme, UNEP mentioned that training on good practices in refrigeration will continue to be implemented through the strengthened vocational institutes and the refrigeration associations. In addition, the technician certification programme will further ensure that updated training courses would be made available for certified technicians.</w:t>
      </w:r>
    </w:p>
    <w:p w:rsidR="00FE3307" w:rsidRPr="008C34EC" w:rsidRDefault="00FE3307" w:rsidP="008C34EC">
      <w:pPr>
        <w:rPr>
          <w:i/>
          <w:lang w:val="en-CA"/>
        </w:rPr>
      </w:pPr>
      <w:r w:rsidRPr="008C34EC">
        <w:rPr>
          <w:i/>
          <w:lang w:val="en-CA"/>
        </w:rPr>
        <w:t>Project implementation and monitoring unit (PMU)</w:t>
      </w:r>
    </w:p>
    <w:p w:rsidR="00FE3307" w:rsidRPr="008C34EC" w:rsidRDefault="00FE3307" w:rsidP="008C34EC">
      <w:pPr>
        <w:rPr>
          <w:lang w:val="en-CA"/>
        </w:rPr>
      </w:pPr>
    </w:p>
    <w:p w:rsidR="00FE3307" w:rsidRPr="008C34EC" w:rsidRDefault="00962D0D" w:rsidP="008C34EC">
      <w:pPr>
        <w:pStyle w:val="Heading1"/>
        <w:rPr>
          <w:lang w:val="en-US"/>
        </w:rPr>
      </w:pPr>
      <w:r w:rsidRPr="008C34EC">
        <w:rPr>
          <w:lang w:val="en-CA"/>
        </w:rPr>
        <w:t xml:space="preserve">UNEP explained that </w:t>
      </w:r>
      <w:r w:rsidR="00B2234D" w:rsidRPr="008C34EC">
        <w:rPr>
          <w:lang w:val="en-CA"/>
        </w:rPr>
        <w:t xml:space="preserve">the PMU plays an important role in the HPMP, and </w:t>
      </w:r>
      <w:r w:rsidR="00DF7843" w:rsidRPr="008C34EC">
        <w:rPr>
          <w:lang w:val="en-CA"/>
        </w:rPr>
        <w:t>t</w:t>
      </w:r>
      <w:r w:rsidRPr="008C34EC">
        <w:rPr>
          <w:lang w:val="en-US"/>
        </w:rPr>
        <w:t>he cost</w:t>
      </w:r>
      <w:r w:rsidR="004467F6" w:rsidRPr="008C34EC">
        <w:rPr>
          <w:lang w:val="en-US"/>
        </w:rPr>
        <w:t>s</w:t>
      </w:r>
      <w:r w:rsidRPr="008C34EC">
        <w:rPr>
          <w:lang w:val="en-US"/>
        </w:rPr>
        <w:t xml:space="preserve"> associated with </w:t>
      </w:r>
      <w:r w:rsidR="004467F6" w:rsidRPr="008C34EC">
        <w:rPr>
          <w:lang w:val="en-US"/>
        </w:rPr>
        <w:t xml:space="preserve">the </w:t>
      </w:r>
      <w:r w:rsidRPr="008C34EC">
        <w:rPr>
          <w:lang w:val="en-US"/>
        </w:rPr>
        <w:t xml:space="preserve">PMU are related to the planning, implementation and monitoring of the HPMP. The Government of Cambodia has maintained separate records for PMU and </w:t>
      </w:r>
      <w:r w:rsidR="00B2234D" w:rsidRPr="008C34EC">
        <w:rPr>
          <w:lang w:val="en-US"/>
        </w:rPr>
        <w:t>institutional strengthening to ensure no duplication of responsibilities and expenditures</w:t>
      </w:r>
      <w:r w:rsidRPr="008C34EC">
        <w:rPr>
          <w:lang w:val="en-US"/>
        </w:rPr>
        <w:t>.</w:t>
      </w:r>
    </w:p>
    <w:p w:rsidR="00FE3307" w:rsidRPr="008C34EC" w:rsidRDefault="00FE3307" w:rsidP="008C34EC">
      <w:pPr>
        <w:keepNext/>
        <w:rPr>
          <w:u w:val="single"/>
          <w:lang w:val="en-CA"/>
        </w:rPr>
      </w:pPr>
      <w:r w:rsidRPr="008C34EC">
        <w:rPr>
          <w:u w:val="single"/>
          <w:lang w:val="en-CA"/>
        </w:rPr>
        <w:t xml:space="preserve">Conclusion </w:t>
      </w:r>
    </w:p>
    <w:p w:rsidR="00FE3307" w:rsidRPr="008C34EC" w:rsidRDefault="00FE3307" w:rsidP="008C34EC">
      <w:pPr>
        <w:keepNext/>
        <w:rPr>
          <w:lang w:val="en-CA"/>
        </w:rPr>
      </w:pPr>
    </w:p>
    <w:p w:rsidR="00CA2D39" w:rsidRPr="008C34EC" w:rsidRDefault="00962D0D" w:rsidP="008C34EC">
      <w:pPr>
        <w:pStyle w:val="Heading1"/>
        <w:keepNext/>
        <w:rPr>
          <w:lang w:val="en-CA"/>
        </w:rPr>
      </w:pPr>
      <w:r w:rsidRPr="008C34EC">
        <w:rPr>
          <w:lang w:val="en-CA"/>
        </w:rPr>
        <w:t xml:space="preserve">The Secretariat noted that Cambodia has an effective licensing and quota system, and continues to progress in the implementation of the activities approved under the HPMP. The finalisation and eventual approval of the new </w:t>
      </w:r>
      <w:r w:rsidR="005547B4" w:rsidRPr="008C34EC">
        <w:rPr>
          <w:lang w:val="en-CA"/>
        </w:rPr>
        <w:t>S</w:t>
      </w:r>
      <w:r w:rsidRPr="008C34EC">
        <w:rPr>
          <w:lang w:val="en-CA"/>
        </w:rPr>
        <w:t>ub-decree on ODS and Refrigerant Management puts in place a number of regulations that include the control of all refrigerants including HFCs. The competency-based assessment certification programme</w:t>
      </w:r>
      <w:r w:rsidR="00CA2D39" w:rsidRPr="008C34EC">
        <w:rPr>
          <w:lang w:val="en-CA"/>
        </w:rPr>
        <w:t xml:space="preserve"> will further control the use of ODS refrigerants as it will require selling refrigerant</w:t>
      </w:r>
      <w:r w:rsidR="004467F6" w:rsidRPr="008C34EC">
        <w:rPr>
          <w:lang w:val="en-CA"/>
        </w:rPr>
        <w:t>s</w:t>
      </w:r>
      <w:r w:rsidR="00CA2D39" w:rsidRPr="008C34EC">
        <w:rPr>
          <w:lang w:val="en-CA"/>
        </w:rPr>
        <w:t xml:space="preserve"> only to certified technicians. </w:t>
      </w:r>
      <w:r w:rsidR="0031593B" w:rsidRPr="008C34EC">
        <w:rPr>
          <w:lang w:val="en-CA"/>
        </w:rPr>
        <w:t>Sustainability of the t</w:t>
      </w:r>
      <w:r w:rsidR="0031593B" w:rsidRPr="008C34EC">
        <w:t>raining on good practices in refrigeration will be assured through the strengthened vocational institutes and the refrigeration associations.</w:t>
      </w:r>
      <w:r w:rsidR="0031593B" w:rsidRPr="008C34EC">
        <w:rPr>
          <w:lang w:val="en-CA"/>
        </w:rPr>
        <w:t xml:space="preserve"> The</w:t>
      </w:r>
      <w:r w:rsidR="00CF7E8D" w:rsidRPr="008C34EC">
        <w:rPr>
          <w:lang w:val="en-CA"/>
        </w:rPr>
        <w:t xml:space="preserve"> level of fund disbursement is 87 per cent. </w:t>
      </w:r>
      <w:r w:rsidR="00CA2D39" w:rsidRPr="008C34EC">
        <w:rPr>
          <w:lang w:val="en-CA"/>
        </w:rPr>
        <w:t>The activities planned for the fourth tranche of the HPMP</w:t>
      </w:r>
      <w:r w:rsidR="00CA2D39" w:rsidRPr="008C34EC">
        <w:t xml:space="preserve"> </w:t>
      </w:r>
      <w:r w:rsidR="00CA2D39" w:rsidRPr="008C34EC">
        <w:rPr>
          <w:lang w:val="en-CA"/>
        </w:rPr>
        <w:t>will continue to support the strategy for the servicing sector in Cambodia.</w:t>
      </w:r>
    </w:p>
    <w:p w:rsidR="00FE3307" w:rsidRPr="008C34EC" w:rsidRDefault="00FE3307" w:rsidP="008C34EC">
      <w:pPr>
        <w:rPr>
          <w:b/>
          <w:lang w:val="en-CA"/>
        </w:rPr>
      </w:pPr>
      <w:r w:rsidRPr="008C34EC">
        <w:rPr>
          <w:b/>
          <w:lang w:val="en-CA"/>
        </w:rPr>
        <w:t xml:space="preserve">RECOMMENDATION </w:t>
      </w:r>
    </w:p>
    <w:p w:rsidR="00F24F34" w:rsidRPr="008C34EC" w:rsidRDefault="00F24F34" w:rsidP="008C34EC">
      <w:pPr>
        <w:rPr>
          <w:lang w:val="en-CA"/>
        </w:rPr>
      </w:pPr>
    </w:p>
    <w:p w:rsidR="00071C04" w:rsidRPr="008C34EC" w:rsidRDefault="00FE3307" w:rsidP="008C34EC">
      <w:pPr>
        <w:pStyle w:val="Heading1"/>
        <w:rPr>
          <w:lang w:val="en-CA"/>
        </w:rPr>
      </w:pPr>
      <w:r w:rsidRPr="008C34EC">
        <w:rPr>
          <w:lang w:val="en-CA"/>
        </w:rPr>
        <w:t>The Fund Secretariat recommend</w:t>
      </w:r>
      <w:r w:rsidR="00D70E43" w:rsidRPr="008C34EC">
        <w:rPr>
          <w:lang w:val="en-CA"/>
        </w:rPr>
        <w:t>s that the Executive Committee</w:t>
      </w:r>
      <w:r w:rsidR="00071C04" w:rsidRPr="008C34EC">
        <w:rPr>
          <w:lang w:val="en-CA"/>
        </w:rPr>
        <w:t xml:space="preserve"> t</w:t>
      </w:r>
      <w:r w:rsidRPr="008C34EC">
        <w:rPr>
          <w:lang w:val="en-CA"/>
        </w:rPr>
        <w:t xml:space="preserve">akes note of the progress report on the implementation of the </w:t>
      </w:r>
      <w:r w:rsidR="00D70E43" w:rsidRPr="008C34EC">
        <w:rPr>
          <w:lang w:val="en-CA"/>
        </w:rPr>
        <w:t>third</w:t>
      </w:r>
      <w:r w:rsidRPr="008C34EC">
        <w:rPr>
          <w:lang w:val="en-CA"/>
        </w:rPr>
        <w:t xml:space="preserve"> tranche of stage I of the HCFC phase-out management plan (HPMP) for </w:t>
      </w:r>
      <w:r w:rsidR="00D70E43" w:rsidRPr="008C34EC">
        <w:rPr>
          <w:lang w:val="en-CA"/>
        </w:rPr>
        <w:t>Cambodia</w:t>
      </w:r>
      <w:r w:rsidRPr="008C34EC">
        <w:rPr>
          <w:lang w:val="en-CA"/>
        </w:rPr>
        <w:t xml:space="preserve">; </w:t>
      </w:r>
      <w:r w:rsidR="00071C04" w:rsidRPr="008C34EC">
        <w:rPr>
          <w:lang w:val="en-CA"/>
        </w:rPr>
        <w:t>and further recommends blanket approval of the fourth tranche of stage I of the HPMP for Cambodia, and the corresponding 2019-2022 tranche implementation plan, at the funding levels shown in the table below, on the understanding that:</w:t>
      </w:r>
    </w:p>
    <w:p w:rsidR="00071C04" w:rsidRPr="008C34EC" w:rsidRDefault="00071C04" w:rsidP="008C34EC">
      <w:pPr>
        <w:pStyle w:val="Heading2"/>
        <w:rPr>
          <w:lang w:val="en-CA"/>
        </w:rPr>
      </w:pPr>
      <w:r w:rsidRPr="008C34EC">
        <w:rPr>
          <w:lang w:val="en-CA"/>
        </w:rPr>
        <w:t xml:space="preserve">Cambodia had consumption in the servicing sector only; and </w:t>
      </w:r>
    </w:p>
    <w:p w:rsidR="00071C04" w:rsidRPr="008C34EC" w:rsidRDefault="008C34EC" w:rsidP="008C34EC">
      <w:pPr>
        <w:pStyle w:val="Heading2"/>
        <w:rPr>
          <w:lang w:val="en-CA"/>
        </w:rPr>
      </w:pPr>
      <w:r w:rsidRPr="008C34EC">
        <w:rPr>
          <w:lang w:val="en-CA"/>
        </w:rPr>
        <w:t>That the end-user incentive programme would enhance the sustainability of the training of servicing technicians and that end users would provide co-financing to participate in the programme</w:t>
      </w:r>
      <w:r w:rsidR="00071C04" w:rsidRPr="008C34EC">
        <w:rPr>
          <w:lang w:val="en-CA"/>
        </w:rPr>
        <w:t>.</w:t>
      </w:r>
    </w:p>
    <w:p w:rsidR="007A0FD3" w:rsidRPr="008C34EC" w:rsidRDefault="007A0FD3" w:rsidP="008C34EC">
      <w:pPr>
        <w:rPr>
          <w:lang w:val="en-C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FE3307" w:rsidRPr="008C34EC" w:rsidTr="005D77AC">
        <w:tc>
          <w:tcPr>
            <w:tcW w:w="540" w:type="dxa"/>
          </w:tcPr>
          <w:p w:rsidR="00FE3307" w:rsidRPr="008C34EC" w:rsidRDefault="00FE3307" w:rsidP="008C34EC">
            <w:pPr>
              <w:keepNext/>
              <w:jc w:val="center"/>
              <w:rPr>
                <w:b/>
                <w:bCs/>
                <w:sz w:val="20"/>
                <w:szCs w:val="20"/>
                <w:lang w:val="en-CA"/>
              </w:rPr>
            </w:pPr>
          </w:p>
        </w:tc>
        <w:tc>
          <w:tcPr>
            <w:tcW w:w="4320" w:type="dxa"/>
          </w:tcPr>
          <w:p w:rsidR="00FE3307" w:rsidRPr="008C34EC" w:rsidRDefault="00FE3307" w:rsidP="008C34EC">
            <w:pPr>
              <w:keepNext/>
              <w:jc w:val="center"/>
              <w:rPr>
                <w:b/>
                <w:bCs/>
                <w:sz w:val="20"/>
                <w:szCs w:val="20"/>
                <w:lang w:val="en-CA"/>
              </w:rPr>
            </w:pPr>
            <w:r w:rsidRPr="008C34EC">
              <w:rPr>
                <w:b/>
                <w:bCs/>
                <w:sz w:val="20"/>
                <w:szCs w:val="20"/>
                <w:lang w:val="en-CA"/>
              </w:rPr>
              <w:t>Project title</w:t>
            </w:r>
          </w:p>
        </w:tc>
        <w:tc>
          <w:tcPr>
            <w:tcW w:w="1461" w:type="dxa"/>
            <w:tcMar>
              <w:left w:w="29" w:type="dxa"/>
              <w:right w:w="29" w:type="dxa"/>
            </w:tcMar>
          </w:tcPr>
          <w:p w:rsidR="00FE3307" w:rsidRPr="008C34EC" w:rsidRDefault="00FE3307" w:rsidP="008C34EC">
            <w:pPr>
              <w:keepNext/>
              <w:jc w:val="center"/>
              <w:rPr>
                <w:b/>
                <w:bCs/>
                <w:sz w:val="20"/>
                <w:szCs w:val="20"/>
                <w:lang w:val="en-CA"/>
              </w:rPr>
            </w:pPr>
            <w:r w:rsidRPr="008C34EC">
              <w:rPr>
                <w:b/>
                <w:bCs/>
                <w:sz w:val="20"/>
                <w:szCs w:val="20"/>
                <w:lang w:val="en-CA"/>
              </w:rPr>
              <w:t>Project funding (US $)</w:t>
            </w:r>
          </w:p>
        </w:tc>
        <w:tc>
          <w:tcPr>
            <w:tcW w:w="1461" w:type="dxa"/>
            <w:tcMar>
              <w:left w:w="29" w:type="dxa"/>
              <w:right w:w="29" w:type="dxa"/>
            </w:tcMar>
          </w:tcPr>
          <w:p w:rsidR="00FE3307" w:rsidRPr="008C34EC" w:rsidRDefault="00FE3307" w:rsidP="008C34EC">
            <w:pPr>
              <w:keepNext/>
              <w:jc w:val="center"/>
              <w:rPr>
                <w:b/>
                <w:bCs/>
                <w:sz w:val="20"/>
                <w:szCs w:val="20"/>
                <w:lang w:val="en-CA"/>
              </w:rPr>
            </w:pPr>
            <w:r w:rsidRPr="008C34EC">
              <w:rPr>
                <w:b/>
                <w:bCs/>
                <w:sz w:val="20"/>
                <w:szCs w:val="20"/>
                <w:lang w:val="en-CA"/>
              </w:rPr>
              <w:t>Support cost (US $)</w:t>
            </w:r>
          </w:p>
        </w:tc>
        <w:tc>
          <w:tcPr>
            <w:tcW w:w="1461" w:type="dxa"/>
            <w:tcMar>
              <w:left w:w="29" w:type="dxa"/>
              <w:right w:w="29" w:type="dxa"/>
            </w:tcMar>
          </w:tcPr>
          <w:p w:rsidR="00FE3307" w:rsidRPr="008C34EC" w:rsidRDefault="00FE3307" w:rsidP="008C34EC">
            <w:pPr>
              <w:keepNext/>
              <w:jc w:val="center"/>
              <w:rPr>
                <w:b/>
                <w:bCs/>
                <w:sz w:val="20"/>
                <w:szCs w:val="20"/>
                <w:lang w:val="en-CA"/>
              </w:rPr>
            </w:pPr>
            <w:r w:rsidRPr="008C34EC">
              <w:rPr>
                <w:b/>
                <w:bCs/>
                <w:sz w:val="20"/>
                <w:szCs w:val="20"/>
                <w:lang w:val="en-CA"/>
              </w:rPr>
              <w:t>Implementing agency</w:t>
            </w:r>
          </w:p>
        </w:tc>
      </w:tr>
      <w:tr w:rsidR="00FE3307" w:rsidRPr="008C34EC" w:rsidTr="005D77AC">
        <w:tc>
          <w:tcPr>
            <w:tcW w:w="540" w:type="dxa"/>
          </w:tcPr>
          <w:p w:rsidR="00FE3307" w:rsidRPr="008C34EC" w:rsidRDefault="00FE3307" w:rsidP="008C34EC">
            <w:pPr>
              <w:keepNext/>
              <w:rPr>
                <w:sz w:val="20"/>
                <w:szCs w:val="20"/>
                <w:lang w:val="en-CA"/>
              </w:rPr>
            </w:pPr>
            <w:r w:rsidRPr="008C34EC">
              <w:rPr>
                <w:sz w:val="20"/>
                <w:szCs w:val="20"/>
                <w:lang w:val="en-CA"/>
              </w:rPr>
              <w:t>(a)</w:t>
            </w:r>
          </w:p>
        </w:tc>
        <w:tc>
          <w:tcPr>
            <w:tcW w:w="4320" w:type="dxa"/>
          </w:tcPr>
          <w:p w:rsidR="00FE3307" w:rsidRPr="008C34EC" w:rsidRDefault="00FE3307" w:rsidP="008C34EC">
            <w:pPr>
              <w:keepNext/>
              <w:rPr>
                <w:sz w:val="20"/>
                <w:szCs w:val="20"/>
                <w:lang w:val="en-CA"/>
              </w:rPr>
            </w:pPr>
            <w:r w:rsidRPr="008C34EC">
              <w:rPr>
                <w:sz w:val="20"/>
                <w:szCs w:val="20"/>
                <w:lang w:val="en-CA"/>
              </w:rPr>
              <w:t xml:space="preserve">HCFC phase-out management plan (stage I, </w:t>
            </w:r>
            <w:r w:rsidR="00F24F34" w:rsidRPr="008C34EC">
              <w:rPr>
                <w:sz w:val="20"/>
                <w:szCs w:val="20"/>
                <w:lang w:val="en-CA"/>
              </w:rPr>
              <w:t>fourth</w:t>
            </w:r>
            <w:r w:rsidRPr="008C34EC">
              <w:rPr>
                <w:sz w:val="20"/>
                <w:szCs w:val="20"/>
                <w:lang w:val="en-CA"/>
              </w:rPr>
              <w:t xml:space="preserve"> tranche)</w:t>
            </w:r>
          </w:p>
        </w:tc>
        <w:tc>
          <w:tcPr>
            <w:tcW w:w="1461" w:type="dxa"/>
          </w:tcPr>
          <w:p w:rsidR="00FE3307" w:rsidRPr="008C34EC" w:rsidRDefault="00F24F34" w:rsidP="008C34EC">
            <w:pPr>
              <w:keepNext/>
              <w:jc w:val="right"/>
              <w:rPr>
                <w:sz w:val="20"/>
                <w:szCs w:val="20"/>
                <w:lang w:val="en-CA"/>
              </w:rPr>
            </w:pPr>
            <w:r w:rsidRPr="008C34EC">
              <w:rPr>
                <w:sz w:val="20"/>
                <w:szCs w:val="20"/>
                <w:lang w:val="en-CA"/>
              </w:rPr>
              <w:t>100,000</w:t>
            </w:r>
          </w:p>
        </w:tc>
        <w:tc>
          <w:tcPr>
            <w:tcW w:w="1461" w:type="dxa"/>
          </w:tcPr>
          <w:p w:rsidR="00FE3307" w:rsidRPr="008C34EC" w:rsidRDefault="00F24F34" w:rsidP="008C34EC">
            <w:pPr>
              <w:keepNext/>
              <w:jc w:val="right"/>
              <w:rPr>
                <w:lang w:val="en-CA"/>
              </w:rPr>
            </w:pPr>
            <w:r w:rsidRPr="008C34EC">
              <w:rPr>
                <w:sz w:val="20"/>
                <w:szCs w:val="20"/>
                <w:lang w:val="en-CA"/>
              </w:rPr>
              <w:t>13,000</w:t>
            </w:r>
          </w:p>
        </w:tc>
        <w:tc>
          <w:tcPr>
            <w:tcW w:w="1461" w:type="dxa"/>
          </w:tcPr>
          <w:p w:rsidR="00FE3307" w:rsidRPr="008C34EC" w:rsidRDefault="00F24F34" w:rsidP="008C34EC">
            <w:pPr>
              <w:keepNext/>
              <w:jc w:val="center"/>
              <w:rPr>
                <w:sz w:val="20"/>
                <w:szCs w:val="20"/>
                <w:lang w:val="en-CA"/>
              </w:rPr>
            </w:pPr>
            <w:r w:rsidRPr="008C34EC">
              <w:rPr>
                <w:sz w:val="20"/>
                <w:szCs w:val="20"/>
                <w:lang w:val="en-CA"/>
              </w:rPr>
              <w:t>UNEP</w:t>
            </w:r>
          </w:p>
        </w:tc>
      </w:tr>
      <w:tr w:rsidR="00FE3307" w:rsidRPr="00FE3307" w:rsidTr="005D77AC">
        <w:tc>
          <w:tcPr>
            <w:tcW w:w="540" w:type="dxa"/>
          </w:tcPr>
          <w:p w:rsidR="00FE3307" w:rsidRPr="008C34EC" w:rsidRDefault="00FE3307" w:rsidP="008C34EC">
            <w:pPr>
              <w:keepNext/>
              <w:rPr>
                <w:sz w:val="20"/>
                <w:szCs w:val="20"/>
                <w:lang w:val="en-CA"/>
              </w:rPr>
            </w:pPr>
            <w:r w:rsidRPr="008C34EC">
              <w:rPr>
                <w:sz w:val="20"/>
                <w:szCs w:val="20"/>
                <w:lang w:val="en-CA"/>
              </w:rPr>
              <w:t>(b)</w:t>
            </w:r>
          </w:p>
        </w:tc>
        <w:tc>
          <w:tcPr>
            <w:tcW w:w="4320" w:type="dxa"/>
          </w:tcPr>
          <w:p w:rsidR="00FE3307" w:rsidRPr="008C34EC" w:rsidRDefault="00FE3307" w:rsidP="008C34EC">
            <w:pPr>
              <w:keepNext/>
              <w:rPr>
                <w:sz w:val="20"/>
                <w:szCs w:val="20"/>
                <w:lang w:val="en-CA"/>
              </w:rPr>
            </w:pPr>
            <w:r w:rsidRPr="008C34EC">
              <w:rPr>
                <w:sz w:val="20"/>
                <w:szCs w:val="20"/>
                <w:lang w:val="en-CA"/>
              </w:rPr>
              <w:t xml:space="preserve">HCFC phase-out management plan (stage I, </w:t>
            </w:r>
            <w:r w:rsidR="00F24F34" w:rsidRPr="008C34EC">
              <w:rPr>
                <w:sz w:val="20"/>
                <w:szCs w:val="20"/>
                <w:lang w:val="en-CA"/>
              </w:rPr>
              <w:t>fourth</w:t>
            </w:r>
            <w:r w:rsidRPr="008C34EC">
              <w:rPr>
                <w:sz w:val="20"/>
                <w:szCs w:val="20"/>
                <w:lang w:val="en-CA"/>
              </w:rPr>
              <w:t xml:space="preserve"> tranche)</w:t>
            </w:r>
          </w:p>
        </w:tc>
        <w:tc>
          <w:tcPr>
            <w:tcW w:w="1461" w:type="dxa"/>
          </w:tcPr>
          <w:p w:rsidR="00FE3307" w:rsidRPr="008C34EC" w:rsidRDefault="00F24F34" w:rsidP="008C34EC">
            <w:pPr>
              <w:keepNext/>
              <w:jc w:val="right"/>
              <w:rPr>
                <w:sz w:val="20"/>
                <w:szCs w:val="20"/>
                <w:lang w:val="en-CA"/>
              </w:rPr>
            </w:pPr>
            <w:r w:rsidRPr="008C34EC">
              <w:rPr>
                <w:sz w:val="20"/>
                <w:szCs w:val="20"/>
                <w:lang w:val="en-CA"/>
              </w:rPr>
              <w:t>150,000</w:t>
            </w:r>
          </w:p>
        </w:tc>
        <w:tc>
          <w:tcPr>
            <w:tcW w:w="1461" w:type="dxa"/>
          </w:tcPr>
          <w:p w:rsidR="00FE3307" w:rsidRPr="008C34EC" w:rsidRDefault="00F24F34" w:rsidP="008C34EC">
            <w:pPr>
              <w:keepNext/>
              <w:jc w:val="right"/>
              <w:rPr>
                <w:lang w:val="en-CA"/>
              </w:rPr>
            </w:pPr>
            <w:r w:rsidRPr="008C34EC">
              <w:rPr>
                <w:sz w:val="20"/>
                <w:szCs w:val="20"/>
                <w:lang w:val="en-CA"/>
              </w:rPr>
              <w:t>11,250</w:t>
            </w:r>
          </w:p>
        </w:tc>
        <w:tc>
          <w:tcPr>
            <w:tcW w:w="1461" w:type="dxa"/>
          </w:tcPr>
          <w:p w:rsidR="00FE3307" w:rsidRPr="00FE3307" w:rsidRDefault="00F24F34" w:rsidP="008C34EC">
            <w:pPr>
              <w:keepNext/>
              <w:jc w:val="center"/>
              <w:rPr>
                <w:sz w:val="20"/>
                <w:szCs w:val="20"/>
                <w:lang w:val="en-CA"/>
              </w:rPr>
            </w:pPr>
            <w:r w:rsidRPr="008C34EC">
              <w:rPr>
                <w:sz w:val="20"/>
                <w:szCs w:val="20"/>
                <w:lang w:val="en-CA"/>
              </w:rPr>
              <w:t>UNDP</w:t>
            </w:r>
          </w:p>
        </w:tc>
      </w:tr>
    </w:tbl>
    <w:p w:rsidR="00FE3307" w:rsidRDefault="00FE3307" w:rsidP="008C34E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67709" w:rsidRPr="00FE3307" w:rsidTr="005D77AC">
        <w:tc>
          <w:tcPr>
            <w:tcW w:w="1871" w:type="dxa"/>
          </w:tcPr>
          <w:p w:rsidR="00067709" w:rsidRPr="00FE3307" w:rsidRDefault="00067709" w:rsidP="008C34EC">
            <w:pPr>
              <w:rPr>
                <w:lang w:val="en-CA"/>
              </w:rPr>
            </w:pPr>
          </w:p>
        </w:tc>
        <w:tc>
          <w:tcPr>
            <w:tcW w:w="1872" w:type="dxa"/>
          </w:tcPr>
          <w:p w:rsidR="00067709" w:rsidRPr="00FE3307" w:rsidRDefault="00067709" w:rsidP="008C34EC">
            <w:pPr>
              <w:rPr>
                <w:lang w:val="en-CA"/>
              </w:rPr>
            </w:pPr>
          </w:p>
        </w:tc>
        <w:tc>
          <w:tcPr>
            <w:tcW w:w="1872" w:type="dxa"/>
            <w:tcBorders>
              <w:bottom w:val="single" w:sz="4" w:space="0" w:color="auto"/>
            </w:tcBorders>
          </w:tcPr>
          <w:p w:rsidR="00067709" w:rsidRPr="00FE3307" w:rsidRDefault="00067709" w:rsidP="008C34EC">
            <w:pPr>
              <w:rPr>
                <w:lang w:val="en-CA"/>
              </w:rPr>
            </w:pPr>
          </w:p>
        </w:tc>
        <w:tc>
          <w:tcPr>
            <w:tcW w:w="1872" w:type="dxa"/>
          </w:tcPr>
          <w:p w:rsidR="00067709" w:rsidRPr="00FE3307" w:rsidRDefault="00067709" w:rsidP="008C34EC">
            <w:pPr>
              <w:rPr>
                <w:lang w:val="en-CA"/>
              </w:rPr>
            </w:pPr>
          </w:p>
        </w:tc>
        <w:tc>
          <w:tcPr>
            <w:tcW w:w="1873" w:type="dxa"/>
          </w:tcPr>
          <w:p w:rsidR="00067709" w:rsidRPr="00FE3307" w:rsidRDefault="00067709" w:rsidP="008C34EC">
            <w:pPr>
              <w:rPr>
                <w:lang w:val="en-CA"/>
              </w:rPr>
            </w:pPr>
          </w:p>
        </w:tc>
      </w:tr>
    </w:tbl>
    <w:p w:rsidR="00067709" w:rsidRPr="00FE3307" w:rsidRDefault="00067709" w:rsidP="008C34EC">
      <w:pPr>
        <w:rPr>
          <w:lang w:val="en-CA"/>
        </w:rPr>
      </w:pPr>
    </w:p>
    <w:p w:rsidR="00067709" w:rsidRDefault="00067709" w:rsidP="008C34EC">
      <w:pPr>
        <w:rPr>
          <w:lang w:val="en-CA"/>
        </w:rPr>
      </w:pPr>
    </w:p>
    <w:sectPr w:rsidR="00067709" w:rsidSect="00066FAC">
      <w:headerReference w:type="first" r:id="rId16"/>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D3" w:rsidRDefault="007A0FD3" w:rsidP="004A504B">
      <w:r>
        <w:separator/>
      </w:r>
    </w:p>
  </w:endnote>
  <w:endnote w:type="continuationSeparator" w:id="0">
    <w:p w:rsidR="007A0FD3" w:rsidRDefault="007A0FD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D3" w:rsidRPr="0033525D" w:rsidRDefault="007A0FD3">
    <w:pPr>
      <w:jc w:val="center"/>
    </w:pPr>
    <w:r>
      <w:fldChar w:fldCharType="begin"/>
    </w:r>
    <w:r>
      <w:instrText xml:space="preserve"> PAGE </w:instrText>
    </w:r>
    <w:r>
      <w:fldChar w:fldCharType="separate"/>
    </w:r>
    <w:r w:rsidR="0033349D">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D3" w:rsidRPr="0033525D" w:rsidRDefault="007A0FD3">
    <w:pPr>
      <w:jc w:val="center"/>
    </w:pPr>
    <w:r>
      <w:fldChar w:fldCharType="begin"/>
    </w:r>
    <w:r>
      <w:instrText xml:space="preserve"> PAGE </w:instrText>
    </w:r>
    <w:r>
      <w:fldChar w:fldCharType="separate"/>
    </w:r>
    <w:r w:rsidR="0033349D">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D3" w:rsidRDefault="007A0FD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A0FD3" w:rsidRDefault="007A0FD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46011"/>
      <w:docPartObj>
        <w:docPartGallery w:val="Page Numbers (Bottom of Page)"/>
        <w:docPartUnique/>
      </w:docPartObj>
    </w:sdtPr>
    <w:sdtEndPr>
      <w:rPr>
        <w:noProof/>
      </w:rPr>
    </w:sdtEndPr>
    <w:sdtContent>
      <w:p w:rsidR="007A0FD3" w:rsidRDefault="007A0FD3">
        <w:pPr>
          <w:pStyle w:val="Footer"/>
          <w:jc w:val="center"/>
        </w:pPr>
        <w:r>
          <w:fldChar w:fldCharType="begin"/>
        </w:r>
        <w:r>
          <w:instrText xml:space="preserve"> PAGE   \* MERGEFORMAT </w:instrText>
        </w:r>
        <w:r>
          <w:fldChar w:fldCharType="separate"/>
        </w:r>
        <w:r w:rsidR="0033349D">
          <w:rPr>
            <w:noProof/>
          </w:rPr>
          <w:t>4</w:t>
        </w:r>
        <w:r>
          <w:rPr>
            <w:noProof/>
          </w:rPr>
          <w:fldChar w:fldCharType="end"/>
        </w:r>
      </w:p>
    </w:sdtContent>
  </w:sdt>
  <w:p w:rsidR="007A0FD3" w:rsidRPr="00066FAC" w:rsidRDefault="007A0FD3" w:rsidP="00066F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D3" w:rsidRDefault="007A0FD3" w:rsidP="004A504B">
      <w:r>
        <w:separator/>
      </w:r>
    </w:p>
  </w:footnote>
  <w:footnote w:type="continuationSeparator" w:id="0">
    <w:p w:rsidR="007A0FD3" w:rsidRDefault="007A0FD3" w:rsidP="004A504B">
      <w:r>
        <w:continuationSeparator/>
      </w:r>
    </w:p>
  </w:footnote>
  <w:footnote w:id="1">
    <w:p w:rsidR="007A0FD3" w:rsidRPr="00FE3307" w:rsidRDefault="007A0FD3" w:rsidP="00FE3307">
      <w:pPr>
        <w:pStyle w:val="FootnoteText"/>
        <w:rPr>
          <w:lang w:val="en-CA"/>
        </w:rPr>
      </w:pPr>
      <w:r w:rsidRPr="00FE3307">
        <w:rPr>
          <w:rStyle w:val="FootnoteReference"/>
        </w:rPr>
        <w:footnoteRef/>
      </w:r>
      <w:r w:rsidRPr="00FE3307">
        <w:t xml:space="preserve"> </w:t>
      </w:r>
      <w:r w:rsidRPr="00FE3307">
        <w:rPr>
          <w:lang w:val="en-CA"/>
        </w:rPr>
        <w:t xml:space="preserve">As per the letter of </w:t>
      </w:r>
      <w:r>
        <w:rPr>
          <w:lang w:val="en-CA"/>
        </w:rPr>
        <w:t>12 March</w:t>
      </w:r>
      <w:r w:rsidRPr="00FE3307">
        <w:rPr>
          <w:lang w:val="en-CA"/>
        </w:rPr>
        <w:t xml:space="preserve"> 2019 from the Ministry of </w:t>
      </w:r>
      <w:r>
        <w:rPr>
          <w:lang w:val="en-CA"/>
        </w:rPr>
        <w:t>Environment</w:t>
      </w:r>
      <w:r w:rsidRPr="00FE3307">
        <w:rPr>
          <w:lang w:val="en-CA"/>
        </w:rPr>
        <w:t xml:space="preserve"> of </w:t>
      </w:r>
      <w:r>
        <w:rPr>
          <w:lang w:val="en-CA"/>
        </w:rPr>
        <w:t>Cambodia</w:t>
      </w:r>
      <w:r w:rsidRPr="00FE3307">
        <w:rPr>
          <w:lang w:val="en-CA"/>
        </w:rPr>
        <w:t xml:space="preserve"> to</w:t>
      </w:r>
      <w:r>
        <w:rPr>
          <w:lang w:val="en-CA"/>
        </w:rPr>
        <w:t xml:space="preserve"> UNEP</w:t>
      </w:r>
      <w:r w:rsidRPr="00FE3307">
        <w:rPr>
          <w:lang w:val="en-CA"/>
        </w:rPr>
        <w:t>.</w:t>
      </w:r>
    </w:p>
  </w:footnote>
  <w:footnote w:id="2">
    <w:p w:rsidR="007A0FD3" w:rsidRPr="007656A9" w:rsidRDefault="007A0FD3">
      <w:pPr>
        <w:pStyle w:val="FootnoteText"/>
        <w:rPr>
          <w:lang w:val="en-CA"/>
        </w:rPr>
      </w:pPr>
      <w:r w:rsidRPr="008162E0">
        <w:rPr>
          <w:rStyle w:val="FootnoteReference"/>
        </w:rPr>
        <w:footnoteRef/>
      </w:r>
      <w:r w:rsidRPr="008162E0">
        <w:t xml:space="preserve"> </w:t>
      </w:r>
      <w:r w:rsidRPr="008162E0">
        <w:rPr>
          <w:lang w:val="en-CA"/>
        </w:rPr>
        <w:t>The amended law is now referred to as the Sub-decree on ODS and Refrigerant Management.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D3" w:rsidRPr="0033525D" w:rsidRDefault="0033349D">
    <w:r>
      <w:fldChar w:fldCharType="begin"/>
    </w:r>
    <w:r>
      <w:instrText xml:space="preserve"> DOCPROPERTY "Document number"  \* MERGEFORMAT </w:instrText>
    </w:r>
    <w:r>
      <w:fldChar w:fldCharType="separate"/>
    </w:r>
    <w:r>
      <w:t>UNEP/OzL.Pro/ExCom/83/21</w:t>
    </w:r>
    <w:r>
      <w:fldChar w:fldCharType="end"/>
    </w:r>
  </w:p>
  <w:p w:rsidR="007A0FD3" w:rsidRPr="0033525D" w:rsidRDefault="007A0FD3"/>
  <w:p w:rsidR="007A0FD3" w:rsidRPr="0033525D" w:rsidRDefault="007A0F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D3" w:rsidRPr="0033525D" w:rsidRDefault="0033349D">
    <w:pPr>
      <w:jc w:val="right"/>
    </w:pPr>
    <w:r>
      <w:fldChar w:fldCharType="begin"/>
    </w:r>
    <w:r>
      <w:instrText xml:space="preserve"> DOCPROPERTY "Document number"  \* MERGEFORMAT </w:instrText>
    </w:r>
    <w:r>
      <w:fldChar w:fldCharType="separate"/>
    </w:r>
    <w:r>
      <w:t>UNEP/OzL.Pro/ExCom/83/21</w:t>
    </w:r>
    <w:r>
      <w:fldChar w:fldCharType="end"/>
    </w:r>
  </w:p>
  <w:p w:rsidR="007A0FD3" w:rsidRPr="0033525D" w:rsidRDefault="007A0FD3"/>
  <w:p w:rsidR="007A0FD3" w:rsidRPr="0033525D" w:rsidRDefault="007A0F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D3" w:rsidRPr="0033525D" w:rsidRDefault="0033349D" w:rsidP="00066FAC">
    <w:pPr>
      <w:jc w:val="right"/>
    </w:pPr>
    <w:r>
      <w:fldChar w:fldCharType="begin"/>
    </w:r>
    <w:r>
      <w:instrText xml:space="preserve"> DOCPROPERTY "Document number"  \* MERGEFORMAT </w:instrText>
    </w:r>
    <w:r>
      <w:fldChar w:fldCharType="separate"/>
    </w:r>
    <w:r>
      <w:t>UNEP/OzL.Pro/ExCom/83/21</w:t>
    </w:r>
    <w:r>
      <w:fldChar w:fldCharType="end"/>
    </w:r>
  </w:p>
  <w:p w:rsidR="007A0FD3" w:rsidRDefault="007A0FD3" w:rsidP="00066FAC">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D3" w:rsidRPr="0033525D" w:rsidRDefault="0033349D" w:rsidP="00066FAC">
    <w:pPr>
      <w:jc w:val="left"/>
    </w:pPr>
    <w:r>
      <w:fldChar w:fldCharType="begin"/>
    </w:r>
    <w:r>
      <w:instrText xml:space="preserve"> DOCPROPERTY "Document number"  \* MERGEFORMAT </w:instrText>
    </w:r>
    <w:r>
      <w:fldChar w:fldCharType="separate"/>
    </w:r>
    <w:r>
      <w:t>UNEP/OzL.Pro/ExCom/83/21</w:t>
    </w:r>
    <w:r>
      <w:fldChar w:fldCharType="end"/>
    </w:r>
  </w:p>
  <w:p w:rsidR="007A0FD3" w:rsidRDefault="007A0FD3" w:rsidP="00066FA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660DDEA"/>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1D00E2"/>
    <w:multiLevelType w:val="hybridMultilevel"/>
    <w:tmpl w:val="DE7E1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7"/>
  </w:num>
  <w:num w:numId="20">
    <w:abstractNumId w:val="12"/>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BC1E52"/>
    <w:rsid w:val="00000FED"/>
    <w:rsid w:val="0000434E"/>
    <w:rsid w:val="000211A9"/>
    <w:rsid w:val="00031260"/>
    <w:rsid w:val="0003681A"/>
    <w:rsid w:val="00061EC2"/>
    <w:rsid w:val="00066FAC"/>
    <w:rsid w:val="00067709"/>
    <w:rsid w:val="00070CB2"/>
    <w:rsid w:val="00071C04"/>
    <w:rsid w:val="00080ED0"/>
    <w:rsid w:val="00085B8F"/>
    <w:rsid w:val="00090481"/>
    <w:rsid w:val="000A6C26"/>
    <w:rsid w:val="000C7DFE"/>
    <w:rsid w:val="000D384E"/>
    <w:rsid w:val="000D52A4"/>
    <w:rsid w:val="000E07BC"/>
    <w:rsid w:val="000F1CD4"/>
    <w:rsid w:val="000F29AC"/>
    <w:rsid w:val="000F4103"/>
    <w:rsid w:val="000F485F"/>
    <w:rsid w:val="000F70A7"/>
    <w:rsid w:val="00104E4D"/>
    <w:rsid w:val="00113CCA"/>
    <w:rsid w:val="00122F25"/>
    <w:rsid w:val="00135980"/>
    <w:rsid w:val="001509DF"/>
    <w:rsid w:val="00164719"/>
    <w:rsid w:val="00166FC4"/>
    <w:rsid w:val="001677AC"/>
    <w:rsid w:val="001734D2"/>
    <w:rsid w:val="001804EA"/>
    <w:rsid w:val="00190A61"/>
    <w:rsid w:val="00191607"/>
    <w:rsid w:val="00197EE0"/>
    <w:rsid w:val="001A1D33"/>
    <w:rsid w:val="001A3342"/>
    <w:rsid w:val="001A3E3D"/>
    <w:rsid w:val="001A4EC1"/>
    <w:rsid w:val="001A7049"/>
    <w:rsid w:val="001B1E40"/>
    <w:rsid w:val="001C4A43"/>
    <w:rsid w:val="001C764E"/>
    <w:rsid w:val="001D7385"/>
    <w:rsid w:val="001E1052"/>
    <w:rsid w:val="001E21B1"/>
    <w:rsid w:val="001E2F93"/>
    <w:rsid w:val="001E5BE1"/>
    <w:rsid w:val="001E61E5"/>
    <w:rsid w:val="001F2159"/>
    <w:rsid w:val="0020784F"/>
    <w:rsid w:val="00214863"/>
    <w:rsid w:val="002156B4"/>
    <w:rsid w:val="0024011B"/>
    <w:rsid w:val="002410B4"/>
    <w:rsid w:val="00241962"/>
    <w:rsid w:val="00253222"/>
    <w:rsid w:val="00262847"/>
    <w:rsid w:val="00281BB2"/>
    <w:rsid w:val="00295BFF"/>
    <w:rsid w:val="002B72E9"/>
    <w:rsid w:val="002C7998"/>
    <w:rsid w:val="002F1E53"/>
    <w:rsid w:val="002F2CAA"/>
    <w:rsid w:val="0030052C"/>
    <w:rsid w:val="0031593B"/>
    <w:rsid w:val="003306E1"/>
    <w:rsid w:val="003320E4"/>
    <w:rsid w:val="0033349D"/>
    <w:rsid w:val="0033525D"/>
    <w:rsid w:val="003414F3"/>
    <w:rsid w:val="0035613E"/>
    <w:rsid w:val="0035697D"/>
    <w:rsid w:val="00361B2F"/>
    <w:rsid w:val="00363EE9"/>
    <w:rsid w:val="00376128"/>
    <w:rsid w:val="0037742E"/>
    <w:rsid w:val="00377D56"/>
    <w:rsid w:val="0038245A"/>
    <w:rsid w:val="003840E6"/>
    <w:rsid w:val="00385CFC"/>
    <w:rsid w:val="0039337A"/>
    <w:rsid w:val="0039358B"/>
    <w:rsid w:val="003A3189"/>
    <w:rsid w:val="003A3CA7"/>
    <w:rsid w:val="003A66BC"/>
    <w:rsid w:val="003B33BD"/>
    <w:rsid w:val="003B569D"/>
    <w:rsid w:val="003C3C0E"/>
    <w:rsid w:val="003D4FAC"/>
    <w:rsid w:val="003E1AEA"/>
    <w:rsid w:val="003E7906"/>
    <w:rsid w:val="003F3C50"/>
    <w:rsid w:val="004048D2"/>
    <w:rsid w:val="00406A6A"/>
    <w:rsid w:val="00406B22"/>
    <w:rsid w:val="004174B4"/>
    <w:rsid w:val="0042491D"/>
    <w:rsid w:val="0042788C"/>
    <w:rsid w:val="00430658"/>
    <w:rsid w:val="004328A7"/>
    <w:rsid w:val="00434C74"/>
    <w:rsid w:val="0044049E"/>
    <w:rsid w:val="004467F6"/>
    <w:rsid w:val="00456EB4"/>
    <w:rsid w:val="0045791B"/>
    <w:rsid w:val="00465728"/>
    <w:rsid w:val="004718F3"/>
    <w:rsid w:val="00472B44"/>
    <w:rsid w:val="00475040"/>
    <w:rsid w:val="00490BCB"/>
    <w:rsid w:val="00493D40"/>
    <w:rsid w:val="004967B6"/>
    <w:rsid w:val="004A504B"/>
    <w:rsid w:val="004A6911"/>
    <w:rsid w:val="004B2F8A"/>
    <w:rsid w:val="004B54E0"/>
    <w:rsid w:val="004B7384"/>
    <w:rsid w:val="004C4269"/>
    <w:rsid w:val="004D6236"/>
    <w:rsid w:val="004D7F90"/>
    <w:rsid w:val="004E4DBB"/>
    <w:rsid w:val="004E4E41"/>
    <w:rsid w:val="004E7F9C"/>
    <w:rsid w:val="004F2BBD"/>
    <w:rsid w:val="004F3493"/>
    <w:rsid w:val="004F5143"/>
    <w:rsid w:val="0050496F"/>
    <w:rsid w:val="00505B1A"/>
    <w:rsid w:val="00507F6D"/>
    <w:rsid w:val="00512B09"/>
    <w:rsid w:val="00526686"/>
    <w:rsid w:val="00533796"/>
    <w:rsid w:val="005547B4"/>
    <w:rsid w:val="00555D75"/>
    <w:rsid w:val="00560DF0"/>
    <w:rsid w:val="0056759C"/>
    <w:rsid w:val="0058063C"/>
    <w:rsid w:val="0059513E"/>
    <w:rsid w:val="005B48FF"/>
    <w:rsid w:val="005B602F"/>
    <w:rsid w:val="005D77AC"/>
    <w:rsid w:val="005E1C71"/>
    <w:rsid w:val="0060399A"/>
    <w:rsid w:val="00604C15"/>
    <w:rsid w:val="00614BE0"/>
    <w:rsid w:val="006158D5"/>
    <w:rsid w:val="00616075"/>
    <w:rsid w:val="00625D83"/>
    <w:rsid w:val="006408F6"/>
    <w:rsid w:val="006623E7"/>
    <w:rsid w:val="00662B80"/>
    <w:rsid w:val="00670F6C"/>
    <w:rsid w:val="006852C7"/>
    <w:rsid w:val="006852CE"/>
    <w:rsid w:val="006B2184"/>
    <w:rsid w:val="006C1727"/>
    <w:rsid w:val="006C32FD"/>
    <w:rsid w:val="006C39CE"/>
    <w:rsid w:val="006D0FCC"/>
    <w:rsid w:val="006D7F00"/>
    <w:rsid w:val="006E14E5"/>
    <w:rsid w:val="006E1FC3"/>
    <w:rsid w:val="006E3568"/>
    <w:rsid w:val="006E430C"/>
    <w:rsid w:val="0070616B"/>
    <w:rsid w:val="00706FDA"/>
    <w:rsid w:val="00710B3B"/>
    <w:rsid w:val="00711F9A"/>
    <w:rsid w:val="00713810"/>
    <w:rsid w:val="007303A5"/>
    <w:rsid w:val="00730B3E"/>
    <w:rsid w:val="0073420B"/>
    <w:rsid w:val="0074760E"/>
    <w:rsid w:val="00754ABA"/>
    <w:rsid w:val="007636E6"/>
    <w:rsid w:val="007656A9"/>
    <w:rsid w:val="007657C2"/>
    <w:rsid w:val="007817CD"/>
    <w:rsid w:val="007A0FD3"/>
    <w:rsid w:val="007A1546"/>
    <w:rsid w:val="007A228C"/>
    <w:rsid w:val="007A321A"/>
    <w:rsid w:val="007A368E"/>
    <w:rsid w:val="007A3DF9"/>
    <w:rsid w:val="007A5868"/>
    <w:rsid w:val="007A79F8"/>
    <w:rsid w:val="007B04CE"/>
    <w:rsid w:val="007B6871"/>
    <w:rsid w:val="007B6F8C"/>
    <w:rsid w:val="007B7A2F"/>
    <w:rsid w:val="007C3D33"/>
    <w:rsid w:val="007C5C2B"/>
    <w:rsid w:val="007D294A"/>
    <w:rsid w:val="007D47D2"/>
    <w:rsid w:val="007D6EC0"/>
    <w:rsid w:val="007D7E1D"/>
    <w:rsid w:val="007E6741"/>
    <w:rsid w:val="007F3F57"/>
    <w:rsid w:val="00801E6A"/>
    <w:rsid w:val="00803A5F"/>
    <w:rsid w:val="00811DFD"/>
    <w:rsid w:val="008162E0"/>
    <w:rsid w:val="00820BA0"/>
    <w:rsid w:val="00831979"/>
    <w:rsid w:val="00851352"/>
    <w:rsid w:val="00863230"/>
    <w:rsid w:val="008717D8"/>
    <w:rsid w:val="0087215C"/>
    <w:rsid w:val="00876788"/>
    <w:rsid w:val="00880E35"/>
    <w:rsid w:val="008875FE"/>
    <w:rsid w:val="00887F8E"/>
    <w:rsid w:val="00896234"/>
    <w:rsid w:val="00897E43"/>
    <w:rsid w:val="008C34EC"/>
    <w:rsid w:val="008C5738"/>
    <w:rsid w:val="008C7EAD"/>
    <w:rsid w:val="008D0CFE"/>
    <w:rsid w:val="008D6152"/>
    <w:rsid w:val="008E4E4E"/>
    <w:rsid w:val="008F0F81"/>
    <w:rsid w:val="008F27BF"/>
    <w:rsid w:val="008F3116"/>
    <w:rsid w:val="009142EC"/>
    <w:rsid w:val="009154C3"/>
    <w:rsid w:val="00923540"/>
    <w:rsid w:val="0092434E"/>
    <w:rsid w:val="00926767"/>
    <w:rsid w:val="009361D5"/>
    <w:rsid w:val="009428A4"/>
    <w:rsid w:val="00962D0D"/>
    <w:rsid w:val="009659F4"/>
    <w:rsid w:val="00970D60"/>
    <w:rsid w:val="009852A6"/>
    <w:rsid w:val="009960E5"/>
    <w:rsid w:val="009A7ADC"/>
    <w:rsid w:val="009B218E"/>
    <w:rsid w:val="009C19B7"/>
    <w:rsid w:val="009D5751"/>
    <w:rsid w:val="009D7C51"/>
    <w:rsid w:val="009E196C"/>
    <w:rsid w:val="009F36BF"/>
    <w:rsid w:val="00A111B6"/>
    <w:rsid w:val="00A2314D"/>
    <w:rsid w:val="00A26D27"/>
    <w:rsid w:val="00A376EE"/>
    <w:rsid w:val="00A42678"/>
    <w:rsid w:val="00A42A99"/>
    <w:rsid w:val="00A45746"/>
    <w:rsid w:val="00A5151A"/>
    <w:rsid w:val="00A515B5"/>
    <w:rsid w:val="00A57E0A"/>
    <w:rsid w:val="00A63F24"/>
    <w:rsid w:val="00A76D05"/>
    <w:rsid w:val="00A823F6"/>
    <w:rsid w:val="00A93BBA"/>
    <w:rsid w:val="00AA0A89"/>
    <w:rsid w:val="00AA6429"/>
    <w:rsid w:val="00AB39F5"/>
    <w:rsid w:val="00AB4038"/>
    <w:rsid w:val="00AC01AA"/>
    <w:rsid w:val="00AC445F"/>
    <w:rsid w:val="00AC4F72"/>
    <w:rsid w:val="00AD16A2"/>
    <w:rsid w:val="00AE592A"/>
    <w:rsid w:val="00AF741A"/>
    <w:rsid w:val="00B01ADB"/>
    <w:rsid w:val="00B04161"/>
    <w:rsid w:val="00B056F9"/>
    <w:rsid w:val="00B11192"/>
    <w:rsid w:val="00B11E3D"/>
    <w:rsid w:val="00B17E82"/>
    <w:rsid w:val="00B2234D"/>
    <w:rsid w:val="00B2475F"/>
    <w:rsid w:val="00B4575A"/>
    <w:rsid w:val="00B54F16"/>
    <w:rsid w:val="00B575BA"/>
    <w:rsid w:val="00B76429"/>
    <w:rsid w:val="00B84BA0"/>
    <w:rsid w:val="00B956D4"/>
    <w:rsid w:val="00B97446"/>
    <w:rsid w:val="00BA5899"/>
    <w:rsid w:val="00BA7432"/>
    <w:rsid w:val="00BC1AA0"/>
    <w:rsid w:val="00BC1E52"/>
    <w:rsid w:val="00BC2495"/>
    <w:rsid w:val="00BC7EB9"/>
    <w:rsid w:val="00BD2643"/>
    <w:rsid w:val="00BD56B1"/>
    <w:rsid w:val="00BD6558"/>
    <w:rsid w:val="00BF3022"/>
    <w:rsid w:val="00BF3214"/>
    <w:rsid w:val="00BF5573"/>
    <w:rsid w:val="00C02504"/>
    <w:rsid w:val="00C0352B"/>
    <w:rsid w:val="00C14710"/>
    <w:rsid w:val="00C15867"/>
    <w:rsid w:val="00C2296D"/>
    <w:rsid w:val="00C23155"/>
    <w:rsid w:val="00C27E9F"/>
    <w:rsid w:val="00C4049B"/>
    <w:rsid w:val="00C40C41"/>
    <w:rsid w:val="00C437A9"/>
    <w:rsid w:val="00C45885"/>
    <w:rsid w:val="00C50F22"/>
    <w:rsid w:val="00C57971"/>
    <w:rsid w:val="00C65BD7"/>
    <w:rsid w:val="00C76BA4"/>
    <w:rsid w:val="00C80AE1"/>
    <w:rsid w:val="00C83A48"/>
    <w:rsid w:val="00C85865"/>
    <w:rsid w:val="00C85E85"/>
    <w:rsid w:val="00C902F5"/>
    <w:rsid w:val="00CA2D39"/>
    <w:rsid w:val="00CA2EAE"/>
    <w:rsid w:val="00CA4AC1"/>
    <w:rsid w:val="00CB0316"/>
    <w:rsid w:val="00CB0B11"/>
    <w:rsid w:val="00CB44E0"/>
    <w:rsid w:val="00CB5354"/>
    <w:rsid w:val="00CC6A14"/>
    <w:rsid w:val="00CC70A3"/>
    <w:rsid w:val="00CC7DA4"/>
    <w:rsid w:val="00CD2700"/>
    <w:rsid w:val="00CD4442"/>
    <w:rsid w:val="00CD53C3"/>
    <w:rsid w:val="00CD574E"/>
    <w:rsid w:val="00CE4C22"/>
    <w:rsid w:val="00CF41EC"/>
    <w:rsid w:val="00CF5D04"/>
    <w:rsid w:val="00CF7E8D"/>
    <w:rsid w:val="00D04DE4"/>
    <w:rsid w:val="00D063F1"/>
    <w:rsid w:val="00D13CD0"/>
    <w:rsid w:val="00D14F22"/>
    <w:rsid w:val="00D30FD6"/>
    <w:rsid w:val="00D4741C"/>
    <w:rsid w:val="00D53F57"/>
    <w:rsid w:val="00D5417A"/>
    <w:rsid w:val="00D5764C"/>
    <w:rsid w:val="00D57918"/>
    <w:rsid w:val="00D63563"/>
    <w:rsid w:val="00D70E43"/>
    <w:rsid w:val="00D73DC6"/>
    <w:rsid w:val="00D74C1A"/>
    <w:rsid w:val="00D754C1"/>
    <w:rsid w:val="00D77393"/>
    <w:rsid w:val="00D77A35"/>
    <w:rsid w:val="00D81B3E"/>
    <w:rsid w:val="00D90C70"/>
    <w:rsid w:val="00D90E49"/>
    <w:rsid w:val="00D96ADE"/>
    <w:rsid w:val="00DA0CE2"/>
    <w:rsid w:val="00DB3C77"/>
    <w:rsid w:val="00DC6A10"/>
    <w:rsid w:val="00DE657E"/>
    <w:rsid w:val="00DF4704"/>
    <w:rsid w:val="00DF7843"/>
    <w:rsid w:val="00E024AA"/>
    <w:rsid w:val="00E250F1"/>
    <w:rsid w:val="00E3550D"/>
    <w:rsid w:val="00E614E0"/>
    <w:rsid w:val="00E64662"/>
    <w:rsid w:val="00E67AB1"/>
    <w:rsid w:val="00E73F7F"/>
    <w:rsid w:val="00E85409"/>
    <w:rsid w:val="00EA13CF"/>
    <w:rsid w:val="00EA429F"/>
    <w:rsid w:val="00EA4F9E"/>
    <w:rsid w:val="00EA63CA"/>
    <w:rsid w:val="00EA6D3B"/>
    <w:rsid w:val="00EB00AD"/>
    <w:rsid w:val="00EB0F8A"/>
    <w:rsid w:val="00EB136C"/>
    <w:rsid w:val="00EB480E"/>
    <w:rsid w:val="00EB5EC6"/>
    <w:rsid w:val="00EB7FC9"/>
    <w:rsid w:val="00ED27E8"/>
    <w:rsid w:val="00ED7137"/>
    <w:rsid w:val="00ED79D2"/>
    <w:rsid w:val="00F121B7"/>
    <w:rsid w:val="00F21088"/>
    <w:rsid w:val="00F24F34"/>
    <w:rsid w:val="00F26213"/>
    <w:rsid w:val="00F327E7"/>
    <w:rsid w:val="00F35746"/>
    <w:rsid w:val="00F447C7"/>
    <w:rsid w:val="00F46E3F"/>
    <w:rsid w:val="00F5211B"/>
    <w:rsid w:val="00F554A9"/>
    <w:rsid w:val="00F716FD"/>
    <w:rsid w:val="00F80355"/>
    <w:rsid w:val="00F87C43"/>
    <w:rsid w:val="00FA41C0"/>
    <w:rsid w:val="00FB0C81"/>
    <w:rsid w:val="00FB1C91"/>
    <w:rsid w:val="00FC2200"/>
    <w:rsid w:val="00FC2540"/>
    <w:rsid w:val="00FC7613"/>
    <w:rsid w:val="00FE3307"/>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413CEF7-BB2B-4395-B419-3F4FF057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FE3307"/>
    <w:pPr>
      <w:ind w:left="720"/>
      <w:contextualSpacing/>
    </w:pPr>
  </w:style>
  <w:style w:type="paragraph" w:styleId="FootnoteText">
    <w:name w:val="footnote text"/>
    <w:basedOn w:val="Normal"/>
    <w:link w:val="FootnoteTextChar"/>
    <w:uiPriority w:val="99"/>
    <w:semiHidden/>
    <w:unhideWhenUsed/>
    <w:rsid w:val="00FE3307"/>
    <w:rPr>
      <w:sz w:val="20"/>
      <w:szCs w:val="20"/>
    </w:rPr>
  </w:style>
  <w:style w:type="character" w:customStyle="1" w:styleId="FootnoteTextChar">
    <w:name w:val="Footnote Text Char"/>
    <w:basedOn w:val="DefaultParagraphFont"/>
    <w:link w:val="FootnoteText"/>
    <w:uiPriority w:val="99"/>
    <w:semiHidden/>
    <w:rsid w:val="00FE3307"/>
    <w:rPr>
      <w:lang w:val="en-GB"/>
    </w:rPr>
  </w:style>
  <w:style w:type="character" w:styleId="FootnoteReference">
    <w:name w:val="footnote reference"/>
    <w:basedOn w:val="DefaultParagraphFont"/>
    <w:uiPriority w:val="99"/>
    <w:semiHidden/>
    <w:unhideWhenUsed/>
    <w:rsid w:val="00FE3307"/>
    <w:rPr>
      <w:vertAlign w:val="superscript"/>
    </w:rPr>
  </w:style>
  <w:style w:type="character" w:customStyle="1" w:styleId="FooterChar">
    <w:name w:val="Footer Char"/>
    <w:basedOn w:val="DefaultParagraphFont"/>
    <w:link w:val="Footer"/>
    <w:uiPriority w:val="99"/>
    <w:rsid w:val="00066FA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752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3rd\Templates\Eec8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UNEP/OzL.Pro/ExCom/83/21</Document_x0020_Number>
    <DocumentType xmlns="64e33b30-101d-41de-b951-961aab25ea29">Pre-session</DocumentType>
  </documentManagement>
</p:properties>
</file>

<file path=customXml/itemProps1.xml><?xml version="1.0" encoding="utf-8"?>
<ds:datastoreItem xmlns:ds="http://schemas.openxmlformats.org/officeDocument/2006/customXml" ds:itemID="{397442C2-8E17-46CF-AB42-54AF313F56E4}"/>
</file>

<file path=customXml/itemProps2.xml><?xml version="1.0" encoding="utf-8"?>
<ds:datastoreItem xmlns:ds="http://schemas.openxmlformats.org/officeDocument/2006/customXml" ds:itemID="{F7BDE217-EB94-4FFD-8317-13AF131D5011}"/>
</file>

<file path=customXml/itemProps3.xml><?xml version="1.0" encoding="utf-8"?>
<ds:datastoreItem xmlns:ds="http://schemas.openxmlformats.org/officeDocument/2006/customXml" ds:itemID="{E02853B6-B8A6-43D0-B39A-CDCCD1166C77}"/>
</file>

<file path=customXml/itemProps4.xml><?xml version="1.0" encoding="utf-8"?>
<ds:datastoreItem xmlns:ds="http://schemas.openxmlformats.org/officeDocument/2006/customXml" ds:itemID="{DF5F55CF-E04E-43B6-89CF-15C4616A8C5F}"/>
</file>

<file path=docProps/app.xml><?xml version="1.0" encoding="utf-8"?>
<Properties xmlns="http://schemas.openxmlformats.org/officeDocument/2006/extended-properties" xmlns:vt="http://schemas.openxmlformats.org/officeDocument/2006/docPropsVTypes">
  <Template>Eec83G</Template>
  <TotalTime>3</TotalTime>
  <Pages>9</Pages>
  <Words>2730</Words>
  <Characters>15441</Characters>
  <Application>Microsoft Office Word</Application>
  <DocSecurity>0</DocSecurity>
  <Lines>735</Lines>
  <Paragraphs>534</Paragraphs>
  <ScaleCrop>false</ScaleCrop>
  <HeadingPairs>
    <vt:vector size="2" baseType="variant">
      <vt:variant>
        <vt:lpstr>Title</vt:lpstr>
      </vt:variant>
      <vt:variant>
        <vt:i4>1</vt:i4>
      </vt:variant>
    </vt:vector>
  </HeadingPairs>
  <TitlesOfParts>
    <vt:vector size="1" baseType="lpstr">
      <vt:lpstr>PROJECT PROOSAL: CAMBODIA</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Cambodia</dc:title>
  <dc:subject>UNEP/OzL.Pro/ExCom/83/21</dc:subject>
  <dc:creator>Nanette Guerin</dc:creator>
  <cp:lastModifiedBy>Nanette Guerin</cp:lastModifiedBy>
  <cp:revision>4</cp:revision>
  <cp:lastPrinted>2019-04-30T19:13:00Z</cp:lastPrinted>
  <dcterms:created xsi:type="dcterms:W3CDTF">2019-04-30T19:07:00Z</dcterms:created>
  <dcterms:modified xsi:type="dcterms:W3CDTF">2019-04-30T19:14:00Z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UNEP/OzL.Pro/ExCom/83/21</vt:lpwstr>
  </property>
  <property fmtid="{D5CDD505-2E9C-101B-9397-08002B2CF9AE}" pid="3" name="Revision date">
    <vt:lpwstr>04/30/2019</vt:lpwstr>
  </property>
  <property fmtid="{D5CDD505-2E9C-101B-9397-08002B2CF9AE}" pid="4" name="ContentTypeId">
    <vt:lpwstr>0x010100762D6C4AB31DDB43B4A5CC9B954409C8</vt:lpwstr>
  </property>
</Properties>
</file>