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944BFF" w14:paraId="2CDDF710" w14:textId="77777777">
        <w:trPr>
          <w:trHeight w:val="720"/>
        </w:trPr>
        <w:tc>
          <w:tcPr>
            <w:tcW w:w="7061" w:type="dxa"/>
            <w:gridSpan w:val="2"/>
            <w:tcBorders>
              <w:bottom w:val="single" w:sz="18" w:space="0" w:color="auto"/>
            </w:tcBorders>
          </w:tcPr>
          <w:p w14:paraId="52C70BC3" w14:textId="77777777" w:rsidR="00441083" w:rsidRPr="00944BF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944BFF">
              <w:rPr>
                <w:rFonts w:ascii="Univers" w:hAnsi="Univers"/>
                <w:b/>
                <w:sz w:val="28"/>
                <w:szCs w:val="28"/>
                <w:lang w:val="fr-FR"/>
              </w:rPr>
              <w:t>NATIONS</w:t>
            </w:r>
          </w:p>
          <w:p w14:paraId="391B205E" w14:textId="77777777" w:rsidR="00441083" w:rsidRPr="00944BF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944BFF">
              <w:rPr>
                <w:rFonts w:ascii="Univers" w:hAnsi="Univers"/>
                <w:b/>
                <w:sz w:val="28"/>
                <w:szCs w:val="28"/>
                <w:lang w:val="fr-FR"/>
              </w:rPr>
              <w:t xml:space="preserve">UNIES </w:t>
            </w:r>
          </w:p>
        </w:tc>
        <w:tc>
          <w:tcPr>
            <w:tcW w:w="3544" w:type="dxa"/>
            <w:tcBorders>
              <w:bottom w:val="single" w:sz="18" w:space="0" w:color="auto"/>
            </w:tcBorders>
          </w:tcPr>
          <w:p w14:paraId="60B57889" w14:textId="77777777" w:rsidR="00441083" w:rsidRPr="00944BFF" w:rsidRDefault="00E60D9C">
            <w:pPr>
              <w:tabs>
                <w:tab w:val="left" w:pos="3010"/>
              </w:tabs>
              <w:jc w:val="center"/>
              <w:rPr>
                <w:sz w:val="52"/>
                <w:szCs w:val="52"/>
                <w:lang w:val="fr-FR"/>
              </w:rPr>
            </w:pPr>
            <w:r w:rsidRPr="00944BFF">
              <w:rPr>
                <w:rFonts w:ascii="Univers Bold" w:hAnsi="Univers Bold"/>
                <w:b/>
                <w:sz w:val="72"/>
                <w:lang w:val="fr-FR"/>
              </w:rPr>
              <w:t xml:space="preserve">          EP</w:t>
            </w:r>
          </w:p>
        </w:tc>
      </w:tr>
      <w:tr w:rsidR="00441083" w:rsidRPr="00944BFF" w14:paraId="7732E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A5BEBBD" w14:textId="77777777" w:rsidR="00441083" w:rsidRPr="00944BFF" w:rsidRDefault="00C6443E">
            <w:pPr>
              <w:spacing w:before="120"/>
              <w:rPr>
                <w:lang w:val="fr-FR"/>
              </w:rPr>
            </w:pPr>
            <w:r w:rsidRPr="00944BFF">
              <w:rPr>
                <w:noProof/>
                <w:lang w:val="en-CA" w:eastAsia="en-CA"/>
              </w:rPr>
              <w:drawing>
                <wp:anchor distT="0" distB="0" distL="114300" distR="114300" simplePos="0" relativeHeight="251660288" behindDoc="0" locked="0" layoutInCell="1" allowOverlap="1" wp14:anchorId="2A68F707" wp14:editId="486DE372">
                  <wp:simplePos x="0" y="0"/>
                  <wp:positionH relativeFrom="column">
                    <wp:posOffset>343535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944BFF">
              <w:rPr>
                <w:noProof/>
                <w:lang w:val="en-CA" w:eastAsia="en-CA"/>
              </w:rPr>
              <w:drawing>
                <wp:anchor distT="0" distB="0" distL="114300" distR="114300" simplePos="0" relativeHeight="251661312" behindDoc="1" locked="0" layoutInCell="0" allowOverlap="1" wp14:anchorId="1114352B" wp14:editId="4F48662C">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136FA414" w14:textId="77777777" w:rsidR="00441083" w:rsidRPr="00944BFF"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3CF654C1" w14:textId="77777777" w:rsidR="00441083" w:rsidRPr="00944BF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944BFF">
              <w:rPr>
                <w:rFonts w:ascii="Univers" w:hAnsi="Univers"/>
                <w:b/>
                <w:sz w:val="32"/>
                <w:lang w:val="fr-FR"/>
              </w:rPr>
              <w:t>Programme des</w:t>
            </w:r>
          </w:p>
          <w:p w14:paraId="511E4083" w14:textId="77777777" w:rsidR="00441083" w:rsidRPr="00944BFF" w:rsidRDefault="00E60D9C">
            <w:pPr>
              <w:rPr>
                <w:rFonts w:ascii="Univers" w:hAnsi="Univers"/>
                <w:b/>
                <w:sz w:val="32"/>
                <w:lang w:val="fr-FR"/>
              </w:rPr>
            </w:pPr>
            <w:r w:rsidRPr="00944BFF">
              <w:rPr>
                <w:rFonts w:ascii="Univers" w:hAnsi="Univers"/>
                <w:b/>
                <w:sz w:val="32"/>
                <w:lang w:val="fr-FR"/>
              </w:rPr>
              <w:t>Nations Unies pour</w:t>
            </w:r>
          </w:p>
          <w:p w14:paraId="109DB79C" w14:textId="77777777" w:rsidR="00441083" w:rsidRPr="00944BFF" w:rsidRDefault="00E60D9C">
            <w:pPr>
              <w:rPr>
                <w:rFonts w:ascii="Univers" w:hAnsi="Univers"/>
                <w:b/>
                <w:sz w:val="32"/>
                <w:lang w:val="fr-FR"/>
              </w:rPr>
            </w:pPr>
            <w:r w:rsidRPr="00944BFF">
              <w:rPr>
                <w:rFonts w:ascii="Univers" w:hAnsi="Univers"/>
                <w:b/>
                <w:sz w:val="32"/>
                <w:lang w:val="fr-FR"/>
              </w:rPr>
              <w:t>l’environnement</w:t>
            </w:r>
          </w:p>
          <w:p w14:paraId="0D99A33B" w14:textId="77777777" w:rsidR="00441083" w:rsidRPr="00944BFF" w:rsidRDefault="00E60D9C">
            <w:pPr>
              <w:spacing w:before="720"/>
              <w:ind w:left="158"/>
              <w:rPr>
                <w:lang w:val="fr-FR"/>
              </w:rPr>
            </w:pPr>
            <w:r w:rsidRPr="00944BFF">
              <w:rPr>
                <w:lang w:val="fr-FR"/>
              </w:rPr>
              <w:t xml:space="preserve"> </w:t>
            </w:r>
          </w:p>
        </w:tc>
        <w:tc>
          <w:tcPr>
            <w:tcW w:w="3544" w:type="dxa"/>
            <w:tcBorders>
              <w:top w:val="nil"/>
              <w:left w:val="nil"/>
              <w:bottom w:val="single" w:sz="36" w:space="0" w:color="auto"/>
              <w:right w:val="nil"/>
            </w:tcBorders>
          </w:tcPr>
          <w:p w14:paraId="5A17D3D1" w14:textId="77777777" w:rsidR="00441083" w:rsidRPr="00944BFF" w:rsidRDefault="00441083">
            <w:pPr>
              <w:rPr>
                <w:lang w:val="fr-FR"/>
              </w:rPr>
            </w:pPr>
          </w:p>
          <w:p w14:paraId="5F25DA68" w14:textId="77777777" w:rsidR="00441083" w:rsidRPr="00944BFF" w:rsidRDefault="00E60D9C">
            <w:pPr>
              <w:rPr>
                <w:lang w:val="fr-FR"/>
              </w:rPr>
            </w:pPr>
            <w:r w:rsidRPr="00944BFF">
              <w:rPr>
                <w:lang w:val="fr-FR"/>
              </w:rPr>
              <w:t>Distr.</w:t>
            </w:r>
          </w:p>
          <w:p w14:paraId="4A38ADAF" w14:textId="77777777" w:rsidR="00441083" w:rsidRPr="00944BFF" w:rsidRDefault="00A372CB">
            <w:pPr>
              <w:rPr>
                <w:lang w:val="fr-FR"/>
              </w:rPr>
            </w:pPr>
            <w:r w:rsidRPr="00944BFF">
              <w:rPr>
                <w:lang w:val="fr-FR"/>
              </w:rPr>
              <w:t>GÉNÉ</w:t>
            </w:r>
            <w:r w:rsidR="00E60D9C" w:rsidRPr="00944BFF">
              <w:rPr>
                <w:lang w:val="fr-FR"/>
              </w:rPr>
              <w:t>RAL</w:t>
            </w:r>
            <w:r w:rsidRPr="00944BFF">
              <w:rPr>
                <w:lang w:val="fr-FR"/>
              </w:rPr>
              <w:t>E</w:t>
            </w:r>
          </w:p>
          <w:p w14:paraId="7B6BED9C" w14:textId="77777777" w:rsidR="00441083" w:rsidRPr="00944BFF" w:rsidRDefault="00441083">
            <w:pPr>
              <w:rPr>
                <w:lang w:val="fr-FR"/>
              </w:rPr>
            </w:pPr>
          </w:p>
          <w:p w14:paraId="76876E1C" w14:textId="1ADD11B4" w:rsidR="00441083" w:rsidRPr="00E742AC" w:rsidRDefault="00E60D9C">
            <w:pPr>
              <w:rPr>
                <w:lang w:val="en-CA"/>
              </w:rPr>
            </w:pPr>
            <w:r w:rsidRPr="00944BFF">
              <w:rPr>
                <w:lang w:val="fr-FR"/>
              </w:rPr>
              <w:fldChar w:fldCharType="begin"/>
            </w:r>
            <w:r w:rsidRPr="00E742AC">
              <w:rPr>
                <w:lang w:val="en-CA"/>
              </w:rPr>
              <w:instrText xml:space="preserve"> DOCPROPERTY "Document number"  \* MERGEFORMAT </w:instrText>
            </w:r>
            <w:r w:rsidRPr="00944BFF">
              <w:rPr>
                <w:lang w:val="fr-FR"/>
              </w:rPr>
              <w:fldChar w:fldCharType="separate"/>
            </w:r>
            <w:r w:rsidR="00265403" w:rsidRPr="00E742AC">
              <w:rPr>
                <w:lang w:val="en-CA"/>
              </w:rPr>
              <w:t>UNEP/OzL.Pro/ExCom/83/1/Add.1</w:t>
            </w:r>
            <w:r w:rsidRPr="00944BFF">
              <w:rPr>
                <w:lang w:val="fr-FR"/>
              </w:rPr>
              <w:fldChar w:fldCharType="end"/>
            </w:r>
          </w:p>
          <w:p w14:paraId="44980C80" w14:textId="29624438" w:rsidR="002F0B57" w:rsidRPr="00944BFF" w:rsidRDefault="002F0B57" w:rsidP="001D4CE7">
            <w:pPr>
              <w:rPr>
                <w:lang w:val="fr-FR"/>
              </w:rPr>
            </w:pPr>
            <w:r w:rsidRPr="00944BFF">
              <w:rPr>
                <w:lang w:val="fr-FR"/>
              </w:rPr>
              <w:fldChar w:fldCharType="begin"/>
            </w:r>
            <w:r w:rsidRPr="00944BFF">
              <w:rPr>
                <w:lang w:val="fr-FR"/>
              </w:rPr>
              <w:instrText xml:space="preserve"> DOCPROPERTY "Revision date" \@ "d MMMM YYYY"  \* MERGEFORMAT </w:instrText>
            </w:r>
            <w:r w:rsidRPr="00944BFF">
              <w:rPr>
                <w:lang w:val="fr-FR"/>
              </w:rPr>
              <w:fldChar w:fldCharType="separate"/>
            </w:r>
            <w:r w:rsidR="00265403">
              <w:rPr>
                <w:lang w:val="fr-FR"/>
              </w:rPr>
              <w:t>10 mai 2019</w:t>
            </w:r>
            <w:r w:rsidRPr="00944BFF">
              <w:rPr>
                <w:lang w:val="fr-FR"/>
              </w:rPr>
              <w:fldChar w:fldCharType="end"/>
            </w:r>
          </w:p>
          <w:p w14:paraId="18246CBC" w14:textId="77777777" w:rsidR="00441083" w:rsidRPr="00944BFF" w:rsidRDefault="00FC5578">
            <w:pPr>
              <w:rPr>
                <w:caps/>
                <w:lang w:val="fr-FR"/>
              </w:rPr>
            </w:pPr>
            <w:r w:rsidRPr="00944BFF">
              <w:rPr>
                <w:caps/>
                <w:lang w:val="fr-FR"/>
              </w:rPr>
              <w:br/>
            </w:r>
            <w:r w:rsidR="00E60D9C" w:rsidRPr="00944BFF">
              <w:rPr>
                <w:caps/>
                <w:lang w:val="fr-FR"/>
              </w:rPr>
              <w:t>FRANÇAIS</w:t>
            </w:r>
          </w:p>
          <w:p w14:paraId="486C20CB" w14:textId="77777777" w:rsidR="00441083" w:rsidRPr="00944BFF" w:rsidRDefault="00E60D9C">
            <w:pPr>
              <w:rPr>
                <w:lang w:val="fr-FR"/>
              </w:rPr>
            </w:pPr>
            <w:r w:rsidRPr="00944BFF">
              <w:rPr>
                <w:lang w:val="fr-FR"/>
              </w:rPr>
              <w:t xml:space="preserve">ORIGINAL: </w:t>
            </w:r>
            <w:r w:rsidR="0091161A" w:rsidRPr="00944BFF">
              <w:rPr>
                <w:lang w:val="fr-FR"/>
              </w:rPr>
              <w:t>ANGLAIS</w:t>
            </w:r>
          </w:p>
        </w:tc>
      </w:tr>
    </w:tbl>
    <w:p w14:paraId="3F27740E" w14:textId="77777777" w:rsidR="00441083" w:rsidRPr="00944BFF" w:rsidRDefault="00E60D9C" w:rsidP="004C2C87">
      <w:pPr>
        <w:jc w:val="left"/>
        <w:rPr>
          <w:lang w:val="fr-FR"/>
        </w:rPr>
      </w:pPr>
      <w:r w:rsidRPr="00944BFF">
        <w:rPr>
          <w:lang w:val="fr-FR"/>
        </w:rPr>
        <w:t xml:space="preserve">COMITE EXECUTIF </w:t>
      </w:r>
      <w:r w:rsidRPr="00944BFF">
        <w:rPr>
          <w:lang w:val="fr-FR"/>
        </w:rPr>
        <w:br/>
        <w:t xml:space="preserve">  DU FONDS MULTILATERAL AUX FINS </w:t>
      </w:r>
      <w:r w:rsidRPr="00944BFF">
        <w:rPr>
          <w:lang w:val="fr-FR"/>
        </w:rPr>
        <w:br/>
        <w:t xml:space="preserve">  D’APPLICATION DU PROTOCOLE DE MONTREAL</w:t>
      </w:r>
      <w:r w:rsidRPr="00944BFF">
        <w:rPr>
          <w:lang w:val="fr-FR"/>
        </w:rPr>
        <w:br/>
      </w:r>
      <w:r w:rsidR="00E54871" w:rsidRPr="00944BFF">
        <w:rPr>
          <w:lang w:val="fr-FR"/>
        </w:rPr>
        <w:t>Quatre</w:t>
      </w:r>
      <w:r w:rsidRPr="00944BFF">
        <w:rPr>
          <w:lang w:val="fr-FR"/>
        </w:rPr>
        <w:t>-</w:t>
      </w:r>
      <w:r w:rsidR="00E54871" w:rsidRPr="00944BFF">
        <w:rPr>
          <w:lang w:val="fr-FR"/>
        </w:rPr>
        <w:t>vingt</w:t>
      </w:r>
      <w:r w:rsidR="00AE63D8" w:rsidRPr="00944BFF">
        <w:rPr>
          <w:lang w:val="fr-FR"/>
        </w:rPr>
        <w:t>-</w:t>
      </w:r>
      <w:r w:rsidR="004C2C87" w:rsidRPr="00944BFF">
        <w:rPr>
          <w:lang w:val="fr-FR"/>
        </w:rPr>
        <w:t>troisi</w:t>
      </w:r>
      <w:r w:rsidR="00E54871" w:rsidRPr="00944BFF">
        <w:rPr>
          <w:lang w:val="fr-FR"/>
        </w:rPr>
        <w:t>ème</w:t>
      </w:r>
      <w:r w:rsidR="00FC5578" w:rsidRPr="00944BFF">
        <w:rPr>
          <w:lang w:val="fr-FR"/>
        </w:rPr>
        <w:t xml:space="preserve"> </w:t>
      </w:r>
      <w:r w:rsidRPr="00944BFF">
        <w:rPr>
          <w:lang w:val="fr-FR"/>
        </w:rPr>
        <w:t>réunion</w:t>
      </w:r>
    </w:p>
    <w:p w14:paraId="679C0324" w14:textId="77777777" w:rsidR="00441083" w:rsidRPr="00944BFF" w:rsidRDefault="00E54871" w:rsidP="009A1AE0">
      <w:pPr>
        <w:jc w:val="left"/>
        <w:rPr>
          <w:lang w:val="fr-FR"/>
        </w:rPr>
      </w:pPr>
      <w:r w:rsidRPr="00944BFF">
        <w:rPr>
          <w:lang w:val="fr-FR"/>
        </w:rPr>
        <w:t>Montréal,</w:t>
      </w:r>
      <w:r w:rsidR="00FC5578" w:rsidRPr="00944BFF">
        <w:rPr>
          <w:lang w:val="fr-FR"/>
        </w:rPr>
        <w:t xml:space="preserve"> </w:t>
      </w:r>
      <w:r w:rsidR="004C2C87" w:rsidRPr="00944BFF">
        <w:rPr>
          <w:lang w:val="fr-FR"/>
        </w:rPr>
        <w:t>27</w:t>
      </w:r>
      <w:r w:rsidR="00E60D9C" w:rsidRPr="00944BFF">
        <w:rPr>
          <w:lang w:val="fr-FR"/>
        </w:rPr>
        <w:t xml:space="preserve">– </w:t>
      </w:r>
      <w:r w:rsidR="004C2C87" w:rsidRPr="00944BFF">
        <w:rPr>
          <w:lang w:val="fr-FR"/>
        </w:rPr>
        <w:t>31</w:t>
      </w:r>
      <w:r w:rsidR="00E60D9C" w:rsidRPr="00944BFF">
        <w:rPr>
          <w:lang w:val="fr-FR"/>
        </w:rPr>
        <w:t xml:space="preserve"> </w:t>
      </w:r>
      <w:r w:rsidR="004C2C87" w:rsidRPr="00944BFF">
        <w:rPr>
          <w:lang w:val="fr-FR"/>
        </w:rPr>
        <w:t>mai 2019</w:t>
      </w:r>
    </w:p>
    <w:p w14:paraId="673175E9" w14:textId="07BE2426" w:rsidR="00441083" w:rsidRDefault="00441083">
      <w:pPr>
        <w:pStyle w:val="Title1"/>
        <w:rPr>
          <w:lang w:val="fr-FR"/>
        </w:rPr>
      </w:pPr>
    </w:p>
    <w:p w14:paraId="247D7CE1" w14:textId="514E54AD" w:rsidR="006877C9" w:rsidRDefault="006877C9">
      <w:pPr>
        <w:pStyle w:val="Title1"/>
        <w:rPr>
          <w:lang w:val="fr-FR"/>
        </w:rPr>
      </w:pPr>
    </w:p>
    <w:p w14:paraId="45134EBC" w14:textId="77777777" w:rsidR="006877C9" w:rsidRPr="00944BFF" w:rsidRDefault="006877C9">
      <w:pPr>
        <w:pStyle w:val="Title1"/>
        <w:rPr>
          <w:lang w:val="fr-FR"/>
        </w:rPr>
      </w:pPr>
    </w:p>
    <w:p w14:paraId="6F8552D1" w14:textId="77777777" w:rsidR="00441083" w:rsidRPr="00944BFF" w:rsidRDefault="00A372CB" w:rsidP="009A1AE0">
      <w:pPr>
        <w:jc w:val="center"/>
        <w:rPr>
          <w:lang w:val="fr-FR"/>
        </w:rPr>
      </w:pPr>
      <w:r w:rsidRPr="00944BFF">
        <w:rPr>
          <w:b/>
          <w:bCs/>
          <w:lang w:val="fr-FR"/>
        </w:rPr>
        <w:t>ORDRE DU JOUR PROVISOIRE ANNOTÉ</w:t>
      </w:r>
    </w:p>
    <w:p w14:paraId="68C720B2" w14:textId="77777777" w:rsidR="00441083" w:rsidRPr="00944BFF" w:rsidRDefault="00441083" w:rsidP="00A372CB">
      <w:pPr>
        <w:rPr>
          <w:lang w:val="fr-FR"/>
        </w:rPr>
      </w:pPr>
    </w:p>
    <w:p w14:paraId="3A3E47C6" w14:textId="77777777" w:rsidR="00A372CB" w:rsidRPr="00944BFF" w:rsidRDefault="00A372CB" w:rsidP="00A372CB">
      <w:pPr>
        <w:numPr>
          <w:ilvl w:val="0"/>
          <w:numId w:val="1"/>
        </w:numPr>
        <w:tabs>
          <w:tab w:val="clear" w:pos="0"/>
          <w:tab w:val="left" w:pos="720"/>
          <w:tab w:val="left" w:pos="1440"/>
          <w:tab w:val="left" w:pos="2160"/>
        </w:tabs>
        <w:spacing w:after="240"/>
        <w:outlineLvl w:val="0"/>
        <w:rPr>
          <w:b/>
          <w:color w:val="000000" w:themeColor="text1"/>
          <w:lang w:val="fr-FR"/>
        </w:rPr>
      </w:pPr>
      <w:r w:rsidRPr="00944BFF">
        <w:rPr>
          <w:b/>
          <w:color w:val="000000" w:themeColor="text1"/>
          <w:lang w:val="fr-FR"/>
        </w:rPr>
        <w:t>Ouverture de la réunion</w:t>
      </w:r>
    </w:p>
    <w:p w14:paraId="02543B1E" w14:textId="77777777" w:rsidR="00A372CB" w:rsidRPr="00944BFF" w:rsidRDefault="00A372CB" w:rsidP="00A372CB">
      <w:pPr>
        <w:tabs>
          <w:tab w:val="left" w:pos="720"/>
          <w:tab w:val="left" w:pos="1440"/>
          <w:tab w:val="left" w:pos="2160"/>
        </w:tabs>
        <w:spacing w:after="240"/>
        <w:ind w:left="709"/>
        <w:outlineLvl w:val="0"/>
        <w:rPr>
          <w:color w:val="000000" w:themeColor="text1"/>
          <w:lang w:val="fr-FR"/>
        </w:rPr>
      </w:pPr>
      <w:r w:rsidRPr="00944BFF">
        <w:rPr>
          <w:color w:val="000000" w:themeColor="text1"/>
          <w:lang w:val="fr-FR"/>
        </w:rPr>
        <w:t xml:space="preserve">Remarques d’ouverture du président du Comité exécutif. </w:t>
      </w:r>
    </w:p>
    <w:p w14:paraId="746CAC9C" w14:textId="77777777" w:rsidR="00A372CB" w:rsidRPr="00944BFF" w:rsidRDefault="00A372CB" w:rsidP="00A372CB">
      <w:pPr>
        <w:numPr>
          <w:ilvl w:val="0"/>
          <w:numId w:val="1"/>
        </w:numPr>
        <w:tabs>
          <w:tab w:val="clear" w:pos="0"/>
          <w:tab w:val="left" w:pos="720"/>
          <w:tab w:val="left" w:pos="1440"/>
          <w:tab w:val="left" w:pos="2160"/>
        </w:tabs>
        <w:spacing w:after="240"/>
        <w:outlineLvl w:val="0"/>
        <w:rPr>
          <w:b/>
          <w:color w:val="000000" w:themeColor="text1"/>
          <w:lang w:val="fr-FR"/>
        </w:rPr>
      </w:pPr>
      <w:r w:rsidRPr="00944BFF">
        <w:rPr>
          <w:b/>
          <w:color w:val="000000" w:themeColor="text1"/>
          <w:lang w:val="fr-FR"/>
        </w:rPr>
        <w:t>Questions d’organisation</w:t>
      </w:r>
    </w:p>
    <w:p w14:paraId="0826DE27" w14:textId="0CA376B3" w:rsidR="00A372CB" w:rsidRPr="00944BFF" w:rsidRDefault="003876FF" w:rsidP="003876FF">
      <w:pPr>
        <w:pStyle w:val="Heading2"/>
        <w:widowControl/>
        <w:numPr>
          <w:ilvl w:val="0"/>
          <w:numId w:val="0"/>
        </w:numPr>
        <w:ind w:left="1440" w:hanging="720"/>
        <w:rPr>
          <w:b/>
          <w:color w:val="000000" w:themeColor="text1"/>
          <w:lang w:val="fr-FR"/>
        </w:rPr>
      </w:pPr>
      <w:r>
        <w:rPr>
          <w:b/>
          <w:color w:val="000000" w:themeColor="text1"/>
          <w:lang w:val="fr-FR"/>
        </w:rPr>
        <w:t>a)</w:t>
      </w:r>
      <w:r>
        <w:rPr>
          <w:b/>
          <w:color w:val="000000" w:themeColor="text1"/>
          <w:lang w:val="fr-FR"/>
        </w:rPr>
        <w:tab/>
      </w:r>
      <w:r w:rsidR="00A372CB" w:rsidRPr="00944BFF">
        <w:rPr>
          <w:b/>
          <w:color w:val="000000" w:themeColor="text1"/>
          <w:lang w:val="fr-FR"/>
        </w:rPr>
        <w:t xml:space="preserve">Adoption de l’ordre du jour </w:t>
      </w:r>
    </w:p>
    <w:p w14:paraId="562543ED" w14:textId="4C20D101" w:rsidR="00A372CB" w:rsidRPr="00944BFF" w:rsidRDefault="00A372CB" w:rsidP="00A372CB">
      <w:pPr>
        <w:tabs>
          <w:tab w:val="left" w:pos="720"/>
          <w:tab w:val="left" w:pos="1440"/>
          <w:tab w:val="left" w:pos="2160"/>
        </w:tabs>
        <w:spacing w:after="240"/>
        <w:ind w:left="720"/>
        <w:outlineLvl w:val="1"/>
        <w:rPr>
          <w:color w:val="000000" w:themeColor="text1"/>
          <w:szCs w:val="24"/>
          <w:lang w:val="fr-FR"/>
        </w:rPr>
      </w:pPr>
      <w:r w:rsidRPr="00944BFF">
        <w:rPr>
          <w:color w:val="000000" w:themeColor="text1"/>
          <w:lang w:val="fr-FR"/>
        </w:rPr>
        <w:t xml:space="preserve">Le </w:t>
      </w:r>
      <w:r w:rsidRPr="00944BFF">
        <w:rPr>
          <w:color w:val="000000" w:themeColor="text1"/>
          <w:u w:val="single"/>
          <w:lang w:val="fr-FR"/>
        </w:rPr>
        <w:t xml:space="preserve">document </w:t>
      </w:r>
      <w:r w:rsidRPr="00944BFF">
        <w:rPr>
          <w:bCs/>
          <w:color w:val="000000" w:themeColor="text1"/>
          <w:szCs w:val="24"/>
          <w:u w:val="single"/>
          <w:lang w:val="fr-FR"/>
        </w:rPr>
        <w:t>UNEP/Oz</w:t>
      </w:r>
      <w:r w:rsidRPr="00944BFF">
        <w:rPr>
          <w:color w:val="000000" w:themeColor="text1"/>
          <w:szCs w:val="24"/>
          <w:u w:val="single"/>
          <w:lang w:val="fr-FR"/>
        </w:rPr>
        <w:t>L.Pro/ExCom/83/1</w:t>
      </w:r>
      <w:r w:rsidRPr="00944BFF">
        <w:rPr>
          <w:color w:val="000000" w:themeColor="text1"/>
          <w:szCs w:val="24"/>
          <w:lang w:val="fr-FR"/>
        </w:rPr>
        <w:t xml:space="preserve"> contient l’ordre du jour provisoire de la 8</w:t>
      </w:r>
      <w:r w:rsidR="00095793">
        <w:rPr>
          <w:color w:val="000000" w:themeColor="text1"/>
          <w:szCs w:val="24"/>
          <w:lang w:val="fr-FR"/>
        </w:rPr>
        <w:t>3</w:t>
      </w:r>
      <w:r w:rsidR="00095793" w:rsidRPr="00095793">
        <w:rPr>
          <w:color w:val="000000" w:themeColor="text1"/>
          <w:szCs w:val="24"/>
          <w:vertAlign w:val="superscript"/>
          <w:lang w:val="fr-FR"/>
        </w:rPr>
        <w:t>e</w:t>
      </w:r>
      <w:r w:rsidRPr="00944BFF">
        <w:rPr>
          <w:color w:val="000000" w:themeColor="text1"/>
          <w:szCs w:val="24"/>
          <w:lang w:val="fr-FR"/>
        </w:rPr>
        <w:t xml:space="preserve"> réunion. </w:t>
      </w:r>
    </w:p>
    <w:p w14:paraId="6EABB90E" w14:textId="77777777" w:rsidR="00A372CB" w:rsidRPr="00944BFF" w:rsidRDefault="00A372CB" w:rsidP="00A372CB">
      <w:pPr>
        <w:tabs>
          <w:tab w:val="left" w:pos="720"/>
          <w:tab w:val="left" w:pos="1440"/>
          <w:tab w:val="left" w:pos="2160"/>
        </w:tabs>
        <w:spacing w:after="240"/>
        <w:ind w:left="720"/>
        <w:outlineLvl w:val="1"/>
        <w:rPr>
          <w:color w:val="000000" w:themeColor="text1"/>
          <w:lang w:val="fr-FR"/>
        </w:rPr>
      </w:pPr>
      <w:r w:rsidRPr="00944BFF">
        <w:rPr>
          <w:color w:val="000000" w:themeColor="text1"/>
          <w:u w:val="single"/>
          <w:lang w:val="fr-FR"/>
        </w:rPr>
        <w:t xml:space="preserve">Questions à traiter </w:t>
      </w:r>
      <w:r w:rsidRPr="00944BFF">
        <w:rPr>
          <w:color w:val="000000" w:themeColor="text1"/>
          <w:lang w:val="fr-FR"/>
        </w:rPr>
        <w:t>: Aucune</w:t>
      </w:r>
    </w:p>
    <w:p w14:paraId="4CE745BF" w14:textId="3F6863E9" w:rsidR="00A372CB" w:rsidRPr="00944BFF" w:rsidRDefault="00A372CB" w:rsidP="00A372CB">
      <w:pPr>
        <w:tabs>
          <w:tab w:val="left" w:pos="720"/>
          <w:tab w:val="left" w:pos="1440"/>
          <w:tab w:val="left" w:pos="2160"/>
        </w:tabs>
        <w:spacing w:after="240"/>
        <w:ind w:left="720"/>
        <w:outlineLvl w:val="1"/>
        <w:rPr>
          <w:color w:val="000000" w:themeColor="text1"/>
          <w:szCs w:val="24"/>
          <w:lang w:val="fr-FR"/>
        </w:rPr>
      </w:pPr>
      <w:r w:rsidRPr="00AE706C">
        <w:rPr>
          <w:color w:val="000000" w:themeColor="text1"/>
          <w:u w:val="single"/>
          <w:lang w:val="fr-FR"/>
        </w:rPr>
        <w:t xml:space="preserve">Le Comité exécutif pourrait </w:t>
      </w:r>
      <w:r w:rsidR="003876FF">
        <w:rPr>
          <w:color w:val="000000" w:themeColor="text1"/>
          <w:u w:val="single"/>
          <w:lang w:val="fr-FR"/>
        </w:rPr>
        <w:t>souhaiter</w:t>
      </w:r>
      <w:r w:rsidRPr="00AE706C">
        <w:rPr>
          <w:color w:val="000000" w:themeColor="text1"/>
          <w:lang w:val="fr-FR"/>
        </w:rPr>
        <w:t xml:space="preserve"> adopter l’ordre du jour de la réunion sur la base de l’ordre du jour provisoire, contenu dans le document </w:t>
      </w:r>
      <w:r w:rsidRPr="00AE706C">
        <w:rPr>
          <w:bCs/>
          <w:color w:val="000000" w:themeColor="text1"/>
          <w:szCs w:val="24"/>
          <w:lang w:val="fr-FR"/>
        </w:rPr>
        <w:t>UNEP/Oz</w:t>
      </w:r>
      <w:r w:rsidRPr="00AE706C">
        <w:rPr>
          <w:color w:val="000000" w:themeColor="text1"/>
          <w:szCs w:val="24"/>
          <w:lang w:val="fr-FR"/>
        </w:rPr>
        <w:t>L.Pro/ExCom/83/1 et, le cas échéant, avec les amendements apportés oralement durant la plénière.</w:t>
      </w:r>
    </w:p>
    <w:p w14:paraId="5F6B8D5F" w14:textId="2BE35805" w:rsidR="00A372CB" w:rsidRPr="00944BFF" w:rsidRDefault="003876FF" w:rsidP="003876FF">
      <w:pPr>
        <w:pStyle w:val="Heading2"/>
        <w:widowControl/>
        <w:numPr>
          <w:ilvl w:val="0"/>
          <w:numId w:val="0"/>
        </w:numPr>
        <w:ind w:left="709"/>
        <w:rPr>
          <w:b/>
          <w:color w:val="000000" w:themeColor="text1"/>
          <w:lang w:val="fr-FR"/>
        </w:rPr>
      </w:pPr>
      <w:r>
        <w:rPr>
          <w:b/>
          <w:color w:val="000000" w:themeColor="text1"/>
          <w:lang w:val="fr-FR"/>
        </w:rPr>
        <w:t>b)</w:t>
      </w:r>
      <w:r>
        <w:rPr>
          <w:b/>
          <w:color w:val="000000" w:themeColor="text1"/>
          <w:lang w:val="fr-FR"/>
        </w:rPr>
        <w:tab/>
      </w:r>
      <w:r w:rsidR="00A372CB" w:rsidRPr="00944BFF">
        <w:rPr>
          <w:b/>
          <w:color w:val="000000" w:themeColor="text1"/>
          <w:lang w:val="fr-FR"/>
        </w:rPr>
        <w:t>Organisation d</w:t>
      </w:r>
      <w:r>
        <w:rPr>
          <w:b/>
          <w:color w:val="000000" w:themeColor="text1"/>
          <w:lang w:val="fr-FR"/>
        </w:rPr>
        <w:t>es travaux</w:t>
      </w:r>
    </w:p>
    <w:p w14:paraId="3C1B5F50" w14:textId="0535622A" w:rsidR="00A372CB" w:rsidRPr="00944BFF" w:rsidRDefault="00A372CB" w:rsidP="00A372CB">
      <w:pPr>
        <w:tabs>
          <w:tab w:val="left" w:pos="720"/>
          <w:tab w:val="left" w:pos="1440"/>
          <w:tab w:val="left" w:pos="2160"/>
        </w:tabs>
        <w:spacing w:after="240"/>
        <w:ind w:left="720"/>
        <w:outlineLvl w:val="1"/>
        <w:rPr>
          <w:color w:val="000000" w:themeColor="text1"/>
          <w:lang w:val="fr-FR"/>
        </w:rPr>
      </w:pPr>
      <w:r w:rsidRPr="00944BFF">
        <w:rPr>
          <w:color w:val="000000" w:themeColor="text1"/>
          <w:lang w:val="fr-FR"/>
        </w:rPr>
        <w:t xml:space="preserve">Le </w:t>
      </w:r>
      <w:r w:rsidR="00095793">
        <w:rPr>
          <w:color w:val="000000" w:themeColor="text1"/>
          <w:lang w:val="fr-FR"/>
        </w:rPr>
        <w:t>pré</w:t>
      </w:r>
      <w:r w:rsidRPr="00944BFF">
        <w:rPr>
          <w:color w:val="000000" w:themeColor="text1"/>
          <w:lang w:val="fr-FR"/>
        </w:rPr>
        <w:t>sident proposera l’organisation des travaux à la plénière.</w:t>
      </w:r>
    </w:p>
    <w:p w14:paraId="012445D3" w14:textId="77777777" w:rsidR="00A372CB" w:rsidRPr="00944BFF" w:rsidRDefault="00A372CB" w:rsidP="00A372CB">
      <w:pPr>
        <w:numPr>
          <w:ilvl w:val="0"/>
          <w:numId w:val="1"/>
        </w:numPr>
        <w:tabs>
          <w:tab w:val="clear" w:pos="0"/>
          <w:tab w:val="left" w:pos="720"/>
          <w:tab w:val="left" w:pos="1440"/>
          <w:tab w:val="left" w:pos="2160"/>
        </w:tabs>
        <w:spacing w:after="240"/>
        <w:outlineLvl w:val="0"/>
        <w:rPr>
          <w:b/>
          <w:color w:val="000000" w:themeColor="text1"/>
          <w:lang w:val="fr-FR"/>
        </w:rPr>
      </w:pPr>
      <w:r w:rsidRPr="00944BFF">
        <w:rPr>
          <w:b/>
          <w:color w:val="000000" w:themeColor="text1"/>
          <w:lang w:val="fr-FR"/>
        </w:rPr>
        <w:t xml:space="preserve">Activités du Secrétariat </w:t>
      </w:r>
    </w:p>
    <w:p w14:paraId="6797673F" w14:textId="349CB30C" w:rsidR="00A372CB" w:rsidRPr="00944BFF" w:rsidRDefault="00A372CB" w:rsidP="00A372CB">
      <w:pPr>
        <w:tabs>
          <w:tab w:val="left" w:pos="720"/>
          <w:tab w:val="left" w:pos="1440"/>
          <w:tab w:val="left" w:pos="2160"/>
        </w:tabs>
        <w:spacing w:after="240"/>
        <w:ind w:left="720"/>
        <w:outlineLvl w:val="1"/>
        <w:rPr>
          <w:color w:val="000000" w:themeColor="text1"/>
          <w:lang w:val="fr-FR"/>
        </w:rPr>
      </w:pPr>
      <w:r w:rsidRPr="00944BFF">
        <w:rPr>
          <w:color w:val="000000" w:themeColor="text1"/>
          <w:lang w:val="fr-FR"/>
        </w:rPr>
        <w:t xml:space="preserve">Le </w:t>
      </w:r>
      <w:r w:rsidRPr="00944BFF">
        <w:rPr>
          <w:color w:val="000000" w:themeColor="text1"/>
          <w:u w:val="single"/>
          <w:lang w:val="fr-FR"/>
        </w:rPr>
        <w:t>document UNEP/Oz</w:t>
      </w:r>
      <w:r w:rsidRPr="00944BFF">
        <w:rPr>
          <w:color w:val="000000" w:themeColor="text1"/>
          <w:szCs w:val="24"/>
          <w:u w:val="single"/>
          <w:lang w:val="fr-FR"/>
        </w:rPr>
        <w:t>L.Pro/ExCom/83/2</w:t>
      </w:r>
      <w:r w:rsidRPr="00944BFF">
        <w:rPr>
          <w:color w:val="000000" w:themeColor="text1"/>
          <w:lang w:val="fr-FR"/>
        </w:rPr>
        <w:t xml:space="preserve"> </w:t>
      </w:r>
      <w:r w:rsidR="009A1AE0" w:rsidRPr="00944BFF">
        <w:rPr>
          <w:color w:val="000000" w:themeColor="text1"/>
          <w:lang w:val="fr-FR"/>
        </w:rPr>
        <w:t>contient un rapport sur les activités du</w:t>
      </w:r>
      <w:r w:rsidR="00095793">
        <w:rPr>
          <w:color w:val="000000" w:themeColor="text1"/>
          <w:lang w:val="fr-FR"/>
        </w:rPr>
        <w:t xml:space="preserve"> Secré</w:t>
      </w:r>
      <w:r w:rsidRPr="00944BFF">
        <w:rPr>
          <w:color w:val="000000" w:themeColor="text1"/>
          <w:lang w:val="fr-FR"/>
        </w:rPr>
        <w:t xml:space="preserve">tariat </w:t>
      </w:r>
      <w:r w:rsidR="009A1AE0" w:rsidRPr="00944BFF">
        <w:rPr>
          <w:color w:val="000000" w:themeColor="text1"/>
          <w:lang w:val="fr-FR"/>
        </w:rPr>
        <w:t>depuis la 8</w:t>
      </w:r>
      <w:r w:rsidR="003876FF">
        <w:rPr>
          <w:color w:val="000000" w:themeColor="text1"/>
          <w:lang w:val="fr-FR"/>
        </w:rPr>
        <w:t>2</w:t>
      </w:r>
      <w:r w:rsidR="003876FF" w:rsidRPr="003876FF">
        <w:rPr>
          <w:color w:val="000000" w:themeColor="text1"/>
          <w:vertAlign w:val="superscript"/>
          <w:lang w:val="fr-FR"/>
        </w:rPr>
        <w:t>e</w:t>
      </w:r>
      <w:r w:rsidR="009A1AE0" w:rsidRPr="00944BFF">
        <w:rPr>
          <w:color w:val="000000" w:themeColor="text1"/>
          <w:lang w:val="fr-FR"/>
        </w:rPr>
        <w:t xml:space="preserve"> réunion du Comité exécutif</w:t>
      </w:r>
      <w:r w:rsidRPr="00944BFF">
        <w:rPr>
          <w:color w:val="000000" w:themeColor="text1"/>
          <w:lang w:val="fr-FR"/>
        </w:rPr>
        <w:t xml:space="preserve">. </w:t>
      </w:r>
    </w:p>
    <w:p w14:paraId="603A1DE0" w14:textId="00B5AD0D" w:rsidR="00AE706C" w:rsidRPr="00AE706C" w:rsidRDefault="009A1AE0" w:rsidP="00AE706C">
      <w:pPr>
        <w:tabs>
          <w:tab w:val="left" w:pos="720"/>
          <w:tab w:val="left" w:pos="1440"/>
          <w:tab w:val="left" w:pos="2160"/>
        </w:tabs>
        <w:spacing w:after="240"/>
        <w:ind w:left="720"/>
        <w:outlineLvl w:val="1"/>
        <w:rPr>
          <w:color w:val="000000" w:themeColor="text1"/>
          <w:lang w:val="fr-FR"/>
        </w:rPr>
      </w:pPr>
      <w:r w:rsidRPr="00944BFF">
        <w:rPr>
          <w:color w:val="000000" w:themeColor="text1"/>
          <w:u w:val="single"/>
          <w:lang w:val="fr-FR"/>
        </w:rPr>
        <w:t xml:space="preserve">Questions à traiter </w:t>
      </w:r>
      <w:r w:rsidR="00A372CB" w:rsidRPr="00944BFF">
        <w:rPr>
          <w:color w:val="000000" w:themeColor="text1"/>
          <w:lang w:val="fr-FR"/>
        </w:rPr>
        <w:t xml:space="preserve">: </w:t>
      </w:r>
      <w:r w:rsidRPr="00944BFF">
        <w:rPr>
          <w:color w:val="000000" w:themeColor="text1"/>
          <w:lang w:val="fr-FR"/>
        </w:rPr>
        <w:t xml:space="preserve">Besoins </w:t>
      </w:r>
      <w:r w:rsidR="003876FF">
        <w:rPr>
          <w:color w:val="000000" w:themeColor="text1"/>
          <w:lang w:val="fr-FR"/>
        </w:rPr>
        <w:t xml:space="preserve">de dotation </w:t>
      </w:r>
      <w:r w:rsidRPr="00944BFF">
        <w:rPr>
          <w:color w:val="000000" w:themeColor="text1"/>
          <w:lang w:val="fr-FR"/>
        </w:rPr>
        <w:t>en personnel du Secrétariat</w:t>
      </w:r>
    </w:p>
    <w:p w14:paraId="18E3FA9D" w14:textId="749E3084" w:rsidR="00441083" w:rsidRDefault="00AE706C" w:rsidP="006877C9">
      <w:pPr>
        <w:pStyle w:val="ListParagraph"/>
        <w:keepNext/>
        <w:keepLines/>
        <w:autoSpaceDE w:val="0"/>
        <w:autoSpaceDN w:val="0"/>
        <w:adjustRightInd w:val="0"/>
        <w:jc w:val="both"/>
        <w:rPr>
          <w:lang w:val="fr-FR"/>
        </w:rPr>
      </w:pPr>
      <w:r w:rsidRPr="00265403">
        <w:rPr>
          <w:u w:val="single"/>
          <w:lang w:val="fr-CA"/>
        </w:rPr>
        <w:lastRenderedPageBreak/>
        <w:t xml:space="preserve">Le Comité exécutif pourrait </w:t>
      </w:r>
      <w:r w:rsidR="003876FF" w:rsidRPr="00265403">
        <w:rPr>
          <w:u w:val="single"/>
          <w:lang w:val="fr-CA"/>
        </w:rPr>
        <w:t>souhaiter</w:t>
      </w:r>
      <w:r w:rsidR="003876FF" w:rsidRPr="00265403">
        <w:rPr>
          <w:lang w:val="fr-CA"/>
        </w:rPr>
        <w:t xml:space="preserve"> </w:t>
      </w:r>
      <w:r w:rsidR="003876FF" w:rsidRPr="003876FF">
        <w:rPr>
          <w:lang w:val="fr-FR"/>
        </w:rPr>
        <w:t>permettre au Secrétariat de présenter à la 8</w:t>
      </w:r>
      <w:r w:rsidR="003876FF">
        <w:rPr>
          <w:lang w:val="fr-FR"/>
        </w:rPr>
        <w:t>4</w:t>
      </w:r>
      <w:r w:rsidR="003876FF" w:rsidRPr="003876FF">
        <w:rPr>
          <w:vertAlign w:val="superscript"/>
          <w:lang w:val="fr-FR"/>
        </w:rPr>
        <w:t>e</w:t>
      </w:r>
      <w:r w:rsidR="003876FF" w:rsidRPr="003876FF">
        <w:rPr>
          <w:lang w:val="fr-FR"/>
        </w:rPr>
        <w:t xml:space="preserve"> réunion les </w:t>
      </w:r>
      <w:r w:rsidR="003876FF">
        <w:rPr>
          <w:lang w:val="fr-FR"/>
        </w:rPr>
        <w:t>budgets</w:t>
      </w:r>
      <w:r w:rsidR="003876FF" w:rsidRPr="003876FF">
        <w:rPr>
          <w:lang w:val="fr-FR"/>
        </w:rPr>
        <w:t xml:space="preserve"> du Secrétariat </w:t>
      </w:r>
      <w:r w:rsidR="003876FF">
        <w:rPr>
          <w:lang w:val="fr-FR"/>
        </w:rPr>
        <w:t>du Fonds approuvés pour 2020, 2</w:t>
      </w:r>
      <w:r w:rsidR="003876FF" w:rsidRPr="003876FF">
        <w:rPr>
          <w:lang w:val="fr-FR"/>
        </w:rPr>
        <w:t>021 et celui proposé pour 2022</w:t>
      </w:r>
      <w:r w:rsidR="003876FF">
        <w:rPr>
          <w:lang w:val="fr-FR"/>
        </w:rPr>
        <w:t xml:space="preserve">, compte tenu des rajustements des rubriques budgétaires nécessaires pour satisfaire les besoins actuels du Secrétariat. </w:t>
      </w:r>
    </w:p>
    <w:p w14:paraId="73B81FE0" w14:textId="77777777" w:rsidR="00265403" w:rsidRPr="00944BFF" w:rsidRDefault="00265403" w:rsidP="003876FF">
      <w:pPr>
        <w:pStyle w:val="ListParagraph"/>
        <w:autoSpaceDE w:val="0"/>
        <w:autoSpaceDN w:val="0"/>
        <w:adjustRightInd w:val="0"/>
        <w:jc w:val="both"/>
        <w:rPr>
          <w:lang w:val="fr-FR"/>
        </w:rPr>
      </w:pPr>
    </w:p>
    <w:p w14:paraId="7D121234" w14:textId="77777777" w:rsidR="00607CDA" w:rsidRPr="00944BFF" w:rsidRDefault="00607CDA" w:rsidP="00607CDA">
      <w:pPr>
        <w:pStyle w:val="Heading1"/>
        <w:rPr>
          <w:b/>
          <w:lang w:val="fr-FR"/>
        </w:rPr>
      </w:pPr>
      <w:r w:rsidRPr="00944BFF">
        <w:rPr>
          <w:b/>
          <w:lang w:val="fr-FR"/>
        </w:rPr>
        <w:t>Questions financières</w:t>
      </w:r>
    </w:p>
    <w:p w14:paraId="3951456F" w14:textId="77777777" w:rsidR="00441083" w:rsidRPr="00944BFF" w:rsidRDefault="00607CDA" w:rsidP="009A1AE0">
      <w:pPr>
        <w:pStyle w:val="StyleHeading1Para1Heading1CharHeading1Char3CharHeadin"/>
        <w:rPr>
          <w:b/>
          <w:lang w:val="fr-FR"/>
        </w:rPr>
      </w:pPr>
      <w:r w:rsidRPr="00944BFF">
        <w:rPr>
          <w:b/>
          <w:lang w:val="fr-FR"/>
        </w:rPr>
        <w:tab/>
        <w:t>a)</w:t>
      </w:r>
      <w:r w:rsidRPr="00944BFF">
        <w:rPr>
          <w:b/>
          <w:lang w:val="fr-FR"/>
        </w:rPr>
        <w:tab/>
        <w:t>État des contributions et des décaissements</w:t>
      </w:r>
    </w:p>
    <w:p w14:paraId="7DE18691" w14:textId="5DE1B74C" w:rsidR="00607CDA" w:rsidRPr="00944BFF" w:rsidRDefault="00607CDA" w:rsidP="00607CDA">
      <w:pPr>
        <w:spacing w:after="240"/>
        <w:ind w:left="709"/>
        <w:rPr>
          <w:color w:val="000000" w:themeColor="text1"/>
          <w:u w:val="single"/>
          <w:lang w:val="fr-FR"/>
        </w:rPr>
      </w:pPr>
      <w:r w:rsidRPr="00944BFF">
        <w:rPr>
          <w:color w:val="000000" w:themeColor="text1"/>
          <w:lang w:val="fr-FR"/>
        </w:rPr>
        <w:t xml:space="preserve">Le </w:t>
      </w:r>
      <w:r w:rsidRPr="00944BFF">
        <w:rPr>
          <w:color w:val="000000" w:themeColor="text1"/>
          <w:u w:val="single"/>
          <w:lang w:val="fr-FR"/>
        </w:rPr>
        <w:t>document UNEP/Oz</w:t>
      </w:r>
      <w:r w:rsidRPr="00944BFF">
        <w:rPr>
          <w:color w:val="000000" w:themeColor="text1"/>
          <w:szCs w:val="24"/>
          <w:u w:val="single"/>
          <w:lang w:val="fr-FR"/>
        </w:rPr>
        <w:t>L.Pro/ExCom/83/</w:t>
      </w:r>
      <w:r w:rsidRPr="00944BFF">
        <w:rPr>
          <w:color w:val="000000" w:themeColor="text1"/>
          <w:u w:val="single"/>
          <w:lang w:val="fr-FR"/>
        </w:rPr>
        <w:t>3</w:t>
      </w:r>
      <w:r w:rsidRPr="00944BFF">
        <w:rPr>
          <w:color w:val="000000" w:themeColor="text1"/>
          <w:lang w:val="fr-FR"/>
        </w:rPr>
        <w:t xml:space="preserve"> </w:t>
      </w:r>
      <w:r w:rsidR="00B40560">
        <w:rPr>
          <w:color w:val="000000" w:themeColor="text1"/>
          <w:lang w:val="fr-FR"/>
        </w:rPr>
        <w:t>fournit</w:t>
      </w:r>
      <w:r w:rsidRPr="00944BFF">
        <w:rPr>
          <w:color w:val="000000" w:themeColor="text1"/>
          <w:lang w:val="fr-FR"/>
        </w:rPr>
        <w:t xml:space="preserve"> des informations sur l’état du Fonds, selon les registres du PNUE en date d</w:t>
      </w:r>
      <w:r w:rsidR="00B40560">
        <w:rPr>
          <w:color w:val="000000" w:themeColor="text1"/>
          <w:lang w:val="fr-FR"/>
        </w:rPr>
        <w:t>u 30 avril 2019. Le solde du F</w:t>
      </w:r>
      <w:r w:rsidRPr="00944BFF">
        <w:rPr>
          <w:color w:val="000000" w:themeColor="text1"/>
          <w:lang w:val="fr-FR"/>
        </w:rPr>
        <w:t xml:space="preserve">onds s’élevait à </w:t>
      </w:r>
      <w:r w:rsidRPr="00944BFF">
        <w:rPr>
          <w:lang w:val="fr-FR"/>
        </w:rPr>
        <w:t>149 801 094 $US</w:t>
      </w:r>
      <w:r w:rsidRPr="00944BFF">
        <w:rPr>
          <w:color w:val="000000" w:themeColor="text1"/>
          <w:lang w:val="fr-FR"/>
        </w:rPr>
        <w:t>, après avoir pris en compte tous les fonds approuvés par le Comité exécutif jusqu’à la 8</w:t>
      </w:r>
      <w:r w:rsidR="00095793">
        <w:rPr>
          <w:color w:val="000000" w:themeColor="text1"/>
          <w:lang w:val="fr-FR"/>
        </w:rPr>
        <w:t>2</w:t>
      </w:r>
      <w:r w:rsidR="00095793" w:rsidRPr="00095793">
        <w:rPr>
          <w:color w:val="000000" w:themeColor="text1"/>
          <w:vertAlign w:val="superscript"/>
          <w:lang w:val="fr-FR"/>
        </w:rPr>
        <w:t>e</w:t>
      </w:r>
      <w:r w:rsidR="00095793">
        <w:rPr>
          <w:color w:val="000000" w:themeColor="text1"/>
          <w:lang w:val="fr-FR"/>
        </w:rPr>
        <w:t xml:space="preserve"> ré</w:t>
      </w:r>
      <w:r w:rsidRPr="00944BFF">
        <w:rPr>
          <w:color w:val="000000" w:themeColor="text1"/>
          <w:lang w:val="fr-FR"/>
        </w:rPr>
        <w:t>union inclusivement.  Le document fournit aussi une mise à jour sur les mesures prises concernant les contributions en souffrance.  Une mise à jour sur les contributions sera donnée à la 8</w:t>
      </w:r>
      <w:r w:rsidR="00B40560">
        <w:rPr>
          <w:color w:val="000000" w:themeColor="text1"/>
          <w:lang w:val="fr-FR"/>
        </w:rPr>
        <w:t>3</w:t>
      </w:r>
      <w:r w:rsidR="00B40560" w:rsidRPr="00B40560">
        <w:rPr>
          <w:color w:val="000000" w:themeColor="text1"/>
          <w:vertAlign w:val="superscript"/>
          <w:lang w:val="fr-FR"/>
        </w:rPr>
        <w:t>e</w:t>
      </w:r>
      <w:r w:rsidRPr="00944BFF">
        <w:rPr>
          <w:color w:val="000000" w:themeColor="text1"/>
          <w:lang w:val="fr-FR"/>
        </w:rPr>
        <w:t xml:space="preserve"> réunion. </w:t>
      </w:r>
    </w:p>
    <w:p w14:paraId="4FF4614F" w14:textId="77777777" w:rsidR="00607CDA" w:rsidRPr="00944BFF" w:rsidRDefault="00607CDA" w:rsidP="00607CDA">
      <w:pPr>
        <w:tabs>
          <w:tab w:val="left" w:pos="720"/>
          <w:tab w:val="left" w:pos="1440"/>
          <w:tab w:val="left" w:pos="2160"/>
        </w:tabs>
        <w:spacing w:after="240"/>
        <w:ind w:left="720"/>
        <w:rPr>
          <w:color w:val="000000" w:themeColor="text1"/>
          <w:lang w:val="fr-FR"/>
        </w:rPr>
      </w:pPr>
      <w:r w:rsidRPr="00944BFF">
        <w:rPr>
          <w:color w:val="000000" w:themeColor="text1"/>
          <w:u w:val="single"/>
          <w:lang w:val="fr-FR"/>
        </w:rPr>
        <w:t xml:space="preserve">Questions à traiter </w:t>
      </w:r>
      <w:r w:rsidRPr="00944BFF">
        <w:rPr>
          <w:color w:val="000000" w:themeColor="text1"/>
          <w:lang w:val="fr-FR"/>
        </w:rPr>
        <w:t xml:space="preserve">: </w:t>
      </w:r>
    </w:p>
    <w:p w14:paraId="07B1F3BB" w14:textId="2788E924" w:rsidR="00AE706C" w:rsidRPr="00AE706C" w:rsidRDefault="00607CDA" w:rsidP="001963F3">
      <w:pPr>
        <w:pStyle w:val="ListParagraph"/>
        <w:numPr>
          <w:ilvl w:val="0"/>
          <w:numId w:val="10"/>
        </w:numPr>
        <w:tabs>
          <w:tab w:val="left" w:pos="720"/>
          <w:tab w:val="left" w:pos="1440"/>
          <w:tab w:val="left" w:pos="2160"/>
        </w:tabs>
        <w:spacing w:after="240"/>
        <w:jc w:val="both"/>
        <w:rPr>
          <w:color w:val="000000" w:themeColor="text1"/>
          <w:lang w:val="fr-FR"/>
        </w:rPr>
      </w:pPr>
      <w:r w:rsidRPr="00944BFF">
        <w:rPr>
          <w:color w:val="000000" w:themeColor="text1"/>
          <w:lang w:val="fr-FR"/>
        </w:rPr>
        <w:t xml:space="preserve">Suivi auprès des Parties ayant des contributions en souffrance </w:t>
      </w:r>
      <w:r w:rsidR="00B40560">
        <w:rPr>
          <w:color w:val="000000" w:themeColor="text1"/>
          <w:lang w:val="fr-FR"/>
        </w:rPr>
        <w:t xml:space="preserve">depuis au moins une période triennale </w:t>
      </w:r>
    </w:p>
    <w:p w14:paraId="60C1830E" w14:textId="3FD309C3" w:rsidR="00AE706C" w:rsidRPr="00265403" w:rsidRDefault="00AE706C" w:rsidP="00AE706C">
      <w:pPr>
        <w:autoSpaceDE w:val="0"/>
        <w:autoSpaceDN w:val="0"/>
        <w:adjustRightInd w:val="0"/>
        <w:spacing w:line="360" w:lineRule="auto"/>
        <w:ind w:firstLine="720"/>
        <w:rPr>
          <w:u w:val="single"/>
          <w:lang w:val="fr-CA"/>
        </w:rPr>
      </w:pPr>
      <w:r w:rsidRPr="00265403">
        <w:rPr>
          <w:u w:val="single"/>
          <w:lang w:val="fr-CA"/>
        </w:rPr>
        <w:t xml:space="preserve">Le Comité exécutif pourrait </w:t>
      </w:r>
      <w:r w:rsidR="00B40560" w:rsidRPr="00265403">
        <w:rPr>
          <w:u w:val="single"/>
          <w:lang w:val="fr-CA"/>
        </w:rPr>
        <w:t>souhaiter</w:t>
      </w:r>
      <w:r w:rsidRPr="00265403">
        <w:rPr>
          <w:u w:val="single"/>
          <w:lang w:val="fr-CA"/>
        </w:rPr>
        <w:t> :</w:t>
      </w:r>
    </w:p>
    <w:p w14:paraId="7ACD9E4D" w14:textId="77777777" w:rsidR="00AE706C" w:rsidRPr="00265403" w:rsidRDefault="00AE706C" w:rsidP="00AE706C">
      <w:pPr>
        <w:pStyle w:val="ListParagraph"/>
        <w:autoSpaceDE w:val="0"/>
        <w:autoSpaceDN w:val="0"/>
        <w:adjustRightInd w:val="0"/>
        <w:ind w:left="0"/>
        <w:rPr>
          <w:sz w:val="20"/>
          <w:szCs w:val="20"/>
          <w:lang w:val="fr-CA" w:bidi="hi-IN"/>
        </w:rPr>
      </w:pPr>
    </w:p>
    <w:p w14:paraId="3D3EF798" w14:textId="61EDDEB3" w:rsidR="00AE706C" w:rsidRPr="00265403" w:rsidRDefault="00B40560" w:rsidP="00B40560">
      <w:pPr>
        <w:autoSpaceDE w:val="0"/>
        <w:autoSpaceDN w:val="0"/>
        <w:adjustRightInd w:val="0"/>
        <w:ind w:left="1418" w:hanging="698"/>
        <w:rPr>
          <w:lang w:val="fr-CA"/>
        </w:rPr>
      </w:pPr>
      <w:r w:rsidRPr="00265403">
        <w:rPr>
          <w:lang w:val="fr-CA"/>
        </w:rPr>
        <w:t>a)</w:t>
      </w:r>
      <w:r w:rsidRPr="00265403">
        <w:rPr>
          <w:lang w:val="fr-CA"/>
        </w:rPr>
        <w:tab/>
        <w:t>P</w:t>
      </w:r>
      <w:r w:rsidR="00AE706C" w:rsidRPr="00265403">
        <w:rPr>
          <w:lang w:val="fr-CA"/>
        </w:rPr>
        <w:t>rendre note du rapport du Trésorier sur l’état des contributions et des décaissements, se trouvant à l’Annexe I du document</w:t>
      </w:r>
      <w:r w:rsidR="00741CF4" w:rsidRPr="00265403">
        <w:rPr>
          <w:lang w:val="fr-CA"/>
        </w:rPr>
        <w:t xml:space="preserve"> </w:t>
      </w:r>
      <w:r w:rsidR="00741CF4" w:rsidRPr="00741CF4">
        <w:rPr>
          <w:color w:val="000000" w:themeColor="text1"/>
          <w:lang w:val="fr-FR"/>
        </w:rPr>
        <w:t>UNEP/Oz</w:t>
      </w:r>
      <w:r w:rsidR="00741CF4" w:rsidRPr="00741CF4">
        <w:rPr>
          <w:color w:val="000000" w:themeColor="text1"/>
          <w:szCs w:val="24"/>
          <w:lang w:val="fr-FR"/>
        </w:rPr>
        <w:t>L.Pro/ExCom/83/</w:t>
      </w:r>
      <w:r w:rsidR="00741CF4" w:rsidRPr="00741CF4">
        <w:rPr>
          <w:color w:val="000000" w:themeColor="text1"/>
          <w:lang w:val="fr-FR"/>
        </w:rPr>
        <w:t>3</w:t>
      </w:r>
      <w:r w:rsidR="00AE706C" w:rsidRPr="00265403">
        <w:rPr>
          <w:lang w:val="fr-CA"/>
        </w:rPr>
        <w:t xml:space="preserve">; </w:t>
      </w:r>
    </w:p>
    <w:p w14:paraId="33AD535E" w14:textId="77777777" w:rsidR="00AE706C" w:rsidRPr="00265403" w:rsidRDefault="00AE706C" w:rsidP="00AE706C">
      <w:pPr>
        <w:pStyle w:val="ListParagraph"/>
        <w:autoSpaceDE w:val="0"/>
        <w:autoSpaceDN w:val="0"/>
        <w:adjustRightInd w:val="0"/>
        <w:ind w:left="1417"/>
        <w:rPr>
          <w:lang w:val="fr-CA" w:bidi="hi-IN"/>
        </w:rPr>
      </w:pPr>
    </w:p>
    <w:p w14:paraId="1B640C20" w14:textId="5EC2D1B2" w:rsidR="00AE706C" w:rsidRPr="00265403" w:rsidRDefault="00B40560" w:rsidP="00B40560">
      <w:pPr>
        <w:autoSpaceDE w:val="0"/>
        <w:autoSpaceDN w:val="0"/>
        <w:adjustRightInd w:val="0"/>
        <w:ind w:left="1417" w:hanging="697"/>
        <w:rPr>
          <w:lang w:val="fr-CA"/>
        </w:rPr>
      </w:pPr>
      <w:r w:rsidRPr="00265403">
        <w:rPr>
          <w:lang w:val="fr-CA"/>
        </w:rPr>
        <w:t>b)</w:t>
      </w:r>
      <w:r w:rsidRPr="00265403">
        <w:rPr>
          <w:lang w:val="fr-CA"/>
        </w:rPr>
        <w:tab/>
        <w:t>P</w:t>
      </w:r>
      <w:r w:rsidR="00AE706C" w:rsidRPr="00265403">
        <w:rPr>
          <w:lang w:val="fr-CA"/>
        </w:rPr>
        <w:t>rendre note avec satisfaction des discussions entre les représentants du gouvernement de l’Azerbaïdjan et le Secrétariat afin d’inviter le gouvernement à poursuivre les discussions internes pour commencer à contribuer au Fonds multilatéral;</w:t>
      </w:r>
    </w:p>
    <w:p w14:paraId="6831EC55" w14:textId="77777777" w:rsidR="00AE706C" w:rsidRPr="00265403" w:rsidRDefault="00AE706C" w:rsidP="00AE706C">
      <w:pPr>
        <w:pStyle w:val="ListParagraph"/>
        <w:autoSpaceDE w:val="0"/>
        <w:autoSpaceDN w:val="0"/>
        <w:adjustRightInd w:val="0"/>
        <w:ind w:left="1418"/>
        <w:rPr>
          <w:lang w:val="fr-CA" w:bidi="hi-IN"/>
        </w:rPr>
      </w:pPr>
    </w:p>
    <w:p w14:paraId="5E44685F" w14:textId="73C540F7" w:rsidR="00AE706C" w:rsidRPr="00265403" w:rsidRDefault="00B40560" w:rsidP="00B40560">
      <w:pPr>
        <w:autoSpaceDE w:val="0"/>
        <w:autoSpaceDN w:val="0"/>
        <w:adjustRightInd w:val="0"/>
        <w:ind w:left="1417" w:hanging="697"/>
        <w:rPr>
          <w:lang w:val="fr-CA"/>
        </w:rPr>
      </w:pPr>
      <w:r w:rsidRPr="00265403">
        <w:rPr>
          <w:lang w:val="fr-CA"/>
        </w:rPr>
        <w:t>c)</w:t>
      </w:r>
      <w:r w:rsidRPr="00265403">
        <w:rPr>
          <w:lang w:val="fr-CA"/>
        </w:rPr>
        <w:tab/>
        <w:t>I</w:t>
      </w:r>
      <w:r w:rsidR="00AE706C" w:rsidRPr="00265403">
        <w:rPr>
          <w:lang w:val="fr-CA"/>
        </w:rPr>
        <w:t>nviter instamment toutes les Parties à verser l’intégralité de leurs contributions au Fonds multilatéral dans les meilleurs délais possible</w:t>
      </w:r>
      <w:r w:rsidR="00741CF4" w:rsidRPr="00265403">
        <w:rPr>
          <w:lang w:val="fr-CA"/>
        </w:rPr>
        <w:t>s</w:t>
      </w:r>
      <w:r w:rsidR="00AE706C" w:rsidRPr="00265403">
        <w:rPr>
          <w:lang w:val="fr-CA"/>
        </w:rPr>
        <w:t>;</w:t>
      </w:r>
      <w:r w:rsidR="00BA0AE9">
        <w:rPr>
          <w:lang w:val="fr-CA"/>
        </w:rPr>
        <w:t xml:space="preserve"> et</w:t>
      </w:r>
    </w:p>
    <w:p w14:paraId="0164E925" w14:textId="77777777" w:rsidR="00AE706C" w:rsidRPr="00265403" w:rsidRDefault="00AE706C" w:rsidP="00AE706C">
      <w:pPr>
        <w:pStyle w:val="ListParagraph"/>
        <w:autoSpaceDE w:val="0"/>
        <w:autoSpaceDN w:val="0"/>
        <w:adjustRightInd w:val="0"/>
        <w:ind w:left="1418"/>
        <w:rPr>
          <w:lang w:val="fr-CA" w:bidi="hi-IN"/>
        </w:rPr>
      </w:pPr>
    </w:p>
    <w:p w14:paraId="1750E1BF" w14:textId="6290976D" w:rsidR="00AE706C" w:rsidRPr="00265403" w:rsidRDefault="00B40560" w:rsidP="00B40560">
      <w:pPr>
        <w:ind w:left="1417" w:hanging="708"/>
        <w:rPr>
          <w:lang w:val="fr-CA"/>
        </w:rPr>
      </w:pPr>
      <w:r w:rsidRPr="00265403">
        <w:rPr>
          <w:lang w:val="fr-CA"/>
        </w:rPr>
        <w:t>d)</w:t>
      </w:r>
      <w:r w:rsidRPr="00265403">
        <w:rPr>
          <w:lang w:val="fr-CA"/>
        </w:rPr>
        <w:tab/>
        <w:t>De</w:t>
      </w:r>
      <w:r w:rsidR="00AE706C" w:rsidRPr="00265403">
        <w:rPr>
          <w:lang w:val="fr-CA"/>
        </w:rPr>
        <w:t>mander au Chef du Secrétariat et au Trésorier de poursuivre le suivi auprès des pays ayant des contributions en souffrance depuis au moins une période triennale et d’en rendre compte lors de la 84</w:t>
      </w:r>
      <w:r w:rsidR="00AE706C" w:rsidRPr="00265403">
        <w:rPr>
          <w:vertAlign w:val="superscript"/>
          <w:lang w:val="fr-CA"/>
        </w:rPr>
        <w:t>e</w:t>
      </w:r>
      <w:r w:rsidR="00AE706C" w:rsidRPr="00265403">
        <w:rPr>
          <w:lang w:val="fr-CA"/>
        </w:rPr>
        <w:t xml:space="preserve"> réunion.</w:t>
      </w:r>
    </w:p>
    <w:p w14:paraId="01F70C10" w14:textId="77777777" w:rsidR="00AE706C" w:rsidRPr="00265403" w:rsidRDefault="00AE706C" w:rsidP="00AE706C">
      <w:pPr>
        <w:rPr>
          <w:lang w:val="fr-CA"/>
        </w:rPr>
      </w:pPr>
    </w:p>
    <w:p w14:paraId="3F5FCB96" w14:textId="1A4C4E45" w:rsidR="00610A48" w:rsidRPr="00944BFF" w:rsidRDefault="00AE706C" w:rsidP="00610A48">
      <w:pPr>
        <w:pStyle w:val="Heading2"/>
        <w:widowControl/>
        <w:numPr>
          <w:ilvl w:val="0"/>
          <w:numId w:val="0"/>
        </w:numPr>
        <w:ind w:left="709"/>
        <w:rPr>
          <w:b/>
          <w:lang w:val="fr-FR"/>
        </w:rPr>
      </w:pPr>
      <w:r w:rsidRPr="00944BFF">
        <w:rPr>
          <w:b/>
          <w:lang w:val="fr-FR"/>
        </w:rPr>
        <w:t xml:space="preserve"> </w:t>
      </w:r>
      <w:r w:rsidR="00B40560">
        <w:rPr>
          <w:b/>
          <w:lang w:val="fr-FR"/>
        </w:rPr>
        <w:t>b)</w:t>
      </w:r>
      <w:r w:rsidR="00B40560">
        <w:rPr>
          <w:b/>
          <w:lang w:val="fr-FR"/>
        </w:rPr>
        <w:tab/>
      </w:r>
      <w:r w:rsidR="00610A48" w:rsidRPr="00944BFF">
        <w:rPr>
          <w:b/>
          <w:lang w:val="fr-FR"/>
        </w:rPr>
        <w:t>Rapport sur les soldes et la disponibilité des ressources</w:t>
      </w:r>
    </w:p>
    <w:p w14:paraId="5912004C" w14:textId="041EB378" w:rsidR="00610A48" w:rsidRPr="00944BFF" w:rsidRDefault="00610A48" w:rsidP="00610A48">
      <w:pPr>
        <w:spacing w:after="240"/>
        <w:ind w:left="709"/>
        <w:rPr>
          <w:color w:val="000000" w:themeColor="text1"/>
          <w:u w:val="single"/>
          <w:lang w:val="fr-FR"/>
        </w:rPr>
      </w:pPr>
      <w:r w:rsidRPr="00944BFF">
        <w:rPr>
          <w:color w:val="000000" w:themeColor="text1"/>
          <w:lang w:val="fr-FR"/>
        </w:rPr>
        <w:t xml:space="preserve">Le </w:t>
      </w:r>
      <w:r w:rsidRPr="00944BFF">
        <w:rPr>
          <w:color w:val="000000" w:themeColor="text1"/>
          <w:u w:val="single"/>
          <w:lang w:val="fr-FR"/>
        </w:rPr>
        <w:t>document UNEP/Oz</w:t>
      </w:r>
      <w:r w:rsidRPr="00944BFF">
        <w:rPr>
          <w:color w:val="000000" w:themeColor="text1"/>
          <w:szCs w:val="24"/>
          <w:u w:val="single"/>
          <w:lang w:val="fr-FR"/>
        </w:rPr>
        <w:t>L.Pro/ExCom/83/4</w:t>
      </w:r>
      <w:r w:rsidRPr="00944BFF">
        <w:rPr>
          <w:color w:val="000000" w:themeColor="text1"/>
          <w:lang w:val="fr-FR"/>
        </w:rPr>
        <w:t xml:space="preserve"> présente un </w:t>
      </w:r>
      <w:r w:rsidR="00B40560">
        <w:rPr>
          <w:color w:val="000000" w:themeColor="text1"/>
          <w:lang w:val="fr-FR"/>
        </w:rPr>
        <w:t>sommaire</w:t>
      </w:r>
      <w:r w:rsidRPr="00944BFF">
        <w:rPr>
          <w:color w:val="000000" w:themeColor="text1"/>
          <w:lang w:val="fr-FR"/>
        </w:rPr>
        <w:t xml:space="preserve"> des fonds restitués par les agences bilatérales et d’exécution. Il </w:t>
      </w:r>
      <w:r w:rsidR="00B40560">
        <w:rPr>
          <w:color w:val="000000" w:themeColor="text1"/>
          <w:lang w:val="fr-FR"/>
        </w:rPr>
        <w:t>contient</w:t>
      </w:r>
      <w:r w:rsidRPr="00944BFF">
        <w:rPr>
          <w:color w:val="000000" w:themeColor="text1"/>
          <w:lang w:val="fr-FR"/>
        </w:rPr>
        <w:t xml:space="preserve"> des données sur tous les projets </w:t>
      </w:r>
      <w:r w:rsidR="00E735EC">
        <w:rPr>
          <w:color w:val="000000" w:themeColor="text1"/>
          <w:lang w:val="fr-FR"/>
        </w:rPr>
        <w:t>dont les</w:t>
      </w:r>
      <w:r w:rsidRPr="00944BFF">
        <w:rPr>
          <w:color w:val="000000" w:themeColor="text1"/>
          <w:lang w:val="fr-FR"/>
        </w:rPr>
        <w:t xml:space="preserve"> soldes sont détenus depuis plus de 12 mois </w:t>
      </w:r>
      <w:r w:rsidR="00E735EC">
        <w:rPr>
          <w:color w:val="000000" w:themeColor="text1"/>
          <w:lang w:val="fr-FR"/>
        </w:rPr>
        <w:t>suivant l</w:t>
      </w:r>
      <w:r w:rsidRPr="00944BFF">
        <w:rPr>
          <w:color w:val="000000" w:themeColor="text1"/>
          <w:lang w:val="fr-FR"/>
        </w:rPr>
        <w:t>a</w:t>
      </w:r>
      <w:r w:rsidR="00E735EC">
        <w:rPr>
          <w:color w:val="000000" w:themeColor="text1"/>
          <w:lang w:val="fr-FR"/>
        </w:rPr>
        <w:t xml:space="preserve"> date d</w:t>
      </w:r>
      <w:r w:rsidRPr="00944BFF">
        <w:rPr>
          <w:color w:val="000000" w:themeColor="text1"/>
          <w:lang w:val="fr-FR"/>
        </w:rPr>
        <w:t>’achèvement du projet et traite des soldes à remettre pour des projets "</w:t>
      </w:r>
      <w:r w:rsidR="00E735EC">
        <w:rPr>
          <w:color w:val="000000" w:themeColor="text1"/>
          <w:lang w:val="fr-FR"/>
        </w:rPr>
        <w:t>par</w:t>
      </w:r>
      <w:r w:rsidRPr="00B40560">
        <w:rPr>
          <w:color w:val="000000" w:themeColor="text1"/>
          <w:lang w:val="fr-FR"/>
        </w:rPr>
        <w:t xml:space="preserve"> décision".</w:t>
      </w:r>
      <w:r w:rsidRPr="00944BFF">
        <w:rPr>
          <w:color w:val="000000" w:themeColor="text1"/>
          <w:lang w:val="fr-FR"/>
        </w:rPr>
        <w:t xml:space="preserve"> I</w:t>
      </w:r>
      <w:r w:rsidR="003E7924" w:rsidRPr="00944BFF">
        <w:rPr>
          <w:color w:val="000000" w:themeColor="text1"/>
          <w:lang w:val="fr-FR"/>
        </w:rPr>
        <w:t xml:space="preserve">l indique qu’un montant de </w:t>
      </w:r>
      <w:r w:rsidRPr="00944BFF">
        <w:rPr>
          <w:lang w:val="fr-FR"/>
        </w:rPr>
        <w:t>154</w:t>
      </w:r>
      <w:r w:rsidR="003E7924" w:rsidRPr="00944BFF">
        <w:rPr>
          <w:lang w:val="fr-FR"/>
        </w:rPr>
        <w:t xml:space="preserve"> </w:t>
      </w:r>
      <w:r w:rsidRPr="00944BFF">
        <w:rPr>
          <w:lang w:val="fr-FR"/>
        </w:rPr>
        <w:t>975</w:t>
      </w:r>
      <w:r w:rsidR="003E7924" w:rsidRPr="00944BFF">
        <w:rPr>
          <w:lang w:val="fr-FR"/>
        </w:rPr>
        <w:t xml:space="preserve"> </w:t>
      </w:r>
      <w:r w:rsidRPr="00944BFF">
        <w:rPr>
          <w:lang w:val="fr-FR"/>
        </w:rPr>
        <w:t>174</w:t>
      </w:r>
      <w:r w:rsidR="003E7924" w:rsidRPr="00944BFF">
        <w:rPr>
          <w:lang w:val="fr-FR"/>
        </w:rPr>
        <w:t xml:space="preserve"> $US e</w:t>
      </w:r>
      <w:r w:rsidRPr="00944BFF">
        <w:rPr>
          <w:color w:val="000000" w:themeColor="text1"/>
          <w:lang w:val="fr-FR"/>
        </w:rPr>
        <w:t>s</w:t>
      </w:r>
      <w:r w:rsidR="003E7924" w:rsidRPr="00944BFF">
        <w:rPr>
          <w:color w:val="000000" w:themeColor="text1"/>
          <w:lang w:val="fr-FR"/>
        </w:rPr>
        <w:t>t disponible pour des approbations à la 8</w:t>
      </w:r>
      <w:r w:rsidR="00002752">
        <w:rPr>
          <w:color w:val="000000" w:themeColor="text1"/>
          <w:lang w:val="fr-FR"/>
        </w:rPr>
        <w:t>3</w:t>
      </w:r>
      <w:r w:rsidR="00002752" w:rsidRPr="00002752">
        <w:rPr>
          <w:color w:val="000000" w:themeColor="text1"/>
          <w:vertAlign w:val="superscript"/>
          <w:lang w:val="fr-FR"/>
        </w:rPr>
        <w:t>e</w:t>
      </w:r>
      <w:r w:rsidR="003E7924" w:rsidRPr="00944BFF">
        <w:rPr>
          <w:color w:val="000000" w:themeColor="text1"/>
          <w:lang w:val="fr-FR"/>
        </w:rPr>
        <w:t xml:space="preserve"> réunion, après avoir tenu compte du solde du Fonds et du montant total restitué par les agences bilatérales et d’exécution.</w:t>
      </w:r>
      <w:r w:rsidRPr="00944BFF">
        <w:rPr>
          <w:color w:val="000000" w:themeColor="text1"/>
          <w:lang w:val="fr-FR"/>
        </w:rPr>
        <w:t xml:space="preserve"> </w:t>
      </w:r>
      <w:r w:rsidR="003E7924" w:rsidRPr="00944BFF">
        <w:rPr>
          <w:color w:val="000000" w:themeColor="text1"/>
          <w:lang w:val="fr-FR"/>
        </w:rPr>
        <w:t>Une mise à jour sur le solde et la disponib</w:t>
      </w:r>
      <w:r w:rsidR="00095793">
        <w:rPr>
          <w:color w:val="000000" w:themeColor="text1"/>
          <w:lang w:val="fr-FR"/>
        </w:rPr>
        <w:t>i</w:t>
      </w:r>
      <w:r w:rsidR="003E7924" w:rsidRPr="00944BFF">
        <w:rPr>
          <w:color w:val="000000" w:themeColor="text1"/>
          <w:lang w:val="fr-FR"/>
        </w:rPr>
        <w:t xml:space="preserve">lité des </w:t>
      </w:r>
      <w:r w:rsidR="00002752">
        <w:rPr>
          <w:color w:val="000000" w:themeColor="text1"/>
          <w:lang w:val="fr-FR"/>
        </w:rPr>
        <w:t>ressources sera fournie à la 83</w:t>
      </w:r>
      <w:r w:rsidR="00002752" w:rsidRPr="00002752">
        <w:rPr>
          <w:color w:val="000000" w:themeColor="text1"/>
          <w:vertAlign w:val="superscript"/>
          <w:lang w:val="fr-FR"/>
        </w:rPr>
        <w:t>e</w:t>
      </w:r>
      <w:r w:rsidR="00002752">
        <w:rPr>
          <w:color w:val="000000" w:themeColor="text1"/>
          <w:lang w:val="fr-FR"/>
        </w:rPr>
        <w:t xml:space="preserve"> </w:t>
      </w:r>
      <w:r w:rsidR="003E7924" w:rsidRPr="00944BFF">
        <w:rPr>
          <w:color w:val="000000" w:themeColor="text1"/>
          <w:lang w:val="fr-FR"/>
        </w:rPr>
        <w:t>réunion.</w:t>
      </w:r>
    </w:p>
    <w:p w14:paraId="22A25667" w14:textId="63295D65" w:rsidR="00610A48" w:rsidRPr="00944BFF" w:rsidRDefault="003E7924" w:rsidP="00610A48">
      <w:pPr>
        <w:spacing w:after="240"/>
        <w:ind w:left="709"/>
        <w:rPr>
          <w:color w:val="000000" w:themeColor="text1"/>
          <w:lang w:val="fr-FR"/>
        </w:rPr>
      </w:pPr>
      <w:r w:rsidRPr="00944BFF">
        <w:rPr>
          <w:color w:val="000000" w:themeColor="text1"/>
          <w:u w:val="single"/>
          <w:lang w:val="fr-FR"/>
        </w:rPr>
        <w:t>Q</w:t>
      </w:r>
      <w:r w:rsidR="00095793">
        <w:rPr>
          <w:color w:val="000000" w:themeColor="text1"/>
          <w:u w:val="single"/>
          <w:lang w:val="fr-FR"/>
        </w:rPr>
        <w:t>uestions</w:t>
      </w:r>
      <w:r w:rsidRPr="00944BFF">
        <w:rPr>
          <w:color w:val="000000" w:themeColor="text1"/>
          <w:u w:val="single"/>
          <w:lang w:val="fr-FR"/>
        </w:rPr>
        <w:t xml:space="preserve"> à traiter </w:t>
      </w:r>
      <w:r w:rsidR="00610A48" w:rsidRPr="00944BFF">
        <w:rPr>
          <w:color w:val="000000" w:themeColor="text1"/>
          <w:lang w:val="fr-FR"/>
        </w:rPr>
        <w:t>:</w:t>
      </w:r>
    </w:p>
    <w:p w14:paraId="48D96B62" w14:textId="77777777" w:rsidR="00610A48" w:rsidRPr="00944BFF" w:rsidRDefault="00610A48" w:rsidP="001963F3">
      <w:pPr>
        <w:pStyle w:val="ListParagraph"/>
        <w:widowControl w:val="0"/>
        <w:numPr>
          <w:ilvl w:val="0"/>
          <w:numId w:val="10"/>
        </w:numPr>
        <w:spacing w:after="240"/>
        <w:jc w:val="both"/>
        <w:rPr>
          <w:color w:val="000000" w:themeColor="text1"/>
          <w:lang w:val="fr-FR"/>
        </w:rPr>
      </w:pPr>
      <w:r w:rsidRPr="00944BFF">
        <w:rPr>
          <w:color w:val="000000" w:themeColor="text1"/>
          <w:lang w:val="fr-FR"/>
        </w:rPr>
        <w:t>Re</w:t>
      </w:r>
      <w:r w:rsidR="003E7924" w:rsidRPr="00944BFF">
        <w:rPr>
          <w:color w:val="000000" w:themeColor="text1"/>
          <w:lang w:val="fr-FR"/>
        </w:rPr>
        <w:t xml:space="preserve">stitution des soldes pour l’enquête sur les projets de solutions de remplacement des SAO et pour des phases anciennes de projets de renforcement des institutions. </w:t>
      </w:r>
    </w:p>
    <w:p w14:paraId="454496EC" w14:textId="77777777" w:rsidR="00A234E9" w:rsidRPr="001D5908" w:rsidRDefault="00610A48" w:rsidP="00002752">
      <w:pPr>
        <w:keepNext/>
        <w:keepLines/>
        <w:tabs>
          <w:tab w:val="num" w:pos="709"/>
        </w:tabs>
        <w:rPr>
          <w:lang w:val="fr-CA"/>
        </w:rPr>
      </w:pPr>
      <w:r w:rsidRPr="00944BFF">
        <w:rPr>
          <w:color w:val="000000" w:themeColor="text1"/>
          <w:lang w:val="fr-FR" w:bidi="hi-IN"/>
        </w:rPr>
        <w:lastRenderedPageBreak/>
        <w:tab/>
      </w:r>
      <w:r w:rsidR="00A234E9" w:rsidRPr="00A234E9">
        <w:rPr>
          <w:u w:val="single"/>
          <w:lang w:val="fr-CA"/>
        </w:rPr>
        <w:t>Le Comité exécutif pourrait souhaiter</w:t>
      </w:r>
      <w:r w:rsidR="00A234E9" w:rsidRPr="001D5908">
        <w:rPr>
          <w:lang w:val="fr-CA"/>
        </w:rPr>
        <w:t xml:space="preserve"> :</w:t>
      </w:r>
    </w:p>
    <w:p w14:paraId="735EBB7D" w14:textId="22472978" w:rsidR="00A234E9" w:rsidRPr="001D5908" w:rsidRDefault="00002752" w:rsidP="00002752">
      <w:pPr>
        <w:pStyle w:val="Heading4"/>
        <w:numPr>
          <w:ilvl w:val="0"/>
          <w:numId w:val="0"/>
        </w:numPr>
        <w:ind w:left="567" w:firstLine="142"/>
        <w:rPr>
          <w:lang w:val="en-US"/>
        </w:rPr>
      </w:pPr>
      <w:r>
        <w:rPr>
          <w:lang w:val="fr-CA"/>
        </w:rPr>
        <w:t>a)</w:t>
      </w:r>
      <w:r>
        <w:rPr>
          <w:lang w:val="fr-CA"/>
        </w:rPr>
        <w:tab/>
      </w:r>
      <w:r w:rsidR="00A234E9" w:rsidRPr="001D5908">
        <w:rPr>
          <w:lang w:val="fr-CA"/>
        </w:rPr>
        <w:t xml:space="preserve">Prendre note </w:t>
      </w:r>
      <w:r w:rsidR="00A234E9" w:rsidRPr="001D5908">
        <w:rPr>
          <w:lang w:val="en-US"/>
        </w:rPr>
        <w:t>:</w:t>
      </w:r>
    </w:p>
    <w:p w14:paraId="144BAFDC" w14:textId="77777777" w:rsidR="00A234E9" w:rsidRPr="001D5908" w:rsidRDefault="00A234E9" w:rsidP="00761F88">
      <w:pPr>
        <w:pStyle w:val="Heading4"/>
        <w:numPr>
          <w:ilvl w:val="3"/>
          <w:numId w:val="21"/>
        </w:numPr>
        <w:tabs>
          <w:tab w:val="num" w:pos="709"/>
        </w:tabs>
        <w:ind w:left="2070"/>
        <w:rPr>
          <w:lang w:val="fr-CA"/>
        </w:rPr>
      </w:pPr>
      <w:r w:rsidRPr="001D5908">
        <w:rPr>
          <w:lang w:val="fr-CA"/>
        </w:rPr>
        <w:t>Du rapport sur les soldes et la disponibilité des ressources présenté dans le document UNEP/OzL.Pro/ExCom/83/4;</w:t>
      </w:r>
    </w:p>
    <w:p w14:paraId="36A651BB" w14:textId="77777777" w:rsidR="00A234E9" w:rsidRPr="001D5908" w:rsidRDefault="00A234E9" w:rsidP="00A234E9">
      <w:pPr>
        <w:tabs>
          <w:tab w:val="num" w:pos="709"/>
          <w:tab w:val="num" w:pos="1560"/>
        </w:tabs>
        <w:ind w:left="2126"/>
        <w:rPr>
          <w:lang w:val="fr-CA"/>
        </w:rPr>
      </w:pPr>
    </w:p>
    <w:p w14:paraId="259A3F5D" w14:textId="7FD3BB47" w:rsidR="00A234E9" w:rsidRPr="001D5908" w:rsidRDefault="00A234E9" w:rsidP="00761F88">
      <w:pPr>
        <w:pStyle w:val="ListParagraph"/>
        <w:numPr>
          <w:ilvl w:val="0"/>
          <w:numId w:val="22"/>
        </w:numPr>
        <w:tabs>
          <w:tab w:val="num" w:pos="709"/>
        </w:tabs>
        <w:ind w:left="2070"/>
        <w:contextualSpacing w:val="0"/>
        <w:jc w:val="both"/>
        <w:rPr>
          <w:lang w:val="fr-CA"/>
        </w:rPr>
      </w:pPr>
      <w:r w:rsidRPr="001D5908">
        <w:rPr>
          <w:lang w:val="fr-CA"/>
        </w:rPr>
        <w:t>Que les agences d’exécution remettront la somme de 5 164 348 $US à la 83</w:t>
      </w:r>
      <w:r w:rsidRPr="001D5908">
        <w:rPr>
          <w:vertAlign w:val="superscript"/>
          <w:lang w:val="fr-CA"/>
        </w:rPr>
        <w:t>e</w:t>
      </w:r>
      <w:r w:rsidRPr="001D5908">
        <w:rPr>
          <w:lang w:val="fr-CA"/>
        </w:rPr>
        <w:t> réunion, à savoir 267 329 $US plus les coûts d’appui à l’agence de 19 219</w:t>
      </w:r>
      <w:r w:rsidR="002F1864">
        <w:rPr>
          <w:lang w:val="fr-CA"/>
        </w:rPr>
        <w:t> </w:t>
      </w:r>
      <w:r w:rsidRPr="001D5908">
        <w:rPr>
          <w:lang w:val="fr-CA"/>
        </w:rPr>
        <w:t xml:space="preserve">$US </w:t>
      </w:r>
      <w:r>
        <w:rPr>
          <w:lang w:val="fr-CA"/>
        </w:rPr>
        <w:t>pour le</w:t>
      </w:r>
      <w:r w:rsidRPr="001D5908">
        <w:rPr>
          <w:lang w:val="fr-CA"/>
        </w:rPr>
        <w:t xml:space="preserve"> PNUD, 2 826 569 $US plus les coûts d’appui à l’agence de 252 011 $US </w:t>
      </w:r>
      <w:r>
        <w:rPr>
          <w:lang w:val="fr-CA"/>
        </w:rPr>
        <w:t>pour</w:t>
      </w:r>
      <w:r w:rsidRPr="001D5908">
        <w:rPr>
          <w:lang w:val="fr-CA"/>
        </w:rPr>
        <w:t xml:space="preserve"> le PNUE, 345 199 $US plus les coûts d’appui à l’agence de 25 603 $US </w:t>
      </w:r>
      <w:r>
        <w:rPr>
          <w:lang w:val="fr-CA"/>
        </w:rPr>
        <w:t>pour</w:t>
      </w:r>
      <w:r w:rsidRPr="001D5908">
        <w:rPr>
          <w:lang w:val="fr-CA"/>
        </w:rPr>
        <w:t xml:space="preserve"> l’ONUDI et 1 333 562 $US plus les coûts d’appui à l’agence de 391 689 $US </w:t>
      </w:r>
      <w:r>
        <w:rPr>
          <w:lang w:val="fr-CA"/>
        </w:rPr>
        <w:t>pour</w:t>
      </w:r>
      <w:r w:rsidRPr="001D5908">
        <w:rPr>
          <w:lang w:val="fr-CA"/>
        </w:rPr>
        <w:t xml:space="preserve"> la Banque mondiale; </w:t>
      </w:r>
    </w:p>
    <w:p w14:paraId="297D90C1" w14:textId="77777777" w:rsidR="00A234E9" w:rsidRPr="001D5908" w:rsidRDefault="00A234E9" w:rsidP="00A234E9">
      <w:pPr>
        <w:pStyle w:val="ListParagraph"/>
        <w:ind w:left="2070"/>
        <w:rPr>
          <w:lang w:val="fr-CA"/>
        </w:rPr>
      </w:pPr>
    </w:p>
    <w:p w14:paraId="5126F7E8" w14:textId="77777777" w:rsidR="00A234E9" w:rsidRPr="001D5908" w:rsidRDefault="00A234E9" w:rsidP="00761F88">
      <w:pPr>
        <w:pStyle w:val="Heading3"/>
        <w:numPr>
          <w:ilvl w:val="0"/>
          <w:numId w:val="22"/>
        </w:numPr>
        <w:ind w:left="2070"/>
        <w:rPr>
          <w:lang w:val="fr-CA"/>
        </w:rPr>
      </w:pPr>
      <w:r w:rsidRPr="001D5908">
        <w:rPr>
          <w:lang w:val="fr-CA"/>
        </w:rPr>
        <w:t>D</w:t>
      </w:r>
      <w:r>
        <w:rPr>
          <w:lang w:val="fr-CA"/>
        </w:rPr>
        <w:t>u</w:t>
      </w:r>
      <w:r w:rsidRPr="001D5908">
        <w:rPr>
          <w:lang w:val="fr-CA"/>
        </w:rPr>
        <w:t xml:space="preserve"> retour de 225 992 $US, plus les coûts d’appui à l’agence de 15 819 $US aux contributions supplémentaires pour le démarrage rapide de la réduction progressive de HFC par la Banque mondiale;</w:t>
      </w:r>
    </w:p>
    <w:p w14:paraId="5F01572C" w14:textId="77777777" w:rsidR="00A234E9" w:rsidRPr="001D5908" w:rsidRDefault="00A234E9" w:rsidP="00761F88">
      <w:pPr>
        <w:pStyle w:val="Heading3"/>
        <w:numPr>
          <w:ilvl w:val="0"/>
          <w:numId w:val="22"/>
        </w:numPr>
        <w:spacing w:after="0"/>
        <w:ind w:left="2070"/>
        <w:rPr>
          <w:lang w:val="fr-CA"/>
        </w:rPr>
      </w:pPr>
      <w:r w:rsidRPr="001D5908">
        <w:rPr>
          <w:lang w:val="fr-CA"/>
        </w:rPr>
        <w:t xml:space="preserve">Que le PNUE </w:t>
      </w:r>
      <w:r>
        <w:rPr>
          <w:lang w:val="fr-CA"/>
        </w:rPr>
        <w:t>retenait</w:t>
      </w:r>
      <w:r w:rsidRPr="001D5908">
        <w:rPr>
          <w:lang w:val="fr-CA"/>
        </w:rPr>
        <w:t xml:space="preserve"> des soldes de 333 873 $US </w:t>
      </w:r>
      <w:r>
        <w:rPr>
          <w:lang w:val="fr-CA"/>
        </w:rPr>
        <w:t>comprenant les</w:t>
      </w:r>
      <w:r w:rsidRPr="001D5908">
        <w:rPr>
          <w:lang w:val="fr-CA"/>
        </w:rPr>
        <w:t xml:space="preserve"> coûts d’appui</w:t>
      </w:r>
      <w:r>
        <w:rPr>
          <w:lang w:val="fr-CA"/>
        </w:rPr>
        <w:t xml:space="preserve"> à l’agence pour </w:t>
      </w:r>
      <w:r w:rsidRPr="001D5908">
        <w:rPr>
          <w:lang w:val="fr-CA"/>
        </w:rPr>
        <w:t>onze projets achevés il y a plus de deux ans, dont un projet de renforcement des institutions achevé en 2013;</w:t>
      </w:r>
    </w:p>
    <w:p w14:paraId="517A0F4C" w14:textId="77777777" w:rsidR="00A234E9" w:rsidRPr="001D5908" w:rsidRDefault="00A234E9" w:rsidP="00A234E9">
      <w:pPr>
        <w:ind w:left="2070"/>
        <w:rPr>
          <w:lang w:val="fr-CA"/>
        </w:rPr>
      </w:pPr>
    </w:p>
    <w:p w14:paraId="52A9A80E" w14:textId="77777777" w:rsidR="00A234E9" w:rsidRPr="001D5908" w:rsidRDefault="00A234E9" w:rsidP="00761F88">
      <w:pPr>
        <w:pStyle w:val="Heading3"/>
        <w:numPr>
          <w:ilvl w:val="0"/>
          <w:numId w:val="22"/>
        </w:numPr>
        <w:ind w:left="2070"/>
        <w:rPr>
          <w:lang w:val="fr-CA"/>
        </w:rPr>
      </w:pPr>
      <w:r w:rsidRPr="001D5908">
        <w:rPr>
          <w:lang w:val="fr-CA"/>
        </w:rPr>
        <w:t xml:space="preserve">Que le PNUE </w:t>
      </w:r>
      <w:r>
        <w:rPr>
          <w:lang w:val="fr-CA"/>
        </w:rPr>
        <w:t>détenait</w:t>
      </w:r>
      <w:r w:rsidRPr="001D5908">
        <w:rPr>
          <w:lang w:val="fr-CA"/>
        </w:rPr>
        <w:t xml:space="preserve"> des soldes de 601 842 $US </w:t>
      </w:r>
      <w:r>
        <w:rPr>
          <w:lang w:val="fr-CA"/>
        </w:rPr>
        <w:t>comprenant</w:t>
      </w:r>
      <w:r w:rsidRPr="001D5908">
        <w:rPr>
          <w:lang w:val="fr-CA"/>
        </w:rPr>
        <w:t xml:space="preserve"> les coûts d’appui</w:t>
      </w:r>
      <w:r>
        <w:rPr>
          <w:lang w:val="fr-CA"/>
        </w:rPr>
        <w:t xml:space="preserve"> à l’agence</w:t>
      </w:r>
      <w:r w:rsidRPr="001D5908">
        <w:rPr>
          <w:lang w:val="fr-CA"/>
        </w:rPr>
        <w:t>, pour 13 projets d’enquête sur les substances de remplacement des SAO;</w:t>
      </w:r>
    </w:p>
    <w:p w14:paraId="51A10BEF" w14:textId="77777777" w:rsidR="00A234E9" w:rsidRPr="001D5908" w:rsidRDefault="00A234E9" w:rsidP="00761F88">
      <w:pPr>
        <w:pStyle w:val="Heading3"/>
        <w:numPr>
          <w:ilvl w:val="0"/>
          <w:numId w:val="22"/>
        </w:numPr>
        <w:ind w:left="2070"/>
        <w:rPr>
          <w:lang w:val="fr-CA"/>
        </w:rPr>
      </w:pPr>
      <w:r w:rsidRPr="001D5908">
        <w:rPr>
          <w:lang w:val="fr-CA"/>
        </w:rPr>
        <w:t xml:space="preserve">Que l’ONUDI </w:t>
      </w:r>
      <w:r>
        <w:rPr>
          <w:lang w:val="fr-CA"/>
        </w:rPr>
        <w:t>détenait</w:t>
      </w:r>
      <w:r w:rsidRPr="001D5908">
        <w:rPr>
          <w:lang w:val="fr-CA"/>
        </w:rPr>
        <w:t xml:space="preserve"> des soldes de 154 257 $US comprenant les coûts d’appui</w:t>
      </w:r>
      <w:r>
        <w:rPr>
          <w:lang w:val="fr-CA"/>
        </w:rPr>
        <w:t xml:space="preserve"> à l’agence,</w:t>
      </w:r>
      <w:r w:rsidRPr="001D5908">
        <w:rPr>
          <w:lang w:val="fr-CA"/>
        </w:rPr>
        <w:t xml:space="preserve"> pour deux projets achevés il y a plus de deux ans; </w:t>
      </w:r>
    </w:p>
    <w:p w14:paraId="66BD6F22" w14:textId="246D92AE" w:rsidR="00A234E9" w:rsidRDefault="00A234E9" w:rsidP="00761F88">
      <w:pPr>
        <w:pStyle w:val="Heading3"/>
        <w:numPr>
          <w:ilvl w:val="0"/>
          <w:numId w:val="22"/>
        </w:numPr>
        <w:spacing w:after="0"/>
        <w:ind w:left="2070"/>
        <w:rPr>
          <w:lang w:val="fr-CA"/>
        </w:rPr>
      </w:pPr>
      <w:r w:rsidRPr="001D5908">
        <w:rPr>
          <w:lang w:val="fr-CA"/>
        </w:rPr>
        <w:t>Que le montant net de</w:t>
      </w:r>
      <w:r>
        <w:rPr>
          <w:lang w:val="fr-CA"/>
        </w:rPr>
        <w:t>s</w:t>
      </w:r>
      <w:r w:rsidRPr="001D5908">
        <w:rPr>
          <w:lang w:val="fr-CA"/>
        </w:rPr>
        <w:t xml:space="preserve"> fonds et de</w:t>
      </w:r>
      <w:r>
        <w:rPr>
          <w:lang w:val="fr-CA"/>
        </w:rPr>
        <w:t>s</w:t>
      </w:r>
      <w:r w:rsidRPr="001D5908">
        <w:rPr>
          <w:lang w:val="fr-CA"/>
        </w:rPr>
        <w:t xml:space="preserve"> coûts d’appui aux agences que les agences bilatérales </w:t>
      </w:r>
      <w:r>
        <w:rPr>
          <w:lang w:val="fr-CA"/>
        </w:rPr>
        <w:t>doivent</w:t>
      </w:r>
      <w:r w:rsidRPr="001D5908">
        <w:rPr>
          <w:lang w:val="fr-CA"/>
        </w:rPr>
        <w:t xml:space="preserve"> remettre à la 83</w:t>
      </w:r>
      <w:r w:rsidRPr="001D5908">
        <w:rPr>
          <w:vertAlign w:val="superscript"/>
          <w:lang w:val="fr-CA"/>
        </w:rPr>
        <w:t>e</w:t>
      </w:r>
      <w:r w:rsidRPr="001D5908">
        <w:rPr>
          <w:lang w:val="fr-CA"/>
        </w:rPr>
        <w:t xml:space="preserve"> réunion était de 3 100 $US, comprenant 53</w:t>
      </w:r>
      <w:r w:rsidR="002F1864">
        <w:rPr>
          <w:lang w:val="fr-CA"/>
        </w:rPr>
        <w:t> </w:t>
      </w:r>
      <w:r w:rsidRPr="001D5908">
        <w:rPr>
          <w:lang w:val="fr-CA"/>
        </w:rPr>
        <w:t>$US plus les coûts d’appui à l’</w:t>
      </w:r>
      <w:r>
        <w:rPr>
          <w:lang w:val="fr-CA"/>
        </w:rPr>
        <w:t>a</w:t>
      </w:r>
      <w:r w:rsidRPr="001D5908">
        <w:rPr>
          <w:lang w:val="fr-CA"/>
        </w:rPr>
        <w:t xml:space="preserve">gence de 7 $US </w:t>
      </w:r>
      <w:r>
        <w:rPr>
          <w:lang w:val="fr-CA"/>
        </w:rPr>
        <w:t>pour</w:t>
      </w:r>
      <w:r w:rsidRPr="001D5908">
        <w:rPr>
          <w:lang w:val="fr-CA"/>
        </w:rPr>
        <w:t xml:space="preserve"> le gouvernement du Japon, 2</w:t>
      </w:r>
      <w:r>
        <w:rPr>
          <w:lang w:val="fr-CA"/>
        </w:rPr>
        <w:t> 736 </w:t>
      </w:r>
      <w:r w:rsidRPr="001D5908">
        <w:rPr>
          <w:lang w:val="fr-CA"/>
        </w:rPr>
        <w:t xml:space="preserve">$US plus les coûts d’appui à l’agence de 356 </w:t>
      </w:r>
      <w:r>
        <w:rPr>
          <w:lang w:val="fr-CA"/>
        </w:rPr>
        <w:t>$US pour le</w:t>
      </w:r>
      <w:r w:rsidRPr="001D5908">
        <w:rPr>
          <w:lang w:val="fr-CA"/>
        </w:rPr>
        <w:t xml:space="preserve"> gouvernement de l’Espagne et un crédit de 48 $US plus les coûts d’appui à l’agence de 4 $ po</w:t>
      </w:r>
      <w:r w:rsidR="00741CF4">
        <w:rPr>
          <w:lang w:val="fr-CA"/>
        </w:rPr>
        <w:t>ur le gouvernement de la France</w:t>
      </w:r>
      <w:r w:rsidRPr="001D5908">
        <w:rPr>
          <w:lang w:val="fr-CA"/>
        </w:rPr>
        <w:t>;</w:t>
      </w:r>
    </w:p>
    <w:p w14:paraId="360EE8AD" w14:textId="77777777" w:rsidR="00741CF4" w:rsidRPr="00741CF4" w:rsidRDefault="00741CF4" w:rsidP="00741CF4">
      <w:pPr>
        <w:rPr>
          <w:lang w:val="fr-CA"/>
        </w:rPr>
      </w:pPr>
    </w:p>
    <w:p w14:paraId="0C5D6843" w14:textId="77777777" w:rsidR="00A234E9" w:rsidRPr="001D5908" w:rsidRDefault="00A234E9" w:rsidP="00761F88">
      <w:pPr>
        <w:pStyle w:val="Heading3"/>
        <w:numPr>
          <w:ilvl w:val="0"/>
          <w:numId w:val="22"/>
        </w:numPr>
        <w:spacing w:after="0"/>
        <w:ind w:left="2070"/>
        <w:rPr>
          <w:lang w:val="fr-CA"/>
        </w:rPr>
      </w:pPr>
      <w:r w:rsidRPr="001D5908">
        <w:rPr>
          <w:lang w:val="fr-CA"/>
        </w:rPr>
        <w:t>Du retour par le gouvernement de la France d’</w:t>
      </w:r>
      <w:r>
        <w:rPr>
          <w:lang w:val="fr-CA"/>
        </w:rPr>
        <w:t>i</w:t>
      </w:r>
      <w:r w:rsidRPr="001D5908">
        <w:rPr>
          <w:lang w:val="fr-CA"/>
        </w:rPr>
        <w:t xml:space="preserve">ntérêts accumulés représentant la somme de 6 632 $US, qui </w:t>
      </w:r>
      <w:r>
        <w:rPr>
          <w:lang w:val="fr-CA"/>
        </w:rPr>
        <w:t>constituent</w:t>
      </w:r>
      <w:r w:rsidRPr="001D5908">
        <w:rPr>
          <w:lang w:val="fr-CA"/>
        </w:rPr>
        <w:t xml:space="preserve"> un revenu supplémentaire pour le Fonds multilatéral;</w:t>
      </w:r>
    </w:p>
    <w:p w14:paraId="76757DF2" w14:textId="77777777" w:rsidR="00A234E9" w:rsidRPr="001D5908" w:rsidRDefault="00A234E9" w:rsidP="00A234E9">
      <w:pPr>
        <w:rPr>
          <w:lang w:val="fr-CA"/>
        </w:rPr>
      </w:pPr>
    </w:p>
    <w:p w14:paraId="146DA22E" w14:textId="400EAB5F" w:rsidR="00A234E9" w:rsidRPr="001D5908" w:rsidRDefault="00A234E9" w:rsidP="00761F88">
      <w:pPr>
        <w:pStyle w:val="Heading2"/>
        <w:numPr>
          <w:ilvl w:val="0"/>
          <w:numId w:val="23"/>
        </w:numPr>
        <w:ind w:left="1440" w:hanging="720"/>
        <w:rPr>
          <w:lang w:val="fr-CA"/>
        </w:rPr>
      </w:pPr>
      <w:r>
        <w:rPr>
          <w:lang w:val="fr-CA"/>
        </w:rPr>
        <w:t>D</w:t>
      </w:r>
      <w:r w:rsidRPr="001D5908">
        <w:rPr>
          <w:lang w:val="fr-CA"/>
        </w:rPr>
        <w:t>emander :</w:t>
      </w:r>
    </w:p>
    <w:p w14:paraId="4CF37C87" w14:textId="33C16C16" w:rsidR="00A234E9" w:rsidRDefault="00A234E9" w:rsidP="00761F88">
      <w:pPr>
        <w:pStyle w:val="Heading4"/>
        <w:numPr>
          <w:ilvl w:val="0"/>
          <w:numId w:val="25"/>
        </w:numPr>
        <w:tabs>
          <w:tab w:val="num" w:pos="90"/>
          <w:tab w:val="num" w:pos="709"/>
        </w:tabs>
        <w:spacing w:before="0" w:after="0"/>
        <w:ind w:left="2160" w:hanging="720"/>
        <w:rPr>
          <w:lang w:val="fr-CA"/>
        </w:rPr>
      </w:pPr>
      <w:r w:rsidRPr="001D5908">
        <w:rPr>
          <w:lang w:val="fr-CA"/>
        </w:rPr>
        <w:t>Aux agences bilatérales et d’exécution de décaisser les sommes ou d’annuler l’engagement des sommes non nécessaires de projets achevés et de projets achevés « par décision du Comité exécutif » et de retourner les soldes à la 84</w:t>
      </w:r>
      <w:r w:rsidRPr="001D5908">
        <w:rPr>
          <w:vertAlign w:val="superscript"/>
          <w:lang w:val="fr-CA"/>
        </w:rPr>
        <w:t>e</w:t>
      </w:r>
      <w:r w:rsidR="002F1864">
        <w:rPr>
          <w:vertAlign w:val="superscript"/>
          <w:lang w:val="fr-CA"/>
        </w:rPr>
        <w:t> </w:t>
      </w:r>
      <w:r>
        <w:rPr>
          <w:lang w:val="fr-CA"/>
        </w:rPr>
        <w:t>réunion;</w:t>
      </w:r>
    </w:p>
    <w:p w14:paraId="33FD1B43" w14:textId="5C448318" w:rsidR="00A234E9" w:rsidRPr="00C35108" w:rsidRDefault="00A234E9" w:rsidP="00A234E9">
      <w:pPr>
        <w:pStyle w:val="Heading4"/>
        <w:numPr>
          <w:ilvl w:val="0"/>
          <w:numId w:val="0"/>
        </w:numPr>
        <w:tabs>
          <w:tab w:val="num" w:pos="709"/>
        </w:tabs>
        <w:spacing w:before="0" w:after="0"/>
        <w:ind w:left="2776" w:hanging="706"/>
        <w:rPr>
          <w:lang w:val="fr-CA"/>
        </w:rPr>
      </w:pPr>
    </w:p>
    <w:p w14:paraId="100BB97A" w14:textId="77777777" w:rsidR="00A234E9" w:rsidRPr="001D5908" w:rsidRDefault="00A234E9" w:rsidP="00761F88">
      <w:pPr>
        <w:pStyle w:val="Heading3"/>
        <w:numPr>
          <w:ilvl w:val="0"/>
          <w:numId w:val="24"/>
        </w:numPr>
        <w:spacing w:after="0"/>
        <w:ind w:left="2160"/>
        <w:rPr>
          <w:lang w:val="fr-CA"/>
        </w:rPr>
      </w:pPr>
      <w:r w:rsidRPr="001D5908">
        <w:rPr>
          <w:lang w:val="fr-CA"/>
        </w:rPr>
        <w:t>Au PNUE et à l’ONUDI de décaisser les sommes ou d’annuler l’engagement des sommes de projets achevés il y a plus de deux ans et de retourner les soldes à la 84</w:t>
      </w:r>
      <w:r w:rsidRPr="001D5908">
        <w:rPr>
          <w:vertAlign w:val="superscript"/>
          <w:lang w:val="fr-CA"/>
        </w:rPr>
        <w:t>e</w:t>
      </w:r>
      <w:r w:rsidRPr="001D5908">
        <w:rPr>
          <w:lang w:val="fr-CA"/>
        </w:rPr>
        <w:t xml:space="preserve"> réunion; </w:t>
      </w:r>
    </w:p>
    <w:p w14:paraId="2CD73285" w14:textId="77777777" w:rsidR="00A234E9" w:rsidRPr="001D5908" w:rsidRDefault="00A234E9" w:rsidP="00A234E9">
      <w:pPr>
        <w:tabs>
          <w:tab w:val="num" w:pos="0"/>
          <w:tab w:val="num" w:pos="90"/>
          <w:tab w:val="num" w:pos="709"/>
        </w:tabs>
        <w:ind w:left="2160" w:hanging="720"/>
        <w:rPr>
          <w:lang w:val="fr-CA"/>
        </w:rPr>
      </w:pPr>
    </w:p>
    <w:p w14:paraId="56B9F0CE" w14:textId="77777777" w:rsidR="00A234E9" w:rsidRPr="001D5908" w:rsidRDefault="00A234E9" w:rsidP="00761F88">
      <w:pPr>
        <w:pStyle w:val="Heading3"/>
        <w:numPr>
          <w:ilvl w:val="0"/>
          <w:numId w:val="24"/>
        </w:numPr>
        <w:spacing w:after="0"/>
        <w:ind w:left="2160"/>
        <w:rPr>
          <w:lang w:val="fr-CA"/>
        </w:rPr>
      </w:pPr>
      <w:r w:rsidRPr="001D5908">
        <w:rPr>
          <w:lang w:val="fr-CA"/>
        </w:rPr>
        <w:t>Au PNUE de retourner les soldes impayés des projets d’enquête sur les substances de remplacement des SAO avant la 83</w:t>
      </w:r>
      <w:r w:rsidRPr="001D5908">
        <w:rPr>
          <w:vertAlign w:val="superscript"/>
          <w:lang w:val="fr-CA"/>
        </w:rPr>
        <w:t>e</w:t>
      </w:r>
      <w:r w:rsidRPr="001D5908">
        <w:rPr>
          <w:lang w:val="fr-CA"/>
        </w:rPr>
        <w:t xml:space="preserve"> réunion, conformément à la décision 80/75 c) i); et</w:t>
      </w:r>
    </w:p>
    <w:p w14:paraId="3657FC88" w14:textId="77777777" w:rsidR="00A234E9" w:rsidRPr="001D5908" w:rsidRDefault="00A234E9" w:rsidP="00A234E9">
      <w:pPr>
        <w:pStyle w:val="ListParagraph"/>
        <w:ind w:left="2160" w:hanging="720"/>
        <w:rPr>
          <w:lang w:val="fr-CA"/>
        </w:rPr>
      </w:pPr>
    </w:p>
    <w:p w14:paraId="687FC43F" w14:textId="77777777" w:rsidR="00A234E9" w:rsidRPr="001D5908" w:rsidRDefault="00A234E9" w:rsidP="00761F88">
      <w:pPr>
        <w:pStyle w:val="Heading3"/>
        <w:numPr>
          <w:ilvl w:val="0"/>
          <w:numId w:val="24"/>
        </w:numPr>
        <w:spacing w:after="0"/>
        <w:ind w:left="2160"/>
        <w:rPr>
          <w:lang w:val="fr-CA"/>
        </w:rPr>
      </w:pPr>
      <w:r w:rsidRPr="001D5908">
        <w:rPr>
          <w:lang w:val="fr-CA"/>
        </w:rPr>
        <w:t xml:space="preserve">Au Trésorier d’effectuer un suivi auprès du gouvernement de la France </w:t>
      </w:r>
      <w:r>
        <w:rPr>
          <w:lang w:val="fr-CA"/>
        </w:rPr>
        <w:t>concerna</w:t>
      </w:r>
      <w:r w:rsidRPr="001D5908">
        <w:rPr>
          <w:lang w:val="fr-CA"/>
        </w:rPr>
        <w:t>nt le retour en espèces de la som</w:t>
      </w:r>
      <w:r>
        <w:rPr>
          <w:lang w:val="fr-CA"/>
        </w:rPr>
        <w:t>me de 6 6</w:t>
      </w:r>
      <w:r w:rsidRPr="001D5908">
        <w:rPr>
          <w:lang w:val="fr-CA"/>
        </w:rPr>
        <w:t>32 $US, dont il est question au paragraphe a) viii), ci-dessus.</w:t>
      </w:r>
    </w:p>
    <w:p w14:paraId="089892BC" w14:textId="77777777" w:rsidR="00A234E9" w:rsidRPr="001D5908" w:rsidRDefault="00A234E9" w:rsidP="00A234E9">
      <w:pPr>
        <w:tabs>
          <w:tab w:val="num" w:pos="90"/>
          <w:tab w:val="num" w:pos="709"/>
        </w:tabs>
        <w:ind w:left="2127"/>
        <w:rPr>
          <w:lang w:val="fr-CA"/>
        </w:rPr>
      </w:pPr>
    </w:p>
    <w:p w14:paraId="1B8D8535" w14:textId="6ACA9EF4" w:rsidR="00610A48" w:rsidRPr="00944BFF" w:rsidRDefault="00A234E9" w:rsidP="00002752">
      <w:pPr>
        <w:pStyle w:val="Heading2"/>
        <w:widowControl/>
        <w:numPr>
          <w:ilvl w:val="0"/>
          <w:numId w:val="0"/>
        </w:numPr>
        <w:ind w:left="1440" w:hanging="720"/>
        <w:rPr>
          <w:b/>
          <w:lang w:val="fr-FR"/>
        </w:rPr>
      </w:pPr>
      <w:r w:rsidRPr="00944BFF">
        <w:rPr>
          <w:b/>
          <w:lang w:val="fr-FR"/>
        </w:rPr>
        <w:t xml:space="preserve"> </w:t>
      </w:r>
      <w:r w:rsidR="00002752">
        <w:rPr>
          <w:b/>
          <w:lang w:val="fr-FR"/>
        </w:rPr>
        <w:t>c)</w:t>
      </w:r>
      <w:r w:rsidR="00002752">
        <w:rPr>
          <w:b/>
          <w:lang w:val="fr-FR"/>
        </w:rPr>
        <w:tab/>
      </w:r>
      <w:r w:rsidR="00D90B2E" w:rsidRPr="00944BFF">
        <w:rPr>
          <w:b/>
          <w:lang w:val="fr-FR"/>
        </w:rPr>
        <w:t>État des contributions su</w:t>
      </w:r>
      <w:r w:rsidR="00095793">
        <w:rPr>
          <w:b/>
          <w:lang w:val="fr-FR"/>
        </w:rPr>
        <w:t>pplémentaires au Fonds multilaté</w:t>
      </w:r>
      <w:r w:rsidR="00D90B2E" w:rsidRPr="00944BFF">
        <w:rPr>
          <w:b/>
          <w:lang w:val="fr-FR"/>
        </w:rPr>
        <w:t xml:space="preserve">ral et disponibilité des ressources </w:t>
      </w:r>
      <w:r w:rsidR="00196D8E" w:rsidRPr="00944BFF">
        <w:rPr>
          <w:b/>
          <w:lang w:val="fr-FR"/>
        </w:rPr>
        <w:t>(dé</w:t>
      </w:r>
      <w:r w:rsidR="00741CF4">
        <w:rPr>
          <w:b/>
          <w:lang w:val="fr-FR"/>
        </w:rPr>
        <w:t>cision 82/3(</w:t>
      </w:r>
      <w:r w:rsidR="00610A48" w:rsidRPr="00944BFF">
        <w:rPr>
          <w:b/>
          <w:lang w:val="fr-FR"/>
        </w:rPr>
        <w:t>b))</w:t>
      </w:r>
    </w:p>
    <w:p w14:paraId="1F3BF20F" w14:textId="75626E5D" w:rsidR="00610A48" w:rsidRPr="00944BFF" w:rsidRDefault="00196D8E" w:rsidP="00610A48">
      <w:pPr>
        <w:pStyle w:val="ListParagraph"/>
        <w:keepNext/>
        <w:spacing w:after="240"/>
        <w:ind w:left="709"/>
        <w:jc w:val="both"/>
        <w:rPr>
          <w:lang w:val="fr-FR"/>
        </w:rPr>
      </w:pPr>
      <w:r w:rsidRPr="00944BFF">
        <w:rPr>
          <w:color w:val="000000" w:themeColor="text1"/>
          <w:lang w:val="fr-FR"/>
        </w:rPr>
        <w:t xml:space="preserve">Le </w:t>
      </w:r>
      <w:r w:rsidRPr="00944BFF">
        <w:rPr>
          <w:color w:val="000000" w:themeColor="text1"/>
          <w:u w:val="single"/>
          <w:lang w:val="fr-FR"/>
        </w:rPr>
        <w:t>d</w:t>
      </w:r>
      <w:r w:rsidR="00610A48" w:rsidRPr="00944BFF">
        <w:rPr>
          <w:color w:val="000000" w:themeColor="text1"/>
          <w:u w:val="single"/>
          <w:lang w:val="fr-FR"/>
        </w:rPr>
        <w:t>ocument UNEP/Oz</w:t>
      </w:r>
      <w:r w:rsidR="00610A48" w:rsidRPr="00944BFF">
        <w:rPr>
          <w:color w:val="000000" w:themeColor="text1"/>
          <w:szCs w:val="24"/>
          <w:u w:val="single"/>
          <w:lang w:val="fr-FR"/>
        </w:rPr>
        <w:t>L.Pro/ExCom/83/5</w:t>
      </w:r>
      <w:r w:rsidR="00610A48" w:rsidRPr="00944BFF">
        <w:rPr>
          <w:color w:val="000000" w:themeColor="text1"/>
          <w:lang w:val="fr-FR"/>
        </w:rPr>
        <w:t xml:space="preserve"> </w:t>
      </w:r>
      <w:r w:rsidR="00002752">
        <w:rPr>
          <w:color w:val="000000" w:themeColor="text1"/>
          <w:lang w:val="fr-FR"/>
        </w:rPr>
        <w:t>contient de</w:t>
      </w:r>
      <w:r w:rsidRPr="00944BFF">
        <w:rPr>
          <w:color w:val="000000" w:themeColor="text1"/>
          <w:lang w:val="fr-FR"/>
        </w:rPr>
        <w:t xml:space="preserve"> </w:t>
      </w:r>
      <w:r w:rsidR="00002752">
        <w:rPr>
          <w:color w:val="000000" w:themeColor="text1"/>
          <w:lang w:val="fr-FR"/>
        </w:rPr>
        <w:t>l’</w:t>
      </w:r>
      <w:r w:rsidR="00610A48" w:rsidRPr="00944BFF">
        <w:rPr>
          <w:color w:val="000000" w:themeColor="text1"/>
          <w:lang w:val="fr-FR"/>
        </w:rPr>
        <w:t xml:space="preserve">information </w:t>
      </w:r>
      <w:r w:rsidRPr="00944BFF">
        <w:rPr>
          <w:color w:val="000000" w:themeColor="text1"/>
          <w:lang w:val="fr-FR"/>
        </w:rPr>
        <w:t>sur l’état des</w:t>
      </w:r>
      <w:r w:rsidR="00E735EC">
        <w:rPr>
          <w:color w:val="000000" w:themeColor="text1"/>
          <w:lang w:val="fr-FR"/>
        </w:rPr>
        <w:t xml:space="preserve"> contributions supplémentaires </w:t>
      </w:r>
      <w:r w:rsidRPr="00944BFF">
        <w:rPr>
          <w:color w:val="000000" w:themeColor="text1"/>
          <w:lang w:val="fr-FR"/>
        </w:rPr>
        <w:t>promises par un groupe de pays donateurs, pour soutenir le démarrage rapi</w:t>
      </w:r>
      <w:r w:rsidR="00095793">
        <w:rPr>
          <w:color w:val="000000" w:themeColor="text1"/>
          <w:lang w:val="fr-FR"/>
        </w:rPr>
        <w:t>de de la mise en oeuvre de la ré</w:t>
      </w:r>
      <w:r w:rsidRPr="00944BFF">
        <w:rPr>
          <w:color w:val="000000" w:themeColor="text1"/>
          <w:lang w:val="fr-FR"/>
        </w:rPr>
        <w:t>duction progressive des</w:t>
      </w:r>
      <w:r w:rsidRPr="00944BFF">
        <w:rPr>
          <w:lang w:val="fr-FR"/>
        </w:rPr>
        <w:t xml:space="preserve"> HFC</w:t>
      </w:r>
      <w:r w:rsidR="00610A48" w:rsidRPr="00944BFF">
        <w:rPr>
          <w:lang w:val="fr-FR"/>
        </w:rPr>
        <w:t xml:space="preserve">, </w:t>
      </w:r>
      <w:r w:rsidRPr="00944BFF">
        <w:rPr>
          <w:lang w:val="fr-FR"/>
        </w:rPr>
        <w:t>conformément à la décision</w:t>
      </w:r>
      <w:r w:rsidR="00610A48" w:rsidRPr="00944BFF">
        <w:rPr>
          <w:lang w:val="fr-FR"/>
        </w:rPr>
        <w:t xml:space="preserve"> 82/3(b). </w:t>
      </w:r>
      <w:r w:rsidR="00002752">
        <w:rPr>
          <w:lang w:val="fr-FR"/>
        </w:rPr>
        <w:t>Du</w:t>
      </w:r>
      <w:r w:rsidRPr="00944BFF">
        <w:rPr>
          <w:lang w:val="fr-FR"/>
        </w:rPr>
        <w:t xml:space="preserve"> montant de 25 513 </w:t>
      </w:r>
      <w:r w:rsidR="00610A48" w:rsidRPr="00944BFF">
        <w:rPr>
          <w:lang w:val="fr-FR"/>
        </w:rPr>
        <w:t>071</w:t>
      </w:r>
      <w:r w:rsidRPr="00944BFF">
        <w:rPr>
          <w:lang w:val="fr-FR"/>
        </w:rPr>
        <w:t xml:space="preserve"> $US</w:t>
      </w:r>
      <w:r w:rsidR="00610A48" w:rsidRPr="00944BFF">
        <w:rPr>
          <w:lang w:val="fr-FR"/>
        </w:rPr>
        <w:t xml:space="preserve"> </w:t>
      </w:r>
      <w:r w:rsidRPr="00944BFF">
        <w:rPr>
          <w:lang w:val="fr-FR"/>
        </w:rPr>
        <w:t xml:space="preserve">provenant de 17 pays non visés à l’article 5, 25 503 </w:t>
      </w:r>
      <w:r w:rsidR="00610A48" w:rsidRPr="00944BFF">
        <w:rPr>
          <w:lang w:val="fr-FR"/>
        </w:rPr>
        <w:t>180</w:t>
      </w:r>
      <w:r w:rsidR="00610A48" w:rsidRPr="00944BFF">
        <w:rPr>
          <w:color w:val="000000" w:themeColor="text1"/>
          <w:lang w:val="fr-FR"/>
        </w:rPr>
        <w:t xml:space="preserve"> </w:t>
      </w:r>
      <w:r w:rsidRPr="00944BFF">
        <w:rPr>
          <w:color w:val="000000" w:themeColor="text1"/>
          <w:lang w:val="fr-FR"/>
        </w:rPr>
        <w:t>$US ont été décaissés. Après avoir tenu compte des intérêts accumulés et d’un solde</w:t>
      </w:r>
      <w:r w:rsidR="00652793">
        <w:rPr>
          <w:color w:val="000000" w:themeColor="text1"/>
          <w:lang w:val="fr-FR"/>
        </w:rPr>
        <w:t xml:space="preserve"> </w:t>
      </w:r>
      <w:r w:rsidR="00002752">
        <w:rPr>
          <w:color w:val="000000" w:themeColor="text1"/>
          <w:lang w:val="fr-FR"/>
        </w:rPr>
        <w:t>provenant d’honoraires de consultants</w:t>
      </w:r>
      <w:r w:rsidRPr="00944BFF">
        <w:rPr>
          <w:color w:val="000000" w:themeColor="text1"/>
          <w:lang w:val="fr-FR"/>
        </w:rPr>
        <w:t>, l</w:t>
      </w:r>
      <w:r w:rsidR="00610A48" w:rsidRPr="00944BFF">
        <w:rPr>
          <w:color w:val="000000" w:themeColor="text1"/>
          <w:lang w:val="fr-FR"/>
        </w:rPr>
        <w:t xml:space="preserve">e </w:t>
      </w:r>
      <w:r w:rsidRPr="00944BFF">
        <w:rPr>
          <w:color w:val="000000" w:themeColor="text1"/>
          <w:lang w:val="fr-FR"/>
        </w:rPr>
        <w:t>solde disponible pour la programmatio</w:t>
      </w:r>
      <w:r w:rsidR="00095793">
        <w:rPr>
          <w:color w:val="000000" w:themeColor="text1"/>
          <w:lang w:val="fr-FR"/>
        </w:rPr>
        <w:t>n</w:t>
      </w:r>
      <w:r w:rsidRPr="00944BFF">
        <w:rPr>
          <w:color w:val="000000" w:themeColor="text1"/>
          <w:lang w:val="fr-FR"/>
        </w:rPr>
        <w:t xml:space="preserve"> à la 8</w:t>
      </w:r>
      <w:r w:rsidR="00095793">
        <w:rPr>
          <w:color w:val="000000" w:themeColor="text1"/>
          <w:lang w:val="fr-FR"/>
        </w:rPr>
        <w:t>3</w:t>
      </w:r>
      <w:r w:rsidR="00095793" w:rsidRPr="00095793">
        <w:rPr>
          <w:color w:val="000000" w:themeColor="text1"/>
          <w:vertAlign w:val="superscript"/>
          <w:lang w:val="fr-FR"/>
        </w:rPr>
        <w:t>e</w:t>
      </w:r>
      <w:r w:rsidRPr="00944BFF">
        <w:rPr>
          <w:color w:val="000000" w:themeColor="text1"/>
          <w:lang w:val="fr-FR"/>
        </w:rPr>
        <w:t xml:space="preserve"> réunion s’élève à </w:t>
      </w:r>
      <w:r w:rsidRPr="00944BFF">
        <w:rPr>
          <w:lang w:val="fr-FR"/>
        </w:rPr>
        <w:t xml:space="preserve">279 </w:t>
      </w:r>
      <w:r w:rsidR="00610A48" w:rsidRPr="00944BFF">
        <w:rPr>
          <w:lang w:val="fr-FR"/>
        </w:rPr>
        <w:t>032</w:t>
      </w:r>
      <w:r w:rsidRPr="00944BFF">
        <w:rPr>
          <w:lang w:val="fr-FR"/>
        </w:rPr>
        <w:t xml:space="preserve"> $US</w:t>
      </w:r>
      <w:r w:rsidR="00610A48" w:rsidRPr="00944BFF">
        <w:rPr>
          <w:lang w:val="fr-FR"/>
        </w:rPr>
        <w:t>.</w:t>
      </w:r>
    </w:p>
    <w:p w14:paraId="59C1FEF1" w14:textId="77777777" w:rsidR="00610A48" w:rsidRPr="00944BFF" w:rsidRDefault="00196D8E" w:rsidP="00610A48">
      <w:pPr>
        <w:tabs>
          <w:tab w:val="left" w:pos="7930"/>
        </w:tabs>
        <w:spacing w:after="240"/>
        <w:ind w:left="709"/>
        <w:rPr>
          <w:color w:val="000000" w:themeColor="text1"/>
          <w:lang w:val="fr-FR"/>
        </w:rPr>
      </w:pPr>
      <w:r w:rsidRPr="00944BFF">
        <w:rPr>
          <w:color w:val="000000" w:themeColor="text1"/>
          <w:u w:val="single"/>
          <w:lang w:val="fr-FR"/>
        </w:rPr>
        <w:t xml:space="preserve">Questions à traiter </w:t>
      </w:r>
      <w:r w:rsidR="00610A48" w:rsidRPr="00944BFF">
        <w:rPr>
          <w:color w:val="000000" w:themeColor="text1"/>
          <w:lang w:val="fr-FR"/>
        </w:rPr>
        <w:t>: </w:t>
      </w:r>
      <w:r w:rsidR="006804B1" w:rsidRPr="00944BFF">
        <w:rPr>
          <w:color w:val="000000" w:themeColor="text1"/>
          <w:lang w:val="fr-FR"/>
        </w:rPr>
        <w:t>Aucune</w:t>
      </w:r>
    </w:p>
    <w:p w14:paraId="4484002A" w14:textId="77777777" w:rsidR="00E77E6C" w:rsidRPr="00E77E6C" w:rsidRDefault="00E77E6C" w:rsidP="00E77E6C">
      <w:pPr>
        <w:pStyle w:val="Heading1"/>
        <w:numPr>
          <w:ilvl w:val="0"/>
          <w:numId w:val="0"/>
        </w:numPr>
        <w:ind w:firstLine="709"/>
        <w:rPr>
          <w:u w:val="single"/>
          <w:lang w:val="fr-CA" w:bidi="hi-IN"/>
        </w:rPr>
      </w:pPr>
      <w:r w:rsidRPr="00E77E6C">
        <w:rPr>
          <w:u w:val="single"/>
          <w:lang w:val="fr-CA" w:bidi="hi-IN"/>
        </w:rPr>
        <w:t xml:space="preserve">Le Comité exécutif pourrait souhaiter : </w:t>
      </w:r>
    </w:p>
    <w:p w14:paraId="17072A32" w14:textId="74909C57" w:rsidR="00E77E6C" w:rsidRPr="007D5018" w:rsidRDefault="00002752" w:rsidP="00E77E6C">
      <w:pPr>
        <w:pStyle w:val="Heading2"/>
        <w:numPr>
          <w:ilvl w:val="0"/>
          <w:numId w:val="0"/>
        </w:numPr>
        <w:ind w:left="1440" w:hanging="720"/>
        <w:rPr>
          <w:lang w:val="fr-CA" w:bidi="hi-IN"/>
        </w:rPr>
      </w:pPr>
      <w:r>
        <w:rPr>
          <w:lang w:val="fr-CA" w:bidi="hi-IN"/>
        </w:rPr>
        <w:t>a)</w:t>
      </w:r>
      <w:r>
        <w:rPr>
          <w:lang w:val="fr-CA" w:bidi="hi-IN"/>
        </w:rPr>
        <w:tab/>
      </w:r>
      <w:r w:rsidR="00E77E6C" w:rsidRPr="007D5018">
        <w:rPr>
          <w:lang w:val="fr-CA" w:bidi="hi-IN"/>
        </w:rPr>
        <w:t>Prendre note du rapport du Trésorier sur l’état des contributions supplémentaires au Fonds multilatéral et de la disponibilité des ressources figurant dans le document UNEP/OzL.Pro/ExCom/83/5;</w:t>
      </w:r>
      <w:r w:rsidR="00741CF4">
        <w:rPr>
          <w:lang w:val="fr-CA" w:bidi="hi-IN"/>
        </w:rPr>
        <w:t xml:space="preserve"> et</w:t>
      </w:r>
    </w:p>
    <w:p w14:paraId="08EA78F7" w14:textId="3630D1F3" w:rsidR="00E77E6C" w:rsidRPr="007D5018" w:rsidRDefault="00E77E6C" w:rsidP="00761F88">
      <w:pPr>
        <w:pStyle w:val="Heading2"/>
        <w:numPr>
          <w:ilvl w:val="0"/>
          <w:numId w:val="26"/>
        </w:numPr>
        <w:ind w:left="1418" w:hanging="698"/>
        <w:rPr>
          <w:lang w:val="fr-CA" w:bidi="hi-IN"/>
        </w:rPr>
      </w:pPr>
      <w:r w:rsidRPr="003254CE">
        <w:rPr>
          <w:lang w:val="fr-CA" w:bidi="hi-IN"/>
        </w:rPr>
        <w:t>Demander au Trésorier de présenter à la 84</w:t>
      </w:r>
      <w:r w:rsidRPr="007D5018">
        <w:rPr>
          <w:vertAlign w:val="superscript"/>
          <w:lang w:val="fr-CA" w:bidi="hi-IN"/>
        </w:rPr>
        <w:t>e</w:t>
      </w:r>
      <w:r>
        <w:rPr>
          <w:lang w:val="fr-CA" w:bidi="hi-IN"/>
        </w:rPr>
        <w:t> </w:t>
      </w:r>
      <w:r w:rsidRPr="003254CE">
        <w:rPr>
          <w:lang w:val="fr-CA" w:bidi="hi-IN"/>
        </w:rPr>
        <w:t>réunion, dans le cadre des comptes du Fonds multilatéral pour</w:t>
      </w:r>
      <w:r>
        <w:rPr>
          <w:lang w:val="fr-CA" w:bidi="hi-IN"/>
        </w:rPr>
        <w:t> </w:t>
      </w:r>
      <w:r w:rsidRPr="003254CE">
        <w:rPr>
          <w:lang w:val="fr-CA" w:bidi="hi-IN"/>
        </w:rPr>
        <w:t>2018,</w:t>
      </w:r>
      <w:r>
        <w:rPr>
          <w:lang w:val="fr-CA" w:bidi="hi-IN"/>
        </w:rPr>
        <w:t xml:space="preserve"> un </w:t>
      </w:r>
      <w:r w:rsidRPr="003254CE">
        <w:rPr>
          <w:lang w:val="fr-CA" w:bidi="hi-IN"/>
        </w:rPr>
        <w:t>état certifié des revenus et des décaissements liés aux contributions supplémentaires pour le démarrage rapide des activités d’élimination progressive des HFC, séparément des contributions régulières au Fonds multilatéral.</w:t>
      </w:r>
      <w:r w:rsidRPr="007D5018">
        <w:rPr>
          <w:lang w:val="fr-CA" w:bidi="hi-IN"/>
        </w:rPr>
        <w:t xml:space="preserve"> </w:t>
      </w:r>
    </w:p>
    <w:p w14:paraId="74DB0FC9" w14:textId="5BA45BE4" w:rsidR="00610A48" w:rsidRPr="00944BFF" w:rsidRDefault="00E77E6C" w:rsidP="00196D8E">
      <w:pPr>
        <w:pStyle w:val="Heading2"/>
        <w:widowControl/>
        <w:numPr>
          <w:ilvl w:val="0"/>
          <w:numId w:val="0"/>
        </w:numPr>
        <w:ind w:left="709"/>
        <w:rPr>
          <w:b/>
          <w:lang w:val="fr-FR"/>
        </w:rPr>
      </w:pPr>
      <w:r w:rsidRPr="00944BFF">
        <w:rPr>
          <w:b/>
          <w:lang w:val="fr-FR"/>
        </w:rPr>
        <w:t xml:space="preserve"> </w:t>
      </w:r>
      <w:r w:rsidR="00002752">
        <w:rPr>
          <w:b/>
          <w:lang w:val="fr-FR"/>
        </w:rPr>
        <w:t>d)</w:t>
      </w:r>
      <w:r w:rsidR="00002752">
        <w:rPr>
          <w:b/>
          <w:lang w:val="fr-FR"/>
        </w:rPr>
        <w:tab/>
      </w:r>
      <w:r w:rsidR="00196D8E" w:rsidRPr="00944BFF">
        <w:rPr>
          <w:b/>
          <w:lang w:val="fr-FR"/>
        </w:rPr>
        <w:t>Rapprochement des comptes de 2017 (dé</w:t>
      </w:r>
      <w:r w:rsidR="00610A48" w:rsidRPr="00944BFF">
        <w:rPr>
          <w:b/>
          <w:lang w:val="fr-FR"/>
        </w:rPr>
        <w:t>cision 82/5(g))</w:t>
      </w:r>
    </w:p>
    <w:p w14:paraId="12F9881C" w14:textId="78CEA7FE" w:rsidR="00610A48" w:rsidRPr="00944BFF" w:rsidRDefault="00196D8E" w:rsidP="00610A48">
      <w:pPr>
        <w:spacing w:after="240"/>
        <w:ind w:left="709"/>
        <w:rPr>
          <w:color w:val="000000" w:themeColor="text1"/>
          <w:lang w:val="fr-FR"/>
        </w:rPr>
      </w:pPr>
      <w:r w:rsidRPr="00944BFF">
        <w:rPr>
          <w:color w:val="000000" w:themeColor="text1"/>
          <w:lang w:val="fr-FR"/>
        </w:rPr>
        <w:t xml:space="preserve">Le </w:t>
      </w:r>
      <w:r w:rsidRPr="00944BFF">
        <w:rPr>
          <w:color w:val="000000" w:themeColor="text1"/>
          <w:u w:val="single"/>
          <w:lang w:val="fr-FR"/>
        </w:rPr>
        <w:t>d</w:t>
      </w:r>
      <w:r w:rsidR="00610A48" w:rsidRPr="00944BFF">
        <w:rPr>
          <w:color w:val="000000" w:themeColor="text1"/>
          <w:u w:val="single"/>
          <w:lang w:val="fr-FR"/>
        </w:rPr>
        <w:t>ocument UNEP/Oz</w:t>
      </w:r>
      <w:r w:rsidR="00610A48" w:rsidRPr="00944BFF">
        <w:rPr>
          <w:color w:val="000000" w:themeColor="text1"/>
          <w:szCs w:val="24"/>
          <w:u w:val="single"/>
          <w:lang w:val="fr-FR"/>
        </w:rPr>
        <w:t>L.Pro/ExCom/83/</w:t>
      </w:r>
      <w:r w:rsidR="00610A48" w:rsidRPr="00944BFF">
        <w:rPr>
          <w:color w:val="000000" w:themeColor="text1"/>
          <w:u w:val="single"/>
          <w:lang w:val="fr-FR"/>
        </w:rPr>
        <w:t>6</w:t>
      </w:r>
      <w:r w:rsidR="00610A48" w:rsidRPr="00944BFF">
        <w:rPr>
          <w:color w:val="000000" w:themeColor="text1"/>
          <w:lang w:val="fr-FR"/>
        </w:rPr>
        <w:t xml:space="preserve"> cont</w:t>
      </w:r>
      <w:r w:rsidR="008C5359" w:rsidRPr="00944BFF">
        <w:rPr>
          <w:color w:val="000000" w:themeColor="text1"/>
          <w:lang w:val="fr-FR"/>
        </w:rPr>
        <w:t>ient le rapprochement des comptes de</w:t>
      </w:r>
      <w:r w:rsidR="00610A48" w:rsidRPr="00944BFF">
        <w:rPr>
          <w:rStyle w:val="bumpedfont15"/>
          <w:iCs/>
          <w:lang w:val="fr-FR"/>
        </w:rPr>
        <w:t xml:space="preserve"> 2017 a</w:t>
      </w:r>
      <w:r w:rsidR="008C5359" w:rsidRPr="00944BFF">
        <w:rPr>
          <w:rStyle w:val="bumpedfont15"/>
          <w:iCs/>
          <w:lang w:val="fr-FR"/>
        </w:rPr>
        <w:t xml:space="preserve">vec les données financières du PNUE dans son rapport </w:t>
      </w:r>
      <w:r w:rsidR="00741CF4">
        <w:rPr>
          <w:rStyle w:val="bumpedfont15"/>
          <w:iCs/>
          <w:lang w:val="fr-FR"/>
        </w:rPr>
        <w:t xml:space="preserve">périodique </w:t>
      </w:r>
      <w:r w:rsidR="008C5359" w:rsidRPr="00944BFF">
        <w:rPr>
          <w:rStyle w:val="bumpedfont15"/>
          <w:iCs/>
          <w:lang w:val="fr-FR"/>
        </w:rPr>
        <w:t xml:space="preserve">annuel </w:t>
      </w:r>
      <w:r w:rsidR="00741CF4">
        <w:rPr>
          <w:rStyle w:val="bumpedfont15"/>
          <w:iCs/>
          <w:lang w:val="fr-FR"/>
        </w:rPr>
        <w:t>révisé et financier</w:t>
      </w:r>
      <w:r w:rsidR="00652793" w:rsidRPr="00944BFF">
        <w:rPr>
          <w:rStyle w:val="bumpedfont15"/>
          <w:iCs/>
          <w:lang w:val="fr-FR"/>
        </w:rPr>
        <w:t xml:space="preserve"> </w:t>
      </w:r>
      <w:r w:rsidR="008C5359" w:rsidRPr="00944BFF">
        <w:rPr>
          <w:rStyle w:val="bumpedfont15"/>
          <w:iCs/>
          <w:lang w:val="fr-FR"/>
        </w:rPr>
        <w:t>en date du 31</w:t>
      </w:r>
      <w:r w:rsidR="0099339F">
        <w:rPr>
          <w:rStyle w:val="bumpedfont15"/>
          <w:iCs/>
          <w:lang w:val="fr-FR"/>
        </w:rPr>
        <w:t> </w:t>
      </w:r>
      <w:r w:rsidR="008C5359" w:rsidRPr="00944BFF">
        <w:rPr>
          <w:rStyle w:val="bumpedfont15"/>
          <w:iCs/>
          <w:lang w:val="fr-FR"/>
        </w:rPr>
        <w:t>décemb</w:t>
      </w:r>
      <w:r w:rsidR="00610A48" w:rsidRPr="00944BFF">
        <w:rPr>
          <w:rStyle w:val="bumpedfont15"/>
          <w:iCs/>
          <w:lang w:val="fr-FR"/>
        </w:rPr>
        <w:t>r</w:t>
      </w:r>
      <w:r w:rsidR="008C5359" w:rsidRPr="00944BFF">
        <w:rPr>
          <w:rStyle w:val="bumpedfont15"/>
          <w:iCs/>
          <w:lang w:val="fr-FR"/>
        </w:rPr>
        <w:t>e</w:t>
      </w:r>
      <w:r w:rsidR="00610A48" w:rsidRPr="00944BFF">
        <w:rPr>
          <w:rStyle w:val="bumpedfont15"/>
          <w:iCs/>
          <w:lang w:val="fr-FR"/>
        </w:rPr>
        <w:t xml:space="preserve"> 2017.</w:t>
      </w:r>
    </w:p>
    <w:p w14:paraId="241289D1" w14:textId="6E2157A1" w:rsidR="00E73763" w:rsidRPr="00E73763" w:rsidRDefault="008C5359" w:rsidP="00E73763">
      <w:pPr>
        <w:spacing w:after="240"/>
        <w:ind w:left="709"/>
        <w:rPr>
          <w:color w:val="000000" w:themeColor="text1"/>
          <w:lang w:val="fr-FR"/>
        </w:rPr>
      </w:pPr>
      <w:r w:rsidRPr="00944BFF">
        <w:rPr>
          <w:color w:val="000000" w:themeColor="text1"/>
          <w:u w:val="single"/>
          <w:lang w:val="fr-FR"/>
        </w:rPr>
        <w:t xml:space="preserve">Questions à traiter </w:t>
      </w:r>
      <w:r w:rsidR="00610A48" w:rsidRPr="00944BFF">
        <w:rPr>
          <w:color w:val="000000" w:themeColor="text1"/>
          <w:lang w:val="fr-FR"/>
        </w:rPr>
        <w:t>: </w:t>
      </w:r>
      <w:r w:rsidR="006804B1" w:rsidRPr="00944BFF">
        <w:rPr>
          <w:color w:val="000000" w:themeColor="text1"/>
          <w:lang w:val="fr-FR"/>
        </w:rPr>
        <w:t>Aucune</w:t>
      </w:r>
    </w:p>
    <w:p w14:paraId="763DD2CA" w14:textId="77777777" w:rsidR="00E73763" w:rsidRPr="0099339F" w:rsidRDefault="00E73763" w:rsidP="00E73763">
      <w:pPr>
        <w:pStyle w:val="Heading1"/>
        <w:numPr>
          <w:ilvl w:val="0"/>
          <w:numId w:val="0"/>
        </w:numPr>
        <w:spacing w:after="0"/>
        <w:ind w:left="142" w:firstLine="567"/>
        <w:rPr>
          <w:u w:val="single"/>
          <w:lang w:val="fr-FR"/>
        </w:rPr>
      </w:pPr>
      <w:r w:rsidRPr="0099339F">
        <w:rPr>
          <w:u w:val="single"/>
          <w:lang w:val="fr"/>
        </w:rPr>
        <w:t>Le Comité exécutif pourrait envisager de :</w:t>
      </w:r>
    </w:p>
    <w:p w14:paraId="3CCC949B" w14:textId="77777777" w:rsidR="00E73763" w:rsidRPr="00FB75B0" w:rsidRDefault="00E73763" w:rsidP="00E73763">
      <w:pPr>
        <w:rPr>
          <w:lang w:val="fr-FR"/>
        </w:rPr>
      </w:pPr>
    </w:p>
    <w:p w14:paraId="0F6DD6A7" w14:textId="2ECED91F" w:rsidR="00E73763" w:rsidRPr="00265403" w:rsidRDefault="00652793" w:rsidP="00E73763">
      <w:pPr>
        <w:pStyle w:val="Heading2"/>
        <w:numPr>
          <w:ilvl w:val="0"/>
          <w:numId w:val="0"/>
        </w:numPr>
        <w:ind w:left="1440" w:hanging="720"/>
        <w:rPr>
          <w:lang w:val="fr-CA"/>
        </w:rPr>
      </w:pPr>
      <w:r>
        <w:rPr>
          <w:lang w:val="fr"/>
        </w:rPr>
        <w:t>a)</w:t>
      </w:r>
      <w:r>
        <w:rPr>
          <w:lang w:val="fr"/>
        </w:rPr>
        <w:tab/>
      </w:r>
      <w:r w:rsidR="00E73763">
        <w:rPr>
          <w:lang w:val="fr"/>
        </w:rPr>
        <w:t>Prendre note :</w:t>
      </w:r>
    </w:p>
    <w:p w14:paraId="03D07E11" w14:textId="1EA896B5" w:rsidR="00E73763" w:rsidRPr="00FB75B0" w:rsidRDefault="00652793" w:rsidP="00652793">
      <w:pPr>
        <w:pStyle w:val="Heading3"/>
        <w:numPr>
          <w:ilvl w:val="0"/>
          <w:numId w:val="0"/>
        </w:numPr>
        <w:spacing w:after="0"/>
        <w:ind w:left="2160" w:hanging="720"/>
        <w:rPr>
          <w:lang w:val="fr-FR"/>
        </w:rPr>
      </w:pPr>
      <w:r>
        <w:rPr>
          <w:lang w:val="fr"/>
        </w:rPr>
        <w:t>i)</w:t>
      </w:r>
      <w:r>
        <w:rPr>
          <w:lang w:val="fr"/>
        </w:rPr>
        <w:tab/>
      </w:r>
      <w:r w:rsidR="00741CF4">
        <w:rPr>
          <w:lang w:val="fr"/>
        </w:rPr>
        <w:t>D</w:t>
      </w:r>
      <w:r w:rsidR="00E73763">
        <w:rPr>
          <w:lang w:val="fr"/>
        </w:rPr>
        <w:t>u rapprochement des comptes de 2017 présenté dans le d</w:t>
      </w:r>
      <w:r>
        <w:rPr>
          <w:lang w:val="fr"/>
        </w:rPr>
        <w:t>ocument</w:t>
      </w:r>
      <w:r w:rsidR="002F1864">
        <w:rPr>
          <w:lang w:val="fr"/>
        </w:rPr>
        <w:t> </w:t>
      </w:r>
      <w:r>
        <w:rPr>
          <w:lang w:val="fr"/>
        </w:rPr>
        <w:t>UNEP/OzL.Pro/ExCom/82/7</w:t>
      </w:r>
      <w:r w:rsidR="00E73763">
        <w:rPr>
          <w:lang w:val="fr"/>
        </w:rPr>
        <w:t>;</w:t>
      </w:r>
    </w:p>
    <w:p w14:paraId="218BE04A" w14:textId="6A53E2A4" w:rsidR="00E73763" w:rsidRDefault="00E73763" w:rsidP="00E73763">
      <w:pPr>
        <w:jc w:val="left"/>
        <w:rPr>
          <w:lang w:val="fr"/>
        </w:rPr>
      </w:pPr>
    </w:p>
    <w:p w14:paraId="0E283C58" w14:textId="2CE2B7D0" w:rsidR="00E73763" w:rsidRPr="00FB75B0" w:rsidRDefault="00741CF4" w:rsidP="00761F88">
      <w:pPr>
        <w:pStyle w:val="Heading3"/>
        <w:numPr>
          <w:ilvl w:val="0"/>
          <w:numId w:val="27"/>
        </w:numPr>
        <w:spacing w:after="0"/>
        <w:rPr>
          <w:lang w:val="fr-FR"/>
        </w:rPr>
      </w:pPr>
      <w:r>
        <w:rPr>
          <w:lang w:val="fr"/>
        </w:rPr>
        <w:t>D</w:t>
      </w:r>
      <w:r w:rsidR="00E73763">
        <w:rPr>
          <w:lang w:val="fr"/>
        </w:rPr>
        <w:t>e la soumission par le PNUE d’une version révisé</w:t>
      </w:r>
      <w:r>
        <w:rPr>
          <w:lang w:val="fr"/>
        </w:rPr>
        <w:t xml:space="preserve">e de son rapport périodique au </w:t>
      </w:r>
      <w:r w:rsidR="00E73763">
        <w:rPr>
          <w:lang w:val="fr"/>
        </w:rPr>
        <w:t>31 décembre 2017;</w:t>
      </w:r>
    </w:p>
    <w:p w14:paraId="389FBE0E" w14:textId="77777777" w:rsidR="00E73763" w:rsidRPr="00FB75B0" w:rsidRDefault="00E73763" w:rsidP="00E73763">
      <w:pPr>
        <w:rPr>
          <w:lang w:val="fr-FR"/>
        </w:rPr>
      </w:pPr>
    </w:p>
    <w:p w14:paraId="634B00DE" w14:textId="599046A5" w:rsidR="00E73763" w:rsidRPr="00FB75B0" w:rsidRDefault="00652793" w:rsidP="00E73763">
      <w:pPr>
        <w:pStyle w:val="Heading2"/>
        <w:keepNext/>
        <w:widowControl/>
        <w:numPr>
          <w:ilvl w:val="0"/>
          <w:numId w:val="0"/>
        </w:numPr>
        <w:spacing w:after="0"/>
        <w:ind w:left="720"/>
        <w:rPr>
          <w:lang w:val="fr-FR"/>
        </w:rPr>
      </w:pPr>
      <w:r>
        <w:rPr>
          <w:lang w:val="fr"/>
        </w:rPr>
        <w:t>b)</w:t>
      </w:r>
      <w:r>
        <w:rPr>
          <w:lang w:val="fr"/>
        </w:rPr>
        <w:tab/>
      </w:r>
      <w:r w:rsidR="00E73763">
        <w:rPr>
          <w:lang w:val="fr"/>
        </w:rPr>
        <w:t>Demander au PNUE de porter dans ses comptes pour 2019 :</w:t>
      </w:r>
    </w:p>
    <w:p w14:paraId="4F6D200F" w14:textId="77777777" w:rsidR="00E73763" w:rsidRPr="00FB75B0" w:rsidRDefault="00E73763" w:rsidP="00E73763">
      <w:pPr>
        <w:keepNext/>
        <w:rPr>
          <w:lang w:val="fr-FR"/>
        </w:rPr>
      </w:pPr>
    </w:p>
    <w:p w14:paraId="2873D05E" w14:textId="561E6BF4" w:rsidR="00E73763" w:rsidRPr="00E73763" w:rsidRDefault="00652793" w:rsidP="00E73763">
      <w:pPr>
        <w:keepNext/>
        <w:ind w:left="2160" w:hanging="720"/>
        <w:rPr>
          <w:lang w:val="fr-FR"/>
        </w:rPr>
      </w:pPr>
      <w:r>
        <w:rPr>
          <w:lang w:val="fr"/>
        </w:rPr>
        <w:t>i)</w:t>
      </w:r>
      <w:r>
        <w:rPr>
          <w:lang w:val="fr"/>
        </w:rPr>
        <w:tab/>
      </w:r>
      <w:r w:rsidR="00E73763" w:rsidRPr="00E73763">
        <w:rPr>
          <w:lang w:val="fr"/>
        </w:rPr>
        <w:t>7 357 $US de revenus, représentant les gains réalisés au cours d’exercices antérieurs qui n’ont pas été comptabilisés dan</w:t>
      </w:r>
      <w:r>
        <w:rPr>
          <w:lang w:val="fr"/>
        </w:rPr>
        <w:t>s ses comptes définitifs de 2017</w:t>
      </w:r>
      <w:r w:rsidR="00E73763" w:rsidRPr="00E73763">
        <w:rPr>
          <w:lang w:val="fr"/>
        </w:rPr>
        <w:t>; et</w:t>
      </w:r>
    </w:p>
    <w:p w14:paraId="7E0D75B8" w14:textId="77777777" w:rsidR="00E73763" w:rsidRPr="00FB75B0" w:rsidRDefault="00E73763" w:rsidP="00E73763">
      <w:pPr>
        <w:pStyle w:val="ListParagraph"/>
        <w:ind w:left="2160"/>
        <w:rPr>
          <w:lang w:val="fr-FR"/>
        </w:rPr>
      </w:pPr>
    </w:p>
    <w:p w14:paraId="656A104C" w14:textId="7AFCB6C1" w:rsidR="00E73763" w:rsidRPr="00E73763" w:rsidRDefault="00652793" w:rsidP="00E73763">
      <w:pPr>
        <w:ind w:left="2160" w:hanging="720"/>
        <w:rPr>
          <w:lang w:val="fr-FR"/>
        </w:rPr>
      </w:pPr>
      <w:r>
        <w:rPr>
          <w:lang w:val="fr"/>
        </w:rPr>
        <w:t>ii)</w:t>
      </w:r>
      <w:r>
        <w:rPr>
          <w:lang w:val="fr"/>
        </w:rPr>
        <w:tab/>
      </w:r>
      <w:r w:rsidR="00E73763" w:rsidRPr="00E73763">
        <w:rPr>
          <w:lang w:val="fr"/>
        </w:rPr>
        <w:t>317 438 $US de dépenses, représentant l’écart entre les coûts d’appui d’agence prévus et réels non comptabilisé dans les comptes définitifs de 2017.</w:t>
      </w:r>
    </w:p>
    <w:p w14:paraId="1B0D0D53" w14:textId="77777777" w:rsidR="00E73763" w:rsidRPr="00E73763" w:rsidRDefault="00E73763" w:rsidP="00E73763">
      <w:pPr>
        <w:rPr>
          <w:lang w:val="fr-FR"/>
        </w:rPr>
      </w:pPr>
    </w:p>
    <w:p w14:paraId="6F906F62" w14:textId="77777777" w:rsidR="00610A48" w:rsidRPr="00E73763" w:rsidRDefault="008C5359" w:rsidP="00E73763">
      <w:pPr>
        <w:pStyle w:val="Heading1"/>
        <w:rPr>
          <w:b/>
          <w:lang w:val="fr-FR"/>
        </w:rPr>
      </w:pPr>
      <w:r w:rsidRPr="00E73763">
        <w:rPr>
          <w:b/>
          <w:lang w:val="fr-FR"/>
        </w:rPr>
        <w:t>Données relatives aux programmes de pays et perspectives de conformité</w:t>
      </w:r>
    </w:p>
    <w:p w14:paraId="130DFEC3" w14:textId="375B1E18" w:rsidR="00610A48" w:rsidRPr="00944BFF" w:rsidRDefault="008C5359" w:rsidP="00610A48">
      <w:pPr>
        <w:spacing w:after="240"/>
        <w:ind w:left="709"/>
        <w:rPr>
          <w:color w:val="000000" w:themeColor="text1"/>
          <w:lang w:val="fr-FR"/>
        </w:rPr>
      </w:pPr>
      <w:r w:rsidRPr="00944BFF">
        <w:rPr>
          <w:color w:val="000000" w:themeColor="text1"/>
          <w:lang w:val="fr-FR"/>
        </w:rPr>
        <w:t xml:space="preserve">Le </w:t>
      </w:r>
      <w:r w:rsidRPr="00944BFF">
        <w:rPr>
          <w:color w:val="000000" w:themeColor="text1"/>
          <w:u w:val="single"/>
          <w:lang w:val="fr-FR"/>
        </w:rPr>
        <w:t>do</w:t>
      </w:r>
      <w:r w:rsidR="00610A48" w:rsidRPr="00944BFF">
        <w:rPr>
          <w:color w:val="000000" w:themeColor="text1"/>
          <w:u w:val="single"/>
          <w:lang w:val="fr-FR"/>
        </w:rPr>
        <w:t>cument UNEP/Oz</w:t>
      </w:r>
      <w:r w:rsidR="00610A48" w:rsidRPr="00944BFF">
        <w:rPr>
          <w:color w:val="000000" w:themeColor="text1"/>
          <w:szCs w:val="24"/>
          <w:u w:val="single"/>
          <w:lang w:val="fr-FR"/>
        </w:rPr>
        <w:t>L.Pro/ExCom/83/</w:t>
      </w:r>
      <w:r w:rsidR="00610A48" w:rsidRPr="00944BFF">
        <w:rPr>
          <w:color w:val="000000" w:themeColor="text1"/>
          <w:u w:val="single"/>
          <w:lang w:val="fr-FR"/>
        </w:rPr>
        <w:t>7</w:t>
      </w:r>
      <w:r w:rsidR="00610A48" w:rsidRPr="00944BFF">
        <w:rPr>
          <w:color w:val="000000" w:themeColor="text1"/>
          <w:lang w:val="fr-FR"/>
        </w:rPr>
        <w:t xml:space="preserve"> </w:t>
      </w:r>
      <w:r w:rsidR="006804B1" w:rsidRPr="00944BFF">
        <w:rPr>
          <w:color w:val="000000" w:themeColor="text1"/>
          <w:lang w:val="fr-FR"/>
        </w:rPr>
        <w:t>présente l</w:t>
      </w:r>
      <w:r w:rsidR="00E735EC">
        <w:rPr>
          <w:color w:val="000000" w:themeColor="text1"/>
          <w:lang w:val="fr-FR"/>
        </w:rPr>
        <w:t>a situation</w:t>
      </w:r>
      <w:r w:rsidR="006804B1" w:rsidRPr="00944BFF">
        <w:rPr>
          <w:color w:val="000000" w:themeColor="text1"/>
          <w:lang w:val="fr-FR"/>
        </w:rPr>
        <w:t xml:space="preserve"> et les perspectives de conformité des pays visés à l’article 5</w:t>
      </w:r>
      <w:r w:rsidR="00610A48" w:rsidRPr="00944BFF">
        <w:rPr>
          <w:color w:val="000000" w:themeColor="text1"/>
          <w:lang w:val="fr-FR"/>
        </w:rPr>
        <w:t xml:space="preserve"> (Part</w:t>
      </w:r>
      <w:r w:rsidR="006804B1" w:rsidRPr="00944BFF">
        <w:rPr>
          <w:color w:val="000000" w:themeColor="text1"/>
          <w:lang w:val="fr-FR"/>
        </w:rPr>
        <w:t>ie I)</w:t>
      </w:r>
      <w:r w:rsidR="000D06CF">
        <w:rPr>
          <w:color w:val="000000" w:themeColor="text1"/>
          <w:lang w:val="fr-FR"/>
        </w:rPr>
        <w:t>;</w:t>
      </w:r>
      <w:r w:rsidR="006804B1" w:rsidRPr="00944BFF">
        <w:rPr>
          <w:color w:val="000000" w:themeColor="text1"/>
          <w:lang w:val="fr-FR"/>
        </w:rPr>
        <w:t xml:space="preserve"> </w:t>
      </w:r>
      <w:r w:rsidR="000D06CF">
        <w:rPr>
          <w:color w:val="000000" w:themeColor="text1"/>
          <w:lang w:val="fr-FR"/>
        </w:rPr>
        <w:t xml:space="preserve">des pays visés à l’article </w:t>
      </w:r>
      <w:r w:rsidR="005B7870">
        <w:rPr>
          <w:color w:val="000000" w:themeColor="text1"/>
          <w:lang w:val="fr-FR"/>
        </w:rPr>
        <w:t xml:space="preserve">5 </w:t>
      </w:r>
      <w:r w:rsidR="000D06CF">
        <w:rPr>
          <w:color w:val="000000" w:themeColor="text1"/>
          <w:lang w:val="fr-FR"/>
        </w:rPr>
        <w:t>s</w:t>
      </w:r>
      <w:r w:rsidR="00E735EC">
        <w:rPr>
          <w:color w:val="000000" w:themeColor="text1"/>
          <w:lang w:val="fr-FR"/>
        </w:rPr>
        <w:t>oumis</w:t>
      </w:r>
      <w:r w:rsidR="00652793">
        <w:rPr>
          <w:color w:val="000000" w:themeColor="text1"/>
          <w:lang w:val="fr-FR"/>
        </w:rPr>
        <w:t xml:space="preserve"> </w:t>
      </w:r>
      <w:r w:rsidR="00E735EC">
        <w:rPr>
          <w:color w:val="000000" w:themeColor="text1"/>
          <w:lang w:val="fr-FR"/>
        </w:rPr>
        <w:t xml:space="preserve">aux </w:t>
      </w:r>
      <w:r w:rsidR="00652793">
        <w:rPr>
          <w:color w:val="000000" w:themeColor="text1"/>
          <w:lang w:val="fr-FR"/>
        </w:rPr>
        <w:t xml:space="preserve">décisions des Parties </w:t>
      </w:r>
      <w:r w:rsidR="00E735EC">
        <w:rPr>
          <w:color w:val="000000" w:themeColor="text1"/>
          <w:lang w:val="fr-FR"/>
        </w:rPr>
        <w:t>en matière de</w:t>
      </w:r>
      <w:r w:rsidR="006804B1" w:rsidRPr="00944BFF">
        <w:rPr>
          <w:color w:val="000000" w:themeColor="text1"/>
          <w:lang w:val="fr-FR"/>
        </w:rPr>
        <w:t xml:space="preserve"> conformité </w:t>
      </w:r>
      <w:r w:rsidR="00610A48" w:rsidRPr="00944BFF">
        <w:rPr>
          <w:color w:val="000000" w:themeColor="text1"/>
          <w:lang w:val="fr-FR"/>
        </w:rPr>
        <w:t>(Part</w:t>
      </w:r>
      <w:r w:rsidR="006804B1" w:rsidRPr="00944BFF">
        <w:rPr>
          <w:color w:val="000000" w:themeColor="text1"/>
          <w:lang w:val="fr-FR"/>
        </w:rPr>
        <w:t>ie</w:t>
      </w:r>
      <w:r w:rsidR="00610A48" w:rsidRPr="00944BFF">
        <w:rPr>
          <w:color w:val="000000" w:themeColor="text1"/>
          <w:lang w:val="fr-FR"/>
        </w:rPr>
        <w:t xml:space="preserve"> II); </w:t>
      </w:r>
      <w:r w:rsidR="005B7870">
        <w:rPr>
          <w:color w:val="000000" w:themeColor="text1"/>
          <w:lang w:val="fr-FR"/>
        </w:rPr>
        <w:t xml:space="preserve">des </w:t>
      </w:r>
      <w:r w:rsidR="00610A48" w:rsidRPr="00944BFF">
        <w:rPr>
          <w:color w:val="000000" w:themeColor="text1"/>
          <w:lang w:val="fr-FR"/>
        </w:rPr>
        <w:t>d</w:t>
      </w:r>
      <w:r w:rsidR="006804B1" w:rsidRPr="00944BFF">
        <w:rPr>
          <w:color w:val="000000" w:themeColor="text1"/>
          <w:lang w:val="fr-FR"/>
        </w:rPr>
        <w:t xml:space="preserve">onnées sur la mise en oeuvre des programmes de pays pour les </w:t>
      </w:r>
      <w:r w:rsidR="006804B1" w:rsidRPr="00944BFF">
        <w:rPr>
          <w:bCs/>
          <w:color w:val="000000" w:themeColor="text1"/>
          <w:szCs w:val="28"/>
          <w:lang w:val="fr-FR"/>
        </w:rPr>
        <w:t>HCFC</w:t>
      </w:r>
      <w:r w:rsidR="00610A48" w:rsidRPr="00944BFF">
        <w:rPr>
          <w:bCs/>
          <w:color w:val="000000" w:themeColor="text1"/>
          <w:szCs w:val="28"/>
          <w:lang w:val="fr-FR"/>
        </w:rPr>
        <w:t xml:space="preserve"> (Part</w:t>
      </w:r>
      <w:r w:rsidR="006804B1" w:rsidRPr="00944BFF">
        <w:rPr>
          <w:bCs/>
          <w:color w:val="000000" w:themeColor="text1"/>
          <w:szCs w:val="28"/>
          <w:lang w:val="fr-FR"/>
        </w:rPr>
        <w:t>ie</w:t>
      </w:r>
      <w:r w:rsidR="00610A48" w:rsidRPr="00944BFF">
        <w:rPr>
          <w:bCs/>
          <w:color w:val="000000" w:themeColor="text1"/>
          <w:szCs w:val="28"/>
          <w:lang w:val="fr-FR"/>
        </w:rPr>
        <w:t xml:space="preserve"> III); </w:t>
      </w:r>
      <w:r w:rsidR="00FC2DB5">
        <w:rPr>
          <w:bCs/>
          <w:color w:val="000000" w:themeColor="text1"/>
          <w:szCs w:val="28"/>
          <w:lang w:val="fr-FR"/>
        </w:rPr>
        <w:t>et la présentation révisée</w:t>
      </w:r>
      <w:r w:rsidR="006804B1" w:rsidRPr="00944BFF">
        <w:rPr>
          <w:bCs/>
          <w:color w:val="000000" w:themeColor="text1"/>
          <w:szCs w:val="28"/>
          <w:lang w:val="fr-FR"/>
        </w:rPr>
        <w:t xml:space="preserve"> </w:t>
      </w:r>
      <w:r w:rsidR="00FC2DB5">
        <w:rPr>
          <w:bCs/>
          <w:color w:val="000000" w:themeColor="text1"/>
          <w:szCs w:val="28"/>
          <w:lang w:val="fr-FR"/>
        </w:rPr>
        <w:t>des</w:t>
      </w:r>
      <w:r w:rsidR="00B30887" w:rsidRPr="00944BFF">
        <w:rPr>
          <w:bCs/>
          <w:color w:val="000000" w:themeColor="text1"/>
          <w:szCs w:val="28"/>
          <w:lang w:val="fr-FR"/>
        </w:rPr>
        <w:t xml:space="preserve"> rapport</w:t>
      </w:r>
      <w:r w:rsidR="00FC2DB5">
        <w:rPr>
          <w:bCs/>
          <w:color w:val="000000" w:themeColor="text1"/>
          <w:szCs w:val="28"/>
          <w:lang w:val="fr-FR"/>
        </w:rPr>
        <w:t>s sur les données des</w:t>
      </w:r>
      <w:r w:rsidR="006804B1" w:rsidRPr="00944BFF">
        <w:rPr>
          <w:bCs/>
          <w:color w:val="000000" w:themeColor="text1"/>
          <w:szCs w:val="28"/>
          <w:lang w:val="fr-FR"/>
        </w:rPr>
        <w:t xml:space="preserve"> programme</w:t>
      </w:r>
      <w:r w:rsidR="00FC2DB5">
        <w:rPr>
          <w:bCs/>
          <w:color w:val="000000" w:themeColor="text1"/>
          <w:szCs w:val="28"/>
          <w:lang w:val="fr-FR"/>
        </w:rPr>
        <w:t>s</w:t>
      </w:r>
      <w:r w:rsidR="006804B1" w:rsidRPr="00944BFF">
        <w:rPr>
          <w:bCs/>
          <w:color w:val="000000" w:themeColor="text1"/>
          <w:szCs w:val="28"/>
          <w:lang w:val="fr-FR"/>
        </w:rPr>
        <w:t xml:space="preserve"> de pays </w:t>
      </w:r>
      <w:r w:rsidR="00610A48" w:rsidRPr="00944BFF">
        <w:rPr>
          <w:bCs/>
          <w:color w:val="000000" w:themeColor="text1"/>
          <w:szCs w:val="28"/>
          <w:lang w:val="fr-FR"/>
        </w:rPr>
        <w:t>(Part</w:t>
      </w:r>
      <w:r w:rsidR="006804B1" w:rsidRPr="00944BFF">
        <w:rPr>
          <w:bCs/>
          <w:color w:val="000000" w:themeColor="text1"/>
          <w:szCs w:val="28"/>
          <w:lang w:val="fr-FR"/>
        </w:rPr>
        <w:t>ie</w:t>
      </w:r>
      <w:r w:rsidR="00610A48" w:rsidRPr="00944BFF">
        <w:rPr>
          <w:bCs/>
          <w:color w:val="000000" w:themeColor="text1"/>
          <w:szCs w:val="28"/>
          <w:lang w:val="fr-FR"/>
        </w:rPr>
        <w:t xml:space="preserve"> IV). </w:t>
      </w:r>
      <w:r w:rsidR="006804B1" w:rsidRPr="00944BFF">
        <w:rPr>
          <w:bCs/>
          <w:color w:val="000000" w:themeColor="text1"/>
          <w:szCs w:val="28"/>
          <w:lang w:val="fr-FR"/>
        </w:rPr>
        <w:t>L</w:t>
      </w:r>
      <w:r w:rsidR="00610A48" w:rsidRPr="00944BFF">
        <w:rPr>
          <w:bCs/>
          <w:color w:val="000000" w:themeColor="text1"/>
          <w:szCs w:val="28"/>
          <w:lang w:val="fr-FR"/>
        </w:rPr>
        <w:t xml:space="preserve">e document </w:t>
      </w:r>
      <w:r w:rsidR="006804B1" w:rsidRPr="00944BFF">
        <w:rPr>
          <w:bCs/>
          <w:color w:val="000000" w:themeColor="text1"/>
          <w:szCs w:val="28"/>
          <w:lang w:val="fr-FR"/>
        </w:rPr>
        <w:t xml:space="preserve">contient aussi des annexes sur la consommation de bromure de méthyle pour les applications </w:t>
      </w:r>
      <w:r w:rsidR="00652793" w:rsidRPr="000D06CF">
        <w:rPr>
          <w:bCs/>
          <w:color w:val="000000" w:themeColor="text1"/>
          <w:szCs w:val="28"/>
          <w:lang w:val="fr-FR"/>
        </w:rPr>
        <w:t xml:space="preserve">de </w:t>
      </w:r>
      <w:r w:rsidR="00610A48" w:rsidRPr="000D06CF">
        <w:rPr>
          <w:color w:val="000000" w:themeColor="text1"/>
          <w:lang w:val="fr-FR"/>
        </w:rPr>
        <w:t>quarant</w:t>
      </w:r>
      <w:r w:rsidR="00652793" w:rsidRPr="000D06CF">
        <w:rPr>
          <w:color w:val="000000" w:themeColor="text1"/>
          <w:lang w:val="fr-FR"/>
        </w:rPr>
        <w:t>a</w:t>
      </w:r>
      <w:r w:rsidR="00610A48" w:rsidRPr="000D06CF">
        <w:rPr>
          <w:color w:val="000000" w:themeColor="text1"/>
          <w:lang w:val="fr-FR"/>
        </w:rPr>
        <w:t xml:space="preserve">ine </w:t>
      </w:r>
      <w:r w:rsidR="00652793" w:rsidRPr="000D06CF">
        <w:rPr>
          <w:color w:val="000000" w:themeColor="text1"/>
          <w:lang w:val="fr-FR"/>
        </w:rPr>
        <w:t xml:space="preserve">et </w:t>
      </w:r>
      <w:r w:rsidR="005B7870">
        <w:rPr>
          <w:color w:val="000000" w:themeColor="text1"/>
          <w:lang w:val="fr-FR"/>
        </w:rPr>
        <w:t xml:space="preserve">de </w:t>
      </w:r>
      <w:r w:rsidR="00652793" w:rsidRPr="000D06CF">
        <w:rPr>
          <w:color w:val="000000" w:themeColor="text1"/>
          <w:lang w:val="fr-FR"/>
        </w:rPr>
        <w:t>traitement préalable à l’expédition</w:t>
      </w:r>
      <w:r w:rsidR="00610A48" w:rsidRPr="00944BFF">
        <w:rPr>
          <w:color w:val="000000" w:themeColor="text1"/>
          <w:lang w:val="fr-FR"/>
        </w:rPr>
        <w:t xml:space="preserve">  (Annex</w:t>
      </w:r>
      <w:r w:rsidR="006804B1" w:rsidRPr="00944BFF">
        <w:rPr>
          <w:color w:val="000000" w:themeColor="text1"/>
          <w:lang w:val="fr-FR"/>
        </w:rPr>
        <w:t>e</w:t>
      </w:r>
      <w:r w:rsidR="00610A48" w:rsidRPr="00944BFF">
        <w:rPr>
          <w:color w:val="000000" w:themeColor="text1"/>
          <w:lang w:val="fr-FR"/>
        </w:rPr>
        <w:t xml:space="preserve"> I); </w:t>
      </w:r>
      <w:r w:rsidR="006804B1" w:rsidRPr="00944BFF">
        <w:rPr>
          <w:color w:val="000000" w:themeColor="text1"/>
          <w:lang w:val="fr-FR"/>
        </w:rPr>
        <w:t>une analyse de la consommation de HCFC des pays visés à l’article 5</w:t>
      </w:r>
      <w:r w:rsidR="00610A48" w:rsidRPr="00944BFF">
        <w:rPr>
          <w:color w:val="000000" w:themeColor="text1"/>
          <w:lang w:val="fr-FR"/>
        </w:rPr>
        <w:t xml:space="preserve"> (Annex</w:t>
      </w:r>
      <w:r w:rsidR="006804B1" w:rsidRPr="00944BFF">
        <w:rPr>
          <w:color w:val="000000" w:themeColor="text1"/>
          <w:lang w:val="fr-FR"/>
        </w:rPr>
        <w:t>e</w:t>
      </w:r>
      <w:r w:rsidR="00610A48" w:rsidRPr="00944BFF">
        <w:rPr>
          <w:color w:val="000000" w:themeColor="text1"/>
          <w:lang w:val="fr-FR"/>
        </w:rPr>
        <w:t xml:space="preserve"> II); </w:t>
      </w:r>
      <w:r w:rsidR="006804B1" w:rsidRPr="00944BFF">
        <w:rPr>
          <w:color w:val="000000" w:themeColor="text1"/>
          <w:lang w:val="fr-FR"/>
        </w:rPr>
        <w:t xml:space="preserve">et </w:t>
      </w:r>
      <w:r w:rsidR="006804B1" w:rsidRPr="000D06CF">
        <w:rPr>
          <w:color w:val="000000" w:themeColor="text1"/>
          <w:lang w:val="fr-FR"/>
        </w:rPr>
        <w:t xml:space="preserve">un </w:t>
      </w:r>
      <w:r w:rsidR="00FC2DB5">
        <w:rPr>
          <w:color w:val="000000" w:themeColor="text1"/>
          <w:lang w:val="fr-FR"/>
        </w:rPr>
        <w:t>modèle</w:t>
      </w:r>
      <w:r w:rsidR="006804B1" w:rsidRPr="00944BFF">
        <w:rPr>
          <w:color w:val="000000" w:themeColor="text1"/>
          <w:lang w:val="fr-FR"/>
        </w:rPr>
        <w:t xml:space="preserve"> </w:t>
      </w:r>
      <w:r w:rsidR="00B30887" w:rsidRPr="00944BFF">
        <w:rPr>
          <w:color w:val="000000" w:themeColor="text1"/>
          <w:lang w:val="fr-FR"/>
        </w:rPr>
        <w:t xml:space="preserve">révisé </w:t>
      </w:r>
      <w:r w:rsidR="006804B1" w:rsidRPr="00944BFF">
        <w:rPr>
          <w:color w:val="000000" w:themeColor="text1"/>
          <w:lang w:val="fr-FR"/>
        </w:rPr>
        <w:t>d</w:t>
      </w:r>
      <w:r w:rsidR="00B30887" w:rsidRPr="00944BFF">
        <w:rPr>
          <w:color w:val="000000" w:themeColor="text1"/>
          <w:lang w:val="fr-FR"/>
        </w:rPr>
        <w:t>u rapport s</w:t>
      </w:r>
      <w:r w:rsidR="00FC2DB5">
        <w:rPr>
          <w:color w:val="000000" w:themeColor="text1"/>
          <w:lang w:val="fr-FR"/>
        </w:rPr>
        <w:t>ur les données des</w:t>
      </w:r>
      <w:r w:rsidR="006804B1" w:rsidRPr="00944BFF">
        <w:rPr>
          <w:color w:val="000000" w:themeColor="text1"/>
          <w:lang w:val="fr-FR"/>
        </w:rPr>
        <w:t xml:space="preserve"> programme</w:t>
      </w:r>
      <w:r w:rsidR="00FC2DB5">
        <w:rPr>
          <w:color w:val="000000" w:themeColor="text1"/>
          <w:lang w:val="fr-FR"/>
        </w:rPr>
        <w:t>s</w:t>
      </w:r>
      <w:r w:rsidR="006804B1" w:rsidRPr="00944BFF">
        <w:rPr>
          <w:color w:val="000000" w:themeColor="text1"/>
          <w:lang w:val="fr-FR"/>
        </w:rPr>
        <w:t xml:space="preserve"> de pays pour </w:t>
      </w:r>
      <w:r w:rsidR="00610A48" w:rsidRPr="00944BFF">
        <w:rPr>
          <w:color w:val="000000" w:themeColor="text1"/>
          <w:lang w:val="fr-FR"/>
        </w:rPr>
        <w:t xml:space="preserve">2020 </w:t>
      </w:r>
      <w:r w:rsidR="006804B1" w:rsidRPr="00944BFF">
        <w:rPr>
          <w:color w:val="000000" w:themeColor="text1"/>
          <w:lang w:val="fr-FR"/>
        </w:rPr>
        <w:t>et au-delà</w:t>
      </w:r>
      <w:r w:rsidR="00610A48" w:rsidRPr="00944BFF">
        <w:rPr>
          <w:color w:val="000000" w:themeColor="text1"/>
          <w:lang w:val="fr-FR"/>
        </w:rPr>
        <w:t xml:space="preserve"> (Annex</w:t>
      </w:r>
      <w:r w:rsidR="006804B1" w:rsidRPr="00944BFF">
        <w:rPr>
          <w:color w:val="000000" w:themeColor="text1"/>
          <w:lang w:val="fr-FR"/>
        </w:rPr>
        <w:t>e</w:t>
      </w:r>
      <w:r w:rsidR="00610A48" w:rsidRPr="00944BFF">
        <w:rPr>
          <w:color w:val="000000" w:themeColor="text1"/>
          <w:lang w:val="fr-FR"/>
        </w:rPr>
        <w:t xml:space="preserve"> III). </w:t>
      </w:r>
    </w:p>
    <w:p w14:paraId="1AF33192" w14:textId="77777777" w:rsidR="00610A48" w:rsidRPr="00944BFF" w:rsidRDefault="006804B1" w:rsidP="00610A48">
      <w:pPr>
        <w:keepNext/>
        <w:spacing w:after="240"/>
        <w:ind w:left="709"/>
        <w:rPr>
          <w:color w:val="000000" w:themeColor="text1"/>
          <w:lang w:val="fr-FR"/>
        </w:rPr>
      </w:pPr>
      <w:r w:rsidRPr="00944BFF">
        <w:rPr>
          <w:color w:val="000000" w:themeColor="text1"/>
          <w:u w:val="single"/>
          <w:lang w:val="fr-FR"/>
        </w:rPr>
        <w:t xml:space="preserve">Questions à traiter </w:t>
      </w:r>
      <w:r w:rsidR="00610A48" w:rsidRPr="00944BFF">
        <w:rPr>
          <w:color w:val="000000" w:themeColor="text1"/>
          <w:lang w:val="fr-FR"/>
        </w:rPr>
        <w:t>: </w:t>
      </w:r>
    </w:p>
    <w:p w14:paraId="7EC16063" w14:textId="77777777" w:rsidR="00610A48" w:rsidRPr="00944BFF" w:rsidRDefault="006804B1" w:rsidP="00610A48">
      <w:pPr>
        <w:keepNext/>
        <w:tabs>
          <w:tab w:val="left" w:pos="1440"/>
          <w:tab w:val="left" w:pos="2160"/>
        </w:tabs>
        <w:spacing w:after="240"/>
        <w:ind w:left="709"/>
        <w:outlineLvl w:val="0"/>
        <w:rPr>
          <w:i/>
          <w:lang w:val="fr-FR"/>
        </w:rPr>
      </w:pPr>
      <w:r w:rsidRPr="00944BFF">
        <w:rPr>
          <w:i/>
          <w:lang w:val="fr-FR"/>
        </w:rPr>
        <w:t>Pour la</w:t>
      </w:r>
      <w:r w:rsidR="00610A48" w:rsidRPr="00944BFF">
        <w:rPr>
          <w:i/>
          <w:lang w:val="fr-FR"/>
        </w:rPr>
        <w:t xml:space="preserve"> Part</w:t>
      </w:r>
      <w:r w:rsidRPr="00944BFF">
        <w:rPr>
          <w:i/>
          <w:lang w:val="fr-FR"/>
        </w:rPr>
        <w:t>ie</w:t>
      </w:r>
      <w:r w:rsidR="00610A48" w:rsidRPr="00944BFF">
        <w:rPr>
          <w:i/>
          <w:lang w:val="fr-FR"/>
        </w:rPr>
        <w:t xml:space="preserve"> I: </w:t>
      </w:r>
      <w:r w:rsidRPr="00944BFF">
        <w:rPr>
          <w:i/>
          <w:lang w:val="fr-FR"/>
        </w:rPr>
        <w:t>Etat et perspectives de conformité des pays visés à l’a</w:t>
      </w:r>
      <w:r w:rsidR="0067761C" w:rsidRPr="00944BFF">
        <w:rPr>
          <w:i/>
          <w:lang w:val="fr-FR"/>
        </w:rPr>
        <w:t xml:space="preserve">rticle 5 </w:t>
      </w:r>
      <w:r w:rsidR="00610A48" w:rsidRPr="00944BFF">
        <w:rPr>
          <w:i/>
          <w:lang w:val="fr-FR"/>
        </w:rPr>
        <w:t xml:space="preserve"> </w:t>
      </w:r>
    </w:p>
    <w:p w14:paraId="5B9BB890" w14:textId="77777777" w:rsidR="00610A48" w:rsidRPr="00944BFF" w:rsidRDefault="0067761C" w:rsidP="001963F3">
      <w:pPr>
        <w:keepNext/>
        <w:numPr>
          <w:ilvl w:val="0"/>
          <w:numId w:val="11"/>
        </w:numPr>
        <w:spacing w:after="240"/>
        <w:ind w:left="709" w:firstLine="425"/>
        <w:rPr>
          <w:color w:val="000000"/>
          <w:lang w:val="fr-FR"/>
        </w:rPr>
      </w:pPr>
      <w:r w:rsidRPr="00944BFF">
        <w:rPr>
          <w:color w:val="000000"/>
          <w:lang w:val="fr-FR"/>
        </w:rPr>
        <w:t>Aucune</w:t>
      </w:r>
    </w:p>
    <w:p w14:paraId="00045D3C" w14:textId="62837362" w:rsidR="00610A48" w:rsidRPr="00944BFF" w:rsidRDefault="0067761C" w:rsidP="00610A48">
      <w:pPr>
        <w:tabs>
          <w:tab w:val="left" w:pos="1440"/>
          <w:tab w:val="left" w:pos="2160"/>
        </w:tabs>
        <w:spacing w:after="240"/>
        <w:ind w:left="709"/>
        <w:outlineLvl w:val="0"/>
        <w:rPr>
          <w:i/>
          <w:lang w:val="fr-FR"/>
        </w:rPr>
      </w:pPr>
      <w:r w:rsidRPr="00944BFF">
        <w:rPr>
          <w:i/>
          <w:lang w:val="fr-FR"/>
        </w:rPr>
        <w:t>P</w:t>
      </w:r>
      <w:r w:rsidR="00610A48" w:rsidRPr="00944BFF">
        <w:rPr>
          <w:i/>
          <w:lang w:val="fr-FR"/>
        </w:rPr>
        <w:t>o</w:t>
      </w:r>
      <w:r w:rsidRPr="00944BFF">
        <w:rPr>
          <w:i/>
          <w:lang w:val="fr-FR"/>
        </w:rPr>
        <w:t>u</w:t>
      </w:r>
      <w:r w:rsidR="00610A48" w:rsidRPr="00944BFF">
        <w:rPr>
          <w:i/>
          <w:lang w:val="fr-FR"/>
        </w:rPr>
        <w:t xml:space="preserve">r </w:t>
      </w:r>
      <w:r w:rsidRPr="00944BFF">
        <w:rPr>
          <w:i/>
          <w:lang w:val="fr-FR"/>
        </w:rPr>
        <w:t xml:space="preserve">la </w:t>
      </w:r>
      <w:r w:rsidR="00610A48" w:rsidRPr="00944BFF">
        <w:rPr>
          <w:i/>
          <w:lang w:val="fr-FR"/>
        </w:rPr>
        <w:t>Part</w:t>
      </w:r>
      <w:r w:rsidRPr="00944BFF">
        <w:rPr>
          <w:i/>
          <w:lang w:val="fr-FR"/>
        </w:rPr>
        <w:t>ie</w:t>
      </w:r>
      <w:r w:rsidR="00610A48" w:rsidRPr="00944BFF">
        <w:rPr>
          <w:i/>
          <w:lang w:val="fr-FR"/>
        </w:rPr>
        <w:t xml:space="preserve"> II: </w:t>
      </w:r>
      <w:r w:rsidRPr="00944BFF">
        <w:rPr>
          <w:i/>
          <w:lang w:val="fr-FR"/>
        </w:rPr>
        <w:t>Pays visés à l’a</w:t>
      </w:r>
      <w:r w:rsidR="00610A48" w:rsidRPr="00944BFF">
        <w:rPr>
          <w:i/>
          <w:lang w:val="fr-FR"/>
        </w:rPr>
        <w:t xml:space="preserve">rticle 5 </w:t>
      </w:r>
      <w:r w:rsidRPr="00944BFF">
        <w:rPr>
          <w:i/>
          <w:lang w:val="fr-FR"/>
        </w:rPr>
        <w:t>s</w:t>
      </w:r>
      <w:r w:rsidR="00FC2DB5">
        <w:rPr>
          <w:i/>
          <w:lang w:val="fr-FR"/>
        </w:rPr>
        <w:t>o</w:t>
      </w:r>
      <w:r w:rsidRPr="00944BFF">
        <w:rPr>
          <w:i/>
          <w:lang w:val="fr-FR"/>
        </w:rPr>
        <w:t>u</w:t>
      </w:r>
      <w:r w:rsidR="00FC2DB5">
        <w:rPr>
          <w:i/>
          <w:lang w:val="fr-FR"/>
        </w:rPr>
        <w:t>m</w:t>
      </w:r>
      <w:r w:rsidRPr="00944BFF">
        <w:rPr>
          <w:i/>
          <w:lang w:val="fr-FR"/>
        </w:rPr>
        <w:t xml:space="preserve">is </w:t>
      </w:r>
      <w:r w:rsidR="00FC2DB5">
        <w:rPr>
          <w:i/>
          <w:lang w:val="fr-FR"/>
        </w:rPr>
        <w:t>aux</w:t>
      </w:r>
      <w:r w:rsidRPr="000D06CF">
        <w:rPr>
          <w:i/>
          <w:lang w:val="fr-FR"/>
        </w:rPr>
        <w:t xml:space="preserve"> décisions </w:t>
      </w:r>
      <w:r w:rsidR="00FC2DB5">
        <w:rPr>
          <w:i/>
          <w:lang w:val="fr-FR"/>
        </w:rPr>
        <w:t>en matière de</w:t>
      </w:r>
      <w:r w:rsidRPr="000D06CF">
        <w:rPr>
          <w:i/>
          <w:lang w:val="fr-FR"/>
        </w:rPr>
        <w:t xml:space="preserve"> conformité</w:t>
      </w:r>
    </w:p>
    <w:p w14:paraId="42797002" w14:textId="77777777" w:rsidR="00610A48" w:rsidRPr="00944BFF" w:rsidRDefault="0067761C" w:rsidP="001963F3">
      <w:pPr>
        <w:numPr>
          <w:ilvl w:val="0"/>
          <w:numId w:val="11"/>
        </w:numPr>
        <w:spacing w:after="240"/>
        <w:ind w:left="709" w:firstLine="425"/>
        <w:rPr>
          <w:bCs/>
          <w:color w:val="000000"/>
          <w:lang w:val="fr-FR"/>
        </w:rPr>
      </w:pPr>
      <w:r w:rsidRPr="00944BFF">
        <w:rPr>
          <w:bCs/>
          <w:color w:val="000000"/>
          <w:lang w:val="fr-FR"/>
        </w:rPr>
        <w:t>Aucune</w:t>
      </w:r>
    </w:p>
    <w:p w14:paraId="47CAD2D2" w14:textId="77777777" w:rsidR="00610A48" w:rsidRPr="00944BFF" w:rsidRDefault="0067761C" w:rsidP="00610A48">
      <w:pPr>
        <w:tabs>
          <w:tab w:val="left" w:pos="1440"/>
          <w:tab w:val="left" w:pos="2160"/>
        </w:tabs>
        <w:spacing w:after="240"/>
        <w:ind w:left="709"/>
        <w:outlineLvl w:val="0"/>
        <w:rPr>
          <w:i/>
          <w:lang w:val="fr-FR"/>
        </w:rPr>
      </w:pPr>
      <w:r w:rsidRPr="00944BFF">
        <w:rPr>
          <w:i/>
          <w:lang w:val="fr-FR"/>
        </w:rPr>
        <w:t>P</w:t>
      </w:r>
      <w:r w:rsidR="00610A48" w:rsidRPr="00944BFF">
        <w:rPr>
          <w:i/>
          <w:lang w:val="fr-FR"/>
        </w:rPr>
        <w:t>o</w:t>
      </w:r>
      <w:r w:rsidRPr="00944BFF">
        <w:rPr>
          <w:i/>
          <w:lang w:val="fr-FR"/>
        </w:rPr>
        <w:t>u</w:t>
      </w:r>
      <w:r w:rsidR="00610A48" w:rsidRPr="00944BFF">
        <w:rPr>
          <w:i/>
          <w:lang w:val="fr-FR"/>
        </w:rPr>
        <w:t xml:space="preserve">r </w:t>
      </w:r>
      <w:r w:rsidRPr="00944BFF">
        <w:rPr>
          <w:i/>
          <w:lang w:val="fr-FR"/>
        </w:rPr>
        <w:t xml:space="preserve">la </w:t>
      </w:r>
      <w:r w:rsidR="00610A48" w:rsidRPr="00944BFF">
        <w:rPr>
          <w:i/>
          <w:lang w:val="fr-FR"/>
        </w:rPr>
        <w:t>Part</w:t>
      </w:r>
      <w:r w:rsidRPr="00944BFF">
        <w:rPr>
          <w:i/>
          <w:lang w:val="fr-FR"/>
        </w:rPr>
        <w:t>ie</w:t>
      </w:r>
      <w:r w:rsidR="00610A48" w:rsidRPr="00944BFF">
        <w:rPr>
          <w:i/>
          <w:lang w:val="fr-FR"/>
        </w:rPr>
        <w:t xml:space="preserve"> III:</w:t>
      </w:r>
      <w:r w:rsidR="00610A48" w:rsidRPr="00944BFF">
        <w:rPr>
          <w:lang w:val="fr-FR"/>
        </w:rPr>
        <w:t xml:space="preserve"> </w:t>
      </w:r>
      <w:r w:rsidR="00610A48" w:rsidRPr="00944BFF">
        <w:rPr>
          <w:i/>
          <w:lang w:val="fr-FR"/>
        </w:rPr>
        <w:t>D</w:t>
      </w:r>
      <w:r w:rsidRPr="00944BFF">
        <w:rPr>
          <w:i/>
          <w:lang w:val="fr-FR"/>
        </w:rPr>
        <w:t>onnées sur la mise en oeuvre des programmes de p</w:t>
      </w:r>
      <w:r w:rsidR="00610A48" w:rsidRPr="00944BFF">
        <w:rPr>
          <w:i/>
          <w:lang w:val="fr-FR"/>
        </w:rPr>
        <w:t>a</w:t>
      </w:r>
      <w:r w:rsidRPr="00944BFF">
        <w:rPr>
          <w:i/>
          <w:lang w:val="fr-FR"/>
        </w:rPr>
        <w:t>ys pour les HCFC</w:t>
      </w:r>
      <w:r w:rsidR="00610A48" w:rsidRPr="00944BFF">
        <w:rPr>
          <w:i/>
          <w:lang w:val="fr-FR"/>
        </w:rPr>
        <w:t xml:space="preserve"> </w:t>
      </w:r>
    </w:p>
    <w:p w14:paraId="4B069EAD" w14:textId="77777777" w:rsidR="00610A48" w:rsidRPr="00944BFF" w:rsidRDefault="0067761C" w:rsidP="001963F3">
      <w:pPr>
        <w:numPr>
          <w:ilvl w:val="0"/>
          <w:numId w:val="11"/>
        </w:numPr>
        <w:spacing w:after="240"/>
        <w:ind w:hanging="306"/>
        <w:rPr>
          <w:color w:val="000000" w:themeColor="text1"/>
          <w:lang w:val="fr-FR"/>
        </w:rPr>
      </w:pPr>
      <w:r w:rsidRPr="00944BFF">
        <w:rPr>
          <w:color w:val="000000" w:themeColor="text1"/>
          <w:lang w:val="fr-FR"/>
        </w:rPr>
        <w:t>Un pays n’a pas remis les données de 2013</w:t>
      </w:r>
      <w:r w:rsidR="00610A48" w:rsidRPr="00944BFF">
        <w:rPr>
          <w:color w:val="000000" w:themeColor="text1"/>
          <w:lang w:val="fr-FR"/>
        </w:rPr>
        <w:t xml:space="preserve">; </w:t>
      </w:r>
      <w:r w:rsidRPr="00944BFF">
        <w:rPr>
          <w:color w:val="000000" w:themeColor="text1"/>
          <w:lang w:val="fr-FR"/>
        </w:rPr>
        <w:t>et un autre pays n’a p</w:t>
      </w:r>
      <w:r w:rsidR="00610A48" w:rsidRPr="00944BFF">
        <w:rPr>
          <w:color w:val="000000" w:themeColor="text1"/>
          <w:lang w:val="fr-FR"/>
        </w:rPr>
        <w:t>a</w:t>
      </w:r>
      <w:r w:rsidRPr="00944BFF">
        <w:rPr>
          <w:color w:val="000000" w:themeColor="text1"/>
          <w:lang w:val="fr-FR"/>
        </w:rPr>
        <w:t xml:space="preserve">s remis les données de </w:t>
      </w:r>
      <w:r w:rsidR="00610A48" w:rsidRPr="00944BFF">
        <w:rPr>
          <w:color w:val="000000" w:themeColor="text1"/>
          <w:lang w:val="fr-FR"/>
        </w:rPr>
        <w:t>2014, 2015, 2016</w:t>
      </w:r>
      <w:r w:rsidRPr="00944BFF">
        <w:rPr>
          <w:color w:val="000000" w:themeColor="text1"/>
          <w:lang w:val="fr-FR"/>
        </w:rPr>
        <w:t xml:space="preserve"> et 2017 </w:t>
      </w:r>
    </w:p>
    <w:p w14:paraId="58022B43" w14:textId="6D14CE3A" w:rsidR="00610A48" w:rsidRPr="00944BFF" w:rsidRDefault="0067761C" w:rsidP="00610A48">
      <w:pPr>
        <w:tabs>
          <w:tab w:val="left" w:pos="1440"/>
          <w:tab w:val="left" w:pos="2160"/>
        </w:tabs>
        <w:spacing w:after="240"/>
        <w:ind w:left="709"/>
        <w:outlineLvl w:val="0"/>
        <w:rPr>
          <w:i/>
          <w:lang w:val="fr-FR"/>
        </w:rPr>
      </w:pPr>
      <w:r w:rsidRPr="00944BFF">
        <w:rPr>
          <w:i/>
          <w:lang w:val="fr-FR"/>
        </w:rPr>
        <w:t>P</w:t>
      </w:r>
      <w:r w:rsidR="00610A48" w:rsidRPr="00944BFF">
        <w:rPr>
          <w:i/>
          <w:lang w:val="fr-FR"/>
        </w:rPr>
        <w:t>o</w:t>
      </w:r>
      <w:r w:rsidRPr="00944BFF">
        <w:rPr>
          <w:i/>
          <w:lang w:val="fr-FR"/>
        </w:rPr>
        <w:t>u</w:t>
      </w:r>
      <w:r w:rsidR="00610A48" w:rsidRPr="00944BFF">
        <w:rPr>
          <w:i/>
          <w:lang w:val="fr-FR"/>
        </w:rPr>
        <w:t xml:space="preserve">r </w:t>
      </w:r>
      <w:r w:rsidRPr="00944BFF">
        <w:rPr>
          <w:i/>
          <w:lang w:val="fr-FR"/>
        </w:rPr>
        <w:t xml:space="preserve">la </w:t>
      </w:r>
      <w:r w:rsidR="00610A48" w:rsidRPr="00944BFF">
        <w:rPr>
          <w:i/>
          <w:lang w:val="fr-FR"/>
        </w:rPr>
        <w:t>Part</w:t>
      </w:r>
      <w:r w:rsidRPr="00944BFF">
        <w:rPr>
          <w:i/>
          <w:lang w:val="fr-FR"/>
        </w:rPr>
        <w:t>ie</w:t>
      </w:r>
      <w:r w:rsidR="00610A48" w:rsidRPr="00944BFF">
        <w:rPr>
          <w:i/>
          <w:lang w:val="fr-FR"/>
        </w:rPr>
        <w:t xml:space="preserve"> IV:</w:t>
      </w:r>
      <w:r w:rsidR="00B30887" w:rsidRPr="00944BFF">
        <w:rPr>
          <w:i/>
          <w:lang w:val="fr-FR"/>
        </w:rPr>
        <w:t xml:space="preserve"> </w:t>
      </w:r>
      <w:r w:rsidR="00FC2DB5">
        <w:rPr>
          <w:i/>
          <w:lang w:val="fr-FR"/>
        </w:rPr>
        <w:t>Présentation révisée des rapports sur les données de</w:t>
      </w:r>
      <w:r w:rsidR="00B30887" w:rsidRPr="00944BFF">
        <w:rPr>
          <w:i/>
          <w:lang w:val="fr-FR"/>
        </w:rPr>
        <w:t xml:space="preserve"> programme de pays</w:t>
      </w:r>
    </w:p>
    <w:p w14:paraId="66429011" w14:textId="34DA3BD9" w:rsidR="00610A48" w:rsidRPr="00944BFF" w:rsidRDefault="00FC2DB5" w:rsidP="00194291">
      <w:pPr>
        <w:pStyle w:val="ListParagraph"/>
        <w:numPr>
          <w:ilvl w:val="0"/>
          <w:numId w:val="12"/>
        </w:numPr>
        <w:tabs>
          <w:tab w:val="left" w:pos="1440"/>
          <w:tab w:val="left" w:pos="2160"/>
        </w:tabs>
        <w:spacing w:after="240"/>
        <w:jc w:val="both"/>
        <w:outlineLvl w:val="0"/>
        <w:rPr>
          <w:lang w:val="fr-FR"/>
        </w:rPr>
      </w:pPr>
      <w:r>
        <w:rPr>
          <w:lang w:val="fr-FR"/>
        </w:rPr>
        <w:t xml:space="preserve">Examen de la présentation révisée des rapports </w:t>
      </w:r>
      <w:r w:rsidR="00B30887" w:rsidRPr="00944BFF">
        <w:rPr>
          <w:lang w:val="fr-FR"/>
        </w:rPr>
        <w:t>sur les don</w:t>
      </w:r>
      <w:r>
        <w:rPr>
          <w:lang w:val="fr-FR"/>
        </w:rPr>
        <w:t>nées de</w:t>
      </w:r>
      <w:r w:rsidR="00B30887" w:rsidRPr="00944BFF">
        <w:rPr>
          <w:lang w:val="fr-FR"/>
        </w:rPr>
        <w:t xml:space="preserve"> programme de pays </w:t>
      </w:r>
    </w:p>
    <w:p w14:paraId="229DB724" w14:textId="77777777" w:rsidR="00610A48" w:rsidRPr="007935E1" w:rsidRDefault="00B30887" w:rsidP="00610A48">
      <w:pPr>
        <w:pStyle w:val="Heading1"/>
        <w:keepNext/>
        <w:keepLines/>
        <w:numPr>
          <w:ilvl w:val="0"/>
          <w:numId w:val="0"/>
        </w:numPr>
        <w:ind w:left="709"/>
        <w:rPr>
          <w:lang w:val="fr-FR"/>
        </w:rPr>
      </w:pPr>
      <w:r w:rsidRPr="007935E1">
        <w:rPr>
          <w:u w:val="single"/>
          <w:lang w:val="fr-FR"/>
        </w:rPr>
        <w:t>L</w:t>
      </w:r>
      <w:r w:rsidR="00610A48" w:rsidRPr="007935E1">
        <w:rPr>
          <w:u w:val="single"/>
          <w:lang w:val="fr-FR"/>
        </w:rPr>
        <w:t xml:space="preserve">e </w:t>
      </w:r>
      <w:r w:rsidRPr="007935E1">
        <w:rPr>
          <w:u w:val="single"/>
          <w:lang w:val="fr-FR"/>
        </w:rPr>
        <w:t>Comité exécutif pourrait souhaiter :</w:t>
      </w:r>
    </w:p>
    <w:p w14:paraId="180445E8" w14:textId="3BCEF879" w:rsidR="007935E1" w:rsidRPr="00265403" w:rsidRDefault="007935E1" w:rsidP="007935E1">
      <w:pPr>
        <w:widowControl w:val="0"/>
        <w:spacing w:after="240"/>
        <w:ind w:firstLine="709"/>
        <w:outlineLvl w:val="1"/>
        <w:rPr>
          <w:lang w:val="fr-CA"/>
        </w:rPr>
      </w:pPr>
      <w:r w:rsidRPr="00265403">
        <w:rPr>
          <w:lang w:val="fr-CA"/>
        </w:rPr>
        <w:t>a)</w:t>
      </w:r>
      <w:r w:rsidRPr="00265403">
        <w:rPr>
          <w:lang w:val="fr-CA"/>
        </w:rPr>
        <w:tab/>
        <w:t>Prendre note :</w:t>
      </w:r>
    </w:p>
    <w:p w14:paraId="76FA8CA6" w14:textId="7A80D2F0" w:rsidR="007935E1" w:rsidRPr="00265403" w:rsidRDefault="007935E1" w:rsidP="007935E1">
      <w:pPr>
        <w:widowControl w:val="0"/>
        <w:spacing w:after="240"/>
        <w:ind w:left="2138" w:hanging="709"/>
        <w:outlineLvl w:val="2"/>
        <w:rPr>
          <w:lang w:val="fr-CA"/>
        </w:rPr>
      </w:pPr>
      <w:r w:rsidRPr="00265403">
        <w:rPr>
          <w:lang w:val="fr-CA"/>
        </w:rPr>
        <w:t>i)</w:t>
      </w:r>
      <w:r w:rsidRPr="00265403">
        <w:rPr>
          <w:lang w:val="fr-CA"/>
        </w:rPr>
        <w:tab/>
        <w:t xml:space="preserve">Des informations sur les données de programme de pays (PP) et des perspectives de conformité présentées dans le document UNEP/OzL.Pro/ExCom/83/7, notamment les suivantes: </w:t>
      </w:r>
    </w:p>
    <w:p w14:paraId="04F2C56D" w14:textId="45A41299" w:rsidR="007935E1" w:rsidRPr="00265403" w:rsidRDefault="007935E1" w:rsidP="00761F88">
      <w:pPr>
        <w:pStyle w:val="ListParagraph"/>
        <w:widowControl w:val="0"/>
        <w:numPr>
          <w:ilvl w:val="0"/>
          <w:numId w:val="31"/>
        </w:numPr>
        <w:spacing w:after="240"/>
        <w:outlineLvl w:val="2"/>
        <w:rPr>
          <w:szCs w:val="28"/>
          <w:lang w:val="fr-CA"/>
        </w:rPr>
      </w:pPr>
      <w:r w:rsidRPr="00265403">
        <w:rPr>
          <w:szCs w:val="28"/>
          <w:lang w:val="fr-CA"/>
        </w:rPr>
        <w:t>Qu’un total de 143 pays ont soumis des données PP pour 2017, 122 d’entre eux utilisant le système basé sur le web;</w:t>
      </w:r>
    </w:p>
    <w:p w14:paraId="708CA9A8" w14:textId="3B083090" w:rsidR="007935E1" w:rsidRPr="00265403" w:rsidRDefault="007935E1" w:rsidP="007935E1">
      <w:pPr>
        <w:widowControl w:val="0"/>
        <w:spacing w:after="240"/>
        <w:ind w:left="2160" w:hanging="720"/>
        <w:outlineLvl w:val="2"/>
        <w:rPr>
          <w:lang w:val="fr-CA"/>
        </w:rPr>
      </w:pPr>
      <w:r w:rsidRPr="00265403">
        <w:rPr>
          <w:lang w:val="fr-CA"/>
        </w:rPr>
        <w:t>iii)</w:t>
      </w:r>
      <w:r w:rsidRPr="00265403">
        <w:rPr>
          <w:lang w:val="fr-CA"/>
        </w:rPr>
        <w:tab/>
        <w:t>Qu’au 9 avril 2019, le Yémen n’avait pas soumis de données PP pour la période de 2014 à 2017;</w:t>
      </w:r>
    </w:p>
    <w:p w14:paraId="5F5581AC" w14:textId="32B356BC" w:rsidR="007935E1" w:rsidRPr="007E28A4" w:rsidRDefault="007935E1" w:rsidP="00761F88">
      <w:pPr>
        <w:pStyle w:val="ListParagraph"/>
        <w:widowControl w:val="0"/>
        <w:numPr>
          <w:ilvl w:val="0"/>
          <w:numId w:val="32"/>
        </w:numPr>
        <w:spacing w:after="240"/>
        <w:outlineLvl w:val="1"/>
      </w:pPr>
      <w:r w:rsidRPr="00265403">
        <w:rPr>
          <w:lang w:val="fr-CA"/>
        </w:rPr>
        <w:t xml:space="preserve">      </w:t>
      </w:r>
      <w:r>
        <w:t>D</w:t>
      </w:r>
      <w:r w:rsidRPr="007E28A4">
        <w:t>emander:</w:t>
      </w:r>
    </w:p>
    <w:p w14:paraId="6E5C9632" w14:textId="2E222C21" w:rsidR="007935E1" w:rsidRPr="00265403" w:rsidRDefault="007935E1" w:rsidP="007935E1">
      <w:pPr>
        <w:spacing w:after="240"/>
        <w:ind w:left="2160" w:hanging="720"/>
        <w:outlineLvl w:val="2"/>
        <w:rPr>
          <w:szCs w:val="28"/>
          <w:lang w:val="fr-CA"/>
        </w:rPr>
      </w:pPr>
      <w:r w:rsidRPr="00265403">
        <w:rPr>
          <w:szCs w:val="28"/>
          <w:lang w:val="fr-CA"/>
        </w:rPr>
        <w:t>i)</w:t>
      </w:r>
      <w:r w:rsidRPr="00265403">
        <w:rPr>
          <w:szCs w:val="28"/>
          <w:lang w:val="fr-CA"/>
        </w:rPr>
        <w:tab/>
        <w:t xml:space="preserve">Au Secrétariat d’écrire aux gouvernements des pays ci-après qui sont en retard dans la soumission de données PP de </w:t>
      </w:r>
      <w:r w:rsidRPr="00265403">
        <w:rPr>
          <w:lang w:val="fr-CA"/>
        </w:rPr>
        <w:t>2013 (République centrafricaine</w:t>
      </w:r>
      <w:r w:rsidR="0099339F">
        <w:rPr>
          <w:lang w:val="fr-CA"/>
        </w:rPr>
        <w:t xml:space="preserve"> (la)</w:t>
      </w:r>
      <w:r w:rsidRPr="00265403">
        <w:rPr>
          <w:lang w:val="fr-CA"/>
        </w:rPr>
        <w:t xml:space="preserve">), </w:t>
      </w:r>
      <w:r w:rsidRPr="00265403">
        <w:rPr>
          <w:szCs w:val="28"/>
          <w:lang w:val="fr-CA"/>
        </w:rPr>
        <w:t xml:space="preserve">2014 (Yémen), 2015 (Yémen), 2016 (Yémen) et 2017 (Yémen), pour les inviter instamment à communiquer leurs rapports aussitôt que possible; </w:t>
      </w:r>
      <w:r w:rsidR="0099339F">
        <w:rPr>
          <w:szCs w:val="28"/>
          <w:lang w:val="fr-CA"/>
        </w:rPr>
        <w:t>et</w:t>
      </w:r>
    </w:p>
    <w:p w14:paraId="65E18EDD" w14:textId="401D21D7" w:rsidR="007935E1" w:rsidRPr="00265403" w:rsidRDefault="007935E1" w:rsidP="00761F88">
      <w:pPr>
        <w:pStyle w:val="ListParagraph"/>
        <w:keepNext/>
        <w:keepLines/>
        <w:widowControl w:val="0"/>
        <w:numPr>
          <w:ilvl w:val="0"/>
          <w:numId w:val="32"/>
        </w:numPr>
        <w:spacing w:after="240"/>
        <w:ind w:left="1411" w:hanging="691"/>
        <w:jc w:val="both"/>
        <w:outlineLvl w:val="1"/>
        <w:rPr>
          <w:lang w:val="fr-CA"/>
        </w:rPr>
      </w:pPr>
      <w:r w:rsidRPr="00265403">
        <w:rPr>
          <w:lang w:val="fr-CA"/>
        </w:rPr>
        <w:lastRenderedPageBreak/>
        <w:t xml:space="preserve">Approuver le projet de modèle révisé de rapports de données PP figurant à l’Annexe III </w:t>
      </w:r>
      <w:r w:rsidR="0099339F">
        <w:rPr>
          <w:lang w:val="fr-CA"/>
        </w:rPr>
        <w:t>dans le</w:t>
      </w:r>
      <w:r w:rsidRPr="00265403">
        <w:rPr>
          <w:lang w:val="fr-CA"/>
        </w:rPr>
        <w:t xml:space="preserve"> document</w:t>
      </w:r>
      <w:r w:rsidR="0099339F">
        <w:rPr>
          <w:lang w:val="fr-CA"/>
        </w:rPr>
        <w:t> UNEP/OzL.Pro/ExCom/83/7</w:t>
      </w:r>
      <w:r w:rsidRPr="00265403">
        <w:rPr>
          <w:lang w:val="fr-CA"/>
        </w:rPr>
        <w:t>, et à charger le Secrétariat de mettre la touche finale au « Manuel pratique de communication des données de programmes de pays », en notant que le modèle de présentation révisé sera utilisé à partir de 2020 pour la communication des données PP de 2019.</w:t>
      </w:r>
    </w:p>
    <w:p w14:paraId="0EE4D100" w14:textId="60267B49" w:rsidR="005B7870" w:rsidRPr="00265403" w:rsidRDefault="005B7870" w:rsidP="005B7870">
      <w:pPr>
        <w:rPr>
          <w:b/>
          <w:lang w:val="fr-CA"/>
        </w:rPr>
      </w:pPr>
      <w:r w:rsidRPr="00265403">
        <w:rPr>
          <w:b/>
          <w:lang w:val="fr-CA"/>
        </w:rPr>
        <w:t>6.</w:t>
      </w:r>
      <w:r w:rsidRPr="00265403">
        <w:rPr>
          <w:b/>
          <w:lang w:val="fr-CA"/>
        </w:rPr>
        <w:tab/>
        <w:t>Évaluation</w:t>
      </w:r>
    </w:p>
    <w:p w14:paraId="7B329FB9" w14:textId="77777777" w:rsidR="005B7870" w:rsidRPr="00265403" w:rsidRDefault="005B7870" w:rsidP="005B7870">
      <w:pPr>
        <w:rPr>
          <w:b/>
          <w:lang w:val="fr-CA"/>
        </w:rPr>
      </w:pPr>
    </w:p>
    <w:p w14:paraId="196D3DB4" w14:textId="62784A15" w:rsidR="005B7870" w:rsidRDefault="005B7870" w:rsidP="00FC2DB5">
      <w:pPr>
        <w:ind w:left="1440" w:hanging="720"/>
        <w:rPr>
          <w:b/>
          <w:lang w:val="fr-CA"/>
        </w:rPr>
      </w:pPr>
      <w:r w:rsidRPr="00265403">
        <w:rPr>
          <w:b/>
          <w:lang w:val="fr-CA"/>
        </w:rPr>
        <w:t>a)</w:t>
      </w:r>
      <w:r w:rsidRPr="00265403">
        <w:rPr>
          <w:b/>
          <w:lang w:val="fr-CA"/>
        </w:rPr>
        <w:tab/>
        <w:t>Étude théorique révisée sur l’évaluation des activités de préparation des plans de gestion de l’élimination des HCFC propres à aider à la mise en oeuvre de l’Amendement de Kigali</w:t>
      </w:r>
    </w:p>
    <w:p w14:paraId="3BBEFFE4" w14:textId="77777777" w:rsidR="00265403" w:rsidRPr="00265403" w:rsidRDefault="00265403" w:rsidP="00FC2DB5">
      <w:pPr>
        <w:ind w:left="1440" w:hanging="720"/>
        <w:rPr>
          <w:b/>
          <w:lang w:val="fr-CA"/>
        </w:rPr>
      </w:pPr>
    </w:p>
    <w:p w14:paraId="771E4481" w14:textId="64221415" w:rsidR="00712E72" w:rsidRPr="00944BFF" w:rsidRDefault="00712E72" w:rsidP="00712E72">
      <w:pPr>
        <w:spacing w:after="240"/>
        <w:ind w:left="709"/>
        <w:rPr>
          <w:lang w:val="fr-FR"/>
        </w:rPr>
      </w:pPr>
      <w:r w:rsidRPr="00944BFF">
        <w:rPr>
          <w:color w:val="000000" w:themeColor="text1"/>
          <w:lang w:val="fr-FR"/>
        </w:rPr>
        <w:t xml:space="preserve">Le </w:t>
      </w:r>
      <w:r w:rsidRPr="00944BFF">
        <w:rPr>
          <w:color w:val="000000" w:themeColor="text1"/>
          <w:u w:val="single"/>
          <w:lang w:val="fr-FR"/>
        </w:rPr>
        <w:t>document UNEP/Oz</w:t>
      </w:r>
      <w:r w:rsidRPr="00944BFF">
        <w:rPr>
          <w:color w:val="000000" w:themeColor="text1"/>
          <w:szCs w:val="24"/>
          <w:u w:val="single"/>
          <w:lang w:val="fr-FR"/>
        </w:rPr>
        <w:t>L.Pro/ExCom/83/8</w:t>
      </w:r>
      <w:r w:rsidRPr="00944BFF">
        <w:rPr>
          <w:color w:val="000000" w:themeColor="text1"/>
          <w:szCs w:val="24"/>
          <w:lang w:val="fr-FR"/>
        </w:rPr>
        <w:t xml:space="preserve"> </w:t>
      </w:r>
      <w:r w:rsidRPr="00944BFF">
        <w:rPr>
          <w:color w:val="000000" w:themeColor="text1"/>
          <w:lang w:val="fr-FR"/>
        </w:rPr>
        <w:t>présente l’étude théorique révisé</w:t>
      </w:r>
      <w:r w:rsidR="000D06CF">
        <w:rPr>
          <w:color w:val="000000" w:themeColor="text1"/>
          <w:lang w:val="fr-FR"/>
        </w:rPr>
        <w:t>e</w:t>
      </w:r>
      <w:r w:rsidRPr="00944BFF">
        <w:rPr>
          <w:color w:val="000000" w:themeColor="text1"/>
          <w:lang w:val="fr-FR"/>
        </w:rPr>
        <w:t xml:space="preserve"> sur l’évaluation des activités de préparation des plans de gestion de l’élimination des HCFC</w:t>
      </w:r>
      <w:r w:rsidR="008A7856" w:rsidRPr="00944BFF">
        <w:rPr>
          <w:color w:val="000000" w:themeColor="text1"/>
          <w:lang w:val="fr-FR"/>
        </w:rPr>
        <w:t xml:space="preserve"> propres à aider à la mise en oeuvre de l’Amendement de Kigali, d’après l’étude théorique soumise à l</w:t>
      </w:r>
      <w:r w:rsidRPr="00944BFF">
        <w:rPr>
          <w:color w:val="000000" w:themeColor="text1"/>
          <w:lang w:val="fr-FR"/>
        </w:rPr>
        <w:t>a</w:t>
      </w:r>
      <w:r w:rsidR="008A7856" w:rsidRPr="00944BFF">
        <w:rPr>
          <w:color w:val="000000" w:themeColor="text1"/>
          <w:lang w:val="fr-FR"/>
        </w:rPr>
        <w:t xml:space="preserve"> 8</w:t>
      </w:r>
      <w:r w:rsidR="000D06CF">
        <w:rPr>
          <w:color w:val="000000" w:themeColor="text1"/>
          <w:lang w:val="fr-FR"/>
        </w:rPr>
        <w:t>2</w:t>
      </w:r>
      <w:r w:rsidR="000D06CF" w:rsidRPr="000D06CF">
        <w:rPr>
          <w:color w:val="000000" w:themeColor="text1"/>
          <w:vertAlign w:val="superscript"/>
          <w:lang w:val="fr-FR"/>
        </w:rPr>
        <w:t>e</w:t>
      </w:r>
      <w:r w:rsidR="000D06CF">
        <w:rPr>
          <w:color w:val="000000" w:themeColor="text1"/>
          <w:lang w:val="fr-FR"/>
        </w:rPr>
        <w:t xml:space="preserve"> </w:t>
      </w:r>
      <w:r w:rsidR="008A7856" w:rsidRPr="00944BFF">
        <w:rPr>
          <w:color w:val="000000" w:themeColor="text1"/>
          <w:lang w:val="fr-FR"/>
        </w:rPr>
        <w:t xml:space="preserve">réunion. </w:t>
      </w:r>
    </w:p>
    <w:p w14:paraId="5F370B89" w14:textId="3C18E5FD" w:rsidR="00712E72" w:rsidRPr="00944BFF" w:rsidRDefault="008A7856" w:rsidP="00712E72">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r w:rsidRPr="00944BFF">
        <w:rPr>
          <w:color w:val="000000" w:themeColor="text1"/>
          <w:lang w:val="fr-FR"/>
        </w:rPr>
        <w:t>Aucune</w:t>
      </w:r>
    </w:p>
    <w:p w14:paraId="353711D4" w14:textId="77777777" w:rsidR="00C072B3" w:rsidRPr="000D06CF" w:rsidRDefault="00C072B3" w:rsidP="00C072B3">
      <w:pPr>
        <w:pStyle w:val="Heading1"/>
        <w:keepNext/>
        <w:keepLines/>
        <w:numPr>
          <w:ilvl w:val="0"/>
          <w:numId w:val="0"/>
        </w:numPr>
        <w:ind w:firstLine="709"/>
        <w:rPr>
          <w:u w:val="single"/>
          <w:lang w:val="fr-CA"/>
        </w:rPr>
      </w:pPr>
      <w:r w:rsidRPr="000D06CF">
        <w:rPr>
          <w:u w:val="single"/>
          <w:lang w:val="fr-CA"/>
        </w:rPr>
        <w:t>Le Comité exécutif pourrait souhaiter :</w:t>
      </w:r>
    </w:p>
    <w:p w14:paraId="1CB3C3B1" w14:textId="6C218873" w:rsidR="00C072B3" w:rsidRPr="00DA0151" w:rsidRDefault="000D06CF" w:rsidP="000D06CF">
      <w:pPr>
        <w:pStyle w:val="Heading2"/>
        <w:numPr>
          <w:ilvl w:val="0"/>
          <w:numId w:val="0"/>
        </w:numPr>
        <w:ind w:left="1440" w:hanging="720"/>
        <w:rPr>
          <w:lang w:val="fr-CA"/>
        </w:rPr>
      </w:pPr>
      <w:r>
        <w:rPr>
          <w:lang w:val="fr-CA"/>
        </w:rPr>
        <w:t>a)</w:t>
      </w:r>
      <w:r>
        <w:rPr>
          <w:lang w:val="fr-CA"/>
        </w:rPr>
        <w:tab/>
      </w:r>
      <w:r w:rsidR="00C072B3" w:rsidRPr="00DA0151">
        <w:rPr>
          <w:lang w:val="fr-CA"/>
        </w:rPr>
        <w:t>Prendre note de l’Étude théorique sur l’évaluation des activités de préparation du plan de gestion de l’élimination des HCFC destinées à faciliter la mise en œuvre de l’Amendement de Kigali renfermée dans le d</w:t>
      </w:r>
      <w:r>
        <w:rPr>
          <w:lang w:val="fr-CA"/>
        </w:rPr>
        <w:t>ocument UNEP/OzL.Pro/ExCom/83/8</w:t>
      </w:r>
      <w:r w:rsidR="00C072B3" w:rsidRPr="00DA0151">
        <w:rPr>
          <w:lang w:val="fr-CA"/>
        </w:rPr>
        <w:t xml:space="preserve">; </w:t>
      </w:r>
    </w:p>
    <w:p w14:paraId="37671054" w14:textId="52711B25" w:rsidR="00C072B3" w:rsidRPr="00DA0151" w:rsidRDefault="000D06CF" w:rsidP="000D06CF">
      <w:pPr>
        <w:pStyle w:val="Heading2"/>
        <w:numPr>
          <w:ilvl w:val="0"/>
          <w:numId w:val="0"/>
        </w:numPr>
        <w:ind w:left="1440" w:hanging="720"/>
        <w:rPr>
          <w:lang w:val="fr-CA"/>
        </w:rPr>
      </w:pPr>
      <w:r>
        <w:rPr>
          <w:lang w:val="fr-CA"/>
        </w:rPr>
        <w:t>b)</w:t>
      </w:r>
      <w:r>
        <w:rPr>
          <w:lang w:val="fr-CA"/>
        </w:rPr>
        <w:tab/>
      </w:r>
      <w:r w:rsidR="00C072B3" w:rsidRPr="00DA0151">
        <w:rPr>
          <w:lang w:val="fr-CA"/>
        </w:rPr>
        <w:t>Inviter les agences bilatérales et les agences d’exécution à appliquer, selon qu’il convient, les constatations et les recommandations de l’évaluation;</w:t>
      </w:r>
      <w:r w:rsidR="0099339F">
        <w:rPr>
          <w:lang w:val="fr-CA"/>
        </w:rPr>
        <w:t xml:space="preserve"> et</w:t>
      </w:r>
    </w:p>
    <w:p w14:paraId="3EF628C7" w14:textId="48DFB9AD" w:rsidR="00C072B3" w:rsidRPr="00C072B3" w:rsidRDefault="00C072B3" w:rsidP="00761F88">
      <w:pPr>
        <w:pStyle w:val="Heading2"/>
        <w:numPr>
          <w:ilvl w:val="0"/>
          <w:numId w:val="26"/>
        </w:numPr>
        <w:ind w:left="1418" w:hanging="698"/>
        <w:rPr>
          <w:lang w:val="fr-CA"/>
        </w:rPr>
      </w:pPr>
      <w:r w:rsidRPr="00DA0151">
        <w:rPr>
          <w:lang w:val="fr-CA"/>
        </w:rPr>
        <w:t xml:space="preserve">Prier le Secrétariat de préparer les lignes directrices pour la préparation des plans d’élimination progressive des HFC en suivant la même approche que celle employée pour l’élimination des HCFC, compte tenu des enseignements tirés de l’étude théorique. </w:t>
      </w:r>
    </w:p>
    <w:p w14:paraId="3DB475A8" w14:textId="4714CDB9" w:rsidR="00712E72" w:rsidRPr="00944BFF" w:rsidRDefault="000D06CF" w:rsidP="00C072B3">
      <w:pPr>
        <w:pStyle w:val="Heading1"/>
        <w:numPr>
          <w:ilvl w:val="0"/>
          <w:numId w:val="0"/>
        </w:numPr>
        <w:ind w:left="1440" w:hanging="731"/>
        <w:rPr>
          <w:b/>
          <w:lang w:val="fr-FR"/>
        </w:rPr>
      </w:pPr>
      <w:r>
        <w:rPr>
          <w:b/>
          <w:lang w:val="fr-FR"/>
        </w:rPr>
        <w:t>b)</w:t>
      </w:r>
      <w:r>
        <w:rPr>
          <w:b/>
          <w:lang w:val="fr-FR"/>
        </w:rPr>
        <w:tab/>
      </w:r>
      <w:r w:rsidR="008A7856" w:rsidRPr="00944BFF">
        <w:rPr>
          <w:b/>
          <w:lang w:val="fr-FR"/>
        </w:rPr>
        <w:t xml:space="preserve">Mandat de l’étude théorique sur l’évaluation de la pérennité des réalisations du Protocole de </w:t>
      </w:r>
      <w:r w:rsidR="00712E72" w:rsidRPr="00944BFF">
        <w:rPr>
          <w:b/>
          <w:lang w:val="fr-FR"/>
        </w:rPr>
        <w:t>Mon</w:t>
      </w:r>
      <w:r w:rsidR="008A7856" w:rsidRPr="00944BFF">
        <w:rPr>
          <w:b/>
          <w:lang w:val="fr-FR"/>
        </w:rPr>
        <w:t xml:space="preserve">tréal </w:t>
      </w:r>
    </w:p>
    <w:p w14:paraId="4F128001" w14:textId="3A0D2899" w:rsidR="00712E72" w:rsidRPr="00944BFF" w:rsidRDefault="008A7856" w:rsidP="00712E72">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712E72" w:rsidRPr="00944BFF">
        <w:rPr>
          <w:color w:val="000000" w:themeColor="text1"/>
          <w:u w:val="single"/>
          <w:lang w:val="fr-FR"/>
        </w:rPr>
        <w:t>ocument UNEP/Oz</w:t>
      </w:r>
      <w:r w:rsidR="00712E72" w:rsidRPr="00944BFF">
        <w:rPr>
          <w:color w:val="000000" w:themeColor="text1"/>
          <w:szCs w:val="24"/>
          <w:u w:val="single"/>
          <w:lang w:val="fr-FR"/>
        </w:rPr>
        <w:t>L.Pro/ExCom/83/9</w:t>
      </w:r>
      <w:r w:rsidR="00712E72" w:rsidRPr="00944BFF">
        <w:rPr>
          <w:color w:val="000000" w:themeColor="text1"/>
          <w:szCs w:val="24"/>
          <w:lang w:val="fr-FR"/>
        </w:rPr>
        <w:t xml:space="preserve"> </w:t>
      </w:r>
      <w:r w:rsidRPr="00944BFF">
        <w:rPr>
          <w:color w:val="000000" w:themeColor="text1"/>
          <w:lang w:val="fr-FR"/>
        </w:rPr>
        <w:t xml:space="preserve">présente le </w:t>
      </w:r>
      <w:r w:rsidR="00FB40BB" w:rsidRPr="00944BFF">
        <w:rPr>
          <w:color w:val="000000" w:themeColor="text1"/>
          <w:lang w:val="fr-FR"/>
        </w:rPr>
        <w:t>mandat</w:t>
      </w:r>
      <w:r w:rsidRPr="00944BFF">
        <w:rPr>
          <w:color w:val="000000" w:themeColor="text1"/>
          <w:lang w:val="fr-FR"/>
        </w:rPr>
        <w:t xml:space="preserve"> de l’étude théorique sur l’é</w:t>
      </w:r>
      <w:r w:rsidR="00C072B3">
        <w:rPr>
          <w:color w:val="000000" w:themeColor="text1"/>
          <w:lang w:val="fr-FR"/>
        </w:rPr>
        <w:t>valuation de la pérennité des ré</w:t>
      </w:r>
      <w:r w:rsidRPr="00944BFF">
        <w:rPr>
          <w:color w:val="000000" w:themeColor="text1"/>
          <w:lang w:val="fr-FR"/>
        </w:rPr>
        <w:t>alisations du Protocole de Montréal</w:t>
      </w:r>
      <w:r w:rsidR="00712E72" w:rsidRPr="00944BFF">
        <w:rPr>
          <w:color w:val="000000" w:themeColor="text1"/>
          <w:lang w:val="fr-FR"/>
        </w:rPr>
        <w:t>.</w:t>
      </w:r>
    </w:p>
    <w:p w14:paraId="13C57544" w14:textId="0D57E600" w:rsidR="00712E72" w:rsidRPr="00944BFF" w:rsidRDefault="008A7856" w:rsidP="00712E72">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r w:rsidR="005B7870">
        <w:rPr>
          <w:color w:val="000000" w:themeColor="text1"/>
          <w:lang w:val="fr-FR"/>
        </w:rPr>
        <w:t>Aucu</w:t>
      </w:r>
      <w:r w:rsidR="00712E72" w:rsidRPr="00944BFF">
        <w:rPr>
          <w:color w:val="000000" w:themeColor="text1"/>
          <w:lang w:val="fr-FR"/>
        </w:rPr>
        <w:t>ne</w:t>
      </w:r>
    </w:p>
    <w:p w14:paraId="19306F72" w14:textId="01232DC8" w:rsidR="00712E72" w:rsidRPr="00944BFF" w:rsidRDefault="008A7856" w:rsidP="00712E72">
      <w:pPr>
        <w:tabs>
          <w:tab w:val="left" w:pos="720"/>
          <w:tab w:val="left" w:pos="1440"/>
          <w:tab w:val="left" w:pos="2160"/>
        </w:tabs>
        <w:spacing w:after="240"/>
        <w:ind w:left="709"/>
        <w:outlineLvl w:val="0"/>
        <w:rPr>
          <w:color w:val="000000" w:themeColor="text1"/>
          <w:lang w:val="fr-FR"/>
        </w:rPr>
      </w:pPr>
      <w:r w:rsidRPr="003857FA">
        <w:rPr>
          <w:color w:val="000000" w:themeColor="text1"/>
          <w:u w:val="single"/>
          <w:lang w:val="fr-FR"/>
        </w:rPr>
        <w:t>L</w:t>
      </w:r>
      <w:r w:rsidR="00712E72" w:rsidRPr="003857FA">
        <w:rPr>
          <w:color w:val="000000" w:themeColor="text1"/>
          <w:u w:val="single"/>
          <w:lang w:val="fr-FR"/>
        </w:rPr>
        <w:t xml:space="preserve">e </w:t>
      </w:r>
      <w:r w:rsidRPr="003857FA">
        <w:rPr>
          <w:color w:val="000000" w:themeColor="text1"/>
          <w:u w:val="single"/>
          <w:lang w:val="fr-FR"/>
        </w:rPr>
        <w:t xml:space="preserve">Comité exécutif pourrait souhaiter </w:t>
      </w:r>
      <w:r w:rsidR="00712E72" w:rsidRPr="003857FA">
        <w:rPr>
          <w:lang w:val="fr-FR"/>
        </w:rPr>
        <w:t>appro</w:t>
      </w:r>
      <w:r w:rsidRPr="003857FA">
        <w:rPr>
          <w:lang w:val="fr-FR"/>
        </w:rPr>
        <w:t>u</w:t>
      </w:r>
      <w:r w:rsidR="00712E72" w:rsidRPr="003857FA">
        <w:rPr>
          <w:lang w:val="fr-FR"/>
        </w:rPr>
        <w:t>ve</w:t>
      </w:r>
      <w:r w:rsidRPr="003857FA">
        <w:rPr>
          <w:lang w:val="fr-FR"/>
        </w:rPr>
        <w:t>r</w:t>
      </w:r>
      <w:r w:rsidR="00712E72" w:rsidRPr="003857FA">
        <w:rPr>
          <w:lang w:val="fr-FR"/>
        </w:rPr>
        <w:t xml:space="preserve"> </w:t>
      </w:r>
      <w:r w:rsidRPr="003857FA">
        <w:rPr>
          <w:lang w:val="fr-FR"/>
        </w:rPr>
        <w:t xml:space="preserve">le mandat de l’étude théorique </w:t>
      </w:r>
      <w:r w:rsidR="00712E72" w:rsidRPr="003857FA">
        <w:rPr>
          <w:lang w:val="fr-FR"/>
        </w:rPr>
        <w:t>s</w:t>
      </w:r>
      <w:r w:rsidRPr="003857FA">
        <w:rPr>
          <w:lang w:val="fr-FR"/>
        </w:rPr>
        <w:t xml:space="preserve">ur l’évaluation de la pérennité des </w:t>
      </w:r>
      <w:r w:rsidR="00FB40BB" w:rsidRPr="003857FA">
        <w:rPr>
          <w:lang w:val="fr-FR"/>
        </w:rPr>
        <w:t>ré</w:t>
      </w:r>
      <w:r w:rsidRPr="003857FA">
        <w:rPr>
          <w:lang w:val="fr-FR"/>
        </w:rPr>
        <w:t xml:space="preserve">alisations du </w:t>
      </w:r>
      <w:r w:rsidR="00712E72" w:rsidRPr="003857FA">
        <w:rPr>
          <w:lang w:val="fr-FR"/>
        </w:rPr>
        <w:t>Protocol</w:t>
      </w:r>
      <w:r w:rsidRPr="003857FA">
        <w:rPr>
          <w:lang w:val="fr-FR"/>
        </w:rPr>
        <w:t xml:space="preserve">e de Montréal, contenu dans le </w:t>
      </w:r>
      <w:r w:rsidR="00712E72" w:rsidRPr="003857FA">
        <w:rPr>
          <w:lang w:val="fr-FR"/>
        </w:rPr>
        <w:t>document </w:t>
      </w:r>
      <w:r w:rsidRPr="003857FA">
        <w:rPr>
          <w:lang w:val="fr-FR"/>
        </w:rPr>
        <w:t xml:space="preserve"> </w:t>
      </w:r>
      <w:r w:rsidR="00712E72" w:rsidRPr="003857FA">
        <w:rPr>
          <w:lang w:val="fr-FR"/>
        </w:rPr>
        <w:t>UNEP/OzL.Pro/ExCom/83/9.</w:t>
      </w:r>
    </w:p>
    <w:p w14:paraId="723035AA" w14:textId="09E03FFF" w:rsidR="00712E72" w:rsidRPr="00944BFF" w:rsidRDefault="000D06CF" w:rsidP="000D06CF">
      <w:pPr>
        <w:pStyle w:val="Heading2"/>
        <w:widowControl/>
        <w:numPr>
          <w:ilvl w:val="0"/>
          <w:numId w:val="0"/>
        </w:numPr>
        <w:ind w:left="1440" w:hanging="720"/>
        <w:rPr>
          <w:b/>
          <w:lang w:val="fr-FR"/>
        </w:rPr>
      </w:pPr>
      <w:r>
        <w:rPr>
          <w:b/>
          <w:lang w:val="fr-FR"/>
        </w:rPr>
        <w:t>c)</w:t>
      </w:r>
      <w:r>
        <w:rPr>
          <w:b/>
          <w:lang w:val="fr-FR"/>
        </w:rPr>
        <w:tab/>
      </w:r>
      <w:r w:rsidR="008A7856" w:rsidRPr="00944BFF">
        <w:rPr>
          <w:b/>
          <w:lang w:val="fr-FR"/>
        </w:rPr>
        <w:t>Mandat d</w:t>
      </w:r>
      <w:r w:rsidR="00712E72" w:rsidRPr="00944BFF">
        <w:rPr>
          <w:b/>
          <w:lang w:val="fr-FR"/>
        </w:rPr>
        <w:t>e</w:t>
      </w:r>
      <w:r w:rsidR="008A7856" w:rsidRPr="00944BFF">
        <w:rPr>
          <w:b/>
          <w:lang w:val="fr-FR"/>
        </w:rPr>
        <w:t xml:space="preserve"> l’étude théorique sur l’évaluation de l’efficacité énergétique dans le secteur de l’entretien </w:t>
      </w:r>
    </w:p>
    <w:p w14:paraId="3E879F03" w14:textId="2530BBB2" w:rsidR="00712E72" w:rsidRPr="00944BFF" w:rsidRDefault="008A7856" w:rsidP="00712E72">
      <w:pPr>
        <w:spacing w:after="240"/>
        <w:ind w:left="709"/>
        <w:rPr>
          <w:lang w:val="fr-FR"/>
        </w:rPr>
      </w:pPr>
      <w:r w:rsidRPr="00944BFF">
        <w:rPr>
          <w:color w:val="000000" w:themeColor="text1"/>
          <w:lang w:val="fr-FR"/>
        </w:rPr>
        <w:t>Le</w:t>
      </w:r>
      <w:r w:rsidR="00E3769E">
        <w:rPr>
          <w:color w:val="000000" w:themeColor="text1"/>
          <w:lang w:val="fr-FR"/>
        </w:rPr>
        <w:t xml:space="preserve"> </w:t>
      </w:r>
      <w:r w:rsidRPr="00944BFF">
        <w:rPr>
          <w:color w:val="000000" w:themeColor="text1"/>
          <w:u w:val="single"/>
          <w:lang w:val="fr-FR"/>
        </w:rPr>
        <w:t>d</w:t>
      </w:r>
      <w:r w:rsidR="00712E72" w:rsidRPr="00944BFF">
        <w:rPr>
          <w:color w:val="000000" w:themeColor="text1"/>
          <w:u w:val="single"/>
          <w:lang w:val="fr-FR"/>
        </w:rPr>
        <w:t>ocument UNEP/Oz</w:t>
      </w:r>
      <w:r w:rsidR="00712E72" w:rsidRPr="00944BFF">
        <w:rPr>
          <w:color w:val="000000" w:themeColor="text1"/>
          <w:szCs w:val="24"/>
          <w:u w:val="single"/>
          <w:lang w:val="fr-FR"/>
        </w:rPr>
        <w:t>L.Pro/ExCom/83/10</w:t>
      </w:r>
      <w:r w:rsidR="00712E72" w:rsidRPr="00944BFF">
        <w:rPr>
          <w:color w:val="000000" w:themeColor="text1"/>
          <w:szCs w:val="24"/>
          <w:lang w:val="fr-FR"/>
        </w:rPr>
        <w:t xml:space="preserve"> </w:t>
      </w:r>
      <w:r w:rsidR="00FB40BB" w:rsidRPr="00944BFF">
        <w:rPr>
          <w:color w:val="000000" w:themeColor="text1"/>
          <w:lang w:val="fr-FR"/>
        </w:rPr>
        <w:t>présente</w:t>
      </w:r>
      <w:r w:rsidR="00712E72" w:rsidRPr="00944BFF">
        <w:rPr>
          <w:color w:val="000000" w:themeColor="text1"/>
          <w:lang w:val="fr-FR"/>
        </w:rPr>
        <w:t xml:space="preserve"> </w:t>
      </w:r>
      <w:r w:rsidR="00FB40BB" w:rsidRPr="00944BFF">
        <w:rPr>
          <w:color w:val="000000" w:themeColor="text1"/>
          <w:lang w:val="fr-FR"/>
        </w:rPr>
        <w:t>l</w:t>
      </w:r>
      <w:r w:rsidR="00712E72" w:rsidRPr="00944BFF">
        <w:rPr>
          <w:color w:val="000000" w:themeColor="text1"/>
          <w:lang w:val="fr-FR"/>
        </w:rPr>
        <w:t xml:space="preserve">e </w:t>
      </w:r>
      <w:r w:rsidR="00FB40BB" w:rsidRPr="00944BFF">
        <w:rPr>
          <w:color w:val="000000" w:themeColor="text1"/>
          <w:lang w:val="fr-FR"/>
        </w:rPr>
        <w:t>mandat de l’é</w:t>
      </w:r>
      <w:r w:rsidR="00712E72" w:rsidRPr="00944BFF">
        <w:rPr>
          <w:color w:val="000000" w:themeColor="text1"/>
          <w:lang w:val="fr-FR"/>
        </w:rPr>
        <w:t>t</w:t>
      </w:r>
      <w:r w:rsidR="00FB40BB" w:rsidRPr="00944BFF">
        <w:rPr>
          <w:color w:val="000000" w:themeColor="text1"/>
          <w:lang w:val="fr-FR"/>
        </w:rPr>
        <w:t>ude</w:t>
      </w:r>
      <w:r w:rsidR="00712E72" w:rsidRPr="00944BFF">
        <w:rPr>
          <w:color w:val="000000" w:themeColor="text1"/>
          <w:lang w:val="fr-FR"/>
        </w:rPr>
        <w:t xml:space="preserve"> </w:t>
      </w:r>
      <w:r w:rsidR="00FB40BB" w:rsidRPr="00944BFF">
        <w:rPr>
          <w:color w:val="000000" w:themeColor="text1"/>
          <w:lang w:val="fr-FR"/>
        </w:rPr>
        <w:t>théorique sur l’évaluation de l’efficacité énergétique dans le secteur de l’entretien.</w:t>
      </w:r>
    </w:p>
    <w:p w14:paraId="73EC116D" w14:textId="6820B7AE" w:rsidR="00712E72" w:rsidRPr="00944BFF" w:rsidRDefault="00FB40BB" w:rsidP="00712E72">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r w:rsidRPr="00944BFF">
        <w:rPr>
          <w:color w:val="000000" w:themeColor="text1"/>
          <w:lang w:val="fr-FR"/>
        </w:rPr>
        <w:t>Aucu</w:t>
      </w:r>
      <w:r w:rsidR="00712E72" w:rsidRPr="00944BFF">
        <w:rPr>
          <w:color w:val="000000" w:themeColor="text1"/>
          <w:lang w:val="fr-FR"/>
        </w:rPr>
        <w:t>ne</w:t>
      </w:r>
    </w:p>
    <w:p w14:paraId="42656C8C" w14:textId="6B660D95" w:rsidR="00712E72" w:rsidRPr="000D06CF" w:rsidRDefault="00FB40BB" w:rsidP="00712E72">
      <w:pPr>
        <w:tabs>
          <w:tab w:val="left" w:pos="720"/>
          <w:tab w:val="left" w:pos="1440"/>
          <w:tab w:val="left" w:pos="2160"/>
        </w:tabs>
        <w:spacing w:after="240"/>
        <w:ind w:left="709"/>
        <w:outlineLvl w:val="0"/>
        <w:rPr>
          <w:color w:val="000000" w:themeColor="text1"/>
          <w:lang w:val="fr-FR"/>
        </w:rPr>
      </w:pPr>
      <w:r w:rsidRPr="003857FA">
        <w:rPr>
          <w:color w:val="000000" w:themeColor="text1"/>
          <w:u w:val="single"/>
          <w:lang w:val="fr-FR"/>
        </w:rPr>
        <w:t xml:space="preserve">Le Comité exécutif pourrait souhaiter </w:t>
      </w:r>
      <w:r w:rsidRPr="000D06CF">
        <w:rPr>
          <w:color w:val="000000" w:themeColor="text1"/>
          <w:lang w:val="fr-FR"/>
        </w:rPr>
        <w:t>approuver le mandat de l’étude théorique sur l’évaluation de l’efficacité énergétique dans le secteur de l’entretien, contenu dans le document</w:t>
      </w:r>
      <w:r w:rsidR="0099339F">
        <w:rPr>
          <w:color w:val="000000" w:themeColor="text1"/>
          <w:lang w:val="fr-FR"/>
        </w:rPr>
        <w:t> </w:t>
      </w:r>
      <w:r w:rsidR="00712E72" w:rsidRPr="000D06CF">
        <w:rPr>
          <w:lang w:val="fr-FR"/>
        </w:rPr>
        <w:t>UNEP/OzL.Pro/ExCom/83/10.</w:t>
      </w:r>
      <w:r w:rsidR="00712E72" w:rsidRPr="000D06CF">
        <w:rPr>
          <w:color w:val="000000" w:themeColor="text1"/>
          <w:lang w:val="fr-FR"/>
        </w:rPr>
        <w:t xml:space="preserve"> </w:t>
      </w:r>
    </w:p>
    <w:p w14:paraId="48020AB4" w14:textId="2B9425E0" w:rsidR="00712E72" w:rsidRPr="00944BFF" w:rsidRDefault="00276BC8" w:rsidP="00276BC8">
      <w:pPr>
        <w:pStyle w:val="Heading1"/>
        <w:numPr>
          <w:ilvl w:val="0"/>
          <w:numId w:val="0"/>
        </w:numPr>
        <w:rPr>
          <w:b/>
          <w:lang w:val="fr-FR"/>
        </w:rPr>
      </w:pPr>
      <w:r>
        <w:rPr>
          <w:b/>
          <w:lang w:val="fr-FR"/>
        </w:rPr>
        <w:lastRenderedPageBreak/>
        <w:t>7.</w:t>
      </w:r>
      <w:r>
        <w:rPr>
          <w:b/>
          <w:lang w:val="fr-FR"/>
        </w:rPr>
        <w:tab/>
      </w:r>
      <w:r w:rsidR="00FB40BB" w:rsidRPr="00944BFF">
        <w:rPr>
          <w:b/>
          <w:lang w:val="fr-FR"/>
        </w:rPr>
        <w:t xml:space="preserve">Mise en oeuvre du programme </w:t>
      </w:r>
    </w:p>
    <w:p w14:paraId="11617F0C" w14:textId="214D613F" w:rsidR="00712E72" w:rsidRPr="00944BFF" w:rsidRDefault="000D06CF" w:rsidP="000D06CF">
      <w:pPr>
        <w:pStyle w:val="Heading2"/>
        <w:widowControl/>
        <w:numPr>
          <w:ilvl w:val="0"/>
          <w:numId w:val="0"/>
        </w:numPr>
        <w:ind w:left="1440" w:hanging="720"/>
        <w:rPr>
          <w:b/>
          <w:lang w:val="fr-FR"/>
        </w:rPr>
      </w:pPr>
      <w:r>
        <w:rPr>
          <w:b/>
          <w:lang w:val="fr-FR"/>
        </w:rPr>
        <w:t>a)</w:t>
      </w:r>
      <w:r>
        <w:rPr>
          <w:b/>
          <w:lang w:val="fr-FR"/>
        </w:rPr>
        <w:tab/>
      </w:r>
      <w:r w:rsidR="00FB40BB" w:rsidRPr="00944BFF">
        <w:rPr>
          <w:b/>
          <w:lang w:val="fr-FR"/>
        </w:rPr>
        <w:t xml:space="preserve">Rapports de situation et rapports sur les projets comportant des exigences particulières de remise de rapports </w:t>
      </w:r>
    </w:p>
    <w:p w14:paraId="6453B929" w14:textId="6B138462" w:rsidR="00712E72" w:rsidRPr="00944BFF" w:rsidRDefault="00FB40BB" w:rsidP="00712E72">
      <w:pPr>
        <w:spacing w:after="240"/>
        <w:ind w:left="709"/>
        <w:rPr>
          <w:color w:val="000000" w:themeColor="text1"/>
          <w:lang w:val="fr-FR"/>
        </w:rPr>
      </w:pPr>
      <w:r w:rsidRPr="00944BFF">
        <w:rPr>
          <w:color w:val="000000" w:themeColor="text1"/>
          <w:szCs w:val="24"/>
          <w:lang w:val="fr-FR"/>
        </w:rPr>
        <w:t xml:space="preserve">Le </w:t>
      </w:r>
      <w:r w:rsidRPr="00944BFF">
        <w:rPr>
          <w:color w:val="000000" w:themeColor="text1"/>
          <w:szCs w:val="24"/>
          <w:u w:val="single"/>
          <w:lang w:val="fr-FR"/>
        </w:rPr>
        <w:t>d</w:t>
      </w:r>
      <w:r w:rsidR="00712E72" w:rsidRPr="00944BFF">
        <w:rPr>
          <w:color w:val="000000" w:themeColor="text1"/>
          <w:szCs w:val="24"/>
          <w:u w:val="single"/>
          <w:lang w:val="fr-FR"/>
        </w:rPr>
        <w:t>ocument UNEP/OzL.Pro/ExCom/83/11</w:t>
      </w:r>
      <w:r w:rsidR="00712E72" w:rsidRPr="00944BFF">
        <w:rPr>
          <w:color w:val="000000" w:themeColor="text1"/>
          <w:szCs w:val="24"/>
          <w:lang w:val="fr-FR"/>
        </w:rPr>
        <w:t xml:space="preserve"> </w:t>
      </w:r>
      <w:r w:rsidRPr="00944BFF">
        <w:rPr>
          <w:color w:val="000000" w:themeColor="text1"/>
          <w:szCs w:val="24"/>
          <w:lang w:val="fr-FR"/>
        </w:rPr>
        <w:t xml:space="preserve">traite des projets et activités pour lesquels des rapports de situation ou des rapports particuliers </w:t>
      </w:r>
      <w:r w:rsidR="000D06CF">
        <w:rPr>
          <w:color w:val="000000" w:themeColor="text1"/>
          <w:lang w:val="fr-FR"/>
        </w:rPr>
        <w:t>ont été demandés lors de</w:t>
      </w:r>
      <w:r w:rsidRPr="00944BFF">
        <w:rPr>
          <w:color w:val="000000" w:themeColor="text1"/>
          <w:lang w:val="fr-FR"/>
        </w:rPr>
        <w:t xml:space="preserve"> réunions précédentes et de</w:t>
      </w:r>
      <w:r w:rsidR="005B7870">
        <w:rPr>
          <w:color w:val="000000" w:themeColor="text1"/>
          <w:lang w:val="fr-FR"/>
        </w:rPr>
        <w:t>s projets et activités</w:t>
      </w:r>
      <w:r w:rsidRPr="00944BFF">
        <w:rPr>
          <w:color w:val="000000" w:themeColor="text1"/>
          <w:lang w:val="fr-FR"/>
        </w:rPr>
        <w:t xml:space="preserve"> qui requièrent l’attention du Comité exécutif.</w:t>
      </w:r>
      <w:r w:rsidR="00712E72" w:rsidRPr="00944BFF">
        <w:rPr>
          <w:color w:val="000000" w:themeColor="text1"/>
          <w:lang w:val="fr-FR"/>
        </w:rPr>
        <w:t xml:space="preserve"> </w:t>
      </w:r>
      <w:r w:rsidR="005B7870">
        <w:rPr>
          <w:color w:val="000000" w:themeColor="text1"/>
          <w:lang w:val="fr-FR"/>
        </w:rPr>
        <w:t xml:space="preserve"> </w:t>
      </w:r>
      <w:r w:rsidRPr="00944BFF">
        <w:rPr>
          <w:color w:val="000000" w:themeColor="text1"/>
          <w:lang w:val="fr-FR"/>
        </w:rPr>
        <w:t>Ce document se compose des sept parties suivante</w:t>
      </w:r>
      <w:r w:rsidR="00712E72" w:rsidRPr="00944BFF">
        <w:rPr>
          <w:color w:val="000000" w:themeColor="text1"/>
          <w:lang w:val="fr-FR"/>
        </w:rPr>
        <w:t>s</w:t>
      </w:r>
      <w:r w:rsidRPr="00944BFF">
        <w:rPr>
          <w:color w:val="000000" w:themeColor="text1"/>
          <w:lang w:val="fr-FR"/>
        </w:rPr>
        <w:t xml:space="preserve"> </w:t>
      </w:r>
      <w:r w:rsidR="00712E72" w:rsidRPr="00944BFF">
        <w:rPr>
          <w:color w:val="000000" w:themeColor="text1"/>
          <w:lang w:val="fr-FR"/>
        </w:rPr>
        <w:t xml:space="preserve">: </w:t>
      </w:r>
    </w:p>
    <w:p w14:paraId="7AF356DF" w14:textId="00657124" w:rsidR="00712E72" w:rsidRPr="00944BFF" w:rsidRDefault="00BB389A" w:rsidP="00712E72">
      <w:pPr>
        <w:tabs>
          <w:tab w:val="left" w:pos="2694"/>
        </w:tabs>
        <w:spacing w:after="240"/>
        <w:ind w:left="2410" w:hanging="992"/>
        <w:rPr>
          <w:lang w:val="fr-FR"/>
        </w:rPr>
      </w:pPr>
      <w:r w:rsidRPr="00944BFF">
        <w:rPr>
          <w:lang w:val="fr-FR"/>
        </w:rPr>
        <w:t xml:space="preserve">Partie </w:t>
      </w:r>
      <w:r w:rsidR="00712E72" w:rsidRPr="00944BFF">
        <w:rPr>
          <w:lang w:val="fr-FR"/>
        </w:rPr>
        <w:t>I:</w:t>
      </w:r>
      <w:r w:rsidR="00712E72" w:rsidRPr="00944BFF">
        <w:rPr>
          <w:lang w:val="fr-FR"/>
        </w:rPr>
        <w:tab/>
      </w:r>
      <w:r w:rsidRPr="00944BFF">
        <w:rPr>
          <w:lang w:val="fr-FR"/>
        </w:rPr>
        <w:t>Proje</w:t>
      </w:r>
      <w:r w:rsidR="00712E72" w:rsidRPr="00944BFF">
        <w:rPr>
          <w:lang w:val="fr-FR"/>
        </w:rPr>
        <w:t xml:space="preserve">ts </w:t>
      </w:r>
      <w:r w:rsidRPr="00944BFF">
        <w:rPr>
          <w:lang w:val="fr-FR"/>
        </w:rPr>
        <w:t xml:space="preserve">avec des retards de mise en oeuvre et pour lesquels des rapports de situation spéciaux ont été demandés  </w:t>
      </w:r>
    </w:p>
    <w:p w14:paraId="6458A850" w14:textId="32A65C41" w:rsidR="00712E72" w:rsidRPr="00944BFF" w:rsidRDefault="00712E72" w:rsidP="00712E72">
      <w:pPr>
        <w:tabs>
          <w:tab w:val="left" w:pos="2410"/>
        </w:tabs>
        <w:spacing w:after="240"/>
        <w:ind w:left="1440" w:hanging="22"/>
        <w:rPr>
          <w:lang w:val="fr-FR"/>
        </w:rPr>
      </w:pPr>
      <w:r w:rsidRPr="00944BFF">
        <w:rPr>
          <w:lang w:val="fr-FR"/>
        </w:rPr>
        <w:t>Part</w:t>
      </w:r>
      <w:r w:rsidR="00BB389A" w:rsidRPr="00944BFF">
        <w:rPr>
          <w:lang w:val="fr-FR"/>
        </w:rPr>
        <w:t>ie</w:t>
      </w:r>
      <w:r w:rsidRPr="00944BFF">
        <w:rPr>
          <w:lang w:val="fr-FR"/>
        </w:rPr>
        <w:t xml:space="preserve"> II:</w:t>
      </w:r>
      <w:r w:rsidRPr="00944BFF">
        <w:rPr>
          <w:lang w:val="fr-FR"/>
        </w:rPr>
        <w:tab/>
      </w:r>
      <w:r w:rsidR="00BB389A" w:rsidRPr="00944BFF">
        <w:rPr>
          <w:lang w:val="fr-FR"/>
        </w:rPr>
        <w:t>Projets de destruction des SA</w:t>
      </w:r>
      <w:r w:rsidRPr="00944BFF">
        <w:rPr>
          <w:lang w:val="fr-FR"/>
        </w:rPr>
        <w:t>O</w:t>
      </w:r>
      <w:r w:rsidR="00BB389A" w:rsidRPr="00944BFF">
        <w:rPr>
          <w:lang w:val="fr-FR"/>
        </w:rPr>
        <w:t xml:space="preserve"> résiduaires </w:t>
      </w:r>
      <w:r w:rsidRPr="00944BFF">
        <w:rPr>
          <w:lang w:val="fr-FR"/>
        </w:rPr>
        <w:t xml:space="preserve"> </w:t>
      </w:r>
    </w:p>
    <w:p w14:paraId="383DF648" w14:textId="64A22F98" w:rsidR="00712E72" w:rsidRPr="00944BFF" w:rsidRDefault="00712E72" w:rsidP="00712E72">
      <w:pPr>
        <w:tabs>
          <w:tab w:val="left" w:pos="2410"/>
        </w:tabs>
        <w:spacing w:after="240"/>
        <w:ind w:left="2410" w:hanging="992"/>
        <w:rPr>
          <w:lang w:val="fr-FR"/>
        </w:rPr>
      </w:pPr>
      <w:r w:rsidRPr="00944BFF">
        <w:rPr>
          <w:lang w:val="fr-FR"/>
        </w:rPr>
        <w:t>Part</w:t>
      </w:r>
      <w:r w:rsidR="00BB389A" w:rsidRPr="00944BFF">
        <w:rPr>
          <w:lang w:val="fr-FR"/>
        </w:rPr>
        <w:t>ie</w:t>
      </w:r>
      <w:r w:rsidRPr="00944BFF">
        <w:rPr>
          <w:lang w:val="fr-FR"/>
        </w:rPr>
        <w:t xml:space="preserve"> III:</w:t>
      </w:r>
      <w:r w:rsidRPr="00944BFF">
        <w:rPr>
          <w:lang w:val="fr-FR"/>
        </w:rPr>
        <w:tab/>
      </w:r>
      <w:r w:rsidR="006F7C97" w:rsidRPr="00944BFF">
        <w:rPr>
          <w:lang w:val="fr-FR"/>
        </w:rPr>
        <w:t>Utilisation temporaire d’une technologie à</w:t>
      </w:r>
      <w:r w:rsidR="00AF0916" w:rsidRPr="00944BFF">
        <w:rPr>
          <w:lang w:val="fr-FR"/>
        </w:rPr>
        <w:t xml:space="preserve"> potentiel élevé de réchauffeme</w:t>
      </w:r>
      <w:r w:rsidR="006F7C97" w:rsidRPr="00944BFF">
        <w:rPr>
          <w:lang w:val="fr-FR"/>
        </w:rPr>
        <w:t>n</w:t>
      </w:r>
      <w:r w:rsidR="00AF0916" w:rsidRPr="00944BFF">
        <w:rPr>
          <w:lang w:val="fr-FR"/>
        </w:rPr>
        <w:t>t</w:t>
      </w:r>
      <w:r w:rsidR="006F7C97" w:rsidRPr="00944BFF">
        <w:rPr>
          <w:lang w:val="fr-FR"/>
        </w:rPr>
        <w:t xml:space="preserve"> de la planète dans des projets approuvés </w:t>
      </w:r>
    </w:p>
    <w:p w14:paraId="3C1DED3E" w14:textId="19A8445D" w:rsidR="00712E72" w:rsidRPr="00944BFF" w:rsidRDefault="00712E72" w:rsidP="00712E72">
      <w:pPr>
        <w:tabs>
          <w:tab w:val="left" w:pos="2410"/>
        </w:tabs>
        <w:spacing w:after="240"/>
        <w:ind w:left="1440"/>
        <w:rPr>
          <w:lang w:val="fr-FR"/>
        </w:rPr>
      </w:pPr>
      <w:r w:rsidRPr="00944BFF">
        <w:rPr>
          <w:lang w:val="fr-FR"/>
        </w:rPr>
        <w:t>Part</w:t>
      </w:r>
      <w:r w:rsidR="006F7C97" w:rsidRPr="00944BFF">
        <w:rPr>
          <w:lang w:val="fr-FR"/>
        </w:rPr>
        <w:t>ie</w:t>
      </w:r>
      <w:r w:rsidRPr="00944BFF">
        <w:rPr>
          <w:lang w:val="fr-FR"/>
        </w:rPr>
        <w:t xml:space="preserve"> IV:</w:t>
      </w:r>
      <w:r w:rsidRPr="00944BFF">
        <w:rPr>
          <w:lang w:val="fr-FR"/>
        </w:rPr>
        <w:tab/>
        <w:t>R</w:t>
      </w:r>
      <w:r w:rsidR="006F7C97" w:rsidRPr="00944BFF">
        <w:rPr>
          <w:lang w:val="fr-FR"/>
        </w:rPr>
        <w:t xml:space="preserve">apports concernant les plans de gestion de l’élimination des </w:t>
      </w:r>
      <w:r w:rsidRPr="00944BFF">
        <w:rPr>
          <w:lang w:val="fr-FR"/>
        </w:rPr>
        <w:t>HCFC (</w:t>
      </w:r>
      <w:r w:rsidR="006F7C97" w:rsidRPr="00944BFF">
        <w:rPr>
          <w:lang w:val="fr-FR"/>
        </w:rPr>
        <w:t>PGEH</w:t>
      </w:r>
      <w:r w:rsidRPr="00944BFF">
        <w:rPr>
          <w:lang w:val="fr-FR"/>
        </w:rPr>
        <w:t>)</w:t>
      </w:r>
    </w:p>
    <w:p w14:paraId="63232921" w14:textId="073BF85A" w:rsidR="00712E72" w:rsidRPr="00944BFF" w:rsidRDefault="00712E72" w:rsidP="00712E72">
      <w:pPr>
        <w:tabs>
          <w:tab w:val="left" w:pos="2694"/>
        </w:tabs>
        <w:spacing w:after="240"/>
        <w:ind w:left="2410" w:hanging="992"/>
        <w:rPr>
          <w:lang w:val="fr-FR"/>
        </w:rPr>
      </w:pPr>
      <w:r w:rsidRPr="00944BFF">
        <w:rPr>
          <w:lang w:val="fr-FR"/>
        </w:rPr>
        <w:t>Part</w:t>
      </w:r>
      <w:r w:rsidR="006F7C97" w:rsidRPr="00944BFF">
        <w:rPr>
          <w:lang w:val="fr-FR"/>
        </w:rPr>
        <w:t>ie</w:t>
      </w:r>
      <w:r w:rsidRPr="00944BFF">
        <w:rPr>
          <w:lang w:val="fr-FR"/>
        </w:rPr>
        <w:t xml:space="preserve"> V:</w:t>
      </w:r>
      <w:r w:rsidRPr="00944BFF">
        <w:rPr>
          <w:lang w:val="fr-FR"/>
        </w:rPr>
        <w:tab/>
      </w:r>
      <w:r w:rsidR="006F7C97" w:rsidRPr="00944BFF">
        <w:rPr>
          <w:lang w:val="fr-FR"/>
        </w:rPr>
        <w:t>Projets de dé</w:t>
      </w:r>
      <w:r w:rsidRPr="00944BFF">
        <w:rPr>
          <w:lang w:val="fr-FR"/>
        </w:rPr>
        <w:t xml:space="preserve">monstration </w:t>
      </w:r>
      <w:r w:rsidR="006F7C97" w:rsidRPr="00944BFF">
        <w:rPr>
          <w:lang w:val="fr-FR"/>
        </w:rPr>
        <w:t>sur des solutions de remplacement à faible potentiel de réchauffement de la planète et étu</w:t>
      </w:r>
      <w:r w:rsidR="00995EE7" w:rsidRPr="00944BFF">
        <w:rPr>
          <w:lang w:val="fr-FR"/>
        </w:rPr>
        <w:t>d</w:t>
      </w:r>
      <w:r w:rsidR="006F7C97" w:rsidRPr="00944BFF">
        <w:rPr>
          <w:lang w:val="fr-FR"/>
        </w:rPr>
        <w:t>es de faisabilité sur le refroidissement urbain</w:t>
      </w:r>
      <w:r w:rsidR="00E3769E">
        <w:rPr>
          <w:lang w:val="fr-FR"/>
        </w:rPr>
        <w:t xml:space="preserve"> (dé</w:t>
      </w:r>
      <w:r w:rsidRPr="00944BFF">
        <w:rPr>
          <w:lang w:val="fr-FR"/>
        </w:rPr>
        <w:t>cision 72/40)</w:t>
      </w:r>
    </w:p>
    <w:p w14:paraId="56EDCD60" w14:textId="6A7F90D0" w:rsidR="00712E72" w:rsidRPr="00944BFF" w:rsidRDefault="006F7C97" w:rsidP="00712E72">
      <w:pPr>
        <w:tabs>
          <w:tab w:val="left" w:pos="2694"/>
        </w:tabs>
        <w:spacing w:after="240"/>
        <w:ind w:left="2410" w:hanging="992"/>
        <w:rPr>
          <w:lang w:val="fr-FR"/>
        </w:rPr>
      </w:pPr>
      <w:r w:rsidRPr="00944BFF">
        <w:rPr>
          <w:lang w:val="fr-FR"/>
        </w:rPr>
        <w:t xml:space="preserve">Partie </w:t>
      </w:r>
      <w:r w:rsidR="00712E72" w:rsidRPr="00944BFF">
        <w:rPr>
          <w:lang w:val="fr-FR"/>
        </w:rPr>
        <w:t>VI:</w:t>
      </w:r>
      <w:r w:rsidR="00712E72" w:rsidRPr="00944BFF">
        <w:rPr>
          <w:lang w:val="fr-FR"/>
        </w:rPr>
        <w:tab/>
        <w:t>Change</w:t>
      </w:r>
      <w:r w:rsidRPr="00944BFF">
        <w:rPr>
          <w:lang w:val="fr-FR"/>
        </w:rPr>
        <w:t>ment d’agence d’exécution pour la phase</w:t>
      </w:r>
      <w:r w:rsidR="00712E72" w:rsidRPr="00944BFF">
        <w:rPr>
          <w:lang w:val="fr-FR"/>
        </w:rPr>
        <w:t xml:space="preserve"> II </w:t>
      </w:r>
      <w:r w:rsidRPr="00944BFF">
        <w:rPr>
          <w:lang w:val="fr-FR"/>
        </w:rPr>
        <w:t xml:space="preserve">du PGEH et activités </w:t>
      </w:r>
      <w:r w:rsidR="00D64741">
        <w:rPr>
          <w:lang w:val="fr-FR"/>
        </w:rPr>
        <w:t>de facilitation</w:t>
      </w:r>
      <w:r w:rsidRPr="00944BFF">
        <w:rPr>
          <w:lang w:val="fr-FR"/>
        </w:rPr>
        <w:t xml:space="preserve"> pour la réduction progressive des</w:t>
      </w:r>
      <w:r w:rsidR="00712E72" w:rsidRPr="00944BFF">
        <w:rPr>
          <w:lang w:val="fr-FR"/>
        </w:rPr>
        <w:t xml:space="preserve"> HFC </w:t>
      </w:r>
      <w:r w:rsidRPr="00944BFF">
        <w:rPr>
          <w:lang w:val="fr-FR"/>
        </w:rPr>
        <w:t>aux</w:t>
      </w:r>
      <w:r w:rsidR="00712E72" w:rsidRPr="00944BFF">
        <w:rPr>
          <w:lang w:val="fr-FR"/>
        </w:rPr>
        <w:t xml:space="preserve"> Philippines </w:t>
      </w:r>
    </w:p>
    <w:p w14:paraId="7BECB569" w14:textId="46F15208" w:rsidR="00712E72" w:rsidRPr="00944BFF" w:rsidRDefault="00712E72" w:rsidP="00712E72">
      <w:pPr>
        <w:tabs>
          <w:tab w:val="left" w:pos="2410"/>
        </w:tabs>
        <w:spacing w:after="240"/>
        <w:ind w:left="1440" w:hanging="22"/>
        <w:rPr>
          <w:lang w:val="fr-FR"/>
        </w:rPr>
      </w:pPr>
      <w:r w:rsidRPr="00944BFF">
        <w:rPr>
          <w:lang w:val="fr-FR"/>
        </w:rPr>
        <w:t>Part</w:t>
      </w:r>
      <w:r w:rsidR="006F7C97" w:rsidRPr="00944BFF">
        <w:rPr>
          <w:lang w:val="fr-FR"/>
        </w:rPr>
        <w:t>ie</w:t>
      </w:r>
      <w:r w:rsidRPr="00944BFF">
        <w:rPr>
          <w:lang w:val="fr-FR"/>
        </w:rPr>
        <w:t xml:space="preserve"> VII:</w:t>
      </w:r>
      <w:r w:rsidRPr="00944BFF">
        <w:rPr>
          <w:lang w:val="fr-FR"/>
        </w:rPr>
        <w:tab/>
      </w:r>
      <w:r w:rsidR="00D64741">
        <w:rPr>
          <w:lang w:val="fr-FR"/>
        </w:rPr>
        <w:t>Demandes de prolongation d’</w:t>
      </w:r>
      <w:r w:rsidR="006F7C97" w:rsidRPr="00944BFF">
        <w:rPr>
          <w:lang w:val="fr-FR"/>
        </w:rPr>
        <w:t xml:space="preserve">activités </w:t>
      </w:r>
      <w:r w:rsidR="00D64741">
        <w:rPr>
          <w:lang w:val="fr-FR"/>
        </w:rPr>
        <w:t xml:space="preserve">de facilitation </w:t>
      </w:r>
    </w:p>
    <w:p w14:paraId="42F87FAB" w14:textId="29C23D02" w:rsidR="00712E72" w:rsidRPr="00944BFF" w:rsidRDefault="006F7C97" w:rsidP="00712E72">
      <w:pPr>
        <w:spacing w:after="240"/>
        <w:ind w:left="709"/>
        <w:rPr>
          <w:lang w:val="fr-FR"/>
        </w:rPr>
      </w:pPr>
      <w:r w:rsidRPr="00944BFF">
        <w:rPr>
          <w:lang w:val="fr-FR"/>
        </w:rPr>
        <w:t xml:space="preserve">Chacune des sept parties est présentée ci-dessous </w:t>
      </w:r>
      <w:r w:rsidR="00712E72" w:rsidRPr="00944BFF">
        <w:rPr>
          <w:lang w:val="fr-FR"/>
        </w:rPr>
        <w:t>:</w:t>
      </w:r>
    </w:p>
    <w:p w14:paraId="5246AD25" w14:textId="3A579738" w:rsidR="00712E72" w:rsidRPr="00944BFF" w:rsidRDefault="00712E72" w:rsidP="00712E72">
      <w:pPr>
        <w:spacing w:after="240"/>
        <w:ind w:left="709"/>
        <w:rPr>
          <w:i/>
          <w:lang w:val="fr-FR"/>
        </w:rPr>
      </w:pPr>
      <w:r w:rsidRPr="00944BFF">
        <w:rPr>
          <w:i/>
          <w:lang w:val="fr-FR"/>
        </w:rPr>
        <w:t>Part</w:t>
      </w:r>
      <w:r w:rsidR="006F7C97" w:rsidRPr="00944BFF">
        <w:rPr>
          <w:i/>
          <w:lang w:val="fr-FR"/>
        </w:rPr>
        <w:t>ie I: Proje</w:t>
      </w:r>
      <w:r w:rsidRPr="00944BFF">
        <w:rPr>
          <w:i/>
          <w:lang w:val="fr-FR"/>
        </w:rPr>
        <w:t xml:space="preserve">ts </w:t>
      </w:r>
      <w:r w:rsidR="006F7C97" w:rsidRPr="00944BFF">
        <w:rPr>
          <w:i/>
          <w:lang w:val="fr-FR"/>
        </w:rPr>
        <w:t xml:space="preserve">avec des retards de mise en oeuvre et pour lesquels des rapports de situation spéciaux ont été demandés </w:t>
      </w:r>
      <w:r w:rsidRPr="00944BFF">
        <w:rPr>
          <w:i/>
          <w:lang w:val="fr-FR"/>
        </w:rPr>
        <w:t xml:space="preserve"> (paragraph</w:t>
      </w:r>
      <w:r w:rsidR="00294BB4" w:rsidRPr="00944BFF">
        <w:rPr>
          <w:i/>
          <w:lang w:val="fr-FR"/>
        </w:rPr>
        <w:t>e</w:t>
      </w:r>
      <w:r w:rsidRPr="00944BFF">
        <w:rPr>
          <w:i/>
          <w:lang w:val="fr-FR"/>
        </w:rPr>
        <w:t>s 4-6)</w:t>
      </w:r>
    </w:p>
    <w:p w14:paraId="7C6D3F1A" w14:textId="7B26F2B3" w:rsidR="00712E72" w:rsidRPr="00944BFF" w:rsidRDefault="00294BB4" w:rsidP="00712E72">
      <w:pPr>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r w:rsidRPr="00944BFF">
        <w:rPr>
          <w:color w:val="000000" w:themeColor="text1"/>
          <w:lang w:val="fr-FR"/>
        </w:rPr>
        <w:t>Aucu</w:t>
      </w:r>
      <w:r w:rsidR="00712E72" w:rsidRPr="00944BFF">
        <w:rPr>
          <w:color w:val="000000" w:themeColor="text1"/>
          <w:lang w:val="fr-FR"/>
        </w:rPr>
        <w:t>ne</w:t>
      </w:r>
    </w:p>
    <w:p w14:paraId="061AC069" w14:textId="418F23BC" w:rsidR="00712E72" w:rsidRPr="00BD2172" w:rsidRDefault="00294BB4" w:rsidP="00712E72">
      <w:pPr>
        <w:pStyle w:val="Heading1"/>
        <w:numPr>
          <w:ilvl w:val="0"/>
          <w:numId w:val="0"/>
        </w:numPr>
        <w:spacing w:after="0"/>
        <w:ind w:left="709"/>
        <w:rPr>
          <w:color w:val="000000" w:themeColor="text1"/>
          <w:lang w:val="fr-FR"/>
        </w:rPr>
      </w:pPr>
      <w:r w:rsidRPr="00BD2172">
        <w:rPr>
          <w:color w:val="000000" w:themeColor="text1"/>
          <w:u w:val="single"/>
          <w:lang w:val="fr-FR"/>
        </w:rPr>
        <w:t>L</w:t>
      </w:r>
      <w:r w:rsidR="00712E72" w:rsidRPr="00BD2172">
        <w:rPr>
          <w:color w:val="000000" w:themeColor="text1"/>
          <w:u w:val="single"/>
          <w:lang w:val="fr-FR"/>
        </w:rPr>
        <w:t>e</w:t>
      </w:r>
      <w:r w:rsidRPr="00BD2172">
        <w:rPr>
          <w:color w:val="000000" w:themeColor="text1"/>
          <w:u w:val="single"/>
          <w:lang w:val="fr-FR"/>
        </w:rPr>
        <w:t xml:space="preserve"> Comité exécutif pourrait souhaiter </w:t>
      </w:r>
      <w:r w:rsidR="00712E72" w:rsidRPr="00BD2172">
        <w:rPr>
          <w:color w:val="000000" w:themeColor="text1"/>
          <w:lang w:val="fr-FR"/>
        </w:rPr>
        <w:t xml:space="preserve">: </w:t>
      </w:r>
    </w:p>
    <w:p w14:paraId="4B542847" w14:textId="77777777" w:rsidR="00712E72" w:rsidRPr="00BD2172" w:rsidRDefault="00712E72" w:rsidP="00712E72">
      <w:pPr>
        <w:rPr>
          <w:lang w:val="fr-FR"/>
        </w:rPr>
      </w:pPr>
    </w:p>
    <w:p w14:paraId="769A051B" w14:textId="7D689739" w:rsidR="00712E72" w:rsidRPr="00BD2172" w:rsidRDefault="007D3305" w:rsidP="007D3305">
      <w:pPr>
        <w:pStyle w:val="Heading2"/>
        <w:numPr>
          <w:ilvl w:val="0"/>
          <w:numId w:val="0"/>
        </w:numPr>
        <w:tabs>
          <w:tab w:val="num" w:pos="557"/>
        </w:tabs>
        <w:ind w:left="1440" w:hanging="720"/>
        <w:rPr>
          <w:lang w:val="fr-FR"/>
        </w:rPr>
      </w:pPr>
      <w:r>
        <w:rPr>
          <w:lang w:val="fr-FR"/>
        </w:rPr>
        <w:t>a)</w:t>
      </w:r>
      <w:r>
        <w:rPr>
          <w:lang w:val="fr-FR"/>
        </w:rPr>
        <w:tab/>
      </w:r>
      <w:r w:rsidR="00294BB4" w:rsidRPr="00BD2172">
        <w:rPr>
          <w:lang w:val="fr-FR"/>
        </w:rPr>
        <w:t>Prendre</w:t>
      </w:r>
      <w:r w:rsidR="00712E72" w:rsidRPr="00BD2172">
        <w:rPr>
          <w:lang w:val="fr-FR"/>
        </w:rPr>
        <w:t xml:space="preserve"> note:</w:t>
      </w:r>
    </w:p>
    <w:p w14:paraId="0DC2CA6F" w14:textId="13F71C6A" w:rsidR="00712E72" w:rsidRPr="00BD2172" w:rsidRDefault="007D3305" w:rsidP="007D3305">
      <w:pPr>
        <w:pStyle w:val="Heading3"/>
        <w:numPr>
          <w:ilvl w:val="0"/>
          <w:numId w:val="0"/>
        </w:numPr>
        <w:ind w:left="2160" w:hanging="720"/>
        <w:rPr>
          <w:lang w:val="fr-FR"/>
        </w:rPr>
      </w:pPr>
      <w:r>
        <w:rPr>
          <w:lang w:val="fr-FR"/>
        </w:rPr>
        <w:t>i)</w:t>
      </w:r>
      <w:r>
        <w:rPr>
          <w:lang w:val="fr-FR"/>
        </w:rPr>
        <w:tab/>
      </w:r>
      <w:r w:rsidR="00294BB4" w:rsidRPr="00BD2172">
        <w:rPr>
          <w:lang w:val="fr-FR"/>
        </w:rPr>
        <w:t>Des rapports de situation remis par les agences bilatérales et d’exécution à la 8</w:t>
      </w:r>
      <w:r>
        <w:rPr>
          <w:lang w:val="fr-FR"/>
        </w:rPr>
        <w:t>3</w:t>
      </w:r>
      <w:r w:rsidRPr="007D3305">
        <w:rPr>
          <w:vertAlign w:val="superscript"/>
          <w:lang w:val="fr-FR"/>
        </w:rPr>
        <w:t>e</w:t>
      </w:r>
      <w:r w:rsidR="002F1864">
        <w:rPr>
          <w:vertAlign w:val="superscript"/>
          <w:lang w:val="fr-FR"/>
        </w:rPr>
        <w:t> </w:t>
      </w:r>
      <w:r w:rsidR="00294BB4" w:rsidRPr="00BD2172">
        <w:rPr>
          <w:lang w:val="fr-FR"/>
        </w:rPr>
        <w:t>réunion, contenus dans le</w:t>
      </w:r>
      <w:r w:rsidR="00712E72" w:rsidRPr="00BD2172">
        <w:rPr>
          <w:lang w:val="fr-FR"/>
        </w:rPr>
        <w:t xml:space="preserve"> document UNEP/OzL.Pro/ExCom/83/11; </w:t>
      </w:r>
    </w:p>
    <w:p w14:paraId="04DCADEA" w14:textId="0D4244A0" w:rsidR="00712E72" w:rsidRPr="00BD2172" w:rsidRDefault="008D48A2" w:rsidP="008D48A2">
      <w:pPr>
        <w:pStyle w:val="Heading3"/>
        <w:numPr>
          <w:ilvl w:val="0"/>
          <w:numId w:val="0"/>
        </w:numPr>
        <w:ind w:left="2160" w:hanging="720"/>
        <w:rPr>
          <w:lang w:val="fr-FR"/>
        </w:rPr>
      </w:pPr>
      <w:r>
        <w:rPr>
          <w:lang w:val="fr-FR"/>
        </w:rPr>
        <w:t>ii)</w:t>
      </w:r>
      <w:r>
        <w:rPr>
          <w:lang w:val="fr-FR"/>
        </w:rPr>
        <w:tab/>
      </w:r>
      <w:r w:rsidR="00294BB4" w:rsidRPr="00BD2172">
        <w:rPr>
          <w:lang w:val="fr-FR"/>
        </w:rPr>
        <w:t>Que les agences bilatérales et d’exécution feront rapport à la 8</w:t>
      </w:r>
      <w:r w:rsidR="007D3305">
        <w:rPr>
          <w:lang w:val="fr-FR"/>
        </w:rPr>
        <w:t>4</w:t>
      </w:r>
      <w:r w:rsidR="007D3305">
        <w:rPr>
          <w:vertAlign w:val="superscript"/>
          <w:lang w:val="fr-FR"/>
        </w:rPr>
        <w:t>e</w:t>
      </w:r>
      <w:r w:rsidR="00294BB4" w:rsidRPr="00BD2172">
        <w:rPr>
          <w:lang w:val="fr-FR"/>
        </w:rPr>
        <w:t xml:space="preserve"> réunion sur 54 proje</w:t>
      </w:r>
      <w:r w:rsidR="00712E72" w:rsidRPr="00BD2172">
        <w:rPr>
          <w:lang w:val="fr-FR"/>
        </w:rPr>
        <w:t xml:space="preserve">ts </w:t>
      </w:r>
      <w:r w:rsidR="00294BB4" w:rsidRPr="00BD2172">
        <w:rPr>
          <w:lang w:val="fr-FR"/>
        </w:rPr>
        <w:t>pour lesquels des rapports de situation additionnels ont été recommandés, tel qu’indiqué à l’A</w:t>
      </w:r>
      <w:r w:rsidR="00712E72" w:rsidRPr="00BD2172">
        <w:rPr>
          <w:lang w:val="fr-FR"/>
        </w:rPr>
        <w:t>nnex</w:t>
      </w:r>
      <w:r w:rsidR="00294BB4" w:rsidRPr="00BD2172">
        <w:rPr>
          <w:lang w:val="fr-FR"/>
        </w:rPr>
        <w:t>e</w:t>
      </w:r>
      <w:r w:rsidR="00712E72" w:rsidRPr="00BD2172">
        <w:rPr>
          <w:lang w:val="fr-FR"/>
        </w:rPr>
        <w:t xml:space="preserve"> I </w:t>
      </w:r>
      <w:r w:rsidR="00294BB4" w:rsidRPr="00BD2172">
        <w:rPr>
          <w:lang w:val="fr-FR"/>
        </w:rPr>
        <w:t xml:space="preserve">au </w:t>
      </w:r>
      <w:r w:rsidR="00712E72" w:rsidRPr="00BD2172">
        <w:rPr>
          <w:lang w:val="fr-FR"/>
        </w:rPr>
        <w:t>document</w:t>
      </w:r>
      <w:r w:rsidR="002F1864">
        <w:rPr>
          <w:lang w:val="fr-FR"/>
        </w:rPr>
        <w:t> </w:t>
      </w:r>
      <w:r w:rsidR="00712E72" w:rsidRPr="00BD2172">
        <w:rPr>
          <w:lang w:val="fr-FR"/>
        </w:rPr>
        <w:t>UNEP/OzL.Pro/ExCom/83/1</w:t>
      </w:r>
      <w:r w:rsidR="00294BB4" w:rsidRPr="00BD2172">
        <w:rPr>
          <w:lang w:val="fr-FR"/>
        </w:rPr>
        <w:t>1</w:t>
      </w:r>
      <w:r w:rsidR="00712E72" w:rsidRPr="00BD2172">
        <w:rPr>
          <w:lang w:val="fr-FR"/>
        </w:rPr>
        <w:t xml:space="preserve">; </w:t>
      </w:r>
      <w:r w:rsidR="00294BB4" w:rsidRPr="00BD2172">
        <w:rPr>
          <w:lang w:val="fr-FR"/>
        </w:rPr>
        <w:t>et</w:t>
      </w:r>
    </w:p>
    <w:p w14:paraId="21089638" w14:textId="7B82E180" w:rsidR="00712E72" w:rsidRPr="00BD2172" w:rsidRDefault="007D3305" w:rsidP="007D3305">
      <w:pPr>
        <w:pStyle w:val="Heading2"/>
        <w:numPr>
          <w:ilvl w:val="0"/>
          <w:numId w:val="0"/>
        </w:numPr>
        <w:tabs>
          <w:tab w:val="num" w:pos="557"/>
        </w:tabs>
        <w:ind w:left="1440" w:hanging="720"/>
        <w:rPr>
          <w:lang w:val="fr-FR"/>
        </w:rPr>
      </w:pPr>
      <w:r>
        <w:rPr>
          <w:lang w:val="fr-FR"/>
        </w:rPr>
        <w:t>b)</w:t>
      </w:r>
      <w:r>
        <w:rPr>
          <w:lang w:val="fr-FR"/>
        </w:rPr>
        <w:tab/>
      </w:r>
      <w:r w:rsidR="00294BB4" w:rsidRPr="00BD2172">
        <w:rPr>
          <w:lang w:val="fr-FR"/>
        </w:rPr>
        <w:t>A</w:t>
      </w:r>
      <w:r w:rsidR="00712E72" w:rsidRPr="00BD2172">
        <w:rPr>
          <w:lang w:val="fr-FR"/>
        </w:rPr>
        <w:t>ppro</w:t>
      </w:r>
      <w:r w:rsidR="00294BB4" w:rsidRPr="00BD2172">
        <w:rPr>
          <w:lang w:val="fr-FR"/>
        </w:rPr>
        <w:t>u</w:t>
      </w:r>
      <w:r w:rsidR="00712E72" w:rsidRPr="00BD2172">
        <w:rPr>
          <w:lang w:val="fr-FR"/>
        </w:rPr>
        <w:t>ve</w:t>
      </w:r>
      <w:r w:rsidR="00294BB4" w:rsidRPr="00BD2172">
        <w:rPr>
          <w:lang w:val="fr-FR"/>
        </w:rPr>
        <w:t>r l</w:t>
      </w:r>
      <w:r w:rsidR="00712E72" w:rsidRPr="00BD2172">
        <w:rPr>
          <w:lang w:val="fr-FR"/>
        </w:rPr>
        <w:t>e</w:t>
      </w:r>
      <w:r w:rsidR="00294BB4" w:rsidRPr="00BD2172">
        <w:rPr>
          <w:lang w:val="fr-FR"/>
        </w:rPr>
        <w:t>s recomma</w:t>
      </w:r>
      <w:r w:rsidR="00712E72" w:rsidRPr="00BD2172">
        <w:rPr>
          <w:lang w:val="fr-FR"/>
        </w:rPr>
        <w:t xml:space="preserve">ndations </w:t>
      </w:r>
      <w:r w:rsidR="00294BB4" w:rsidRPr="00BD2172">
        <w:rPr>
          <w:lang w:val="fr-FR"/>
        </w:rPr>
        <w:t>sur les projets en cours, avec des enjeux particuliers, décrits dans la dernière colonne du tableau à l’</w:t>
      </w:r>
      <w:r w:rsidR="00712E72" w:rsidRPr="00BD2172">
        <w:rPr>
          <w:lang w:val="fr-FR"/>
        </w:rPr>
        <w:t>Annex</w:t>
      </w:r>
      <w:r w:rsidR="00294BB4" w:rsidRPr="00BD2172">
        <w:rPr>
          <w:lang w:val="fr-FR"/>
        </w:rPr>
        <w:t>e</w:t>
      </w:r>
      <w:r w:rsidR="00712E72" w:rsidRPr="00BD2172">
        <w:rPr>
          <w:lang w:val="fr-FR"/>
        </w:rPr>
        <w:t xml:space="preserve"> I </w:t>
      </w:r>
      <w:r w:rsidR="00294BB4" w:rsidRPr="00BD2172">
        <w:rPr>
          <w:lang w:val="fr-FR"/>
        </w:rPr>
        <w:t>au</w:t>
      </w:r>
      <w:r w:rsidR="00712E72" w:rsidRPr="00BD2172">
        <w:rPr>
          <w:lang w:val="fr-FR"/>
        </w:rPr>
        <w:t xml:space="preserve"> document</w:t>
      </w:r>
      <w:r w:rsidR="002F1864">
        <w:rPr>
          <w:lang w:val="fr-FR"/>
        </w:rPr>
        <w:t> </w:t>
      </w:r>
      <w:r w:rsidR="00712E72" w:rsidRPr="00BD2172">
        <w:rPr>
          <w:lang w:val="fr-FR"/>
        </w:rPr>
        <w:t>UNEP/OzL.Pro/ExCom/83/11.</w:t>
      </w:r>
    </w:p>
    <w:p w14:paraId="61779C43" w14:textId="4F1AC60B" w:rsidR="00712E72" w:rsidRPr="00BD2172" w:rsidRDefault="00712E72" w:rsidP="006877C9">
      <w:pPr>
        <w:keepNext/>
        <w:keepLines/>
        <w:spacing w:after="240"/>
        <w:ind w:left="706"/>
        <w:rPr>
          <w:i/>
          <w:lang w:val="fr-FR"/>
        </w:rPr>
      </w:pPr>
      <w:r w:rsidRPr="00BD2172">
        <w:rPr>
          <w:i/>
          <w:lang w:val="fr-FR"/>
        </w:rPr>
        <w:lastRenderedPageBreak/>
        <w:t>Part</w:t>
      </w:r>
      <w:r w:rsidR="00294BB4" w:rsidRPr="00BD2172">
        <w:rPr>
          <w:i/>
          <w:lang w:val="fr-FR"/>
        </w:rPr>
        <w:t>ie</w:t>
      </w:r>
      <w:r w:rsidRPr="00BD2172">
        <w:rPr>
          <w:i/>
          <w:lang w:val="fr-FR"/>
        </w:rPr>
        <w:t xml:space="preserve"> II: </w:t>
      </w:r>
      <w:r w:rsidR="00294BB4" w:rsidRPr="00BD2172">
        <w:rPr>
          <w:i/>
          <w:lang w:val="fr-FR"/>
        </w:rPr>
        <w:t xml:space="preserve">Projets de destruction des </w:t>
      </w:r>
      <w:r w:rsidRPr="00BD2172">
        <w:rPr>
          <w:i/>
          <w:lang w:val="fr-FR"/>
        </w:rPr>
        <w:t>S</w:t>
      </w:r>
      <w:r w:rsidR="00294BB4" w:rsidRPr="00BD2172">
        <w:rPr>
          <w:i/>
          <w:lang w:val="fr-FR"/>
        </w:rPr>
        <w:t xml:space="preserve">AO résiduaires </w:t>
      </w:r>
      <w:r w:rsidRPr="00BD2172">
        <w:rPr>
          <w:i/>
          <w:lang w:val="fr-FR"/>
        </w:rPr>
        <w:t xml:space="preserve"> (paragraph</w:t>
      </w:r>
      <w:r w:rsidR="00B3529E" w:rsidRPr="00BD2172">
        <w:rPr>
          <w:i/>
          <w:lang w:val="fr-FR"/>
        </w:rPr>
        <w:t>e</w:t>
      </w:r>
      <w:r w:rsidRPr="00BD2172">
        <w:rPr>
          <w:i/>
          <w:lang w:val="fr-FR"/>
        </w:rPr>
        <w:t>s 8-22)</w:t>
      </w:r>
    </w:p>
    <w:p w14:paraId="44B29FD7" w14:textId="2DDF7071" w:rsidR="00712E72" w:rsidRPr="00BD2172" w:rsidRDefault="00294BB4" w:rsidP="006877C9">
      <w:pPr>
        <w:keepNext/>
        <w:keepLines/>
        <w:spacing w:after="240"/>
        <w:ind w:left="706"/>
        <w:rPr>
          <w:i/>
          <w:lang w:val="fr-FR"/>
        </w:rPr>
      </w:pPr>
      <w:r w:rsidRPr="00BD2172">
        <w:rPr>
          <w:i/>
          <w:u w:val="single"/>
          <w:lang w:val="fr-FR"/>
        </w:rPr>
        <w:t>Cuba: Projet p</w:t>
      </w:r>
      <w:r w:rsidR="00712E72" w:rsidRPr="00BD2172">
        <w:rPr>
          <w:i/>
          <w:u w:val="single"/>
          <w:lang w:val="fr-FR"/>
        </w:rPr>
        <w:t>ilot</w:t>
      </w:r>
      <w:r w:rsidRPr="00BD2172">
        <w:rPr>
          <w:i/>
          <w:u w:val="single"/>
          <w:lang w:val="fr-FR"/>
        </w:rPr>
        <w:t>e</w:t>
      </w:r>
      <w:r w:rsidR="00712E72" w:rsidRPr="00BD2172">
        <w:rPr>
          <w:i/>
          <w:u w:val="single"/>
          <w:lang w:val="fr-FR"/>
        </w:rPr>
        <w:t xml:space="preserve"> </w:t>
      </w:r>
      <w:r w:rsidRPr="00BD2172">
        <w:rPr>
          <w:i/>
          <w:u w:val="single"/>
          <w:lang w:val="fr-FR"/>
        </w:rPr>
        <w:t>de dé</w:t>
      </w:r>
      <w:r w:rsidR="00712E72" w:rsidRPr="00BD2172">
        <w:rPr>
          <w:i/>
          <w:u w:val="single"/>
          <w:lang w:val="fr-FR"/>
        </w:rPr>
        <w:t xml:space="preserve">monstration </w:t>
      </w:r>
      <w:r w:rsidRPr="00BD2172">
        <w:rPr>
          <w:i/>
          <w:u w:val="single"/>
          <w:lang w:val="fr-FR"/>
        </w:rPr>
        <w:t>sur la gestion et la destruction des SAO résiduaires – rapport final</w:t>
      </w:r>
      <w:r w:rsidRPr="00BD2172">
        <w:rPr>
          <w:i/>
          <w:lang w:val="fr-FR"/>
        </w:rPr>
        <w:t xml:space="preserve"> (</w:t>
      </w:r>
      <w:r w:rsidR="00712E72" w:rsidRPr="00BD2172">
        <w:rPr>
          <w:i/>
          <w:lang w:val="fr-FR"/>
        </w:rPr>
        <w:t>P</w:t>
      </w:r>
      <w:r w:rsidRPr="00BD2172">
        <w:rPr>
          <w:i/>
          <w:lang w:val="fr-FR"/>
        </w:rPr>
        <w:t>NUD</w:t>
      </w:r>
      <w:r w:rsidR="00712E72" w:rsidRPr="00BD2172">
        <w:rPr>
          <w:i/>
          <w:lang w:val="fr-FR"/>
        </w:rPr>
        <w:t>)</w:t>
      </w:r>
    </w:p>
    <w:p w14:paraId="13AACB5B" w14:textId="28495239" w:rsidR="00712E72" w:rsidRPr="00BD2172" w:rsidRDefault="00294BB4" w:rsidP="00712E72">
      <w:pPr>
        <w:spacing w:after="240"/>
        <w:ind w:left="709"/>
        <w:rPr>
          <w:color w:val="000000" w:themeColor="text1"/>
          <w:lang w:val="fr-FR"/>
        </w:rPr>
      </w:pPr>
      <w:r w:rsidRPr="00BD2172">
        <w:rPr>
          <w:color w:val="000000" w:themeColor="text1"/>
          <w:u w:val="single"/>
          <w:lang w:val="fr-FR"/>
        </w:rPr>
        <w:t xml:space="preserve">Questions à traiter </w:t>
      </w:r>
      <w:r w:rsidR="00712E72" w:rsidRPr="00BD2172">
        <w:rPr>
          <w:color w:val="000000" w:themeColor="text1"/>
          <w:lang w:val="fr-FR"/>
        </w:rPr>
        <w:t>: </w:t>
      </w:r>
      <w:r w:rsidRPr="00BD2172">
        <w:rPr>
          <w:color w:val="000000" w:themeColor="text1"/>
          <w:lang w:val="fr-FR"/>
        </w:rPr>
        <w:t>Aucu</w:t>
      </w:r>
      <w:r w:rsidR="00712E72" w:rsidRPr="00BD2172">
        <w:rPr>
          <w:color w:val="000000" w:themeColor="text1"/>
          <w:lang w:val="fr-FR"/>
        </w:rPr>
        <w:t>ne</w:t>
      </w:r>
    </w:p>
    <w:p w14:paraId="1A482A24" w14:textId="36B077C8" w:rsidR="00712E72" w:rsidRPr="00BD2172" w:rsidRDefault="00294BB4" w:rsidP="00712E72">
      <w:pPr>
        <w:pStyle w:val="Heading1"/>
        <w:numPr>
          <w:ilvl w:val="0"/>
          <w:numId w:val="0"/>
        </w:numPr>
        <w:spacing w:after="0"/>
        <w:ind w:left="709"/>
        <w:rPr>
          <w:color w:val="000000" w:themeColor="text1"/>
          <w:lang w:val="fr-FR"/>
        </w:rPr>
      </w:pPr>
      <w:r w:rsidRPr="00BD2172">
        <w:rPr>
          <w:color w:val="000000" w:themeColor="text1"/>
          <w:u w:val="single"/>
          <w:lang w:val="fr-FR"/>
        </w:rPr>
        <w:t>L</w:t>
      </w:r>
      <w:r w:rsidR="00712E72" w:rsidRPr="00BD2172">
        <w:rPr>
          <w:color w:val="000000" w:themeColor="text1"/>
          <w:u w:val="single"/>
          <w:lang w:val="fr-FR"/>
        </w:rPr>
        <w:t xml:space="preserve">e </w:t>
      </w:r>
      <w:r w:rsidRPr="00BD2172">
        <w:rPr>
          <w:color w:val="000000" w:themeColor="text1"/>
          <w:u w:val="single"/>
          <w:lang w:val="fr-FR"/>
        </w:rPr>
        <w:t xml:space="preserve">Comité exécutif pourrait souhaiter </w:t>
      </w:r>
      <w:r w:rsidR="00712E72" w:rsidRPr="00BD2172">
        <w:rPr>
          <w:color w:val="000000" w:themeColor="text1"/>
          <w:lang w:val="fr-FR"/>
        </w:rPr>
        <w:t xml:space="preserve">: </w:t>
      </w:r>
    </w:p>
    <w:p w14:paraId="5D8576E0" w14:textId="77777777" w:rsidR="00712E72" w:rsidRPr="00BD2172" w:rsidRDefault="00712E72" w:rsidP="00712E72">
      <w:pPr>
        <w:rPr>
          <w:lang w:val="fr-FR"/>
        </w:rPr>
      </w:pPr>
    </w:p>
    <w:p w14:paraId="642E5A5F" w14:textId="6ADBD5ED" w:rsidR="00712E72" w:rsidRPr="00BD2172" w:rsidRDefault="0091784A" w:rsidP="00BD2172">
      <w:pPr>
        <w:pStyle w:val="Heading2"/>
        <w:numPr>
          <w:ilvl w:val="0"/>
          <w:numId w:val="0"/>
        </w:numPr>
        <w:ind w:left="1440" w:hanging="720"/>
        <w:rPr>
          <w:lang w:val="fr-FR"/>
        </w:rPr>
      </w:pPr>
      <w:r>
        <w:rPr>
          <w:lang w:val="fr-FR"/>
        </w:rPr>
        <w:t>a)</w:t>
      </w:r>
      <w:r>
        <w:rPr>
          <w:lang w:val="fr-FR"/>
        </w:rPr>
        <w:tab/>
      </w:r>
      <w:r w:rsidR="00294BB4" w:rsidRPr="00BD2172">
        <w:rPr>
          <w:lang w:val="fr-FR"/>
        </w:rPr>
        <w:t>Prendre</w:t>
      </w:r>
      <w:r w:rsidR="00712E72" w:rsidRPr="00BD2172">
        <w:rPr>
          <w:lang w:val="fr-FR"/>
        </w:rPr>
        <w:t xml:space="preserve"> note </w:t>
      </w:r>
      <w:r w:rsidR="00294BB4" w:rsidRPr="00BD2172">
        <w:rPr>
          <w:lang w:val="fr-FR"/>
        </w:rPr>
        <w:t>du rapport</w:t>
      </w:r>
      <w:r w:rsidR="00712E72" w:rsidRPr="00BD2172">
        <w:rPr>
          <w:lang w:val="fr-FR"/>
        </w:rPr>
        <w:t xml:space="preserve"> final </w:t>
      </w:r>
      <w:r w:rsidR="00294BB4" w:rsidRPr="00BD2172">
        <w:rPr>
          <w:lang w:val="fr-FR"/>
        </w:rPr>
        <w:t>sur le projet pilote de dé</w:t>
      </w:r>
      <w:r w:rsidR="00712E72" w:rsidRPr="00BD2172">
        <w:rPr>
          <w:lang w:val="fr-FR"/>
        </w:rPr>
        <w:t xml:space="preserve">monstration </w:t>
      </w:r>
      <w:r w:rsidR="00294BB4" w:rsidRPr="00BD2172">
        <w:rPr>
          <w:lang w:val="fr-FR"/>
        </w:rPr>
        <w:t xml:space="preserve">sur la gestion et la destruction des </w:t>
      </w:r>
      <w:r w:rsidR="00712E72" w:rsidRPr="00BD2172">
        <w:rPr>
          <w:lang w:val="fr-FR"/>
        </w:rPr>
        <w:t>S</w:t>
      </w:r>
      <w:r w:rsidR="00294BB4" w:rsidRPr="00BD2172">
        <w:rPr>
          <w:lang w:val="fr-FR"/>
        </w:rPr>
        <w:t>AO à</w:t>
      </w:r>
      <w:r w:rsidR="00AF0916" w:rsidRPr="00BD2172">
        <w:rPr>
          <w:lang w:val="fr-FR"/>
        </w:rPr>
        <w:t xml:space="preserve"> </w:t>
      </w:r>
      <w:r w:rsidR="00712E72" w:rsidRPr="00BD2172">
        <w:rPr>
          <w:lang w:val="fr-FR"/>
        </w:rPr>
        <w:t xml:space="preserve">Cuba, </w:t>
      </w:r>
      <w:r w:rsidR="00AF0916" w:rsidRPr="00BD2172">
        <w:rPr>
          <w:lang w:val="fr-FR"/>
        </w:rPr>
        <w:t xml:space="preserve">tel que soumis par le PNUD et contenu dans le </w:t>
      </w:r>
      <w:r w:rsidR="00712E72" w:rsidRPr="00BD2172">
        <w:rPr>
          <w:lang w:val="fr-FR"/>
        </w:rPr>
        <w:t xml:space="preserve">adocument UNEP/OzL.Pro/ExCom/83/11; </w:t>
      </w:r>
      <w:r w:rsidR="00AF0916" w:rsidRPr="00BD2172">
        <w:rPr>
          <w:lang w:val="fr-FR"/>
        </w:rPr>
        <w:t>et</w:t>
      </w:r>
    </w:p>
    <w:p w14:paraId="614DD709" w14:textId="4979D758" w:rsidR="00712E72" w:rsidRPr="00BD2172" w:rsidRDefault="0091784A" w:rsidP="00BD2172">
      <w:pPr>
        <w:ind w:left="1440" w:hanging="720"/>
        <w:rPr>
          <w:lang w:val="fr-FR"/>
        </w:rPr>
      </w:pPr>
      <w:r>
        <w:rPr>
          <w:lang w:val="fr-FR"/>
        </w:rPr>
        <w:t>b)</w:t>
      </w:r>
      <w:r>
        <w:rPr>
          <w:lang w:val="fr-FR"/>
        </w:rPr>
        <w:tab/>
      </w:r>
      <w:r w:rsidR="00AF0916" w:rsidRPr="00BD2172">
        <w:rPr>
          <w:lang w:val="fr-FR"/>
        </w:rPr>
        <w:t xml:space="preserve">Demander aux agences bilatérales et d’exécution d’appliquer, le cas échéant, les conclusions et recommandations du projet pilote de démonstration sur la gestion et la destruction des SAO résiduaires à </w:t>
      </w:r>
      <w:r w:rsidR="00712E72" w:rsidRPr="00BD2172">
        <w:rPr>
          <w:lang w:val="fr-FR"/>
        </w:rPr>
        <w:t>Cuba.</w:t>
      </w:r>
    </w:p>
    <w:p w14:paraId="023F5D06" w14:textId="77777777" w:rsidR="00712E72" w:rsidRPr="00944BFF" w:rsidRDefault="00712E72" w:rsidP="00712E72">
      <w:pPr>
        <w:rPr>
          <w:lang w:val="fr-FR"/>
        </w:rPr>
      </w:pPr>
    </w:p>
    <w:p w14:paraId="53E0601B" w14:textId="0B7CCB5C" w:rsidR="00712E72" w:rsidRDefault="00712E72" w:rsidP="0099339F">
      <w:pPr>
        <w:ind w:left="720"/>
        <w:rPr>
          <w:i/>
          <w:lang w:val="fr-FR"/>
        </w:rPr>
      </w:pPr>
      <w:r w:rsidRPr="0099339F">
        <w:rPr>
          <w:i/>
          <w:lang w:val="fr-FR"/>
        </w:rPr>
        <w:t>Part</w:t>
      </w:r>
      <w:r w:rsidR="00AF0916" w:rsidRPr="0099339F">
        <w:rPr>
          <w:i/>
          <w:lang w:val="fr-FR"/>
        </w:rPr>
        <w:t xml:space="preserve">ie </w:t>
      </w:r>
      <w:r w:rsidRPr="0099339F">
        <w:rPr>
          <w:i/>
          <w:lang w:val="fr-FR"/>
        </w:rPr>
        <w:t>III:</w:t>
      </w:r>
      <w:r w:rsidR="00AF0916" w:rsidRPr="0099339F">
        <w:rPr>
          <w:i/>
          <w:lang w:val="fr-FR"/>
        </w:rPr>
        <w:t xml:space="preserve"> Utilisation temporaire d’une technologie à potentiel élevé de réchauffement de la planète dans des projets approuvés </w:t>
      </w:r>
      <w:r w:rsidRPr="0099339F">
        <w:rPr>
          <w:i/>
          <w:lang w:val="fr-FR"/>
        </w:rPr>
        <w:t xml:space="preserve"> </w:t>
      </w:r>
    </w:p>
    <w:p w14:paraId="4D923AC6" w14:textId="77777777" w:rsidR="0099339F" w:rsidRPr="0099339F" w:rsidRDefault="0099339F" w:rsidP="0099339F">
      <w:pPr>
        <w:ind w:left="720"/>
        <w:rPr>
          <w:i/>
          <w:lang w:val="fr-FR"/>
        </w:rPr>
      </w:pPr>
    </w:p>
    <w:p w14:paraId="61D3DD1A" w14:textId="195D0C6D" w:rsidR="00712E72" w:rsidRPr="00944BFF" w:rsidRDefault="00AF0916" w:rsidP="00712E72">
      <w:pPr>
        <w:spacing w:after="240"/>
        <w:ind w:left="720"/>
        <w:rPr>
          <w:i/>
          <w:lang w:val="fr-FR"/>
        </w:rPr>
      </w:pPr>
      <w:r w:rsidRPr="00944BFF">
        <w:rPr>
          <w:i/>
          <w:u w:val="single"/>
          <w:lang w:val="fr-FR"/>
        </w:rPr>
        <w:t>Brés</w:t>
      </w:r>
      <w:r w:rsidR="00712E72" w:rsidRPr="00944BFF">
        <w:rPr>
          <w:i/>
          <w:u w:val="single"/>
          <w:lang w:val="fr-FR"/>
        </w:rPr>
        <w:t xml:space="preserve">il: </w:t>
      </w:r>
      <w:r w:rsidRPr="00944BFF">
        <w:rPr>
          <w:i/>
          <w:u w:val="single"/>
          <w:lang w:val="fr-FR"/>
        </w:rPr>
        <w:t xml:space="preserve">Utilisation temporaire de </w:t>
      </w:r>
      <w:r w:rsidR="008C187D">
        <w:rPr>
          <w:i/>
          <w:u w:val="single"/>
          <w:lang w:val="fr-FR"/>
        </w:rPr>
        <w:t>systèmes</w:t>
      </w:r>
      <w:r w:rsidRPr="00944BFF">
        <w:rPr>
          <w:i/>
          <w:u w:val="single"/>
          <w:lang w:val="fr-FR"/>
        </w:rPr>
        <w:t xml:space="preserve"> de polyols à PR</w:t>
      </w:r>
      <w:r w:rsidR="008C187D">
        <w:rPr>
          <w:i/>
          <w:u w:val="single"/>
          <w:lang w:val="fr-FR"/>
        </w:rPr>
        <w:t>P</w:t>
      </w:r>
      <w:r w:rsidRPr="00944BFF">
        <w:rPr>
          <w:i/>
          <w:u w:val="single"/>
          <w:lang w:val="fr-FR"/>
        </w:rPr>
        <w:t xml:space="preserve"> élevé (phas</w:t>
      </w:r>
      <w:r w:rsidR="00712E72" w:rsidRPr="00944BFF">
        <w:rPr>
          <w:i/>
          <w:u w:val="single"/>
          <w:lang w:val="fr-FR"/>
        </w:rPr>
        <w:t xml:space="preserve">e I </w:t>
      </w:r>
      <w:r w:rsidRPr="00944BFF">
        <w:rPr>
          <w:i/>
          <w:u w:val="single"/>
          <w:lang w:val="fr-FR"/>
        </w:rPr>
        <w:t>du plan de gestion de l’élimination des HCFC</w:t>
      </w:r>
      <w:r w:rsidR="00712E72" w:rsidRPr="00944BFF">
        <w:rPr>
          <w:i/>
          <w:u w:val="single"/>
          <w:lang w:val="fr-FR"/>
        </w:rPr>
        <w:t>)</w:t>
      </w:r>
      <w:r w:rsidR="00712E72" w:rsidRPr="00944BFF">
        <w:rPr>
          <w:i/>
          <w:lang w:val="fr-FR"/>
        </w:rPr>
        <w:t xml:space="preserve"> </w:t>
      </w:r>
      <w:r w:rsidRPr="00944BFF">
        <w:rPr>
          <w:i/>
          <w:lang w:val="fr-FR"/>
        </w:rPr>
        <w:t>(</w:t>
      </w:r>
      <w:r w:rsidR="00712E72" w:rsidRPr="00944BFF">
        <w:rPr>
          <w:i/>
          <w:lang w:val="fr-FR"/>
        </w:rPr>
        <w:t>P</w:t>
      </w:r>
      <w:r w:rsidRPr="00944BFF">
        <w:rPr>
          <w:i/>
          <w:lang w:val="fr-FR"/>
        </w:rPr>
        <w:t>NUD et gouvernement de l’Allemagne)</w:t>
      </w:r>
      <w:r w:rsidR="00712E72" w:rsidRPr="00944BFF">
        <w:rPr>
          <w:i/>
          <w:lang w:val="fr-FR"/>
        </w:rPr>
        <w:t xml:space="preserve">  (paragraph</w:t>
      </w:r>
      <w:r w:rsidRPr="00944BFF">
        <w:rPr>
          <w:i/>
          <w:lang w:val="fr-FR"/>
        </w:rPr>
        <w:t>e</w:t>
      </w:r>
      <w:r w:rsidR="00712E72" w:rsidRPr="00944BFF">
        <w:rPr>
          <w:i/>
          <w:lang w:val="fr-FR"/>
        </w:rPr>
        <w:t>s 24-33)</w:t>
      </w:r>
    </w:p>
    <w:p w14:paraId="17D61181" w14:textId="0960C0DB" w:rsidR="00712E72" w:rsidRPr="00944BFF" w:rsidRDefault="00AF0916" w:rsidP="00712E72">
      <w:pPr>
        <w:keepNext/>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p>
    <w:p w14:paraId="0A6A3A4A" w14:textId="7EBD0098" w:rsidR="00712E72" w:rsidRPr="00944BFF" w:rsidRDefault="00F3453B" w:rsidP="00194291">
      <w:pPr>
        <w:pStyle w:val="ListParagraph"/>
        <w:keepNext/>
        <w:numPr>
          <w:ilvl w:val="0"/>
          <w:numId w:val="12"/>
        </w:numPr>
        <w:spacing w:after="240"/>
        <w:rPr>
          <w:color w:val="000000" w:themeColor="text1"/>
          <w:lang w:val="fr-FR"/>
        </w:rPr>
      </w:pPr>
      <w:r>
        <w:rPr>
          <w:color w:val="000000" w:themeColor="text1"/>
          <w:lang w:val="fr-FR"/>
        </w:rPr>
        <w:t>La t</w:t>
      </w:r>
      <w:r w:rsidR="00AF0916" w:rsidRPr="00944BFF">
        <w:rPr>
          <w:color w:val="000000" w:themeColor="text1"/>
          <w:lang w:val="fr-FR"/>
        </w:rPr>
        <w:t xml:space="preserve">echnologie à faible potentiel de réchauffement </w:t>
      </w:r>
      <w:r w:rsidR="008C187D">
        <w:rPr>
          <w:color w:val="000000" w:themeColor="text1"/>
          <w:lang w:val="fr-FR"/>
        </w:rPr>
        <w:t>plané</w:t>
      </w:r>
      <w:r w:rsidR="00AF0916" w:rsidRPr="00944BFF">
        <w:rPr>
          <w:color w:val="000000" w:themeColor="text1"/>
          <w:lang w:val="fr-FR"/>
        </w:rPr>
        <w:t>t</w:t>
      </w:r>
      <w:r w:rsidR="008C187D">
        <w:rPr>
          <w:color w:val="000000" w:themeColor="text1"/>
          <w:lang w:val="fr-FR"/>
        </w:rPr>
        <w:t>aire (PRP</w:t>
      </w:r>
      <w:r w:rsidR="00AF0916" w:rsidRPr="00944BFF">
        <w:rPr>
          <w:color w:val="000000" w:themeColor="text1"/>
          <w:lang w:val="fr-FR"/>
        </w:rPr>
        <w:t xml:space="preserve">) </w:t>
      </w:r>
      <w:r>
        <w:rPr>
          <w:color w:val="000000" w:themeColor="text1"/>
          <w:lang w:val="fr-FR"/>
        </w:rPr>
        <w:t xml:space="preserve">n’est </w:t>
      </w:r>
      <w:r w:rsidR="00AF0916" w:rsidRPr="00944BFF">
        <w:rPr>
          <w:color w:val="000000" w:themeColor="text1"/>
          <w:lang w:val="fr-FR"/>
        </w:rPr>
        <w:t xml:space="preserve">pas encore disponible pour une entreprise  </w:t>
      </w:r>
    </w:p>
    <w:p w14:paraId="284AD3BE" w14:textId="536CDC26" w:rsidR="00712E72" w:rsidRPr="00944BFF" w:rsidRDefault="00712E72" w:rsidP="00194291">
      <w:pPr>
        <w:pStyle w:val="ListParagraph"/>
        <w:numPr>
          <w:ilvl w:val="0"/>
          <w:numId w:val="12"/>
        </w:numPr>
        <w:spacing w:after="240"/>
        <w:rPr>
          <w:color w:val="000000" w:themeColor="text1"/>
          <w:lang w:val="fr-FR"/>
        </w:rPr>
      </w:pPr>
      <w:r w:rsidRPr="00944BFF">
        <w:rPr>
          <w:color w:val="000000" w:themeColor="text1"/>
          <w:lang w:val="fr-FR"/>
        </w:rPr>
        <w:t>Continue</w:t>
      </w:r>
      <w:r w:rsidR="00AF0916" w:rsidRPr="00944BFF">
        <w:rPr>
          <w:color w:val="000000" w:themeColor="text1"/>
          <w:lang w:val="fr-FR"/>
        </w:rPr>
        <w:t xml:space="preserve">r </w:t>
      </w:r>
      <w:r w:rsidRPr="00944BFF">
        <w:rPr>
          <w:color w:val="000000" w:themeColor="text1"/>
          <w:lang w:val="fr-FR"/>
        </w:rPr>
        <w:t>d</w:t>
      </w:r>
      <w:r w:rsidR="00AF0916" w:rsidRPr="00944BFF">
        <w:rPr>
          <w:color w:val="000000" w:themeColor="text1"/>
          <w:lang w:val="fr-FR"/>
        </w:rPr>
        <w:t>e faire rapport jusqu’à l’introduction de la technologie à faible PR</w:t>
      </w:r>
      <w:r w:rsidR="008C187D">
        <w:rPr>
          <w:color w:val="000000" w:themeColor="text1"/>
          <w:lang w:val="fr-FR"/>
        </w:rPr>
        <w:t>P</w:t>
      </w:r>
      <w:r w:rsidRPr="00944BFF">
        <w:rPr>
          <w:color w:val="000000" w:themeColor="text1"/>
          <w:lang w:val="fr-FR"/>
        </w:rPr>
        <w:t xml:space="preserve"> </w:t>
      </w:r>
    </w:p>
    <w:p w14:paraId="59A9F5F7" w14:textId="6502DBE8" w:rsidR="00712E72" w:rsidRPr="008C187D" w:rsidRDefault="00AF0916" w:rsidP="00712E72">
      <w:pPr>
        <w:spacing w:after="240"/>
        <w:ind w:left="709"/>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002F1CF0" w:rsidRPr="008C187D">
        <w:rPr>
          <w:color w:val="000000" w:themeColor="text1"/>
          <w:u w:val="single"/>
          <w:lang w:val="fr-FR"/>
        </w:rPr>
        <w:t xml:space="preserve">Comité exécutif pourrait souhaiter </w:t>
      </w:r>
      <w:r w:rsidR="00712E72" w:rsidRPr="008C187D">
        <w:rPr>
          <w:color w:val="000000" w:themeColor="text1"/>
          <w:lang w:val="fr-FR"/>
        </w:rPr>
        <w:t>:</w:t>
      </w:r>
    </w:p>
    <w:p w14:paraId="53F8731E" w14:textId="4A31026C" w:rsidR="008C187D" w:rsidRPr="006E5AC7" w:rsidRDefault="008C187D" w:rsidP="008C187D">
      <w:pPr>
        <w:widowControl w:val="0"/>
        <w:spacing w:after="240"/>
        <w:ind w:left="1418" w:hanging="709"/>
        <w:outlineLvl w:val="1"/>
        <w:rPr>
          <w:lang w:val="fr-CA"/>
        </w:rPr>
      </w:pPr>
      <w:r>
        <w:rPr>
          <w:lang w:val="fr-CA"/>
        </w:rPr>
        <w:t>a)</w:t>
      </w:r>
      <w:r>
        <w:rPr>
          <w:lang w:val="fr-CA"/>
        </w:rPr>
        <w:tab/>
        <w:t>P</w:t>
      </w:r>
      <w:r w:rsidRPr="006E5AC7">
        <w:rPr>
          <w:lang w:val="fr-CA"/>
        </w:rPr>
        <w:t>rendre note, avec satisfaction, du rapport soumis par le PNUD et des efforts déployés pour faciliter l’apport de technologies avec un faible Potentiel de réchauffement planétaire (PRP)¨ aux entreprises de formulation Shimtek et U-Tech, financées au titre de la phase I du plan de gestion de l’élimination des HCFC pour le Brésil, figurant dans le document UNEP/Ozl.Pro/ExCom/83/11;</w:t>
      </w:r>
    </w:p>
    <w:p w14:paraId="7D652953" w14:textId="74BA3732" w:rsidR="008C187D" w:rsidRPr="006E5AC7" w:rsidRDefault="008C187D" w:rsidP="008C187D">
      <w:pPr>
        <w:widowControl w:val="0"/>
        <w:spacing w:after="240"/>
        <w:ind w:left="1418" w:hanging="709"/>
        <w:outlineLvl w:val="1"/>
        <w:rPr>
          <w:lang w:val="fr-CA"/>
        </w:rPr>
      </w:pPr>
      <w:r>
        <w:rPr>
          <w:lang w:val="fr-CA"/>
        </w:rPr>
        <w:t>b)</w:t>
      </w:r>
      <w:r>
        <w:rPr>
          <w:lang w:val="fr-CA"/>
        </w:rPr>
        <w:tab/>
        <w:t>N</w:t>
      </w:r>
      <w:r w:rsidRPr="006E5AC7">
        <w:rPr>
          <w:lang w:val="fr-CA"/>
        </w:rPr>
        <w:t>oter l’introduction d’une technologie à faible PRP par l’entreprise de formulation Shimtek; et</w:t>
      </w:r>
    </w:p>
    <w:p w14:paraId="2CEF56C8" w14:textId="0BB5C52A" w:rsidR="008C187D" w:rsidRPr="006E5AC7" w:rsidRDefault="008C187D" w:rsidP="008C187D">
      <w:pPr>
        <w:widowControl w:val="0"/>
        <w:spacing w:after="240"/>
        <w:ind w:left="1418" w:hanging="709"/>
        <w:outlineLvl w:val="1"/>
        <w:rPr>
          <w:lang w:val="fr-CA"/>
        </w:rPr>
      </w:pPr>
      <w:r>
        <w:rPr>
          <w:lang w:val="fr-CA"/>
        </w:rPr>
        <w:t>c)</w:t>
      </w:r>
      <w:r>
        <w:rPr>
          <w:lang w:val="fr-CA"/>
        </w:rPr>
        <w:tab/>
        <w:t>D</w:t>
      </w:r>
      <w:r w:rsidRPr="006E5AC7">
        <w:rPr>
          <w:lang w:val="fr-CA"/>
        </w:rPr>
        <w:t>emander au PNUD de continuer à aider le gouvernement du Brésil à assurer l’apport de technologies de remplacement à faible PRP à l’entreprise de formulation U-Tech, étant entendu qu’aucun surcoût d’exploitation ne serait payé avant que la technologie initialement retenue ou une autre technologie à faible PRP ne soit introduite entièrement, et de soumettre un rapport sur l’avancement de la reconversion à chaque réunion du Comité exécutif jusqu’à ce que la technologie initialement retenue ou une autre technologie à faible PRP soit introduite entièrement, ainsi qu’une mise à jour par les fournisseurs sur les progrès réalisés pour assurer que les technologies retenues, incluant les éléments connexes, soient disponibles commercialement dans le pays.</w:t>
      </w:r>
    </w:p>
    <w:p w14:paraId="411577F0" w14:textId="62651EBE" w:rsidR="00712E72" w:rsidRPr="00944BFF" w:rsidRDefault="00712E72" w:rsidP="006877C9">
      <w:pPr>
        <w:keepNext/>
        <w:keepLines/>
        <w:ind w:left="706"/>
        <w:rPr>
          <w:i/>
          <w:u w:val="single"/>
          <w:lang w:val="fr-FR"/>
        </w:rPr>
      </w:pPr>
      <w:r w:rsidRPr="00944BFF">
        <w:rPr>
          <w:i/>
          <w:u w:val="single"/>
          <w:lang w:val="fr-FR"/>
        </w:rPr>
        <w:lastRenderedPageBreak/>
        <w:t xml:space="preserve">Cuba: </w:t>
      </w:r>
      <w:r w:rsidR="002F1CF0" w:rsidRPr="00944BFF">
        <w:rPr>
          <w:i/>
          <w:u w:val="single"/>
          <w:lang w:val="fr-FR"/>
        </w:rPr>
        <w:t>Utilisation te</w:t>
      </w:r>
      <w:r w:rsidR="008C187D">
        <w:rPr>
          <w:i/>
          <w:u w:val="single"/>
          <w:lang w:val="fr-FR"/>
        </w:rPr>
        <w:t>mporaire d’une technologie à PRP</w:t>
      </w:r>
      <w:r w:rsidR="002F1CF0" w:rsidRPr="00944BFF">
        <w:rPr>
          <w:i/>
          <w:u w:val="single"/>
          <w:lang w:val="fr-FR"/>
        </w:rPr>
        <w:t xml:space="preserve"> élevé par des entreprises qui </w:t>
      </w:r>
      <w:r w:rsidR="008C187D">
        <w:rPr>
          <w:i/>
          <w:u w:val="single"/>
          <w:lang w:val="fr-FR"/>
        </w:rPr>
        <w:t>ont été re</w:t>
      </w:r>
      <w:r w:rsidR="002F1CF0" w:rsidRPr="00944BFF">
        <w:rPr>
          <w:i/>
          <w:u w:val="single"/>
          <w:lang w:val="fr-FR"/>
        </w:rPr>
        <w:t>convertie</w:t>
      </w:r>
      <w:r w:rsidR="008C187D">
        <w:rPr>
          <w:i/>
          <w:u w:val="single"/>
          <w:lang w:val="fr-FR"/>
        </w:rPr>
        <w:t>s à une technologie à faible PRP</w:t>
      </w:r>
      <w:r w:rsidR="002F1CF0" w:rsidRPr="00944BFF">
        <w:rPr>
          <w:i/>
          <w:u w:val="single"/>
          <w:lang w:val="fr-FR"/>
        </w:rPr>
        <w:t xml:space="preserve"> (phas</w:t>
      </w:r>
      <w:r w:rsidRPr="00944BFF">
        <w:rPr>
          <w:i/>
          <w:u w:val="single"/>
          <w:lang w:val="fr-FR"/>
        </w:rPr>
        <w:t xml:space="preserve">e I </w:t>
      </w:r>
      <w:r w:rsidR="002F1CF0" w:rsidRPr="00944BFF">
        <w:rPr>
          <w:i/>
          <w:u w:val="single"/>
          <w:lang w:val="fr-FR"/>
        </w:rPr>
        <w:t>du plan de gestion de l’éliminati</w:t>
      </w:r>
      <w:r w:rsidRPr="00944BFF">
        <w:rPr>
          <w:i/>
          <w:u w:val="single"/>
          <w:lang w:val="fr-FR"/>
        </w:rPr>
        <w:t>o</w:t>
      </w:r>
      <w:r w:rsidR="002F1CF0" w:rsidRPr="00944BFF">
        <w:rPr>
          <w:i/>
          <w:u w:val="single"/>
          <w:lang w:val="fr-FR"/>
        </w:rPr>
        <w:t xml:space="preserve">n des HCFC </w:t>
      </w:r>
      <w:r w:rsidR="002F1CF0" w:rsidRPr="00944BFF">
        <w:rPr>
          <w:i/>
          <w:lang w:val="fr-FR"/>
        </w:rPr>
        <w:t xml:space="preserve"> (</w:t>
      </w:r>
      <w:r w:rsidRPr="00944BFF">
        <w:rPr>
          <w:i/>
          <w:lang w:val="fr-FR"/>
        </w:rPr>
        <w:t>P</w:t>
      </w:r>
      <w:r w:rsidR="002F1CF0" w:rsidRPr="00944BFF">
        <w:rPr>
          <w:i/>
          <w:lang w:val="fr-FR"/>
        </w:rPr>
        <w:t>NUD</w:t>
      </w:r>
      <w:r w:rsidRPr="00944BFF">
        <w:rPr>
          <w:i/>
          <w:lang w:val="fr-FR"/>
        </w:rPr>
        <w:t>) (paragraph</w:t>
      </w:r>
      <w:r w:rsidR="002F1CF0" w:rsidRPr="00944BFF">
        <w:rPr>
          <w:i/>
          <w:lang w:val="fr-FR"/>
        </w:rPr>
        <w:t>e</w:t>
      </w:r>
      <w:r w:rsidRPr="00944BFF">
        <w:rPr>
          <w:i/>
          <w:lang w:val="fr-FR"/>
        </w:rPr>
        <w:t>s 34</w:t>
      </w:r>
      <w:r w:rsidRPr="00944BFF">
        <w:rPr>
          <w:i/>
          <w:lang w:val="fr-FR"/>
        </w:rPr>
        <w:noBreakHyphen/>
        <w:t>38)</w:t>
      </w:r>
    </w:p>
    <w:p w14:paraId="6FA6FB77" w14:textId="77777777" w:rsidR="00712E72" w:rsidRPr="00944BFF" w:rsidRDefault="00712E72" w:rsidP="006877C9">
      <w:pPr>
        <w:keepNext/>
        <w:keepLines/>
        <w:ind w:left="706"/>
        <w:rPr>
          <w:i/>
          <w:u w:val="single"/>
          <w:lang w:val="fr-FR"/>
        </w:rPr>
      </w:pPr>
    </w:p>
    <w:p w14:paraId="7409F6CB" w14:textId="4AA6C9ED" w:rsidR="00712E72" w:rsidRPr="00944BFF" w:rsidRDefault="002F1CF0" w:rsidP="006877C9">
      <w:pPr>
        <w:keepNext/>
        <w:keepLines/>
        <w:spacing w:after="240"/>
        <w:ind w:left="706"/>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p>
    <w:p w14:paraId="3D4DBF9C" w14:textId="6779B5D9" w:rsidR="00712E72" w:rsidRPr="00944BFF" w:rsidRDefault="00712E72" w:rsidP="00194291">
      <w:pPr>
        <w:numPr>
          <w:ilvl w:val="0"/>
          <w:numId w:val="12"/>
        </w:numPr>
        <w:ind w:left="1434" w:hanging="357"/>
        <w:rPr>
          <w:color w:val="000000" w:themeColor="text1"/>
          <w:lang w:val="fr-FR"/>
        </w:rPr>
      </w:pPr>
      <w:r w:rsidRPr="00944BFF">
        <w:rPr>
          <w:color w:val="000000" w:themeColor="text1"/>
          <w:lang w:val="fr-FR"/>
        </w:rPr>
        <w:t>L</w:t>
      </w:r>
      <w:r w:rsidR="008C187D">
        <w:rPr>
          <w:color w:val="000000" w:themeColor="text1"/>
          <w:lang w:val="fr-FR"/>
        </w:rPr>
        <w:t>a technologie à faible PRP</w:t>
      </w:r>
      <w:r w:rsidR="002F1CF0" w:rsidRPr="00944BFF">
        <w:rPr>
          <w:color w:val="000000" w:themeColor="text1"/>
          <w:lang w:val="fr-FR"/>
        </w:rPr>
        <w:t xml:space="preserve"> fait encore l’objet de tests</w:t>
      </w:r>
    </w:p>
    <w:p w14:paraId="6ABC92DE" w14:textId="603ADC4D" w:rsidR="00712E72" w:rsidRPr="00944BFF" w:rsidRDefault="00712E72" w:rsidP="00194291">
      <w:pPr>
        <w:numPr>
          <w:ilvl w:val="0"/>
          <w:numId w:val="12"/>
        </w:numPr>
        <w:spacing w:after="240"/>
        <w:rPr>
          <w:color w:val="000000" w:themeColor="text1"/>
          <w:lang w:val="fr-FR"/>
        </w:rPr>
      </w:pPr>
      <w:r w:rsidRPr="00944BFF">
        <w:rPr>
          <w:color w:val="000000" w:themeColor="text1"/>
          <w:lang w:val="fr-FR"/>
        </w:rPr>
        <w:t>Continue</w:t>
      </w:r>
      <w:r w:rsidR="0091784A">
        <w:rPr>
          <w:color w:val="000000" w:themeColor="text1"/>
          <w:lang w:val="fr-FR"/>
        </w:rPr>
        <w:t>r de faire rapport jusqu’</w:t>
      </w:r>
      <w:r w:rsidR="002F1CF0" w:rsidRPr="00944BFF">
        <w:rPr>
          <w:color w:val="000000" w:themeColor="text1"/>
          <w:lang w:val="fr-FR"/>
        </w:rPr>
        <w:t>à l’intro</w:t>
      </w:r>
      <w:r w:rsidRPr="00944BFF">
        <w:rPr>
          <w:color w:val="000000" w:themeColor="text1"/>
          <w:lang w:val="fr-FR"/>
        </w:rPr>
        <w:t>d</w:t>
      </w:r>
      <w:r w:rsidR="002F1CF0" w:rsidRPr="00944BFF">
        <w:rPr>
          <w:color w:val="000000" w:themeColor="text1"/>
          <w:lang w:val="fr-FR"/>
        </w:rPr>
        <w:t>uctio</w:t>
      </w:r>
      <w:r w:rsidR="008C187D">
        <w:rPr>
          <w:color w:val="000000" w:themeColor="text1"/>
          <w:lang w:val="fr-FR"/>
        </w:rPr>
        <w:t>n de la technologie à faible PRP</w:t>
      </w:r>
      <w:r w:rsidR="002F1CF0" w:rsidRPr="00944BFF">
        <w:rPr>
          <w:color w:val="000000" w:themeColor="text1"/>
          <w:lang w:val="fr-FR"/>
        </w:rPr>
        <w:t xml:space="preserve"> </w:t>
      </w:r>
    </w:p>
    <w:p w14:paraId="5F5B4EA0" w14:textId="540CF92A" w:rsidR="00712E72" w:rsidRPr="008C187D" w:rsidRDefault="002F1CF0" w:rsidP="00712E72">
      <w:pPr>
        <w:pStyle w:val="Heading1"/>
        <w:numPr>
          <w:ilvl w:val="0"/>
          <w:numId w:val="0"/>
        </w:numPr>
        <w:ind w:left="709"/>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Pr="008C187D">
        <w:rPr>
          <w:color w:val="000000" w:themeColor="text1"/>
          <w:u w:val="single"/>
          <w:lang w:val="fr-FR"/>
        </w:rPr>
        <w:t xml:space="preserve">Comité exécutif pourrait souhaiter </w:t>
      </w:r>
      <w:r w:rsidR="00712E72" w:rsidRPr="008C187D">
        <w:rPr>
          <w:color w:val="000000" w:themeColor="text1"/>
          <w:lang w:val="fr-FR"/>
        </w:rPr>
        <w:t xml:space="preserve">: </w:t>
      </w:r>
    </w:p>
    <w:p w14:paraId="24E73B74" w14:textId="52972315" w:rsidR="008C187D" w:rsidRPr="006E5AC7" w:rsidRDefault="008C187D" w:rsidP="008C187D">
      <w:pPr>
        <w:widowControl w:val="0"/>
        <w:spacing w:after="240"/>
        <w:ind w:left="1440" w:hanging="731"/>
        <w:outlineLvl w:val="1"/>
        <w:rPr>
          <w:lang w:val="fr-CA"/>
        </w:rPr>
      </w:pPr>
      <w:r>
        <w:rPr>
          <w:lang w:val="fr-CA"/>
        </w:rPr>
        <w:t>a)</w:t>
      </w:r>
      <w:r>
        <w:rPr>
          <w:lang w:val="fr-CA"/>
        </w:rPr>
        <w:tab/>
        <w:t>P</w:t>
      </w:r>
      <w:r w:rsidRPr="006E5AC7">
        <w:rPr>
          <w:lang w:val="fr-CA"/>
        </w:rPr>
        <w:t>rendre note, avec satisfaction, du rapport présenté par le PNUD et des efforts déployés pour faciliter l’apport de technologies à faible potentiel de réchauffement planétaire (PRP) aux entreprises Friarc et IDA financées dans la phase I du plan de gestion de l’élimination de HCFC pour Cuba, figurant dans le document UNEP/Ozl.Pro/ExCom/83/11; et</w:t>
      </w:r>
    </w:p>
    <w:p w14:paraId="698F2A5D" w14:textId="12F8A5D5" w:rsidR="00712E72" w:rsidRPr="00944BFF" w:rsidRDefault="008C187D" w:rsidP="008C187D">
      <w:pPr>
        <w:pStyle w:val="Heading2"/>
        <w:numPr>
          <w:ilvl w:val="0"/>
          <w:numId w:val="0"/>
        </w:numPr>
        <w:ind w:left="1440" w:hanging="720"/>
        <w:rPr>
          <w:highlight w:val="yellow"/>
          <w:lang w:val="fr-FR"/>
        </w:rPr>
      </w:pPr>
      <w:r>
        <w:rPr>
          <w:lang w:val="fr-CA"/>
        </w:rPr>
        <w:t>b)</w:t>
      </w:r>
      <w:r>
        <w:rPr>
          <w:lang w:val="fr-CA"/>
        </w:rPr>
        <w:tab/>
        <w:t>D</w:t>
      </w:r>
      <w:r w:rsidRPr="006E5AC7">
        <w:rPr>
          <w:lang w:val="fr-CA"/>
        </w:rPr>
        <w:t>emander au PNUD de continuer à aider le Gouvernement  de Cuba à assurer l’apport de technologies de remplacement à faible PRP et à présenter à la 84</w:t>
      </w:r>
      <w:r w:rsidRPr="006E5AC7">
        <w:rPr>
          <w:vertAlign w:val="superscript"/>
          <w:lang w:val="fr-CA"/>
        </w:rPr>
        <w:t>e</w:t>
      </w:r>
      <w:r w:rsidRPr="006E5AC7">
        <w:rPr>
          <w:lang w:val="fr-CA"/>
        </w:rPr>
        <w:t xml:space="preserve"> réunion un rapport sur l’état de la reconversion des deux entreprises mentionnées à l’alinéa (a), incluant, en cas d’utilisation d’une technologie autre que celle choisie initialement lorsque le projet a été approuvé, une analyse détaillée des surcoûts d’investissement et d’exploitation, ainsi qu’une mise à jour par les fournisseurs des progrès réalisés pour assurer que les technologies retenues, incluant les éléments connexes, soient disponibles dans le pays sur une base commerciale.</w:t>
      </w:r>
      <w:r>
        <w:rPr>
          <w:highlight w:val="yellow"/>
          <w:lang w:val="fr-FR"/>
        </w:rPr>
        <w:t xml:space="preserve"> </w:t>
      </w:r>
    </w:p>
    <w:p w14:paraId="34592540" w14:textId="17B69CB6" w:rsidR="00712E72" w:rsidRPr="00944BFF" w:rsidRDefault="002F1CF0" w:rsidP="00712E72">
      <w:pPr>
        <w:keepNext/>
        <w:ind w:left="709"/>
        <w:rPr>
          <w:i/>
          <w:u w:val="single"/>
          <w:lang w:val="fr-FR"/>
        </w:rPr>
      </w:pPr>
      <w:r w:rsidRPr="00944BFF">
        <w:rPr>
          <w:i/>
          <w:u w:val="single"/>
          <w:lang w:val="fr-FR"/>
        </w:rPr>
        <w:t>Liban</w:t>
      </w:r>
      <w:r w:rsidR="00712E72" w:rsidRPr="00944BFF">
        <w:rPr>
          <w:i/>
          <w:u w:val="single"/>
          <w:lang w:val="fr-FR"/>
        </w:rPr>
        <w:t>: U</w:t>
      </w:r>
      <w:r w:rsidRPr="00944BFF">
        <w:rPr>
          <w:i/>
          <w:u w:val="single"/>
          <w:lang w:val="fr-FR"/>
        </w:rPr>
        <w:t>tili</w:t>
      </w:r>
      <w:r w:rsidR="00712E72" w:rsidRPr="00944BFF">
        <w:rPr>
          <w:i/>
          <w:u w:val="single"/>
          <w:lang w:val="fr-FR"/>
        </w:rPr>
        <w:t>s</w:t>
      </w:r>
      <w:r w:rsidRPr="00944BFF">
        <w:rPr>
          <w:i/>
          <w:u w:val="single"/>
          <w:lang w:val="fr-FR"/>
        </w:rPr>
        <w:t>ation d’un</w:t>
      </w:r>
      <w:r w:rsidR="00712E72" w:rsidRPr="00944BFF">
        <w:rPr>
          <w:i/>
          <w:u w:val="single"/>
          <w:lang w:val="fr-FR"/>
        </w:rPr>
        <w:t xml:space="preserve">e </w:t>
      </w:r>
      <w:r w:rsidRPr="00944BFF">
        <w:rPr>
          <w:i/>
          <w:u w:val="single"/>
          <w:lang w:val="fr-FR"/>
        </w:rPr>
        <w:t>technologie intérimaire (phas</w:t>
      </w:r>
      <w:r w:rsidR="00712E72" w:rsidRPr="00944BFF">
        <w:rPr>
          <w:i/>
          <w:u w:val="single"/>
          <w:lang w:val="fr-FR"/>
        </w:rPr>
        <w:t xml:space="preserve">e II </w:t>
      </w:r>
      <w:r w:rsidRPr="00944BFF">
        <w:rPr>
          <w:i/>
          <w:u w:val="single"/>
          <w:lang w:val="fr-FR"/>
        </w:rPr>
        <w:t xml:space="preserve">du plan de gestion de l’élimination des HCFC  – </w:t>
      </w:r>
      <w:r w:rsidR="00712E72" w:rsidRPr="00944BFF">
        <w:rPr>
          <w:i/>
          <w:u w:val="single"/>
          <w:lang w:val="fr-FR"/>
        </w:rPr>
        <w:t>r</w:t>
      </w:r>
      <w:r w:rsidRPr="00944BFF">
        <w:rPr>
          <w:i/>
          <w:u w:val="single"/>
          <w:lang w:val="fr-FR"/>
        </w:rPr>
        <w:t>apport périodique</w:t>
      </w:r>
      <w:r w:rsidR="00712E72" w:rsidRPr="00944BFF">
        <w:rPr>
          <w:i/>
          <w:u w:val="single"/>
          <w:lang w:val="fr-FR"/>
        </w:rPr>
        <w:t>)</w:t>
      </w:r>
      <w:r w:rsidRPr="00944BFF">
        <w:rPr>
          <w:i/>
          <w:lang w:val="fr-FR"/>
        </w:rPr>
        <w:t xml:space="preserve"> (</w:t>
      </w:r>
      <w:r w:rsidR="00712E72" w:rsidRPr="00944BFF">
        <w:rPr>
          <w:i/>
          <w:lang w:val="fr-FR"/>
        </w:rPr>
        <w:t>P</w:t>
      </w:r>
      <w:r w:rsidRPr="00944BFF">
        <w:rPr>
          <w:i/>
          <w:lang w:val="fr-FR"/>
        </w:rPr>
        <w:t>NUD</w:t>
      </w:r>
      <w:r w:rsidR="00712E72" w:rsidRPr="00944BFF">
        <w:rPr>
          <w:i/>
          <w:lang w:val="fr-FR"/>
        </w:rPr>
        <w:t>) (paragraph</w:t>
      </w:r>
      <w:r w:rsidRPr="00944BFF">
        <w:rPr>
          <w:i/>
          <w:lang w:val="fr-FR"/>
        </w:rPr>
        <w:t>e</w:t>
      </w:r>
      <w:r w:rsidR="00712E72" w:rsidRPr="00944BFF">
        <w:rPr>
          <w:i/>
          <w:lang w:val="fr-FR"/>
        </w:rPr>
        <w:t>s 39-47)</w:t>
      </w:r>
    </w:p>
    <w:p w14:paraId="5AF6DE91" w14:textId="77777777" w:rsidR="00712E72" w:rsidRPr="00944BFF" w:rsidRDefault="00712E72" w:rsidP="00712E72">
      <w:pPr>
        <w:keepNext/>
        <w:ind w:left="709"/>
        <w:rPr>
          <w:i/>
          <w:u w:val="single"/>
          <w:lang w:val="fr-FR"/>
        </w:rPr>
      </w:pPr>
    </w:p>
    <w:p w14:paraId="4BC5441B" w14:textId="41768934" w:rsidR="00712E72" w:rsidRPr="00944BFF" w:rsidRDefault="002F1CF0" w:rsidP="00712E72">
      <w:pPr>
        <w:keepNext/>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p>
    <w:p w14:paraId="69D29B12" w14:textId="2F59CE45" w:rsidR="00712E72" w:rsidRPr="00944BFF" w:rsidRDefault="00712E72" w:rsidP="00194291">
      <w:pPr>
        <w:keepNext/>
        <w:numPr>
          <w:ilvl w:val="0"/>
          <w:numId w:val="12"/>
        </w:numPr>
        <w:ind w:left="1434" w:hanging="357"/>
        <w:rPr>
          <w:color w:val="000000" w:themeColor="text1"/>
          <w:lang w:val="fr-FR"/>
        </w:rPr>
      </w:pPr>
      <w:r w:rsidRPr="00944BFF">
        <w:rPr>
          <w:color w:val="000000" w:themeColor="text1"/>
          <w:lang w:val="fr-FR"/>
        </w:rPr>
        <w:t>L</w:t>
      </w:r>
      <w:r w:rsidR="002F1CF0" w:rsidRPr="00944BFF">
        <w:rPr>
          <w:color w:val="000000" w:themeColor="text1"/>
          <w:lang w:val="fr-FR"/>
        </w:rPr>
        <w:t>a techn</w:t>
      </w:r>
      <w:r w:rsidRPr="00944BFF">
        <w:rPr>
          <w:color w:val="000000" w:themeColor="text1"/>
          <w:lang w:val="fr-FR"/>
        </w:rPr>
        <w:t>o</w:t>
      </w:r>
      <w:r w:rsidR="008C187D">
        <w:rPr>
          <w:color w:val="000000" w:themeColor="text1"/>
          <w:lang w:val="fr-FR"/>
        </w:rPr>
        <w:t>logie à faible PRP</w:t>
      </w:r>
      <w:r w:rsidR="002F1CF0" w:rsidRPr="00944BFF">
        <w:rPr>
          <w:color w:val="000000" w:themeColor="text1"/>
          <w:lang w:val="fr-FR"/>
        </w:rPr>
        <w:t xml:space="preserve"> n’est pas encore disponible</w:t>
      </w:r>
    </w:p>
    <w:p w14:paraId="4F93E485" w14:textId="0F26F189" w:rsidR="00712E72" w:rsidRPr="00944BFF" w:rsidRDefault="00712E72" w:rsidP="00194291">
      <w:pPr>
        <w:numPr>
          <w:ilvl w:val="0"/>
          <w:numId w:val="12"/>
        </w:numPr>
        <w:spacing w:after="240"/>
        <w:rPr>
          <w:color w:val="000000" w:themeColor="text1"/>
          <w:lang w:val="fr-FR"/>
        </w:rPr>
      </w:pPr>
      <w:r w:rsidRPr="00944BFF">
        <w:rPr>
          <w:color w:val="000000" w:themeColor="text1"/>
          <w:lang w:val="fr-FR"/>
        </w:rPr>
        <w:t>Continue</w:t>
      </w:r>
      <w:r w:rsidR="002F1CF0" w:rsidRPr="00944BFF">
        <w:rPr>
          <w:color w:val="000000" w:themeColor="text1"/>
          <w:lang w:val="fr-FR"/>
        </w:rPr>
        <w:t>r de faire rapport jusqu’à l’introductio</w:t>
      </w:r>
      <w:r w:rsidR="008C187D">
        <w:rPr>
          <w:color w:val="000000" w:themeColor="text1"/>
          <w:lang w:val="fr-FR"/>
        </w:rPr>
        <w:t>n de la technologie à faible PRP</w:t>
      </w:r>
    </w:p>
    <w:p w14:paraId="77B29A21" w14:textId="39E2BC29" w:rsidR="00712E72" w:rsidRPr="008C187D" w:rsidRDefault="002F1CF0" w:rsidP="00712E72">
      <w:pPr>
        <w:pStyle w:val="Heading1"/>
        <w:keepNext/>
        <w:numPr>
          <w:ilvl w:val="0"/>
          <w:numId w:val="0"/>
        </w:numPr>
        <w:ind w:left="709"/>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Pr="008C187D">
        <w:rPr>
          <w:color w:val="000000" w:themeColor="text1"/>
          <w:u w:val="single"/>
          <w:lang w:val="fr-FR"/>
        </w:rPr>
        <w:t xml:space="preserve">Comité exécutif pourrait souhaiter </w:t>
      </w:r>
      <w:r w:rsidR="00712E72" w:rsidRPr="008C187D">
        <w:rPr>
          <w:color w:val="000000" w:themeColor="text1"/>
          <w:lang w:val="fr-FR"/>
        </w:rPr>
        <w:t xml:space="preserve">: </w:t>
      </w:r>
    </w:p>
    <w:p w14:paraId="0AA2489D" w14:textId="018EF90C" w:rsidR="008C187D" w:rsidRPr="008C187D" w:rsidRDefault="008C187D" w:rsidP="008C187D">
      <w:pPr>
        <w:pStyle w:val="Heading2"/>
        <w:numPr>
          <w:ilvl w:val="0"/>
          <w:numId w:val="0"/>
        </w:numPr>
        <w:ind w:left="1440" w:hanging="720"/>
        <w:rPr>
          <w:lang w:val="fr-CA"/>
        </w:rPr>
      </w:pPr>
      <w:r>
        <w:rPr>
          <w:lang w:val="fr-CA"/>
        </w:rPr>
        <w:t>a)</w:t>
      </w:r>
      <w:r>
        <w:rPr>
          <w:lang w:val="fr-CA"/>
        </w:rPr>
        <w:tab/>
        <w:t>P</w:t>
      </w:r>
      <w:r w:rsidRPr="008C187D">
        <w:rPr>
          <w:lang w:val="fr-CA"/>
        </w:rPr>
        <w:t>rendre note du rapport soumis par le PNUD et le Gouvernement du Liban, qui décrit les difficultés continues auxquelles le Gouvernement a fait face pour trouver des solutions de remplacement (c’est-à-dire des HFO) à faible PRP disponibles commercialement, ainsi que les efforts du Gouvernement du Liban et du PNUD pour faciliter l’apport de technologies à faible PRP aux entreprises, financés au titre de la phase II du plan de gestion de l’élimination des HCFC pour le Liban, présenté dans le document UNEP/OzL.Pro/ExCom/83/11; et</w:t>
      </w:r>
    </w:p>
    <w:p w14:paraId="56C5854E" w14:textId="57C1CEB2" w:rsidR="00712E72" w:rsidRPr="008C187D" w:rsidRDefault="008C187D" w:rsidP="008C187D">
      <w:pPr>
        <w:widowControl w:val="0"/>
        <w:spacing w:after="240"/>
        <w:ind w:left="1440" w:hanging="720"/>
        <w:outlineLvl w:val="1"/>
        <w:rPr>
          <w:lang w:val="fr-CA"/>
        </w:rPr>
      </w:pPr>
      <w:r>
        <w:rPr>
          <w:lang w:val="fr-CA"/>
        </w:rPr>
        <w:t>b)</w:t>
      </w:r>
      <w:r>
        <w:rPr>
          <w:lang w:val="fr-CA"/>
        </w:rPr>
        <w:tab/>
        <w:t>D</w:t>
      </w:r>
      <w:r w:rsidRPr="006E5AC7">
        <w:rPr>
          <w:lang w:val="fr-CA"/>
        </w:rPr>
        <w:t>emander au PNUD de continuer à aider le Gouvernement du Liban à assurer l’apport de technologies de remplacement à faible PRP et à rendre compte à la 84</w:t>
      </w:r>
      <w:r w:rsidRPr="006E5AC7">
        <w:rPr>
          <w:vertAlign w:val="superscript"/>
          <w:lang w:val="fr-CA"/>
        </w:rPr>
        <w:t>e</w:t>
      </w:r>
      <w:r w:rsidRPr="006E5AC7">
        <w:rPr>
          <w:lang w:val="fr-CA"/>
        </w:rPr>
        <w:t xml:space="preserve"> réunion de l’avancement de la reconversion des entreprises bénéficiaires restantes dans les deux secteurs de fabrication de mousses et de climatiseurs, notamment les petites entreprises de mousse, à chaque réunion, jusqu’à ce que la technologie initialement retenue ou une aut</w:t>
      </w:r>
      <w:r w:rsidR="000C5BEB">
        <w:rPr>
          <w:lang w:val="fr-CA"/>
        </w:rPr>
        <w:t>re technologie à faible PRP ai</w:t>
      </w:r>
      <w:r w:rsidRPr="006E5AC7">
        <w:rPr>
          <w:lang w:val="fr-CA"/>
        </w:rPr>
        <w:t>t été totalement acceptée, ainsi qu’une mise à jour par les fournisseurs sur les progrès réalisés pour assurer que les technologies retenues, incluant les éléments connexes, soient disponibles commercialement dans le pays.</w:t>
      </w:r>
    </w:p>
    <w:p w14:paraId="7297F2C6" w14:textId="0088948A" w:rsidR="00712E72" w:rsidRPr="00944BFF" w:rsidRDefault="002F1CF0" w:rsidP="000C5BEB">
      <w:pPr>
        <w:ind w:left="709"/>
        <w:rPr>
          <w:i/>
          <w:u w:val="single"/>
          <w:lang w:val="fr-FR"/>
        </w:rPr>
      </w:pPr>
      <w:r w:rsidRPr="00944BFF">
        <w:rPr>
          <w:i/>
          <w:u w:val="single"/>
          <w:lang w:val="fr-FR"/>
        </w:rPr>
        <w:lastRenderedPageBreak/>
        <w:t>Trini</w:t>
      </w:r>
      <w:r w:rsidR="000C5BEB">
        <w:rPr>
          <w:i/>
          <w:u w:val="single"/>
          <w:lang w:val="fr-FR"/>
        </w:rPr>
        <w:t>té-</w:t>
      </w:r>
      <w:r w:rsidRPr="00944BFF">
        <w:rPr>
          <w:i/>
          <w:u w:val="single"/>
          <w:lang w:val="fr-FR"/>
        </w:rPr>
        <w:t>et</w:t>
      </w:r>
      <w:r w:rsidR="000C5BEB">
        <w:rPr>
          <w:i/>
          <w:u w:val="single"/>
          <w:lang w:val="fr-FR"/>
        </w:rPr>
        <w:t>-</w:t>
      </w:r>
      <w:r w:rsidR="00712E72" w:rsidRPr="00944BFF">
        <w:rPr>
          <w:i/>
          <w:u w:val="single"/>
          <w:lang w:val="fr-FR"/>
        </w:rPr>
        <w:t xml:space="preserve">Tobago: </w:t>
      </w:r>
      <w:r w:rsidRPr="00944BFF">
        <w:rPr>
          <w:i/>
          <w:u w:val="single"/>
          <w:lang w:val="fr-FR"/>
        </w:rPr>
        <w:t xml:space="preserve">Plan de gestion de l’élimination des HCFC </w:t>
      </w:r>
      <w:r w:rsidR="002A7553">
        <w:rPr>
          <w:i/>
          <w:u w:val="single"/>
          <w:lang w:val="fr-FR"/>
        </w:rPr>
        <w:t>(</w:t>
      </w:r>
      <w:r w:rsidRPr="00944BFF">
        <w:rPr>
          <w:i/>
          <w:u w:val="single"/>
          <w:lang w:val="fr-FR"/>
        </w:rPr>
        <w:t>phas</w:t>
      </w:r>
      <w:r w:rsidR="00712E72" w:rsidRPr="00944BFF">
        <w:rPr>
          <w:i/>
          <w:u w:val="single"/>
          <w:lang w:val="fr-FR"/>
        </w:rPr>
        <w:t xml:space="preserve">e I – </w:t>
      </w:r>
      <w:r w:rsidRPr="00944BFF">
        <w:rPr>
          <w:i/>
          <w:u w:val="single"/>
          <w:lang w:val="fr-FR"/>
        </w:rPr>
        <w:t>quatrième</w:t>
      </w:r>
      <w:r w:rsidR="00712E72" w:rsidRPr="00944BFF">
        <w:rPr>
          <w:i/>
          <w:u w:val="single"/>
          <w:lang w:val="fr-FR"/>
        </w:rPr>
        <w:t xml:space="preserve"> tranche)</w:t>
      </w:r>
      <w:r w:rsidR="00712E72" w:rsidRPr="00944BFF">
        <w:rPr>
          <w:i/>
          <w:lang w:val="fr-FR"/>
        </w:rPr>
        <w:t xml:space="preserve"> </w:t>
      </w:r>
      <w:r w:rsidRPr="00944BFF">
        <w:rPr>
          <w:i/>
          <w:lang w:val="fr-FR"/>
        </w:rPr>
        <w:t>(</w:t>
      </w:r>
      <w:r w:rsidR="00712E72" w:rsidRPr="00944BFF">
        <w:rPr>
          <w:i/>
          <w:lang w:val="fr-FR"/>
        </w:rPr>
        <w:t>P</w:t>
      </w:r>
      <w:r w:rsidRPr="00944BFF">
        <w:rPr>
          <w:i/>
          <w:lang w:val="fr-FR"/>
        </w:rPr>
        <w:t>NUD</w:t>
      </w:r>
      <w:r w:rsidR="00712E72" w:rsidRPr="00944BFF">
        <w:rPr>
          <w:i/>
          <w:lang w:val="fr-FR"/>
        </w:rPr>
        <w:t>) (paragraph</w:t>
      </w:r>
      <w:r w:rsidRPr="00944BFF">
        <w:rPr>
          <w:i/>
          <w:lang w:val="fr-FR"/>
        </w:rPr>
        <w:t>e</w:t>
      </w:r>
      <w:r w:rsidR="00712E72" w:rsidRPr="00944BFF">
        <w:rPr>
          <w:i/>
          <w:lang w:val="fr-FR"/>
        </w:rPr>
        <w:t>s 48-52)</w:t>
      </w:r>
    </w:p>
    <w:p w14:paraId="4A499648" w14:textId="77777777" w:rsidR="00712E72" w:rsidRPr="00944BFF" w:rsidRDefault="00712E72" w:rsidP="00712E72">
      <w:pPr>
        <w:ind w:left="709"/>
        <w:rPr>
          <w:i/>
          <w:u w:val="single"/>
          <w:lang w:val="fr-FR"/>
        </w:rPr>
      </w:pPr>
    </w:p>
    <w:p w14:paraId="041727D8" w14:textId="4114E704" w:rsidR="00712E72" w:rsidRPr="00944BFF" w:rsidRDefault="002F1CF0" w:rsidP="00712E72">
      <w:pPr>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p>
    <w:p w14:paraId="07603B3A" w14:textId="394209C7" w:rsidR="00712E72" w:rsidRPr="00944BFF" w:rsidRDefault="00712E72" w:rsidP="00761F88">
      <w:pPr>
        <w:pStyle w:val="ListParagraph"/>
        <w:numPr>
          <w:ilvl w:val="0"/>
          <w:numId w:val="13"/>
        </w:numPr>
        <w:rPr>
          <w:color w:val="000000" w:themeColor="text1"/>
          <w:lang w:val="fr-FR"/>
        </w:rPr>
      </w:pPr>
      <w:r w:rsidRPr="00944BFF">
        <w:rPr>
          <w:color w:val="000000" w:themeColor="text1"/>
          <w:lang w:val="fr-FR"/>
        </w:rPr>
        <w:t>U</w:t>
      </w:r>
      <w:r w:rsidR="002F1CF0" w:rsidRPr="00944BFF">
        <w:rPr>
          <w:color w:val="000000" w:themeColor="text1"/>
          <w:lang w:val="fr-FR"/>
        </w:rPr>
        <w:t>ti</w:t>
      </w:r>
      <w:r w:rsidR="008C187D">
        <w:rPr>
          <w:color w:val="000000" w:themeColor="text1"/>
          <w:lang w:val="fr-FR"/>
        </w:rPr>
        <w:t>lisation d’une technologie à PRP</w:t>
      </w:r>
      <w:r w:rsidR="002F1CF0" w:rsidRPr="00944BFF">
        <w:rPr>
          <w:color w:val="000000" w:themeColor="text1"/>
          <w:lang w:val="fr-FR"/>
        </w:rPr>
        <w:t xml:space="preserve"> élevé </w:t>
      </w:r>
      <w:r w:rsidR="002039BC" w:rsidRPr="00944BFF">
        <w:rPr>
          <w:color w:val="000000" w:themeColor="text1"/>
          <w:lang w:val="fr-FR"/>
        </w:rPr>
        <w:t>dan</w:t>
      </w:r>
      <w:r w:rsidRPr="00944BFF">
        <w:rPr>
          <w:color w:val="000000" w:themeColor="text1"/>
          <w:lang w:val="fr-FR"/>
        </w:rPr>
        <w:t>s</w:t>
      </w:r>
      <w:r w:rsidR="002039BC" w:rsidRPr="00944BFF">
        <w:rPr>
          <w:color w:val="000000" w:themeColor="text1"/>
          <w:lang w:val="fr-FR"/>
        </w:rPr>
        <w:t xml:space="preserve"> un</w:t>
      </w:r>
      <w:r w:rsidRPr="00944BFF">
        <w:rPr>
          <w:color w:val="000000" w:themeColor="text1"/>
          <w:lang w:val="fr-FR"/>
        </w:rPr>
        <w:t xml:space="preserve">e </w:t>
      </w:r>
      <w:r w:rsidR="002039BC" w:rsidRPr="00944BFF">
        <w:rPr>
          <w:color w:val="000000" w:themeColor="text1"/>
          <w:lang w:val="fr-FR"/>
        </w:rPr>
        <w:t>application pour mousse pulvérisée</w:t>
      </w:r>
    </w:p>
    <w:p w14:paraId="11CCC490" w14:textId="3B80129A" w:rsidR="00712E72" w:rsidRPr="00944BFF" w:rsidRDefault="002039BC" w:rsidP="00761F88">
      <w:pPr>
        <w:pStyle w:val="ListParagraph"/>
        <w:numPr>
          <w:ilvl w:val="0"/>
          <w:numId w:val="13"/>
        </w:numPr>
        <w:spacing w:after="240"/>
        <w:rPr>
          <w:color w:val="000000" w:themeColor="text1"/>
          <w:lang w:val="fr-FR"/>
        </w:rPr>
      </w:pPr>
      <w:r w:rsidRPr="00944BFF">
        <w:rPr>
          <w:color w:val="000000" w:themeColor="text1"/>
          <w:lang w:val="fr-FR"/>
        </w:rPr>
        <w:t>Annulation du projet pour une entrepris</w:t>
      </w:r>
      <w:r w:rsidR="00712E72" w:rsidRPr="00944BFF">
        <w:rPr>
          <w:color w:val="000000" w:themeColor="text1"/>
          <w:lang w:val="fr-FR"/>
        </w:rPr>
        <w:t>e</w:t>
      </w:r>
    </w:p>
    <w:p w14:paraId="779D8D65" w14:textId="6336D50D" w:rsidR="00712E72" w:rsidRPr="008C187D" w:rsidRDefault="002039BC" w:rsidP="00712E72">
      <w:pPr>
        <w:pStyle w:val="Heading1"/>
        <w:numPr>
          <w:ilvl w:val="0"/>
          <w:numId w:val="0"/>
        </w:numPr>
        <w:ind w:left="709"/>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Pr="008C187D">
        <w:rPr>
          <w:color w:val="000000" w:themeColor="text1"/>
          <w:u w:val="single"/>
          <w:lang w:val="fr-FR"/>
        </w:rPr>
        <w:t xml:space="preserve">Comité exécutif pourrait souhaiter </w:t>
      </w:r>
      <w:r w:rsidR="00712E72" w:rsidRPr="008C187D">
        <w:rPr>
          <w:color w:val="000000" w:themeColor="text1"/>
          <w:lang w:val="fr-FR"/>
        </w:rPr>
        <w:t xml:space="preserve">: </w:t>
      </w:r>
    </w:p>
    <w:p w14:paraId="3DB02A2E" w14:textId="5F980A6E" w:rsidR="008C187D" w:rsidRPr="006E5AC7" w:rsidRDefault="008C187D" w:rsidP="008C187D">
      <w:pPr>
        <w:widowControl w:val="0"/>
        <w:spacing w:after="240"/>
        <w:ind w:left="1418" w:hanging="720"/>
        <w:outlineLvl w:val="1"/>
        <w:rPr>
          <w:lang w:val="fr-CA"/>
        </w:rPr>
      </w:pPr>
      <w:r>
        <w:rPr>
          <w:lang w:val="fr-CA"/>
        </w:rPr>
        <w:t>a)</w:t>
      </w:r>
      <w:r>
        <w:rPr>
          <w:lang w:val="fr-CA"/>
        </w:rPr>
        <w:tab/>
        <w:t>P</w:t>
      </w:r>
      <w:r w:rsidRPr="006E5AC7">
        <w:rPr>
          <w:lang w:val="fr-CA"/>
        </w:rPr>
        <w:t>rendre note du rapport du PNUD sur l’utilisation de différentes technologies et des problèmes soulevés pour les entreprises qui adoptent des agents de gonflage à faible potentiel de réchauffement planétaire (PRP) quand elles reçoivent de l’assistance au titre de la phase I du plan de gestion de l’élimination des HCFC pour Trinité-et-Tobago, présenté dans le document UNEP/OzL.Pro/ExCom/83/11;</w:t>
      </w:r>
    </w:p>
    <w:p w14:paraId="2A4F0BCA" w14:textId="084F4137" w:rsidR="008C187D" w:rsidRPr="006E5AC7" w:rsidRDefault="008C187D" w:rsidP="008C187D">
      <w:pPr>
        <w:widowControl w:val="0"/>
        <w:spacing w:after="240"/>
        <w:ind w:left="1418" w:hanging="720"/>
        <w:outlineLvl w:val="1"/>
        <w:rPr>
          <w:lang w:val="fr-CA"/>
        </w:rPr>
      </w:pPr>
      <w:r>
        <w:rPr>
          <w:lang w:val="fr-CA"/>
        </w:rPr>
        <w:t>b)</w:t>
      </w:r>
      <w:r>
        <w:rPr>
          <w:lang w:val="fr-CA"/>
        </w:rPr>
        <w:tab/>
        <w:t>N</w:t>
      </w:r>
      <w:r w:rsidRPr="006E5AC7">
        <w:rPr>
          <w:lang w:val="fr-CA"/>
        </w:rPr>
        <w:t>oter par ailleurs que le PNUD restituera les soldes non utilisés de Ice Con à la fin des procédures administratives et financières nécessaires pour l’annulation du projet lorsque la prochaine tranche est soumise; et</w:t>
      </w:r>
    </w:p>
    <w:p w14:paraId="35841F7F" w14:textId="6702CB66" w:rsidR="008C187D" w:rsidRPr="00F537E9" w:rsidRDefault="008C187D" w:rsidP="008C187D">
      <w:pPr>
        <w:ind w:left="1440" w:hanging="720"/>
        <w:rPr>
          <w:lang w:val="fr-CA"/>
        </w:rPr>
      </w:pPr>
      <w:r>
        <w:rPr>
          <w:lang w:val="fr-CA"/>
        </w:rPr>
        <w:t>c)</w:t>
      </w:r>
      <w:r>
        <w:rPr>
          <w:lang w:val="fr-CA"/>
        </w:rPr>
        <w:tab/>
        <w:t>D</w:t>
      </w:r>
      <w:r w:rsidRPr="006E5AC7">
        <w:rPr>
          <w:lang w:val="fr-CA"/>
        </w:rPr>
        <w:t>emander au PNUD de continuer à aider le Gouvernement de Trinité-et-Tobago à assurer l’apport de technologies de rechange à faible PRP et à soumettre à la 84</w:t>
      </w:r>
      <w:r w:rsidRPr="006E5AC7">
        <w:rPr>
          <w:vertAlign w:val="superscript"/>
          <w:lang w:val="fr-CA"/>
        </w:rPr>
        <w:t>e</w:t>
      </w:r>
      <w:r w:rsidRPr="006E5AC7">
        <w:rPr>
          <w:lang w:val="fr-CA"/>
        </w:rPr>
        <w:t> réunion un rapport sur la reconversion à la technologie proposée.</w:t>
      </w:r>
    </w:p>
    <w:p w14:paraId="146DA17C" w14:textId="77777777" w:rsidR="008C187D" w:rsidRDefault="008C187D" w:rsidP="00712E72">
      <w:pPr>
        <w:keepNext/>
        <w:ind w:left="709"/>
        <w:rPr>
          <w:i/>
          <w:lang w:val="fr-FR"/>
        </w:rPr>
      </w:pPr>
    </w:p>
    <w:p w14:paraId="76E3A216" w14:textId="2649450B" w:rsidR="00712E72" w:rsidRPr="00944BFF" w:rsidRDefault="00712E72" w:rsidP="00712E72">
      <w:pPr>
        <w:keepNext/>
        <w:ind w:left="709"/>
        <w:rPr>
          <w:i/>
          <w:lang w:val="fr-FR"/>
        </w:rPr>
      </w:pPr>
      <w:r w:rsidRPr="00944BFF">
        <w:rPr>
          <w:i/>
          <w:lang w:val="fr-FR"/>
        </w:rPr>
        <w:t>Part</w:t>
      </w:r>
      <w:r w:rsidR="002039BC" w:rsidRPr="00944BFF">
        <w:rPr>
          <w:i/>
          <w:lang w:val="fr-FR"/>
        </w:rPr>
        <w:t>ie</w:t>
      </w:r>
      <w:r w:rsidRPr="00944BFF">
        <w:rPr>
          <w:i/>
          <w:lang w:val="fr-FR"/>
        </w:rPr>
        <w:t xml:space="preserve"> IV: R</w:t>
      </w:r>
      <w:r w:rsidR="002039BC" w:rsidRPr="00944BFF">
        <w:rPr>
          <w:i/>
          <w:lang w:val="fr-FR"/>
        </w:rPr>
        <w:t>ap</w:t>
      </w:r>
      <w:r w:rsidRPr="00944BFF">
        <w:rPr>
          <w:i/>
          <w:lang w:val="fr-FR"/>
        </w:rPr>
        <w:t>ports</w:t>
      </w:r>
      <w:r w:rsidR="002039BC" w:rsidRPr="00944BFF">
        <w:rPr>
          <w:i/>
          <w:lang w:val="fr-FR"/>
        </w:rPr>
        <w:t xml:space="preserve"> concernant les plans de gestion de l’élimination des </w:t>
      </w:r>
      <w:r w:rsidRPr="00944BFF">
        <w:rPr>
          <w:i/>
          <w:lang w:val="fr-FR"/>
        </w:rPr>
        <w:t xml:space="preserve">HCFC </w:t>
      </w:r>
    </w:p>
    <w:p w14:paraId="15CE0C1F" w14:textId="77777777" w:rsidR="00712E72" w:rsidRPr="00944BFF" w:rsidRDefault="00712E72" w:rsidP="00712E72">
      <w:pPr>
        <w:keepNext/>
        <w:ind w:left="709"/>
        <w:rPr>
          <w:i/>
          <w:u w:val="single"/>
          <w:lang w:val="fr-FR"/>
        </w:rPr>
      </w:pPr>
    </w:p>
    <w:p w14:paraId="1CB3CAEB" w14:textId="55E5E159" w:rsidR="00712E72" w:rsidRPr="00944BFF" w:rsidRDefault="002039BC" w:rsidP="00712E72">
      <w:pPr>
        <w:keepNext/>
        <w:ind w:left="709"/>
        <w:rPr>
          <w:i/>
          <w:lang w:val="fr-FR"/>
        </w:rPr>
      </w:pPr>
      <w:r w:rsidRPr="00944BFF">
        <w:rPr>
          <w:i/>
          <w:u w:val="single"/>
          <w:lang w:val="fr-FR"/>
        </w:rPr>
        <w:t xml:space="preserve">Bahamas </w:t>
      </w:r>
      <w:r w:rsidR="00712E72" w:rsidRPr="00944BFF">
        <w:rPr>
          <w:i/>
          <w:u w:val="single"/>
          <w:lang w:val="fr-FR"/>
        </w:rPr>
        <w:t xml:space="preserve">: </w:t>
      </w:r>
      <w:r w:rsidRPr="00944BFF">
        <w:rPr>
          <w:i/>
          <w:u w:val="single"/>
          <w:lang w:val="fr-FR"/>
        </w:rPr>
        <w:t>Plan de gestion de l’élimination des HCFC (phas</w:t>
      </w:r>
      <w:r w:rsidR="00712E72" w:rsidRPr="00944BFF">
        <w:rPr>
          <w:i/>
          <w:u w:val="single"/>
          <w:lang w:val="fr-FR"/>
        </w:rPr>
        <w:t>e I – t</w:t>
      </w:r>
      <w:r w:rsidRPr="00944BFF">
        <w:rPr>
          <w:i/>
          <w:u w:val="single"/>
          <w:lang w:val="fr-FR"/>
        </w:rPr>
        <w:t>roisième</w:t>
      </w:r>
      <w:r w:rsidR="00712E72" w:rsidRPr="00944BFF">
        <w:rPr>
          <w:i/>
          <w:u w:val="single"/>
          <w:lang w:val="fr-FR"/>
        </w:rPr>
        <w:t xml:space="preserve"> tranche)</w:t>
      </w:r>
      <w:r w:rsidRPr="00944BFF">
        <w:rPr>
          <w:i/>
          <w:lang w:val="fr-FR"/>
        </w:rPr>
        <w:t xml:space="preserve"> (</w:t>
      </w:r>
      <w:r w:rsidR="00712E72" w:rsidRPr="00944BFF">
        <w:rPr>
          <w:i/>
          <w:lang w:val="fr-FR"/>
        </w:rPr>
        <w:t>P</w:t>
      </w:r>
      <w:r w:rsidRPr="00944BFF">
        <w:rPr>
          <w:i/>
          <w:lang w:val="fr-FR"/>
        </w:rPr>
        <w:t>NUE</w:t>
      </w:r>
      <w:r w:rsidR="00712E72" w:rsidRPr="00944BFF">
        <w:rPr>
          <w:i/>
          <w:lang w:val="fr-FR"/>
        </w:rPr>
        <w:t>) (paragraph</w:t>
      </w:r>
      <w:r w:rsidRPr="00944BFF">
        <w:rPr>
          <w:i/>
          <w:lang w:val="fr-FR"/>
        </w:rPr>
        <w:t>e</w:t>
      </w:r>
      <w:r w:rsidR="00712E72" w:rsidRPr="00944BFF">
        <w:rPr>
          <w:i/>
          <w:lang w:val="fr-FR"/>
        </w:rPr>
        <w:t>s 54-57)</w:t>
      </w:r>
    </w:p>
    <w:p w14:paraId="387C620D" w14:textId="77777777" w:rsidR="00712E72" w:rsidRPr="00944BFF" w:rsidRDefault="00712E72" w:rsidP="00712E72">
      <w:pPr>
        <w:keepNext/>
        <w:rPr>
          <w:lang w:val="fr-FR"/>
        </w:rPr>
      </w:pPr>
    </w:p>
    <w:p w14:paraId="16CA6DE8" w14:textId="16A7CFFD" w:rsidR="00712E72" w:rsidRPr="00944BFF" w:rsidRDefault="00B3529E" w:rsidP="00712E72">
      <w:pPr>
        <w:keepNext/>
        <w:spacing w:after="240"/>
        <w:ind w:left="709"/>
        <w:rPr>
          <w:color w:val="000000" w:themeColor="text1"/>
          <w:lang w:val="fr-FR"/>
        </w:rPr>
      </w:pPr>
      <w:r>
        <w:rPr>
          <w:color w:val="000000" w:themeColor="text1"/>
          <w:u w:val="single"/>
          <w:lang w:val="fr-FR"/>
        </w:rPr>
        <w:t xml:space="preserve">Questions à traiter </w:t>
      </w:r>
      <w:r w:rsidR="00712E72" w:rsidRPr="00944BFF">
        <w:rPr>
          <w:color w:val="000000" w:themeColor="text1"/>
          <w:lang w:val="fr-FR"/>
        </w:rPr>
        <w:t>: </w:t>
      </w:r>
    </w:p>
    <w:p w14:paraId="6EE7274F" w14:textId="75910617" w:rsidR="00712E72" w:rsidRPr="00944BFF" w:rsidRDefault="002039BC" w:rsidP="00761F88">
      <w:pPr>
        <w:pStyle w:val="ListParagraph"/>
        <w:numPr>
          <w:ilvl w:val="0"/>
          <w:numId w:val="14"/>
        </w:numPr>
        <w:rPr>
          <w:color w:val="000000" w:themeColor="text1"/>
          <w:lang w:val="fr-FR"/>
        </w:rPr>
      </w:pPr>
      <w:r w:rsidRPr="00944BFF">
        <w:rPr>
          <w:color w:val="000000" w:themeColor="text1"/>
          <w:lang w:val="fr-FR"/>
        </w:rPr>
        <w:t>Conclusions de l’étude sur deux systèmes de climatisation n’ont pas été remises</w:t>
      </w:r>
    </w:p>
    <w:p w14:paraId="34DBED39" w14:textId="77777777" w:rsidR="00712E72" w:rsidRPr="00944BFF" w:rsidRDefault="00712E72" w:rsidP="00712E72">
      <w:pPr>
        <w:pStyle w:val="ListParagraph"/>
        <w:ind w:left="1429"/>
        <w:rPr>
          <w:color w:val="000000" w:themeColor="text1"/>
          <w:lang w:val="fr-FR"/>
        </w:rPr>
      </w:pPr>
    </w:p>
    <w:p w14:paraId="7428705B" w14:textId="12B72F6D" w:rsidR="00712E72" w:rsidRPr="00944BFF" w:rsidRDefault="002039BC" w:rsidP="00712E72">
      <w:pPr>
        <w:ind w:left="709"/>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Pr="008C187D">
        <w:rPr>
          <w:color w:val="000000" w:themeColor="text1"/>
          <w:u w:val="single"/>
          <w:lang w:val="fr-FR"/>
        </w:rPr>
        <w:t xml:space="preserve">Comité exécutif pourrait souhaiter </w:t>
      </w:r>
      <w:r w:rsidR="008C187D" w:rsidRPr="008C187D">
        <w:rPr>
          <w:color w:val="000000" w:themeColor="text1"/>
          <w:lang w:val="fr-FR"/>
        </w:rPr>
        <w:t>encourager le PNUE à fournir, à la 84</w:t>
      </w:r>
      <w:r w:rsidR="008C187D" w:rsidRPr="008C187D">
        <w:rPr>
          <w:color w:val="000000" w:themeColor="text1"/>
          <w:vertAlign w:val="superscript"/>
          <w:lang w:val="fr-FR"/>
        </w:rPr>
        <w:t>e</w:t>
      </w:r>
      <w:r w:rsidR="008C187D" w:rsidRPr="008C187D">
        <w:rPr>
          <w:color w:val="000000" w:themeColor="text1"/>
          <w:lang w:val="fr-FR"/>
        </w:rPr>
        <w:t xml:space="preserve"> réunion, un rapport final mis à jour sur les résultats de l’étude pour explorer les meilleures options disponibles en vue d’évaluer, de surveiller et de convertir deux systèmes de climatisation pour un projet pilote dans le cadre de la phase</w:t>
      </w:r>
      <w:r w:rsidR="000C5BEB">
        <w:rPr>
          <w:color w:val="000000" w:themeColor="text1"/>
          <w:lang w:val="fr-FR"/>
        </w:rPr>
        <w:t xml:space="preserve"> </w:t>
      </w:r>
      <w:r w:rsidR="008C187D" w:rsidRPr="008C187D">
        <w:rPr>
          <w:color w:val="000000" w:themeColor="text1"/>
          <w:lang w:val="fr-FR"/>
        </w:rPr>
        <w:t>I du plan de gestion de l’élimination des HCFC pour les Bahamas</w:t>
      </w:r>
      <w:r w:rsidR="00712E72" w:rsidRPr="008C187D">
        <w:rPr>
          <w:color w:val="000000" w:themeColor="text1"/>
          <w:lang w:val="fr-FR"/>
        </w:rPr>
        <w:t>.</w:t>
      </w:r>
    </w:p>
    <w:p w14:paraId="4E6B4C4B" w14:textId="77777777" w:rsidR="00712E72" w:rsidRPr="00944BFF" w:rsidRDefault="00712E72" w:rsidP="00712E72">
      <w:pPr>
        <w:ind w:left="709"/>
        <w:rPr>
          <w:color w:val="000000" w:themeColor="text1"/>
          <w:lang w:val="fr-FR"/>
        </w:rPr>
      </w:pPr>
    </w:p>
    <w:p w14:paraId="055AAF31" w14:textId="0AC8EC12" w:rsidR="00712E72" w:rsidRPr="00944BFF" w:rsidRDefault="00712E72" w:rsidP="00712E72">
      <w:pPr>
        <w:keepNext/>
        <w:ind w:left="706"/>
        <w:rPr>
          <w:i/>
          <w:lang w:val="fr-FR"/>
        </w:rPr>
      </w:pPr>
      <w:r w:rsidRPr="00944BFF">
        <w:rPr>
          <w:i/>
          <w:u w:val="single"/>
          <w:lang w:val="fr-FR"/>
        </w:rPr>
        <w:t xml:space="preserve">Bangladesh: </w:t>
      </w:r>
      <w:r w:rsidR="002039BC" w:rsidRPr="00944BFF">
        <w:rPr>
          <w:i/>
          <w:u w:val="single"/>
          <w:lang w:val="fr-FR"/>
        </w:rPr>
        <w:t>Plan de gestion de l’élimination des HCFC (phas</w:t>
      </w:r>
      <w:r w:rsidRPr="00944BFF">
        <w:rPr>
          <w:i/>
          <w:u w:val="single"/>
          <w:lang w:val="fr-FR"/>
        </w:rPr>
        <w:t xml:space="preserve">e I – </w:t>
      </w:r>
      <w:r w:rsidR="002039BC" w:rsidRPr="00944BFF">
        <w:rPr>
          <w:i/>
          <w:u w:val="single"/>
          <w:lang w:val="fr-FR"/>
        </w:rPr>
        <w:t>rapport périodique final</w:t>
      </w:r>
      <w:r w:rsidRPr="00944BFF">
        <w:rPr>
          <w:i/>
          <w:u w:val="single"/>
          <w:lang w:val="fr-FR"/>
        </w:rPr>
        <w:t>)</w:t>
      </w:r>
      <w:r w:rsidRPr="00944BFF">
        <w:rPr>
          <w:i/>
          <w:lang w:val="fr-FR"/>
        </w:rPr>
        <w:t xml:space="preserve"> </w:t>
      </w:r>
      <w:r w:rsidR="002039BC" w:rsidRPr="00944BFF">
        <w:rPr>
          <w:i/>
          <w:lang w:val="fr-FR"/>
        </w:rPr>
        <w:t>(</w:t>
      </w:r>
      <w:r w:rsidRPr="00944BFF">
        <w:rPr>
          <w:i/>
          <w:lang w:val="fr-FR"/>
        </w:rPr>
        <w:t>P</w:t>
      </w:r>
      <w:r w:rsidR="002039BC" w:rsidRPr="00944BFF">
        <w:rPr>
          <w:i/>
          <w:lang w:val="fr-FR"/>
        </w:rPr>
        <w:t>NUD</w:t>
      </w:r>
      <w:r w:rsidRPr="00944BFF">
        <w:rPr>
          <w:i/>
          <w:lang w:val="fr-FR"/>
        </w:rPr>
        <w:t xml:space="preserve"> </w:t>
      </w:r>
      <w:r w:rsidR="002039BC" w:rsidRPr="00944BFF">
        <w:rPr>
          <w:i/>
          <w:lang w:val="fr-FR"/>
        </w:rPr>
        <w:t xml:space="preserve">et </w:t>
      </w:r>
      <w:r w:rsidRPr="00944BFF">
        <w:rPr>
          <w:i/>
          <w:lang w:val="fr-FR"/>
        </w:rPr>
        <w:t>P</w:t>
      </w:r>
      <w:r w:rsidR="002039BC" w:rsidRPr="00944BFF">
        <w:rPr>
          <w:i/>
          <w:lang w:val="fr-FR"/>
        </w:rPr>
        <w:t>NUE</w:t>
      </w:r>
      <w:r w:rsidRPr="00944BFF">
        <w:rPr>
          <w:i/>
          <w:lang w:val="fr-FR"/>
        </w:rPr>
        <w:t>) (paragraph</w:t>
      </w:r>
      <w:r w:rsidR="002039BC" w:rsidRPr="00944BFF">
        <w:rPr>
          <w:i/>
          <w:lang w:val="fr-FR"/>
        </w:rPr>
        <w:t>e</w:t>
      </w:r>
      <w:r w:rsidRPr="00944BFF">
        <w:rPr>
          <w:i/>
          <w:lang w:val="fr-FR"/>
        </w:rPr>
        <w:t>s 58-66)</w:t>
      </w:r>
    </w:p>
    <w:p w14:paraId="02FFAB65" w14:textId="77777777" w:rsidR="00712E72" w:rsidRPr="00944BFF" w:rsidRDefault="00712E72" w:rsidP="00712E72">
      <w:pPr>
        <w:ind w:left="709" w:firstLine="11"/>
        <w:rPr>
          <w:i/>
          <w:lang w:val="fr-FR"/>
        </w:rPr>
      </w:pPr>
    </w:p>
    <w:p w14:paraId="255EE4D6" w14:textId="3DFD15AA" w:rsidR="00712E72" w:rsidRPr="00944BFF" w:rsidRDefault="002039BC" w:rsidP="00712E72">
      <w:pPr>
        <w:keepNext/>
        <w:tabs>
          <w:tab w:val="left" w:pos="720"/>
          <w:tab w:val="left" w:pos="1440"/>
          <w:tab w:val="left" w:pos="2160"/>
        </w:tabs>
        <w:spacing w:after="240"/>
        <w:ind w:left="706"/>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r w:rsidRPr="00944BFF">
        <w:rPr>
          <w:color w:val="000000" w:themeColor="text1"/>
          <w:lang w:val="fr-FR"/>
        </w:rPr>
        <w:t>Aucu</w:t>
      </w:r>
      <w:r w:rsidR="00712E72" w:rsidRPr="00944BFF">
        <w:rPr>
          <w:color w:val="000000" w:themeColor="text1"/>
          <w:lang w:val="fr-FR"/>
        </w:rPr>
        <w:t>ne</w:t>
      </w:r>
    </w:p>
    <w:p w14:paraId="447DA07D" w14:textId="74C91FA7" w:rsidR="00712E72" w:rsidRPr="008C187D" w:rsidRDefault="002039BC" w:rsidP="00712E72">
      <w:pPr>
        <w:tabs>
          <w:tab w:val="left" w:pos="720"/>
          <w:tab w:val="left" w:pos="1440"/>
          <w:tab w:val="left" w:pos="2160"/>
        </w:tabs>
        <w:spacing w:after="240"/>
        <w:ind w:left="709"/>
        <w:outlineLvl w:val="0"/>
        <w:rPr>
          <w:color w:val="000000" w:themeColor="text1"/>
          <w:lang w:val="fr-FR"/>
        </w:rPr>
      </w:pPr>
      <w:r w:rsidRPr="008C187D">
        <w:rPr>
          <w:color w:val="000000" w:themeColor="text1"/>
          <w:u w:val="single"/>
          <w:lang w:val="fr-FR"/>
        </w:rPr>
        <w:t>L</w:t>
      </w:r>
      <w:r w:rsidR="00712E72" w:rsidRPr="008C187D">
        <w:rPr>
          <w:color w:val="000000" w:themeColor="text1"/>
          <w:u w:val="single"/>
          <w:lang w:val="fr-FR"/>
        </w:rPr>
        <w:t xml:space="preserve">e </w:t>
      </w:r>
      <w:r w:rsidRPr="008C187D">
        <w:rPr>
          <w:color w:val="000000" w:themeColor="text1"/>
          <w:u w:val="single"/>
          <w:lang w:val="fr-FR"/>
        </w:rPr>
        <w:t xml:space="preserve">Comité exécutif pourrait souhaiter </w:t>
      </w:r>
      <w:r w:rsidR="00712E72" w:rsidRPr="008C187D">
        <w:rPr>
          <w:color w:val="000000" w:themeColor="text1"/>
          <w:lang w:val="fr-FR"/>
        </w:rPr>
        <w:t xml:space="preserve">: </w:t>
      </w:r>
    </w:p>
    <w:p w14:paraId="50CC387C" w14:textId="3D8962BD" w:rsidR="008C187D" w:rsidRPr="008C187D" w:rsidRDefault="008C187D" w:rsidP="008C187D">
      <w:pPr>
        <w:pStyle w:val="Heading2"/>
        <w:numPr>
          <w:ilvl w:val="0"/>
          <w:numId w:val="0"/>
        </w:numPr>
        <w:ind w:left="1440" w:hanging="720"/>
        <w:rPr>
          <w:lang w:val="fr-CA"/>
        </w:rPr>
      </w:pPr>
      <w:r>
        <w:rPr>
          <w:lang w:val="fr-CA"/>
        </w:rPr>
        <w:t>a)</w:t>
      </w:r>
      <w:r>
        <w:rPr>
          <w:lang w:val="fr-CA"/>
        </w:rPr>
        <w:tab/>
        <w:t>P</w:t>
      </w:r>
      <w:r w:rsidRPr="008C187D">
        <w:rPr>
          <w:lang w:val="fr-CA"/>
        </w:rPr>
        <w:t xml:space="preserve">rendre note du rapport périodique final sur la mise en œuvre de la phase I du plan de gestion de l’élimination des HCFC (PGEH) pour le Bangladesh présenté par le PNUD et contenu dans le document UNEP/OzL.Pro/ExCom/83/11; </w:t>
      </w:r>
      <w:r w:rsidR="00CE0C86">
        <w:rPr>
          <w:lang w:val="fr-CA"/>
        </w:rPr>
        <w:t xml:space="preserve"> et</w:t>
      </w:r>
    </w:p>
    <w:p w14:paraId="459FBB0C" w14:textId="5D806F1A" w:rsidR="008C187D" w:rsidRPr="00196A54" w:rsidRDefault="00194291" w:rsidP="00194291">
      <w:pPr>
        <w:pStyle w:val="Heading2"/>
        <w:numPr>
          <w:ilvl w:val="0"/>
          <w:numId w:val="0"/>
        </w:numPr>
        <w:ind w:left="1440" w:hanging="720"/>
        <w:rPr>
          <w:lang w:val="fr-CA"/>
        </w:rPr>
      </w:pPr>
      <w:r>
        <w:rPr>
          <w:lang w:val="fr-CA"/>
        </w:rPr>
        <w:t>b)</w:t>
      </w:r>
      <w:r>
        <w:rPr>
          <w:lang w:val="fr-CA"/>
        </w:rPr>
        <w:tab/>
        <w:t>De</w:t>
      </w:r>
      <w:r w:rsidR="008C187D" w:rsidRPr="00196A54">
        <w:rPr>
          <w:lang w:val="fr-CA"/>
        </w:rPr>
        <w:t>mander au gouvernement du Bangladesh et au PNUD de rembourser le solde de 11 856</w:t>
      </w:r>
      <w:r w:rsidR="00416E16">
        <w:rPr>
          <w:lang w:val="fr-CA"/>
        </w:rPr>
        <w:t> $US</w:t>
      </w:r>
      <w:r w:rsidR="008C187D" w:rsidRPr="00196A54">
        <w:rPr>
          <w:lang w:val="fr-CA"/>
        </w:rPr>
        <w:t xml:space="preserve"> (3 6</w:t>
      </w:r>
      <w:r w:rsidR="000C5BEB">
        <w:rPr>
          <w:lang w:val="fr-CA"/>
        </w:rPr>
        <w:t>28</w:t>
      </w:r>
      <w:r w:rsidR="00416E16">
        <w:rPr>
          <w:lang w:val="fr-CA"/>
        </w:rPr>
        <w:t> $US</w:t>
      </w:r>
      <w:r w:rsidR="000C5BEB">
        <w:rPr>
          <w:lang w:val="fr-CA"/>
        </w:rPr>
        <w:t>, plus des coûts d’appui</w:t>
      </w:r>
      <w:r w:rsidR="008C187D" w:rsidRPr="00196A54">
        <w:rPr>
          <w:lang w:val="fr-CA"/>
        </w:rPr>
        <w:t xml:space="preserve"> d’agence de 272</w:t>
      </w:r>
      <w:r w:rsidR="00416E16">
        <w:rPr>
          <w:lang w:val="fr-CA"/>
        </w:rPr>
        <w:t> $US</w:t>
      </w:r>
      <w:r w:rsidR="008C187D" w:rsidRPr="00196A54">
        <w:rPr>
          <w:lang w:val="fr-CA"/>
        </w:rPr>
        <w:t xml:space="preserve"> pour le PNUD, et 7 041</w:t>
      </w:r>
      <w:r w:rsidR="00416E16">
        <w:rPr>
          <w:lang w:val="fr-CA"/>
        </w:rPr>
        <w:t> $US</w:t>
      </w:r>
      <w:r w:rsidR="008C187D" w:rsidRPr="00196A54">
        <w:rPr>
          <w:lang w:val="fr-CA"/>
        </w:rPr>
        <w:t>, plus des coûts d’appui d’agence de 915</w:t>
      </w:r>
      <w:r w:rsidR="00416E16">
        <w:rPr>
          <w:lang w:val="fr-CA"/>
        </w:rPr>
        <w:t> $US</w:t>
      </w:r>
      <w:r w:rsidR="008C187D" w:rsidRPr="00196A54">
        <w:rPr>
          <w:lang w:val="fr-CA"/>
        </w:rPr>
        <w:t xml:space="preserve"> pour le PNUE) provenant de la phase I du PGEH, au plus tard à la 84</w:t>
      </w:r>
      <w:r w:rsidR="008C187D" w:rsidRPr="00196A54">
        <w:rPr>
          <w:vertAlign w:val="superscript"/>
          <w:lang w:val="fr-CA"/>
        </w:rPr>
        <w:t>e</w:t>
      </w:r>
      <w:r w:rsidR="008C187D" w:rsidRPr="00196A54">
        <w:rPr>
          <w:lang w:val="fr-CA"/>
        </w:rPr>
        <w:t> réunion, en accord avec la décision 82/28(b).</w:t>
      </w:r>
    </w:p>
    <w:p w14:paraId="33D859CC" w14:textId="1E7276DD" w:rsidR="00712E72" w:rsidRPr="00944BFF" w:rsidRDefault="00712E72" w:rsidP="00712E72">
      <w:pPr>
        <w:keepNext/>
        <w:tabs>
          <w:tab w:val="left" w:pos="720"/>
          <w:tab w:val="left" w:pos="1440"/>
          <w:tab w:val="left" w:pos="2160"/>
        </w:tabs>
        <w:spacing w:after="240"/>
        <w:ind w:left="709"/>
        <w:outlineLvl w:val="0"/>
        <w:rPr>
          <w:i/>
          <w:lang w:val="fr-FR"/>
        </w:rPr>
      </w:pPr>
      <w:r w:rsidRPr="00944BFF">
        <w:rPr>
          <w:i/>
          <w:u w:val="single"/>
          <w:lang w:val="fr-FR"/>
        </w:rPr>
        <w:lastRenderedPageBreak/>
        <w:t>Egypt</w:t>
      </w:r>
      <w:r w:rsidR="00891647" w:rsidRPr="00944BFF">
        <w:rPr>
          <w:i/>
          <w:u w:val="single"/>
          <w:lang w:val="fr-FR"/>
        </w:rPr>
        <w:t xml:space="preserve">e </w:t>
      </w:r>
      <w:r w:rsidRPr="00944BFF">
        <w:rPr>
          <w:i/>
          <w:u w:val="single"/>
          <w:lang w:val="fr-FR"/>
        </w:rPr>
        <w:t xml:space="preserve">: </w:t>
      </w:r>
      <w:r w:rsidR="00891647" w:rsidRPr="00944BFF">
        <w:rPr>
          <w:i/>
          <w:u w:val="single"/>
          <w:lang w:val="fr-FR"/>
        </w:rPr>
        <w:t>Plan de gestion de l’élimination des HCFC (phas</w:t>
      </w:r>
      <w:r w:rsidRPr="00944BFF">
        <w:rPr>
          <w:i/>
          <w:u w:val="single"/>
          <w:lang w:val="fr-FR"/>
        </w:rPr>
        <w:t>e I – t</w:t>
      </w:r>
      <w:r w:rsidR="00891647" w:rsidRPr="00944BFF">
        <w:rPr>
          <w:i/>
          <w:u w:val="single"/>
          <w:lang w:val="fr-FR"/>
        </w:rPr>
        <w:t>roisième</w:t>
      </w:r>
      <w:r w:rsidRPr="00944BFF">
        <w:rPr>
          <w:i/>
          <w:u w:val="single"/>
          <w:lang w:val="fr-FR"/>
        </w:rPr>
        <w:t xml:space="preserve"> tranche)</w:t>
      </w:r>
      <w:r w:rsidRPr="00944BFF">
        <w:rPr>
          <w:i/>
          <w:lang w:val="fr-FR"/>
        </w:rPr>
        <w:t xml:space="preserve"> </w:t>
      </w:r>
      <w:r w:rsidR="00891647" w:rsidRPr="00944BFF">
        <w:rPr>
          <w:i/>
          <w:lang w:val="fr-FR"/>
        </w:rPr>
        <w:t>(</w:t>
      </w:r>
      <w:r w:rsidRPr="00944BFF">
        <w:rPr>
          <w:i/>
          <w:lang w:val="fr-FR"/>
        </w:rPr>
        <w:t>P</w:t>
      </w:r>
      <w:r w:rsidR="00891647" w:rsidRPr="00944BFF">
        <w:rPr>
          <w:i/>
          <w:lang w:val="fr-FR"/>
        </w:rPr>
        <w:t>NUD</w:t>
      </w:r>
      <w:r w:rsidRPr="00944BFF">
        <w:rPr>
          <w:i/>
          <w:lang w:val="fr-FR"/>
        </w:rPr>
        <w:t>) (paragraph</w:t>
      </w:r>
      <w:r w:rsidR="00B3529E">
        <w:rPr>
          <w:i/>
          <w:lang w:val="fr-FR"/>
        </w:rPr>
        <w:t>e</w:t>
      </w:r>
      <w:r w:rsidRPr="00944BFF">
        <w:rPr>
          <w:i/>
          <w:lang w:val="fr-FR"/>
        </w:rPr>
        <w:t>s 67-81)</w:t>
      </w:r>
    </w:p>
    <w:p w14:paraId="0DF9B676" w14:textId="773C95AB" w:rsidR="00712E72" w:rsidRPr="00944BFF" w:rsidRDefault="00891647" w:rsidP="00712E72">
      <w:pPr>
        <w:keepNext/>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712E72" w:rsidRPr="00944BFF">
        <w:rPr>
          <w:color w:val="000000" w:themeColor="text1"/>
          <w:lang w:val="fr-FR"/>
        </w:rPr>
        <w:t>: </w:t>
      </w:r>
    </w:p>
    <w:p w14:paraId="3FD98E0E" w14:textId="3D027AA6" w:rsidR="00712E72" w:rsidRPr="00944BFF" w:rsidRDefault="00F3453B" w:rsidP="00194291">
      <w:pPr>
        <w:numPr>
          <w:ilvl w:val="0"/>
          <w:numId w:val="12"/>
        </w:numPr>
        <w:ind w:left="1434" w:hanging="357"/>
        <w:rPr>
          <w:color w:val="000000" w:themeColor="text1"/>
          <w:lang w:val="fr-FR"/>
        </w:rPr>
      </w:pPr>
      <w:r>
        <w:rPr>
          <w:color w:val="000000" w:themeColor="text1"/>
          <w:lang w:val="fr-FR"/>
        </w:rPr>
        <w:t>La t</w:t>
      </w:r>
      <w:r w:rsidR="000C5BEB">
        <w:rPr>
          <w:color w:val="000000" w:themeColor="text1"/>
          <w:lang w:val="fr-FR"/>
        </w:rPr>
        <w:t>echnologie à faible PRP</w:t>
      </w:r>
      <w:r w:rsidR="00891647" w:rsidRPr="00944BFF">
        <w:rPr>
          <w:color w:val="000000" w:themeColor="text1"/>
          <w:lang w:val="fr-FR"/>
        </w:rPr>
        <w:t xml:space="preserve"> </w:t>
      </w:r>
      <w:r>
        <w:rPr>
          <w:color w:val="000000" w:themeColor="text1"/>
          <w:lang w:val="fr-FR"/>
        </w:rPr>
        <w:t xml:space="preserve">n’est </w:t>
      </w:r>
      <w:r w:rsidR="00891647" w:rsidRPr="00944BFF">
        <w:rPr>
          <w:color w:val="000000" w:themeColor="text1"/>
          <w:lang w:val="fr-FR"/>
        </w:rPr>
        <w:t>pas encore disponible</w:t>
      </w:r>
    </w:p>
    <w:p w14:paraId="182B89FA" w14:textId="548320CD" w:rsidR="00712E72" w:rsidRPr="00944BFF" w:rsidRDefault="00712E72" w:rsidP="00194291">
      <w:pPr>
        <w:numPr>
          <w:ilvl w:val="0"/>
          <w:numId w:val="12"/>
        </w:numPr>
        <w:spacing w:after="240"/>
        <w:rPr>
          <w:color w:val="000000" w:themeColor="text1"/>
          <w:lang w:val="fr-FR"/>
        </w:rPr>
      </w:pPr>
      <w:r w:rsidRPr="00944BFF">
        <w:rPr>
          <w:color w:val="000000" w:themeColor="text1"/>
          <w:lang w:val="fr-FR"/>
        </w:rPr>
        <w:t>Continue</w:t>
      </w:r>
      <w:r w:rsidR="00891647" w:rsidRPr="00944BFF">
        <w:rPr>
          <w:color w:val="000000" w:themeColor="text1"/>
          <w:lang w:val="fr-FR"/>
        </w:rPr>
        <w:t xml:space="preserve">r </w:t>
      </w:r>
      <w:r w:rsidR="00F3453B">
        <w:rPr>
          <w:color w:val="000000" w:themeColor="text1"/>
          <w:lang w:val="fr-FR"/>
        </w:rPr>
        <w:t>de</w:t>
      </w:r>
      <w:r w:rsidR="00891647" w:rsidRPr="00944BFF">
        <w:rPr>
          <w:color w:val="000000" w:themeColor="text1"/>
          <w:lang w:val="fr-FR"/>
        </w:rPr>
        <w:t xml:space="preserve"> faire rapport jusqu’à l’introduction </w:t>
      </w:r>
      <w:r w:rsidRPr="00944BFF">
        <w:rPr>
          <w:color w:val="000000" w:themeColor="text1"/>
          <w:lang w:val="fr-FR"/>
        </w:rPr>
        <w:t>d</w:t>
      </w:r>
      <w:r w:rsidR="000C5BEB">
        <w:rPr>
          <w:color w:val="000000" w:themeColor="text1"/>
          <w:lang w:val="fr-FR"/>
        </w:rPr>
        <w:t>e la technologie à faible PRP</w:t>
      </w:r>
    </w:p>
    <w:p w14:paraId="5958FBF5" w14:textId="1BE9D8B8" w:rsidR="00712E72" w:rsidRPr="000C5BEB" w:rsidRDefault="00891647" w:rsidP="00712E72">
      <w:pPr>
        <w:tabs>
          <w:tab w:val="left" w:pos="720"/>
          <w:tab w:val="left" w:pos="1440"/>
          <w:tab w:val="left" w:pos="2160"/>
        </w:tabs>
        <w:spacing w:after="240"/>
        <w:ind w:left="709"/>
        <w:outlineLvl w:val="0"/>
        <w:rPr>
          <w:color w:val="000000" w:themeColor="text1"/>
          <w:u w:val="single"/>
          <w:lang w:val="fr-FR"/>
        </w:rPr>
      </w:pPr>
      <w:r w:rsidRPr="000C5BEB">
        <w:rPr>
          <w:color w:val="000000" w:themeColor="text1"/>
          <w:u w:val="single"/>
          <w:lang w:val="fr-FR"/>
        </w:rPr>
        <w:t>L</w:t>
      </w:r>
      <w:r w:rsidR="00712E72" w:rsidRPr="000C5BEB">
        <w:rPr>
          <w:color w:val="000000" w:themeColor="text1"/>
          <w:u w:val="single"/>
          <w:lang w:val="fr-FR"/>
        </w:rPr>
        <w:t xml:space="preserve">e </w:t>
      </w:r>
      <w:r w:rsidRPr="000C5BEB">
        <w:rPr>
          <w:color w:val="000000" w:themeColor="text1"/>
          <w:u w:val="single"/>
          <w:lang w:val="fr-FR"/>
        </w:rPr>
        <w:t xml:space="preserve">Comité exécutif pourrait souhaiter </w:t>
      </w:r>
      <w:r w:rsidR="00712E72" w:rsidRPr="000C5BEB">
        <w:rPr>
          <w:color w:val="000000" w:themeColor="text1"/>
          <w:lang w:val="fr-FR"/>
        </w:rPr>
        <w:t>:</w:t>
      </w:r>
    </w:p>
    <w:p w14:paraId="2E7EE4CD" w14:textId="318CE629" w:rsidR="00194291" w:rsidRPr="00194291" w:rsidRDefault="00194291" w:rsidP="00194291">
      <w:pPr>
        <w:pStyle w:val="Heading2"/>
        <w:numPr>
          <w:ilvl w:val="0"/>
          <w:numId w:val="0"/>
        </w:numPr>
        <w:ind w:left="1440" w:hanging="720"/>
        <w:rPr>
          <w:b/>
          <w:lang w:val="fr-CA"/>
        </w:rPr>
      </w:pPr>
      <w:r>
        <w:rPr>
          <w:lang w:val="fr-CA"/>
        </w:rPr>
        <w:t>a)</w:t>
      </w:r>
      <w:r>
        <w:rPr>
          <w:lang w:val="fr-CA"/>
        </w:rPr>
        <w:tab/>
        <w:t>P</w:t>
      </w:r>
      <w:r w:rsidRPr="00194291">
        <w:rPr>
          <w:lang w:val="fr-CA"/>
        </w:rPr>
        <w:t>rendre note du rapport, présenté par le PNUD, sur l’état de la conversion des sociétés de formulation, des 81 petites et moyennes entreprises et des 350 micro-usagers, et d’un rapport sur la situation de l’usage de la technologie intermédiaire en Égypte, contenus dans le document UNEP/OzL.Pro/ExCom/83/11;</w:t>
      </w:r>
      <w:r w:rsidR="00CE0C86">
        <w:rPr>
          <w:lang w:val="fr-CA"/>
        </w:rPr>
        <w:t xml:space="preserve"> et</w:t>
      </w:r>
    </w:p>
    <w:p w14:paraId="551C486A" w14:textId="239981BF" w:rsidR="00194291" w:rsidRPr="00196A54" w:rsidRDefault="00194291" w:rsidP="00194291">
      <w:pPr>
        <w:pStyle w:val="Heading2"/>
        <w:numPr>
          <w:ilvl w:val="0"/>
          <w:numId w:val="0"/>
        </w:numPr>
        <w:ind w:left="1440" w:hanging="720"/>
        <w:rPr>
          <w:b/>
          <w:lang w:val="fr-CA"/>
        </w:rPr>
      </w:pPr>
      <w:r>
        <w:rPr>
          <w:lang w:val="fr-CA"/>
        </w:rPr>
        <w:t>b)</w:t>
      </w:r>
      <w:r>
        <w:rPr>
          <w:lang w:val="fr-CA"/>
        </w:rPr>
        <w:tab/>
        <w:t>De</w:t>
      </w:r>
      <w:r w:rsidRPr="00196A54">
        <w:rPr>
          <w:lang w:val="fr-CA"/>
        </w:rPr>
        <w:t>mander au PNUD de continuer à aider le gouvernement de l’Égypte à assurer l’approvisionneme</w:t>
      </w:r>
      <w:r w:rsidR="000C5BEB">
        <w:rPr>
          <w:lang w:val="fr-CA"/>
        </w:rPr>
        <w:t>nt des technologies à faible PRP</w:t>
      </w:r>
      <w:r w:rsidRPr="00196A54">
        <w:rPr>
          <w:lang w:val="fr-CA"/>
        </w:rPr>
        <w:t>, étant entendu qu’aucun coût différentiel d’exploitation ne soit payé jusqu’à ce que la technologie initialement sélectionnée ou une autre technologie</w:t>
      </w:r>
      <w:r w:rsidR="000C5BEB">
        <w:rPr>
          <w:lang w:val="fr-CA"/>
        </w:rPr>
        <w:t xml:space="preserve"> à faible PRP</w:t>
      </w:r>
      <w:r w:rsidRPr="00196A54">
        <w:rPr>
          <w:lang w:val="fr-CA"/>
        </w:rPr>
        <w:t xml:space="preserve"> ait été entièrement introduite, et pour fournir un rapport sur la situation de ses conversions à chaque réunion du Comité exécutif jusqu’à ce que la technologie initialement sélectionnée ou une autre technologie à faible PRG ait été entièrement introduite, accompagné d’une mise à jour provenant des fournisseurs sur les progrès réalisés afin de garantir que les technologies de remplacement sélectionnées, incluant les composants connexes, sont disponibles au pays de façon commerciale.</w:t>
      </w:r>
    </w:p>
    <w:p w14:paraId="08E23A5B" w14:textId="0DA52ADE" w:rsidR="00712E72" w:rsidRPr="00944BFF" w:rsidRDefault="00891647" w:rsidP="00712E72">
      <w:pPr>
        <w:ind w:left="709" w:firstLine="11"/>
        <w:rPr>
          <w:i/>
          <w:u w:val="single"/>
          <w:lang w:val="fr-FR"/>
        </w:rPr>
      </w:pPr>
      <w:r w:rsidRPr="00944BFF">
        <w:rPr>
          <w:i/>
          <w:u w:val="single"/>
          <w:lang w:val="fr-FR"/>
        </w:rPr>
        <w:t>Guinée é</w:t>
      </w:r>
      <w:r w:rsidR="00712E72" w:rsidRPr="00944BFF">
        <w:rPr>
          <w:i/>
          <w:u w:val="single"/>
          <w:lang w:val="fr-FR"/>
        </w:rPr>
        <w:t>quatorial</w:t>
      </w:r>
      <w:r w:rsidRPr="00944BFF">
        <w:rPr>
          <w:i/>
          <w:u w:val="single"/>
          <w:lang w:val="fr-FR"/>
        </w:rPr>
        <w:t xml:space="preserve">e </w:t>
      </w:r>
      <w:r w:rsidR="00712E72" w:rsidRPr="00944BFF">
        <w:rPr>
          <w:i/>
          <w:u w:val="single"/>
          <w:lang w:val="fr-FR"/>
        </w:rPr>
        <w:t>: R</w:t>
      </w:r>
      <w:r w:rsidRPr="00944BFF">
        <w:rPr>
          <w:i/>
          <w:u w:val="single"/>
          <w:lang w:val="fr-FR"/>
        </w:rPr>
        <w:t>apport sur l</w:t>
      </w:r>
      <w:r w:rsidR="00D64741">
        <w:rPr>
          <w:i/>
          <w:u w:val="single"/>
          <w:lang w:val="fr-FR"/>
        </w:rPr>
        <w:t xml:space="preserve">a situation de la ratification </w:t>
      </w:r>
      <w:r w:rsidRPr="00944BFF">
        <w:rPr>
          <w:i/>
          <w:u w:val="single"/>
          <w:lang w:val="fr-FR"/>
        </w:rPr>
        <w:t xml:space="preserve"> de l’Accord </w:t>
      </w:r>
      <w:r w:rsidR="0027639F" w:rsidRPr="00944BFF">
        <w:rPr>
          <w:i/>
          <w:u w:val="single"/>
          <w:lang w:val="fr-FR"/>
        </w:rPr>
        <w:t>(dé</w:t>
      </w:r>
      <w:r w:rsidR="00712E72" w:rsidRPr="00944BFF">
        <w:rPr>
          <w:i/>
          <w:u w:val="single"/>
          <w:lang w:val="fr-FR"/>
        </w:rPr>
        <w:t>cision 82/73(c)(i))</w:t>
      </w:r>
      <w:r w:rsidR="00B3529E">
        <w:rPr>
          <w:i/>
          <w:lang w:val="fr-FR"/>
        </w:rPr>
        <w:t xml:space="preserve"> </w:t>
      </w:r>
      <w:r w:rsidR="0027639F" w:rsidRPr="00944BFF">
        <w:rPr>
          <w:i/>
          <w:lang w:val="fr-FR"/>
        </w:rPr>
        <w:t>(</w:t>
      </w:r>
      <w:r w:rsidR="00712E72" w:rsidRPr="00944BFF">
        <w:rPr>
          <w:i/>
          <w:lang w:val="fr-FR"/>
        </w:rPr>
        <w:t>P</w:t>
      </w:r>
      <w:r w:rsidR="0027639F" w:rsidRPr="00944BFF">
        <w:rPr>
          <w:i/>
          <w:lang w:val="fr-FR"/>
        </w:rPr>
        <w:t>NUE</w:t>
      </w:r>
      <w:r w:rsidR="00712E72" w:rsidRPr="00944BFF">
        <w:rPr>
          <w:i/>
          <w:lang w:val="fr-FR"/>
        </w:rPr>
        <w:t>) (paragraph</w:t>
      </w:r>
      <w:r w:rsidR="0027639F" w:rsidRPr="00944BFF">
        <w:rPr>
          <w:i/>
          <w:lang w:val="fr-FR"/>
        </w:rPr>
        <w:t>e</w:t>
      </w:r>
      <w:r w:rsidR="00712E72" w:rsidRPr="00944BFF">
        <w:rPr>
          <w:i/>
          <w:lang w:val="fr-FR"/>
        </w:rPr>
        <w:t>s 82-86)</w:t>
      </w:r>
    </w:p>
    <w:p w14:paraId="69E56D2D" w14:textId="77777777" w:rsidR="00712E72" w:rsidRPr="00944BFF" w:rsidRDefault="00712E72" w:rsidP="00712E72">
      <w:pPr>
        <w:ind w:left="709" w:firstLine="11"/>
        <w:rPr>
          <w:lang w:val="fr-FR"/>
        </w:rPr>
      </w:pPr>
    </w:p>
    <w:p w14:paraId="219A596D" w14:textId="06B952FB" w:rsidR="00712E72" w:rsidRPr="00944BFF" w:rsidRDefault="0027639F" w:rsidP="00712E72">
      <w:pPr>
        <w:ind w:left="709" w:firstLine="11"/>
        <w:rPr>
          <w:lang w:val="fr-FR"/>
        </w:rPr>
      </w:pPr>
      <w:r w:rsidRPr="00944BFF">
        <w:rPr>
          <w:u w:val="single"/>
          <w:lang w:val="fr-FR"/>
        </w:rPr>
        <w:t xml:space="preserve">Questions à traiter </w:t>
      </w:r>
      <w:r w:rsidR="00712E72" w:rsidRPr="00944BFF">
        <w:rPr>
          <w:lang w:val="fr-FR"/>
        </w:rPr>
        <w:t>: </w:t>
      </w:r>
      <w:r w:rsidRPr="00944BFF">
        <w:rPr>
          <w:lang w:val="fr-FR"/>
        </w:rPr>
        <w:t>Aucu</w:t>
      </w:r>
      <w:r w:rsidR="00712E72" w:rsidRPr="00944BFF">
        <w:rPr>
          <w:lang w:val="fr-FR"/>
        </w:rPr>
        <w:t>ne</w:t>
      </w:r>
    </w:p>
    <w:p w14:paraId="39656AA9" w14:textId="77777777" w:rsidR="00712E72" w:rsidRPr="00944BFF" w:rsidRDefault="00712E72" w:rsidP="00712E72">
      <w:pPr>
        <w:rPr>
          <w:lang w:val="fr-FR"/>
        </w:rPr>
      </w:pPr>
    </w:p>
    <w:p w14:paraId="02B9BADA" w14:textId="3CEC56FE" w:rsidR="00712E72" w:rsidRPr="00194291" w:rsidRDefault="0027639F" w:rsidP="00712E72">
      <w:pPr>
        <w:ind w:left="709" w:firstLine="11"/>
        <w:rPr>
          <w:lang w:val="fr-FR"/>
        </w:rPr>
      </w:pPr>
      <w:r w:rsidRPr="00194291">
        <w:rPr>
          <w:u w:val="single"/>
          <w:lang w:val="fr-FR"/>
        </w:rPr>
        <w:t>L</w:t>
      </w:r>
      <w:r w:rsidR="00712E72" w:rsidRPr="00194291">
        <w:rPr>
          <w:u w:val="single"/>
          <w:lang w:val="fr-FR"/>
        </w:rPr>
        <w:t xml:space="preserve">e </w:t>
      </w:r>
      <w:r w:rsidRPr="00194291">
        <w:rPr>
          <w:u w:val="single"/>
          <w:lang w:val="fr-FR"/>
        </w:rPr>
        <w:t>Comité exécutif pourrait souhaiter</w:t>
      </w:r>
      <w:r w:rsidR="00712E72" w:rsidRPr="00194291">
        <w:rPr>
          <w:lang w:val="fr-FR"/>
        </w:rPr>
        <w:t xml:space="preserve"> </w:t>
      </w:r>
      <w:r w:rsidR="00194291" w:rsidRPr="00194291">
        <w:rPr>
          <w:lang w:val="fr-FR"/>
        </w:rPr>
        <w:t>prendre note que le gouvernement de la Guinée équatoriale et le PNUE avaient signé un accord pour la mise en œuvre des troisième et quatrième tranches combinées de la phase I du plan de gestion de l’élimination des HCFC</w:t>
      </w:r>
      <w:r w:rsidR="00712E72" w:rsidRPr="00194291">
        <w:rPr>
          <w:lang w:val="fr-FR"/>
        </w:rPr>
        <w:t>.</w:t>
      </w:r>
    </w:p>
    <w:p w14:paraId="2A41EE6D" w14:textId="77777777" w:rsidR="00712E72" w:rsidRPr="00194291" w:rsidRDefault="00712E72" w:rsidP="00712E72">
      <w:pPr>
        <w:rPr>
          <w:i/>
          <w:u w:val="single"/>
          <w:lang w:val="fr-FR"/>
        </w:rPr>
      </w:pPr>
    </w:p>
    <w:p w14:paraId="3E648C0A" w14:textId="1548CECA" w:rsidR="00712E72" w:rsidRPr="00944BFF" w:rsidRDefault="00712E72" w:rsidP="00712E72">
      <w:pPr>
        <w:keepNext/>
        <w:ind w:left="709"/>
        <w:rPr>
          <w:i/>
          <w:u w:val="single"/>
          <w:lang w:val="fr-FR"/>
        </w:rPr>
      </w:pPr>
      <w:r w:rsidRPr="00944BFF">
        <w:rPr>
          <w:i/>
          <w:u w:val="single"/>
          <w:lang w:val="fr-FR"/>
        </w:rPr>
        <w:t xml:space="preserve">Honduras: </w:t>
      </w:r>
      <w:r w:rsidR="0027639F" w:rsidRPr="00944BFF">
        <w:rPr>
          <w:i/>
          <w:u w:val="single"/>
          <w:lang w:val="fr-FR"/>
        </w:rPr>
        <w:t>Plan de gestion de l’élimination des HCFC (phas</w:t>
      </w:r>
      <w:r w:rsidRPr="00944BFF">
        <w:rPr>
          <w:i/>
          <w:u w:val="single"/>
          <w:lang w:val="fr-FR"/>
        </w:rPr>
        <w:t xml:space="preserve">e I </w:t>
      </w:r>
      <w:r w:rsidR="0027639F" w:rsidRPr="00944BFF">
        <w:rPr>
          <w:i/>
          <w:u w:val="single"/>
          <w:lang w:val="fr-FR"/>
        </w:rPr>
        <w:t>–</w:t>
      </w:r>
      <w:r w:rsidRPr="00944BFF">
        <w:rPr>
          <w:i/>
          <w:u w:val="single"/>
          <w:lang w:val="fr-FR"/>
        </w:rPr>
        <w:t xml:space="preserve"> </w:t>
      </w:r>
      <w:r w:rsidR="0027639F" w:rsidRPr="00944BFF">
        <w:rPr>
          <w:i/>
          <w:u w:val="single"/>
          <w:lang w:val="fr-FR"/>
        </w:rPr>
        <w:t>rapport périodique</w:t>
      </w:r>
      <w:r w:rsidRPr="00944BFF">
        <w:rPr>
          <w:i/>
          <w:u w:val="single"/>
          <w:lang w:val="fr-FR"/>
        </w:rPr>
        <w:t>)</w:t>
      </w:r>
      <w:r w:rsidR="0027639F" w:rsidRPr="00944BFF">
        <w:rPr>
          <w:i/>
          <w:lang w:val="fr-FR"/>
        </w:rPr>
        <w:t xml:space="preserve"> (</w:t>
      </w:r>
      <w:r w:rsidRPr="00944BFF">
        <w:rPr>
          <w:i/>
          <w:lang w:val="fr-FR"/>
        </w:rPr>
        <w:t>P</w:t>
      </w:r>
      <w:r w:rsidR="0027639F" w:rsidRPr="00944BFF">
        <w:rPr>
          <w:i/>
          <w:lang w:val="fr-FR"/>
        </w:rPr>
        <w:t>NUE</w:t>
      </w:r>
      <w:r w:rsidRPr="00944BFF">
        <w:rPr>
          <w:i/>
          <w:lang w:val="fr-FR"/>
        </w:rPr>
        <w:t>) (paragraph</w:t>
      </w:r>
      <w:r w:rsidR="0027639F" w:rsidRPr="00944BFF">
        <w:rPr>
          <w:i/>
          <w:lang w:val="fr-FR"/>
        </w:rPr>
        <w:t>e</w:t>
      </w:r>
      <w:r w:rsidRPr="00944BFF">
        <w:rPr>
          <w:i/>
          <w:lang w:val="fr-FR"/>
        </w:rPr>
        <w:t>s 87</w:t>
      </w:r>
      <w:r w:rsidRPr="00944BFF">
        <w:rPr>
          <w:i/>
          <w:lang w:val="fr-FR"/>
        </w:rPr>
        <w:noBreakHyphen/>
        <w:t>96)</w:t>
      </w:r>
    </w:p>
    <w:p w14:paraId="325D2E34" w14:textId="77777777" w:rsidR="00712E72" w:rsidRPr="00944BFF" w:rsidRDefault="00712E72" w:rsidP="00712E72">
      <w:pPr>
        <w:keepNext/>
        <w:rPr>
          <w:i/>
          <w:u w:val="single"/>
          <w:lang w:val="fr-FR"/>
        </w:rPr>
      </w:pPr>
    </w:p>
    <w:p w14:paraId="3BC2612D" w14:textId="6D05F104" w:rsidR="00712E72" w:rsidRPr="00944BFF" w:rsidRDefault="0027639F" w:rsidP="00712E72">
      <w:pPr>
        <w:keepNext/>
        <w:ind w:left="709"/>
        <w:rPr>
          <w:u w:val="single"/>
          <w:lang w:val="fr-FR"/>
        </w:rPr>
      </w:pPr>
      <w:r w:rsidRPr="00944BFF">
        <w:rPr>
          <w:u w:val="single"/>
          <w:lang w:val="fr-FR"/>
        </w:rPr>
        <w:t xml:space="preserve">Questions à traiter </w:t>
      </w:r>
      <w:r w:rsidR="00712E72" w:rsidRPr="00944BFF">
        <w:rPr>
          <w:lang w:val="fr-FR"/>
        </w:rPr>
        <w:t xml:space="preserve">: </w:t>
      </w:r>
      <w:r w:rsidRPr="00944BFF">
        <w:rPr>
          <w:lang w:val="fr-FR"/>
        </w:rPr>
        <w:t>Aucu</w:t>
      </w:r>
      <w:r w:rsidR="00712E72" w:rsidRPr="00944BFF">
        <w:rPr>
          <w:lang w:val="fr-FR"/>
        </w:rPr>
        <w:t>ne</w:t>
      </w:r>
    </w:p>
    <w:p w14:paraId="2B16BE7C" w14:textId="77777777" w:rsidR="00712E72" w:rsidRPr="00944BFF" w:rsidRDefault="00712E72" w:rsidP="00712E72">
      <w:pPr>
        <w:ind w:left="1440"/>
        <w:rPr>
          <w:u w:val="single"/>
          <w:lang w:val="fr-FR"/>
        </w:rPr>
      </w:pPr>
    </w:p>
    <w:p w14:paraId="22966B4C" w14:textId="3E230B86" w:rsidR="00712E72" w:rsidRPr="00194291" w:rsidRDefault="0027639F" w:rsidP="00712E72">
      <w:pPr>
        <w:ind w:left="709"/>
        <w:rPr>
          <w:u w:val="single"/>
          <w:lang w:val="fr-FR"/>
        </w:rPr>
      </w:pPr>
      <w:r w:rsidRPr="00194291">
        <w:rPr>
          <w:u w:val="single"/>
          <w:lang w:val="fr-FR"/>
        </w:rPr>
        <w:t>L</w:t>
      </w:r>
      <w:r w:rsidR="00712E72" w:rsidRPr="00194291">
        <w:rPr>
          <w:u w:val="single"/>
          <w:lang w:val="fr-FR"/>
        </w:rPr>
        <w:t xml:space="preserve">e </w:t>
      </w:r>
      <w:r w:rsidRPr="00194291">
        <w:rPr>
          <w:u w:val="single"/>
          <w:lang w:val="fr-FR"/>
        </w:rPr>
        <w:t xml:space="preserve">Comité exécutif pourrait souhaiter </w:t>
      </w:r>
      <w:r w:rsidR="00712E72" w:rsidRPr="00194291">
        <w:rPr>
          <w:lang w:val="fr-FR"/>
        </w:rPr>
        <w:t>:</w:t>
      </w:r>
      <w:r w:rsidR="00712E72" w:rsidRPr="00194291">
        <w:rPr>
          <w:u w:val="single"/>
          <w:lang w:val="fr-FR"/>
        </w:rPr>
        <w:t xml:space="preserve"> </w:t>
      </w:r>
    </w:p>
    <w:p w14:paraId="7F9F0AB0" w14:textId="77777777" w:rsidR="00712E72" w:rsidRPr="00944BFF" w:rsidRDefault="00712E72" w:rsidP="00712E72">
      <w:pPr>
        <w:ind w:left="709"/>
        <w:rPr>
          <w:highlight w:val="yellow"/>
          <w:u w:val="single"/>
          <w:lang w:val="fr-FR"/>
        </w:rPr>
      </w:pPr>
    </w:p>
    <w:p w14:paraId="74F7E329" w14:textId="3F8CA0A0" w:rsidR="00194291" w:rsidRPr="00194291" w:rsidRDefault="00194291" w:rsidP="00194291">
      <w:pPr>
        <w:pStyle w:val="Heading2"/>
        <w:numPr>
          <w:ilvl w:val="0"/>
          <w:numId w:val="0"/>
        </w:numPr>
        <w:ind w:left="1440" w:hanging="720"/>
        <w:rPr>
          <w:lang w:val="fr-CA"/>
        </w:rPr>
      </w:pPr>
      <w:r>
        <w:rPr>
          <w:lang w:val="fr-CA"/>
        </w:rPr>
        <w:t>a)</w:t>
      </w:r>
      <w:r>
        <w:rPr>
          <w:lang w:val="fr-CA"/>
        </w:rPr>
        <w:tab/>
        <w:t>P</w:t>
      </w:r>
      <w:r w:rsidRPr="00194291">
        <w:rPr>
          <w:lang w:val="fr-CA"/>
        </w:rPr>
        <w:t>rendre note du rapport périodique sur la mise en œuvre des activités en vertu des composants du PNUE associés à la phase I du plan de gestion de l’élimination des HCFC (PGEH) pour le Honduras, présenté par le PNUE et contenu dans le document</w:t>
      </w:r>
      <w:r w:rsidR="00CE0C86">
        <w:rPr>
          <w:lang w:val="fr-CA"/>
        </w:rPr>
        <w:t> </w:t>
      </w:r>
      <w:r w:rsidRPr="00194291">
        <w:rPr>
          <w:lang w:val="fr-CA"/>
        </w:rPr>
        <w:t>UNEP/OzL.Pro/ExCom/83/11;</w:t>
      </w:r>
      <w:r w:rsidR="00CE0C86">
        <w:rPr>
          <w:lang w:val="fr-CA"/>
        </w:rPr>
        <w:t xml:space="preserve"> et</w:t>
      </w:r>
    </w:p>
    <w:p w14:paraId="64D29175" w14:textId="4B7225BB" w:rsidR="00194291" w:rsidRPr="00196A54" w:rsidRDefault="00194291" w:rsidP="00194291">
      <w:pPr>
        <w:pStyle w:val="Heading2"/>
        <w:numPr>
          <w:ilvl w:val="0"/>
          <w:numId w:val="0"/>
        </w:numPr>
        <w:ind w:left="1440" w:hanging="720"/>
        <w:rPr>
          <w:lang w:val="fr-CA"/>
        </w:rPr>
      </w:pPr>
      <w:r>
        <w:rPr>
          <w:lang w:val="fr-CA"/>
        </w:rPr>
        <w:t>b)</w:t>
      </w:r>
      <w:r>
        <w:rPr>
          <w:lang w:val="fr-CA"/>
        </w:rPr>
        <w:tab/>
        <w:t>D</w:t>
      </w:r>
      <w:r w:rsidRPr="00196A54">
        <w:rPr>
          <w:lang w:val="fr-CA"/>
        </w:rPr>
        <w:t>emander au PNUE de continuer à présenter à chaque réunion, jusqu’à la présentation de la cinquième et dernière tranche de la phase I du PGEH, un rapport périodique sur la mise en œuvre de toutes les activités en vertu des composants du PNUE associés à la phase I du PGEH, incluant le taux de décaissement atteint.</w:t>
      </w:r>
    </w:p>
    <w:p w14:paraId="6BA841A9" w14:textId="78D7DFEE" w:rsidR="00712E72" w:rsidRPr="00944BFF" w:rsidRDefault="0027639F" w:rsidP="00712E72">
      <w:pPr>
        <w:ind w:left="709"/>
        <w:rPr>
          <w:i/>
          <w:lang w:val="fr-FR"/>
        </w:rPr>
      </w:pPr>
      <w:r w:rsidRPr="00944BFF">
        <w:rPr>
          <w:i/>
          <w:u w:val="single"/>
          <w:lang w:val="fr-FR"/>
        </w:rPr>
        <w:lastRenderedPageBreak/>
        <w:t>Inde</w:t>
      </w:r>
      <w:r w:rsidR="00712E72" w:rsidRPr="00944BFF">
        <w:rPr>
          <w:i/>
          <w:u w:val="single"/>
          <w:lang w:val="fr-FR"/>
        </w:rPr>
        <w:t xml:space="preserve">: </w:t>
      </w:r>
      <w:r w:rsidRPr="00944BFF">
        <w:rPr>
          <w:i/>
          <w:u w:val="single"/>
          <w:lang w:val="fr-FR"/>
        </w:rPr>
        <w:t xml:space="preserve">Plan de gestion de l’élimination des </w:t>
      </w:r>
      <w:r w:rsidR="00712E72" w:rsidRPr="00944BFF">
        <w:rPr>
          <w:i/>
          <w:u w:val="single"/>
          <w:lang w:val="fr-FR"/>
        </w:rPr>
        <w:t>HC</w:t>
      </w:r>
      <w:r w:rsidRPr="00944BFF">
        <w:rPr>
          <w:i/>
          <w:u w:val="single"/>
          <w:lang w:val="fr-FR"/>
        </w:rPr>
        <w:t>FC (phas</w:t>
      </w:r>
      <w:r w:rsidR="00712E72" w:rsidRPr="00944BFF">
        <w:rPr>
          <w:i/>
          <w:u w:val="single"/>
          <w:lang w:val="fr-FR"/>
        </w:rPr>
        <w:t xml:space="preserve">e I – </w:t>
      </w:r>
      <w:r w:rsidRPr="00944BFF">
        <w:rPr>
          <w:i/>
          <w:u w:val="single"/>
          <w:lang w:val="fr-FR"/>
        </w:rPr>
        <w:t>rapport financier final</w:t>
      </w:r>
      <w:r w:rsidR="00712E72" w:rsidRPr="00944BFF">
        <w:rPr>
          <w:i/>
          <w:u w:val="single"/>
          <w:lang w:val="fr-FR"/>
        </w:rPr>
        <w:t>)</w:t>
      </w:r>
      <w:r w:rsidR="00712E72" w:rsidRPr="00944BFF">
        <w:rPr>
          <w:lang w:val="fr-FR"/>
        </w:rPr>
        <w:t xml:space="preserve"> </w:t>
      </w:r>
      <w:r w:rsidRPr="00944BFF">
        <w:rPr>
          <w:i/>
          <w:lang w:val="fr-FR"/>
        </w:rPr>
        <w:t>(</w:t>
      </w:r>
      <w:r w:rsidR="00712E72" w:rsidRPr="00944BFF">
        <w:rPr>
          <w:i/>
          <w:lang w:val="fr-FR"/>
        </w:rPr>
        <w:t>P</w:t>
      </w:r>
      <w:r w:rsidRPr="00944BFF">
        <w:rPr>
          <w:i/>
          <w:lang w:val="fr-FR"/>
        </w:rPr>
        <w:t>NUD, PNUE et gouvernement de l’Allemagne</w:t>
      </w:r>
      <w:r w:rsidR="00712E72" w:rsidRPr="00944BFF">
        <w:rPr>
          <w:i/>
          <w:lang w:val="fr-FR"/>
        </w:rPr>
        <w:t>) (paragraph</w:t>
      </w:r>
      <w:r w:rsidRPr="00944BFF">
        <w:rPr>
          <w:i/>
          <w:lang w:val="fr-FR"/>
        </w:rPr>
        <w:t>e</w:t>
      </w:r>
      <w:r w:rsidR="00712E72" w:rsidRPr="00944BFF">
        <w:rPr>
          <w:i/>
          <w:lang w:val="fr-FR"/>
        </w:rPr>
        <w:t>s 97-101)</w:t>
      </w:r>
    </w:p>
    <w:p w14:paraId="30EBD506" w14:textId="77777777" w:rsidR="00712E72" w:rsidRPr="00944BFF" w:rsidRDefault="00712E72" w:rsidP="00712E72">
      <w:pPr>
        <w:ind w:left="709"/>
        <w:rPr>
          <w:i/>
          <w:u w:val="single"/>
          <w:lang w:val="fr-FR"/>
        </w:rPr>
      </w:pPr>
    </w:p>
    <w:p w14:paraId="62581EEB" w14:textId="055A8497" w:rsidR="00712E72" w:rsidRPr="00944BFF" w:rsidRDefault="0027639F" w:rsidP="00712E72">
      <w:pPr>
        <w:ind w:left="709"/>
        <w:rPr>
          <w:u w:val="single"/>
          <w:lang w:val="fr-FR"/>
        </w:rPr>
      </w:pPr>
      <w:r w:rsidRPr="00944BFF">
        <w:rPr>
          <w:u w:val="single"/>
          <w:lang w:val="fr-FR"/>
        </w:rPr>
        <w:t>Questions à traiter :</w:t>
      </w:r>
      <w:r w:rsidR="00712E72" w:rsidRPr="00944BFF">
        <w:rPr>
          <w:lang w:val="fr-FR"/>
        </w:rPr>
        <w:t xml:space="preserve"> </w:t>
      </w:r>
      <w:r w:rsidRPr="00944BFF">
        <w:rPr>
          <w:lang w:val="fr-FR"/>
        </w:rPr>
        <w:t>Aucu</w:t>
      </w:r>
      <w:r w:rsidR="00712E72" w:rsidRPr="00944BFF">
        <w:rPr>
          <w:lang w:val="fr-FR"/>
        </w:rPr>
        <w:t>ne</w:t>
      </w:r>
    </w:p>
    <w:p w14:paraId="69A7121B" w14:textId="77777777" w:rsidR="00712E72" w:rsidRPr="00944BFF" w:rsidRDefault="00712E72" w:rsidP="00712E72">
      <w:pPr>
        <w:ind w:left="709"/>
        <w:rPr>
          <w:u w:val="single"/>
          <w:lang w:val="fr-FR"/>
        </w:rPr>
      </w:pPr>
    </w:p>
    <w:p w14:paraId="496E95DC" w14:textId="146A3D59" w:rsidR="00712E72" w:rsidRPr="00194291" w:rsidRDefault="0027639F" w:rsidP="00712E72">
      <w:pPr>
        <w:ind w:left="709"/>
        <w:rPr>
          <w:u w:val="single"/>
          <w:lang w:val="fr-FR"/>
        </w:rPr>
      </w:pPr>
      <w:r w:rsidRPr="00194291">
        <w:rPr>
          <w:u w:val="single"/>
          <w:lang w:val="fr-FR"/>
        </w:rPr>
        <w:t xml:space="preserve">Le Comité exécutif pourrait souhaiter </w:t>
      </w:r>
      <w:r w:rsidR="00D64741">
        <w:rPr>
          <w:u w:val="single"/>
          <w:lang w:val="fr-FR"/>
        </w:rPr>
        <w:t xml:space="preserve"> prendre note </w:t>
      </w:r>
      <w:r w:rsidR="00712E72" w:rsidRPr="00194291">
        <w:rPr>
          <w:lang w:val="fr-FR"/>
        </w:rPr>
        <w:t>:</w:t>
      </w:r>
    </w:p>
    <w:p w14:paraId="32780306" w14:textId="77777777" w:rsidR="00712E72" w:rsidRPr="00944BFF" w:rsidRDefault="00712E72" w:rsidP="00712E72">
      <w:pPr>
        <w:ind w:left="709"/>
        <w:rPr>
          <w:i/>
          <w:highlight w:val="yellow"/>
          <w:u w:val="single"/>
          <w:lang w:val="fr-FR"/>
        </w:rPr>
      </w:pPr>
    </w:p>
    <w:p w14:paraId="7BE31EF1" w14:textId="0AB7844B" w:rsidR="00194291" w:rsidRPr="00194291" w:rsidRDefault="00194291" w:rsidP="00194291">
      <w:pPr>
        <w:pStyle w:val="Heading2"/>
        <w:numPr>
          <w:ilvl w:val="0"/>
          <w:numId w:val="0"/>
        </w:numPr>
        <w:ind w:left="1440" w:hanging="720"/>
        <w:rPr>
          <w:lang w:val="fr-CA"/>
        </w:rPr>
      </w:pPr>
      <w:r>
        <w:rPr>
          <w:lang w:val="fr-CA"/>
        </w:rPr>
        <w:t>a)</w:t>
      </w:r>
      <w:r>
        <w:rPr>
          <w:lang w:val="fr-CA"/>
        </w:rPr>
        <w:tab/>
      </w:r>
      <w:r w:rsidRPr="00194291">
        <w:rPr>
          <w:lang w:val="fr-CA"/>
        </w:rPr>
        <w:t>Du rapport financier final pour la phase I du plan de gestion de l’élimination des HCFC (PGEH) de l’Inde, présenté par le PNUD, contenu dans le document UNEP/OzL.Pro/ExCom/83/11;</w:t>
      </w:r>
      <w:r w:rsidR="00F078D3">
        <w:rPr>
          <w:lang w:val="fr-CA"/>
        </w:rPr>
        <w:t xml:space="preserve"> et</w:t>
      </w:r>
    </w:p>
    <w:p w14:paraId="6C68E140" w14:textId="3023AB6B" w:rsidR="00712E72" w:rsidRPr="00194291" w:rsidRDefault="00194291" w:rsidP="00194291">
      <w:pPr>
        <w:pStyle w:val="Heading2"/>
        <w:numPr>
          <w:ilvl w:val="0"/>
          <w:numId w:val="0"/>
        </w:numPr>
        <w:ind w:left="1440" w:hanging="720"/>
        <w:rPr>
          <w:lang w:val="fr-CA"/>
        </w:rPr>
      </w:pPr>
      <w:r>
        <w:rPr>
          <w:lang w:val="fr-CA"/>
        </w:rPr>
        <w:t>b)</w:t>
      </w:r>
      <w:r>
        <w:rPr>
          <w:lang w:val="fr-CA"/>
        </w:rPr>
        <w:tab/>
      </w:r>
      <w:r w:rsidRPr="00196A54">
        <w:rPr>
          <w:lang w:val="fr-CA"/>
        </w:rPr>
        <w:t>Que 3 556</w:t>
      </w:r>
      <w:r w:rsidR="00416E16">
        <w:rPr>
          <w:lang w:val="fr-CA"/>
        </w:rPr>
        <w:t> $US</w:t>
      </w:r>
      <w:r w:rsidRPr="00196A54">
        <w:rPr>
          <w:lang w:val="fr-CA"/>
        </w:rPr>
        <w:t>, plus des coûts d’appui d’agence de 249</w:t>
      </w:r>
      <w:r w:rsidR="00416E16">
        <w:rPr>
          <w:lang w:val="fr-CA"/>
        </w:rPr>
        <w:t> $US</w:t>
      </w:r>
      <w:r w:rsidRPr="00196A54">
        <w:rPr>
          <w:lang w:val="fr-CA"/>
        </w:rPr>
        <w:t>, et 79 849</w:t>
      </w:r>
      <w:r w:rsidR="00416E16">
        <w:rPr>
          <w:lang w:val="fr-CA"/>
        </w:rPr>
        <w:t> $US</w:t>
      </w:r>
      <w:r w:rsidRPr="00196A54">
        <w:rPr>
          <w:lang w:val="fr-CA"/>
        </w:rPr>
        <w:t>, plus des coûts d’appui d’agence de 5 589</w:t>
      </w:r>
      <w:r w:rsidR="00416E16">
        <w:rPr>
          <w:lang w:val="fr-CA"/>
        </w:rPr>
        <w:t> $US</w:t>
      </w:r>
      <w:r w:rsidRPr="00196A54">
        <w:rPr>
          <w:lang w:val="fr-CA"/>
        </w:rPr>
        <w:t>, associés au solde inutilisé des deuxième et troisième tranches, respectivement, de la phase I du PGEH pour l’Inde, ont déjà été remboursés par le PNUD à la 83</w:t>
      </w:r>
      <w:r w:rsidRPr="00196A54">
        <w:rPr>
          <w:vertAlign w:val="superscript"/>
          <w:lang w:val="fr-CA"/>
        </w:rPr>
        <w:t>e</w:t>
      </w:r>
      <w:r w:rsidRPr="00196A54">
        <w:rPr>
          <w:lang w:val="fr-CA"/>
        </w:rPr>
        <w:t xml:space="preserve"> réunion.</w:t>
      </w:r>
    </w:p>
    <w:p w14:paraId="0E964D6A" w14:textId="7FF64752" w:rsidR="00712E72" w:rsidRPr="00944BFF" w:rsidRDefault="0027639F" w:rsidP="00712E72">
      <w:pPr>
        <w:ind w:left="720"/>
        <w:rPr>
          <w:i/>
          <w:lang w:val="fr-FR"/>
        </w:rPr>
      </w:pPr>
      <w:r w:rsidRPr="00944BFF">
        <w:rPr>
          <w:i/>
          <w:u w:val="single"/>
          <w:lang w:val="fr-FR"/>
        </w:rPr>
        <w:t xml:space="preserve">Inde </w:t>
      </w:r>
      <w:r w:rsidR="00712E72" w:rsidRPr="00944BFF">
        <w:rPr>
          <w:i/>
          <w:u w:val="single"/>
          <w:lang w:val="fr-FR"/>
        </w:rPr>
        <w:t xml:space="preserve">: </w:t>
      </w:r>
      <w:r w:rsidRPr="00944BFF">
        <w:rPr>
          <w:i/>
          <w:u w:val="single"/>
          <w:lang w:val="fr-FR"/>
        </w:rPr>
        <w:t>Plan de gestion de l’élimination des HCFC (phas</w:t>
      </w:r>
      <w:r w:rsidR="00712E72" w:rsidRPr="00944BFF">
        <w:rPr>
          <w:i/>
          <w:u w:val="single"/>
          <w:lang w:val="fr-FR"/>
        </w:rPr>
        <w:t xml:space="preserve">e II – </w:t>
      </w:r>
      <w:r w:rsidRPr="00944BFF">
        <w:rPr>
          <w:i/>
          <w:u w:val="single"/>
          <w:lang w:val="fr-FR"/>
        </w:rPr>
        <w:t>deuxième</w:t>
      </w:r>
      <w:r w:rsidR="00712E72" w:rsidRPr="00944BFF">
        <w:rPr>
          <w:i/>
          <w:u w:val="single"/>
          <w:lang w:val="fr-FR"/>
        </w:rPr>
        <w:t xml:space="preserve"> tranche)</w:t>
      </w:r>
      <w:r w:rsidR="00712E72" w:rsidRPr="00944BFF">
        <w:rPr>
          <w:i/>
          <w:lang w:val="fr-FR"/>
        </w:rPr>
        <w:t xml:space="preserve"> </w:t>
      </w:r>
      <w:r w:rsidRPr="00944BFF">
        <w:rPr>
          <w:i/>
          <w:lang w:val="fr-FR"/>
        </w:rPr>
        <w:t>(</w:t>
      </w:r>
      <w:r w:rsidR="00712E72" w:rsidRPr="00944BFF">
        <w:rPr>
          <w:i/>
          <w:lang w:val="fr-FR"/>
        </w:rPr>
        <w:t>P</w:t>
      </w:r>
      <w:r w:rsidRPr="00944BFF">
        <w:rPr>
          <w:i/>
          <w:lang w:val="fr-FR"/>
        </w:rPr>
        <w:t xml:space="preserve">NUD, </w:t>
      </w:r>
      <w:r w:rsidR="00712E72" w:rsidRPr="00944BFF">
        <w:rPr>
          <w:i/>
          <w:lang w:val="fr-FR"/>
        </w:rPr>
        <w:t>P</w:t>
      </w:r>
      <w:r w:rsidRPr="00944BFF">
        <w:rPr>
          <w:i/>
          <w:lang w:val="fr-FR"/>
        </w:rPr>
        <w:t>NUE et gouvernement de l’Allemagne</w:t>
      </w:r>
      <w:r w:rsidR="00712E72" w:rsidRPr="00944BFF">
        <w:rPr>
          <w:i/>
          <w:lang w:val="fr-FR"/>
        </w:rPr>
        <w:t>) (paragraph</w:t>
      </w:r>
      <w:r w:rsidRPr="00944BFF">
        <w:rPr>
          <w:i/>
          <w:lang w:val="fr-FR"/>
        </w:rPr>
        <w:t>e</w:t>
      </w:r>
      <w:r w:rsidR="00712E72" w:rsidRPr="00944BFF">
        <w:rPr>
          <w:i/>
          <w:lang w:val="fr-FR"/>
        </w:rPr>
        <w:t>s 102-106)</w:t>
      </w:r>
    </w:p>
    <w:p w14:paraId="3724840B" w14:textId="77777777" w:rsidR="00712E72" w:rsidRPr="00944BFF" w:rsidRDefault="00712E72" w:rsidP="00712E72">
      <w:pPr>
        <w:ind w:left="720"/>
        <w:rPr>
          <w:lang w:val="fr-FR"/>
        </w:rPr>
      </w:pPr>
    </w:p>
    <w:p w14:paraId="0EEA7E1B" w14:textId="23CB3B0C" w:rsidR="00712E72" w:rsidRPr="00944BFF" w:rsidRDefault="0027639F" w:rsidP="00712E72">
      <w:pPr>
        <w:ind w:left="709"/>
        <w:rPr>
          <w:lang w:val="fr-FR"/>
        </w:rPr>
      </w:pPr>
      <w:r w:rsidRPr="00944BFF">
        <w:rPr>
          <w:u w:val="single"/>
          <w:lang w:val="fr-FR"/>
        </w:rPr>
        <w:t xml:space="preserve">Questions à traiter </w:t>
      </w:r>
      <w:r w:rsidRPr="00944BFF">
        <w:rPr>
          <w:lang w:val="fr-FR"/>
        </w:rPr>
        <w:t xml:space="preserve">: Évaluation demandée de l’adhésion </w:t>
      </w:r>
      <w:r w:rsidR="00F3453B">
        <w:rPr>
          <w:lang w:val="fr-FR"/>
        </w:rPr>
        <w:t xml:space="preserve">des </w:t>
      </w:r>
      <w:r w:rsidRPr="00944BFF">
        <w:rPr>
          <w:lang w:val="fr-FR"/>
        </w:rPr>
        <w:t xml:space="preserve">entreprises à l’interdiction d’utilisation du </w:t>
      </w:r>
      <w:r w:rsidR="00712E72" w:rsidRPr="00944BFF">
        <w:rPr>
          <w:lang w:val="fr-FR"/>
        </w:rPr>
        <w:t xml:space="preserve">HCFC-141b </w:t>
      </w:r>
      <w:r w:rsidRPr="00944BFF">
        <w:rPr>
          <w:lang w:val="fr-FR"/>
        </w:rPr>
        <w:t>n’a pas été soumise</w:t>
      </w:r>
    </w:p>
    <w:p w14:paraId="54F478B2" w14:textId="77777777" w:rsidR="00712E72" w:rsidRPr="00944BFF" w:rsidRDefault="00712E72" w:rsidP="00712E72">
      <w:pPr>
        <w:ind w:left="709"/>
        <w:rPr>
          <w:u w:val="single"/>
          <w:lang w:val="fr-FR"/>
        </w:rPr>
      </w:pPr>
    </w:p>
    <w:p w14:paraId="41C728EB" w14:textId="51EEC6DF" w:rsidR="00712E72" w:rsidRPr="00194291" w:rsidRDefault="0027639F" w:rsidP="00712E72">
      <w:pPr>
        <w:ind w:left="709"/>
        <w:rPr>
          <w:lang w:val="fr-FR"/>
        </w:rPr>
      </w:pPr>
      <w:r w:rsidRPr="00194291">
        <w:rPr>
          <w:u w:val="single"/>
          <w:lang w:val="fr-FR"/>
        </w:rPr>
        <w:t>L</w:t>
      </w:r>
      <w:r w:rsidR="00712E72" w:rsidRPr="00194291">
        <w:rPr>
          <w:u w:val="single"/>
          <w:lang w:val="fr-FR"/>
        </w:rPr>
        <w:t xml:space="preserve">e </w:t>
      </w:r>
      <w:r w:rsidRPr="00194291">
        <w:rPr>
          <w:u w:val="single"/>
          <w:lang w:val="fr-FR"/>
        </w:rPr>
        <w:t>Comité exécutif pourrait souhaiter</w:t>
      </w:r>
      <w:r w:rsidR="00712E72" w:rsidRPr="00194291">
        <w:rPr>
          <w:lang w:val="fr-FR"/>
        </w:rPr>
        <w:t xml:space="preserve"> </w:t>
      </w:r>
      <w:r w:rsidR="00194291" w:rsidRPr="00194291">
        <w:rPr>
          <w:lang w:val="fr-FR"/>
        </w:rPr>
        <w:t>demander au gouvernement de l’Inde, par le biais du PNUD, de fournir à la 84</w:t>
      </w:r>
      <w:r w:rsidR="00194291" w:rsidRPr="00194291">
        <w:rPr>
          <w:vertAlign w:val="superscript"/>
          <w:lang w:val="fr-FR"/>
        </w:rPr>
        <w:t>e</w:t>
      </w:r>
      <w:r w:rsidR="00194291" w:rsidRPr="00194291">
        <w:rPr>
          <w:lang w:val="fr-FR"/>
        </w:rPr>
        <w:t xml:space="preserve"> réunion l’évaluation du gouvernement afin de savoir si les entreprises de fabrication de panneaux de mousse continus avaien</w:t>
      </w:r>
      <w:r w:rsidR="00712E72" w:rsidRPr="00194291">
        <w:rPr>
          <w:lang w:val="fr-FR"/>
        </w:rPr>
        <w:t>t</w:t>
      </w:r>
      <w:r w:rsidR="00194291" w:rsidRPr="00194291">
        <w:rPr>
          <w:lang w:val="fr-FR"/>
        </w:rPr>
        <w:t xml:space="preserve"> adhéré à l’interdiction du 1</w:t>
      </w:r>
      <w:r w:rsidR="00194291" w:rsidRPr="00194291">
        <w:rPr>
          <w:vertAlign w:val="superscript"/>
          <w:lang w:val="fr-FR"/>
        </w:rPr>
        <w:t>er</w:t>
      </w:r>
      <w:r w:rsidR="00194291" w:rsidRPr="00194291">
        <w:rPr>
          <w:lang w:val="fr-FR"/>
        </w:rPr>
        <w:t xml:space="preserve"> janvier 2015 sur l’usage du</w:t>
      </w:r>
      <w:r w:rsidR="00712E72" w:rsidRPr="00194291">
        <w:rPr>
          <w:lang w:val="fr-FR"/>
        </w:rPr>
        <w:t xml:space="preserve"> HCFC-141b, </w:t>
      </w:r>
      <w:r w:rsidR="00194291" w:rsidRPr="00194291">
        <w:rPr>
          <w:lang w:val="fr-FR"/>
        </w:rPr>
        <w:t>en accord avec les décisions</w:t>
      </w:r>
      <w:r w:rsidR="00712E72" w:rsidRPr="00194291">
        <w:rPr>
          <w:lang w:val="fr-FR"/>
        </w:rPr>
        <w:t xml:space="preserve"> 82/74(b) </w:t>
      </w:r>
      <w:r w:rsidR="00194291" w:rsidRPr="00194291">
        <w:rPr>
          <w:lang w:val="fr-FR"/>
        </w:rPr>
        <w:t>et</w:t>
      </w:r>
      <w:r w:rsidR="00712E72" w:rsidRPr="00194291">
        <w:rPr>
          <w:lang w:val="fr-FR"/>
        </w:rPr>
        <w:t xml:space="preserve"> (c).</w:t>
      </w:r>
    </w:p>
    <w:p w14:paraId="10799A90" w14:textId="77777777" w:rsidR="00712E72" w:rsidRPr="00944BFF" w:rsidRDefault="00712E72" w:rsidP="00712E72">
      <w:pPr>
        <w:ind w:left="720"/>
        <w:rPr>
          <w:lang w:val="fr-FR"/>
        </w:rPr>
      </w:pPr>
    </w:p>
    <w:p w14:paraId="242B3BF7" w14:textId="55F141EB" w:rsidR="00712E72" w:rsidRPr="00944BFF" w:rsidRDefault="00F008F6" w:rsidP="00712E72">
      <w:pPr>
        <w:ind w:left="720"/>
        <w:rPr>
          <w:i/>
          <w:lang w:val="fr-FR"/>
        </w:rPr>
      </w:pPr>
      <w:r w:rsidRPr="00944BFF">
        <w:rPr>
          <w:i/>
          <w:u w:val="single"/>
          <w:lang w:val="fr-FR"/>
        </w:rPr>
        <w:t xml:space="preserve">Indonésie </w:t>
      </w:r>
      <w:r w:rsidR="00712E72" w:rsidRPr="00944BFF">
        <w:rPr>
          <w:i/>
          <w:u w:val="single"/>
          <w:lang w:val="fr-FR"/>
        </w:rPr>
        <w:t xml:space="preserve">: </w:t>
      </w:r>
      <w:r w:rsidRPr="00944BFF">
        <w:rPr>
          <w:i/>
          <w:u w:val="single"/>
          <w:lang w:val="fr-FR"/>
        </w:rPr>
        <w:t>Plan de gestion de l’élimination des HCFC (phas</w:t>
      </w:r>
      <w:r w:rsidR="00712E72" w:rsidRPr="00944BFF">
        <w:rPr>
          <w:i/>
          <w:u w:val="single"/>
          <w:lang w:val="fr-FR"/>
        </w:rPr>
        <w:t xml:space="preserve">e I) – </w:t>
      </w:r>
      <w:r w:rsidRPr="00944BFF">
        <w:rPr>
          <w:i/>
          <w:u w:val="single"/>
          <w:lang w:val="fr-FR"/>
        </w:rPr>
        <w:t>État de</w:t>
      </w:r>
      <w:r w:rsidR="00F3453B">
        <w:rPr>
          <w:i/>
          <w:u w:val="single"/>
          <w:lang w:val="fr-FR"/>
        </w:rPr>
        <w:t xml:space="preserve"> la</w:t>
      </w:r>
      <w:r w:rsidR="00712E72" w:rsidRPr="00944BFF">
        <w:rPr>
          <w:i/>
          <w:u w:val="single"/>
          <w:lang w:val="fr-FR"/>
        </w:rPr>
        <w:t xml:space="preserve"> conversion </w:t>
      </w:r>
      <w:r w:rsidR="00D64741">
        <w:rPr>
          <w:i/>
          <w:u w:val="single"/>
          <w:lang w:val="fr-FR"/>
        </w:rPr>
        <w:t>d</w:t>
      </w:r>
      <w:r w:rsidR="00F3453B">
        <w:rPr>
          <w:i/>
          <w:u w:val="single"/>
          <w:lang w:val="fr-FR"/>
        </w:rPr>
        <w:t xml:space="preserve">es </w:t>
      </w:r>
      <w:r w:rsidR="00D64741">
        <w:rPr>
          <w:i/>
          <w:u w:val="single"/>
          <w:lang w:val="fr-FR"/>
        </w:rPr>
        <w:t xml:space="preserve">entreprises de fabrication d’appareils de </w:t>
      </w:r>
      <w:r w:rsidRPr="00944BFF">
        <w:rPr>
          <w:i/>
          <w:u w:val="single"/>
          <w:lang w:val="fr-FR"/>
        </w:rPr>
        <w:t>réfrigérat</w:t>
      </w:r>
      <w:r w:rsidR="00D64741">
        <w:rPr>
          <w:i/>
          <w:u w:val="single"/>
          <w:lang w:val="fr-FR"/>
        </w:rPr>
        <w:t>ion</w:t>
      </w:r>
      <w:r w:rsidRPr="00944BFF">
        <w:rPr>
          <w:i/>
          <w:u w:val="single"/>
          <w:lang w:val="fr-FR"/>
        </w:rPr>
        <w:t xml:space="preserve"> et de climatis</w:t>
      </w:r>
      <w:r w:rsidR="00D64741">
        <w:rPr>
          <w:i/>
          <w:u w:val="single"/>
          <w:lang w:val="fr-FR"/>
        </w:rPr>
        <w:t>ation</w:t>
      </w:r>
      <w:r w:rsidRPr="00944BFF">
        <w:rPr>
          <w:i/>
          <w:u w:val="single"/>
          <w:lang w:val="fr-FR"/>
        </w:rPr>
        <w:t xml:space="preserve"> et </w:t>
      </w:r>
      <w:r w:rsidR="00083378">
        <w:rPr>
          <w:i/>
          <w:u w:val="single"/>
          <w:lang w:val="fr-FR"/>
        </w:rPr>
        <w:t>de</w:t>
      </w:r>
      <w:r w:rsidR="00712E72" w:rsidRPr="00944BFF">
        <w:rPr>
          <w:i/>
          <w:u w:val="single"/>
          <w:lang w:val="fr-FR"/>
        </w:rPr>
        <w:t xml:space="preserve"> PT. TSG Chemical</w:t>
      </w:r>
      <w:r w:rsidR="00712E72" w:rsidRPr="00944BFF">
        <w:rPr>
          <w:i/>
          <w:lang w:val="fr-FR"/>
        </w:rPr>
        <w:t xml:space="preserve"> </w:t>
      </w:r>
      <w:r w:rsidRPr="00944BFF">
        <w:rPr>
          <w:i/>
          <w:lang w:val="fr-FR"/>
        </w:rPr>
        <w:t>(</w:t>
      </w:r>
      <w:r w:rsidR="00712E72" w:rsidRPr="00944BFF">
        <w:rPr>
          <w:i/>
          <w:lang w:val="fr-FR"/>
        </w:rPr>
        <w:t>P</w:t>
      </w:r>
      <w:r w:rsidRPr="00944BFF">
        <w:rPr>
          <w:i/>
          <w:lang w:val="fr-FR"/>
        </w:rPr>
        <w:t>NUD</w:t>
      </w:r>
      <w:r w:rsidR="00712E72" w:rsidRPr="00944BFF">
        <w:rPr>
          <w:i/>
          <w:lang w:val="fr-FR"/>
        </w:rPr>
        <w:t xml:space="preserve"> </w:t>
      </w:r>
      <w:r w:rsidRPr="00944BFF">
        <w:rPr>
          <w:i/>
          <w:lang w:val="fr-FR"/>
        </w:rPr>
        <w:t>et Banque mondiale</w:t>
      </w:r>
      <w:r w:rsidR="00712E72" w:rsidRPr="00944BFF">
        <w:rPr>
          <w:i/>
          <w:lang w:val="fr-FR"/>
        </w:rPr>
        <w:t>) (paragraph</w:t>
      </w:r>
      <w:r w:rsidRPr="00944BFF">
        <w:rPr>
          <w:i/>
          <w:lang w:val="fr-FR"/>
        </w:rPr>
        <w:t>e</w:t>
      </w:r>
      <w:r w:rsidR="00712E72" w:rsidRPr="00944BFF">
        <w:rPr>
          <w:i/>
          <w:lang w:val="fr-FR"/>
        </w:rPr>
        <w:t>s 107-115)</w:t>
      </w:r>
    </w:p>
    <w:p w14:paraId="29A8284E" w14:textId="77777777" w:rsidR="00712E72" w:rsidRPr="00944BFF" w:rsidRDefault="00712E72" w:rsidP="00712E72">
      <w:pPr>
        <w:ind w:left="720"/>
        <w:rPr>
          <w:i/>
          <w:lang w:val="fr-FR"/>
        </w:rPr>
      </w:pPr>
    </w:p>
    <w:p w14:paraId="331F0D4E" w14:textId="03D00F09" w:rsidR="00712E72" w:rsidRPr="00944BFF" w:rsidRDefault="00F008F6" w:rsidP="00712E72">
      <w:pPr>
        <w:ind w:left="720"/>
        <w:rPr>
          <w:lang w:val="fr-FR"/>
        </w:rPr>
      </w:pPr>
      <w:r w:rsidRPr="00944BFF">
        <w:rPr>
          <w:u w:val="single"/>
          <w:lang w:val="fr-FR"/>
        </w:rPr>
        <w:t xml:space="preserve">Questions à traiter </w:t>
      </w:r>
      <w:r w:rsidR="00712E72" w:rsidRPr="00944BFF">
        <w:rPr>
          <w:lang w:val="fr-FR"/>
        </w:rPr>
        <w:t>:</w:t>
      </w:r>
    </w:p>
    <w:p w14:paraId="494E426D" w14:textId="77777777" w:rsidR="00712E72" w:rsidRPr="00944BFF" w:rsidRDefault="00712E72" w:rsidP="00712E72">
      <w:pPr>
        <w:ind w:left="720"/>
        <w:rPr>
          <w:lang w:val="fr-FR"/>
        </w:rPr>
      </w:pPr>
    </w:p>
    <w:p w14:paraId="5A572850" w14:textId="0C4C0EE8" w:rsidR="00712E72" w:rsidRPr="00944BFF" w:rsidRDefault="00F008F6" w:rsidP="00194291">
      <w:pPr>
        <w:numPr>
          <w:ilvl w:val="0"/>
          <w:numId w:val="12"/>
        </w:numPr>
        <w:ind w:left="1434" w:hanging="357"/>
        <w:rPr>
          <w:lang w:val="fr-FR"/>
        </w:rPr>
      </w:pPr>
      <w:r w:rsidRPr="00944BFF">
        <w:rPr>
          <w:lang w:val="fr-FR"/>
        </w:rPr>
        <w:t xml:space="preserve">Retrait d’une entreprise de la phase I du PGEH </w:t>
      </w:r>
    </w:p>
    <w:p w14:paraId="5CB2614C" w14:textId="324269C5" w:rsidR="00712E72" w:rsidRPr="00944BFF" w:rsidRDefault="00F3453B" w:rsidP="00194291">
      <w:pPr>
        <w:numPr>
          <w:ilvl w:val="0"/>
          <w:numId w:val="12"/>
        </w:numPr>
        <w:ind w:left="1434" w:hanging="357"/>
        <w:rPr>
          <w:color w:val="000000" w:themeColor="text1"/>
          <w:lang w:val="fr-FR"/>
        </w:rPr>
      </w:pPr>
      <w:r>
        <w:rPr>
          <w:color w:val="000000" w:themeColor="text1"/>
          <w:lang w:val="fr-FR"/>
        </w:rPr>
        <w:t>La t</w:t>
      </w:r>
      <w:r w:rsidR="00194291">
        <w:rPr>
          <w:color w:val="000000" w:themeColor="text1"/>
          <w:lang w:val="fr-FR"/>
        </w:rPr>
        <w:t>echnologie à faible PRP</w:t>
      </w:r>
      <w:r w:rsidR="00F008F6" w:rsidRPr="00944BFF">
        <w:rPr>
          <w:color w:val="000000" w:themeColor="text1"/>
          <w:lang w:val="fr-FR"/>
        </w:rPr>
        <w:t xml:space="preserve"> </w:t>
      </w:r>
      <w:r>
        <w:rPr>
          <w:color w:val="000000" w:themeColor="text1"/>
          <w:lang w:val="fr-FR"/>
        </w:rPr>
        <w:t xml:space="preserve">n’est </w:t>
      </w:r>
      <w:r w:rsidR="00F008F6" w:rsidRPr="00944BFF">
        <w:rPr>
          <w:color w:val="000000" w:themeColor="text1"/>
          <w:lang w:val="fr-FR"/>
        </w:rPr>
        <w:t>pas encore disponible</w:t>
      </w:r>
    </w:p>
    <w:p w14:paraId="424B9174" w14:textId="01E0D2B4" w:rsidR="00712E72" w:rsidRPr="00944BFF" w:rsidRDefault="00712E72" w:rsidP="00194291">
      <w:pPr>
        <w:numPr>
          <w:ilvl w:val="0"/>
          <w:numId w:val="12"/>
        </w:numPr>
        <w:spacing w:after="240"/>
        <w:ind w:left="1434" w:hanging="357"/>
        <w:rPr>
          <w:lang w:val="fr-FR"/>
        </w:rPr>
      </w:pPr>
      <w:r w:rsidRPr="00944BFF">
        <w:rPr>
          <w:color w:val="000000" w:themeColor="text1"/>
          <w:lang w:val="fr-FR"/>
        </w:rPr>
        <w:t>Continue</w:t>
      </w:r>
      <w:r w:rsidR="00F3453B">
        <w:rPr>
          <w:color w:val="000000" w:themeColor="text1"/>
          <w:lang w:val="fr-FR"/>
        </w:rPr>
        <w:t>r de</w:t>
      </w:r>
      <w:r w:rsidR="00F008F6" w:rsidRPr="00944BFF">
        <w:rPr>
          <w:color w:val="000000" w:themeColor="text1"/>
          <w:lang w:val="fr-FR"/>
        </w:rPr>
        <w:t xml:space="preserve"> faire rapport jusqu’à l’intro</w:t>
      </w:r>
      <w:r w:rsidRPr="00944BFF">
        <w:rPr>
          <w:color w:val="000000" w:themeColor="text1"/>
          <w:lang w:val="fr-FR"/>
        </w:rPr>
        <w:t>d</w:t>
      </w:r>
      <w:r w:rsidR="00F008F6" w:rsidRPr="00944BFF">
        <w:rPr>
          <w:color w:val="000000" w:themeColor="text1"/>
          <w:lang w:val="fr-FR"/>
        </w:rPr>
        <w:t>uctio</w:t>
      </w:r>
      <w:r w:rsidR="00194291">
        <w:rPr>
          <w:color w:val="000000" w:themeColor="text1"/>
          <w:lang w:val="fr-FR"/>
        </w:rPr>
        <w:t>n de la technologie à faible PRP</w:t>
      </w:r>
    </w:p>
    <w:p w14:paraId="6817D7BE" w14:textId="4378400F" w:rsidR="00712E72" w:rsidRPr="00194291" w:rsidRDefault="00F008F6" w:rsidP="00712E72">
      <w:pPr>
        <w:keepNext/>
        <w:ind w:left="720"/>
        <w:rPr>
          <w:u w:val="single"/>
          <w:lang w:val="fr-FR"/>
        </w:rPr>
      </w:pPr>
      <w:r w:rsidRPr="00194291">
        <w:rPr>
          <w:u w:val="single"/>
          <w:lang w:val="fr-FR"/>
        </w:rPr>
        <w:t xml:space="preserve">Le Comité exécutif pourrait souhaiter </w:t>
      </w:r>
      <w:r w:rsidR="00712E72" w:rsidRPr="00194291">
        <w:rPr>
          <w:lang w:val="fr-FR"/>
        </w:rPr>
        <w:t>:</w:t>
      </w:r>
    </w:p>
    <w:p w14:paraId="75BC9499" w14:textId="77777777" w:rsidR="00712E72" w:rsidRPr="00944BFF" w:rsidRDefault="00712E72" w:rsidP="00712E72">
      <w:pPr>
        <w:keepNext/>
        <w:ind w:left="720"/>
        <w:rPr>
          <w:i/>
          <w:highlight w:val="yellow"/>
          <w:lang w:val="fr-FR"/>
        </w:rPr>
      </w:pPr>
    </w:p>
    <w:p w14:paraId="7FFCB1FC" w14:textId="1D00BD39" w:rsidR="00194291" w:rsidRPr="00196A54" w:rsidRDefault="00194291" w:rsidP="00194291">
      <w:pPr>
        <w:pStyle w:val="Heading2"/>
        <w:numPr>
          <w:ilvl w:val="0"/>
          <w:numId w:val="0"/>
        </w:numPr>
        <w:ind w:left="1440" w:hanging="720"/>
        <w:rPr>
          <w:lang w:val="fr-CA"/>
        </w:rPr>
      </w:pPr>
      <w:r>
        <w:rPr>
          <w:lang w:val="fr-CA"/>
        </w:rPr>
        <w:t>a)</w:t>
      </w:r>
      <w:r>
        <w:rPr>
          <w:lang w:val="fr-CA"/>
        </w:rPr>
        <w:tab/>
      </w:r>
      <w:r w:rsidRPr="00196A54">
        <w:rPr>
          <w:lang w:val="fr-CA"/>
        </w:rPr>
        <w:t>Prendre note du rapport, présenté par le PNUD et la Banque mondiale, concernant la situation de la conversion au sein des entreprises de fabrication d’appareils de réfrigération et de climatisation et chez PT. TSG Chemical dans le cadre de la phase I du plan de gestion de l’élimination des HCFC (PGEH) pour l’Indonésie, contenu dans le document UNEP/OzL.Pro/ExCom/83/11;</w:t>
      </w:r>
      <w:r>
        <w:rPr>
          <w:lang w:val="fr-CA"/>
        </w:rPr>
        <w:t xml:space="preserve"> et</w:t>
      </w:r>
    </w:p>
    <w:p w14:paraId="1C452056" w14:textId="10834C07" w:rsidR="00194291" w:rsidRPr="00196A54" w:rsidRDefault="00194291" w:rsidP="00194291">
      <w:pPr>
        <w:pStyle w:val="Heading2"/>
        <w:numPr>
          <w:ilvl w:val="0"/>
          <w:numId w:val="0"/>
        </w:numPr>
        <w:ind w:left="1440" w:hanging="720"/>
        <w:rPr>
          <w:lang w:val="fr-CA"/>
        </w:rPr>
      </w:pPr>
      <w:r>
        <w:rPr>
          <w:lang w:val="fr-CA"/>
        </w:rPr>
        <w:t>b)</w:t>
      </w:r>
      <w:r>
        <w:rPr>
          <w:lang w:val="fr-CA"/>
        </w:rPr>
        <w:tab/>
      </w:r>
      <w:r w:rsidRPr="00196A54">
        <w:rPr>
          <w:lang w:val="fr-CA"/>
        </w:rPr>
        <w:t>Prendre note que PT. TSG Chemical a décidé de se retirer de la phase I du PGEH pour l’Indonésie, et que 301 539</w:t>
      </w:r>
      <w:r w:rsidR="00416E16">
        <w:rPr>
          <w:lang w:val="fr-CA"/>
        </w:rPr>
        <w:t> $US</w:t>
      </w:r>
      <w:r w:rsidRPr="00196A54">
        <w:rPr>
          <w:lang w:val="fr-CA"/>
        </w:rPr>
        <w:t>, plus des coûts d’appui d’agence de 22 61</w:t>
      </w:r>
      <w:r w:rsidR="00F078D3">
        <w:rPr>
          <w:lang w:val="fr-CA"/>
        </w:rPr>
        <w:t>5</w:t>
      </w:r>
      <w:r w:rsidR="00416E16">
        <w:rPr>
          <w:lang w:val="fr-CA"/>
        </w:rPr>
        <w:t> $US</w:t>
      </w:r>
      <w:r w:rsidRPr="00196A54">
        <w:rPr>
          <w:lang w:val="fr-CA"/>
        </w:rPr>
        <w:t xml:space="preserve"> pour la Banque mondiale, associés à l’entreprise ont déjà été remboursés à la 83</w:t>
      </w:r>
      <w:r w:rsidRPr="00196A54">
        <w:rPr>
          <w:vertAlign w:val="superscript"/>
          <w:lang w:val="fr-CA"/>
        </w:rPr>
        <w:t>e</w:t>
      </w:r>
      <w:r w:rsidRPr="00196A54">
        <w:rPr>
          <w:lang w:val="fr-CA"/>
        </w:rPr>
        <w:t xml:space="preserve"> réunion.</w:t>
      </w:r>
    </w:p>
    <w:p w14:paraId="6AF7E19D" w14:textId="7D8D7B56" w:rsidR="00712E72" w:rsidRPr="00944BFF" w:rsidRDefault="00712E72" w:rsidP="006877C9">
      <w:pPr>
        <w:keepNext/>
        <w:keepLines/>
        <w:ind w:left="720"/>
        <w:rPr>
          <w:i/>
          <w:lang w:val="fr-FR"/>
        </w:rPr>
      </w:pPr>
      <w:r w:rsidRPr="00944BFF">
        <w:rPr>
          <w:i/>
          <w:u w:val="single"/>
          <w:lang w:val="fr-FR"/>
        </w:rPr>
        <w:lastRenderedPageBreak/>
        <w:t>Iran (</w:t>
      </w:r>
      <w:r w:rsidR="00F008F6" w:rsidRPr="00944BFF">
        <w:rPr>
          <w:i/>
          <w:u w:val="single"/>
          <w:lang w:val="fr-FR"/>
        </w:rPr>
        <w:t>République islamique d’</w:t>
      </w:r>
      <w:r w:rsidRPr="00944BFF">
        <w:rPr>
          <w:i/>
          <w:u w:val="single"/>
          <w:lang w:val="fr-FR"/>
        </w:rPr>
        <w:t xml:space="preserve">): </w:t>
      </w:r>
      <w:r w:rsidR="00F008F6" w:rsidRPr="00944BFF">
        <w:rPr>
          <w:i/>
          <w:u w:val="single"/>
          <w:lang w:val="fr-FR"/>
        </w:rPr>
        <w:t>Plan de gestion de l’élimination des HCFC (phas</w:t>
      </w:r>
      <w:r w:rsidRPr="00944BFF">
        <w:rPr>
          <w:i/>
          <w:u w:val="single"/>
          <w:lang w:val="fr-FR"/>
        </w:rPr>
        <w:t xml:space="preserve">e I </w:t>
      </w:r>
      <w:r w:rsidR="00F008F6" w:rsidRPr="00944BFF">
        <w:rPr>
          <w:i/>
          <w:u w:val="single"/>
          <w:lang w:val="fr-FR"/>
        </w:rPr>
        <w:t>–</w:t>
      </w:r>
      <w:r w:rsidRPr="00944BFF">
        <w:rPr>
          <w:i/>
          <w:u w:val="single"/>
          <w:lang w:val="fr-FR"/>
        </w:rPr>
        <w:t xml:space="preserve"> </w:t>
      </w:r>
      <w:r w:rsidR="00F008F6" w:rsidRPr="00944BFF">
        <w:rPr>
          <w:i/>
          <w:u w:val="single"/>
          <w:lang w:val="fr-FR"/>
        </w:rPr>
        <w:t>rapport périodique final</w:t>
      </w:r>
      <w:r w:rsidRPr="00944BFF">
        <w:rPr>
          <w:i/>
          <w:u w:val="single"/>
          <w:lang w:val="fr-FR"/>
        </w:rPr>
        <w:t>)</w:t>
      </w:r>
      <w:r w:rsidR="00F008F6" w:rsidRPr="00944BFF">
        <w:rPr>
          <w:i/>
          <w:lang w:val="fr-FR"/>
        </w:rPr>
        <w:t xml:space="preserve"> (</w:t>
      </w:r>
      <w:r w:rsidRPr="00944BFF">
        <w:rPr>
          <w:i/>
          <w:lang w:val="fr-FR"/>
        </w:rPr>
        <w:t>P</w:t>
      </w:r>
      <w:r w:rsidR="00F008F6" w:rsidRPr="00944BFF">
        <w:rPr>
          <w:i/>
          <w:lang w:val="fr-FR"/>
        </w:rPr>
        <w:t xml:space="preserve">NUD, </w:t>
      </w:r>
      <w:r w:rsidRPr="00944BFF">
        <w:rPr>
          <w:i/>
          <w:lang w:val="fr-FR"/>
        </w:rPr>
        <w:t>P</w:t>
      </w:r>
      <w:r w:rsidR="00F008F6" w:rsidRPr="00944BFF">
        <w:rPr>
          <w:i/>
          <w:lang w:val="fr-FR"/>
        </w:rPr>
        <w:t xml:space="preserve">NUE, </w:t>
      </w:r>
      <w:r w:rsidRPr="00944BFF">
        <w:rPr>
          <w:i/>
          <w:lang w:val="fr-FR"/>
        </w:rPr>
        <w:t>O</w:t>
      </w:r>
      <w:r w:rsidR="00F008F6" w:rsidRPr="00944BFF">
        <w:rPr>
          <w:i/>
          <w:lang w:val="fr-FR"/>
        </w:rPr>
        <w:t>NUDI et gouvernement de l’Allemagne</w:t>
      </w:r>
      <w:r w:rsidRPr="00944BFF">
        <w:rPr>
          <w:i/>
          <w:lang w:val="fr-FR"/>
        </w:rPr>
        <w:t>) (paragraph</w:t>
      </w:r>
      <w:r w:rsidR="00F008F6" w:rsidRPr="00944BFF">
        <w:rPr>
          <w:i/>
          <w:lang w:val="fr-FR"/>
        </w:rPr>
        <w:t>e</w:t>
      </w:r>
      <w:r w:rsidRPr="00944BFF">
        <w:rPr>
          <w:i/>
          <w:lang w:val="fr-FR"/>
        </w:rPr>
        <w:t>s</w:t>
      </w:r>
      <w:r w:rsidR="006877C9">
        <w:rPr>
          <w:i/>
          <w:lang w:val="fr-FR"/>
        </w:rPr>
        <w:t> </w:t>
      </w:r>
      <w:r w:rsidRPr="00944BFF">
        <w:rPr>
          <w:i/>
          <w:lang w:val="fr-FR"/>
        </w:rPr>
        <w:t>116</w:t>
      </w:r>
      <w:r w:rsidR="002F1864">
        <w:rPr>
          <w:i/>
          <w:lang w:val="fr-FR"/>
        </w:rPr>
        <w:noBreakHyphen/>
      </w:r>
      <w:r w:rsidRPr="00944BFF">
        <w:rPr>
          <w:i/>
          <w:lang w:val="fr-FR"/>
        </w:rPr>
        <w:t>125)</w:t>
      </w:r>
    </w:p>
    <w:p w14:paraId="429746C9" w14:textId="77777777" w:rsidR="00712E72" w:rsidRPr="00944BFF" w:rsidRDefault="00712E72" w:rsidP="006877C9">
      <w:pPr>
        <w:keepNext/>
        <w:keepLines/>
        <w:ind w:left="720"/>
        <w:rPr>
          <w:lang w:val="fr-FR"/>
        </w:rPr>
      </w:pPr>
    </w:p>
    <w:p w14:paraId="40836583" w14:textId="4A26C3AB" w:rsidR="00712E72" w:rsidRPr="00944BFF" w:rsidRDefault="00F008F6" w:rsidP="006877C9">
      <w:pPr>
        <w:keepNext/>
        <w:keepLines/>
        <w:ind w:left="720"/>
        <w:rPr>
          <w:u w:val="single"/>
          <w:lang w:val="fr-FR"/>
        </w:rPr>
      </w:pPr>
      <w:r w:rsidRPr="00944BFF">
        <w:rPr>
          <w:u w:val="single"/>
          <w:lang w:val="fr-FR"/>
        </w:rPr>
        <w:t xml:space="preserve">Questions à traiter </w:t>
      </w:r>
      <w:r w:rsidR="00712E72" w:rsidRPr="00944BFF">
        <w:rPr>
          <w:lang w:val="fr-FR"/>
        </w:rPr>
        <w:t xml:space="preserve">: </w:t>
      </w:r>
      <w:r w:rsidRPr="00944BFF">
        <w:rPr>
          <w:lang w:val="fr-FR"/>
        </w:rPr>
        <w:t>Aucu</w:t>
      </w:r>
      <w:r w:rsidR="00712E72" w:rsidRPr="00944BFF">
        <w:rPr>
          <w:lang w:val="fr-FR"/>
        </w:rPr>
        <w:t>ne</w:t>
      </w:r>
    </w:p>
    <w:p w14:paraId="0BDA19ED" w14:textId="77777777" w:rsidR="00712E72" w:rsidRPr="00944BFF" w:rsidRDefault="00712E72" w:rsidP="00712E72">
      <w:pPr>
        <w:pStyle w:val="ListParagraph"/>
        <w:ind w:left="1080"/>
        <w:rPr>
          <w:lang w:val="fr-FR"/>
        </w:rPr>
      </w:pPr>
    </w:p>
    <w:p w14:paraId="49214993" w14:textId="43289E19" w:rsidR="00712E72" w:rsidRPr="00944BFF" w:rsidRDefault="00F008F6" w:rsidP="00712E72">
      <w:pPr>
        <w:ind w:left="720"/>
        <w:rPr>
          <w:highlight w:val="yellow"/>
          <w:u w:val="single"/>
          <w:lang w:val="fr-FR"/>
        </w:rPr>
      </w:pPr>
      <w:r w:rsidRPr="00676CD4">
        <w:rPr>
          <w:u w:val="single"/>
          <w:lang w:val="fr-FR"/>
        </w:rPr>
        <w:t xml:space="preserve">Le Comité exécutif pourrait souhaiter </w:t>
      </w:r>
      <w:r w:rsidR="00712E72" w:rsidRPr="00676CD4">
        <w:rPr>
          <w:lang w:val="fr-FR"/>
        </w:rPr>
        <w:t>:</w:t>
      </w:r>
    </w:p>
    <w:p w14:paraId="1D107A40" w14:textId="77777777" w:rsidR="00712E72" w:rsidRPr="00944BFF" w:rsidRDefault="00712E72" w:rsidP="00712E72">
      <w:pPr>
        <w:ind w:left="720"/>
        <w:rPr>
          <w:i/>
          <w:highlight w:val="yellow"/>
          <w:lang w:val="fr-FR"/>
        </w:rPr>
      </w:pPr>
    </w:p>
    <w:p w14:paraId="6C3307F9" w14:textId="5A4AA5F5" w:rsidR="00676CD4" w:rsidRPr="00196A54" w:rsidRDefault="00676CD4" w:rsidP="00676CD4">
      <w:pPr>
        <w:pStyle w:val="Heading2"/>
        <w:numPr>
          <w:ilvl w:val="0"/>
          <w:numId w:val="0"/>
        </w:numPr>
        <w:ind w:left="1440" w:hanging="720"/>
        <w:rPr>
          <w:lang w:val="fr-CA"/>
        </w:rPr>
      </w:pPr>
      <w:r>
        <w:rPr>
          <w:lang w:val="fr-CA"/>
        </w:rPr>
        <w:t>a)</w:t>
      </w:r>
      <w:r>
        <w:rPr>
          <w:lang w:val="fr-CA"/>
        </w:rPr>
        <w:tab/>
        <w:t>P</w:t>
      </w:r>
      <w:r w:rsidRPr="00196A54">
        <w:rPr>
          <w:lang w:val="fr-CA"/>
        </w:rPr>
        <w:t>rendre note du rapport périodique final sur la mise en œuvre du programme de travail associé à la quatrième tranche de la phase I du plan de gestion de l’élimination des HCFC (PGEH) pour la République islamique d’Iran, présenté par le PNUD et contenu dans le document UNEP/OzL.Pro/ExCom/83/11;</w:t>
      </w:r>
    </w:p>
    <w:p w14:paraId="7CC5C22E" w14:textId="7D045BCF" w:rsidR="00676CD4" w:rsidRPr="00196A54" w:rsidRDefault="00676CD4" w:rsidP="00676CD4">
      <w:pPr>
        <w:pStyle w:val="Heading2"/>
        <w:numPr>
          <w:ilvl w:val="0"/>
          <w:numId w:val="0"/>
        </w:numPr>
        <w:ind w:left="1440" w:hanging="720"/>
        <w:rPr>
          <w:lang w:val="fr-CA"/>
        </w:rPr>
      </w:pPr>
      <w:r>
        <w:rPr>
          <w:lang w:val="fr-CA"/>
        </w:rPr>
        <w:t>b)</w:t>
      </w:r>
      <w:r>
        <w:rPr>
          <w:lang w:val="fr-CA"/>
        </w:rPr>
        <w:tab/>
        <w:t>De</w:t>
      </w:r>
      <w:r w:rsidRPr="00196A54">
        <w:rPr>
          <w:lang w:val="fr-CA"/>
        </w:rPr>
        <w:t>mander au Gouvernement de la République islamique d’Iran, au PNUD, à l’ONUDI, au PNUE et au gouvernement de l’Allemagne de présenter un rapport d’achèvement de projet rectifié, incluant :</w:t>
      </w:r>
    </w:p>
    <w:p w14:paraId="49B7601D" w14:textId="638DFF7C" w:rsidR="00676CD4" w:rsidRPr="00196A54" w:rsidRDefault="00676CD4" w:rsidP="00676CD4">
      <w:pPr>
        <w:widowControl w:val="0"/>
        <w:spacing w:after="240"/>
        <w:ind w:left="2160" w:hanging="720"/>
        <w:outlineLvl w:val="2"/>
        <w:rPr>
          <w:lang w:val="fr-CA"/>
        </w:rPr>
      </w:pPr>
      <w:r>
        <w:rPr>
          <w:lang w:val="fr-CA"/>
        </w:rPr>
        <w:t>i)</w:t>
      </w:r>
      <w:r>
        <w:rPr>
          <w:lang w:val="fr-CA"/>
        </w:rPr>
        <w:tab/>
      </w:r>
      <w:r w:rsidRPr="00196A54">
        <w:rPr>
          <w:lang w:val="fr-CA"/>
        </w:rPr>
        <w:t>Le décaissement final pour la phase I du PGEH et tout solde à rembourser au Fonds;</w:t>
      </w:r>
      <w:r w:rsidR="00D5134E">
        <w:rPr>
          <w:lang w:val="fr-CA"/>
        </w:rPr>
        <w:t xml:space="preserve"> et</w:t>
      </w:r>
    </w:p>
    <w:p w14:paraId="1AEF06B0" w14:textId="7CAC1839" w:rsidR="00676CD4" w:rsidRPr="00676CD4" w:rsidRDefault="00676CD4" w:rsidP="00761F88">
      <w:pPr>
        <w:pStyle w:val="ListParagraph"/>
        <w:widowControl w:val="0"/>
        <w:numPr>
          <w:ilvl w:val="0"/>
          <w:numId w:val="37"/>
        </w:numPr>
        <w:spacing w:after="240"/>
        <w:outlineLvl w:val="2"/>
        <w:rPr>
          <w:lang w:val="fr-CA"/>
        </w:rPr>
      </w:pPr>
      <w:r w:rsidRPr="00676CD4">
        <w:rPr>
          <w:lang w:val="fr-CA"/>
        </w:rPr>
        <w:t>Les informations détaillées concernant les mesures prises pour garantir que les équipements ou composants spécifiques remplacés avaient réellement été détruits ou rendus inutilisables, en accord avec la décision 22/38(c).</w:t>
      </w:r>
    </w:p>
    <w:p w14:paraId="222F0CF6" w14:textId="030081AF" w:rsidR="00712E72" w:rsidRPr="00944BFF" w:rsidRDefault="00712E72" w:rsidP="00712E72">
      <w:pPr>
        <w:ind w:left="709"/>
        <w:rPr>
          <w:i/>
          <w:u w:val="single"/>
          <w:lang w:val="fr-FR"/>
        </w:rPr>
      </w:pPr>
      <w:r w:rsidRPr="00944BFF">
        <w:rPr>
          <w:i/>
          <w:u w:val="single"/>
          <w:lang w:val="fr-FR"/>
        </w:rPr>
        <w:t>Jordan</w:t>
      </w:r>
      <w:r w:rsidR="00F008F6" w:rsidRPr="00944BFF">
        <w:rPr>
          <w:i/>
          <w:u w:val="single"/>
          <w:lang w:val="fr-FR"/>
        </w:rPr>
        <w:t>ie</w:t>
      </w:r>
      <w:r w:rsidR="00B3529E">
        <w:rPr>
          <w:i/>
          <w:u w:val="single"/>
          <w:lang w:val="fr-FR"/>
        </w:rPr>
        <w:t xml:space="preserve"> : </w:t>
      </w:r>
      <w:r w:rsidR="00F008F6" w:rsidRPr="00944BFF">
        <w:rPr>
          <w:i/>
          <w:u w:val="single"/>
          <w:lang w:val="fr-FR"/>
        </w:rPr>
        <w:t>Plan de gestion de l’élimination des HCFC (phas</w:t>
      </w:r>
      <w:r w:rsidRPr="00944BFF">
        <w:rPr>
          <w:i/>
          <w:u w:val="single"/>
          <w:lang w:val="fr-FR"/>
        </w:rPr>
        <w:t xml:space="preserve">e II) – </w:t>
      </w:r>
      <w:r w:rsidR="000C5BEB">
        <w:rPr>
          <w:i/>
          <w:u w:val="single"/>
          <w:lang w:val="fr-FR"/>
        </w:rPr>
        <w:t xml:space="preserve">Modification de la </w:t>
      </w:r>
      <w:r w:rsidR="00F008F6" w:rsidRPr="00944BFF">
        <w:rPr>
          <w:i/>
          <w:u w:val="single"/>
          <w:lang w:val="fr-FR"/>
        </w:rPr>
        <w:t xml:space="preserve"> technologie dans cinq entreprises, du </w:t>
      </w:r>
      <w:r w:rsidRPr="00944BFF">
        <w:rPr>
          <w:i/>
          <w:u w:val="single"/>
          <w:lang w:val="fr-FR"/>
        </w:rPr>
        <w:t>HFO</w:t>
      </w:r>
      <w:r w:rsidRPr="00944BFF">
        <w:rPr>
          <w:i/>
          <w:u w:val="single"/>
          <w:lang w:val="fr-FR"/>
        </w:rPr>
        <w:noBreakHyphen/>
        <w:t xml:space="preserve">1233zd(E) </w:t>
      </w:r>
      <w:r w:rsidR="00083378">
        <w:rPr>
          <w:i/>
          <w:u w:val="single"/>
          <w:lang w:val="fr-FR"/>
        </w:rPr>
        <w:t>vers le cyclopentane comme</w:t>
      </w:r>
      <w:r w:rsidR="00F008F6" w:rsidRPr="00944BFF">
        <w:rPr>
          <w:i/>
          <w:u w:val="single"/>
          <w:lang w:val="fr-FR"/>
        </w:rPr>
        <w:t xml:space="preserve"> agent de gonfla</w:t>
      </w:r>
      <w:r w:rsidR="000C5BEB">
        <w:rPr>
          <w:i/>
          <w:u w:val="single"/>
          <w:lang w:val="fr-FR"/>
        </w:rPr>
        <w:t>ge de</w:t>
      </w:r>
      <w:r w:rsidR="00083378">
        <w:rPr>
          <w:i/>
          <w:u w:val="single"/>
          <w:lang w:val="fr-FR"/>
        </w:rPr>
        <w:t xml:space="preserve"> la mousse</w:t>
      </w:r>
      <w:r w:rsidRPr="00944BFF">
        <w:rPr>
          <w:i/>
          <w:lang w:val="fr-FR"/>
        </w:rPr>
        <w:t xml:space="preserve"> (</w:t>
      </w:r>
      <w:r w:rsidR="00F008F6" w:rsidRPr="00944BFF">
        <w:rPr>
          <w:i/>
          <w:lang w:val="fr-FR"/>
        </w:rPr>
        <w:t>Banque mondiale et ONUDI</w:t>
      </w:r>
      <w:r w:rsidRPr="00944BFF">
        <w:rPr>
          <w:i/>
          <w:lang w:val="fr-FR"/>
        </w:rPr>
        <w:t>) (paragraph</w:t>
      </w:r>
      <w:r w:rsidR="00F008F6" w:rsidRPr="00944BFF">
        <w:rPr>
          <w:i/>
          <w:lang w:val="fr-FR"/>
        </w:rPr>
        <w:t>e</w:t>
      </w:r>
      <w:r w:rsidRPr="00944BFF">
        <w:rPr>
          <w:i/>
          <w:lang w:val="fr-FR"/>
        </w:rPr>
        <w:t>s 126-136)</w:t>
      </w:r>
    </w:p>
    <w:p w14:paraId="02110D71" w14:textId="77777777" w:rsidR="00712E72" w:rsidRPr="00944BFF" w:rsidRDefault="00712E72" w:rsidP="00712E72">
      <w:pPr>
        <w:ind w:left="709"/>
        <w:rPr>
          <w:u w:val="single"/>
          <w:lang w:val="fr-FR"/>
        </w:rPr>
      </w:pPr>
    </w:p>
    <w:p w14:paraId="633D53E2" w14:textId="35B0D36D" w:rsidR="00712E72" w:rsidRPr="00944BFF" w:rsidRDefault="00F008F6" w:rsidP="00712E72">
      <w:pPr>
        <w:ind w:left="709"/>
        <w:rPr>
          <w:lang w:val="fr-FR"/>
        </w:rPr>
      </w:pPr>
      <w:r w:rsidRPr="00944BFF">
        <w:rPr>
          <w:u w:val="single"/>
          <w:lang w:val="fr-FR"/>
        </w:rPr>
        <w:t xml:space="preserve">Questions à traiter </w:t>
      </w:r>
      <w:r w:rsidR="00712E72" w:rsidRPr="00944BFF">
        <w:rPr>
          <w:u w:val="single"/>
          <w:lang w:val="fr-FR"/>
        </w:rPr>
        <w:t>:</w:t>
      </w:r>
      <w:r w:rsidR="00712E72" w:rsidRPr="00944BFF">
        <w:rPr>
          <w:lang w:val="fr-FR"/>
        </w:rPr>
        <w:t> </w:t>
      </w:r>
    </w:p>
    <w:p w14:paraId="42C7E8E9" w14:textId="77777777" w:rsidR="00712E72" w:rsidRPr="00944BFF" w:rsidRDefault="00712E72" w:rsidP="00712E72">
      <w:pPr>
        <w:ind w:left="709"/>
        <w:rPr>
          <w:lang w:val="fr-FR"/>
        </w:rPr>
      </w:pPr>
    </w:p>
    <w:p w14:paraId="0A3EFB07" w14:textId="02B5B608" w:rsidR="00712E72" w:rsidRPr="00944BFF" w:rsidRDefault="00712E72" w:rsidP="00194291">
      <w:pPr>
        <w:numPr>
          <w:ilvl w:val="0"/>
          <w:numId w:val="12"/>
        </w:numPr>
        <w:ind w:left="1434" w:hanging="357"/>
        <w:rPr>
          <w:lang w:val="fr-FR"/>
        </w:rPr>
      </w:pPr>
      <w:r w:rsidRPr="00944BFF">
        <w:rPr>
          <w:lang w:val="fr-FR"/>
        </w:rPr>
        <w:t>Change</w:t>
      </w:r>
      <w:r w:rsidR="00F008F6" w:rsidRPr="00944BFF">
        <w:rPr>
          <w:lang w:val="fr-FR"/>
        </w:rPr>
        <w:t xml:space="preserve">ment de technologie dans plusieurs entreprises </w:t>
      </w:r>
    </w:p>
    <w:p w14:paraId="2D3100DA" w14:textId="77777777" w:rsidR="00712E72" w:rsidRPr="00944BFF" w:rsidRDefault="00712E72" w:rsidP="00712E72">
      <w:pPr>
        <w:ind w:left="1440"/>
        <w:rPr>
          <w:u w:val="single"/>
          <w:lang w:val="fr-FR"/>
        </w:rPr>
      </w:pPr>
    </w:p>
    <w:p w14:paraId="4BFA85B5" w14:textId="77E7D738" w:rsidR="00712E72" w:rsidRPr="00676CD4" w:rsidRDefault="00F008F6" w:rsidP="00712E72">
      <w:pPr>
        <w:ind w:left="709"/>
        <w:rPr>
          <w:u w:val="single"/>
          <w:lang w:val="fr-FR"/>
        </w:rPr>
      </w:pPr>
      <w:r w:rsidRPr="00676CD4">
        <w:rPr>
          <w:u w:val="single"/>
          <w:lang w:val="fr-FR"/>
        </w:rPr>
        <w:t>L</w:t>
      </w:r>
      <w:r w:rsidR="00712E72" w:rsidRPr="00676CD4">
        <w:rPr>
          <w:u w:val="single"/>
          <w:lang w:val="fr-FR"/>
        </w:rPr>
        <w:t xml:space="preserve">e </w:t>
      </w:r>
      <w:r w:rsidRPr="00676CD4">
        <w:rPr>
          <w:u w:val="single"/>
          <w:lang w:val="fr-FR"/>
        </w:rPr>
        <w:t xml:space="preserve">Comité exécutif pourrait souhaiter </w:t>
      </w:r>
      <w:r w:rsidR="00712E72" w:rsidRPr="00676CD4">
        <w:rPr>
          <w:lang w:val="fr-FR"/>
        </w:rPr>
        <w:t>:</w:t>
      </w:r>
      <w:r w:rsidR="00712E72" w:rsidRPr="00676CD4">
        <w:rPr>
          <w:u w:val="single"/>
          <w:lang w:val="fr-FR"/>
        </w:rPr>
        <w:t xml:space="preserve"> </w:t>
      </w:r>
    </w:p>
    <w:p w14:paraId="64E85AC7" w14:textId="77777777" w:rsidR="00712E72" w:rsidRPr="00944BFF" w:rsidRDefault="00712E72" w:rsidP="00712E72">
      <w:pPr>
        <w:ind w:left="709"/>
        <w:rPr>
          <w:highlight w:val="yellow"/>
          <w:u w:val="single"/>
          <w:lang w:val="fr-FR"/>
        </w:rPr>
      </w:pPr>
    </w:p>
    <w:p w14:paraId="62B10DB2" w14:textId="0AD5A1CE" w:rsidR="00676CD4" w:rsidRPr="00676CD4" w:rsidRDefault="00676CD4" w:rsidP="00676CD4">
      <w:pPr>
        <w:pStyle w:val="Heading2"/>
        <w:numPr>
          <w:ilvl w:val="0"/>
          <w:numId w:val="0"/>
        </w:numPr>
        <w:ind w:left="1440" w:hanging="720"/>
        <w:rPr>
          <w:lang w:val="fr-CA"/>
        </w:rPr>
      </w:pPr>
      <w:r>
        <w:rPr>
          <w:lang w:val="fr-CA"/>
        </w:rPr>
        <w:t>a)</w:t>
      </w:r>
      <w:r>
        <w:rPr>
          <w:lang w:val="fr-CA"/>
        </w:rPr>
        <w:tab/>
        <w:t>P</w:t>
      </w:r>
      <w:r w:rsidRPr="00676CD4">
        <w:rPr>
          <w:lang w:val="fr-CA"/>
        </w:rPr>
        <w:t>rendre note de la demande présentée par la Banque mondiale au nom du gouvernement de la Jordanie pour le changement de technologie dans la conversion de cinq entreprises vers les agents de gonflage de la mousse à base de cyclopentane plutôt que le HFO</w:t>
      </w:r>
      <w:r w:rsidR="00D5134E">
        <w:rPr>
          <w:lang w:val="fr-CA"/>
        </w:rPr>
        <w:noBreakHyphen/>
      </w:r>
      <w:r w:rsidRPr="00676CD4">
        <w:rPr>
          <w:lang w:val="fr-CA"/>
        </w:rPr>
        <w:t>1233zd dans la phase II du plan de gestion de l’élimination des HCFC (PGEH) pour la Jordanie, telle que contenue dans le document UNEP/OzL.Pro/ExCom/83/11;</w:t>
      </w:r>
      <w:r>
        <w:rPr>
          <w:lang w:val="fr-CA"/>
        </w:rPr>
        <w:t xml:space="preserve"> et</w:t>
      </w:r>
    </w:p>
    <w:p w14:paraId="3D6759E1" w14:textId="21A3A307" w:rsidR="00676CD4" w:rsidRPr="00196A54" w:rsidRDefault="00676CD4" w:rsidP="00676CD4">
      <w:pPr>
        <w:pStyle w:val="Heading2"/>
        <w:numPr>
          <w:ilvl w:val="0"/>
          <w:numId w:val="0"/>
        </w:numPr>
        <w:ind w:left="1440" w:hanging="720"/>
        <w:rPr>
          <w:lang w:val="fr-CA"/>
        </w:rPr>
      </w:pPr>
      <w:r>
        <w:rPr>
          <w:lang w:val="fr-CA"/>
        </w:rPr>
        <w:t>b)</w:t>
      </w:r>
      <w:r>
        <w:rPr>
          <w:lang w:val="fr-CA"/>
        </w:rPr>
        <w:tab/>
        <w:t>A</w:t>
      </w:r>
      <w:r w:rsidRPr="00196A54">
        <w:rPr>
          <w:lang w:val="fr-CA"/>
        </w:rPr>
        <w:t>pprouver le changement de technologie mentionné ci-dessus au sous-paragraphe (a), en prenant note que les entreprises assumeraient les coûts supplémentaires pour ce changement de technologie pour la conversion du HCFC-141b vers le cyclopentane.</w:t>
      </w:r>
    </w:p>
    <w:p w14:paraId="2CA91C5E" w14:textId="110361BC" w:rsidR="00712E72" w:rsidRPr="00944BFF" w:rsidRDefault="00712E72" w:rsidP="00712E72">
      <w:pPr>
        <w:ind w:left="709"/>
        <w:rPr>
          <w:i/>
          <w:u w:val="single"/>
          <w:lang w:val="fr-FR"/>
        </w:rPr>
      </w:pPr>
      <w:r w:rsidRPr="00944BFF">
        <w:rPr>
          <w:i/>
          <w:u w:val="single"/>
          <w:lang w:val="fr-FR"/>
        </w:rPr>
        <w:t xml:space="preserve">Maldives: </w:t>
      </w:r>
      <w:r w:rsidR="00271B01" w:rsidRPr="00944BFF">
        <w:rPr>
          <w:i/>
          <w:u w:val="single"/>
          <w:lang w:val="fr-FR"/>
        </w:rPr>
        <w:t>Plan de gestion de l’élimination des HCFC</w:t>
      </w:r>
      <w:r w:rsidRPr="00944BFF">
        <w:rPr>
          <w:i/>
          <w:u w:val="single"/>
          <w:lang w:val="fr-FR"/>
        </w:rPr>
        <w:t xml:space="preserve"> (</w:t>
      </w:r>
      <w:r w:rsidR="00271B01" w:rsidRPr="00944BFF">
        <w:rPr>
          <w:i/>
          <w:u w:val="single"/>
          <w:lang w:val="fr-FR"/>
        </w:rPr>
        <w:t>projet de dé</w:t>
      </w:r>
      <w:r w:rsidRPr="00944BFF">
        <w:rPr>
          <w:i/>
          <w:u w:val="single"/>
          <w:lang w:val="fr-FR"/>
        </w:rPr>
        <w:t xml:space="preserve">monstration </w:t>
      </w:r>
      <w:r w:rsidR="000C5BEB">
        <w:rPr>
          <w:i/>
          <w:u w:val="single"/>
          <w:lang w:val="fr-FR"/>
        </w:rPr>
        <w:t>pour l</w:t>
      </w:r>
      <w:r w:rsidR="00271B01" w:rsidRPr="00944BFF">
        <w:rPr>
          <w:i/>
          <w:u w:val="single"/>
          <w:lang w:val="fr-FR"/>
        </w:rPr>
        <w:t xml:space="preserve">es solutions de remplacement </w:t>
      </w:r>
      <w:r w:rsidR="000C5BEB">
        <w:rPr>
          <w:i/>
          <w:u w:val="single"/>
          <w:lang w:val="fr-FR"/>
        </w:rPr>
        <w:t xml:space="preserve">sans HFC et </w:t>
      </w:r>
      <w:r w:rsidR="00271B01" w:rsidRPr="00944BFF">
        <w:rPr>
          <w:i/>
          <w:u w:val="single"/>
          <w:lang w:val="fr-FR"/>
        </w:rPr>
        <w:t>à faible</w:t>
      </w:r>
      <w:r w:rsidR="000C5BEB">
        <w:rPr>
          <w:i/>
          <w:u w:val="single"/>
          <w:lang w:val="fr-FR"/>
        </w:rPr>
        <w:t xml:space="preserve"> PRP</w:t>
      </w:r>
      <w:r w:rsidR="00B3529E">
        <w:rPr>
          <w:i/>
          <w:u w:val="single"/>
          <w:lang w:val="fr-FR"/>
        </w:rPr>
        <w:t xml:space="preserve"> pour la réfrigé</w:t>
      </w:r>
      <w:r w:rsidR="00271B01" w:rsidRPr="00944BFF">
        <w:rPr>
          <w:i/>
          <w:u w:val="single"/>
          <w:lang w:val="fr-FR"/>
        </w:rPr>
        <w:t>ration dans le secteur des pêches</w:t>
      </w:r>
      <w:r w:rsidRPr="00944BFF">
        <w:rPr>
          <w:lang w:val="fr-FR"/>
        </w:rPr>
        <w:t xml:space="preserve"> </w:t>
      </w:r>
      <w:r w:rsidRPr="00944BFF">
        <w:rPr>
          <w:i/>
          <w:lang w:val="fr-FR"/>
        </w:rPr>
        <w:t>(</w:t>
      </w:r>
      <w:r w:rsidR="00271B01" w:rsidRPr="00944BFF">
        <w:rPr>
          <w:i/>
          <w:lang w:val="fr-FR"/>
        </w:rPr>
        <w:t>PNUD</w:t>
      </w:r>
      <w:r w:rsidRPr="00944BFF">
        <w:rPr>
          <w:i/>
          <w:lang w:val="fr-FR"/>
        </w:rPr>
        <w:t>) (paragraph</w:t>
      </w:r>
      <w:r w:rsidR="00271B01" w:rsidRPr="00944BFF">
        <w:rPr>
          <w:i/>
          <w:lang w:val="fr-FR"/>
        </w:rPr>
        <w:t>e</w:t>
      </w:r>
      <w:r w:rsidRPr="00944BFF">
        <w:rPr>
          <w:i/>
          <w:lang w:val="fr-FR"/>
        </w:rPr>
        <w:t>s 137-149)</w:t>
      </w:r>
    </w:p>
    <w:p w14:paraId="6EB2147E" w14:textId="77777777" w:rsidR="00712E72" w:rsidRPr="00944BFF" w:rsidRDefault="00712E72" w:rsidP="00712E72">
      <w:pPr>
        <w:ind w:left="709"/>
        <w:rPr>
          <w:i/>
          <w:u w:val="single"/>
          <w:lang w:val="fr-FR"/>
        </w:rPr>
      </w:pPr>
    </w:p>
    <w:p w14:paraId="40C91784" w14:textId="04E49DB5" w:rsidR="00712E72" w:rsidRPr="00944BFF" w:rsidRDefault="00271B01" w:rsidP="00712E72">
      <w:pPr>
        <w:ind w:left="709"/>
        <w:rPr>
          <w:u w:val="single"/>
          <w:lang w:val="fr-FR"/>
        </w:rPr>
      </w:pPr>
      <w:r w:rsidRPr="00944BFF">
        <w:rPr>
          <w:u w:val="single"/>
          <w:lang w:val="fr-FR"/>
        </w:rPr>
        <w:t xml:space="preserve">Questions à traiter : </w:t>
      </w:r>
      <w:r w:rsidRPr="00944BFF">
        <w:rPr>
          <w:lang w:val="fr-FR"/>
        </w:rPr>
        <w:t>Aucu</w:t>
      </w:r>
      <w:r w:rsidR="00712E72" w:rsidRPr="00944BFF">
        <w:rPr>
          <w:lang w:val="fr-FR"/>
        </w:rPr>
        <w:t>ne</w:t>
      </w:r>
    </w:p>
    <w:p w14:paraId="7D97F299" w14:textId="77777777" w:rsidR="00712E72" w:rsidRPr="00944BFF" w:rsidRDefault="00712E72" w:rsidP="00712E72">
      <w:pPr>
        <w:ind w:left="709"/>
        <w:rPr>
          <w:u w:val="single"/>
          <w:lang w:val="fr-FR"/>
        </w:rPr>
      </w:pPr>
    </w:p>
    <w:p w14:paraId="4942DB02" w14:textId="405465C1" w:rsidR="00712E72" w:rsidRPr="00676CD4" w:rsidRDefault="00271B01" w:rsidP="006877C9">
      <w:pPr>
        <w:keepNext/>
        <w:keepLines/>
        <w:ind w:left="709"/>
        <w:rPr>
          <w:u w:val="single"/>
          <w:lang w:val="fr-FR"/>
        </w:rPr>
      </w:pPr>
      <w:r w:rsidRPr="00676CD4">
        <w:rPr>
          <w:u w:val="single"/>
          <w:lang w:val="fr-FR"/>
        </w:rPr>
        <w:lastRenderedPageBreak/>
        <w:t xml:space="preserve">Le Comité exécutif pourrait souhaiter </w:t>
      </w:r>
      <w:r w:rsidR="00712E72" w:rsidRPr="00676CD4">
        <w:rPr>
          <w:lang w:val="fr-FR"/>
        </w:rPr>
        <w:t>:</w:t>
      </w:r>
    </w:p>
    <w:p w14:paraId="24D8A648" w14:textId="77777777" w:rsidR="00712E72" w:rsidRPr="00944BFF" w:rsidRDefault="00712E72" w:rsidP="006877C9">
      <w:pPr>
        <w:keepNext/>
        <w:keepLines/>
        <w:ind w:left="709"/>
        <w:rPr>
          <w:highlight w:val="yellow"/>
          <w:u w:val="single"/>
          <w:lang w:val="fr-FR"/>
        </w:rPr>
      </w:pPr>
    </w:p>
    <w:p w14:paraId="7448BE07" w14:textId="46220068" w:rsidR="00676CD4" w:rsidRPr="00676CD4" w:rsidRDefault="00676CD4" w:rsidP="006877C9">
      <w:pPr>
        <w:pStyle w:val="Heading2"/>
        <w:keepNext/>
        <w:keepLines/>
        <w:numPr>
          <w:ilvl w:val="0"/>
          <w:numId w:val="0"/>
        </w:numPr>
        <w:ind w:left="1440" w:hanging="720"/>
        <w:rPr>
          <w:lang w:val="fr-CA"/>
        </w:rPr>
      </w:pPr>
      <w:r>
        <w:rPr>
          <w:lang w:val="fr-CA"/>
        </w:rPr>
        <w:t>a)</w:t>
      </w:r>
      <w:r>
        <w:rPr>
          <w:lang w:val="fr-CA"/>
        </w:rPr>
        <w:tab/>
      </w:r>
      <w:r w:rsidR="000C5BEB">
        <w:rPr>
          <w:lang w:val="fr-CA"/>
        </w:rPr>
        <w:t>P</w:t>
      </w:r>
      <w:r w:rsidRPr="00676CD4">
        <w:rPr>
          <w:lang w:val="fr-CA"/>
        </w:rPr>
        <w:t>rendre note avec satisfaction du rapport périodique présenté par le PNUD sur le projet de démonstration pour les solutions de rempla</w:t>
      </w:r>
      <w:r w:rsidR="000C5BEB">
        <w:rPr>
          <w:lang w:val="fr-CA"/>
        </w:rPr>
        <w:t>cement sans HCFC et à faible PRP</w:t>
      </w:r>
      <w:r w:rsidRPr="00676CD4">
        <w:rPr>
          <w:lang w:val="fr-CA"/>
        </w:rPr>
        <w:t xml:space="preserve"> pour la réfrigération dans le secteur des pêches aux Maldives;</w:t>
      </w:r>
      <w:r>
        <w:rPr>
          <w:lang w:val="fr-CA"/>
        </w:rPr>
        <w:t xml:space="preserve"> et</w:t>
      </w:r>
    </w:p>
    <w:p w14:paraId="25AEFAC5" w14:textId="72CF2D7C" w:rsidR="00676CD4" w:rsidRPr="00196A54" w:rsidRDefault="00676CD4" w:rsidP="00676CD4">
      <w:pPr>
        <w:pStyle w:val="Heading2"/>
        <w:numPr>
          <w:ilvl w:val="0"/>
          <w:numId w:val="0"/>
        </w:numPr>
        <w:ind w:left="1440" w:hanging="720"/>
        <w:rPr>
          <w:lang w:val="fr-CA"/>
        </w:rPr>
      </w:pPr>
      <w:r>
        <w:rPr>
          <w:lang w:val="fr-CA"/>
        </w:rPr>
        <w:t>b)</w:t>
      </w:r>
      <w:r>
        <w:rPr>
          <w:lang w:val="fr-CA"/>
        </w:rPr>
        <w:tab/>
        <w:t>De</w:t>
      </w:r>
      <w:r w:rsidRPr="00196A54">
        <w:rPr>
          <w:lang w:val="fr-CA"/>
        </w:rPr>
        <w:t>mander au PNUD de présenter le rapport périodique sur la mise en œuvre de la phase I du plan de gestion de l’élimination des HCFC aux Maldives.</w:t>
      </w:r>
    </w:p>
    <w:p w14:paraId="2DF52612" w14:textId="21767FCF" w:rsidR="00712E72" w:rsidRPr="00944BFF" w:rsidRDefault="00271B01" w:rsidP="00712E72">
      <w:pPr>
        <w:ind w:left="709"/>
        <w:rPr>
          <w:i/>
          <w:u w:val="single"/>
          <w:lang w:val="fr-FR"/>
        </w:rPr>
      </w:pPr>
      <w:r w:rsidRPr="00944BFF">
        <w:rPr>
          <w:i/>
          <w:u w:val="single"/>
          <w:lang w:val="fr-FR"/>
        </w:rPr>
        <w:t xml:space="preserve">Macédoine du </w:t>
      </w:r>
      <w:r w:rsidR="00712E72" w:rsidRPr="00944BFF">
        <w:rPr>
          <w:i/>
          <w:u w:val="single"/>
          <w:lang w:val="fr-FR"/>
        </w:rPr>
        <w:t>Nor</w:t>
      </w:r>
      <w:r w:rsidRPr="00944BFF">
        <w:rPr>
          <w:i/>
          <w:u w:val="single"/>
          <w:lang w:val="fr-FR"/>
        </w:rPr>
        <w:t xml:space="preserve">d </w:t>
      </w:r>
      <w:r w:rsidR="00712E72" w:rsidRPr="00944BFF">
        <w:rPr>
          <w:i/>
          <w:u w:val="single"/>
          <w:lang w:val="fr-FR"/>
        </w:rPr>
        <w:t xml:space="preserve">: </w:t>
      </w:r>
      <w:r w:rsidRPr="00944BFF">
        <w:rPr>
          <w:i/>
          <w:u w:val="single"/>
          <w:lang w:val="fr-FR"/>
        </w:rPr>
        <w:t>Plan de gestion de l’élimination des HCFC (phas</w:t>
      </w:r>
      <w:r w:rsidR="00712E72" w:rsidRPr="00944BFF">
        <w:rPr>
          <w:i/>
          <w:u w:val="single"/>
          <w:lang w:val="fr-FR"/>
        </w:rPr>
        <w:t xml:space="preserve">e I – </w:t>
      </w:r>
      <w:r w:rsidRPr="00944BFF">
        <w:rPr>
          <w:i/>
          <w:u w:val="single"/>
          <w:lang w:val="fr-FR"/>
        </w:rPr>
        <w:t>mise à jour sur la con</w:t>
      </w:r>
      <w:r w:rsidR="00712E72" w:rsidRPr="00944BFF">
        <w:rPr>
          <w:i/>
          <w:u w:val="single"/>
          <w:lang w:val="fr-FR"/>
        </w:rPr>
        <w:t xml:space="preserve">version </w:t>
      </w:r>
      <w:r w:rsidR="00F3453B">
        <w:rPr>
          <w:i/>
          <w:u w:val="single"/>
          <w:lang w:val="fr-FR"/>
        </w:rPr>
        <w:t>de l’entreprise de mousse</w:t>
      </w:r>
      <w:r w:rsidR="000C5BEB">
        <w:rPr>
          <w:i/>
          <w:u w:val="single"/>
          <w:lang w:val="fr-FR"/>
        </w:rPr>
        <w:t>s</w:t>
      </w:r>
      <w:r w:rsidR="00712E72" w:rsidRPr="00944BFF">
        <w:rPr>
          <w:i/>
          <w:u w:val="single"/>
          <w:lang w:val="fr-FR"/>
        </w:rPr>
        <w:t xml:space="preserve"> Sileks)</w:t>
      </w:r>
      <w:r w:rsidR="00712E72" w:rsidRPr="00944BFF">
        <w:rPr>
          <w:i/>
          <w:lang w:val="fr-FR"/>
        </w:rPr>
        <w:t xml:space="preserve"> </w:t>
      </w:r>
      <w:r w:rsidRPr="00944BFF">
        <w:rPr>
          <w:i/>
          <w:lang w:val="fr-FR"/>
        </w:rPr>
        <w:t>(</w:t>
      </w:r>
      <w:r w:rsidR="00712E72" w:rsidRPr="00944BFF">
        <w:rPr>
          <w:i/>
          <w:lang w:val="fr-FR"/>
        </w:rPr>
        <w:t>O</w:t>
      </w:r>
      <w:r w:rsidRPr="00944BFF">
        <w:rPr>
          <w:i/>
          <w:lang w:val="fr-FR"/>
        </w:rPr>
        <w:t>NUDI</w:t>
      </w:r>
      <w:r w:rsidR="00712E72" w:rsidRPr="00944BFF">
        <w:rPr>
          <w:i/>
          <w:lang w:val="fr-FR"/>
        </w:rPr>
        <w:t>) (paragraph</w:t>
      </w:r>
      <w:r w:rsidRPr="00944BFF">
        <w:rPr>
          <w:i/>
          <w:lang w:val="fr-FR"/>
        </w:rPr>
        <w:t>e</w:t>
      </w:r>
      <w:r w:rsidR="00712E72" w:rsidRPr="00944BFF">
        <w:rPr>
          <w:i/>
          <w:lang w:val="fr-FR"/>
        </w:rPr>
        <w:t>s 150-153)</w:t>
      </w:r>
    </w:p>
    <w:p w14:paraId="30C241CE" w14:textId="77777777" w:rsidR="00712E72" w:rsidRPr="00944BFF" w:rsidRDefault="00712E72" w:rsidP="00712E72">
      <w:pPr>
        <w:ind w:left="709"/>
        <w:rPr>
          <w:highlight w:val="yellow"/>
          <w:u w:val="single"/>
          <w:lang w:val="fr-FR"/>
        </w:rPr>
      </w:pPr>
    </w:p>
    <w:p w14:paraId="27633755" w14:textId="6CB30789" w:rsidR="00712E72" w:rsidRPr="00944BFF" w:rsidRDefault="00271B01" w:rsidP="00712E72">
      <w:pPr>
        <w:ind w:left="709"/>
        <w:rPr>
          <w:lang w:val="fr-FR"/>
        </w:rPr>
      </w:pPr>
      <w:r w:rsidRPr="00944BFF">
        <w:rPr>
          <w:u w:val="single"/>
          <w:lang w:val="fr-FR"/>
        </w:rPr>
        <w:t xml:space="preserve">Questions à traiter </w:t>
      </w:r>
      <w:r w:rsidR="00712E72" w:rsidRPr="00944BFF">
        <w:rPr>
          <w:lang w:val="fr-FR"/>
        </w:rPr>
        <w:t xml:space="preserve">: </w:t>
      </w:r>
    </w:p>
    <w:p w14:paraId="244E73E6" w14:textId="77777777" w:rsidR="00712E72" w:rsidRPr="00944BFF" w:rsidRDefault="00712E72" w:rsidP="00712E72">
      <w:pPr>
        <w:ind w:left="709"/>
        <w:rPr>
          <w:lang w:val="fr-FR"/>
        </w:rPr>
      </w:pPr>
    </w:p>
    <w:p w14:paraId="70C104FC" w14:textId="63164028" w:rsidR="00712E72" w:rsidRPr="00944BFF" w:rsidRDefault="00271B01" w:rsidP="00194291">
      <w:pPr>
        <w:numPr>
          <w:ilvl w:val="0"/>
          <w:numId w:val="12"/>
        </w:numPr>
        <w:ind w:left="1434" w:hanging="357"/>
        <w:rPr>
          <w:lang w:val="fr-FR"/>
        </w:rPr>
      </w:pPr>
      <w:r w:rsidRPr="00944BFF">
        <w:rPr>
          <w:lang w:val="fr-FR"/>
        </w:rPr>
        <w:t>Retrait d’une entreprise de la phase I du PGEH</w:t>
      </w:r>
    </w:p>
    <w:p w14:paraId="37E92DDC" w14:textId="77777777" w:rsidR="00712E72" w:rsidRPr="00944BFF" w:rsidRDefault="00712E72" w:rsidP="00712E72">
      <w:pPr>
        <w:ind w:left="709"/>
        <w:rPr>
          <w:u w:val="single"/>
          <w:lang w:val="fr-FR"/>
        </w:rPr>
      </w:pPr>
    </w:p>
    <w:p w14:paraId="07912392" w14:textId="498F6681" w:rsidR="00712E72" w:rsidRPr="00676CD4" w:rsidRDefault="00271B01" w:rsidP="00712E72">
      <w:pPr>
        <w:keepNext/>
        <w:ind w:left="706"/>
        <w:rPr>
          <w:u w:val="single"/>
          <w:lang w:val="fr-FR"/>
        </w:rPr>
      </w:pPr>
      <w:r w:rsidRPr="00676CD4">
        <w:rPr>
          <w:u w:val="single"/>
          <w:lang w:val="fr-FR"/>
        </w:rPr>
        <w:t>L</w:t>
      </w:r>
      <w:r w:rsidR="00712E72" w:rsidRPr="00676CD4">
        <w:rPr>
          <w:u w:val="single"/>
          <w:lang w:val="fr-FR"/>
        </w:rPr>
        <w:t xml:space="preserve">e </w:t>
      </w:r>
      <w:r w:rsidRPr="00676CD4">
        <w:rPr>
          <w:u w:val="single"/>
          <w:lang w:val="fr-FR"/>
        </w:rPr>
        <w:t xml:space="preserve">Comité exécutif pourrait souhaiter </w:t>
      </w:r>
      <w:r w:rsidR="00712E72" w:rsidRPr="00676CD4">
        <w:rPr>
          <w:lang w:val="fr-FR"/>
        </w:rPr>
        <w:t>:</w:t>
      </w:r>
    </w:p>
    <w:p w14:paraId="660E58ED" w14:textId="77777777" w:rsidR="00712E72" w:rsidRPr="00944BFF" w:rsidRDefault="00712E72" w:rsidP="00712E72">
      <w:pPr>
        <w:ind w:left="709"/>
        <w:rPr>
          <w:highlight w:val="yellow"/>
          <w:u w:val="single"/>
          <w:lang w:val="fr-FR"/>
        </w:rPr>
      </w:pPr>
    </w:p>
    <w:p w14:paraId="0D92697C" w14:textId="46E8793E" w:rsidR="00676CD4" w:rsidRPr="00196A54" w:rsidRDefault="00676CD4" w:rsidP="00676CD4">
      <w:pPr>
        <w:pStyle w:val="Heading2"/>
        <w:numPr>
          <w:ilvl w:val="0"/>
          <w:numId w:val="0"/>
        </w:numPr>
        <w:ind w:left="1440" w:hanging="720"/>
        <w:rPr>
          <w:lang w:val="fr-CA"/>
        </w:rPr>
      </w:pPr>
      <w:r>
        <w:rPr>
          <w:lang w:val="fr-CA"/>
        </w:rPr>
        <w:t>a)</w:t>
      </w:r>
      <w:r>
        <w:rPr>
          <w:lang w:val="fr-CA"/>
        </w:rPr>
        <w:tab/>
      </w:r>
      <w:r w:rsidRPr="00196A54">
        <w:rPr>
          <w:lang w:val="fr-CA"/>
        </w:rPr>
        <w:t>Prendre note de la mise à jour, fournie par l’ONUDI, sur la conversion de l’entreprise de mousses Sileks, financée en vertu de la phase I du plan de gestion de l’élimination des HCFC (PGEH) pour la Macédoine du Nord, contenue dans le document UNEP/OzL.Pro/ExCom/83/11;</w:t>
      </w:r>
      <w:r>
        <w:rPr>
          <w:lang w:val="fr-CA"/>
        </w:rPr>
        <w:t xml:space="preserve"> et</w:t>
      </w:r>
    </w:p>
    <w:p w14:paraId="44E5826D" w14:textId="0FAC9B5D" w:rsidR="00676CD4" w:rsidRPr="00196A54" w:rsidRDefault="00676CD4" w:rsidP="00676CD4">
      <w:pPr>
        <w:pStyle w:val="Heading2"/>
        <w:numPr>
          <w:ilvl w:val="0"/>
          <w:numId w:val="0"/>
        </w:numPr>
        <w:ind w:left="1440" w:hanging="720"/>
        <w:rPr>
          <w:lang w:val="fr-CA"/>
        </w:rPr>
      </w:pPr>
      <w:r>
        <w:rPr>
          <w:lang w:val="fr-CA"/>
        </w:rPr>
        <w:t>b)</w:t>
      </w:r>
      <w:r>
        <w:rPr>
          <w:lang w:val="fr-CA"/>
        </w:rPr>
        <w:tab/>
      </w:r>
      <w:r w:rsidRPr="00196A54">
        <w:rPr>
          <w:lang w:val="fr-CA"/>
        </w:rPr>
        <w:t>Prendre note que l’entreprise de mousses Sileks a décidé de se retirer du PGEH pour la Macédoine du Nord, et que les 30 000</w:t>
      </w:r>
      <w:r w:rsidR="00416E16">
        <w:rPr>
          <w:lang w:val="fr-CA"/>
        </w:rPr>
        <w:t> $US</w:t>
      </w:r>
      <w:r w:rsidRPr="00196A54">
        <w:rPr>
          <w:lang w:val="fr-CA"/>
        </w:rPr>
        <w:t>, plus des coûts d’appui d’agence de 2 250</w:t>
      </w:r>
      <w:r w:rsidR="00416E16">
        <w:rPr>
          <w:lang w:val="fr-CA"/>
        </w:rPr>
        <w:t> $US</w:t>
      </w:r>
      <w:r w:rsidRPr="00196A54">
        <w:rPr>
          <w:lang w:val="fr-CA"/>
        </w:rPr>
        <w:t xml:space="preserve"> pour l’ONUDI, associés à l’entreprise ont déjà été remboursés à la 83</w:t>
      </w:r>
      <w:r w:rsidRPr="00196A54">
        <w:rPr>
          <w:vertAlign w:val="superscript"/>
          <w:lang w:val="fr-CA"/>
        </w:rPr>
        <w:t>e</w:t>
      </w:r>
      <w:r w:rsidR="002F1864">
        <w:rPr>
          <w:vertAlign w:val="superscript"/>
          <w:lang w:val="fr-CA"/>
        </w:rPr>
        <w:t> </w:t>
      </w:r>
      <w:r w:rsidRPr="00196A54">
        <w:rPr>
          <w:lang w:val="fr-CA"/>
        </w:rPr>
        <w:t>réunion.</w:t>
      </w:r>
    </w:p>
    <w:p w14:paraId="3B9BE979" w14:textId="6757D987" w:rsidR="00712E72" w:rsidRPr="00944BFF" w:rsidRDefault="00712E72" w:rsidP="00712E72">
      <w:pPr>
        <w:keepNext/>
        <w:ind w:left="709"/>
        <w:rPr>
          <w:i/>
          <w:u w:val="single"/>
          <w:lang w:val="fr-FR"/>
        </w:rPr>
      </w:pPr>
      <w:r w:rsidRPr="00944BFF">
        <w:rPr>
          <w:i/>
          <w:u w:val="single"/>
          <w:lang w:val="fr-FR"/>
        </w:rPr>
        <w:t xml:space="preserve">Suriname: </w:t>
      </w:r>
      <w:r w:rsidR="00271B01" w:rsidRPr="00944BFF">
        <w:rPr>
          <w:i/>
          <w:u w:val="single"/>
          <w:lang w:val="fr-FR"/>
        </w:rPr>
        <w:t>Plan de gestion de l’élimination des HCFC (phas</w:t>
      </w:r>
      <w:r w:rsidRPr="00944BFF">
        <w:rPr>
          <w:i/>
          <w:u w:val="single"/>
          <w:lang w:val="fr-FR"/>
        </w:rPr>
        <w:t>e I – t</w:t>
      </w:r>
      <w:r w:rsidR="00271B01" w:rsidRPr="00944BFF">
        <w:rPr>
          <w:i/>
          <w:u w:val="single"/>
          <w:lang w:val="fr-FR"/>
        </w:rPr>
        <w:t>roisième</w:t>
      </w:r>
      <w:r w:rsidRPr="00944BFF">
        <w:rPr>
          <w:i/>
          <w:u w:val="single"/>
          <w:lang w:val="fr-FR"/>
        </w:rPr>
        <w:t xml:space="preserve"> tranche)</w:t>
      </w:r>
      <w:r w:rsidRPr="00944BFF">
        <w:rPr>
          <w:i/>
          <w:lang w:val="fr-FR"/>
        </w:rPr>
        <w:t xml:space="preserve"> </w:t>
      </w:r>
      <w:r w:rsidR="00271B01" w:rsidRPr="00944BFF">
        <w:rPr>
          <w:i/>
          <w:lang w:val="fr-FR"/>
        </w:rPr>
        <w:t>(</w:t>
      </w:r>
      <w:r w:rsidRPr="00944BFF">
        <w:rPr>
          <w:i/>
          <w:lang w:val="fr-FR"/>
        </w:rPr>
        <w:t>P</w:t>
      </w:r>
      <w:r w:rsidR="00271B01" w:rsidRPr="00944BFF">
        <w:rPr>
          <w:i/>
          <w:lang w:val="fr-FR"/>
        </w:rPr>
        <w:t>NUE</w:t>
      </w:r>
      <w:r w:rsidRPr="00944BFF">
        <w:rPr>
          <w:i/>
          <w:lang w:val="fr-FR"/>
        </w:rPr>
        <w:t>) (paragraph</w:t>
      </w:r>
      <w:r w:rsidR="00271B01" w:rsidRPr="00944BFF">
        <w:rPr>
          <w:i/>
          <w:lang w:val="fr-FR"/>
        </w:rPr>
        <w:t>e</w:t>
      </w:r>
      <w:r w:rsidRPr="00944BFF">
        <w:rPr>
          <w:i/>
          <w:lang w:val="fr-FR"/>
        </w:rPr>
        <w:t>s 154</w:t>
      </w:r>
      <w:r w:rsidRPr="00944BFF">
        <w:rPr>
          <w:i/>
          <w:lang w:val="fr-FR"/>
        </w:rPr>
        <w:noBreakHyphen/>
        <w:t>162)</w:t>
      </w:r>
    </w:p>
    <w:p w14:paraId="6758A883" w14:textId="77777777" w:rsidR="00712E72" w:rsidRPr="00944BFF" w:rsidRDefault="00712E72" w:rsidP="00712E72">
      <w:pPr>
        <w:keepNext/>
        <w:rPr>
          <w:lang w:val="fr-FR"/>
        </w:rPr>
      </w:pPr>
    </w:p>
    <w:p w14:paraId="4F459676" w14:textId="29C49CA0" w:rsidR="00712E72" w:rsidRPr="00944BFF" w:rsidRDefault="00271B01" w:rsidP="00712E72">
      <w:pPr>
        <w:keepNext/>
        <w:ind w:left="709"/>
        <w:rPr>
          <w:u w:val="single"/>
          <w:lang w:val="fr-FR"/>
        </w:rPr>
      </w:pPr>
      <w:r w:rsidRPr="00944BFF">
        <w:rPr>
          <w:u w:val="single"/>
          <w:lang w:val="fr-FR"/>
        </w:rPr>
        <w:t xml:space="preserve">Questions à traiter </w:t>
      </w:r>
      <w:r w:rsidR="00712E72" w:rsidRPr="00944BFF">
        <w:rPr>
          <w:lang w:val="fr-FR"/>
        </w:rPr>
        <w:t xml:space="preserve">: </w:t>
      </w:r>
      <w:r w:rsidRPr="00944BFF">
        <w:rPr>
          <w:lang w:val="fr-FR"/>
        </w:rPr>
        <w:t>Aucu</w:t>
      </w:r>
      <w:r w:rsidR="00712E72" w:rsidRPr="00944BFF">
        <w:rPr>
          <w:lang w:val="fr-FR"/>
        </w:rPr>
        <w:t>ne</w:t>
      </w:r>
    </w:p>
    <w:p w14:paraId="3BAA03C9" w14:textId="77777777" w:rsidR="00712E72" w:rsidRPr="00944BFF" w:rsidRDefault="00712E72" w:rsidP="00712E72">
      <w:pPr>
        <w:ind w:left="709"/>
        <w:rPr>
          <w:u w:val="single"/>
          <w:lang w:val="fr-FR"/>
        </w:rPr>
      </w:pPr>
    </w:p>
    <w:p w14:paraId="04600479" w14:textId="0041F931" w:rsidR="00712E72" w:rsidRPr="00676CD4" w:rsidRDefault="00271B01" w:rsidP="00712E72">
      <w:pPr>
        <w:ind w:left="709"/>
        <w:rPr>
          <w:u w:val="single"/>
          <w:lang w:val="fr-FR"/>
        </w:rPr>
      </w:pPr>
      <w:r w:rsidRPr="00676CD4">
        <w:rPr>
          <w:u w:val="single"/>
          <w:lang w:val="fr-FR"/>
        </w:rPr>
        <w:t xml:space="preserve">Le Comité exécutif pourrait souhaiter </w:t>
      </w:r>
      <w:r w:rsidR="00712E72" w:rsidRPr="00676CD4">
        <w:rPr>
          <w:lang w:val="fr-FR"/>
        </w:rPr>
        <w:t>:</w:t>
      </w:r>
    </w:p>
    <w:p w14:paraId="72985040" w14:textId="77777777" w:rsidR="00712E72" w:rsidRPr="00944BFF" w:rsidRDefault="00712E72" w:rsidP="00712E72">
      <w:pPr>
        <w:rPr>
          <w:highlight w:val="yellow"/>
          <w:lang w:val="fr-FR"/>
        </w:rPr>
      </w:pPr>
    </w:p>
    <w:p w14:paraId="6C1A2359" w14:textId="31D8549F" w:rsidR="00676CD4" w:rsidRPr="00676CD4" w:rsidRDefault="00676CD4" w:rsidP="006877C9">
      <w:pPr>
        <w:pStyle w:val="Heading2"/>
        <w:numPr>
          <w:ilvl w:val="0"/>
          <w:numId w:val="0"/>
        </w:numPr>
        <w:ind w:left="1440" w:hanging="720"/>
        <w:rPr>
          <w:lang w:val="fr-CA"/>
        </w:rPr>
      </w:pPr>
      <w:r>
        <w:rPr>
          <w:lang w:val="fr-CA"/>
        </w:rPr>
        <w:t>a)</w:t>
      </w:r>
      <w:r>
        <w:rPr>
          <w:lang w:val="fr-CA"/>
        </w:rPr>
        <w:tab/>
        <w:t>P</w:t>
      </w:r>
      <w:r w:rsidRPr="00676CD4">
        <w:rPr>
          <w:lang w:val="fr-CA"/>
        </w:rPr>
        <w:t>rendre note du rapport sur les efforts entrepris par le gouvernement du Suriname afin de renforcer le système de permis et de surveillance des HCFC, présenté par le PNUE et contenu dans le document UNEP/OzL.Pro/ExCom/83/11;</w:t>
      </w:r>
      <w:r>
        <w:rPr>
          <w:lang w:val="fr-CA"/>
        </w:rPr>
        <w:t xml:space="preserve"> et</w:t>
      </w:r>
    </w:p>
    <w:p w14:paraId="41CB0D62" w14:textId="1DB61C73" w:rsidR="00676CD4" w:rsidRPr="00196A54" w:rsidRDefault="00676CD4" w:rsidP="006877C9">
      <w:pPr>
        <w:pStyle w:val="Heading2"/>
        <w:numPr>
          <w:ilvl w:val="0"/>
          <w:numId w:val="0"/>
        </w:numPr>
        <w:ind w:left="1440" w:hanging="720"/>
        <w:rPr>
          <w:lang w:val="fr-CA"/>
        </w:rPr>
      </w:pPr>
      <w:r>
        <w:rPr>
          <w:lang w:val="fr-CA"/>
        </w:rPr>
        <w:t>b)</w:t>
      </w:r>
      <w:r>
        <w:rPr>
          <w:lang w:val="fr-CA"/>
        </w:rPr>
        <w:tab/>
        <w:t>R</w:t>
      </w:r>
      <w:r w:rsidRPr="00196A54">
        <w:rPr>
          <w:lang w:val="fr-CA"/>
        </w:rPr>
        <w:t>éitérer la décision 81/51(c)(i) selon laquelle le financement dans le cadre de la dernière tranche de la phase I du plan de gestion de l’élimination des HCFC pour le Suriname ne sera évalué par le Comité exécutif que lorsque le gouvernement du Suriname aura remédié à toutes les difficultés identifiées dans le rapport de vérification et mis en œuvre des mesures pertinentes, renforçant ainsi les systèmes de permis et de quotas des importations et des exportations.</w:t>
      </w:r>
    </w:p>
    <w:p w14:paraId="00647097" w14:textId="02C2C401" w:rsidR="002A1F7A" w:rsidRPr="00944BFF" w:rsidRDefault="00676CD4" w:rsidP="006877C9">
      <w:pPr>
        <w:pStyle w:val="StyleHeading1Para1Heading1CharHeading1Char3CharHeadin"/>
        <w:keepNext/>
        <w:keepLines/>
        <w:ind w:left="706"/>
        <w:rPr>
          <w:b/>
          <w:lang w:val="fr-FR"/>
        </w:rPr>
      </w:pPr>
      <w:r>
        <w:rPr>
          <w:i/>
          <w:u w:val="single"/>
          <w:lang w:val="fr-FR"/>
        </w:rPr>
        <w:lastRenderedPageBreak/>
        <w:tab/>
      </w:r>
      <w:r w:rsidR="00271B01" w:rsidRPr="00944BFF">
        <w:rPr>
          <w:i/>
          <w:u w:val="single"/>
          <w:lang w:val="fr-FR"/>
        </w:rPr>
        <w:t>Tunisie</w:t>
      </w:r>
      <w:r w:rsidR="00712E72" w:rsidRPr="00944BFF">
        <w:rPr>
          <w:i/>
          <w:u w:val="single"/>
          <w:lang w:val="fr-FR"/>
        </w:rPr>
        <w:t xml:space="preserve">: </w:t>
      </w:r>
      <w:r w:rsidR="00271B01" w:rsidRPr="00944BFF">
        <w:rPr>
          <w:i/>
          <w:u w:val="single"/>
          <w:lang w:val="fr-FR"/>
        </w:rPr>
        <w:t>Plan de gestion de l’élimination des HCFC (phas</w:t>
      </w:r>
      <w:r w:rsidR="00712E72" w:rsidRPr="00944BFF">
        <w:rPr>
          <w:i/>
          <w:u w:val="single"/>
          <w:lang w:val="fr-FR"/>
        </w:rPr>
        <w:t xml:space="preserve">e I) – </w:t>
      </w:r>
      <w:r w:rsidR="00271B01" w:rsidRPr="00944BFF">
        <w:rPr>
          <w:i/>
          <w:u w:val="single"/>
          <w:lang w:val="fr-FR"/>
        </w:rPr>
        <w:t xml:space="preserve">Demande d’annulation du plan </w:t>
      </w:r>
      <w:r w:rsidR="00117A43">
        <w:rPr>
          <w:i/>
          <w:u w:val="single"/>
          <w:lang w:val="fr-FR"/>
        </w:rPr>
        <w:t xml:space="preserve">du </w:t>
      </w:r>
      <w:r w:rsidR="00271B01" w:rsidRPr="00944BFF">
        <w:rPr>
          <w:i/>
          <w:u w:val="single"/>
          <w:lang w:val="fr-FR"/>
        </w:rPr>
        <w:t>sect</w:t>
      </w:r>
      <w:r w:rsidR="00117A43">
        <w:rPr>
          <w:i/>
          <w:u w:val="single"/>
          <w:lang w:val="fr-FR"/>
        </w:rPr>
        <w:t>eu</w:t>
      </w:r>
      <w:r w:rsidR="00271B01" w:rsidRPr="00944BFF">
        <w:rPr>
          <w:i/>
          <w:u w:val="single"/>
          <w:lang w:val="fr-FR"/>
        </w:rPr>
        <w:t>r</w:t>
      </w:r>
      <w:r w:rsidR="00117A43">
        <w:rPr>
          <w:i/>
          <w:u w:val="single"/>
          <w:lang w:val="fr-FR"/>
        </w:rPr>
        <w:t xml:space="preserve"> de</w:t>
      </w:r>
      <w:r w:rsidR="00271B01" w:rsidRPr="00944BFF">
        <w:rPr>
          <w:i/>
          <w:u w:val="single"/>
          <w:lang w:val="fr-FR"/>
        </w:rPr>
        <w:t xml:space="preserve"> la climatisatio</w:t>
      </w:r>
      <w:r w:rsidR="00B3529E">
        <w:rPr>
          <w:i/>
          <w:u w:val="single"/>
          <w:lang w:val="fr-FR"/>
        </w:rPr>
        <w:t>n</w:t>
      </w:r>
      <w:r w:rsidR="00271B01" w:rsidRPr="00944BFF">
        <w:rPr>
          <w:i/>
          <w:u w:val="single"/>
          <w:lang w:val="fr-FR"/>
        </w:rPr>
        <w:t xml:space="preserve"> et mise à jour de l’Accord </w:t>
      </w:r>
      <w:r w:rsidR="00712E72" w:rsidRPr="00944BFF">
        <w:rPr>
          <w:i/>
          <w:lang w:val="fr-FR"/>
        </w:rPr>
        <w:t xml:space="preserve"> </w:t>
      </w:r>
      <w:r w:rsidR="00271B01" w:rsidRPr="00944BFF">
        <w:rPr>
          <w:i/>
          <w:lang w:val="fr-FR"/>
        </w:rPr>
        <w:t>(</w:t>
      </w:r>
      <w:r w:rsidR="00712E72" w:rsidRPr="00944BFF">
        <w:rPr>
          <w:i/>
          <w:lang w:val="fr-FR"/>
        </w:rPr>
        <w:t>O</w:t>
      </w:r>
      <w:r w:rsidR="00271B01" w:rsidRPr="00944BFF">
        <w:rPr>
          <w:i/>
          <w:lang w:val="fr-FR"/>
        </w:rPr>
        <w:t xml:space="preserve">NUDI, </w:t>
      </w:r>
      <w:r w:rsidR="00712E72" w:rsidRPr="00944BFF">
        <w:rPr>
          <w:i/>
          <w:lang w:val="fr-FR"/>
        </w:rPr>
        <w:t>P</w:t>
      </w:r>
      <w:r w:rsidR="00271B01" w:rsidRPr="00944BFF">
        <w:rPr>
          <w:i/>
          <w:lang w:val="fr-FR"/>
        </w:rPr>
        <w:t xml:space="preserve">NUE et gouvernement de </w:t>
      </w:r>
      <w:r w:rsidR="00995EE7" w:rsidRPr="00944BFF">
        <w:rPr>
          <w:i/>
          <w:lang w:val="fr-FR"/>
        </w:rPr>
        <w:t xml:space="preserve">la France) </w:t>
      </w:r>
      <w:r w:rsidR="002A1F7A" w:rsidRPr="00944BFF">
        <w:rPr>
          <w:i/>
          <w:lang w:val="fr-FR"/>
        </w:rPr>
        <w:t xml:space="preserve"> (paragraph</w:t>
      </w:r>
      <w:r w:rsidR="00995EE7" w:rsidRPr="00944BFF">
        <w:rPr>
          <w:i/>
          <w:lang w:val="fr-FR"/>
        </w:rPr>
        <w:t>e</w:t>
      </w:r>
      <w:r w:rsidR="002A1F7A" w:rsidRPr="00944BFF">
        <w:rPr>
          <w:i/>
          <w:lang w:val="fr-FR"/>
        </w:rPr>
        <w:t>s 163-172)</w:t>
      </w:r>
    </w:p>
    <w:p w14:paraId="283FF400" w14:textId="793B1EEF" w:rsidR="002A1F7A" w:rsidRPr="00944BFF" w:rsidRDefault="00995EE7" w:rsidP="006877C9">
      <w:pPr>
        <w:keepNext/>
        <w:keepLines/>
        <w:ind w:left="706"/>
        <w:rPr>
          <w:lang w:val="fr-FR"/>
        </w:rPr>
      </w:pPr>
      <w:r w:rsidRPr="00944BFF">
        <w:rPr>
          <w:u w:val="single"/>
          <w:lang w:val="fr-FR"/>
        </w:rPr>
        <w:t>Questions à traiter :</w:t>
      </w:r>
      <w:r w:rsidR="002A1F7A" w:rsidRPr="00944BFF">
        <w:rPr>
          <w:lang w:val="fr-FR"/>
        </w:rPr>
        <w:t xml:space="preserve"> </w:t>
      </w:r>
    </w:p>
    <w:p w14:paraId="38805EBF" w14:textId="77777777" w:rsidR="002A1F7A" w:rsidRPr="00944BFF" w:rsidRDefault="002A1F7A" w:rsidP="002A1F7A">
      <w:pPr>
        <w:keepNext/>
        <w:ind w:left="709"/>
        <w:rPr>
          <w:lang w:val="fr-FR"/>
        </w:rPr>
      </w:pPr>
    </w:p>
    <w:p w14:paraId="640A543A" w14:textId="408EA2A0" w:rsidR="002A1F7A" w:rsidRPr="00944BFF" w:rsidRDefault="002A1F7A" w:rsidP="00194291">
      <w:pPr>
        <w:keepNext/>
        <w:numPr>
          <w:ilvl w:val="0"/>
          <w:numId w:val="12"/>
        </w:numPr>
        <w:ind w:left="1434" w:hanging="357"/>
        <w:rPr>
          <w:u w:val="single"/>
          <w:lang w:val="fr-FR"/>
        </w:rPr>
      </w:pPr>
      <w:r w:rsidRPr="00944BFF">
        <w:rPr>
          <w:lang w:val="fr-FR"/>
        </w:rPr>
        <w:t>Re</w:t>
      </w:r>
      <w:r w:rsidR="00995EE7" w:rsidRPr="00944BFF">
        <w:rPr>
          <w:lang w:val="fr-FR"/>
        </w:rPr>
        <w:t xml:space="preserve">trait du plan </w:t>
      </w:r>
      <w:r w:rsidR="00117A43">
        <w:rPr>
          <w:lang w:val="fr-FR"/>
        </w:rPr>
        <w:t xml:space="preserve">du </w:t>
      </w:r>
      <w:r w:rsidR="00995EE7" w:rsidRPr="00944BFF">
        <w:rPr>
          <w:lang w:val="fr-FR"/>
        </w:rPr>
        <w:t>sect</w:t>
      </w:r>
      <w:r w:rsidR="00117A43">
        <w:rPr>
          <w:lang w:val="fr-FR"/>
        </w:rPr>
        <w:t>eu</w:t>
      </w:r>
      <w:r w:rsidR="00995EE7" w:rsidRPr="00944BFF">
        <w:rPr>
          <w:lang w:val="fr-FR"/>
        </w:rPr>
        <w:t>r</w:t>
      </w:r>
      <w:r w:rsidR="00117A43">
        <w:rPr>
          <w:lang w:val="fr-FR"/>
        </w:rPr>
        <w:t xml:space="preserve"> de</w:t>
      </w:r>
      <w:r w:rsidR="00995EE7" w:rsidRPr="00944BFF">
        <w:rPr>
          <w:lang w:val="fr-FR"/>
        </w:rPr>
        <w:t xml:space="preserve"> la climatisation de la phase I du PGEH </w:t>
      </w:r>
    </w:p>
    <w:p w14:paraId="16821DF2" w14:textId="77777777" w:rsidR="00995EE7" w:rsidRPr="00944BFF" w:rsidRDefault="00995EE7" w:rsidP="00816DF9">
      <w:pPr>
        <w:keepNext/>
        <w:ind w:left="1434"/>
        <w:rPr>
          <w:u w:val="single"/>
          <w:lang w:val="fr-FR"/>
        </w:rPr>
      </w:pPr>
    </w:p>
    <w:p w14:paraId="7B4E0FA8" w14:textId="65736B96" w:rsidR="002A1F7A" w:rsidRPr="00676CD4" w:rsidRDefault="00995EE7" w:rsidP="00995EE7">
      <w:pPr>
        <w:ind w:left="567"/>
        <w:rPr>
          <w:u w:val="single"/>
          <w:lang w:val="fr-FR"/>
        </w:rPr>
      </w:pPr>
      <w:r w:rsidRPr="00676CD4">
        <w:rPr>
          <w:u w:val="single"/>
          <w:lang w:val="fr-FR"/>
        </w:rPr>
        <w:t>L</w:t>
      </w:r>
      <w:r w:rsidR="002A1F7A" w:rsidRPr="00676CD4">
        <w:rPr>
          <w:u w:val="single"/>
          <w:lang w:val="fr-FR"/>
        </w:rPr>
        <w:t>e</w:t>
      </w:r>
      <w:r w:rsidRPr="00676CD4">
        <w:rPr>
          <w:u w:val="single"/>
          <w:lang w:val="fr-FR"/>
        </w:rPr>
        <w:t xml:space="preserve"> Comité exé</w:t>
      </w:r>
      <w:r w:rsidR="002A1F7A" w:rsidRPr="00676CD4">
        <w:rPr>
          <w:u w:val="single"/>
          <w:lang w:val="fr-FR"/>
        </w:rPr>
        <w:t>cuti</w:t>
      </w:r>
      <w:r w:rsidRPr="00676CD4">
        <w:rPr>
          <w:u w:val="single"/>
          <w:lang w:val="fr-FR"/>
        </w:rPr>
        <w:t xml:space="preserve">f pourrait souhaiter </w:t>
      </w:r>
      <w:r w:rsidR="002A1F7A" w:rsidRPr="00676CD4">
        <w:rPr>
          <w:lang w:val="fr-FR"/>
        </w:rPr>
        <w:t>:</w:t>
      </w:r>
    </w:p>
    <w:p w14:paraId="7CBB9105" w14:textId="77777777" w:rsidR="002A1F7A" w:rsidRPr="00944BFF" w:rsidRDefault="002A1F7A" w:rsidP="002A1F7A">
      <w:pPr>
        <w:rPr>
          <w:highlight w:val="yellow"/>
          <w:lang w:val="fr-FR"/>
        </w:rPr>
      </w:pPr>
    </w:p>
    <w:p w14:paraId="363CB4BE" w14:textId="2EB16102" w:rsidR="00676CD4" w:rsidRPr="00676CD4" w:rsidRDefault="00676CD4" w:rsidP="00676CD4">
      <w:pPr>
        <w:pStyle w:val="Heading2"/>
        <w:numPr>
          <w:ilvl w:val="0"/>
          <w:numId w:val="0"/>
        </w:numPr>
        <w:ind w:left="1440" w:hanging="720"/>
        <w:rPr>
          <w:lang w:val="fr-CA"/>
        </w:rPr>
      </w:pPr>
      <w:r>
        <w:rPr>
          <w:lang w:val="fr-CA"/>
        </w:rPr>
        <w:t>a)</w:t>
      </w:r>
      <w:r>
        <w:rPr>
          <w:lang w:val="fr-CA"/>
        </w:rPr>
        <w:tab/>
        <w:t>P</w:t>
      </w:r>
      <w:r w:rsidRPr="00676CD4">
        <w:rPr>
          <w:lang w:val="fr-CA"/>
        </w:rPr>
        <w:t xml:space="preserve">rendre note de la demande du gouvernement de la Tunisie de retirer le plan du secteur de la climatisation résidentielle, mis en œuvre par l’ONUDI et le gouvernement de la France, de la phase I du plan de gestion de l’élimination des HCFC (PGEH) contenu dans le document UNEP/OzL.Pro/ExCom/72/36, en prenant note que toutes les entreprises incluses dans le plan sectoriel ont éliminé leur consommation de HCFC-22 (4,36 tonnes PAO); </w:t>
      </w:r>
    </w:p>
    <w:p w14:paraId="51EEB3F1" w14:textId="6FB8C30A" w:rsidR="00676CD4" w:rsidRPr="00196A54" w:rsidRDefault="00676CD4" w:rsidP="00676CD4">
      <w:pPr>
        <w:pStyle w:val="Heading2"/>
        <w:numPr>
          <w:ilvl w:val="0"/>
          <w:numId w:val="0"/>
        </w:numPr>
        <w:ind w:left="1440" w:hanging="720"/>
        <w:rPr>
          <w:lang w:val="fr-CA"/>
        </w:rPr>
      </w:pPr>
      <w:r>
        <w:rPr>
          <w:lang w:val="fr-CA"/>
        </w:rPr>
        <w:t>b)</w:t>
      </w:r>
      <w:r>
        <w:rPr>
          <w:lang w:val="fr-CA"/>
        </w:rPr>
        <w:tab/>
        <w:t>P</w:t>
      </w:r>
      <w:r w:rsidRPr="00196A54">
        <w:rPr>
          <w:lang w:val="fr-CA"/>
        </w:rPr>
        <w:t>rendre note en outre :</w:t>
      </w:r>
    </w:p>
    <w:p w14:paraId="4D79F300" w14:textId="74B3DE82" w:rsidR="00676CD4" w:rsidRPr="00676CD4" w:rsidRDefault="00676CD4" w:rsidP="00761F88">
      <w:pPr>
        <w:pStyle w:val="ListParagraph"/>
        <w:widowControl w:val="0"/>
        <w:numPr>
          <w:ilvl w:val="0"/>
          <w:numId w:val="38"/>
        </w:numPr>
        <w:spacing w:after="240"/>
        <w:jc w:val="both"/>
        <w:outlineLvl w:val="2"/>
        <w:rPr>
          <w:lang w:val="fr-CA"/>
        </w:rPr>
      </w:pPr>
      <w:r w:rsidRPr="00676CD4">
        <w:rPr>
          <w:lang w:val="fr-CA"/>
        </w:rPr>
        <w:t>Que le montant de 1 206 919</w:t>
      </w:r>
      <w:r w:rsidR="00416E16">
        <w:rPr>
          <w:lang w:val="fr-CA"/>
        </w:rPr>
        <w:t> $US</w:t>
      </w:r>
      <w:r w:rsidRPr="00676CD4">
        <w:rPr>
          <w:lang w:val="fr-CA"/>
        </w:rPr>
        <w:t>, comprenant 513 275</w:t>
      </w:r>
      <w:r w:rsidR="00416E16">
        <w:rPr>
          <w:lang w:val="fr-CA"/>
        </w:rPr>
        <w:t> $US</w:t>
      </w:r>
      <w:r w:rsidRPr="00676CD4">
        <w:rPr>
          <w:lang w:val="fr-CA"/>
        </w:rPr>
        <w:t xml:space="preserve"> et les coûts du groupe de gestion de projet (PMU) connexe de 81 462</w:t>
      </w:r>
      <w:r w:rsidR="00416E16">
        <w:rPr>
          <w:lang w:val="fr-CA"/>
        </w:rPr>
        <w:t> $US</w:t>
      </w:r>
      <w:r w:rsidRPr="00676CD4">
        <w:rPr>
          <w:lang w:val="fr-CA"/>
        </w:rPr>
        <w:t>, plus des coûts d’appui d’agence de 41 632</w:t>
      </w:r>
      <w:r w:rsidR="00416E16">
        <w:rPr>
          <w:lang w:val="fr-CA"/>
        </w:rPr>
        <w:t> $US</w:t>
      </w:r>
      <w:r w:rsidRPr="00676CD4">
        <w:rPr>
          <w:lang w:val="fr-CA"/>
        </w:rPr>
        <w:t xml:space="preserve"> pour l’ONUDI, et 505 000</w:t>
      </w:r>
      <w:r w:rsidR="00416E16">
        <w:rPr>
          <w:lang w:val="fr-CA"/>
        </w:rPr>
        <w:t> $US</w:t>
      </w:r>
      <w:r w:rsidRPr="00676CD4">
        <w:rPr>
          <w:lang w:val="fr-CA"/>
        </w:rPr>
        <w:t>, plus des coûts d’appui d’agence de 65 550</w:t>
      </w:r>
      <w:r w:rsidR="00416E16">
        <w:rPr>
          <w:lang w:val="fr-CA"/>
        </w:rPr>
        <w:t> $US</w:t>
      </w:r>
      <w:r w:rsidRPr="00676CD4">
        <w:rPr>
          <w:lang w:val="fr-CA"/>
        </w:rPr>
        <w:t xml:space="preserve"> pour le gouvernement de la France, approuvé en principe pour le plan du secteur de la climatisation de la phase I du PGEH, serait retiré de l’Accord entre le gouvernement de la Tunisie et le Comité exécutif; </w:t>
      </w:r>
    </w:p>
    <w:p w14:paraId="5A6C27A8" w14:textId="51D6CBD5" w:rsidR="00676CD4" w:rsidRPr="00196A54" w:rsidRDefault="00676CD4" w:rsidP="00676CD4">
      <w:pPr>
        <w:widowControl w:val="0"/>
        <w:spacing w:after="240"/>
        <w:ind w:left="2160" w:hanging="720"/>
        <w:outlineLvl w:val="2"/>
        <w:rPr>
          <w:lang w:val="fr-CA"/>
        </w:rPr>
      </w:pPr>
      <w:r>
        <w:rPr>
          <w:lang w:val="fr-CA"/>
        </w:rPr>
        <w:t>ii)</w:t>
      </w:r>
      <w:r>
        <w:rPr>
          <w:lang w:val="fr-CA"/>
        </w:rPr>
        <w:tab/>
        <w:t>Du</w:t>
      </w:r>
      <w:r w:rsidRPr="00196A54">
        <w:rPr>
          <w:lang w:val="fr-CA"/>
        </w:rPr>
        <w:t xml:space="preserve"> plan rectifié pour le secteur de l’entretien en réfrigération inclus dans la phase</w:t>
      </w:r>
      <w:r w:rsidR="00D5134E">
        <w:rPr>
          <w:lang w:val="fr-CA"/>
        </w:rPr>
        <w:t> </w:t>
      </w:r>
      <w:r w:rsidRPr="00196A54">
        <w:rPr>
          <w:lang w:val="fr-CA"/>
        </w:rPr>
        <w:t>I du PGEH;</w:t>
      </w:r>
    </w:p>
    <w:p w14:paraId="023A3E03" w14:textId="7512D319" w:rsidR="00676CD4" w:rsidRPr="00676CD4" w:rsidRDefault="00676CD4" w:rsidP="00761F88">
      <w:pPr>
        <w:pStyle w:val="ListParagraph"/>
        <w:widowControl w:val="0"/>
        <w:numPr>
          <w:ilvl w:val="0"/>
          <w:numId w:val="37"/>
        </w:numPr>
        <w:spacing w:after="240"/>
        <w:jc w:val="both"/>
        <w:outlineLvl w:val="2"/>
        <w:rPr>
          <w:lang w:val="fr-CA"/>
        </w:rPr>
      </w:pPr>
      <w:r w:rsidRPr="00676CD4">
        <w:rPr>
          <w:lang w:val="fr-CA"/>
        </w:rPr>
        <w:t>Que le Secrétariat du Fonds avait mis à jour l’Appendice 2-A de l’Accord entre le gouvernement de la Tunisie et le Comité exécutif, contenu à l’Annexe III du document UNEP/OzL.Pro/ExCom/83/11, afin de refléter le retrait du plan du secteur de la climatisation résidentielle, mis en œuvre par l’ONUDI et le gouvernement de la France, et l’échéancier de financement rectifié, et qu’un nouveau paragraphe 16 a été ajouté pour indiquer que l’Accord mis à jour a préséance sur celui qui a été conclu à la 72</w:t>
      </w:r>
      <w:r w:rsidRPr="00676CD4">
        <w:rPr>
          <w:vertAlign w:val="superscript"/>
          <w:lang w:val="fr-CA"/>
        </w:rPr>
        <w:t>e</w:t>
      </w:r>
      <w:r w:rsidRPr="00676CD4">
        <w:rPr>
          <w:lang w:val="fr-CA"/>
        </w:rPr>
        <w:t xml:space="preserve"> réunion, et que l’Appendice 8-A a été retiré;</w:t>
      </w:r>
      <w:r w:rsidR="00982FAC">
        <w:rPr>
          <w:lang w:val="fr-CA"/>
        </w:rPr>
        <w:t xml:space="preserve"> et</w:t>
      </w:r>
    </w:p>
    <w:p w14:paraId="0F69B4BC" w14:textId="6EA5B07E" w:rsidR="00676CD4" w:rsidRPr="00196A54" w:rsidRDefault="00026218" w:rsidP="00026218">
      <w:pPr>
        <w:pStyle w:val="Heading2"/>
        <w:numPr>
          <w:ilvl w:val="0"/>
          <w:numId w:val="0"/>
        </w:numPr>
        <w:ind w:left="1440" w:hanging="720"/>
        <w:rPr>
          <w:lang w:val="fr-CA"/>
        </w:rPr>
      </w:pPr>
      <w:r>
        <w:rPr>
          <w:lang w:val="fr-CA"/>
        </w:rPr>
        <w:t>c)</w:t>
      </w:r>
      <w:r>
        <w:rPr>
          <w:lang w:val="fr-CA"/>
        </w:rPr>
        <w:tab/>
        <w:t>De</w:t>
      </w:r>
      <w:r w:rsidR="00676CD4" w:rsidRPr="00196A54">
        <w:rPr>
          <w:lang w:val="fr-CA"/>
        </w:rPr>
        <w:t>mander à l’ONUDI et au gouvernement de la France de rembourser au Fonds multilatéral les 900 489</w:t>
      </w:r>
      <w:r w:rsidR="00416E16">
        <w:rPr>
          <w:lang w:val="fr-CA"/>
        </w:rPr>
        <w:t> $US</w:t>
      </w:r>
      <w:r w:rsidR="00676CD4" w:rsidRPr="00196A54">
        <w:rPr>
          <w:lang w:val="fr-CA"/>
        </w:rPr>
        <w:t>, soit 340 237</w:t>
      </w:r>
      <w:r w:rsidR="00416E16">
        <w:rPr>
          <w:lang w:val="fr-CA"/>
        </w:rPr>
        <w:t> $US</w:t>
      </w:r>
      <w:r w:rsidR="00676CD4" w:rsidRPr="00196A54">
        <w:rPr>
          <w:lang w:val="fr-CA"/>
        </w:rPr>
        <w:t xml:space="preserve"> et les coûts de PMU connexes de 21 792</w:t>
      </w:r>
      <w:r w:rsidR="00416E16">
        <w:rPr>
          <w:lang w:val="fr-CA"/>
        </w:rPr>
        <w:t> $US</w:t>
      </w:r>
      <w:r w:rsidR="00676CD4" w:rsidRPr="00196A54">
        <w:rPr>
          <w:lang w:val="fr-CA"/>
        </w:rPr>
        <w:t>, plus des coûts d’appui d’agence de 25 342</w:t>
      </w:r>
      <w:r w:rsidR="00416E16">
        <w:rPr>
          <w:lang w:val="fr-CA"/>
        </w:rPr>
        <w:t> $US</w:t>
      </w:r>
      <w:r w:rsidR="00676CD4" w:rsidRPr="00196A54">
        <w:rPr>
          <w:lang w:val="fr-CA"/>
        </w:rPr>
        <w:t xml:space="preserve"> pour l’ONUDI, et 454 087</w:t>
      </w:r>
      <w:r w:rsidR="00416E16">
        <w:rPr>
          <w:lang w:val="fr-CA"/>
        </w:rPr>
        <w:t> $US</w:t>
      </w:r>
      <w:r w:rsidR="00676CD4" w:rsidRPr="00196A54">
        <w:rPr>
          <w:lang w:val="fr-CA"/>
        </w:rPr>
        <w:t>, plus des coûts d’appui d’agence de 59 031</w:t>
      </w:r>
      <w:r w:rsidR="00416E16">
        <w:rPr>
          <w:lang w:val="fr-CA"/>
        </w:rPr>
        <w:t> $US</w:t>
      </w:r>
      <w:r w:rsidR="00676CD4" w:rsidRPr="00196A54">
        <w:rPr>
          <w:lang w:val="fr-CA"/>
        </w:rPr>
        <w:t xml:space="preserve"> pour le gouvernement de la France, associés au plan du secteur de la climatisation approuvé dans le cadre des première et deuxième tranches de la phase I du PGEH, à la 84</w:t>
      </w:r>
      <w:r w:rsidR="00676CD4" w:rsidRPr="00196A54">
        <w:rPr>
          <w:vertAlign w:val="superscript"/>
          <w:lang w:val="fr-CA"/>
        </w:rPr>
        <w:t>e</w:t>
      </w:r>
      <w:r w:rsidR="00676CD4" w:rsidRPr="00196A54">
        <w:rPr>
          <w:lang w:val="fr-CA"/>
        </w:rPr>
        <w:t xml:space="preserve"> réunion.</w:t>
      </w:r>
    </w:p>
    <w:p w14:paraId="5183B15A" w14:textId="64D17A25" w:rsidR="002A1F7A" w:rsidRPr="00944BFF" w:rsidRDefault="002A1F7A" w:rsidP="006877C9">
      <w:pPr>
        <w:keepNext/>
        <w:keepLines/>
        <w:ind w:left="706"/>
        <w:rPr>
          <w:i/>
          <w:lang w:val="fr-FR"/>
        </w:rPr>
      </w:pPr>
      <w:r w:rsidRPr="00944BFF">
        <w:rPr>
          <w:i/>
          <w:lang w:val="fr-FR"/>
        </w:rPr>
        <w:lastRenderedPageBreak/>
        <w:t>Part</w:t>
      </w:r>
      <w:r w:rsidR="00995EE7" w:rsidRPr="00944BFF">
        <w:rPr>
          <w:i/>
          <w:lang w:val="fr-FR"/>
        </w:rPr>
        <w:t>ie V</w:t>
      </w:r>
      <w:r w:rsidR="00B3529E">
        <w:rPr>
          <w:i/>
          <w:lang w:val="fr-FR"/>
        </w:rPr>
        <w:t xml:space="preserve"> </w:t>
      </w:r>
      <w:r w:rsidR="00995EE7" w:rsidRPr="00944BFF">
        <w:rPr>
          <w:i/>
          <w:lang w:val="fr-FR"/>
        </w:rPr>
        <w:t>:</w:t>
      </w:r>
      <w:r w:rsidR="00B3529E">
        <w:rPr>
          <w:i/>
          <w:lang w:val="fr-FR"/>
        </w:rPr>
        <w:t xml:space="preserve"> </w:t>
      </w:r>
      <w:r w:rsidR="00995EE7" w:rsidRPr="00944BFF">
        <w:rPr>
          <w:i/>
          <w:lang w:val="fr-FR"/>
        </w:rPr>
        <w:t>Projets de dé</w:t>
      </w:r>
      <w:r w:rsidRPr="00944BFF">
        <w:rPr>
          <w:i/>
          <w:lang w:val="fr-FR"/>
        </w:rPr>
        <w:t>monstration</w:t>
      </w:r>
      <w:r w:rsidR="00995EE7" w:rsidRPr="00944BFF">
        <w:rPr>
          <w:i/>
          <w:lang w:val="fr-FR"/>
        </w:rPr>
        <w:t xml:space="preserve"> sur des solutions de remplacement des HCFC à faible potentiel</w:t>
      </w:r>
      <w:r w:rsidR="00F3453B">
        <w:rPr>
          <w:i/>
          <w:lang w:val="fr-FR"/>
        </w:rPr>
        <w:t xml:space="preserve"> de réchauffement de la planète</w:t>
      </w:r>
      <w:r w:rsidRPr="00944BFF">
        <w:rPr>
          <w:i/>
          <w:lang w:val="fr-FR"/>
        </w:rPr>
        <w:t xml:space="preserve"> </w:t>
      </w:r>
      <w:r w:rsidR="00B3529E">
        <w:rPr>
          <w:i/>
          <w:lang w:val="fr-FR"/>
        </w:rPr>
        <w:t>et é</w:t>
      </w:r>
      <w:r w:rsidR="00995EE7" w:rsidRPr="00944BFF">
        <w:rPr>
          <w:i/>
          <w:lang w:val="fr-FR"/>
        </w:rPr>
        <w:t>tudes de faisabilité sur le refroidissement urbain (dé</w:t>
      </w:r>
      <w:r w:rsidRPr="00944BFF">
        <w:rPr>
          <w:i/>
          <w:lang w:val="fr-FR"/>
        </w:rPr>
        <w:t>cision 72/40)</w:t>
      </w:r>
    </w:p>
    <w:p w14:paraId="4437BA76" w14:textId="77777777" w:rsidR="002A1F7A" w:rsidRPr="00944BFF" w:rsidRDefault="002A1F7A" w:rsidP="006877C9">
      <w:pPr>
        <w:keepNext/>
        <w:keepLines/>
        <w:ind w:left="706"/>
        <w:rPr>
          <w:i/>
          <w:lang w:val="fr-FR"/>
        </w:rPr>
      </w:pPr>
    </w:p>
    <w:p w14:paraId="28F928DF" w14:textId="3530FC63" w:rsidR="002A1F7A" w:rsidRPr="00944BFF" w:rsidRDefault="002A1F7A" w:rsidP="006877C9">
      <w:pPr>
        <w:keepNext/>
        <w:keepLines/>
        <w:tabs>
          <w:tab w:val="left" w:pos="720"/>
          <w:tab w:val="left" w:pos="1440"/>
          <w:tab w:val="left" w:pos="2160"/>
        </w:tabs>
        <w:spacing w:after="240"/>
        <w:ind w:left="706"/>
        <w:rPr>
          <w:i/>
          <w:color w:val="000000" w:themeColor="text1"/>
          <w:u w:val="single"/>
          <w:lang w:val="fr-FR"/>
        </w:rPr>
      </w:pPr>
      <w:r w:rsidRPr="00944BFF">
        <w:rPr>
          <w:i/>
          <w:color w:val="000000" w:themeColor="text1"/>
          <w:u w:val="single"/>
          <w:lang w:val="fr-FR"/>
        </w:rPr>
        <w:t>Egypt</w:t>
      </w:r>
      <w:r w:rsidR="00995EE7" w:rsidRPr="00944BFF">
        <w:rPr>
          <w:i/>
          <w:color w:val="000000" w:themeColor="text1"/>
          <w:u w:val="single"/>
          <w:lang w:val="fr-FR"/>
        </w:rPr>
        <w:t>e: Dé</w:t>
      </w:r>
      <w:r w:rsidRPr="00944BFF">
        <w:rPr>
          <w:i/>
          <w:color w:val="000000" w:themeColor="text1"/>
          <w:u w:val="single"/>
          <w:lang w:val="fr-FR"/>
        </w:rPr>
        <w:t xml:space="preserve">monstration </w:t>
      </w:r>
      <w:r w:rsidR="00117A43">
        <w:rPr>
          <w:i/>
          <w:color w:val="000000" w:themeColor="text1"/>
          <w:u w:val="single"/>
          <w:lang w:val="fr-FR"/>
        </w:rPr>
        <w:t xml:space="preserve">sur les </w:t>
      </w:r>
      <w:r w:rsidR="00995EE7" w:rsidRPr="00944BFF">
        <w:rPr>
          <w:i/>
          <w:color w:val="000000" w:themeColor="text1"/>
          <w:u w:val="single"/>
          <w:lang w:val="fr-FR"/>
        </w:rPr>
        <w:t xml:space="preserve">options </w:t>
      </w:r>
      <w:r w:rsidR="00117A43">
        <w:rPr>
          <w:i/>
          <w:color w:val="000000" w:themeColor="text1"/>
          <w:u w:val="single"/>
          <w:lang w:val="fr-FR"/>
        </w:rPr>
        <w:t>de reconversion à faible coût</w:t>
      </w:r>
      <w:r w:rsidRPr="00944BFF">
        <w:rPr>
          <w:i/>
          <w:color w:val="000000" w:themeColor="text1"/>
          <w:u w:val="single"/>
          <w:lang w:val="fr-FR"/>
        </w:rPr>
        <w:t xml:space="preserve"> </w:t>
      </w:r>
      <w:r w:rsidR="00995EE7" w:rsidRPr="00944BFF">
        <w:rPr>
          <w:i/>
          <w:color w:val="000000" w:themeColor="text1"/>
          <w:u w:val="single"/>
          <w:lang w:val="fr-FR"/>
        </w:rPr>
        <w:t xml:space="preserve">à des technologies sans SAO </w:t>
      </w:r>
      <w:r w:rsidR="00117A43">
        <w:rPr>
          <w:i/>
          <w:color w:val="000000" w:themeColor="text1"/>
          <w:u w:val="single"/>
          <w:lang w:val="fr-FR"/>
        </w:rPr>
        <w:t>pour les mousses de polyuréthane</w:t>
      </w:r>
      <w:r w:rsidRPr="00944BFF">
        <w:rPr>
          <w:i/>
          <w:color w:val="000000" w:themeColor="text1"/>
          <w:u w:val="single"/>
          <w:lang w:val="fr-FR"/>
        </w:rPr>
        <w:t xml:space="preserve"> </w:t>
      </w:r>
      <w:r w:rsidR="00117A43">
        <w:rPr>
          <w:i/>
          <w:color w:val="000000" w:themeColor="text1"/>
          <w:u w:val="single"/>
          <w:lang w:val="fr-FR"/>
        </w:rPr>
        <w:t>chez l</w:t>
      </w:r>
      <w:r w:rsidR="00995EE7" w:rsidRPr="00944BFF">
        <w:rPr>
          <w:i/>
          <w:color w:val="000000" w:themeColor="text1"/>
          <w:u w:val="single"/>
          <w:lang w:val="fr-FR"/>
        </w:rPr>
        <w:t>e</w:t>
      </w:r>
      <w:r w:rsidR="00117A43">
        <w:rPr>
          <w:i/>
          <w:color w:val="000000" w:themeColor="text1"/>
          <w:u w:val="single"/>
          <w:lang w:val="fr-FR"/>
        </w:rPr>
        <w:t>s</w:t>
      </w:r>
      <w:r w:rsidR="00995EE7" w:rsidRPr="00944BFF">
        <w:rPr>
          <w:i/>
          <w:color w:val="000000" w:themeColor="text1"/>
          <w:u w:val="single"/>
          <w:lang w:val="fr-FR"/>
        </w:rPr>
        <w:t xml:space="preserve"> très petits utilisateurs </w:t>
      </w:r>
      <w:r w:rsidR="00995EE7" w:rsidRPr="00944BFF">
        <w:rPr>
          <w:i/>
          <w:color w:val="000000" w:themeColor="text1"/>
          <w:lang w:val="fr-FR"/>
        </w:rPr>
        <w:t>(</w:t>
      </w:r>
      <w:r w:rsidRPr="00944BFF">
        <w:rPr>
          <w:i/>
          <w:color w:val="000000" w:themeColor="text1"/>
          <w:lang w:val="fr-FR"/>
        </w:rPr>
        <w:t>P</w:t>
      </w:r>
      <w:r w:rsidR="00995EE7" w:rsidRPr="00944BFF">
        <w:rPr>
          <w:i/>
          <w:color w:val="000000" w:themeColor="text1"/>
          <w:lang w:val="fr-FR"/>
        </w:rPr>
        <w:t>NUD</w:t>
      </w:r>
      <w:r w:rsidRPr="00944BFF">
        <w:rPr>
          <w:i/>
          <w:color w:val="000000" w:themeColor="text1"/>
          <w:lang w:val="fr-FR"/>
        </w:rPr>
        <w:t>) (paragraph</w:t>
      </w:r>
      <w:r w:rsidR="00995EE7" w:rsidRPr="00944BFF">
        <w:rPr>
          <w:i/>
          <w:color w:val="000000" w:themeColor="text1"/>
          <w:lang w:val="fr-FR"/>
        </w:rPr>
        <w:t>e</w:t>
      </w:r>
      <w:r w:rsidRPr="00944BFF">
        <w:rPr>
          <w:i/>
          <w:color w:val="000000" w:themeColor="text1"/>
          <w:lang w:val="fr-FR"/>
        </w:rPr>
        <w:t>s 178-190)</w:t>
      </w:r>
    </w:p>
    <w:p w14:paraId="79A1AAFB" w14:textId="5ED941B1" w:rsidR="002A1F7A" w:rsidRPr="00944BFF" w:rsidRDefault="00995EE7" w:rsidP="006877C9">
      <w:pPr>
        <w:keepNext/>
        <w:keepLines/>
        <w:widowControl w:val="0"/>
        <w:tabs>
          <w:tab w:val="left" w:pos="720"/>
          <w:tab w:val="left" w:pos="1440"/>
          <w:tab w:val="left" w:pos="2160"/>
        </w:tabs>
        <w:spacing w:after="240"/>
        <w:ind w:left="706"/>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w:t>
      </w:r>
    </w:p>
    <w:p w14:paraId="3866020C" w14:textId="77777777" w:rsidR="00995EE7" w:rsidRPr="00944BFF" w:rsidRDefault="00995EE7" w:rsidP="00194291">
      <w:pPr>
        <w:widowControl w:val="0"/>
        <w:numPr>
          <w:ilvl w:val="0"/>
          <w:numId w:val="12"/>
        </w:numPr>
        <w:ind w:left="1434" w:hanging="357"/>
        <w:rPr>
          <w:color w:val="000000" w:themeColor="text1"/>
          <w:lang w:val="fr-FR"/>
        </w:rPr>
      </w:pPr>
      <w:r w:rsidRPr="00944BFF">
        <w:rPr>
          <w:color w:val="000000" w:themeColor="text1"/>
          <w:lang w:val="fr-FR"/>
        </w:rPr>
        <w:t>Prolongation de la date d’achèvement</w:t>
      </w:r>
    </w:p>
    <w:p w14:paraId="4A295352" w14:textId="3C694A05" w:rsidR="002A1F7A" w:rsidRPr="00944BFF" w:rsidRDefault="002A1F7A" w:rsidP="00995EE7">
      <w:pPr>
        <w:widowControl w:val="0"/>
        <w:ind w:left="1434"/>
        <w:rPr>
          <w:color w:val="000000" w:themeColor="text1"/>
          <w:lang w:val="fr-FR"/>
        </w:rPr>
      </w:pPr>
      <w:r w:rsidRPr="00944BFF">
        <w:rPr>
          <w:color w:val="000000" w:themeColor="text1"/>
          <w:lang w:val="fr-FR"/>
        </w:rPr>
        <w:t xml:space="preserve"> </w:t>
      </w:r>
    </w:p>
    <w:p w14:paraId="2E6E5F9C" w14:textId="7EC7AF81" w:rsidR="002A1F7A" w:rsidRPr="00026218" w:rsidRDefault="00995EE7" w:rsidP="002A1F7A">
      <w:pPr>
        <w:keepNext/>
        <w:tabs>
          <w:tab w:val="left" w:pos="720"/>
          <w:tab w:val="left" w:pos="1440"/>
          <w:tab w:val="left" w:pos="2160"/>
        </w:tabs>
        <w:spacing w:after="240"/>
        <w:ind w:left="709"/>
        <w:outlineLvl w:val="0"/>
        <w:rPr>
          <w:color w:val="000000" w:themeColor="text1"/>
          <w:lang w:val="fr-FR"/>
        </w:rPr>
      </w:pPr>
      <w:r w:rsidRPr="00026218">
        <w:rPr>
          <w:color w:val="000000" w:themeColor="text1"/>
          <w:u w:val="single"/>
          <w:lang w:val="fr-FR"/>
        </w:rPr>
        <w:t>L</w:t>
      </w:r>
      <w:r w:rsidR="002A1F7A" w:rsidRPr="00026218">
        <w:rPr>
          <w:color w:val="000000" w:themeColor="text1"/>
          <w:u w:val="single"/>
          <w:lang w:val="fr-FR"/>
        </w:rPr>
        <w:t>e</w:t>
      </w:r>
      <w:r w:rsidRPr="00026218">
        <w:rPr>
          <w:color w:val="000000" w:themeColor="text1"/>
          <w:u w:val="single"/>
          <w:lang w:val="fr-FR"/>
        </w:rPr>
        <w:t xml:space="preserve"> Comité exécutif pourrait souhaiter </w:t>
      </w:r>
      <w:r w:rsidR="002A1F7A" w:rsidRPr="00026218">
        <w:rPr>
          <w:color w:val="000000" w:themeColor="text1"/>
          <w:lang w:val="fr-FR"/>
        </w:rPr>
        <w:t xml:space="preserve">: </w:t>
      </w:r>
    </w:p>
    <w:p w14:paraId="47832162" w14:textId="33FA439A" w:rsidR="00026218" w:rsidRPr="00026218" w:rsidRDefault="00026218" w:rsidP="00026218">
      <w:pPr>
        <w:pStyle w:val="Heading2"/>
        <w:numPr>
          <w:ilvl w:val="0"/>
          <w:numId w:val="0"/>
        </w:numPr>
        <w:ind w:left="1440" w:hanging="720"/>
        <w:rPr>
          <w:lang w:val="fr-FR"/>
        </w:rPr>
      </w:pPr>
      <w:r>
        <w:rPr>
          <w:lang w:val="fr-FR"/>
        </w:rPr>
        <w:t>a)</w:t>
      </w:r>
      <w:r>
        <w:rPr>
          <w:lang w:val="fr-FR"/>
        </w:rPr>
        <w:tab/>
      </w:r>
      <w:r w:rsidRPr="00026218">
        <w:rPr>
          <w:lang w:val="fr-FR"/>
        </w:rPr>
        <w:t>Prendre note du rapport final préliminaire sur la démonstration d’options de reconversion à faibles coûts à des technologies sans SAO dans le secteur des mousses de polyuréthane chez de très petits utilisateurs en Égypte, soumis par le PNUD, figurant dans le do</w:t>
      </w:r>
      <w:r w:rsidR="00083378">
        <w:rPr>
          <w:lang w:val="fr-FR"/>
        </w:rPr>
        <w:t>cument</w:t>
      </w:r>
      <w:r w:rsidR="002F1864">
        <w:rPr>
          <w:lang w:val="fr-FR"/>
        </w:rPr>
        <w:t> </w:t>
      </w:r>
      <w:r w:rsidR="00083378">
        <w:rPr>
          <w:lang w:val="fr-FR"/>
        </w:rPr>
        <w:t>UNEP/OzL.Pro/ExCom/83/11</w:t>
      </w:r>
      <w:r w:rsidRPr="00026218">
        <w:rPr>
          <w:lang w:val="fr-FR"/>
        </w:rPr>
        <w:t xml:space="preserve">; </w:t>
      </w:r>
    </w:p>
    <w:p w14:paraId="0CA4864B" w14:textId="3AEA5D7D" w:rsidR="00026218" w:rsidRPr="002E72D3" w:rsidRDefault="00026218" w:rsidP="00026218">
      <w:pPr>
        <w:pStyle w:val="Heading2"/>
        <w:numPr>
          <w:ilvl w:val="0"/>
          <w:numId w:val="0"/>
        </w:numPr>
        <w:ind w:left="1440" w:hanging="720"/>
        <w:rPr>
          <w:lang w:val="fr-FR"/>
        </w:rPr>
      </w:pPr>
      <w:r>
        <w:rPr>
          <w:lang w:val="fr-FR"/>
        </w:rPr>
        <w:t>b)</w:t>
      </w:r>
      <w:r>
        <w:rPr>
          <w:lang w:val="fr-FR"/>
        </w:rPr>
        <w:tab/>
      </w:r>
      <w:r w:rsidRPr="002E72D3">
        <w:rPr>
          <w:lang w:val="fr-FR"/>
        </w:rPr>
        <w:t>À titre exceptionnel, notant les progrès substantiels réalisés jusqu’à présent, reporter à nouveau la date d’achèvement du projet mentionné ci-dessus au paragraphe (a) jusqu’au 31 juillet 2019, étant entendu qu’aucune autre prolongation de mise en œuvre ne sera demandée, et inviter le PNUD à soumettre le rapport final au plus tard à la 84</w:t>
      </w:r>
      <w:r w:rsidRPr="002E72D3">
        <w:rPr>
          <w:vertAlign w:val="superscript"/>
          <w:lang w:val="fr-FR"/>
        </w:rPr>
        <w:t>e</w:t>
      </w:r>
      <w:r w:rsidR="00083378">
        <w:rPr>
          <w:lang w:val="fr-FR"/>
        </w:rPr>
        <w:t xml:space="preserve"> réunion</w:t>
      </w:r>
      <w:r w:rsidRPr="002E72D3">
        <w:rPr>
          <w:lang w:val="fr-FR"/>
        </w:rPr>
        <w:t>;</w:t>
      </w:r>
      <w:r w:rsidR="00982FAC">
        <w:rPr>
          <w:lang w:val="fr-FR"/>
        </w:rPr>
        <w:t xml:space="preserve"> et</w:t>
      </w:r>
    </w:p>
    <w:p w14:paraId="1EC0AEFC" w14:textId="6994EE3C" w:rsidR="00026218" w:rsidRPr="002E72D3" w:rsidRDefault="00026218" w:rsidP="00026218">
      <w:pPr>
        <w:pStyle w:val="Heading2"/>
        <w:numPr>
          <w:ilvl w:val="0"/>
          <w:numId w:val="0"/>
        </w:numPr>
        <w:ind w:left="1440" w:hanging="720"/>
        <w:rPr>
          <w:lang w:val="fr-FR"/>
        </w:rPr>
      </w:pPr>
      <w:r>
        <w:rPr>
          <w:lang w:val="fr-FR"/>
        </w:rPr>
        <w:t>c)</w:t>
      </w:r>
      <w:r>
        <w:rPr>
          <w:lang w:val="fr-FR"/>
        </w:rPr>
        <w:tab/>
      </w:r>
      <w:r w:rsidRPr="002E72D3">
        <w:rPr>
          <w:lang w:val="fr-FR"/>
        </w:rPr>
        <w:t>Demander au PNUD de veiller à ce que le rapport final du projet indiqué ci-dessus au paragraphe (a) soit soumis à la 84</w:t>
      </w:r>
      <w:r w:rsidRPr="002E72D3">
        <w:rPr>
          <w:vertAlign w:val="superscript"/>
          <w:lang w:val="fr-FR"/>
        </w:rPr>
        <w:t>e</w:t>
      </w:r>
      <w:r w:rsidRPr="002E72D3">
        <w:rPr>
          <w:lang w:val="fr-FR"/>
        </w:rPr>
        <w:t xml:space="preserve"> réunion et inclut des détails sur la comparaison des caractéristiques de l’équipement original par rapport aux unités optimisées d’un plus faible coût, les performances de l’équipement pendant les essais, y compris celles des formules de mousse utilisées au cours de  ces derniers, les résultats de l’utilisation du nouvel équipement, et des recommandations concernant son utilité pour de petits utilisateurs.</w:t>
      </w:r>
    </w:p>
    <w:p w14:paraId="64F19275" w14:textId="2D8B9C56" w:rsidR="002A1F7A" w:rsidRPr="00944BFF" w:rsidRDefault="00F3453B" w:rsidP="002A1F7A">
      <w:pPr>
        <w:tabs>
          <w:tab w:val="left" w:pos="720"/>
          <w:tab w:val="left" w:pos="1440"/>
          <w:tab w:val="left" w:pos="2160"/>
        </w:tabs>
        <w:spacing w:after="240"/>
        <w:ind w:left="709"/>
        <w:outlineLvl w:val="0"/>
        <w:rPr>
          <w:i/>
          <w:color w:val="000000" w:themeColor="text1"/>
          <w:u w:val="single"/>
          <w:lang w:val="fr-FR"/>
        </w:rPr>
      </w:pPr>
      <w:r>
        <w:rPr>
          <w:i/>
          <w:color w:val="000000" w:themeColor="text1"/>
          <w:u w:val="single"/>
          <w:lang w:val="fr-FR"/>
        </w:rPr>
        <w:t xml:space="preserve">Région </w:t>
      </w:r>
      <w:r w:rsidR="00083378">
        <w:rPr>
          <w:i/>
          <w:color w:val="000000" w:themeColor="text1"/>
          <w:u w:val="single"/>
          <w:lang w:val="fr-FR"/>
        </w:rPr>
        <w:t>de l’</w:t>
      </w:r>
      <w:r w:rsidR="002A1F7A" w:rsidRPr="00944BFF">
        <w:rPr>
          <w:i/>
          <w:color w:val="000000" w:themeColor="text1"/>
          <w:u w:val="single"/>
          <w:lang w:val="fr-FR"/>
        </w:rPr>
        <w:t xml:space="preserve">Europe </w:t>
      </w:r>
      <w:r>
        <w:rPr>
          <w:i/>
          <w:color w:val="000000" w:themeColor="text1"/>
          <w:u w:val="single"/>
          <w:lang w:val="fr-FR"/>
        </w:rPr>
        <w:t xml:space="preserve">et </w:t>
      </w:r>
      <w:r w:rsidR="00083378">
        <w:rPr>
          <w:i/>
          <w:color w:val="000000" w:themeColor="text1"/>
          <w:u w:val="single"/>
          <w:lang w:val="fr-FR"/>
        </w:rPr>
        <w:t>de l’</w:t>
      </w:r>
      <w:r w:rsidR="00995EE7" w:rsidRPr="00944BFF">
        <w:rPr>
          <w:i/>
          <w:color w:val="000000" w:themeColor="text1"/>
          <w:u w:val="single"/>
          <w:lang w:val="fr-FR"/>
        </w:rPr>
        <w:t>Asie c</w:t>
      </w:r>
      <w:r w:rsidR="002A1F7A" w:rsidRPr="00944BFF">
        <w:rPr>
          <w:i/>
          <w:color w:val="000000" w:themeColor="text1"/>
          <w:u w:val="single"/>
          <w:lang w:val="fr-FR"/>
        </w:rPr>
        <w:t>entra</w:t>
      </w:r>
      <w:r w:rsidR="00995EE7" w:rsidRPr="00944BFF">
        <w:rPr>
          <w:i/>
          <w:color w:val="000000" w:themeColor="text1"/>
          <w:u w:val="single"/>
          <w:lang w:val="fr-FR"/>
        </w:rPr>
        <w:t xml:space="preserve">le (ECA): </w:t>
      </w:r>
      <w:r w:rsidR="00117A43">
        <w:rPr>
          <w:i/>
          <w:color w:val="000000" w:themeColor="text1"/>
          <w:u w:val="single"/>
          <w:lang w:val="fr-FR"/>
        </w:rPr>
        <w:t xml:space="preserve">Création </w:t>
      </w:r>
      <w:r>
        <w:rPr>
          <w:i/>
          <w:color w:val="000000" w:themeColor="text1"/>
          <w:u w:val="single"/>
          <w:lang w:val="fr-FR"/>
        </w:rPr>
        <w:t xml:space="preserve">d’un centre </w:t>
      </w:r>
      <w:r w:rsidR="00117A43">
        <w:rPr>
          <w:i/>
          <w:color w:val="000000" w:themeColor="text1"/>
          <w:u w:val="single"/>
          <w:lang w:val="fr-FR"/>
        </w:rPr>
        <w:t xml:space="preserve">régional d’excellence </w:t>
      </w:r>
      <w:r w:rsidR="0024127F">
        <w:rPr>
          <w:i/>
          <w:color w:val="000000" w:themeColor="text1"/>
          <w:u w:val="single"/>
          <w:lang w:val="fr-FR"/>
        </w:rPr>
        <w:t>pour la formation et</w:t>
      </w:r>
      <w:r w:rsidR="00995EE7" w:rsidRPr="00944BFF">
        <w:rPr>
          <w:i/>
          <w:color w:val="000000" w:themeColor="text1"/>
          <w:u w:val="single"/>
          <w:lang w:val="fr-FR"/>
        </w:rPr>
        <w:t xml:space="preserve"> la certification</w:t>
      </w:r>
      <w:r w:rsidR="00117A43">
        <w:rPr>
          <w:i/>
          <w:color w:val="000000" w:themeColor="text1"/>
          <w:u w:val="single"/>
          <w:lang w:val="fr-FR"/>
        </w:rPr>
        <w:t>,</w:t>
      </w:r>
      <w:r w:rsidR="00995EE7" w:rsidRPr="00944BFF">
        <w:rPr>
          <w:i/>
          <w:color w:val="000000" w:themeColor="text1"/>
          <w:u w:val="single"/>
          <w:lang w:val="fr-FR"/>
        </w:rPr>
        <w:t xml:space="preserve"> et la démonstration de frigorigènes de rem</w:t>
      </w:r>
      <w:r w:rsidR="0064372A">
        <w:rPr>
          <w:i/>
          <w:color w:val="000000" w:themeColor="text1"/>
          <w:u w:val="single"/>
          <w:lang w:val="fr-FR"/>
        </w:rPr>
        <w:t>p</w:t>
      </w:r>
      <w:r w:rsidR="00995EE7" w:rsidRPr="00944BFF">
        <w:rPr>
          <w:i/>
          <w:color w:val="000000" w:themeColor="text1"/>
          <w:u w:val="single"/>
          <w:lang w:val="fr-FR"/>
        </w:rPr>
        <w:t>lacement à faible potentiel de réchauffement de la</w:t>
      </w:r>
      <w:r w:rsidR="004C680E" w:rsidRPr="00944BFF">
        <w:rPr>
          <w:i/>
          <w:color w:val="000000" w:themeColor="text1"/>
          <w:u w:val="single"/>
          <w:lang w:val="fr-FR"/>
        </w:rPr>
        <w:t xml:space="preserve"> planète </w:t>
      </w:r>
      <w:r w:rsidR="002A1F7A" w:rsidRPr="00944BFF">
        <w:rPr>
          <w:i/>
          <w:color w:val="000000" w:themeColor="text1"/>
          <w:u w:val="single"/>
          <w:lang w:val="fr-FR"/>
        </w:rPr>
        <w:t xml:space="preserve">– </w:t>
      </w:r>
      <w:r w:rsidR="004C680E" w:rsidRPr="00944BFF">
        <w:rPr>
          <w:i/>
          <w:color w:val="000000" w:themeColor="text1"/>
          <w:u w:val="single"/>
          <w:lang w:val="fr-FR"/>
        </w:rPr>
        <w:t>rapport périodique</w:t>
      </w:r>
      <w:r w:rsidR="002A1F7A" w:rsidRPr="00944BFF">
        <w:rPr>
          <w:i/>
          <w:color w:val="000000" w:themeColor="text1"/>
          <w:lang w:val="fr-FR"/>
        </w:rPr>
        <w:t xml:space="preserve"> (</w:t>
      </w:r>
      <w:r w:rsidR="004C680E" w:rsidRPr="00944BFF">
        <w:rPr>
          <w:i/>
          <w:color w:val="000000" w:themeColor="text1"/>
          <w:lang w:val="fr-FR"/>
        </w:rPr>
        <w:t>Fédération de Russie</w:t>
      </w:r>
      <w:r w:rsidR="002A1F7A" w:rsidRPr="00944BFF">
        <w:rPr>
          <w:i/>
          <w:color w:val="000000" w:themeColor="text1"/>
          <w:lang w:val="fr-FR"/>
        </w:rPr>
        <w:t>) (paragraph</w:t>
      </w:r>
      <w:r w:rsidR="004C680E" w:rsidRPr="00944BFF">
        <w:rPr>
          <w:i/>
          <w:color w:val="000000" w:themeColor="text1"/>
          <w:lang w:val="fr-FR"/>
        </w:rPr>
        <w:t>e</w:t>
      </w:r>
      <w:r w:rsidR="002A1F7A" w:rsidRPr="00944BFF">
        <w:rPr>
          <w:i/>
          <w:color w:val="000000" w:themeColor="text1"/>
          <w:lang w:val="fr-FR"/>
        </w:rPr>
        <w:t>s 191-200)</w:t>
      </w:r>
    </w:p>
    <w:p w14:paraId="228C75DC" w14:textId="4FC05B81" w:rsidR="002A1F7A" w:rsidRPr="00944BFF" w:rsidRDefault="004C680E"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2A1F7A" w:rsidRPr="00944BFF">
        <w:rPr>
          <w:color w:val="000000" w:themeColor="text1"/>
          <w:lang w:val="fr-FR"/>
        </w:rPr>
        <w:t> </w:t>
      </w:r>
      <w:r w:rsidRPr="00944BFF">
        <w:rPr>
          <w:color w:val="000000" w:themeColor="text1"/>
          <w:lang w:val="fr-FR"/>
        </w:rPr>
        <w:t>Prolongation de la date d’achèvement</w:t>
      </w:r>
      <w:r w:rsidR="002A1F7A" w:rsidRPr="00944BFF">
        <w:rPr>
          <w:color w:val="000000" w:themeColor="text1"/>
          <w:lang w:val="fr-FR"/>
        </w:rPr>
        <w:t xml:space="preserve"> </w:t>
      </w:r>
    </w:p>
    <w:p w14:paraId="01924D38" w14:textId="3D0F8623" w:rsidR="002A1F7A" w:rsidRPr="00026218" w:rsidRDefault="004C680E" w:rsidP="002A1F7A">
      <w:pPr>
        <w:keepNext/>
        <w:tabs>
          <w:tab w:val="left" w:pos="720"/>
          <w:tab w:val="left" w:pos="1440"/>
          <w:tab w:val="left" w:pos="2160"/>
        </w:tabs>
        <w:spacing w:after="240"/>
        <w:ind w:left="706"/>
        <w:outlineLvl w:val="0"/>
        <w:rPr>
          <w:color w:val="000000" w:themeColor="text1"/>
          <w:lang w:val="fr-FR"/>
        </w:rPr>
      </w:pPr>
      <w:r w:rsidRPr="00026218">
        <w:rPr>
          <w:color w:val="000000" w:themeColor="text1"/>
          <w:u w:val="single"/>
          <w:lang w:val="fr-FR"/>
        </w:rPr>
        <w:t>L</w:t>
      </w:r>
      <w:r w:rsidR="002A1F7A" w:rsidRPr="00026218">
        <w:rPr>
          <w:color w:val="000000" w:themeColor="text1"/>
          <w:u w:val="single"/>
          <w:lang w:val="fr-FR"/>
        </w:rPr>
        <w:t>e</w:t>
      </w:r>
      <w:r w:rsidRPr="00026218">
        <w:rPr>
          <w:color w:val="000000" w:themeColor="text1"/>
          <w:u w:val="single"/>
          <w:lang w:val="fr-FR"/>
        </w:rPr>
        <w:t xml:space="preserve"> Comité exécutif pourrait souhaiter :</w:t>
      </w:r>
      <w:r w:rsidR="002A1F7A" w:rsidRPr="00026218">
        <w:rPr>
          <w:color w:val="000000" w:themeColor="text1"/>
          <w:lang w:val="fr-FR"/>
        </w:rPr>
        <w:t xml:space="preserve"> </w:t>
      </w:r>
    </w:p>
    <w:p w14:paraId="709D64DC" w14:textId="09EDDBD6" w:rsidR="00026218" w:rsidRPr="00026218" w:rsidRDefault="00026218" w:rsidP="00026218">
      <w:pPr>
        <w:pStyle w:val="Heading2"/>
        <w:numPr>
          <w:ilvl w:val="0"/>
          <w:numId w:val="0"/>
        </w:numPr>
        <w:ind w:left="1440" w:hanging="720"/>
        <w:rPr>
          <w:lang w:val="fr-FR"/>
        </w:rPr>
      </w:pPr>
      <w:r>
        <w:rPr>
          <w:lang w:val="fr-FR"/>
        </w:rPr>
        <w:t>a)</w:t>
      </w:r>
      <w:r>
        <w:rPr>
          <w:lang w:val="fr-FR"/>
        </w:rPr>
        <w:tab/>
      </w:r>
      <w:r w:rsidRPr="00026218">
        <w:rPr>
          <w:lang w:val="fr-FR"/>
        </w:rPr>
        <w:t>Prendre note du rapport périodique sur la création d’un centre régional d’excellence pour la formation et la certification, et la démonstration de frigorigènes de remplacement à faible potentiel de réchauffement de la planète (PRP) en Europe et en Asie centrale, soumis par le gouvernement de la Fédération de Russie et figurant dans le do</w:t>
      </w:r>
      <w:r w:rsidR="00117A43">
        <w:rPr>
          <w:lang w:val="fr-FR"/>
        </w:rPr>
        <w:t>cument</w:t>
      </w:r>
      <w:r w:rsidR="00D5134E">
        <w:rPr>
          <w:lang w:val="fr-FR"/>
        </w:rPr>
        <w:t> </w:t>
      </w:r>
      <w:r w:rsidR="00117A43">
        <w:rPr>
          <w:lang w:val="fr-FR"/>
        </w:rPr>
        <w:t>UNEP/OzL.Pro/ExCom/83/11</w:t>
      </w:r>
      <w:r w:rsidRPr="00026218">
        <w:rPr>
          <w:lang w:val="fr-FR"/>
        </w:rPr>
        <w:t>; et</w:t>
      </w:r>
    </w:p>
    <w:p w14:paraId="61334F45" w14:textId="7BC0B3B7" w:rsidR="00026218" w:rsidRPr="002E72D3" w:rsidRDefault="00026218" w:rsidP="00026218">
      <w:pPr>
        <w:pStyle w:val="Heading2"/>
        <w:numPr>
          <w:ilvl w:val="0"/>
          <w:numId w:val="0"/>
        </w:numPr>
        <w:ind w:left="1440" w:hanging="720"/>
        <w:rPr>
          <w:lang w:val="fr-FR"/>
        </w:rPr>
      </w:pPr>
      <w:r>
        <w:rPr>
          <w:lang w:val="fr-FR"/>
        </w:rPr>
        <w:t>b)</w:t>
      </w:r>
      <w:r>
        <w:rPr>
          <w:lang w:val="fr-FR"/>
        </w:rPr>
        <w:tab/>
      </w:r>
      <w:r w:rsidRPr="002E72D3">
        <w:rPr>
          <w:lang w:val="fr-FR"/>
        </w:rPr>
        <w:t>Prolonger la date d’achèvement du projet jusqu’au 31 décembre 2019, à titre exceptionnel, notant les progrès substantiels réalisés jusqu’à présent, étant entendu qu’aucune autre prolongation de mise en œuvre ne sera demandée, et demander au gouvernement de la Fédération de Russie de soumettre le rapport final sur le projet mentionné au paragraphe (a) ci-dessus au plus tard à la 85</w:t>
      </w:r>
      <w:r w:rsidRPr="002E72D3">
        <w:rPr>
          <w:vertAlign w:val="superscript"/>
          <w:lang w:val="fr-FR"/>
        </w:rPr>
        <w:t>e</w:t>
      </w:r>
      <w:r w:rsidRPr="002E72D3">
        <w:rPr>
          <w:lang w:val="fr-FR"/>
        </w:rPr>
        <w:t xml:space="preserve"> réunion.</w:t>
      </w:r>
    </w:p>
    <w:p w14:paraId="155B0DDF" w14:textId="74B009E7" w:rsidR="002A1F7A" w:rsidRPr="00944BFF" w:rsidRDefault="004C680E" w:rsidP="002A1F7A">
      <w:pPr>
        <w:keepNext/>
        <w:tabs>
          <w:tab w:val="left" w:pos="720"/>
          <w:tab w:val="left" w:pos="1440"/>
          <w:tab w:val="left" w:pos="2160"/>
        </w:tabs>
        <w:spacing w:after="240"/>
        <w:ind w:left="709"/>
        <w:outlineLvl w:val="0"/>
        <w:rPr>
          <w:i/>
          <w:color w:val="000000" w:themeColor="text1"/>
          <w:u w:val="single"/>
          <w:lang w:val="fr-FR"/>
        </w:rPr>
      </w:pPr>
      <w:r w:rsidRPr="00944BFF">
        <w:rPr>
          <w:i/>
          <w:color w:val="000000" w:themeColor="text1"/>
          <w:u w:val="single"/>
          <w:lang w:val="fr-FR"/>
        </w:rPr>
        <w:lastRenderedPageBreak/>
        <w:t>Koweït: Rapport</w:t>
      </w:r>
      <w:r w:rsidR="002A1F7A" w:rsidRPr="00944BFF">
        <w:rPr>
          <w:i/>
          <w:color w:val="000000" w:themeColor="text1"/>
          <w:u w:val="single"/>
          <w:lang w:val="fr-FR"/>
        </w:rPr>
        <w:t xml:space="preserve"> </w:t>
      </w:r>
      <w:r w:rsidRPr="00944BFF">
        <w:rPr>
          <w:i/>
          <w:color w:val="000000" w:themeColor="text1"/>
          <w:u w:val="single"/>
          <w:lang w:val="fr-FR"/>
        </w:rPr>
        <w:t>sur le projet de dé</w:t>
      </w:r>
      <w:r w:rsidR="002A1F7A" w:rsidRPr="00944BFF">
        <w:rPr>
          <w:i/>
          <w:color w:val="000000" w:themeColor="text1"/>
          <w:u w:val="single"/>
          <w:lang w:val="fr-FR"/>
        </w:rPr>
        <w:t>monstration</w:t>
      </w:r>
      <w:r w:rsidR="00117A43">
        <w:rPr>
          <w:i/>
          <w:color w:val="000000" w:themeColor="text1"/>
          <w:u w:val="single"/>
          <w:lang w:val="fr-FR"/>
        </w:rPr>
        <w:t xml:space="preserve"> afin d’</w:t>
      </w:r>
      <w:r w:rsidRPr="00944BFF">
        <w:rPr>
          <w:i/>
          <w:color w:val="000000" w:themeColor="text1"/>
          <w:u w:val="single"/>
          <w:lang w:val="fr-FR"/>
        </w:rPr>
        <w:t>évaluer l</w:t>
      </w:r>
      <w:r w:rsidR="0024127F">
        <w:rPr>
          <w:i/>
          <w:color w:val="000000" w:themeColor="text1"/>
          <w:u w:val="single"/>
          <w:lang w:val="fr-FR"/>
        </w:rPr>
        <w:t xml:space="preserve">a performance </w:t>
      </w:r>
      <w:r w:rsidR="00117A43">
        <w:rPr>
          <w:i/>
          <w:color w:val="000000" w:themeColor="text1"/>
          <w:u w:val="single"/>
          <w:lang w:val="fr-FR"/>
        </w:rPr>
        <w:t>des</w:t>
      </w:r>
      <w:r w:rsidRPr="00944BFF">
        <w:rPr>
          <w:i/>
          <w:color w:val="000000" w:themeColor="text1"/>
          <w:u w:val="single"/>
          <w:lang w:val="fr-FR"/>
        </w:rPr>
        <w:t xml:space="preserve"> technologie</w:t>
      </w:r>
      <w:r w:rsidR="00117A43">
        <w:rPr>
          <w:i/>
          <w:color w:val="000000" w:themeColor="text1"/>
          <w:u w:val="single"/>
          <w:lang w:val="fr-FR"/>
        </w:rPr>
        <w:t>s</w:t>
      </w:r>
      <w:r w:rsidRPr="00944BFF">
        <w:rPr>
          <w:i/>
          <w:color w:val="000000" w:themeColor="text1"/>
          <w:u w:val="single"/>
          <w:lang w:val="fr-FR"/>
        </w:rPr>
        <w:t xml:space="preserve"> sans HCFC et à faible potentiel de ré</w:t>
      </w:r>
      <w:r w:rsidR="00117A43">
        <w:rPr>
          <w:i/>
          <w:color w:val="000000" w:themeColor="text1"/>
          <w:u w:val="single"/>
          <w:lang w:val="fr-FR"/>
        </w:rPr>
        <w:t>chauffement de la planète dans l</w:t>
      </w:r>
      <w:r w:rsidRPr="00944BFF">
        <w:rPr>
          <w:i/>
          <w:color w:val="000000" w:themeColor="text1"/>
          <w:u w:val="single"/>
          <w:lang w:val="fr-FR"/>
        </w:rPr>
        <w:t xml:space="preserve">es applications de climatisation </w:t>
      </w:r>
      <w:r w:rsidRPr="00944BFF">
        <w:rPr>
          <w:i/>
          <w:color w:val="000000" w:themeColor="text1"/>
          <w:lang w:val="fr-FR"/>
        </w:rPr>
        <w:t>(</w:t>
      </w:r>
      <w:r w:rsidR="002A1F7A" w:rsidRPr="00944BFF">
        <w:rPr>
          <w:i/>
          <w:color w:val="000000" w:themeColor="text1"/>
          <w:lang w:val="fr-FR"/>
        </w:rPr>
        <w:t>P</w:t>
      </w:r>
      <w:r w:rsidRPr="00944BFF">
        <w:rPr>
          <w:i/>
          <w:color w:val="000000" w:themeColor="text1"/>
          <w:lang w:val="fr-FR"/>
        </w:rPr>
        <w:t>NUD</w:t>
      </w:r>
      <w:r w:rsidR="002A1F7A" w:rsidRPr="00944BFF">
        <w:rPr>
          <w:i/>
          <w:color w:val="000000" w:themeColor="text1"/>
          <w:lang w:val="fr-FR"/>
        </w:rPr>
        <w:t>) (paragraph</w:t>
      </w:r>
      <w:r w:rsidRPr="00944BFF">
        <w:rPr>
          <w:i/>
          <w:color w:val="000000" w:themeColor="text1"/>
          <w:lang w:val="fr-FR"/>
        </w:rPr>
        <w:t>e</w:t>
      </w:r>
      <w:r w:rsidR="002A1F7A" w:rsidRPr="00944BFF">
        <w:rPr>
          <w:i/>
          <w:color w:val="000000" w:themeColor="text1"/>
          <w:lang w:val="fr-FR"/>
        </w:rPr>
        <w:t>s 201-206)</w:t>
      </w:r>
    </w:p>
    <w:p w14:paraId="612FDFCE" w14:textId="34B101F1" w:rsidR="002A1F7A" w:rsidRPr="00944BFF" w:rsidRDefault="004C680E" w:rsidP="002A1F7A">
      <w:pPr>
        <w:keepNext/>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w:t>
      </w:r>
    </w:p>
    <w:p w14:paraId="04A9B9BB" w14:textId="0988F18F" w:rsidR="002A1F7A" w:rsidRPr="00944BFF" w:rsidRDefault="004C680E" w:rsidP="00194291">
      <w:pPr>
        <w:pStyle w:val="ListParagraph"/>
        <w:numPr>
          <w:ilvl w:val="0"/>
          <w:numId w:val="12"/>
        </w:numPr>
        <w:tabs>
          <w:tab w:val="left" w:pos="720"/>
          <w:tab w:val="left" w:pos="1440"/>
          <w:tab w:val="left" w:pos="2160"/>
        </w:tabs>
        <w:spacing w:after="240"/>
        <w:rPr>
          <w:color w:val="000000" w:themeColor="text1"/>
          <w:lang w:val="fr-FR"/>
        </w:rPr>
      </w:pPr>
      <w:r w:rsidRPr="00944BFF">
        <w:rPr>
          <w:color w:val="000000" w:themeColor="text1"/>
          <w:lang w:val="fr-FR"/>
        </w:rPr>
        <w:t>Annulation du projet</w:t>
      </w:r>
    </w:p>
    <w:p w14:paraId="7E46F0E1" w14:textId="5FF9567F" w:rsidR="002A1F7A" w:rsidRPr="00944BFF" w:rsidRDefault="00B3529E" w:rsidP="002A1F7A">
      <w:pPr>
        <w:tabs>
          <w:tab w:val="left" w:pos="720"/>
          <w:tab w:val="left" w:pos="1440"/>
          <w:tab w:val="left" w:pos="2160"/>
        </w:tabs>
        <w:spacing w:after="240"/>
        <w:ind w:left="709"/>
        <w:outlineLvl w:val="0"/>
        <w:rPr>
          <w:color w:val="000000" w:themeColor="text1"/>
          <w:lang w:val="fr-FR"/>
        </w:rPr>
      </w:pPr>
      <w:r w:rsidRPr="00026218">
        <w:rPr>
          <w:color w:val="000000" w:themeColor="text1"/>
          <w:u w:val="single"/>
          <w:lang w:val="fr-FR"/>
        </w:rPr>
        <w:t>L</w:t>
      </w:r>
      <w:r w:rsidR="002A1F7A" w:rsidRPr="00026218">
        <w:rPr>
          <w:color w:val="000000" w:themeColor="text1"/>
          <w:u w:val="single"/>
          <w:lang w:val="fr-FR"/>
        </w:rPr>
        <w:t xml:space="preserve">e </w:t>
      </w:r>
      <w:r w:rsidRPr="00026218">
        <w:rPr>
          <w:color w:val="000000" w:themeColor="text1"/>
          <w:u w:val="single"/>
          <w:lang w:val="fr-FR"/>
        </w:rPr>
        <w:t xml:space="preserve">Comité exécutif pourrait </w:t>
      </w:r>
      <w:r w:rsidR="00026218" w:rsidRPr="00026218">
        <w:rPr>
          <w:color w:val="000000" w:themeColor="text1"/>
          <w:u w:val="single"/>
          <w:lang w:val="fr-FR"/>
        </w:rPr>
        <w:t>envisager</w:t>
      </w:r>
      <w:r w:rsidR="00026218" w:rsidRPr="00026218">
        <w:rPr>
          <w:color w:val="000000" w:themeColor="text1"/>
          <w:lang w:val="fr-FR"/>
        </w:rPr>
        <w:t xml:space="preserve"> d’annuler le projet de dém</w:t>
      </w:r>
      <w:r w:rsidR="002A1F7A" w:rsidRPr="00026218">
        <w:rPr>
          <w:color w:val="000000" w:themeColor="text1"/>
          <w:lang w:val="fr-FR"/>
        </w:rPr>
        <w:t xml:space="preserve">onstration </w:t>
      </w:r>
      <w:r w:rsidR="00026218" w:rsidRPr="00026218">
        <w:rPr>
          <w:color w:val="000000" w:themeColor="text1"/>
          <w:lang w:val="fr-FR"/>
        </w:rPr>
        <w:t xml:space="preserve">en vue d’évaluer la performance des technologies sans </w:t>
      </w:r>
      <w:r w:rsidR="002A1F7A" w:rsidRPr="00026218">
        <w:rPr>
          <w:color w:val="000000" w:themeColor="text1"/>
          <w:lang w:val="fr-FR"/>
        </w:rPr>
        <w:t xml:space="preserve">HCFC </w:t>
      </w:r>
      <w:r w:rsidR="00026218" w:rsidRPr="00026218">
        <w:rPr>
          <w:color w:val="000000" w:themeColor="text1"/>
          <w:lang w:val="fr-FR"/>
        </w:rPr>
        <w:t>et à faible PRP dans des applications de climatisation  au Koweït, et de demander au PNUD de restituer à la 84</w:t>
      </w:r>
      <w:r w:rsidR="00026218" w:rsidRPr="00026218">
        <w:rPr>
          <w:color w:val="000000" w:themeColor="text1"/>
          <w:vertAlign w:val="superscript"/>
          <w:lang w:val="fr-FR"/>
        </w:rPr>
        <w:t>e</w:t>
      </w:r>
      <w:r w:rsidR="00026218" w:rsidRPr="00026218">
        <w:rPr>
          <w:color w:val="000000" w:themeColor="text1"/>
          <w:lang w:val="fr-FR"/>
        </w:rPr>
        <w:t xml:space="preserve"> réunion un mo</w:t>
      </w:r>
      <w:r w:rsidR="00117A43">
        <w:rPr>
          <w:color w:val="000000" w:themeColor="text1"/>
          <w:lang w:val="fr-FR"/>
        </w:rPr>
        <w:t>n</w:t>
      </w:r>
      <w:r w:rsidR="00026218" w:rsidRPr="00026218">
        <w:rPr>
          <w:color w:val="000000" w:themeColor="text1"/>
          <w:lang w:val="fr-FR"/>
        </w:rPr>
        <w:t xml:space="preserve">tant de 293 </w:t>
      </w:r>
      <w:r w:rsidR="002A1F7A" w:rsidRPr="00026218">
        <w:rPr>
          <w:color w:val="000000" w:themeColor="text1"/>
          <w:lang w:val="fr-FR"/>
        </w:rPr>
        <w:t>000</w:t>
      </w:r>
      <w:r w:rsidR="00026218" w:rsidRPr="00026218">
        <w:rPr>
          <w:color w:val="000000" w:themeColor="text1"/>
          <w:lang w:val="fr-FR"/>
        </w:rPr>
        <w:t xml:space="preserve"> $US</w:t>
      </w:r>
      <w:r w:rsidR="002A1F7A" w:rsidRPr="00026218">
        <w:rPr>
          <w:color w:val="000000" w:themeColor="text1"/>
          <w:lang w:val="fr-FR"/>
        </w:rPr>
        <w:t xml:space="preserve">, plus </w:t>
      </w:r>
      <w:r w:rsidR="00026218" w:rsidRPr="00026218">
        <w:rPr>
          <w:color w:val="000000" w:themeColor="text1"/>
          <w:lang w:val="fr-FR"/>
        </w:rPr>
        <w:t xml:space="preserve">coûts d’appui d’agence de 20 </w:t>
      </w:r>
      <w:r w:rsidR="002A1F7A" w:rsidRPr="00026218">
        <w:rPr>
          <w:color w:val="000000" w:themeColor="text1"/>
          <w:lang w:val="fr-FR"/>
        </w:rPr>
        <w:t>510</w:t>
      </w:r>
      <w:r w:rsidR="00026218" w:rsidRPr="00026218">
        <w:rPr>
          <w:color w:val="000000" w:themeColor="text1"/>
          <w:lang w:val="fr-FR"/>
        </w:rPr>
        <w:t xml:space="preserve"> $US</w:t>
      </w:r>
      <w:r w:rsidR="002A1F7A" w:rsidRPr="00026218">
        <w:rPr>
          <w:color w:val="000000" w:themeColor="text1"/>
          <w:lang w:val="fr-FR"/>
        </w:rPr>
        <w:t>.</w:t>
      </w:r>
    </w:p>
    <w:p w14:paraId="0293DF8D" w14:textId="7B783C5F" w:rsidR="002A1F7A" w:rsidRPr="00944BFF" w:rsidRDefault="004C680E" w:rsidP="002A1F7A">
      <w:pPr>
        <w:tabs>
          <w:tab w:val="left" w:pos="720"/>
          <w:tab w:val="left" w:pos="1440"/>
          <w:tab w:val="left" w:pos="2160"/>
        </w:tabs>
        <w:spacing w:after="240"/>
        <w:ind w:left="709"/>
        <w:rPr>
          <w:color w:val="000000" w:themeColor="text1"/>
          <w:lang w:val="fr-FR"/>
        </w:rPr>
      </w:pPr>
      <w:r w:rsidRPr="00944BFF">
        <w:rPr>
          <w:i/>
          <w:color w:val="000000" w:themeColor="text1"/>
          <w:u w:val="single"/>
          <w:lang w:val="fr-FR"/>
        </w:rPr>
        <w:t>Maroc</w:t>
      </w:r>
      <w:r w:rsidR="002A1F7A" w:rsidRPr="00944BFF">
        <w:rPr>
          <w:i/>
          <w:color w:val="000000" w:themeColor="text1"/>
          <w:u w:val="single"/>
          <w:lang w:val="fr-FR"/>
        </w:rPr>
        <w:t xml:space="preserve">: </w:t>
      </w:r>
      <w:r w:rsidRPr="00944BFF">
        <w:rPr>
          <w:i/>
          <w:color w:val="000000" w:themeColor="text1"/>
          <w:u w:val="single"/>
          <w:lang w:val="fr-FR"/>
        </w:rPr>
        <w:t>Projet de dé</w:t>
      </w:r>
      <w:r w:rsidR="002A1F7A" w:rsidRPr="00944BFF">
        <w:rPr>
          <w:i/>
          <w:color w:val="000000" w:themeColor="text1"/>
          <w:u w:val="single"/>
          <w:lang w:val="fr-FR"/>
        </w:rPr>
        <w:t xml:space="preserve">monstration </w:t>
      </w:r>
      <w:r w:rsidR="00117A43">
        <w:rPr>
          <w:i/>
          <w:color w:val="000000" w:themeColor="text1"/>
          <w:u w:val="single"/>
          <w:lang w:val="fr-FR"/>
        </w:rPr>
        <w:t>de</w:t>
      </w:r>
      <w:r w:rsidRPr="00944BFF">
        <w:rPr>
          <w:i/>
          <w:color w:val="000000" w:themeColor="text1"/>
          <w:u w:val="single"/>
          <w:lang w:val="fr-FR"/>
        </w:rPr>
        <w:t xml:space="preserve"> l’utilisat</w:t>
      </w:r>
      <w:r w:rsidR="0064372A">
        <w:rPr>
          <w:i/>
          <w:color w:val="000000" w:themeColor="text1"/>
          <w:u w:val="single"/>
          <w:lang w:val="fr-FR"/>
        </w:rPr>
        <w:t>ion d’une technologie de moussag</w:t>
      </w:r>
      <w:r w:rsidRPr="00944BFF">
        <w:rPr>
          <w:i/>
          <w:color w:val="000000" w:themeColor="text1"/>
          <w:u w:val="single"/>
          <w:lang w:val="fr-FR"/>
        </w:rPr>
        <w:t xml:space="preserve">e au pentane, à faible coût, pour la </w:t>
      </w:r>
      <w:r w:rsidR="00117A43">
        <w:rPr>
          <w:i/>
          <w:color w:val="000000" w:themeColor="text1"/>
          <w:u w:val="single"/>
          <w:lang w:val="fr-FR"/>
        </w:rPr>
        <w:t>re</w:t>
      </w:r>
      <w:r w:rsidR="002A1F7A" w:rsidRPr="00944BFF">
        <w:rPr>
          <w:i/>
          <w:color w:val="000000" w:themeColor="text1"/>
          <w:u w:val="single"/>
          <w:lang w:val="fr-FR"/>
        </w:rPr>
        <w:t>conversion</w:t>
      </w:r>
      <w:r w:rsidR="00B3529E">
        <w:rPr>
          <w:i/>
          <w:color w:val="000000" w:themeColor="text1"/>
          <w:u w:val="single"/>
          <w:lang w:val="fr-FR"/>
        </w:rPr>
        <w:t xml:space="preserve"> </w:t>
      </w:r>
      <w:r w:rsidRPr="00944BFF">
        <w:rPr>
          <w:i/>
          <w:color w:val="000000" w:themeColor="text1"/>
          <w:u w:val="single"/>
          <w:lang w:val="fr-FR"/>
        </w:rPr>
        <w:t xml:space="preserve">à des technologies </w:t>
      </w:r>
      <w:r w:rsidR="00117A43">
        <w:rPr>
          <w:i/>
          <w:color w:val="000000" w:themeColor="text1"/>
          <w:u w:val="single"/>
          <w:lang w:val="fr-FR"/>
        </w:rPr>
        <w:t>de fabricatio</w:t>
      </w:r>
      <w:r w:rsidR="00083378">
        <w:rPr>
          <w:i/>
          <w:color w:val="000000" w:themeColor="text1"/>
          <w:u w:val="single"/>
          <w:lang w:val="fr-FR"/>
        </w:rPr>
        <w:t>n</w:t>
      </w:r>
      <w:r w:rsidR="00117A43">
        <w:rPr>
          <w:i/>
          <w:color w:val="000000" w:themeColor="text1"/>
          <w:u w:val="single"/>
          <w:lang w:val="fr-FR"/>
        </w:rPr>
        <w:t xml:space="preserve"> de mousses de polyuréthane </w:t>
      </w:r>
      <w:r w:rsidRPr="00944BFF">
        <w:rPr>
          <w:i/>
          <w:color w:val="000000" w:themeColor="text1"/>
          <w:u w:val="single"/>
          <w:lang w:val="fr-FR"/>
        </w:rPr>
        <w:t>sans SAO</w:t>
      </w:r>
      <w:r w:rsidR="0024127F">
        <w:rPr>
          <w:i/>
          <w:color w:val="000000" w:themeColor="text1"/>
          <w:u w:val="single"/>
          <w:lang w:val="fr-FR"/>
        </w:rPr>
        <w:t xml:space="preserve"> dans </w:t>
      </w:r>
      <w:r w:rsidRPr="00944BFF">
        <w:rPr>
          <w:i/>
          <w:color w:val="000000" w:themeColor="text1"/>
          <w:u w:val="single"/>
          <w:lang w:val="fr-FR"/>
        </w:rPr>
        <w:t>des petites et moyennes</w:t>
      </w:r>
      <w:r w:rsidR="0024127F">
        <w:rPr>
          <w:i/>
          <w:color w:val="000000" w:themeColor="text1"/>
          <w:u w:val="single"/>
          <w:lang w:val="fr-FR"/>
        </w:rPr>
        <w:t xml:space="preserve"> entreprises</w:t>
      </w:r>
      <w:r w:rsidR="0024127F">
        <w:rPr>
          <w:i/>
          <w:color w:val="000000" w:themeColor="text1"/>
          <w:lang w:val="fr-FR"/>
        </w:rPr>
        <w:t xml:space="preserve"> </w:t>
      </w:r>
      <w:r w:rsidRPr="00944BFF">
        <w:rPr>
          <w:i/>
          <w:color w:val="000000" w:themeColor="text1"/>
          <w:lang w:val="fr-FR"/>
        </w:rPr>
        <w:t>(</w:t>
      </w:r>
      <w:r w:rsidR="002A1F7A" w:rsidRPr="00944BFF">
        <w:rPr>
          <w:i/>
          <w:color w:val="000000" w:themeColor="text1"/>
          <w:lang w:val="fr-FR"/>
        </w:rPr>
        <w:t>O</w:t>
      </w:r>
      <w:r w:rsidRPr="00944BFF">
        <w:rPr>
          <w:i/>
          <w:color w:val="000000" w:themeColor="text1"/>
          <w:lang w:val="fr-FR"/>
        </w:rPr>
        <w:t>NUDI</w:t>
      </w:r>
      <w:r w:rsidR="002A1F7A" w:rsidRPr="00944BFF">
        <w:rPr>
          <w:i/>
          <w:color w:val="000000" w:themeColor="text1"/>
          <w:lang w:val="fr-FR"/>
        </w:rPr>
        <w:t>) (paragraph</w:t>
      </w:r>
      <w:r w:rsidRPr="00944BFF">
        <w:rPr>
          <w:i/>
          <w:color w:val="000000" w:themeColor="text1"/>
          <w:lang w:val="fr-FR"/>
        </w:rPr>
        <w:t>e</w:t>
      </w:r>
      <w:r w:rsidR="002A1F7A" w:rsidRPr="00944BFF">
        <w:rPr>
          <w:i/>
          <w:color w:val="000000" w:themeColor="text1"/>
          <w:lang w:val="fr-FR"/>
        </w:rPr>
        <w:t>s 207-212)</w:t>
      </w:r>
    </w:p>
    <w:p w14:paraId="7DF3E8C7" w14:textId="2C1A80DE" w:rsidR="002A1F7A" w:rsidRPr="00944BFF" w:rsidRDefault="004C680E"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p>
    <w:p w14:paraId="11362238" w14:textId="4BB6C2E8" w:rsidR="002A1F7A" w:rsidRPr="00944BFF" w:rsidRDefault="004C680E" w:rsidP="00194291">
      <w:pPr>
        <w:pStyle w:val="ListParagraph"/>
        <w:numPr>
          <w:ilvl w:val="0"/>
          <w:numId w:val="12"/>
        </w:numPr>
        <w:tabs>
          <w:tab w:val="left" w:pos="720"/>
          <w:tab w:val="left" w:pos="1440"/>
          <w:tab w:val="left" w:pos="2160"/>
        </w:tabs>
        <w:spacing w:after="240"/>
        <w:rPr>
          <w:color w:val="000000" w:themeColor="text1"/>
          <w:lang w:val="fr-FR"/>
        </w:rPr>
      </w:pPr>
      <w:r w:rsidRPr="00944BFF">
        <w:rPr>
          <w:color w:val="000000" w:themeColor="text1"/>
          <w:lang w:val="fr-FR"/>
        </w:rPr>
        <w:t>Prolongation de la date d’achèvement</w:t>
      </w:r>
    </w:p>
    <w:p w14:paraId="64CB7590" w14:textId="782E5A9D" w:rsidR="002A1F7A" w:rsidRPr="00026218" w:rsidRDefault="004C680E" w:rsidP="002A1F7A">
      <w:pPr>
        <w:tabs>
          <w:tab w:val="left" w:pos="720"/>
          <w:tab w:val="left" w:pos="1440"/>
          <w:tab w:val="left" w:pos="2160"/>
        </w:tabs>
        <w:spacing w:after="240"/>
        <w:ind w:left="709"/>
        <w:outlineLvl w:val="0"/>
        <w:rPr>
          <w:color w:val="000000" w:themeColor="text1"/>
          <w:lang w:val="fr-FR"/>
        </w:rPr>
      </w:pPr>
      <w:r w:rsidRPr="00026218">
        <w:rPr>
          <w:color w:val="000000" w:themeColor="text1"/>
          <w:u w:val="single"/>
          <w:lang w:val="fr-FR"/>
        </w:rPr>
        <w:t>L</w:t>
      </w:r>
      <w:r w:rsidR="002A1F7A" w:rsidRPr="00026218">
        <w:rPr>
          <w:color w:val="000000" w:themeColor="text1"/>
          <w:u w:val="single"/>
          <w:lang w:val="fr-FR"/>
        </w:rPr>
        <w:t xml:space="preserve">e </w:t>
      </w:r>
      <w:r w:rsidRPr="00026218">
        <w:rPr>
          <w:color w:val="000000" w:themeColor="text1"/>
          <w:u w:val="single"/>
          <w:lang w:val="fr-FR"/>
        </w:rPr>
        <w:t>Comité exécutif pourrait souhaiter :</w:t>
      </w:r>
    </w:p>
    <w:p w14:paraId="7887737A" w14:textId="3C3F2B47" w:rsidR="00026218" w:rsidRPr="00026218" w:rsidRDefault="00026218" w:rsidP="00026218">
      <w:pPr>
        <w:pStyle w:val="Heading2"/>
        <w:keepNext/>
        <w:keepLines/>
        <w:numPr>
          <w:ilvl w:val="0"/>
          <w:numId w:val="0"/>
        </w:numPr>
        <w:ind w:left="1440" w:hanging="720"/>
        <w:rPr>
          <w:b/>
          <w:lang w:val="fr-FR"/>
        </w:rPr>
      </w:pPr>
      <w:r>
        <w:rPr>
          <w:lang w:val="fr-FR"/>
        </w:rPr>
        <w:t>a)</w:t>
      </w:r>
      <w:r>
        <w:rPr>
          <w:lang w:val="fr-FR"/>
        </w:rPr>
        <w:tab/>
      </w:r>
      <w:r w:rsidRPr="00026218">
        <w:rPr>
          <w:lang w:val="fr-FR"/>
        </w:rPr>
        <w:t xml:space="preserve">Prendre note du rapport périodique sur le projet de démonstration </w:t>
      </w:r>
      <w:r w:rsidRPr="00026218">
        <w:rPr>
          <w:bCs/>
          <w:iCs/>
          <w:lang w:val="fr-FR"/>
        </w:rPr>
        <w:t xml:space="preserve">de l’utilisation d’une technologie de moussage au pentane à faible coût pour la reconversion à des technologies de fabrication de mousses de polyuréthane sans SAO dans des petites et moyennes entreprises </w:t>
      </w:r>
      <w:r w:rsidRPr="00026218">
        <w:rPr>
          <w:lang w:val="fr-FR"/>
        </w:rPr>
        <w:t>au Maroc, soumis par l’ONUDI et figurant dans le do</w:t>
      </w:r>
      <w:r w:rsidR="00117A43">
        <w:rPr>
          <w:lang w:val="fr-FR"/>
        </w:rPr>
        <w:t>cument</w:t>
      </w:r>
      <w:r w:rsidR="00D5134E">
        <w:rPr>
          <w:lang w:val="fr-FR"/>
        </w:rPr>
        <w:t> </w:t>
      </w:r>
      <w:r w:rsidR="00117A43">
        <w:rPr>
          <w:lang w:val="fr-FR"/>
        </w:rPr>
        <w:t>UNEP/OzL.Pro/ExCom/83/11</w:t>
      </w:r>
      <w:r w:rsidRPr="00026218">
        <w:rPr>
          <w:lang w:val="fr-FR"/>
        </w:rPr>
        <w:t xml:space="preserve">; </w:t>
      </w:r>
    </w:p>
    <w:p w14:paraId="7F66191C" w14:textId="2152740E" w:rsidR="00026218" w:rsidRPr="002E72D3" w:rsidRDefault="00026218" w:rsidP="00761F88">
      <w:pPr>
        <w:pStyle w:val="Heading2"/>
        <w:numPr>
          <w:ilvl w:val="0"/>
          <w:numId w:val="39"/>
        </w:numPr>
        <w:ind w:left="1418" w:hanging="698"/>
        <w:rPr>
          <w:lang w:val="fr-FR"/>
        </w:rPr>
      </w:pPr>
      <w:r w:rsidRPr="002E72D3">
        <w:rPr>
          <w:lang w:val="fr-FR"/>
        </w:rPr>
        <w:t>Prolonger la date d’achèvement du projet mentionné ci-dessus au paragraphe (a) jusqu’au 30 septembre 2019, notant les progrès dans l’avancement de la mise en œuvre et la reproductibilité possible des résultats dans plu</w:t>
      </w:r>
      <w:r w:rsidR="00117A43">
        <w:rPr>
          <w:lang w:val="fr-FR"/>
        </w:rPr>
        <w:t>sieurs pays visés à l’article 5</w:t>
      </w:r>
      <w:r w:rsidRPr="002E72D3">
        <w:rPr>
          <w:lang w:val="fr-FR"/>
        </w:rPr>
        <w:t xml:space="preserve">; et </w:t>
      </w:r>
    </w:p>
    <w:p w14:paraId="0ADE48E0" w14:textId="2474848B" w:rsidR="00026218" w:rsidRPr="002E72D3" w:rsidRDefault="00026218" w:rsidP="00026218">
      <w:pPr>
        <w:pStyle w:val="Heading2"/>
        <w:numPr>
          <w:ilvl w:val="0"/>
          <w:numId w:val="0"/>
        </w:numPr>
        <w:ind w:left="1440" w:hanging="720"/>
        <w:rPr>
          <w:lang w:val="fr-FR"/>
        </w:rPr>
      </w:pPr>
      <w:r>
        <w:rPr>
          <w:lang w:val="fr-FR"/>
        </w:rPr>
        <w:t>c)</w:t>
      </w:r>
      <w:r>
        <w:rPr>
          <w:lang w:val="fr-FR"/>
        </w:rPr>
        <w:tab/>
      </w:r>
      <w:r w:rsidRPr="002E72D3">
        <w:rPr>
          <w:lang w:val="fr-FR"/>
        </w:rPr>
        <w:t>Demander à l’ONUDI de soumettre le rapport final du projet mentionné ci-dessus au paragraphe (a) lors de la 84</w:t>
      </w:r>
      <w:r w:rsidRPr="002E72D3">
        <w:rPr>
          <w:vertAlign w:val="superscript"/>
          <w:lang w:val="fr-FR"/>
        </w:rPr>
        <w:t>e</w:t>
      </w:r>
      <w:r w:rsidRPr="002E72D3">
        <w:rPr>
          <w:lang w:val="fr-FR"/>
        </w:rPr>
        <w:t xml:space="preserve"> réunion et de restituer tous les soldes restants d’ici la 85</w:t>
      </w:r>
      <w:r w:rsidRPr="002E72D3">
        <w:rPr>
          <w:vertAlign w:val="superscript"/>
          <w:lang w:val="fr-FR"/>
        </w:rPr>
        <w:t>e</w:t>
      </w:r>
      <w:r w:rsidR="002F1864">
        <w:rPr>
          <w:vertAlign w:val="superscript"/>
          <w:lang w:val="fr-FR"/>
        </w:rPr>
        <w:t> </w:t>
      </w:r>
      <w:r w:rsidRPr="002E72D3">
        <w:rPr>
          <w:lang w:val="fr-FR"/>
        </w:rPr>
        <w:t>réunion.</w:t>
      </w:r>
    </w:p>
    <w:p w14:paraId="63E4A976" w14:textId="4EB0FA7A" w:rsidR="002A1F7A" w:rsidRPr="00944BFF" w:rsidRDefault="004C680E" w:rsidP="002A1F7A">
      <w:pPr>
        <w:spacing w:after="240"/>
        <w:ind w:left="709"/>
        <w:rPr>
          <w:i/>
          <w:color w:val="000000" w:themeColor="text1"/>
          <w:u w:val="single"/>
          <w:lang w:val="fr-FR"/>
        </w:rPr>
      </w:pPr>
      <w:r w:rsidRPr="00944BFF">
        <w:rPr>
          <w:i/>
          <w:color w:val="000000" w:themeColor="text1"/>
          <w:u w:val="single"/>
          <w:lang w:val="fr-FR"/>
        </w:rPr>
        <w:t xml:space="preserve">Arabie saoudite </w:t>
      </w:r>
      <w:r w:rsidR="002A1F7A" w:rsidRPr="00944BFF">
        <w:rPr>
          <w:i/>
          <w:color w:val="000000" w:themeColor="text1"/>
          <w:u w:val="single"/>
          <w:lang w:val="fr-FR"/>
        </w:rPr>
        <w:t xml:space="preserve">: </w:t>
      </w:r>
      <w:r w:rsidRPr="00944BFF">
        <w:rPr>
          <w:i/>
          <w:color w:val="000000" w:themeColor="text1"/>
          <w:u w:val="single"/>
          <w:lang w:val="fr-FR"/>
        </w:rPr>
        <w:t>Projet de dé</w:t>
      </w:r>
      <w:r w:rsidR="002A1F7A" w:rsidRPr="00944BFF">
        <w:rPr>
          <w:i/>
          <w:color w:val="000000" w:themeColor="text1"/>
          <w:u w:val="single"/>
          <w:lang w:val="fr-FR"/>
        </w:rPr>
        <w:t xml:space="preserve">monstration </w:t>
      </w:r>
      <w:r w:rsidRPr="00944BFF">
        <w:rPr>
          <w:i/>
          <w:color w:val="000000" w:themeColor="text1"/>
          <w:u w:val="single"/>
          <w:lang w:val="fr-FR"/>
        </w:rPr>
        <w:t>sur la promotion de</w:t>
      </w:r>
      <w:r w:rsidR="00083378">
        <w:rPr>
          <w:i/>
          <w:color w:val="000000" w:themeColor="text1"/>
          <w:u w:val="single"/>
          <w:lang w:val="fr-FR"/>
        </w:rPr>
        <w:t>s</w:t>
      </w:r>
      <w:r w:rsidRPr="00944BFF">
        <w:rPr>
          <w:i/>
          <w:color w:val="000000" w:themeColor="text1"/>
          <w:u w:val="single"/>
          <w:lang w:val="fr-FR"/>
        </w:rPr>
        <w:t xml:space="preserve"> frigorigènes à base de</w:t>
      </w:r>
      <w:r w:rsidR="002A1F7A" w:rsidRPr="00944BFF">
        <w:rPr>
          <w:i/>
          <w:color w:val="000000" w:themeColor="text1"/>
          <w:u w:val="single"/>
          <w:lang w:val="fr-FR"/>
        </w:rPr>
        <w:t xml:space="preserve"> HFO</w:t>
      </w:r>
      <w:r w:rsidRPr="00944BFF">
        <w:rPr>
          <w:i/>
          <w:color w:val="000000" w:themeColor="text1"/>
          <w:u w:val="single"/>
          <w:lang w:val="fr-FR"/>
        </w:rPr>
        <w:t xml:space="preserve"> et à faible potentiel de réchauffement de la planète pour le secteur de la cli</w:t>
      </w:r>
      <w:r w:rsidR="00117A43">
        <w:rPr>
          <w:i/>
          <w:color w:val="000000" w:themeColor="text1"/>
          <w:u w:val="single"/>
          <w:lang w:val="fr-FR"/>
        </w:rPr>
        <w:t>matisation dans des</w:t>
      </w:r>
      <w:r w:rsidR="00B3529E">
        <w:rPr>
          <w:i/>
          <w:color w:val="000000" w:themeColor="text1"/>
          <w:u w:val="single"/>
          <w:lang w:val="fr-FR"/>
        </w:rPr>
        <w:t xml:space="preserve"> tempé</w:t>
      </w:r>
      <w:r w:rsidRPr="00944BFF">
        <w:rPr>
          <w:i/>
          <w:color w:val="000000" w:themeColor="text1"/>
          <w:u w:val="single"/>
          <w:lang w:val="fr-FR"/>
        </w:rPr>
        <w:t>rature</w:t>
      </w:r>
      <w:r w:rsidR="00117A43">
        <w:rPr>
          <w:i/>
          <w:color w:val="000000" w:themeColor="text1"/>
          <w:u w:val="single"/>
          <w:lang w:val="fr-FR"/>
        </w:rPr>
        <w:t>s</w:t>
      </w:r>
      <w:r w:rsidRPr="00944BFF">
        <w:rPr>
          <w:i/>
          <w:color w:val="000000" w:themeColor="text1"/>
          <w:u w:val="single"/>
          <w:lang w:val="fr-FR"/>
        </w:rPr>
        <w:t xml:space="preserve"> ambiante</w:t>
      </w:r>
      <w:r w:rsidR="00117A43">
        <w:rPr>
          <w:i/>
          <w:color w:val="000000" w:themeColor="text1"/>
          <w:u w:val="single"/>
          <w:lang w:val="fr-FR"/>
        </w:rPr>
        <w:t>s</w:t>
      </w:r>
      <w:r w:rsidRPr="00944BFF">
        <w:rPr>
          <w:i/>
          <w:color w:val="000000" w:themeColor="text1"/>
          <w:u w:val="single"/>
          <w:lang w:val="fr-FR"/>
        </w:rPr>
        <w:t xml:space="preserve"> élevée</w:t>
      </w:r>
      <w:r w:rsidR="00117A43">
        <w:rPr>
          <w:i/>
          <w:color w:val="000000" w:themeColor="text1"/>
          <w:u w:val="single"/>
          <w:lang w:val="fr-FR"/>
        </w:rPr>
        <w:t>s</w:t>
      </w:r>
      <w:r w:rsidR="002A1F7A" w:rsidRPr="00944BFF">
        <w:rPr>
          <w:i/>
          <w:color w:val="000000" w:themeColor="text1"/>
          <w:lang w:val="fr-FR"/>
        </w:rPr>
        <w:t xml:space="preserve"> </w:t>
      </w:r>
      <w:r w:rsidR="00665AB3" w:rsidRPr="00944BFF">
        <w:rPr>
          <w:i/>
          <w:color w:val="000000" w:themeColor="text1"/>
          <w:lang w:val="fr-FR"/>
        </w:rPr>
        <w:t>(</w:t>
      </w:r>
      <w:r w:rsidR="002A1F7A" w:rsidRPr="00944BFF">
        <w:rPr>
          <w:i/>
          <w:color w:val="000000" w:themeColor="text1"/>
          <w:lang w:val="fr-FR"/>
        </w:rPr>
        <w:t>O</w:t>
      </w:r>
      <w:r w:rsidR="00665AB3" w:rsidRPr="00944BFF">
        <w:rPr>
          <w:i/>
          <w:color w:val="000000" w:themeColor="text1"/>
          <w:lang w:val="fr-FR"/>
        </w:rPr>
        <w:t>NUDI</w:t>
      </w:r>
      <w:r w:rsidR="002A1F7A" w:rsidRPr="00944BFF">
        <w:rPr>
          <w:i/>
          <w:color w:val="000000" w:themeColor="text1"/>
          <w:lang w:val="fr-FR"/>
        </w:rPr>
        <w:t>) (paragraph</w:t>
      </w:r>
      <w:r w:rsidR="00665AB3" w:rsidRPr="00944BFF">
        <w:rPr>
          <w:i/>
          <w:color w:val="000000" w:themeColor="text1"/>
          <w:lang w:val="fr-FR"/>
        </w:rPr>
        <w:t>es</w:t>
      </w:r>
      <w:r w:rsidR="002A1F7A" w:rsidRPr="00944BFF">
        <w:rPr>
          <w:i/>
          <w:color w:val="000000" w:themeColor="text1"/>
          <w:lang w:val="fr-FR"/>
        </w:rPr>
        <w:t> 213-218)</w:t>
      </w:r>
    </w:p>
    <w:p w14:paraId="564607A1" w14:textId="5F33023E" w:rsidR="002A1F7A" w:rsidRPr="00944BFF" w:rsidRDefault="00665AB3"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xml:space="preserve">: </w:t>
      </w:r>
    </w:p>
    <w:p w14:paraId="579F9DAE" w14:textId="7CDA4535" w:rsidR="002A1F7A" w:rsidRPr="00944BFF" w:rsidRDefault="00665AB3" w:rsidP="00194291">
      <w:pPr>
        <w:pStyle w:val="ListParagraph"/>
        <w:numPr>
          <w:ilvl w:val="0"/>
          <w:numId w:val="12"/>
        </w:numPr>
        <w:tabs>
          <w:tab w:val="left" w:pos="720"/>
          <w:tab w:val="left" w:pos="1440"/>
          <w:tab w:val="left" w:pos="2160"/>
        </w:tabs>
        <w:spacing w:after="240"/>
        <w:rPr>
          <w:color w:val="000000" w:themeColor="text1"/>
          <w:lang w:val="fr-FR"/>
        </w:rPr>
      </w:pPr>
      <w:r w:rsidRPr="00944BFF">
        <w:rPr>
          <w:color w:val="000000" w:themeColor="text1"/>
          <w:lang w:val="fr-FR"/>
        </w:rPr>
        <w:t>Prolongation de la date d’achèvement</w:t>
      </w:r>
    </w:p>
    <w:p w14:paraId="2170EF29" w14:textId="2B0596EC" w:rsidR="002A1F7A" w:rsidRPr="00026218" w:rsidRDefault="00665AB3" w:rsidP="002A1F7A">
      <w:pPr>
        <w:tabs>
          <w:tab w:val="left" w:pos="720"/>
          <w:tab w:val="left" w:pos="1440"/>
          <w:tab w:val="left" w:pos="2160"/>
        </w:tabs>
        <w:spacing w:after="240"/>
        <w:ind w:left="709"/>
        <w:outlineLvl w:val="0"/>
        <w:rPr>
          <w:color w:val="000000" w:themeColor="text1"/>
          <w:lang w:val="fr-FR"/>
        </w:rPr>
      </w:pPr>
      <w:r w:rsidRPr="00026218">
        <w:rPr>
          <w:color w:val="000000" w:themeColor="text1"/>
          <w:u w:val="single"/>
          <w:lang w:val="fr-FR"/>
        </w:rPr>
        <w:t>L</w:t>
      </w:r>
      <w:r w:rsidR="002A1F7A" w:rsidRPr="00026218">
        <w:rPr>
          <w:color w:val="000000" w:themeColor="text1"/>
          <w:u w:val="single"/>
          <w:lang w:val="fr-FR"/>
        </w:rPr>
        <w:t xml:space="preserve">e </w:t>
      </w:r>
      <w:r w:rsidRPr="00026218">
        <w:rPr>
          <w:color w:val="000000" w:themeColor="text1"/>
          <w:u w:val="single"/>
          <w:lang w:val="fr-FR"/>
        </w:rPr>
        <w:t>Comité exécutif pourrait souhaiter :</w:t>
      </w:r>
      <w:r w:rsidR="002A1F7A" w:rsidRPr="00026218">
        <w:rPr>
          <w:color w:val="000000" w:themeColor="text1"/>
          <w:lang w:val="fr-FR"/>
        </w:rPr>
        <w:t xml:space="preserve"> </w:t>
      </w:r>
    </w:p>
    <w:p w14:paraId="66DDAEBF" w14:textId="7A3C0B2D" w:rsidR="00921074" w:rsidRPr="00921074" w:rsidRDefault="00921074" w:rsidP="00921074">
      <w:pPr>
        <w:pStyle w:val="Heading2"/>
        <w:numPr>
          <w:ilvl w:val="0"/>
          <w:numId w:val="0"/>
        </w:numPr>
        <w:ind w:left="1440" w:hanging="720"/>
        <w:rPr>
          <w:lang w:val="fr-FR"/>
        </w:rPr>
      </w:pPr>
      <w:r>
        <w:rPr>
          <w:lang w:val="fr-FR"/>
        </w:rPr>
        <w:t>a)</w:t>
      </w:r>
      <w:r>
        <w:rPr>
          <w:lang w:val="fr-FR"/>
        </w:rPr>
        <w:tab/>
      </w:r>
      <w:r w:rsidRPr="00921074">
        <w:rPr>
          <w:lang w:val="fr-FR"/>
        </w:rPr>
        <w:t>Prendre note du rapport sur le projet de démonstration sur la promotion de frigorigènes à base de HFO à faible PRP pour le secteur de la climatisation dans des températures ambiantes élevées en Arabie saoudite, soumis par l’ONUDI et figurant dans le do</w:t>
      </w:r>
      <w:r w:rsidR="00117A43">
        <w:rPr>
          <w:lang w:val="fr-FR"/>
        </w:rPr>
        <w:t>cument</w:t>
      </w:r>
      <w:r w:rsidR="00D5134E">
        <w:rPr>
          <w:lang w:val="fr-FR"/>
        </w:rPr>
        <w:t> </w:t>
      </w:r>
      <w:r w:rsidR="00117A43">
        <w:rPr>
          <w:lang w:val="fr-FR"/>
        </w:rPr>
        <w:t>UNEP/OzL.Pro/ExCom/83/11</w:t>
      </w:r>
      <w:r w:rsidRPr="00921074">
        <w:rPr>
          <w:lang w:val="fr-FR"/>
        </w:rPr>
        <w:t>;</w:t>
      </w:r>
    </w:p>
    <w:p w14:paraId="6185D18B" w14:textId="7E2E77FD" w:rsidR="00921074" w:rsidRPr="002E72D3" w:rsidRDefault="00921074" w:rsidP="006877C9">
      <w:pPr>
        <w:pStyle w:val="Heading2"/>
        <w:keepNext/>
        <w:keepLines/>
        <w:numPr>
          <w:ilvl w:val="0"/>
          <w:numId w:val="0"/>
        </w:numPr>
        <w:ind w:left="1440" w:hanging="720"/>
        <w:rPr>
          <w:lang w:val="fr-FR"/>
        </w:rPr>
      </w:pPr>
      <w:r>
        <w:rPr>
          <w:lang w:val="fr-FR"/>
        </w:rPr>
        <w:lastRenderedPageBreak/>
        <w:t>b)</w:t>
      </w:r>
      <w:r>
        <w:rPr>
          <w:lang w:val="fr-FR"/>
        </w:rPr>
        <w:tab/>
      </w:r>
      <w:r w:rsidRPr="002E72D3">
        <w:rPr>
          <w:lang w:val="fr-FR"/>
        </w:rPr>
        <w:t>Prolonger la date d’achèvement du projet mentionné ci-dessus au paragraphe (a) jusqu’au 31 décembre 2019, notant le bon avancement de la mise en œuvre et la possibilité de reproductibilité des résultats dans plu</w:t>
      </w:r>
      <w:r w:rsidR="00117A43">
        <w:rPr>
          <w:lang w:val="fr-FR"/>
        </w:rPr>
        <w:t>sieurs pays visés à l’article 5</w:t>
      </w:r>
      <w:r w:rsidRPr="002E72D3">
        <w:rPr>
          <w:lang w:val="fr-FR"/>
        </w:rPr>
        <w:t xml:space="preserve">; et </w:t>
      </w:r>
    </w:p>
    <w:p w14:paraId="76E65F32" w14:textId="1C604270" w:rsidR="002A1F7A" w:rsidRPr="00921074" w:rsidRDefault="00921074" w:rsidP="00921074">
      <w:pPr>
        <w:pStyle w:val="Heading2"/>
        <w:numPr>
          <w:ilvl w:val="0"/>
          <w:numId w:val="0"/>
        </w:numPr>
        <w:ind w:left="1440" w:hanging="720"/>
        <w:rPr>
          <w:lang w:val="fr-FR"/>
        </w:rPr>
      </w:pPr>
      <w:r>
        <w:rPr>
          <w:lang w:val="fr-FR"/>
        </w:rPr>
        <w:t>c)</w:t>
      </w:r>
      <w:r>
        <w:rPr>
          <w:lang w:val="fr-FR"/>
        </w:rPr>
        <w:tab/>
      </w:r>
      <w:r w:rsidRPr="002E72D3">
        <w:rPr>
          <w:lang w:val="fr-FR"/>
        </w:rPr>
        <w:t>Demander à l’ONUDI de soumettre le rapport final du projet mentionné ci-dessus au paragraphe (a) au plus tard à la 85</w:t>
      </w:r>
      <w:r w:rsidRPr="002E72D3">
        <w:rPr>
          <w:vertAlign w:val="superscript"/>
          <w:lang w:val="fr-FR"/>
        </w:rPr>
        <w:t>e</w:t>
      </w:r>
      <w:r w:rsidRPr="002E72D3">
        <w:rPr>
          <w:lang w:val="fr-FR"/>
        </w:rPr>
        <w:t xml:space="preserve"> réunion et de restituer tous les soldes restants à la 86</w:t>
      </w:r>
      <w:r w:rsidRPr="002E72D3">
        <w:rPr>
          <w:vertAlign w:val="superscript"/>
          <w:lang w:val="fr-FR"/>
        </w:rPr>
        <w:t>e</w:t>
      </w:r>
      <w:r w:rsidRPr="002E72D3">
        <w:rPr>
          <w:lang w:val="fr-FR"/>
        </w:rPr>
        <w:t> réunion.</w:t>
      </w:r>
    </w:p>
    <w:p w14:paraId="7EDF045C" w14:textId="23BA902C" w:rsidR="002A1F7A" w:rsidRPr="00944BFF" w:rsidRDefault="00665AB3" w:rsidP="002A1F7A">
      <w:pPr>
        <w:ind w:left="709"/>
        <w:rPr>
          <w:i/>
          <w:u w:val="single"/>
          <w:lang w:val="fr-FR"/>
        </w:rPr>
      </w:pPr>
      <w:r w:rsidRPr="00944BFF">
        <w:rPr>
          <w:i/>
          <w:u w:val="single"/>
          <w:lang w:val="fr-FR"/>
        </w:rPr>
        <w:t>Arabie saoudite : Projet de dé</w:t>
      </w:r>
      <w:r w:rsidR="002A1F7A" w:rsidRPr="00944BFF">
        <w:rPr>
          <w:i/>
          <w:u w:val="single"/>
          <w:lang w:val="fr-FR"/>
        </w:rPr>
        <w:t xml:space="preserve">monstration </w:t>
      </w:r>
      <w:r w:rsidR="0024127F">
        <w:rPr>
          <w:i/>
          <w:u w:val="single"/>
          <w:lang w:val="fr-FR"/>
        </w:rPr>
        <w:t>chez l</w:t>
      </w:r>
      <w:r w:rsidR="00117A43">
        <w:rPr>
          <w:i/>
          <w:u w:val="single"/>
          <w:lang w:val="fr-FR"/>
        </w:rPr>
        <w:t>es fabricants</w:t>
      </w:r>
      <w:r w:rsidR="0024127F">
        <w:rPr>
          <w:i/>
          <w:u w:val="single"/>
          <w:lang w:val="fr-FR"/>
        </w:rPr>
        <w:t xml:space="preserve"> de</w:t>
      </w:r>
      <w:r w:rsidRPr="00944BFF">
        <w:rPr>
          <w:i/>
          <w:u w:val="single"/>
          <w:lang w:val="fr-FR"/>
        </w:rPr>
        <w:t xml:space="preserve"> climatis</w:t>
      </w:r>
      <w:r w:rsidR="00117A43">
        <w:rPr>
          <w:i/>
          <w:u w:val="single"/>
          <w:lang w:val="fr-FR"/>
        </w:rPr>
        <w:t xml:space="preserve">eurs sur la mise au point de </w:t>
      </w:r>
      <w:r w:rsidRPr="00944BFF">
        <w:rPr>
          <w:i/>
          <w:u w:val="single"/>
          <w:lang w:val="fr-FR"/>
        </w:rPr>
        <w:t xml:space="preserve">climatiseurs </w:t>
      </w:r>
      <w:r w:rsidR="0024127F">
        <w:rPr>
          <w:i/>
          <w:u w:val="single"/>
          <w:lang w:val="fr-FR"/>
        </w:rPr>
        <w:t xml:space="preserve">de fenêtre et </w:t>
      </w:r>
      <w:r w:rsidR="00BE1805">
        <w:rPr>
          <w:i/>
          <w:u w:val="single"/>
          <w:lang w:val="fr-FR"/>
        </w:rPr>
        <w:t>de climatiseurs monoblocs utilisa</w:t>
      </w:r>
      <w:r w:rsidR="0024127F">
        <w:rPr>
          <w:i/>
          <w:u w:val="single"/>
          <w:lang w:val="fr-FR"/>
        </w:rPr>
        <w:t>n</w:t>
      </w:r>
      <w:r w:rsidRPr="00944BFF">
        <w:rPr>
          <w:i/>
          <w:u w:val="single"/>
          <w:lang w:val="fr-FR"/>
        </w:rPr>
        <w:t>t des frigorigènes à faible potentiel de réchauffement de la planèt</w:t>
      </w:r>
      <w:r w:rsidR="0024127F">
        <w:rPr>
          <w:i/>
          <w:u w:val="single"/>
          <w:lang w:val="fr-FR"/>
        </w:rPr>
        <w:t>e –</w:t>
      </w:r>
      <w:r w:rsidRPr="00944BFF">
        <w:rPr>
          <w:i/>
          <w:u w:val="single"/>
          <w:lang w:val="fr-FR"/>
        </w:rPr>
        <w:t xml:space="preserve"> rap</w:t>
      </w:r>
      <w:r w:rsidR="002A1F7A" w:rsidRPr="00944BFF">
        <w:rPr>
          <w:i/>
          <w:u w:val="single"/>
          <w:lang w:val="fr-FR"/>
        </w:rPr>
        <w:t>port</w:t>
      </w:r>
      <w:r w:rsidRPr="00944BFF">
        <w:rPr>
          <w:i/>
          <w:u w:val="single"/>
          <w:lang w:val="fr-FR"/>
        </w:rPr>
        <w:t xml:space="preserve"> final</w:t>
      </w:r>
      <w:r w:rsidR="002A1F7A" w:rsidRPr="00944BFF">
        <w:rPr>
          <w:i/>
          <w:lang w:val="fr-FR"/>
        </w:rPr>
        <w:t xml:space="preserve"> (</w:t>
      </w:r>
      <w:r w:rsidRPr="00944BFF">
        <w:rPr>
          <w:i/>
          <w:lang w:val="fr-FR"/>
        </w:rPr>
        <w:t>Banque mondiale</w:t>
      </w:r>
      <w:r w:rsidR="002A1F7A" w:rsidRPr="00944BFF">
        <w:rPr>
          <w:i/>
          <w:lang w:val="fr-FR"/>
        </w:rPr>
        <w:t>) (paragraph</w:t>
      </w:r>
      <w:r w:rsidRPr="00944BFF">
        <w:rPr>
          <w:i/>
          <w:lang w:val="fr-FR"/>
        </w:rPr>
        <w:t>e</w:t>
      </w:r>
      <w:r w:rsidR="002A1F7A" w:rsidRPr="00944BFF">
        <w:rPr>
          <w:i/>
          <w:lang w:val="fr-FR"/>
        </w:rPr>
        <w:t>s</w:t>
      </w:r>
      <w:r w:rsidR="00D5134E">
        <w:rPr>
          <w:i/>
          <w:lang w:val="fr-FR"/>
        </w:rPr>
        <w:t> </w:t>
      </w:r>
      <w:r w:rsidR="002A1F7A" w:rsidRPr="00944BFF">
        <w:rPr>
          <w:i/>
          <w:lang w:val="fr-FR"/>
        </w:rPr>
        <w:t>219</w:t>
      </w:r>
      <w:r w:rsidR="002F1864">
        <w:rPr>
          <w:i/>
          <w:lang w:val="fr-FR"/>
        </w:rPr>
        <w:noBreakHyphen/>
      </w:r>
      <w:r w:rsidR="002A1F7A" w:rsidRPr="00944BFF">
        <w:rPr>
          <w:i/>
          <w:lang w:val="fr-FR"/>
        </w:rPr>
        <w:t>235)</w:t>
      </w:r>
    </w:p>
    <w:p w14:paraId="4CB73FB9" w14:textId="77777777" w:rsidR="002A1F7A" w:rsidRPr="00944BFF" w:rsidRDefault="002A1F7A" w:rsidP="002A1F7A">
      <w:pPr>
        <w:rPr>
          <w:i/>
          <w:u w:val="single"/>
          <w:lang w:val="fr-FR"/>
        </w:rPr>
      </w:pPr>
    </w:p>
    <w:p w14:paraId="04498450" w14:textId="23BF67A3" w:rsidR="002A1F7A" w:rsidRPr="0064372A" w:rsidRDefault="00665AB3" w:rsidP="006437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r w:rsidRPr="00944BFF">
        <w:rPr>
          <w:color w:val="000000" w:themeColor="text1"/>
          <w:lang w:val="fr-FR"/>
        </w:rPr>
        <w:t>Aucu</w:t>
      </w:r>
      <w:r w:rsidR="002A1F7A" w:rsidRPr="00944BFF">
        <w:rPr>
          <w:color w:val="000000" w:themeColor="text1"/>
          <w:lang w:val="fr-FR"/>
        </w:rPr>
        <w:t>ne</w:t>
      </w:r>
    </w:p>
    <w:p w14:paraId="13659F4C" w14:textId="6FE1BB91" w:rsidR="002A1F7A" w:rsidRPr="00921074" w:rsidRDefault="00665AB3" w:rsidP="002A1F7A">
      <w:pPr>
        <w:keepNext/>
        <w:tabs>
          <w:tab w:val="left" w:pos="720"/>
          <w:tab w:val="left" w:pos="1440"/>
          <w:tab w:val="left" w:pos="2160"/>
        </w:tabs>
        <w:spacing w:after="240"/>
        <w:ind w:left="709"/>
        <w:outlineLvl w:val="0"/>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e</w:t>
      </w:r>
      <w:r w:rsidRPr="00921074">
        <w:rPr>
          <w:color w:val="000000" w:themeColor="text1"/>
          <w:u w:val="single"/>
          <w:lang w:val="fr-FR"/>
        </w:rPr>
        <w:t xml:space="preserve"> Comité exécutif </w:t>
      </w:r>
      <w:r w:rsidR="00921074">
        <w:rPr>
          <w:color w:val="000000" w:themeColor="text1"/>
          <w:u w:val="single"/>
          <w:lang w:val="fr-FR"/>
        </w:rPr>
        <w:t xml:space="preserve">pourrait souhaiter </w:t>
      </w:r>
      <w:r w:rsidRPr="00921074">
        <w:rPr>
          <w:color w:val="000000" w:themeColor="text1"/>
          <w:u w:val="single"/>
          <w:lang w:val="fr-FR"/>
        </w:rPr>
        <w:t>:</w:t>
      </w:r>
      <w:r w:rsidR="002A1F7A" w:rsidRPr="00921074">
        <w:rPr>
          <w:color w:val="000000" w:themeColor="text1"/>
          <w:lang w:val="fr-FR"/>
        </w:rPr>
        <w:t xml:space="preserve"> </w:t>
      </w:r>
    </w:p>
    <w:p w14:paraId="7AFDFB04" w14:textId="030D1EF1" w:rsidR="00921074" w:rsidRPr="00921074" w:rsidRDefault="00921074" w:rsidP="00921074">
      <w:pPr>
        <w:pStyle w:val="Heading2"/>
        <w:numPr>
          <w:ilvl w:val="0"/>
          <w:numId w:val="0"/>
        </w:numPr>
        <w:ind w:left="1440" w:hanging="720"/>
        <w:rPr>
          <w:lang w:val="fr-FR"/>
        </w:rPr>
      </w:pPr>
      <w:r>
        <w:rPr>
          <w:lang w:val="fr-FR"/>
        </w:rPr>
        <w:t>a)</w:t>
      </w:r>
      <w:r>
        <w:rPr>
          <w:lang w:val="fr-FR"/>
        </w:rPr>
        <w:tab/>
      </w:r>
      <w:r w:rsidRPr="00921074">
        <w:rPr>
          <w:lang w:val="fr-FR"/>
        </w:rPr>
        <w:t>Prendre note, avec satisfaction du rapport final soumis par la Banque mondiale sur le projet de démonstration réalisé chez les fabricants de climatiseurs sur la mise au point de climatiseurs de fenêtre et de climatiseurs monoblocs utilisant des frigorigènes à faible potentiel de réchauffement de la planète (PRP) en Arabie saoudite, figurant dans le do</w:t>
      </w:r>
      <w:r>
        <w:rPr>
          <w:lang w:val="fr-FR"/>
        </w:rPr>
        <w:t>cument UNEP/OzL.Pro/ExCom/83/11</w:t>
      </w:r>
      <w:r w:rsidRPr="00921074">
        <w:rPr>
          <w:lang w:val="fr-FR"/>
        </w:rPr>
        <w:t>; et</w:t>
      </w:r>
    </w:p>
    <w:p w14:paraId="68D1AAE0" w14:textId="0DD82A59" w:rsidR="002A1F7A" w:rsidRPr="00921074" w:rsidRDefault="00921074" w:rsidP="00921074">
      <w:pPr>
        <w:pStyle w:val="Heading2"/>
        <w:numPr>
          <w:ilvl w:val="0"/>
          <w:numId w:val="0"/>
        </w:numPr>
        <w:ind w:left="1440" w:hanging="720"/>
        <w:rPr>
          <w:lang w:val="fr-FR"/>
        </w:rPr>
      </w:pPr>
      <w:r>
        <w:rPr>
          <w:lang w:val="fr-FR"/>
        </w:rPr>
        <w:t>b)</w:t>
      </w:r>
      <w:r>
        <w:rPr>
          <w:lang w:val="fr-FR"/>
        </w:rPr>
        <w:tab/>
      </w:r>
      <w:r w:rsidRPr="002E72D3">
        <w:rPr>
          <w:lang w:val="fr-FR"/>
        </w:rPr>
        <w:t>Inviter les agences bilatérales et d’exécution à tenir compte du rapport mentionné ci</w:t>
      </w:r>
      <w:r w:rsidR="002F1864">
        <w:rPr>
          <w:lang w:val="fr-FR"/>
        </w:rPr>
        <w:noBreakHyphen/>
      </w:r>
      <w:r w:rsidRPr="002E72D3">
        <w:rPr>
          <w:lang w:val="fr-FR"/>
        </w:rPr>
        <w:t>dessus au paragraphe (a) lorsqu’elles aident les pays visés à l’article 5 dans la préparation de projets concernant la fabrication de climatiseurs monoblocs utilisant des frigorigènes à faible PRP.</w:t>
      </w:r>
    </w:p>
    <w:p w14:paraId="4E95541A" w14:textId="39E444BF" w:rsidR="002A1F7A" w:rsidRPr="00944BFF" w:rsidRDefault="00665AB3" w:rsidP="002A1F7A">
      <w:pPr>
        <w:ind w:left="709"/>
        <w:rPr>
          <w:i/>
          <w:color w:val="000000" w:themeColor="text1"/>
          <w:u w:val="single"/>
          <w:lang w:val="fr-FR"/>
        </w:rPr>
      </w:pPr>
      <w:r w:rsidRPr="00944BFF">
        <w:rPr>
          <w:i/>
          <w:color w:val="000000" w:themeColor="text1"/>
          <w:u w:val="single"/>
          <w:lang w:val="fr-FR"/>
        </w:rPr>
        <w:t xml:space="preserve">Arabie saoudite </w:t>
      </w:r>
      <w:r w:rsidR="002A1F7A" w:rsidRPr="00944BFF">
        <w:rPr>
          <w:i/>
          <w:color w:val="000000" w:themeColor="text1"/>
          <w:u w:val="single"/>
          <w:lang w:val="fr-FR"/>
        </w:rPr>
        <w:t xml:space="preserve">: </w:t>
      </w:r>
      <w:r w:rsidRPr="00944BFF">
        <w:rPr>
          <w:i/>
          <w:color w:val="000000" w:themeColor="text1"/>
          <w:u w:val="single"/>
          <w:lang w:val="fr-FR"/>
        </w:rPr>
        <w:t>Projet de dé</w:t>
      </w:r>
      <w:r w:rsidR="002A1F7A" w:rsidRPr="00944BFF">
        <w:rPr>
          <w:i/>
          <w:color w:val="000000" w:themeColor="text1"/>
          <w:u w:val="single"/>
          <w:lang w:val="fr-FR"/>
        </w:rPr>
        <w:t xml:space="preserve">monstration </w:t>
      </w:r>
      <w:r w:rsidRPr="00944BFF">
        <w:rPr>
          <w:i/>
          <w:color w:val="000000" w:themeColor="text1"/>
          <w:u w:val="single"/>
          <w:lang w:val="fr-FR"/>
        </w:rPr>
        <w:t>pour l’élimination des HCFC</w:t>
      </w:r>
      <w:r w:rsidR="00BE1805">
        <w:rPr>
          <w:i/>
          <w:color w:val="000000" w:themeColor="text1"/>
          <w:u w:val="single"/>
          <w:lang w:val="fr-FR"/>
        </w:rPr>
        <w:t xml:space="preserve"> en utilisant l</w:t>
      </w:r>
      <w:r w:rsidR="0024127F">
        <w:rPr>
          <w:i/>
          <w:color w:val="000000" w:themeColor="text1"/>
          <w:u w:val="single"/>
          <w:lang w:val="fr-FR"/>
        </w:rPr>
        <w:t>e</w:t>
      </w:r>
      <w:r w:rsidRPr="00944BFF">
        <w:rPr>
          <w:i/>
          <w:color w:val="000000" w:themeColor="text1"/>
          <w:u w:val="single"/>
          <w:lang w:val="fr-FR"/>
        </w:rPr>
        <w:t xml:space="preserve"> </w:t>
      </w:r>
      <w:r w:rsidR="002A1F7A" w:rsidRPr="00944BFF">
        <w:rPr>
          <w:i/>
          <w:color w:val="000000" w:themeColor="text1"/>
          <w:u w:val="single"/>
          <w:lang w:val="fr-FR"/>
        </w:rPr>
        <w:t xml:space="preserve">HFO </w:t>
      </w:r>
      <w:r w:rsidRPr="00944BFF">
        <w:rPr>
          <w:i/>
          <w:color w:val="000000" w:themeColor="text1"/>
          <w:u w:val="single"/>
          <w:lang w:val="fr-FR"/>
        </w:rPr>
        <w:t>comm</w:t>
      </w:r>
      <w:r w:rsidR="00BE1805">
        <w:rPr>
          <w:i/>
          <w:color w:val="000000" w:themeColor="text1"/>
          <w:u w:val="single"/>
          <w:lang w:val="fr-FR"/>
        </w:rPr>
        <w:t xml:space="preserve">e agent de gonflage </w:t>
      </w:r>
      <w:r w:rsidRPr="00944BFF">
        <w:rPr>
          <w:i/>
          <w:color w:val="000000" w:themeColor="text1"/>
          <w:u w:val="single"/>
          <w:lang w:val="fr-FR"/>
        </w:rPr>
        <w:t xml:space="preserve">dans les applications de mousse </w:t>
      </w:r>
      <w:r w:rsidR="00BE1805">
        <w:rPr>
          <w:i/>
          <w:color w:val="000000" w:themeColor="text1"/>
          <w:u w:val="single"/>
          <w:lang w:val="fr-FR"/>
        </w:rPr>
        <w:t>vapo</w:t>
      </w:r>
      <w:r w:rsidRPr="00944BFF">
        <w:rPr>
          <w:i/>
          <w:color w:val="000000" w:themeColor="text1"/>
          <w:u w:val="single"/>
          <w:lang w:val="fr-FR"/>
        </w:rPr>
        <w:t xml:space="preserve">risée </w:t>
      </w:r>
      <w:r w:rsidR="0024127F">
        <w:rPr>
          <w:i/>
          <w:color w:val="000000" w:themeColor="text1"/>
          <w:u w:val="single"/>
          <w:lang w:val="fr-FR"/>
        </w:rPr>
        <w:t>à</w:t>
      </w:r>
      <w:r w:rsidR="00BE1805">
        <w:rPr>
          <w:i/>
          <w:color w:val="000000" w:themeColor="text1"/>
          <w:u w:val="single"/>
          <w:lang w:val="fr-FR"/>
        </w:rPr>
        <w:t xml:space="preserve"> des</w:t>
      </w:r>
      <w:r w:rsidR="0024127F">
        <w:rPr>
          <w:i/>
          <w:color w:val="000000" w:themeColor="text1"/>
          <w:u w:val="single"/>
          <w:lang w:val="fr-FR"/>
        </w:rPr>
        <w:t xml:space="preserve"> température</w:t>
      </w:r>
      <w:r w:rsidR="00BE1805">
        <w:rPr>
          <w:i/>
          <w:color w:val="000000" w:themeColor="text1"/>
          <w:u w:val="single"/>
          <w:lang w:val="fr-FR"/>
        </w:rPr>
        <w:t>s</w:t>
      </w:r>
      <w:r w:rsidR="0024127F">
        <w:rPr>
          <w:i/>
          <w:color w:val="000000" w:themeColor="text1"/>
          <w:u w:val="single"/>
          <w:lang w:val="fr-FR"/>
        </w:rPr>
        <w:t xml:space="preserve"> ambiante</w:t>
      </w:r>
      <w:r w:rsidR="00BE1805">
        <w:rPr>
          <w:i/>
          <w:color w:val="000000" w:themeColor="text1"/>
          <w:u w:val="single"/>
          <w:lang w:val="fr-FR"/>
        </w:rPr>
        <w:t>s</w:t>
      </w:r>
      <w:r w:rsidR="0024127F">
        <w:rPr>
          <w:i/>
          <w:color w:val="000000" w:themeColor="text1"/>
          <w:u w:val="single"/>
          <w:lang w:val="fr-FR"/>
        </w:rPr>
        <w:t xml:space="preserve"> élevée</w:t>
      </w:r>
      <w:r w:rsidR="00BE1805">
        <w:rPr>
          <w:i/>
          <w:color w:val="000000" w:themeColor="text1"/>
          <w:u w:val="single"/>
          <w:lang w:val="fr-FR"/>
        </w:rPr>
        <w:t>s</w:t>
      </w:r>
      <w:r w:rsidRPr="00944BFF">
        <w:rPr>
          <w:i/>
          <w:color w:val="000000" w:themeColor="text1"/>
          <w:u w:val="single"/>
          <w:lang w:val="fr-FR"/>
        </w:rPr>
        <w:t xml:space="preserve"> </w:t>
      </w:r>
      <w:r w:rsidRPr="00944BFF">
        <w:rPr>
          <w:i/>
          <w:color w:val="000000" w:themeColor="text1"/>
          <w:lang w:val="fr-FR"/>
        </w:rPr>
        <w:t>(</w:t>
      </w:r>
      <w:r w:rsidR="002A1F7A" w:rsidRPr="00944BFF">
        <w:rPr>
          <w:i/>
          <w:color w:val="000000" w:themeColor="text1"/>
          <w:lang w:val="fr-FR"/>
        </w:rPr>
        <w:t>O</w:t>
      </w:r>
      <w:r w:rsidRPr="00944BFF">
        <w:rPr>
          <w:i/>
          <w:color w:val="000000" w:themeColor="text1"/>
          <w:lang w:val="fr-FR"/>
        </w:rPr>
        <w:t>NUDI</w:t>
      </w:r>
      <w:r w:rsidR="002A1F7A" w:rsidRPr="00944BFF">
        <w:rPr>
          <w:i/>
          <w:color w:val="000000" w:themeColor="text1"/>
          <w:lang w:val="fr-FR"/>
        </w:rPr>
        <w:t>) (paragraph</w:t>
      </w:r>
      <w:r w:rsidRPr="00944BFF">
        <w:rPr>
          <w:i/>
          <w:color w:val="000000" w:themeColor="text1"/>
          <w:lang w:val="fr-FR"/>
        </w:rPr>
        <w:t>e</w:t>
      </w:r>
      <w:r w:rsidR="002A1F7A" w:rsidRPr="00944BFF">
        <w:rPr>
          <w:i/>
          <w:color w:val="000000" w:themeColor="text1"/>
          <w:lang w:val="fr-FR"/>
        </w:rPr>
        <w:t>s 236</w:t>
      </w:r>
      <w:r w:rsidR="002A1F7A" w:rsidRPr="00944BFF">
        <w:rPr>
          <w:i/>
          <w:color w:val="000000" w:themeColor="text1"/>
          <w:lang w:val="fr-FR"/>
        </w:rPr>
        <w:noBreakHyphen/>
        <w:t>246)</w:t>
      </w:r>
    </w:p>
    <w:p w14:paraId="51C84588" w14:textId="77777777" w:rsidR="002A1F7A" w:rsidRPr="00944BFF" w:rsidRDefault="002A1F7A" w:rsidP="002A1F7A">
      <w:pPr>
        <w:ind w:left="709"/>
        <w:rPr>
          <w:i/>
          <w:color w:val="000000" w:themeColor="text1"/>
          <w:u w:val="single"/>
          <w:lang w:val="fr-FR"/>
        </w:rPr>
      </w:pPr>
    </w:p>
    <w:p w14:paraId="0B205551" w14:textId="5B25BBE5" w:rsidR="002A1F7A" w:rsidRPr="00944BFF" w:rsidRDefault="00665AB3"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7275AEE8" w14:textId="4D95D5A4" w:rsidR="002A1F7A" w:rsidRPr="00944BFF" w:rsidRDefault="00665AB3" w:rsidP="00194291">
      <w:pPr>
        <w:pStyle w:val="ListParagraph"/>
        <w:numPr>
          <w:ilvl w:val="0"/>
          <w:numId w:val="12"/>
        </w:numPr>
        <w:tabs>
          <w:tab w:val="left" w:pos="720"/>
          <w:tab w:val="left" w:pos="1440"/>
          <w:tab w:val="left" w:pos="2160"/>
        </w:tabs>
        <w:spacing w:after="240"/>
        <w:rPr>
          <w:color w:val="000000" w:themeColor="text1"/>
          <w:lang w:val="fr-FR"/>
        </w:rPr>
      </w:pPr>
      <w:r w:rsidRPr="00944BFF">
        <w:rPr>
          <w:color w:val="000000" w:themeColor="text1"/>
          <w:lang w:val="fr-FR"/>
        </w:rPr>
        <w:t xml:space="preserve">Prolongation de la date d’achèvement </w:t>
      </w:r>
    </w:p>
    <w:p w14:paraId="27C3FA1C" w14:textId="3DB7E94F" w:rsidR="002A1F7A" w:rsidRPr="00921074" w:rsidRDefault="00665AB3" w:rsidP="002A1F7A">
      <w:pPr>
        <w:tabs>
          <w:tab w:val="left" w:pos="720"/>
          <w:tab w:val="left" w:pos="1440"/>
          <w:tab w:val="left" w:pos="2160"/>
        </w:tabs>
        <w:spacing w:after="240"/>
        <w:ind w:left="709"/>
        <w:outlineLvl w:val="0"/>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 xml:space="preserve">e </w:t>
      </w:r>
      <w:r w:rsidRPr="00921074">
        <w:rPr>
          <w:color w:val="000000" w:themeColor="text1"/>
          <w:u w:val="single"/>
          <w:lang w:val="fr-FR"/>
        </w:rPr>
        <w:t xml:space="preserve">Comité exécutif pourrait souhaiter </w:t>
      </w:r>
      <w:r w:rsidR="002A1F7A" w:rsidRPr="00921074">
        <w:rPr>
          <w:color w:val="000000" w:themeColor="text1"/>
          <w:lang w:val="fr-FR"/>
        </w:rPr>
        <w:t xml:space="preserve">: </w:t>
      </w:r>
    </w:p>
    <w:p w14:paraId="66209E43" w14:textId="53B3D74C" w:rsidR="00921074" w:rsidRPr="002E72D3" w:rsidRDefault="00921074" w:rsidP="00921074">
      <w:pPr>
        <w:pStyle w:val="Heading2"/>
        <w:numPr>
          <w:ilvl w:val="0"/>
          <w:numId w:val="0"/>
        </w:numPr>
        <w:ind w:left="1440" w:hanging="720"/>
        <w:rPr>
          <w:lang w:val="fr-FR"/>
        </w:rPr>
      </w:pPr>
      <w:r>
        <w:rPr>
          <w:lang w:val="fr-FR"/>
        </w:rPr>
        <w:t>a)</w:t>
      </w:r>
      <w:r>
        <w:rPr>
          <w:lang w:val="fr-FR"/>
        </w:rPr>
        <w:tab/>
      </w:r>
      <w:r w:rsidRPr="002E72D3">
        <w:rPr>
          <w:lang w:val="fr-FR"/>
        </w:rPr>
        <w:t>Prendre note du rapport périodique sur la mise en œuvre du projet de démonstration pour l’élimination des HCFC en utilisant le HFO comme agent de gonflage dans les applications de mousse vaporisée à des températures ambiantes élevées en Arabie</w:t>
      </w:r>
      <w:r w:rsidR="002F1864">
        <w:rPr>
          <w:lang w:val="fr-FR"/>
        </w:rPr>
        <w:t> </w:t>
      </w:r>
      <w:r w:rsidRPr="002E72D3">
        <w:rPr>
          <w:lang w:val="fr-FR"/>
        </w:rPr>
        <w:t>saoudite soumis par l’ONUDI, figurant dans le do</w:t>
      </w:r>
      <w:r>
        <w:rPr>
          <w:lang w:val="fr-FR"/>
        </w:rPr>
        <w:t>cument</w:t>
      </w:r>
      <w:r w:rsidR="002F1864">
        <w:rPr>
          <w:lang w:val="fr-FR"/>
        </w:rPr>
        <w:t> </w:t>
      </w:r>
      <w:r>
        <w:rPr>
          <w:lang w:val="fr-FR"/>
        </w:rPr>
        <w:t>UNEP/Ozl.Pro/ExCom/83/11</w:t>
      </w:r>
      <w:r w:rsidRPr="002E72D3">
        <w:rPr>
          <w:lang w:val="fr-FR"/>
        </w:rPr>
        <w:t>; et</w:t>
      </w:r>
    </w:p>
    <w:p w14:paraId="0C64526D" w14:textId="396E9052" w:rsidR="00921074" w:rsidRPr="002E72D3" w:rsidRDefault="00921074" w:rsidP="00921074">
      <w:pPr>
        <w:pStyle w:val="Heading2"/>
        <w:numPr>
          <w:ilvl w:val="0"/>
          <w:numId w:val="0"/>
        </w:numPr>
        <w:ind w:left="1440" w:hanging="720"/>
        <w:rPr>
          <w:lang w:val="fr-FR"/>
        </w:rPr>
      </w:pPr>
      <w:r>
        <w:rPr>
          <w:lang w:val="fr-FR"/>
        </w:rPr>
        <w:t>b)</w:t>
      </w:r>
      <w:r>
        <w:rPr>
          <w:lang w:val="fr-FR"/>
        </w:rPr>
        <w:tab/>
      </w:r>
      <w:r w:rsidRPr="002E72D3">
        <w:rPr>
          <w:lang w:val="fr-FR"/>
        </w:rPr>
        <w:t xml:space="preserve">À titre exceptionnel, notant les progrès importants réalisés jusqu’à présent, prolonger à nouveau la date d’achèvement du projet mentionné ci-dessus au paragraphe (a) jusqu’au 31 octobre 2019, étant entendu qu’aucune autre prolongation de mise en œuvre ne sera demandée, et demander à l’ONUDI de remettre le rapport final au plus tard à la </w:t>
      </w:r>
      <w:r w:rsidRPr="002E72D3">
        <w:rPr>
          <w:lang w:val="fr-FR"/>
        </w:rPr>
        <w:br/>
        <w:t>84</w:t>
      </w:r>
      <w:r w:rsidRPr="002E72D3">
        <w:rPr>
          <w:vertAlign w:val="superscript"/>
          <w:lang w:val="fr-FR"/>
        </w:rPr>
        <w:t>e</w:t>
      </w:r>
      <w:r w:rsidRPr="002E72D3">
        <w:rPr>
          <w:lang w:val="fr-FR"/>
        </w:rPr>
        <w:t xml:space="preserve"> réunion.</w:t>
      </w:r>
    </w:p>
    <w:p w14:paraId="48F542CA" w14:textId="68021A52" w:rsidR="002A1F7A" w:rsidRPr="00944BFF" w:rsidRDefault="00B3529E" w:rsidP="006877C9">
      <w:pPr>
        <w:keepNext/>
        <w:keepLines/>
        <w:ind w:left="706"/>
        <w:rPr>
          <w:i/>
          <w:lang w:val="fr-FR"/>
        </w:rPr>
      </w:pPr>
      <w:r>
        <w:rPr>
          <w:i/>
          <w:u w:val="single"/>
          <w:lang w:val="fr-FR"/>
        </w:rPr>
        <w:lastRenderedPageBreak/>
        <w:t>Thaï</w:t>
      </w:r>
      <w:r w:rsidR="002A1F7A" w:rsidRPr="00944BFF">
        <w:rPr>
          <w:i/>
          <w:u w:val="single"/>
          <w:lang w:val="fr-FR"/>
        </w:rPr>
        <w:t>land</w:t>
      </w:r>
      <w:r w:rsidR="00665AB3" w:rsidRPr="00944BFF">
        <w:rPr>
          <w:i/>
          <w:u w:val="single"/>
          <w:lang w:val="fr-FR"/>
        </w:rPr>
        <w:t>e</w:t>
      </w:r>
      <w:r w:rsidR="002A1F7A" w:rsidRPr="00944BFF">
        <w:rPr>
          <w:i/>
          <w:u w:val="single"/>
          <w:lang w:val="fr-FR"/>
        </w:rPr>
        <w:t xml:space="preserve">: </w:t>
      </w:r>
      <w:r w:rsidR="00665AB3" w:rsidRPr="00944BFF">
        <w:rPr>
          <w:i/>
          <w:u w:val="single"/>
          <w:lang w:val="fr-FR"/>
        </w:rPr>
        <w:t>Projet de dé</w:t>
      </w:r>
      <w:r w:rsidR="002A1F7A" w:rsidRPr="00944BFF">
        <w:rPr>
          <w:i/>
          <w:u w:val="single"/>
          <w:lang w:val="fr-FR"/>
        </w:rPr>
        <w:t xml:space="preserve">monstration </w:t>
      </w:r>
      <w:r w:rsidR="00BE1805">
        <w:rPr>
          <w:i/>
          <w:u w:val="single"/>
          <w:lang w:val="fr-FR"/>
        </w:rPr>
        <w:t xml:space="preserve">mené </w:t>
      </w:r>
      <w:r w:rsidR="0024127F">
        <w:rPr>
          <w:i/>
          <w:u w:val="single"/>
          <w:lang w:val="fr-FR"/>
        </w:rPr>
        <w:t>dans d</w:t>
      </w:r>
      <w:r w:rsidR="00CF1CF8" w:rsidRPr="00944BFF">
        <w:rPr>
          <w:i/>
          <w:u w:val="single"/>
          <w:lang w:val="fr-FR"/>
        </w:rPr>
        <w:t>es entr</w:t>
      </w:r>
      <w:r w:rsidR="00BE1805">
        <w:rPr>
          <w:i/>
          <w:u w:val="single"/>
          <w:lang w:val="fr-FR"/>
        </w:rPr>
        <w:t>eprises de formulation de mousse</w:t>
      </w:r>
      <w:r w:rsidR="00CF1CF8" w:rsidRPr="00944BFF">
        <w:rPr>
          <w:i/>
          <w:u w:val="single"/>
          <w:lang w:val="fr-FR"/>
        </w:rPr>
        <w:t xml:space="preserve"> en Thaïlande </w:t>
      </w:r>
      <w:r w:rsidR="00BE1805">
        <w:rPr>
          <w:i/>
          <w:u w:val="single"/>
          <w:lang w:val="fr-FR"/>
        </w:rPr>
        <w:t>vis</w:t>
      </w:r>
      <w:r w:rsidR="0024127F">
        <w:rPr>
          <w:i/>
          <w:u w:val="single"/>
          <w:lang w:val="fr-FR"/>
        </w:rPr>
        <w:t>a</w:t>
      </w:r>
      <w:r w:rsidR="00BE1805">
        <w:rPr>
          <w:i/>
          <w:u w:val="single"/>
          <w:lang w:val="fr-FR"/>
        </w:rPr>
        <w:t xml:space="preserve">nt </w:t>
      </w:r>
      <w:r w:rsidR="00083378">
        <w:rPr>
          <w:i/>
          <w:u w:val="single"/>
          <w:lang w:val="fr-FR"/>
        </w:rPr>
        <w:t xml:space="preserve">à </w:t>
      </w:r>
      <w:r w:rsidR="00BE1805">
        <w:rPr>
          <w:i/>
          <w:u w:val="single"/>
          <w:lang w:val="fr-FR"/>
        </w:rPr>
        <w:t>formuler des polyols pré</w:t>
      </w:r>
      <w:r w:rsidR="00CF1CF8" w:rsidRPr="00944BFF">
        <w:rPr>
          <w:i/>
          <w:u w:val="single"/>
          <w:lang w:val="fr-FR"/>
        </w:rPr>
        <w:t xml:space="preserve">mélangés </w:t>
      </w:r>
      <w:r w:rsidR="00BE1805">
        <w:rPr>
          <w:i/>
          <w:u w:val="single"/>
          <w:lang w:val="fr-FR"/>
        </w:rPr>
        <w:t>destinés aux applications de mousse  pulvérisée faisant appel à</w:t>
      </w:r>
      <w:r w:rsidR="00CF1CF8" w:rsidRPr="00944BFF">
        <w:rPr>
          <w:i/>
          <w:u w:val="single"/>
          <w:lang w:val="fr-FR"/>
        </w:rPr>
        <w:t xml:space="preserve"> un agent de gonflage à faible PR</w:t>
      </w:r>
      <w:r w:rsidR="00BE1805">
        <w:rPr>
          <w:i/>
          <w:u w:val="single"/>
          <w:lang w:val="fr-FR"/>
        </w:rPr>
        <w:t>P</w:t>
      </w:r>
      <w:r w:rsidR="002A1F7A" w:rsidRPr="00944BFF">
        <w:rPr>
          <w:i/>
          <w:lang w:val="fr-FR"/>
        </w:rPr>
        <w:t xml:space="preserve"> (</w:t>
      </w:r>
      <w:r w:rsidR="00CF1CF8" w:rsidRPr="00944BFF">
        <w:rPr>
          <w:i/>
          <w:lang w:val="fr-FR"/>
        </w:rPr>
        <w:t>Banque mondiale</w:t>
      </w:r>
      <w:r w:rsidR="002A1F7A" w:rsidRPr="00944BFF">
        <w:rPr>
          <w:i/>
          <w:lang w:val="fr-FR"/>
        </w:rPr>
        <w:t>) (paragraph</w:t>
      </w:r>
      <w:r w:rsidR="00CF1CF8" w:rsidRPr="00944BFF">
        <w:rPr>
          <w:i/>
          <w:lang w:val="fr-FR"/>
        </w:rPr>
        <w:t>e</w:t>
      </w:r>
      <w:r w:rsidR="002A1F7A" w:rsidRPr="00944BFF">
        <w:rPr>
          <w:i/>
          <w:lang w:val="fr-FR"/>
        </w:rPr>
        <w:t>s</w:t>
      </w:r>
      <w:r w:rsidR="00D5134E">
        <w:rPr>
          <w:i/>
          <w:lang w:val="fr-FR"/>
        </w:rPr>
        <w:t> </w:t>
      </w:r>
      <w:r w:rsidR="002A1F7A" w:rsidRPr="00944BFF">
        <w:rPr>
          <w:i/>
          <w:lang w:val="fr-FR"/>
        </w:rPr>
        <w:t>247-259)</w:t>
      </w:r>
    </w:p>
    <w:p w14:paraId="04101D7F" w14:textId="77777777" w:rsidR="002A1F7A" w:rsidRPr="00944BFF" w:rsidRDefault="002A1F7A" w:rsidP="002A1F7A">
      <w:pPr>
        <w:rPr>
          <w:lang w:val="fr-FR"/>
        </w:rPr>
      </w:pPr>
    </w:p>
    <w:p w14:paraId="79484A01" w14:textId="72F43D47" w:rsidR="002A1F7A" w:rsidRPr="00944BFF" w:rsidRDefault="00CF1CF8"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r w:rsidRPr="00944BFF">
        <w:rPr>
          <w:color w:val="000000" w:themeColor="text1"/>
          <w:lang w:val="fr-FR"/>
        </w:rPr>
        <w:t>Aucu</w:t>
      </w:r>
      <w:r w:rsidR="002A1F7A" w:rsidRPr="00944BFF">
        <w:rPr>
          <w:color w:val="000000" w:themeColor="text1"/>
          <w:lang w:val="fr-FR"/>
        </w:rPr>
        <w:t>ne</w:t>
      </w:r>
    </w:p>
    <w:p w14:paraId="654C0365" w14:textId="6CDE0EC4" w:rsidR="002A1F7A" w:rsidRPr="00921074" w:rsidRDefault="00816DF9" w:rsidP="002A1F7A">
      <w:pPr>
        <w:tabs>
          <w:tab w:val="left" w:pos="720"/>
          <w:tab w:val="left" w:pos="1440"/>
          <w:tab w:val="left" w:pos="2160"/>
        </w:tabs>
        <w:spacing w:after="240"/>
        <w:ind w:left="709"/>
        <w:outlineLvl w:val="0"/>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 xml:space="preserve">e </w:t>
      </w:r>
      <w:r w:rsidRPr="00921074">
        <w:rPr>
          <w:color w:val="000000" w:themeColor="text1"/>
          <w:u w:val="single"/>
          <w:lang w:val="fr-FR"/>
        </w:rPr>
        <w:t xml:space="preserve">Comité exécutif pourrait souhaiter </w:t>
      </w:r>
      <w:r w:rsidR="002A1F7A" w:rsidRPr="00921074">
        <w:rPr>
          <w:color w:val="000000" w:themeColor="text1"/>
          <w:lang w:val="fr-FR"/>
        </w:rPr>
        <w:t xml:space="preserve">: </w:t>
      </w:r>
    </w:p>
    <w:p w14:paraId="18CD52C5" w14:textId="1F5B8E98" w:rsidR="00921074" w:rsidRPr="00921074" w:rsidRDefault="00921074" w:rsidP="00921074">
      <w:pPr>
        <w:pStyle w:val="Heading2"/>
        <w:numPr>
          <w:ilvl w:val="0"/>
          <w:numId w:val="0"/>
        </w:numPr>
        <w:ind w:left="1440" w:hanging="720"/>
        <w:rPr>
          <w:lang w:val="fr-FR"/>
        </w:rPr>
      </w:pPr>
      <w:r>
        <w:rPr>
          <w:lang w:val="fr-FR"/>
        </w:rPr>
        <w:t>a)</w:t>
      </w:r>
      <w:r>
        <w:rPr>
          <w:lang w:val="fr-FR"/>
        </w:rPr>
        <w:tab/>
      </w:r>
      <w:r w:rsidRPr="00921074">
        <w:rPr>
          <w:lang w:val="fr-FR"/>
        </w:rPr>
        <w:t>Prendre note, avec satisfaction du rapport final soumis par la Banque mondiale sur le projet de démonstration mené dans deux entreprises de formulation de mousse en Thaïlande, visant à formuler des polyols prémélangés destinés aux applications de mousses polyuréthanes à pulvériser utilisant un agent de gonflage à faible PRP, figurant dans le do</w:t>
      </w:r>
      <w:r>
        <w:rPr>
          <w:lang w:val="fr-FR"/>
        </w:rPr>
        <w:t>cument UNEP/Ozl.Pro/ExCom/83/11</w:t>
      </w:r>
      <w:r w:rsidRPr="00921074">
        <w:rPr>
          <w:lang w:val="fr-FR"/>
        </w:rPr>
        <w:t>; et</w:t>
      </w:r>
    </w:p>
    <w:p w14:paraId="17ED1AA6" w14:textId="61AEF48E" w:rsidR="00921074" w:rsidRPr="002E72D3" w:rsidRDefault="00921074" w:rsidP="00761F88">
      <w:pPr>
        <w:pStyle w:val="Heading2"/>
        <w:numPr>
          <w:ilvl w:val="0"/>
          <w:numId w:val="40"/>
        </w:numPr>
        <w:ind w:left="1418" w:hanging="698"/>
        <w:rPr>
          <w:lang w:val="fr-FR"/>
        </w:rPr>
      </w:pPr>
      <w:r w:rsidRPr="002E72D3">
        <w:rPr>
          <w:lang w:val="fr-FR"/>
        </w:rPr>
        <w:t>Inviter les agences bilatérales et d’exécution à tenir compte du rapport final mentionné ci</w:t>
      </w:r>
      <w:r w:rsidR="002F1864">
        <w:rPr>
          <w:lang w:val="fr-FR"/>
        </w:rPr>
        <w:noBreakHyphen/>
      </w:r>
      <w:r w:rsidRPr="002E72D3">
        <w:rPr>
          <w:lang w:val="fr-FR"/>
        </w:rPr>
        <w:t>dessus au paragraphe (a) lorsqu’elles aident les pays visés à l’article 5 à préparer les projets concernant les mousses à vaporiser avec le HFO comme agent de gonflage.</w:t>
      </w:r>
    </w:p>
    <w:p w14:paraId="0BD8E43A" w14:textId="5B730FB2" w:rsidR="002A1F7A" w:rsidRPr="00944BFF" w:rsidRDefault="00CF1CF8" w:rsidP="002A1F7A">
      <w:pPr>
        <w:keepNext/>
        <w:ind w:left="709"/>
        <w:rPr>
          <w:i/>
          <w:u w:val="single"/>
          <w:lang w:val="fr-FR"/>
        </w:rPr>
      </w:pPr>
      <w:r w:rsidRPr="00944BFF">
        <w:rPr>
          <w:i/>
          <w:u w:val="single"/>
          <w:lang w:val="fr-FR"/>
        </w:rPr>
        <w:t>Region de l’Asie</w:t>
      </w:r>
      <w:r w:rsidR="00BE1805">
        <w:rPr>
          <w:i/>
          <w:u w:val="single"/>
          <w:lang w:val="fr-FR"/>
        </w:rPr>
        <w:t xml:space="preserve"> de l’Ouest</w:t>
      </w:r>
      <w:r w:rsidRPr="00944BFF">
        <w:rPr>
          <w:i/>
          <w:u w:val="single"/>
          <w:lang w:val="fr-FR"/>
        </w:rPr>
        <w:t xml:space="preserve"> : Projet de dé</w:t>
      </w:r>
      <w:r w:rsidR="002A1F7A" w:rsidRPr="00944BFF">
        <w:rPr>
          <w:i/>
          <w:u w:val="single"/>
          <w:lang w:val="fr-FR"/>
        </w:rPr>
        <w:t xml:space="preserve">monstration </w:t>
      </w:r>
      <w:r w:rsidR="0024127F">
        <w:rPr>
          <w:i/>
          <w:u w:val="single"/>
          <w:lang w:val="fr-FR"/>
        </w:rPr>
        <w:t>s</w:t>
      </w:r>
      <w:r w:rsidRPr="00944BFF">
        <w:rPr>
          <w:i/>
          <w:u w:val="single"/>
          <w:lang w:val="fr-FR"/>
        </w:rPr>
        <w:t>ur la promotion de f</w:t>
      </w:r>
      <w:r w:rsidR="0024127F">
        <w:rPr>
          <w:i/>
          <w:u w:val="single"/>
          <w:lang w:val="fr-FR"/>
        </w:rPr>
        <w:t>rigorigènes de remplacement pour la climatisation dans l</w:t>
      </w:r>
      <w:r w:rsidR="0064372A">
        <w:rPr>
          <w:i/>
          <w:u w:val="single"/>
          <w:lang w:val="fr-FR"/>
        </w:rPr>
        <w:t>es pays à tempé</w:t>
      </w:r>
      <w:r w:rsidRPr="00944BFF">
        <w:rPr>
          <w:i/>
          <w:u w:val="single"/>
          <w:lang w:val="fr-FR"/>
        </w:rPr>
        <w:t xml:space="preserve">rature ambiante élevée en Asie </w:t>
      </w:r>
      <w:r w:rsidR="00BE1805">
        <w:rPr>
          <w:i/>
          <w:u w:val="single"/>
          <w:lang w:val="fr-FR"/>
        </w:rPr>
        <w:t>de l’Ouest</w:t>
      </w:r>
      <w:r w:rsidRPr="00944BFF">
        <w:rPr>
          <w:i/>
          <w:u w:val="single"/>
          <w:lang w:val="fr-FR"/>
        </w:rPr>
        <w:t xml:space="preserve"> – rapport périodique </w:t>
      </w:r>
      <w:r w:rsidRPr="00944BFF">
        <w:rPr>
          <w:i/>
          <w:lang w:val="fr-FR"/>
        </w:rPr>
        <w:t xml:space="preserve"> (</w:t>
      </w:r>
      <w:r w:rsidR="002A1F7A" w:rsidRPr="00944BFF">
        <w:rPr>
          <w:i/>
          <w:lang w:val="fr-FR"/>
        </w:rPr>
        <w:t>P</w:t>
      </w:r>
      <w:r w:rsidRPr="00944BFF">
        <w:rPr>
          <w:i/>
          <w:lang w:val="fr-FR"/>
        </w:rPr>
        <w:t>NUE</w:t>
      </w:r>
      <w:r w:rsidR="002A1F7A" w:rsidRPr="00944BFF">
        <w:rPr>
          <w:i/>
          <w:lang w:val="fr-FR"/>
        </w:rPr>
        <w:t xml:space="preserve"> </w:t>
      </w:r>
      <w:r w:rsidRPr="00944BFF">
        <w:rPr>
          <w:i/>
          <w:lang w:val="fr-FR"/>
        </w:rPr>
        <w:t>et ONUDI</w:t>
      </w:r>
      <w:r w:rsidR="002A1F7A" w:rsidRPr="00944BFF">
        <w:rPr>
          <w:i/>
          <w:lang w:val="fr-FR"/>
        </w:rPr>
        <w:t>) (paragraph</w:t>
      </w:r>
      <w:r w:rsidRPr="00944BFF">
        <w:rPr>
          <w:i/>
          <w:lang w:val="fr-FR"/>
        </w:rPr>
        <w:t>e</w:t>
      </w:r>
      <w:r w:rsidR="002A1F7A" w:rsidRPr="00944BFF">
        <w:rPr>
          <w:i/>
          <w:lang w:val="fr-FR"/>
        </w:rPr>
        <w:t>s 260</w:t>
      </w:r>
      <w:r w:rsidR="002A1F7A" w:rsidRPr="00944BFF">
        <w:rPr>
          <w:i/>
          <w:lang w:val="fr-FR"/>
        </w:rPr>
        <w:noBreakHyphen/>
        <w:t>267)</w:t>
      </w:r>
    </w:p>
    <w:p w14:paraId="1AB83806" w14:textId="77777777" w:rsidR="002A1F7A" w:rsidRPr="00944BFF" w:rsidRDefault="002A1F7A" w:rsidP="002A1F7A">
      <w:pPr>
        <w:keepNext/>
        <w:rPr>
          <w:lang w:val="fr-FR"/>
        </w:rPr>
      </w:pPr>
    </w:p>
    <w:p w14:paraId="284A10F1" w14:textId="5A3DF62F" w:rsidR="002A1F7A" w:rsidRPr="00944BFF" w:rsidRDefault="00CF1CF8" w:rsidP="002A1F7A">
      <w:pPr>
        <w:keepNext/>
        <w:tabs>
          <w:tab w:val="left" w:pos="720"/>
          <w:tab w:val="left" w:pos="1440"/>
          <w:tab w:val="left" w:pos="2160"/>
        </w:tabs>
        <w:spacing w:after="240"/>
        <w:ind w:left="706"/>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w:t>
      </w:r>
    </w:p>
    <w:p w14:paraId="3C78A5B6" w14:textId="625DB445" w:rsidR="002A1F7A" w:rsidRPr="00944BFF" w:rsidRDefault="00CF1CF8" w:rsidP="00194291">
      <w:pPr>
        <w:pStyle w:val="ListParagraph"/>
        <w:numPr>
          <w:ilvl w:val="0"/>
          <w:numId w:val="12"/>
        </w:numPr>
        <w:tabs>
          <w:tab w:val="left" w:pos="720"/>
          <w:tab w:val="left" w:pos="1440"/>
          <w:tab w:val="left" w:pos="2160"/>
        </w:tabs>
        <w:spacing w:after="240"/>
        <w:rPr>
          <w:color w:val="000000" w:themeColor="text1"/>
          <w:lang w:val="fr-FR"/>
        </w:rPr>
      </w:pPr>
      <w:r w:rsidRPr="00944BFF">
        <w:rPr>
          <w:color w:val="000000" w:themeColor="text1"/>
          <w:lang w:val="fr-FR"/>
        </w:rPr>
        <w:t xml:space="preserve">Prolongation de la date d’achèvement </w:t>
      </w:r>
    </w:p>
    <w:p w14:paraId="7B7A0321" w14:textId="33BEC0EE" w:rsidR="002A1F7A" w:rsidRPr="00921074" w:rsidRDefault="00CF1CF8" w:rsidP="002A1F7A">
      <w:pPr>
        <w:tabs>
          <w:tab w:val="left" w:pos="720"/>
          <w:tab w:val="left" w:pos="1440"/>
          <w:tab w:val="left" w:pos="2160"/>
        </w:tabs>
        <w:spacing w:after="240"/>
        <w:ind w:left="709"/>
        <w:outlineLvl w:val="0"/>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e</w:t>
      </w:r>
      <w:r w:rsidRPr="00921074">
        <w:rPr>
          <w:color w:val="000000" w:themeColor="text1"/>
          <w:u w:val="single"/>
          <w:lang w:val="fr-FR"/>
        </w:rPr>
        <w:t xml:space="preserve"> Comité exécutif pourrait souhaiter </w:t>
      </w:r>
      <w:r w:rsidR="002A1F7A" w:rsidRPr="00921074">
        <w:rPr>
          <w:color w:val="000000" w:themeColor="text1"/>
          <w:lang w:val="fr-FR"/>
        </w:rPr>
        <w:t xml:space="preserve">: </w:t>
      </w:r>
    </w:p>
    <w:p w14:paraId="7A45B31D" w14:textId="631B3A59" w:rsidR="00921074" w:rsidRPr="00921074" w:rsidRDefault="00921074" w:rsidP="00921074">
      <w:pPr>
        <w:pStyle w:val="Heading2"/>
        <w:numPr>
          <w:ilvl w:val="0"/>
          <w:numId w:val="0"/>
        </w:numPr>
        <w:ind w:left="1440" w:hanging="720"/>
        <w:rPr>
          <w:lang w:val="fr-FR"/>
        </w:rPr>
      </w:pPr>
      <w:r>
        <w:rPr>
          <w:lang w:val="fr-FR"/>
        </w:rPr>
        <w:t>a)</w:t>
      </w:r>
      <w:r>
        <w:rPr>
          <w:lang w:val="fr-FR"/>
        </w:rPr>
        <w:tab/>
      </w:r>
      <w:r w:rsidRPr="00921074">
        <w:rPr>
          <w:lang w:val="fr-FR"/>
        </w:rPr>
        <w:t>Prendre note du rapport périodique sur le projet de démonstration sur la promotion de frigorigènes de remplacement pour le secteur de la climatisation dans les pays à température ambiante élevée en Asie de l’Ouest (PRAHA-II) a soumis par le PNUE et l’ONUDI, figurant dans le document UNEP/OzL.Pro/ExCom/83/11 ; et</w:t>
      </w:r>
    </w:p>
    <w:p w14:paraId="5EF54FC7" w14:textId="519045B0" w:rsidR="00921074" w:rsidRPr="002E72D3" w:rsidRDefault="00921074" w:rsidP="00921074">
      <w:pPr>
        <w:pStyle w:val="Heading2"/>
        <w:numPr>
          <w:ilvl w:val="0"/>
          <w:numId w:val="0"/>
        </w:numPr>
        <w:ind w:left="1440" w:hanging="720"/>
        <w:rPr>
          <w:lang w:val="fr-FR"/>
        </w:rPr>
      </w:pPr>
      <w:r>
        <w:rPr>
          <w:lang w:val="fr-FR"/>
        </w:rPr>
        <w:t>b)</w:t>
      </w:r>
      <w:r>
        <w:rPr>
          <w:lang w:val="fr-FR"/>
        </w:rPr>
        <w:tab/>
      </w:r>
      <w:r w:rsidRPr="002E72D3">
        <w:rPr>
          <w:lang w:val="fr-FR"/>
        </w:rPr>
        <w:t>Prolonger la date d’achèvement du projet mentionné ci-dessus au paragraphe (a) jusqu’au 15 novembre 2019 afin de mener à bien les essais des prototypes, valider les résultats de l’optimisation et du modèle d’évaluation des risques, et diffuser les résultats du projet, et demander au PNUE et à l’ONUDI de soumettre le rapport final au plus tard à la 84</w:t>
      </w:r>
      <w:r w:rsidRPr="002E72D3">
        <w:rPr>
          <w:vertAlign w:val="superscript"/>
          <w:lang w:val="fr-FR"/>
        </w:rPr>
        <w:t>e</w:t>
      </w:r>
      <w:r w:rsidR="002F1864">
        <w:rPr>
          <w:vertAlign w:val="superscript"/>
          <w:lang w:val="fr-FR"/>
        </w:rPr>
        <w:t> </w:t>
      </w:r>
      <w:r w:rsidRPr="002E72D3">
        <w:rPr>
          <w:lang w:val="fr-FR"/>
        </w:rPr>
        <w:t>réunion et de restituer tous les soldes restants d’ici la 85</w:t>
      </w:r>
      <w:r w:rsidRPr="002E72D3">
        <w:rPr>
          <w:vertAlign w:val="superscript"/>
          <w:lang w:val="fr-FR"/>
        </w:rPr>
        <w:t>e</w:t>
      </w:r>
      <w:r w:rsidRPr="002E72D3">
        <w:rPr>
          <w:lang w:val="fr-FR"/>
        </w:rPr>
        <w:t xml:space="preserve"> réunion.</w:t>
      </w:r>
    </w:p>
    <w:p w14:paraId="29615FEC" w14:textId="187DEE6F" w:rsidR="002A1F7A" w:rsidRPr="00944BFF" w:rsidRDefault="0024127F" w:rsidP="002A1F7A">
      <w:pPr>
        <w:pStyle w:val="Heading1"/>
        <w:numPr>
          <w:ilvl w:val="0"/>
          <w:numId w:val="0"/>
        </w:numPr>
        <w:ind w:left="709"/>
        <w:rPr>
          <w:i/>
          <w:lang w:val="fr-FR"/>
        </w:rPr>
      </w:pPr>
      <w:r>
        <w:rPr>
          <w:i/>
          <w:u w:val="single"/>
          <w:lang w:val="fr-FR"/>
        </w:rPr>
        <w:t>Koweït: Étude</w:t>
      </w:r>
      <w:r w:rsidR="00CF1CF8" w:rsidRPr="00944BFF">
        <w:rPr>
          <w:i/>
          <w:u w:val="single"/>
          <w:lang w:val="fr-FR"/>
        </w:rPr>
        <w:t xml:space="preserve"> de faisabilité </w:t>
      </w:r>
      <w:r>
        <w:rPr>
          <w:i/>
          <w:u w:val="single"/>
          <w:lang w:val="fr-FR"/>
        </w:rPr>
        <w:t>compara</w:t>
      </w:r>
      <w:r w:rsidR="00BE1805">
        <w:rPr>
          <w:i/>
          <w:u w:val="single"/>
          <w:lang w:val="fr-FR"/>
        </w:rPr>
        <w:t>n</w:t>
      </w:r>
      <w:r>
        <w:rPr>
          <w:i/>
          <w:u w:val="single"/>
          <w:lang w:val="fr-FR"/>
        </w:rPr>
        <w:t>t</w:t>
      </w:r>
      <w:r w:rsidR="00BE1805">
        <w:rPr>
          <w:i/>
          <w:u w:val="single"/>
          <w:lang w:val="fr-FR"/>
        </w:rPr>
        <w:t xml:space="preserve"> </w:t>
      </w:r>
      <w:r w:rsidR="00CF1CF8" w:rsidRPr="00944BFF">
        <w:rPr>
          <w:i/>
          <w:u w:val="single"/>
          <w:lang w:val="fr-FR"/>
        </w:rPr>
        <w:t xml:space="preserve">trois technologies de </w:t>
      </w:r>
      <w:r w:rsidR="00BE1805">
        <w:rPr>
          <w:i/>
          <w:u w:val="single"/>
          <w:lang w:val="fr-FR"/>
        </w:rPr>
        <w:t xml:space="preserve">conception nouvelle en vue de leur </w:t>
      </w:r>
      <w:r w:rsidR="00CF1CF8" w:rsidRPr="00944BFF">
        <w:rPr>
          <w:i/>
          <w:u w:val="single"/>
          <w:lang w:val="fr-FR"/>
        </w:rPr>
        <w:t>utilisation dans la climatisation central</w:t>
      </w:r>
      <w:r w:rsidR="00B965DD">
        <w:rPr>
          <w:i/>
          <w:u w:val="single"/>
          <w:lang w:val="fr-FR"/>
        </w:rPr>
        <w:t>e</w:t>
      </w:r>
      <w:r w:rsidR="00CF1CF8" w:rsidRPr="00944BFF">
        <w:rPr>
          <w:i/>
          <w:u w:val="single"/>
          <w:lang w:val="fr-FR"/>
        </w:rPr>
        <w:t xml:space="preserve"> – rapport final </w:t>
      </w:r>
      <w:r w:rsidR="00CF1CF8" w:rsidRPr="00944BFF">
        <w:rPr>
          <w:i/>
          <w:lang w:val="fr-FR"/>
        </w:rPr>
        <w:t>(</w:t>
      </w:r>
      <w:r w:rsidR="002A1F7A" w:rsidRPr="00944BFF">
        <w:rPr>
          <w:i/>
          <w:lang w:val="fr-FR"/>
        </w:rPr>
        <w:t>P</w:t>
      </w:r>
      <w:r w:rsidR="00CF1CF8" w:rsidRPr="00944BFF">
        <w:rPr>
          <w:i/>
          <w:lang w:val="fr-FR"/>
        </w:rPr>
        <w:t>NUE et ONUDI</w:t>
      </w:r>
      <w:r w:rsidR="002A1F7A" w:rsidRPr="00944BFF">
        <w:rPr>
          <w:i/>
          <w:lang w:val="fr-FR"/>
        </w:rPr>
        <w:t>) (paragraph</w:t>
      </w:r>
      <w:r w:rsidR="00CF1CF8" w:rsidRPr="00944BFF">
        <w:rPr>
          <w:i/>
          <w:lang w:val="fr-FR"/>
        </w:rPr>
        <w:t>e</w:t>
      </w:r>
      <w:r w:rsidR="002A1F7A" w:rsidRPr="00944BFF">
        <w:rPr>
          <w:i/>
          <w:lang w:val="fr-FR"/>
        </w:rPr>
        <w:t>s</w:t>
      </w:r>
      <w:r w:rsidR="00D5134E">
        <w:rPr>
          <w:i/>
          <w:lang w:val="fr-FR"/>
        </w:rPr>
        <w:t> </w:t>
      </w:r>
      <w:r w:rsidR="002A1F7A" w:rsidRPr="00944BFF">
        <w:rPr>
          <w:i/>
          <w:lang w:val="fr-FR"/>
        </w:rPr>
        <w:t>268</w:t>
      </w:r>
      <w:r w:rsidR="002F1864">
        <w:rPr>
          <w:i/>
          <w:lang w:val="fr-FR"/>
        </w:rPr>
        <w:noBreakHyphen/>
      </w:r>
      <w:r w:rsidR="002A1F7A" w:rsidRPr="00944BFF">
        <w:rPr>
          <w:i/>
          <w:lang w:val="fr-FR"/>
        </w:rPr>
        <w:t>274)</w:t>
      </w:r>
    </w:p>
    <w:p w14:paraId="17A9AA3E" w14:textId="5B82B60A" w:rsidR="002A1F7A" w:rsidRPr="00944BFF" w:rsidRDefault="00CF1CF8"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Pr="00944BFF">
        <w:rPr>
          <w:color w:val="000000" w:themeColor="text1"/>
          <w:lang w:val="fr-FR"/>
        </w:rPr>
        <w:t xml:space="preserve"> Aucu</w:t>
      </w:r>
      <w:r w:rsidR="002A1F7A" w:rsidRPr="00944BFF">
        <w:rPr>
          <w:color w:val="000000" w:themeColor="text1"/>
          <w:lang w:val="fr-FR"/>
        </w:rPr>
        <w:t>ne</w:t>
      </w:r>
    </w:p>
    <w:p w14:paraId="62F4C744" w14:textId="201E6CCC" w:rsidR="002A1F7A" w:rsidRPr="00921074" w:rsidRDefault="00CF1CF8" w:rsidP="002A1F7A">
      <w:pPr>
        <w:tabs>
          <w:tab w:val="left" w:pos="720"/>
          <w:tab w:val="left" w:pos="1440"/>
          <w:tab w:val="left" w:pos="2160"/>
        </w:tabs>
        <w:spacing w:after="240"/>
        <w:ind w:left="709"/>
        <w:outlineLvl w:val="0"/>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 xml:space="preserve">e </w:t>
      </w:r>
      <w:r w:rsidRPr="00921074">
        <w:rPr>
          <w:color w:val="000000" w:themeColor="text1"/>
          <w:u w:val="single"/>
          <w:lang w:val="fr-FR"/>
        </w:rPr>
        <w:t>Comité exécutif pourrait souhaiter :</w:t>
      </w:r>
    </w:p>
    <w:p w14:paraId="7D65315C" w14:textId="1DD633B3" w:rsidR="00921074" w:rsidRPr="00921074" w:rsidRDefault="00921074" w:rsidP="00921074">
      <w:pPr>
        <w:pStyle w:val="Heading2"/>
        <w:numPr>
          <w:ilvl w:val="0"/>
          <w:numId w:val="0"/>
        </w:numPr>
        <w:ind w:left="1440" w:hanging="720"/>
        <w:rPr>
          <w:lang w:val="fr-FR"/>
        </w:rPr>
      </w:pPr>
      <w:r>
        <w:rPr>
          <w:lang w:val="fr-FR"/>
        </w:rPr>
        <w:t>a)</w:t>
      </w:r>
      <w:r>
        <w:rPr>
          <w:lang w:val="fr-FR"/>
        </w:rPr>
        <w:tab/>
      </w:r>
      <w:r w:rsidRPr="00921074">
        <w:rPr>
          <w:lang w:val="fr-FR"/>
        </w:rPr>
        <w:t>Prendre note, avec satisfaction, du rapport final sur l’étude de faisabilité comparant trois technologies de conception nouvelle en vue de leur utilisation dans la climatisation centrale au Koweït, soumise par le PNUE et l’ONUDI et figurant dans le do</w:t>
      </w:r>
      <w:r w:rsidR="00BE1805">
        <w:rPr>
          <w:lang w:val="fr-FR"/>
        </w:rPr>
        <w:t>cument</w:t>
      </w:r>
      <w:r w:rsidR="002F1864">
        <w:rPr>
          <w:lang w:val="fr-FR"/>
        </w:rPr>
        <w:t> </w:t>
      </w:r>
      <w:r w:rsidR="00BE1805">
        <w:rPr>
          <w:lang w:val="fr-FR"/>
        </w:rPr>
        <w:t>UNEP/OzL.Pro/ExCom/83/11</w:t>
      </w:r>
      <w:r w:rsidRPr="00921074">
        <w:rPr>
          <w:lang w:val="fr-FR"/>
        </w:rPr>
        <w:t xml:space="preserve">; </w:t>
      </w:r>
    </w:p>
    <w:p w14:paraId="2E239CD8" w14:textId="5284AD30" w:rsidR="00921074" w:rsidRPr="002E72D3" w:rsidRDefault="00921074" w:rsidP="00921074">
      <w:pPr>
        <w:pStyle w:val="Heading2"/>
        <w:numPr>
          <w:ilvl w:val="0"/>
          <w:numId w:val="0"/>
        </w:numPr>
        <w:ind w:left="1440" w:hanging="720"/>
        <w:rPr>
          <w:lang w:val="fr-FR"/>
        </w:rPr>
      </w:pPr>
      <w:r>
        <w:rPr>
          <w:lang w:val="fr-FR"/>
        </w:rPr>
        <w:lastRenderedPageBreak/>
        <w:t>b)</w:t>
      </w:r>
      <w:r>
        <w:rPr>
          <w:lang w:val="fr-FR"/>
        </w:rPr>
        <w:tab/>
      </w:r>
      <w:r w:rsidRPr="002E72D3">
        <w:rPr>
          <w:lang w:val="fr-FR"/>
        </w:rPr>
        <w:t>Rappeler que le PNUE et l’ONUDI soumettront le rapport d’achèvement de projet sur l’étude de faisabilité mentionnée ci-dessus au paragraphe (a) et resitueront tous les soldes restants à la 84</w:t>
      </w:r>
      <w:r w:rsidRPr="002E72D3">
        <w:rPr>
          <w:vertAlign w:val="superscript"/>
          <w:lang w:val="fr-FR"/>
        </w:rPr>
        <w:t>e</w:t>
      </w:r>
      <w:r w:rsidR="00BE1805">
        <w:rPr>
          <w:lang w:val="fr-FR"/>
        </w:rPr>
        <w:t xml:space="preserve"> réunion</w:t>
      </w:r>
      <w:r w:rsidRPr="002E72D3">
        <w:rPr>
          <w:lang w:val="fr-FR"/>
        </w:rPr>
        <w:t>; et</w:t>
      </w:r>
    </w:p>
    <w:p w14:paraId="2744DF37" w14:textId="3B8ABEDC" w:rsidR="00921074" w:rsidRPr="002E72D3" w:rsidRDefault="00921074" w:rsidP="00921074">
      <w:pPr>
        <w:pStyle w:val="Heading2"/>
        <w:numPr>
          <w:ilvl w:val="0"/>
          <w:numId w:val="0"/>
        </w:numPr>
        <w:ind w:left="1440" w:hanging="720"/>
        <w:rPr>
          <w:lang w:val="fr-FR"/>
        </w:rPr>
      </w:pPr>
      <w:r>
        <w:rPr>
          <w:lang w:val="fr-FR"/>
        </w:rPr>
        <w:t>c)</w:t>
      </w:r>
      <w:r>
        <w:rPr>
          <w:lang w:val="fr-FR"/>
        </w:rPr>
        <w:tab/>
      </w:r>
      <w:r w:rsidRPr="002E72D3">
        <w:rPr>
          <w:lang w:val="fr-FR"/>
        </w:rPr>
        <w:t>Encourager le gouvernement du Koweït, par l’intermédiaire du PNUE et de l’ONUDI, à fournir des informations actualisées sur les mesures prises du fait des études de faisabilité lors d’une future réunion du Comité exécutif.</w:t>
      </w:r>
    </w:p>
    <w:p w14:paraId="6656A97D" w14:textId="211D8EA9" w:rsidR="002A1F7A" w:rsidRPr="00D5134E" w:rsidRDefault="002A1F7A" w:rsidP="00D5134E">
      <w:pPr>
        <w:ind w:left="709"/>
        <w:rPr>
          <w:i/>
          <w:lang w:val="fr-FR"/>
        </w:rPr>
      </w:pPr>
      <w:r w:rsidRPr="00D5134E">
        <w:rPr>
          <w:i/>
          <w:lang w:val="fr-FR"/>
        </w:rPr>
        <w:t>Part</w:t>
      </w:r>
      <w:r w:rsidR="00CF1CF8" w:rsidRPr="00D5134E">
        <w:rPr>
          <w:i/>
          <w:lang w:val="fr-FR"/>
        </w:rPr>
        <w:t>ie</w:t>
      </w:r>
      <w:r w:rsidRPr="00D5134E">
        <w:rPr>
          <w:i/>
          <w:lang w:val="fr-FR"/>
        </w:rPr>
        <w:t xml:space="preserve"> VI:</w:t>
      </w:r>
      <w:r w:rsidR="00D5134E" w:rsidRPr="00D5134E">
        <w:rPr>
          <w:i/>
          <w:lang w:val="fr-FR"/>
        </w:rPr>
        <w:t xml:space="preserve"> </w:t>
      </w:r>
      <w:r w:rsidRPr="00D5134E">
        <w:rPr>
          <w:i/>
          <w:lang w:val="fr-FR"/>
        </w:rPr>
        <w:t>Change</w:t>
      </w:r>
      <w:r w:rsidR="00CF1CF8" w:rsidRPr="00D5134E">
        <w:rPr>
          <w:i/>
          <w:lang w:val="fr-FR"/>
        </w:rPr>
        <w:t xml:space="preserve">ment d’agence d’exécution pour la phase II du PGEH et activités </w:t>
      </w:r>
      <w:r w:rsidR="00921074" w:rsidRPr="00D5134E">
        <w:rPr>
          <w:i/>
          <w:lang w:val="fr-FR"/>
        </w:rPr>
        <w:t>de facilitation</w:t>
      </w:r>
      <w:r w:rsidR="00BE1805" w:rsidRPr="00D5134E">
        <w:rPr>
          <w:i/>
          <w:lang w:val="fr-FR"/>
        </w:rPr>
        <w:t xml:space="preserve"> relatives à</w:t>
      </w:r>
      <w:r w:rsidR="00CF1CF8" w:rsidRPr="00D5134E">
        <w:rPr>
          <w:i/>
          <w:lang w:val="fr-FR"/>
        </w:rPr>
        <w:t xml:space="preserve"> la réduction progressive des HFC </w:t>
      </w:r>
      <w:r w:rsidR="00921074" w:rsidRPr="00D5134E">
        <w:rPr>
          <w:i/>
          <w:lang w:val="fr-FR"/>
        </w:rPr>
        <w:t>aux</w:t>
      </w:r>
      <w:r w:rsidRPr="00D5134E">
        <w:rPr>
          <w:i/>
          <w:lang w:val="fr-FR"/>
        </w:rPr>
        <w:t xml:space="preserve"> Philippines (paragraph</w:t>
      </w:r>
      <w:r w:rsidR="00C9768E" w:rsidRPr="00D5134E">
        <w:rPr>
          <w:i/>
          <w:lang w:val="fr-FR"/>
        </w:rPr>
        <w:t>e</w:t>
      </w:r>
      <w:r w:rsidRPr="00D5134E">
        <w:rPr>
          <w:i/>
          <w:lang w:val="fr-FR"/>
        </w:rPr>
        <w:t>s 275-280)</w:t>
      </w:r>
    </w:p>
    <w:p w14:paraId="25B10EEE" w14:textId="77777777" w:rsidR="002A1F7A" w:rsidRPr="00944BFF" w:rsidRDefault="002A1F7A" w:rsidP="002A1F7A">
      <w:pPr>
        <w:widowControl w:val="0"/>
        <w:ind w:left="1418" w:hanging="709"/>
        <w:rPr>
          <w:i/>
          <w:lang w:val="fr-FR"/>
        </w:rPr>
      </w:pPr>
      <w:r w:rsidRPr="00944BFF">
        <w:rPr>
          <w:i/>
          <w:highlight w:val="yellow"/>
          <w:lang w:val="fr-FR"/>
        </w:rPr>
        <w:t xml:space="preserve"> </w:t>
      </w:r>
    </w:p>
    <w:p w14:paraId="1496973B" w14:textId="01C029F8" w:rsidR="002A1F7A" w:rsidRPr="00944BFF" w:rsidRDefault="002A1F7A" w:rsidP="002A1F7A">
      <w:pPr>
        <w:widowControl w:val="0"/>
        <w:ind w:left="709"/>
        <w:rPr>
          <w:i/>
          <w:u w:val="single"/>
          <w:lang w:val="fr-FR"/>
        </w:rPr>
      </w:pPr>
      <w:r w:rsidRPr="00944BFF">
        <w:rPr>
          <w:i/>
          <w:u w:val="single"/>
          <w:lang w:val="fr-FR"/>
        </w:rPr>
        <w:t xml:space="preserve">Philippines: </w:t>
      </w:r>
      <w:r w:rsidR="00C9768E" w:rsidRPr="00944BFF">
        <w:rPr>
          <w:i/>
          <w:u w:val="single"/>
          <w:lang w:val="fr-FR"/>
        </w:rPr>
        <w:t>Phase</w:t>
      </w:r>
      <w:r w:rsidRPr="00944BFF">
        <w:rPr>
          <w:i/>
          <w:u w:val="single"/>
          <w:lang w:val="fr-FR"/>
        </w:rPr>
        <w:t xml:space="preserve"> II </w:t>
      </w:r>
      <w:r w:rsidR="00C9768E" w:rsidRPr="00944BFF">
        <w:rPr>
          <w:i/>
          <w:u w:val="single"/>
          <w:lang w:val="fr-FR"/>
        </w:rPr>
        <w:t>du plan de gestion de l’élimination des</w:t>
      </w:r>
      <w:r w:rsidRPr="00944BFF">
        <w:rPr>
          <w:i/>
          <w:u w:val="single"/>
          <w:lang w:val="fr-FR"/>
        </w:rPr>
        <w:t xml:space="preserve"> HCFC </w:t>
      </w:r>
      <w:r w:rsidR="00C9768E" w:rsidRPr="00944BFF">
        <w:rPr>
          <w:i/>
          <w:u w:val="single"/>
          <w:lang w:val="fr-FR"/>
        </w:rPr>
        <w:t xml:space="preserve">et activités </w:t>
      </w:r>
      <w:r w:rsidR="00921074">
        <w:rPr>
          <w:i/>
          <w:u w:val="single"/>
          <w:lang w:val="fr-FR"/>
        </w:rPr>
        <w:t>de facilitation</w:t>
      </w:r>
      <w:r w:rsidR="00BE1805">
        <w:rPr>
          <w:i/>
          <w:u w:val="single"/>
          <w:lang w:val="fr-FR"/>
        </w:rPr>
        <w:t xml:space="preserve"> relatives à la réduction progressive des HFC</w:t>
      </w:r>
      <w:r w:rsidR="00C9768E" w:rsidRPr="00944BFF">
        <w:rPr>
          <w:i/>
          <w:u w:val="single"/>
          <w:lang w:val="fr-FR"/>
        </w:rPr>
        <w:t xml:space="preserve"> – demande de changement d’agence d’exécution </w:t>
      </w:r>
      <w:r w:rsidRPr="00944BFF">
        <w:rPr>
          <w:i/>
          <w:lang w:val="fr-FR"/>
        </w:rPr>
        <w:t>(</w:t>
      </w:r>
      <w:r w:rsidR="00C9768E" w:rsidRPr="00944BFF">
        <w:rPr>
          <w:i/>
          <w:lang w:val="fr-FR"/>
        </w:rPr>
        <w:t>Banque mondiale</w:t>
      </w:r>
      <w:r w:rsidRPr="00944BFF">
        <w:rPr>
          <w:i/>
          <w:lang w:val="fr-FR"/>
        </w:rPr>
        <w:t>)</w:t>
      </w:r>
    </w:p>
    <w:p w14:paraId="703472F2" w14:textId="77777777" w:rsidR="002A1F7A" w:rsidRPr="00944BFF" w:rsidRDefault="002A1F7A" w:rsidP="002A1F7A">
      <w:pPr>
        <w:widowControl w:val="0"/>
        <w:ind w:left="709"/>
        <w:rPr>
          <w:lang w:val="fr-FR"/>
        </w:rPr>
      </w:pPr>
    </w:p>
    <w:p w14:paraId="272A96D1" w14:textId="0E3A4C86" w:rsidR="002A1F7A" w:rsidRPr="00944BFF" w:rsidRDefault="00C9768E" w:rsidP="002A1F7A">
      <w:pPr>
        <w:widowControl w:val="0"/>
        <w:spacing w:after="240"/>
        <w:ind w:left="709"/>
        <w:rPr>
          <w:color w:val="000000" w:themeColor="text1"/>
          <w:lang w:val="fr-FR"/>
        </w:rPr>
      </w:pPr>
      <w:r w:rsidRPr="00944BFF">
        <w:rPr>
          <w:color w:val="000000" w:themeColor="text1"/>
          <w:u w:val="single"/>
          <w:lang w:val="fr-FR"/>
        </w:rPr>
        <w:t>Questions à traiter :</w:t>
      </w:r>
      <w:r w:rsidR="002A1F7A" w:rsidRPr="00944BFF">
        <w:rPr>
          <w:color w:val="000000" w:themeColor="text1"/>
          <w:lang w:val="fr-FR"/>
        </w:rPr>
        <w:t> </w:t>
      </w:r>
    </w:p>
    <w:p w14:paraId="27E88ECB" w14:textId="36E89B96" w:rsidR="002A1F7A" w:rsidRPr="00944BFF" w:rsidRDefault="002A1F7A" w:rsidP="00194291">
      <w:pPr>
        <w:widowControl w:val="0"/>
        <w:numPr>
          <w:ilvl w:val="0"/>
          <w:numId w:val="12"/>
        </w:numPr>
        <w:spacing w:after="240"/>
        <w:ind w:left="1434" w:hanging="357"/>
        <w:rPr>
          <w:color w:val="000000" w:themeColor="text1"/>
          <w:lang w:val="fr-FR"/>
        </w:rPr>
      </w:pPr>
      <w:r w:rsidRPr="00944BFF">
        <w:rPr>
          <w:color w:val="000000" w:themeColor="text1"/>
          <w:lang w:val="fr-FR"/>
        </w:rPr>
        <w:t>Change</w:t>
      </w:r>
      <w:r w:rsidR="00C9768E" w:rsidRPr="00944BFF">
        <w:rPr>
          <w:color w:val="000000" w:themeColor="text1"/>
          <w:lang w:val="fr-FR"/>
        </w:rPr>
        <w:t>ment d’agence d’exécution pour la phase II du PGEH et a</w:t>
      </w:r>
      <w:r w:rsidR="00B965DD">
        <w:rPr>
          <w:color w:val="000000" w:themeColor="text1"/>
          <w:lang w:val="fr-FR"/>
        </w:rPr>
        <w:t xml:space="preserve">ctivités </w:t>
      </w:r>
      <w:r w:rsidR="00921074">
        <w:rPr>
          <w:color w:val="000000" w:themeColor="text1"/>
          <w:lang w:val="fr-FR"/>
        </w:rPr>
        <w:t>de facilitation</w:t>
      </w:r>
      <w:r w:rsidR="00B965DD">
        <w:rPr>
          <w:color w:val="000000" w:themeColor="text1"/>
          <w:lang w:val="fr-FR"/>
        </w:rPr>
        <w:t xml:space="preserve"> </w:t>
      </w:r>
      <w:r w:rsidR="00BE1805">
        <w:rPr>
          <w:color w:val="000000" w:themeColor="text1"/>
          <w:lang w:val="fr-FR"/>
        </w:rPr>
        <w:t>relatives à</w:t>
      </w:r>
      <w:r w:rsidR="00B965DD">
        <w:rPr>
          <w:color w:val="000000" w:themeColor="text1"/>
          <w:lang w:val="fr-FR"/>
        </w:rPr>
        <w:t xml:space="preserve"> la ré</w:t>
      </w:r>
      <w:r w:rsidR="00C9768E" w:rsidRPr="00944BFF">
        <w:rPr>
          <w:color w:val="000000" w:themeColor="text1"/>
          <w:lang w:val="fr-FR"/>
        </w:rPr>
        <w:t xml:space="preserve">duction progressive des HFC </w:t>
      </w:r>
    </w:p>
    <w:p w14:paraId="1FBAC46F" w14:textId="04FA3D15" w:rsidR="002A1F7A" w:rsidRPr="00921074" w:rsidRDefault="00C9768E" w:rsidP="002A1F7A">
      <w:pPr>
        <w:pStyle w:val="Heading1"/>
        <w:keepNext/>
        <w:numPr>
          <w:ilvl w:val="0"/>
          <w:numId w:val="0"/>
        </w:numPr>
        <w:ind w:left="706"/>
        <w:rPr>
          <w:color w:val="000000" w:themeColor="text1"/>
          <w:lang w:val="fr-FR"/>
        </w:rPr>
      </w:pPr>
      <w:r w:rsidRPr="00921074">
        <w:rPr>
          <w:color w:val="000000" w:themeColor="text1"/>
          <w:u w:val="single"/>
          <w:lang w:val="fr-FR"/>
        </w:rPr>
        <w:t>L</w:t>
      </w:r>
      <w:r w:rsidR="002A1F7A" w:rsidRPr="00921074">
        <w:rPr>
          <w:color w:val="000000" w:themeColor="text1"/>
          <w:u w:val="single"/>
          <w:lang w:val="fr-FR"/>
        </w:rPr>
        <w:t>e</w:t>
      </w:r>
      <w:r w:rsidRPr="00921074">
        <w:rPr>
          <w:color w:val="000000" w:themeColor="text1"/>
          <w:u w:val="single"/>
          <w:lang w:val="fr-FR"/>
        </w:rPr>
        <w:t xml:space="preserve"> Comité exé</w:t>
      </w:r>
      <w:r w:rsidR="002A1F7A" w:rsidRPr="00921074">
        <w:rPr>
          <w:color w:val="000000" w:themeColor="text1"/>
          <w:u w:val="single"/>
          <w:lang w:val="fr-FR"/>
        </w:rPr>
        <w:t>cuti</w:t>
      </w:r>
      <w:r w:rsidRPr="00921074">
        <w:rPr>
          <w:color w:val="000000" w:themeColor="text1"/>
          <w:u w:val="single"/>
          <w:lang w:val="fr-FR"/>
        </w:rPr>
        <w:t>f pourrait souhaiter :</w:t>
      </w:r>
      <w:r w:rsidR="002A1F7A" w:rsidRPr="00921074">
        <w:rPr>
          <w:color w:val="000000" w:themeColor="text1"/>
          <w:lang w:val="fr-FR"/>
        </w:rPr>
        <w:t xml:space="preserve"> </w:t>
      </w:r>
    </w:p>
    <w:p w14:paraId="0A858730" w14:textId="76EBAF47" w:rsidR="00921074" w:rsidRPr="002E72D3" w:rsidRDefault="00921074" w:rsidP="00872B62">
      <w:pPr>
        <w:widowControl w:val="0"/>
        <w:spacing w:after="240"/>
        <w:ind w:left="1428" w:hanging="722"/>
        <w:outlineLvl w:val="1"/>
        <w:rPr>
          <w:lang w:val="fr-FR"/>
        </w:rPr>
      </w:pPr>
      <w:r>
        <w:rPr>
          <w:lang w:val="fr"/>
        </w:rPr>
        <w:t>a)</w:t>
      </w:r>
      <w:r>
        <w:rPr>
          <w:lang w:val="fr"/>
        </w:rPr>
        <w:tab/>
      </w:r>
      <w:r w:rsidRPr="002E72D3">
        <w:rPr>
          <w:lang w:val="fr"/>
        </w:rPr>
        <w:t xml:space="preserve">Prendre note de la demande du gouvernement </w:t>
      </w:r>
      <w:r w:rsidR="00D5134E">
        <w:rPr>
          <w:lang w:val="fr"/>
        </w:rPr>
        <w:t>des P</w:t>
      </w:r>
      <w:r w:rsidRPr="002E72D3">
        <w:rPr>
          <w:lang w:val="fr"/>
        </w:rPr>
        <w:t>hilippin</w:t>
      </w:r>
      <w:r w:rsidR="00D5134E">
        <w:rPr>
          <w:lang w:val="fr"/>
        </w:rPr>
        <w:t>es</w:t>
      </w:r>
      <w:r w:rsidRPr="002E72D3">
        <w:rPr>
          <w:lang w:val="fr"/>
        </w:rPr>
        <w:t xml:space="preserve"> de transférer à l’ONUDI toutes les activités d’élimination incluses dans la phase II du Plan de gestion de l’élimination des HCFC (PGEH) ainsi que les activités de facilitation relatives à la réduction progressive des HFC, devant à l’origine être mises en œuvre par la</w:t>
      </w:r>
      <w:r w:rsidR="00BE1805">
        <w:rPr>
          <w:lang w:val="fr"/>
        </w:rPr>
        <w:t xml:space="preserve"> Banque mondiale</w:t>
      </w:r>
      <w:r w:rsidRPr="002E72D3">
        <w:rPr>
          <w:lang w:val="fr"/>
        </w:rPr>
        <w:t>;</w:t>
      </w:r>
    </w:p>
    <w:p w14:paraId="3FA00591" w14:textId="53C3EBFF" w:rsidR="00921074" w:rsidRPr="002E72D3" w:rsidRDefault="00872B62" w:rsidP="00872B62">
      <w:pPr>
        <w:widowControl w:val="0"/>
        <w:spacing w:after="240"/>
        <w:ind w:firstLine="706"/>
        <w:outlineLvl w:val="1"/>
        <w:rPr>
          <w:lang w:val="fr-FR"/>
        </w:rPr>
      </w:pPr>
      <w:r>
        <w:rPr>
          <w:lang w:val="fr"/>
        </w:rPr>
        <w:t>b)</w:t>
      </w:r>
      <w:r>
        <w:rPr>
          <w:lang w:val="fr"/>
        </w:rPr>
        <w:tab/>
      </w:r>
      <w:r w:rsidR="00921074" w:rsidRPr="002E72D3">
        <w:rPr>
          <w:lang w:val="fr"/>
        </w:rPr>
        <w:t>Concernant la phase II du PGEH des Philippines :</w:t>
      </w:r>
    </w:p>
    <w:p w14:paraId="7902704D" w14:textId="05F985C6" w:rsidR="00921074" w:rsidRPr="00D5134E" w:rsidRDefault="00921074" w:rsidP="00761F88">
      <w:pPr>
        <w:pStyle w:val="ListParagraph"/>
        <w:widowControl w:val="0"/>
        <w:numPr>
          <w:ilvl w:val="0"/>
          <w:numId w:val="42"/>
        </w:numPr>
        <w:spacing w:after="240"/>
        <w:ind w:left="2127" w:hanging="701"/>
        <w:jc w:val="both"/>
        <w:outlineLvl w:val="2"/>
        <w:rPr>
          <w:lang w:val="fr-FR"/>
        </w:rPr>
      </w:pPr>
      <w:r w:rsidRPr="00872B62">
        <w:rPr>
          <w:lang w:val="fr"/>
        </w:rPr>
        <w:t>Prendre note que la Banque mondiale avait déjà restitué au Fonds multilatéral à la 83</w:t>
      </w:r>
      <w:r w:rsidRPr="00872B62">
        <w:rPr>
          <w:vertAlign w:val="superscript"/>
          <w:lang w:val="fr"/>
        </w:rPr>
        <w:t>e</w:t>
      </w:r>
      <w:r w:rsidRPr="00872B62">
        <w:rPr>
          <w:lang w:val="fr"/>
        </w:rPr>
        <w:t xml:space="preserve"> réunion les montants de 1 010 023 $US, plus 70 701 $US de coûts d’appui d’agence, associés à la première tranche (PHI/PHA/80</w:t>
      </w:r>
      <w:r w:rsidR="00872B62">
        <w:rPr>
          <w:lang w:val="fr"/>
        </w:rPr>
        <w:t>/INV/103 et PHI/PHA/80/TAS/102)</w:t>
      </w:r>
      <w:r w:rsidRPr="00872B62">
        <w:rPr>
          <w:lang w:val="fr"/>
        </w:rPr>
        <w:t>;</w:t>
      </w:r>
    </w:p>
    <w:p w14:paraId="508DAA69" w14:textId="77777777" w:rsidR="00D5134E" w:rsidRPr="00872B62" w:rsidRDefault="00D5134E" w:rsidP="00D5134E">
      <w:pPr>
        <w:pStyle w:val="ListParagraph"/>
        <w:widowControl w:val="0"/>
        <w:spacing w:after="240"/>
        <w:ind w:left="2127"/>
        <w:jc w:val="both"/>
        <w:outlineLvl w:val="2"/>
        <w:rPr>
          <w:lang w:val="fr-FR"/>
        </w:rPr>
      </w:pPr>
    </w:p>
    <w:p w14:paraId="6D9B3800" w14:textId="1B37C358" w:rsidR="00921074" w:rsidRPr="00872B62" w:rsidRDefault="00921074" w:rsidP="00761F88">
      <w:pPr>
        <w:pStyle w:val="ListParagraph"/>
        <w:keepNext/>
        <w:keepLines/>
        <w:widowControl w:val="0"/>
        <w:numPr>
          <w:ilvl w:val="0"/>
          <w:numId w:val="38"/>
        </w:numPr>
        <w:spacing w:after="240"/>
        <w:outlineLvl w:val="2"/>
      </w:pPr>
      <w:r w:rsidRPr="00872B62">
        <w:rPr>
          <w:lang w:val="fr"/>
        </w:rPr>
        <w:t>Approuver :</w:t>
      </w:r>
    </w:p>
    <w:p w14:paraId="10C3AE90" w14:textId="77777777" w:rsidR="00872B62" w:rsidRPr="000D4036" w:rsidRDefault="00872B62" w:rsidP="00872B62">
      <w:pPr>
        <w:pStyle w:val="ListParagraph"/>
        <w:keepNext/>
        <w:keepLines/>
        <w:widowControl w:val="0"/>
        <w:spacing w:after="240"/>
        <w:ind w:left="2160"/>
        <w:outlineLvl w:val="2"/>
      </w:pPr>
    </w:p>
    <w:p w14:paraId="76C045EB" w14:textId="5D216E2D" w:rsidR="00921074" w:rsidRPr="000D4036" w:rsidRDefault="00921074" w:rsidP="00761F88">
      <w:pPr>
        <w:pStyle w:val="ListParagraph"/>
        <w:keepNext/>
        <w:keepLines/>
        <w:widowControl w:val="0"/>
        <w:numPr>
          <w:ilvl w:val="0"/>
          <w:numId w:val="41"/>
        </w:numPr>
        <w:spacing w:after="240"/>
        <w:jc w:val="both"/>
        <w:outlineLvl w:val="2"/>
        <w:rPr>
          <w:lang w:val="fr-FR"/>
        </w:rPr>
      </w:pPr>
      <w:r w:rsidRPr="000D4036">
        <w:rPr>
          <w:lang w:val="fr"/>
        </w:rPr>
        <w:t>Le transfert à l’ONUDI des montants de 1 010 023 $US, plus 70 701 $US de coûts d’appui d’agence, approuvés pour la Banque mondiale et associés à la première tranche (PHI/PHA/80/INV/103</w:t>
      </w:r>
      <w:r w:rsidR="00BE1805">
        <w:rPr>
          <w:lang w:val="fr"/>
        </w:rPr>
        <w:t xml:space="preserve"> et PHI/PHA/80/TAS/102)</w:t>
      </w:r>
      <w:r w:rsidRPr="000D4036">
        <w:rPr>
          <w:lang w:val="fr"/>
        </w:rPr>
        <w:t>;</w:t>
      </w:r>
    </w:p>
    <w:p w14:paraId="49473431" w14:textId="77777777" w:rsidR="00921074" w:rsidRPr="000D4036" w:rsidRDefault="00921074" w:rsidP="00921074">
      <w:pPr>
        <w:pStyle w:val="ListParagraph"/>
        <w:keepNext/>
        <w:keepLines/>
        <w:widowControl w:val="0"/>
        <w:spacing w:after="240"/>
        <w:ind w:left="2520"/>
        <w:outlineLvl w:val="2"/>
        <w:rPr>
          <w:lang w:val="fr-FR"/>
        </w:rPr>
      </w:pPr>
    </w:p>
    <w:p w14:paraId="4BAA2453" w14:textId="3B767F3F" w:rsidR="00921074" w:rsidRPr="000D4036" w:rsidRDefault="00921074" w:rsidP="00761F88">
      <w:pPr>
        <w:pStyle w:val="ListParagraph"/>
        <w:keepNext/>
        <w:keepLines/>
        <w:widowControl w:val="0"/>
        <w:numPr>
          <w:ilvl w:val="0"/>
          <w:numId w:val="41"/>
        </w:numPr>
        <w:spacing w:after="240"/>
        <w:jc w:val="both"/>
        <w:outlineLvl w:val="2"/>
        <w:rPr>
          <w:lang w:val="fr-FR"/>
        </w:rPr>
      </w:pPr>
      <w:r w:rsidRPr="000D4036">
        <w:rPr>
          <w:lang w:val="fr"/>
        </w:rPr>
        <w:t>Le transfert de la Banque mondiale à l’ONUDI des montants de 1 740 034 $US, plus 121 802 $US de coûts d’appui d’agence, approuvés en principe et associés aux deuxième et tr</w:t>
      </w:r>
      <w:r w:rsidR="00BE1805">
        <w:rPr>
          <w:lang w:val="fr"/>
        </w:rPr>
        <w:t>oisième tranches de financement</w:t>
      </w:r>
      <w:r w:rsidRPr="000D4036">
        <w:rPr>
          <w:lang w:val="fr"/>
        </w:rPr>
        <w:t>;</w:t>
      </w:r>
    </w:p>
    <w:p w14:paraId="59406CE7" w14:textId="313AC842" w:rsidR="00921074" w:rsidRPr="002E72D3" w:rsidRDefault="00872B62" w:rsidP="00872B62">
      <w:pPr>
        <w:widowControl w:val="0"/>
        <w:spacing w:after="240"/>
        <w:ind w:left="2160" w:hanging="720"/>
        <w:outlineLvl w:val="2"/>
        <w:rPr>
          <w:lang w:val="fr-FR"/>
        </w:rPr>
      </w:pPr>
      <w:r>
        <w:rPr>
          <w:lang w:val="fr"/>
        </w:rPr>
        <w:t>iii)</w:t>
      </w:r>
      <w:r>
        <w:rPr>
          <w:lang w:val="fr"/>
        </w:rPr>
        <w:tab/>
      </w:r>
      <w:r w:rsidR="00921074" w:rsidRPr="002E72D3">
        <w:rPr>
          <w:lang w:val="fr"/>
        </w:rPr>
        <w:t xml:space="preserve">Noter que le Secrétariat du Fonds a mis à jour l’accord conclu entre le gouvernement </w:t>
      </w:r>
      <w:r w:rsidR="00D5134E">
        <w:rPr>
          <w:lang w:val="fr"/>
        </w:rPr>
        <w:t>des P</w:t>
      </w:r>
      <w:r w:rsidR="00921074" w:rsidRPr="002E72D3">
        <w:rPr>
          <w:lang w:val="fr"/>
        </w:rPr>
        <w:t>hilippin</w:t>
      </w:r>
      <w:r w:rsidR="00D5134E">
        <w:rPr>
          <w:lang w:val="fr"/>
        </w:rPr>
        <w:t>es</w:t>
      </w:r>
      <w:r w:rsidR="00921074" w:rsidRPr="002E72D3">
        <w:rPr>
          <w:lang w:val="fr"/>
        </w:rPr>
        <w:t xml:space="preserve"> et le Comité exécutif pour la phase II du PGEH, tel qu’il figure à l’annexe VII du présent document, en particulier le paragraphe 9 et l’appendice 2-A, sur la base du transfert des composantes de la Banque mondiale à l’ONUDI, et le paragraphe 17, qui avait été ajouté pour indiquer que la Banque mondiale ne serait plus l’agence d’exécution principale à compter de la 83</w:t>
      </w:r>
      <w:r w:rsidR="00921074" w:rsidRPr="002E72D3">
        <w:rPr>
          <w:vertAlign w:val="superscript"/>
          <w:lang w:val="fr"/>
        </w:rPr>
        <w:t>e</w:t>
      </w:r>
      <w:r w:rsidR="002F1864">
        <w:rPr>
          <w:vertAlign w:val="superscript"/>
          <w:lang w:val="fr"/>
        </w:rPr>
        <w:t> </w:t>
      </w:r>
      <w:r w:rsidR="0099339F">
        <w:rPr>
          <w:lang w:val="fr"/>
        </w:rPr>
        <w:t>réunion</w:t>
      </w:r>
      <w:r w:rsidR="00921074" w:rsidRPr="002E72D3">
        <w:rPr>
          <w:lang w:val="fr"/>
        </w:rPr>
        <w:t xml:space="preserve"> et que l’accord mis à jour remplaçait l’accord conclu à la 80</w:t>
      </w:r>
      <w:r w:rsidR="00921074" w:rsidRPr="002E72D3">
        <w:rPr>
          <w:vertAlign w:val="superscript"/>
          <w:lang w:val="fr"/>
        </w:rPr>
        <w:t>e</w:t>
      </w:r>
      <w:r w:rsidR="0099339F">
        <w:rPr>
          <w:vertAlign w:val="superscript"/>
          <w:lang w:val="fr"/>
        </w:rPr>
        <w:t> </w:t>
      </w:r>
      <w:r w:rsidR="0099339F">
        <w:rPr>
          <w:lang w:val="fr"/>
        </w:rPr>
        <w:t>réunion</w:t>
      </w:r>
      <w:r w:rsidR="00921074" w:rsidRPr="002E72D3">
        <w:rPr>
          <w:lang w:val="fr"/>
        </w:rPr>
        <w:t>;</w:t>
      </w:r>
    </w:p>
    <w:p w14:paraId="179EB136" w14:textId="35D05BC1" w:rsidR="00921074" w:rsidRPr="00872B62" w:rsidRDefault="00872B62" w:rsidP="006877C9">
      <w:pPr>
        <w:keepNext/>
        <w:keepLines/>
        <w:widowControl w:val="0"/>
        <w:spacing w:after="240"/>
        <w:ind w:left="1440" w:hanging="720"/>
        <w:outlineLvl w:val="1"/>
        <w:rPr>
          <w:lang w:val="fr-FR"/>
        </w:rPr>
      </w:pPr>
      <w:r>
        <w:rPr>
          <w:lang w:val="fr"/>
        </w:rPr>
        <w:lastRenderedPageBreak/>
        <w:t>c)</w:t>
      </w:r>
      <w:r>
        <w:rPr>
          <w:lang w:val="fr"/>
        </w:rPr>
        <w:tab/>
      </w:r>
      <w:r w:rsidR="00921074" w:rsidRPr="00872B62">
        <w:rPr>
          <w:lang w:val="fr"/>
        </w:rPr>
        <w:t>Concernant les activités de facilitation relatives à la réduction progressive des HFC approuvées au titre des contributions additionnelles au Fonds multilatéral (PHI/SEV/80/TAS/01+) :</w:t>
      </w:r>
    </w:p>
    <w:p w14:paraId="3E012F8C" w14:textId="3D155749" w:rsidR="00921074" w:rsidRPr="00872B62" w:rsidRDefault="00872B62" w:rsidP="00872B62">
      <w:pPr>
        <w:widowControl w:val="0"/>
        <w:spacing w:after="240"/>
        <w:ind w:left="2160" w:hanging="720"/>
        <w:outlineLvl w:val="2"/>
        <w:rPr>
          <w:lang w:val="fr-FR"/>
        </w:rPr>
      </w:pPr>
      <w:r>
        <w:rPr>
          <w:lang w:val="fr"/>
        </w:rPr>
        <w:t>i)</w:t>
      </w:r>
      <w:r>
        <w:rPr>
          <w:lang w:val="fr"/>
        </w:rPr>
        <w:tab/>
      </w:r>
      <w:r w:rsidR="00921074" w:rsidRPr="00872B62">
        <w:rPr>
          <w:lang w:val="fr"/>
        </w:rPr>
        <w:t>Noter que la Banque mondiale avait déjà restitué à la 83</w:t>
      </w:r>
      <w:r w:rsidR="00921074" w:rsidRPr="00872B62">
        <w:rPr>
          <w:vertAlign w:val="superscript"/>
          <w:lang w:val="fr"/>
        </w:rPr>
        <w:t>e</w:t>
      </w:r>
      <w:r w:rsidR="0099339F">
        <w:rPr>
          <w:vertAlign w:val="superscript"/>
          <w:lang w:val="fr"/>
        </w:rPr>
        <w:t> </w:t>
      </w:r>
      <w:r w:rsidR="0099339F">
        <w:rPr>
          <w:lang w:val="fr"/>
        </w:rPr>
        <w:t>réunion</w:t>
      </w:r>
      <w:r w:rsidR="00921074" w:rsidRPr="00872B62">
        <w:rPr>
          <w:lang w:val="fr"/>
        </w:rPr>
        <w:t xml:space="preserve"> le reliquat de 225 992 $US, plus 15 81</w:t>
      </w:r>
      <w:r>
        <w:rPr>
          <w:lang w:val="fr"/>
        </w:rPr>
        <w:t>9 $US de coûts d’appui d’agence</w:t>
      </w:r>
      <w:r w:rsidR="00921074" w:rsidRPr="00872B62">
        <w:rPr>
          <w:lang w:val="fr"/>
        </w:rPr>
        <w:t>; et</w:t>
      </w:r>
    </w:p>
    <w:p w14:paraId="4E89D9E9" w14:textId="5918F14A" w:rsidR="00921074" w:rsidRPr="00872B62" w:rsidRDefault="00921074" w:rsidP="00761F88">
      <w:pPr>
        <w:pStyle w:val="ListParagraph"/>
        <w:widowControl w:val="0"/>
        <w:numPr>
          <w:ilvl w:val="0"/>
          <w:numId w:val="43"/>
        </w:numPr>
        <w:spacing w:after="240"/>
        <w:outlineLvl w:val="2"/>
        <w:rPr>
          <w:lang w:val="fr-FR"/>
        </w:rPr>
      </w:pPr>
      <w:r w:rsidRPr="00872B62">
        <w:rPr>
          <w:lang w:val="fr"/>
        </w:rPr>
        <w:t>Approuver le transfert à l’ONUDI du reliquat de 225 992 $US, plus 15 819 $US de coûts d’appui d’agence, initialement approuvés pour la Banque mondiale.</w:t>
      </w:r>
    </w:p>
    <w:p w14:paraId="17146B4E" w14:textId="34B0A377" w:rsidR="002A1F7A" w:rsidRPr="00944BFF" w:rsidRDefault="002A1F7A" w:rsidP="002A1F7A">
      <w:pPr>
        <w:spacing w:after="240"/>
        <w:ind w:left="2160" w:hanging="1440"/>
        <w:rPr>
          <w:i/>
          <w:lang w:val="fr-FR"/>
        </w:rPr>
      </w:pPr>
      <w:r w:rsidRPr="00944BFF">
        <w:rPr>
          <w:i/>
          <w:lang w:val="fr-FR"/>
        </w:rPr>
        <w:t>Part</w:t>
      </w:r>
      <w:r w:rsidR="00C9768E" w:rsidRPr="00944BFF">
        <w:rPr>
          <w:i/>
          <w:lang w:val="fr-FR"/>
        </w:rPr>
        <w:t>ie</w:t>
      </w:r>
      <w:r w:rsidRPr="00944BFF">
        <w:rPr>
          <w:i/>
          <w:lang w:val="fr-FR"/>
        </w:rPr>
        <w:t xml:space="preserve"> VII: </w:t>
      </w:r>
      <w:r w:rsidR="00872B62">
        <w:rPr>
          <w:i/>
          <w:lang w:val="fr-FR"/>
        </w:rPr>
        <w:t>Demandes de prolongation d’</w:t>
      </w:r>
      <w:r w:rsidR="00C9768E" w:rsidRPr="00944BFF">
        <w:rPr>
          <w:i/>
          <w:lang w:val="fr-FR"/>
        </w:rPr>
        <w:t>activités</w:t>
      </w:r>
      <w:r w:rsidR="00872B62">
        <w:rPr>
          <w:i/>
          <w:lang w:val="fr-FR"/>
        </w:rPr>
        <w:t xml:space="preserve"> de facilitation</w:t>
      </w:r>
      <w:r w:rsidR="00C9768E" w:rsidRPr="00944BFF">
        <w:rPr>
          <w:i/>
          <w:lang w:val="fr-FR"/>
        </w:rPr>
        <w:t xml:space="preserve"> </w:t>
      </w:r>
      <w:r w:rsidRPr="00944BFF">
        <w:rPr>
          <w:i/>
          <w:lang w:val="fr-FR"/>
        </w:rPr>
        <w:t>(paragraph</w:t>
      </w:r>
      <w:r w:rsidR="00C9768E" w:rsidRPr="00944BFF">
        <w:rPr>
          <w:i/>
          <w:lang w:val="fr-FR"/>
        </w:rPr>
        <w:t>e</w:t>
      </w:r>
      <w:r w:rsidRPr="00944BFF">
        <w:rPr>
          <w:i/>
          <w:lang w:val="fr-FR"/>
        </w:rPr>
        <w:t>s 281-284)</w:t>
      </w:r>
    </w:p>
    <w:p w14:paraId="05655C11" w14:textId="4C20F57B" w:rsidR="002A1F7A" w:rsidRPr="00944BFF" w:rsidRDefault="00C9768E" w:rsidP="002A1F7A">
      <w:pPr>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1C89ABA7" w14:textId="12BBFD8F" w:rsidR="002A1F7A" w:rsidRPr="00944BFF" w:rsidRDefault="00C9768E" w:rsidP="00761F88">
      <w:pPr>
        <w:pStyle w:val="ListParagraph"/>
        <w:numPr>
          <w:ilvl w:val="0"/>
          <w:numId w:val="17"/>
        </w:numPr>
        <w:spacing w:after="240"/>
        <w:rPr>
          <w:color w:val="000000" w:themeColor="text1"/>
          <w:lang w:val="fr-FR"/>
        </w:rPr>
      </w:pPr>
      <w:r w:rsidRPr="00944BFF">
        <w:rPr>
          <w:color w:val="000000" w:themeColor="text1"/>
          <w:lang w:val="fr-FR"/>
        </w:rPr>
        <w:t>Prolongatio</w:t>
      </w:r>
      <w:r w:rsidR="00F16A6A">
        <w:rPr>
          <w:color w:val="000000" w:themeColor="text1"/>
          <w:lang w:val="fr-FR"/>
        </w:rPr>
        <w:t>n de la date d’achèvement pour d</w:t>
      </w:r>
      <w:r w:rsidRPr="00944BFF">
        <w:rPr>
          <w:color w:val="000000" w:themeColor="text1"/>
          <w:lang w:val="fr-FR"/>
        </w:rPr>
        <w:t xml:space="preserve">es activités </w:t>
      </w:r>
      <w:r w:rsidR="00F16A6A">
        <w:rPr>
          <w:color w:val="000000" w:themeColor="text1"/>
          <w:lang w:val="fr-FR"/>
        </w:rPr>
        <w:t>de facilitation</w:t>
      </w:r>
      <w:r w:rsidRPr="00944BFF">
        <w:rPr>
          <w:color w:val="000000" w:themeColor="text1"/>
          <w:lang w:val="fr-FR"/>
        </w:rPr>
        <w:t xml:space="preserve"> dans 51 pays</w:t>
      </w:r>
    </w:p>
    <w:p w14:paraId="688AF756" w14:textId="33FE1976" w:rsidR="002A1F7A" w:rsidRPr="001B300E" w:rsidRDefault="00C9768E" w:rsidP="002A1F7A">
      <w:pPr>
        <w:ind w:left="709"/>
        <w:rPr>
          <w:color w:val="000000" w:themeColor="text1"/>
          <w:u w:val="single"/>
          <w:lang w:val="fr-FR"/>
        </w:rPr>
      </w:pPr>
      <w:r w:rsidRPr="001B300E">
        <w:rPr>
          <w:color w:val="000000" w:themeColor="text1"/>
          <w:u w:val="single"/>
          <w:lang w:val="fr-FR"/>
        </w:rPr>
        <w:t>L</w:t>
      </w:r>
      <w:r w:rsidR="002A1F7A" w:rsidRPr="001B300E">
        <w:rPr>
          <w:color w:val="000000" w:themeColor="text1"/>
          <w:u w:val="single"/>
          <w:lang w:val="fr-FR"/>
        </w:rPr>
        <w:t>e</w:t>
      </w:r>
      <w:r w:rsidRPr="001B300E">
        <w:rPr>
          <w:color w:val="000000" w:themeColor="text1"/>
          <w:u w:val="single"/>
          <w:lang w:val="fr-FR"/>
        </w:rPr>
        <w:t xml:space="preserve"> Comité exécutif pourrait souhaiter :</w:t>
      </w:r>
      <w:r w:rsidR="002A1F7A" w:rsidRPr="001B300E">
        <w:rPr>
          <w:color w:val="000000" w:themeColor="text1"/>
          <w:u w:val="single"/>
          <w:lang w:val="fr-FR"/>
        </w:rPr>
        <w:t xml:space="preserve"> </w:t>
      </w:r>
    </w:p>
    <w:p w14:paraId="363F9DFF" w14:textId="77777777" w:rsidR="002A1F7A" w:rsidRPr="00944BFF" w:rsidRDefault="002A1F7A" w:rsidP="002A1F7A">
      <w:pPr>
        <w:rPr>
          <w:highlight w:val="yellow"/>
          <w:lang w:val="fr-FR"/>
        </w:rPr>
      </w:pPr>
    </w:p>
    <w:p w14:paraId="419D0DDD" w14:textId="471A228A" w:rsidR="002A1F7A" w:rsidRDefault="00872B62" w:rsidP="00816DF9">
      <w:pPr>
        <w:pStyle w:val="Heading2"/>
        <w:numPr>
          <w:ilvl w:val="0"/>
          <w:numId w:val="0"/>
        </w:numPr>
        <w:tabs>
          <w:tab w:val="num" w:pos="557"/>
        </w:tabs>
        <w:ind w:left="1440" w:hanging="720"/>
        <w:rPr>
          <w:lang w:val="fr-FR"/>
        </w:rPr>
      </w:pPr>
      <w:r w:rsidRPr="00872B62">
        <w:rPr>
          <w:lang w:val="fr-FR"/>
        </w:rPr>
        <w:t>a)</w:t>
      </w:r>
      <w:r w:rsidRPr="00872B62">
        <w:rPr>
          <w:lang w:val="fr-FR"/>
        </w:rPr>
        <w:tab/>
        <w:t xml:space="preserve">Prendre note et examiner les demandes de prolongation d’activités de facilitation relatives à la réduction progressive des HFC, présentées par les agences d’exécution concernées pour les 51 pays visés à l’article 5 dont la liste figure dans le tableau 15 du </w:t>
      </w:r>
      <w:r w:rsidR="002A1F7A" w:rsidRPr="00872B62">
        <w:rPr>
          <w:lang w:val="fr-FR"/>
        </w:rPr>
        <w:t xml:space="preserve">document UNEP/OzL.Pro/ExCom/83/11; </w:t>
      </w:r>
      <w:r w:rsidRPr="00872B62">
        <w:rPr>
          <w:lang w:val="fr-FR"/>
        </w:rPr>
        <w:t>et</w:t>
      </w:r>
    </w:p>
    <w:p w14:paraId="50ABEC27" w14:textId="1FF6DCDC" w:rsidR="00872B62" w:rsidRPr="00AE3431" w:rsidRDefault="00872B62" w:rsidP="00AE3431">
      <w:pPr>
        <w:pStyle w:val="Heading2"/>
        <w:keepNext/>
        <w:keepLines/>
        <w:widowControl/>
        <w:numPr>
          <w:ilvl w:val="0"/>
          <w:numId w:val="0"/>
        </w:numPr>
        <w:tabs>
          <w:tab w:val="num" w:pos="557"/>
        </w:tabs>
        <w:ind w:left="1440" w:hanging="720"/>
        <w:rPr>
          <w:highlight w:val="yellow"/>
          <w:lang w:val="fr-FR"/>
        </w:rPr>
      </w:pPr>
      <w:r w:rsidRPr="00265403">
        <w:rPr>
          <w:lang w:val="fr-CA"/>
        </w:rPr>
        <w:t>b)</w:t>
      </w:r>
      <w:r w:rsidRPr="00265403">
        <w:rPr>
          <w:lang w:val="fr-CA"/>
        </w:rPr>
        <w:tab/>
        <w:t xml:space="preserve">Reporter la date d’achèvement des activités de facilitation relatives à la réduction progressive des HFC jusqu’en décembre 2019 pour </w:t>
      </w:r>
      <w:r w:rsidRPr="00872B62">
        <w:rPr>
          <w:lang w:val="fr-FR"/>
        </w:rPr>
        <w:t xml:space="preserve">le Ghana, le Lesotho et le Zimbabwe, </w:t>
      </w:r>
      <w:r w:rsidR="00AE3431">
        <w:rPr>
          <w:lang w:val="fr-FR"/>
        </w:rPr>
        <w:t>et jusqu’en</w:t>
      </w:r>
      <w:r w:rsidRPr="00872B62">
        <w:rPr>
          <w:lang w:val="fr-FR"/>
        </w:rPr>
        <w:t xml:space="preserve"> juin 2020 pour l’Angola, l’Arménie, le Bhoutan, la Bosnie-Herzégovine, le Burkina Faso, le Cameroun, le Chili, la Chine, la Colombie, le Congo, le Costa Rica, la Dominique, la République dominicaine, l’Équateur, l’Erythrée, Fidji, le Gabon, la Gambie, le Guatemala, la Jamaïque, le Kirghizistan, le Liban, la Malaisie, les Maldives, le Mexique, </w:t>
      </w:r>
      <w:r w:rsidR="00D16F71">
        <w:rPr>
          <w:lang w:val="fr-FR"/>
        </w:rPr>
        <w:t>la Mongolie, la Namibie, le Nigé</w:t>
      </w:r>
      <w:r w:rsidRPr="00872B62">
        <w:rPr>
          <w:lang w:val="fr-FR"/>
        </w:rPr>
        <w:t>ria, la Macédoine du Nord, Palau, le Pérou, les Philippines, le Rwanda, Sai</w:t>
      </w:r>
      <w:r w:rsidR="00D16F71">
        <w:rPr>
          <w:lang w:val="fr-FR"/>
        </w:rPr>
        <w:t xml:space="preserve">nte-Lucie, Saint-Vincent-et-les </w:t>
      </w:r>
      <w:r w:rsidRPr="00872B62">
        <w:rPr>
          <w:lang w:val="fr-FR"/>
        </w:rPr>
        <w:t xml:space="preserve">Grenadines, le Sénégal, la Serbie, la Somalie, le Soudan, le Suriname, la Thaïlande, le Togo, </w:t>
      </w:r>
      <w:r w:rsidR="00F16A6A">
        <w:rPr>
          <w:lang w:val="fr-FR"/>
        </w:rPr>
        <w:t xml:space="preserve">la </w:t>
      </w:r>
      <w:r w:rsidRPr="00872B62">
        <w:rPr>
          <w:lang w:val="fr-FR"/>
        </w:rPr>
        <w:t>Trini</w:t>
      </w:r>
      <w:r w:rsidR="00F16A6A">
        <w:rPr>
          <w:lang w:val="fr-FR"/>
        </w:rPr>
        <w:t>té</w:t>
      </w:r>
      <w:r w:rsidRPr="00872B62">
        <w:rPr>
          <w:lang w:val="fr-FR"/>
        </w:rPr>
        <w:t xml:space="preserve">-et-Tobago, la Tunisie, la Turquie, le Turkménistan, l’Uruguay et la Zambie, </w:t>
      </w:r>
      <w:r>
        <w:rPr>
          <w:lang w:val="fr-FR"/>
        </w:rPr>
        <w:t>étant entendu qu’aucune nouvelle prolongation ne serait demandée et que les agences bilatérales et d’exécution présenteraient, dans les six mois suivant la date d’achèvement des projets, un rapport final sur les activités de facilitation menées à bien, conformément à la</w:t>
      </w:r>
      <w:r w:rsidR="00AE3431">
        <w:rPr>
          <w:lang w:val="fr-FR"/>
        </w:rPr>
        <w:t xml:space="preserve"> décision </w:t>
      </w:r>
      <w:r w:rsidRPr="00872B62">
        <w:rPr>
          <w:lang w:val="fr-FR"/>
        </w:rPr>
        <w:t>81/32(b).</w:t>
      </w:r>
    </w:p>
    <w:p w14:paraId="7560829B" w14:textId="1FD31B1E" w:rsidR="002A1F7A" w:rsidRPr="00944BFF" w:rsidRDefault="00C9768E" w:rsidP="002A1F7A">
      <w:pPr>
        <w:spacing w:after="240"/>
        <w:ind w:left="709"/>
        <w:rPr>
          <w:lang w:val="fr-FR"/>
        </w:rPr>
      </w:pPr>
      <w:r w:rsidRPr="00944BFF">
        <w:rPr>
          <w:color w:val="000000" w:themeColor="text1"/>
          <w:lang w:val="fr-FR"/>
        </w:rPr>
        <w:t xml:space="preserve">Les </w:t>
      </w:r>
      <w:r w:rsidRPr="00944BFF">
        <w:rPr>
          <w:color w:val="000000" w:themeColor="text1"/>
          <w:u w:val="single"/>
          <w:lang w:val="fr-FR"/>
        </w:rPr>
        <w:t>do</w:t>
      </w:r>
      <w:r w:rsidR="002A1F7A" w:rsidRPr="00944BFF">
        <w:rPr>
          <w:color w:val="000000" w:themeColor="text1"/>
          <w:u w:val="single"/>
          <w:lang w:val="fr-FR"/>
        </w:rPr>
        <w:t>cuments UNEP/Oz</w:t>
      </w:r>
      <w:r w:rsidR="002A1F7A" w:rsidRPr="00944BFF">
        <w:rPr>
          <w:color w:val="000000" w:themeColor="text1"/>
          <w:szCs w:val="24"/>
          <w:u w:val="single"/>
          <w:lang w:val="fr-FR"/>
        </w:rPr>
        <w:t xml:space="preserve">L.Pro/ExCom/83/11/Add.1 </w:t>
      </w:r>
      <w:r w:rsidRPr="00944BFF">
        <w:rPr>
          <w:color w:val="000000" w:themeColor="text1"/>
          <w:szCs w:val="24"/>
          <w:u w:val="single"/>
          <w:lang w:val="fr-FR"/>
        </w:rPr>
        <w:t>et</w:t>
      </w:r>
      <w:r w:rsidR="002A1F7A" w:rsidRPr="00944BFF">
        <w:rPr>
          <w:b/>
          <w:color w:val="000000" w:themeColor="text1"/>
          <w:szCs w:val="24"/>
          <w:u w:val="single"/>
          <w:lang w:val="fr-FR"/>
        </w:rPr>
        <w:t xml:space="preserve"> </w:t>
      </w:r>
      <w:r w:rsidR="002A1F7A" w:rsidRPr="006C40BD">
        <w:rPr>
          <w:color w:val="000000" w:themeColor="text1"/>
          <w:szCs w:val="24"/>
          <w:u w:val="single"/>
          <w:lang w:val="fr-FR"/>
        </w:rPr>
        <w:t>Add.2</w:t>
      </w:r>
      <w:r w:rsidR="002A1F7A" w:rsidRPr="00944BFF">
        <w:rPr>
          <w:color w:val="000000" w:themeColor="text1"/>
          <w:szCs w:val="24"/>
          <w:lang w:val="fr-FR"/>
        </w:rPr>
        <w:t xml:space="preserve"> </w:t>
      </w:r>
      <w:r w:rsidRPr="00944BFF">
        <w:rPr>
          <w:color w:val="000000" w:themeColor="text1"/>
          <w:szCs w:val="24"/>
          <w:lang w:val="fr-FR"/>
        </w:rPr>
        <w:t xml:space="preserve">sont émis pour inclure des rapports sur les projets avec des exigences particulières </w:t>
      </w:r>
      <w:r w:rsidR="00B606A9">
        <w:rPr>
          <w:color w:val="000000" w:themeColor="text1"/>
          <w:szCs w:val="24"/>
          <w:lang w:val="fr-FR"/>
        </w:rPr>
        <w:t xml:space="preserve">de rapport </w:t>
      </w:r>
      <w:r w:rsidRPr="00944BFF">
        <w:rPr>
          <w:color w:val="000000" w:themeColor="text1"/>
          <w:szCs w:val="24"/>
          <w:lang w:val="fr-FR"/>
        </w:rPr>
        <w:t>concern</w:t>
      </w:r>
      <w:r w:rsidR="002A1F7A" w:rsidRPr="00944BFF">
        <w:rPr>
          <w:lang w:val="fr-FR"/>
        </w:rPr>
        <w:t>a</w:t>
      </w:r>
      <w:r w:rsidRPr="00944BFF">
        <w:rPr>
          <w:lang w:val="fr-FR"/>
        </w:rPr>
        <w:t>nt la Chine.  Le document se compose des parties suivantes :</w:t>
      </w:r>
    </w:p>
    <w:p w14:paraId="127F7B8F" w14:textId="4B8DDD27" w:rsidR="002A1F7A" w:rsidRPr="007935E1" w:rsidRDefault="002A1F7A" w:rsidP="002A1F7A">
      <w:pPr>
        <w:spacing w:after="240"/>
        <w:ind w:left="2268" w:hanging="992"/>
        <w:rPr>
          <w:lang w:val="fr-FR"/>
        </w:rPr>
      </w:pPr>
      <w:r w:rsidRPr="007935E1">
        <w:rPr>
          <w:lang w:val="fr-FR"/>
        </w:rPr>
        <w:t>Part</w:t>
      </w:r>
      <w:r w:rsidR="00C9768E" w:rsidRPr="007935E1">
        <w:rPr>
          <w:lang w:val="fr-FR"/>
        </w:rPr>
        <w:t>ie</w:t>
      </w:r>
      <w:r w:rsidRPr="007935E1">
        <w:rPr>
          <w:lang w:val="fr-FR"/>
        </w:rPr>
        <w:t xml:space="preserve"> I:</w:t>
      </w:r>
      <w:r w:rsidRPr="007935E1">
        <w:rPr>
          <w:lang w:val="fr-FR"/>
        </w:rPr>
        <w:tab/>
      </w:r>
      <w:r w:rsidR="007935E1" w:rsidRPr="007935E1">
        <w:rPr>
          <w:lang w:val="fr-FR"/>
        </w:rPr>
        <w:t>Examen des systèmes actuels de suivi, d’établissement de rapports, de vérification et d’application au titre des accords relevant du plan de gestion de l’élimination de la consommation et de la production de HCFC (</w:t>
      </w:r>
      <w:r w:rsidR="00C9768E" w:rsidRPr="007935E1">
        <w:rPr>
          <w:lang w:val="fr-FR"/>
        </w:rPr>
        <w:t>dé</w:t>
      </w:r>
      <w:r w:rsidRPr="007935E1">
        <w:rPr>
          <w:lang w:val="fr-FR"/>
        </w:rPr>
        <w:t>cisions</w:t>
      </w:r>
      <w:r w:rsidR="002F1864">
        <w:rPr>
          <w:lang w:val="fr-FR"/>
        </w:rPr>
        <w:t> </w:t>
      </w:r>
      <w:r w:rsidRPr="007935E1">
        <w:rPr>
          <w:lang w:val="fr-FR"/>
        </w:rPr>
        <w:t xml:space="preserve">82/65 </w:t>
      </w:r>
      <w:r w:rsidR="00C9768E" w:rsidRPr="007935E1">
        <w:rPr>
          <w:lang w:val="fr-FR"/>
        </w:rPr>
        <w:t>et 82/71(a)) (</w:t>
      </w:r>
      <w:r w:rsidRPr="007935E1">
        <w:rPr>
          <w:lang w:val="fr-FR"/>
        </w:rPr>
        <w:t>P</w:t>
      </w:r>
      <w:r w:rsidR="00C9768E" w:rsidRPr="007935E1">
        <w:rPr>
          <w:lang w:val="fr-FR"/>
        </w:rPr>
        <w:t xml:space="preserve">NUD, </w:t>
      </w:r>
      <w:r w:rsidRPr="007935E1">
        <w:rPr>
          <w:lang w:val="fr-FR"/>
        </w:rPr>
        <w:t>P</w:t>
      </w:r>
      <w:r w:rsidR="00C9768E" w:rsidRPr="007935E1">
        <w:rPr>
          <w:lang w:val="fr-FR"/>
        </w:rPr>
        <w:t xml:space="preserve">NUE, </w:t>
      </w:r>
      <w:r w:rsidRPr="007935E1">
        <w:rPr>
          <w:lang w:val="fr-FR"/>
        </w:rPr>
        <w:t>O</w:t>
      </w:r>
      <w:r w:rsidR="00C9768E" w:rsidRPr="007935E1">
        <w:rPr>
          <w:lang w:val="fr-FR"/>
        </w:rPr>
        <w:t>NUDI et Banque mondiale</w:t>
      </w:r>
      <w:r w:rsidRPr="007935E1">
        <w:rPr>
          <w:lang w:val="fr-FR"/>
        </w:rPr>
        <w:t>)</w:t>
      </w:r>
    </w:p>
    <w:p w14:paraId="3FB3CB2E" w14:textId="40501A8C" w:rsidR="002A1F7A" w:rsidRPr="007935E1" w:rsidRDefault="002A1F7A" w:rsidP="002A1F7A">
      <w:pPr>
        <w:spacing w:after="240"/>
        <w:ind w:left="2268" w:hanging="992"/>
        <w:rPr>
          <w:lang w:val="fr-FR"/>
        </w:rPr>
      </w:pPr>
      <w:r w:rsidRPr="007935E1">
        <w:rPr>
          <w:lang w:val="fr-FR"/>
        </w:rPr>
        <w:t>Part</w:t>
      </w:r>
      <w:r w:rsidR="00C9768E" w:rsidRPr="007935E1">
        <w:rPr>
          <w:lang w:val="fr-FR"/>
        </w:rPr>
        <w:t>ie</w:t>
      </w:r>
      <w:r w:rsidRPr="007935E1">
        <w:rPr>
          <w:lang w:val="fr-FR"/>
        </w:rPr>
        <w:t xml:space="preserve"> II:</w:t>
      </w:r>
      <w:r w:rsidRPr="007935E1">
        <w:rPr>
          <w:lang w:val="fr-FR"/>
        </w:rPr>
        <w:tab/>
      </w:r>
      <w:r w:rsidR="007935E1" w:rsidRPr="007935E1">
        <w:rPr>
          <w:lang w:val="fr-FR"/>
        </w:rPr>
        <w:t xml:space="preserve">Étude théorique sur le programme actuel de suivi de la consommation d’agents de gonflage de la mousse dans les entreprises recevant du soutien dans le cadre de la phase I du PGEH et méthode de vérification </w:t>
      </w:r>
      <w:r w:rsidR="008E0DB5" w:rsidRPr="007935E1">
        <w:rPr>
          <w:lang w:val="fr-FR"/>
        </w:rPr>
        <w:t>(dé</w:t>
      </w:r>
      <w:r w:rsidRPr="007935E1">
        <w:rPr>
          <w:lang w:val="fr-FR"/>
        </w:rPr>
        <w:t>cision 82/67(c)) (</w:t>
      </w:r>
      <w:r w:rsidR="008E0DB5" w:rsidRPr="007935E1">
        <w:rPr>
          <w:lang w:val="fr-FR"/>
        </w:rPr>
        <w:t>Banque mondiale</w:t>
      </w:r>
      <w:r w:rsidRPr="007935E1">
        <w:rPr>
          <w:lang w:val="fr-FR"/>
        </w:rPr>
        <w:t>)</w:t>
      </w:r>
    </w:p>
    <w:p w14:paraId="6F868052" w14:textId="55CF76C7" w:rsidR="002A1F7A" w:rsidRPr="007935E1" w:rsidRDefault="002A1F7A" w:rsidP="006877C9">
      <w:pPr>
        <w:keepNext/>
        <w:keepLines/>
        <w:spacing w:after="240"/>
        <w:ind w:left="2276" w:hanging="994"/>
        <w:rPr>
          <w:lang w:val="fr-FR"/>
        </w:rPr>
      </w:pPr>
      <w:r w:rsidRPr="007935E1">
        <w:rPr>
          <w:lang w:val="fr-FR"/>
        </w:rPr>
        <w:lastRenderedPageBreak/>
        <w:t>Part</w:t>
      </w:r>
      <w:r w:rsidR="00C9768E" w:rsidRPr="007935E1">
        <w:rPr>
          <w:lang w:val="fr-FR"/>
        </w:rPr>
        <w:t>ie</w:t>
      </w:r>
      <w:r w:rsidRPr="007935E1">
        <w:rPr>
          <w:lang w:val="fr-FR"/>
        </w:rPr>
        <w:t xml:space="preserve"> III:</w:t>
      </w:r>
      <w:r w:rsidRPr="007935E1">
        <w:rPr>
          <w:lang w:val="fr-FR"/>
        </w:rPr>
        <w:tab/>
      </w:r>
      <w:r w:rsidR="007935E1" w:rsidRPr="007935E1">
        <w:rPr>
          <w:lang w:val="fr-FR"/>
        </w:rPr>
        <w:t xml:space="preserve">Rapports de vérification financière de la production de CFC, de halons, de mousse de polyuréthane, de l’agent de transformation II et des secteurs de l’entretien de l’équipement de réfrigération et des solvants </w:t>
      </w:r>
      <w:r w:rsidR="008E0DB5" w:rsidRPr="007935E1">
        <w:rPr>
          <w:lang w:val="fr-FR"/>
        </w:rPr>
        <w:t>(dé</w:t>
      </w:r>
      <w:r w:rsidRPr="007935E1">
        <w:rPr>
          <w:lang w:val="fr-FR"/>
        </w:rPr>
        <w:t xml:space="preserve">cision 82/17) </w:t>
      </w:r>
      <w:r w:rsidR="008E0DB5" w:rsidRPr="007935E1">
        <w:rPr>
          <w:lang w:val="fr-FR"/>
        </w:rPr>
        <w:t>(</w:t>
      </w:r>
      <w:r w:rsidRPr="007935E1">
        <w:rPr>
          <w:lang w:val="fr-FR"/>
        </w:rPr>
        <w:t>P</w:t>
      </w:r>
      <w:r w:rsidR="008E0DB5" w:rsidRPr="007935E1">
        <w:rPr>
          <w:lang w:val="fr-FR"/>
        </w:rPr>
        <w:t>NUD</w:t>
      </w:r>
      <w:r w:rsidRPr="007935E1">
        <w:rPr>
          <w:lang w:val="fr-FR"/>
        </w:rPr>
        <w:t xml:space="preserve">, </w:t>
      </w:r>
      <w:r w:rsidR="008E0DB5" w:rsidRPr="007935E1">
        <w:rPr>
          <w:lang w:val="fr-FR"/>
        </w:rPr>
        <w:t xml:space="preserve">PNUE, </w:t>
      </w:r>
      <w:r w:rsidRPr="007935E1">
        <w:rPr>
          <w:lang w:val="fr-FR"/>
        </w:rPr>
        <w:t>O</w:t>
      </w:r>
      <w:r w:rsidR="008E0DB5" w:rsidRPr="007935E1">
        <w:rPr>
          <w:lang w:val="fr-FR"/>
        </w:rPr>
        <w:t>NUDI et Banque mondiale</w:t>
      </w:r>
      <w:r w:rsidRPr="007935E1">
        <w:rPr>
          <w:lang w:val="fr-FR"/>
        </w:rPr>
        <w:t>)</w:t>
      </w:r>
    </w:p>
    <w:p w14:paraId="15F5B71D" w14:textId="0D864F1E" w:rsidR="002A1F7A" w:rsidRPr="007935E1" w:rsidRDefault="002A1F7A" w:rsidP="002A1F7A">
      <w:pPr>
        <w:spacing w:after="240"/>
        <w:ind w:left="2268" w:hanging="992"/>
        <w:rPr>
          <w:lang w:val="fr-FR"/>
        </w:rPr>
      </w:pPr>
      <w:r w:rsidRPr="007935E1">
        <w:rPr>
          <w:lang w:val="fr-FR"/>
        </w:rPr>
        <w:t>Part</w:t>
      </w:r>
      <w:r w:rsidR="00C9768E" w:rsidRPr="007935E1">
        <w:rPr>
          <w:lang w:val="fr-FR"/>
        </w:rPr>
        <w:t>ie</w:t>
      </w:r>
      <w:r w:rsidRPr="007935E1">
        <w:rPr>
          <w:lang w:val="fr-FR"/>
        </w:rPr>
        <w:t xml:space="preserve"> IV:</w:t>
      </w:r>
      <w:r w:rsidRPr="007935E1">
        <w:rPr>
          <w:lang w:val="fr-FR"/>
        </w:rPr>
        <w:tab/>
      </w:r>
      <w:r w:rsidR="007935E1" w:rsidRPr="007935E1">
        <w:rPr>
          <w:lang w:val="fr-FR"/>
        </w:rPr>
        <w:t xml:space="preserve">Plan sectoriel pour l’élimination de la consommation de bromure de méthyle </w:t>
      </w:r>
      <w:r w:rsidR="008E0DB5" w:rsidRPr="007935E1">
        <w:rPr>
          <w:lang w:val="fr-FR"/>
        </w:rPr>
        <w:t>(décision 82/18(c)) (</w:t>
      </w:r>
      <w:r w:rsidRPr="007935E1">
        <w:rPr>
          <w:lang w:val="fr-FR"/>
        </w:rPr>
        <w:t>O</w:t>
      </w:r>
      <w:r w:rsidR="008E0DB5" w:rsidRPr="007935E1">
        <w:rPr>
          <w:lang w:val="fr-FR"/>
        </w:rPr>
        <w:t>NUDI</w:t>
      </w:r>
      <w:r w:rsidRPr="007935E1">
        <w:rPr>
          <w:lang w:val="fr-FR"/>
        </w:rPr>
        <w:t>)</w:t>
      </w:r>
    </w:p>
    <w:p w14:paraId="0E7E879D" w14:textId="4B763028" w:rsidR="002A1F7A" w:rsidRPr="00944BFF" w:rsidRDefault="002A1F7A" w:rsidP="002A1F7A">
      <w:pPr>
        <w:ind w:left="2268" w:hanging="992"/>
        <w:rPr>
          <w:lang w:val="fr-FR"/>
        </w:rPr>
      </w:pPr>
      <w:r w:rsidRPr="007935E1">
        <w:rPr>
          <w:lang w:val="fr-FR"/>
        </w:rPr>
        <w:t>Part</w:t>
      </w:r>
      <w:r w:rsidR="00C9768E" w:rsidRPr="007935E1">
        <w:rPr>
          <w:lang w:val="fr-FR"/>
        </w:rPr>
        <w:t>ie</w:t>
      </w:r>
      <w:r w:rsidRPr="007935E1">
        <w:rPr>
          <w:lang w:val="fr-FR"/>
        </w:rPr>
        <w:t xml:space="preserve"> V:</w:t>
      </w:r>
      <w:r w:rsidRPr="007935E1">
        <w:rPr>
          <w:lang w:val="fr-FR"/>
        </w:rPr>
        <w:tab/>
      </w:r>
      <w:r w:rsidR="007935E1" w:rsidRPr="007935E1">
        <w:rPr>
          <w:lang w:val="fr-FR"/>
        </w:rPr>
        <w:t xml:space="preserve">Plan sectoriel pour l’élimination de la production de bromure de méthyle </w:t>
      </w:r>
      <w:r w:rsidRPr="007935E1">
        <w:rPr>
          <w:lang w:val="fr-FR"/>
        </w:rPr>
        <w:t>(</w:t>
      </w:r>
      <w:r w:rsidR="008E0DB5" w:rsidRPr="007935E1">
        <w:rPr>
          <w:lang w:val="fr-FR"/>
        </w:rPr>
        <w:t>décision 82/19(c) and (d)) (</w:t>
      </w:r>
      <w:r w:rsidRPr="007935E1">
        <w:rPr>
          <w:lang w:val="fr-FR"/>
        </w:rPr>
        <w:t>O</w:t>
      </w:r>
      <w:r w:rsidR="008E0DB5" w:rsidRPr="007935E1">
        <w:rPr>
          <w:lang w:val="fr-FR"/>
        </w:rPr>
        <w:t>NUDI</w:t>
      </w:r>
      <w:r w:rsidRPr="007935E1">
        <w:rPr>
          <w:lang w:val="fr-FR"/>
        </w:rPr>
        <w:t>)</w:t>
      </w:r>
    </w:p>
    <w:p w14:paraId="27254EBB" w14:textId="77777777" w:rsidR="002A1F7A" w:rsidRPr="00944BFF" w:rsidRDefault="002A1F7A" w:rsidP="002A1F7A">
      <w:pPr>
        <w:rPr>
          <w:lang w:val="fr-FR"/>
        </w:rPr>
      </w:pPr>
    </w:p>
    <w:p w14:paraId="5D4A145A" w14:textId="35C6DF25" w:rsidR="002A1F7A" w:rsidRPr="00944BFF" w:rsidRDefault="00C9768E" w:rsidP="002A1F7A">
      <w:pPr>
        <w:pStyle w:val="ListParagraph"/>
        <w:spacing w:after="240"/>
        <w:ind w:left="1276"/>
        <w:rPr>
          <w:lang w:val="fr-FR"/>
        </w:rPr>
      </w:pPr>
      <w:r w:rsidRPr="00944BFF">
        <w:rPr>
          <w:lang w:val="fr-FR"/>
        </w:rPr>
        <w:t xml:space="preserve">Chacune des cinq parties est présentée ci-dessous </w:t>
      </w:r>
      <w:r w:rsidR="002A1F7A" w:rsidRPr="00944BFF">
        <w:rPr>
          <w:lang w:val="fr-FR"/>
        </w:rPr>
        <w:t>:</w:t>
      </w:r>
    </w:p>
    <w:p w14:paraId="0E5ED4C4" w14:textId="5417F217" w:rsidR="007935E1" w:rsidRPr="004136AE" w:rsidRDefault="002A1F7A" w:rsidP="004136AE">
      <w:pPr>
        <w:spacing w:after="240"/>
        <w:ind w:left="709"/>
        <w:rPr>
          <w:lang w:val="fr-FR"/>
        </w:rPr>
      </w:pPr>
      <w:r w:rsidRPr="004136AE">
        <w:rPr>
          <w:i/>
          <w:color w:val="000000" w:themeColor="text1"/>
          <w:lang w:val="fr-FR"/>
        </w:rPr>
        <w:t>Part</w:t>
      </w:r>
      <w:r w:rsidR="008E0DB5" w:rsidRPr="004136AE">
        <w:rPr>
          <w:i/>
          <w:color w:val="000000" w:themeColor="text1"/>
          <w:lang w:val="fr-FR"/>
        </w:rPr>
        <w:t>ie</w:t>
      </w:r>
      <w:r w:rsidRPr="004136AE">
        <w:rPr>
          <w:i/>
          <w:color w:val="000000" w:themeColor="text1"/>
          <w:lang w:val="fr-FR"/>
        </w:rPr>
        <w:t xml:space="preserve"> I: </w:t>
      </w:r>
      <w:r w:rsidR="007935E1" w:rsidRPr="007935E1">
        <w:rPr>
          <w:i/>
          <w:lang w:val="fr-FR"/>
        </w:rPr>
        <w:t>Examen des systèmes actuels de suivi, d’établisseme</w:t>
      </w:r>
      <w:r w:rsidR="007935E1">
        <w:rPr>
          <w:i/>
          <w:lang w:val="fr-FR"/>
        </w:rPr>
        <w:t xml:space="preserve">nt de rapports, de vérification et </w:t>
      </w:r>
      <w:r w:rsidR="007935E1" w:rsidRPr="007935E1">
        <w:rPr>
          <w:i/>
          <w:lang w:val="fr-FR"/>
        </w:rPr>
        <w:t>d’application au titre des accords relevant du plan de gestion de l’élimination de la consommation et de la production de HCFC (décisions 82/65 et 82/71(a)) (PNUD, PNUE, ONUDI et Banque mondiale)</w:t>
      </w:r>
      <w:r w:rsidR="004136AE">
        <w:rPr>
          <w:i/>
          <w:lang w:val="fr-FR"/>
        </w:rPr>
        <w:t xml:space="preserve"> </w:t>
      </w:r>
      <w:r w:rsidR="004136AE" w:rsidRPr="004136AE">
        <w:rPr>
          <w:i/>
          <w:lang w:val="fr-FR"/>
        </w:rPr>
        <w:t>(paragraphes 19-62)</w:t>
      </w:r>
    </w:p>
    <w:p w14:paraId="3CD97819" w14:textId="3FC02785" w:rsidR="002A1F7A" w:rsidRPr="00944BFF" w:rsidRDefault="008E0DB5" w:rsidP="002A1F7A">
      <w:pPr>
        <w:tabs>
          <w:tab w:val="left" w:pos="720"/>
          <w:tab w:val="left" w:pos="1440"/>
          <w:tab w:val="left" w:pos="2160"/>
        </w:tabs>
        <w:spacing w:after="240" w:line="360" w:lineRule="auto"/>
        <w:ind w:left="709"/>
        <w:rPr>
          <w:color w:val="000000" w:themeColor="text1"/>
          <w:highlight w:val="yellow"/>
          <w:lang w:val="fr-FR"/>
        </w:rPr>
      </w:pPr>
      <w:r w:rsidRPr="00944BFF">
        <w:rPr>
          <w:color w:val="000000" w:themeColor="text1"/>
          <w:u w:val="single"/>
          <w:lang w:val="fr-FR"/>
        </w:rPr>
        <w:t>Questions à traiter :</w:t>
      </w:r>
      <w:r w:rsidR="002A1F7A" w:rsidRPr="00944BFF">
        <w:rPr>
          <w:color w:val="000000" w:themeColor="text1"/>
          <w:lang w:val="fr-FR"/>
        </w:rPr>
        <w:t> </w:t>
      </w:r>
    </w:p>
    <w:p w14:paraId="7DE13E1B" w14:textId="64F82899" w:rsidR="002A1F7A" w:rsidRPr="00944BFF" w:rsidRDefault="004136AE" w:rsidP="00761F88">
      <w:pPr>
        <w:pStyle w:val="ListParagraph"/>
        <w:numPr>
          <w:ilvl w:val="0"/>
          <w:numId w:val="17"/>
        </w:numPr>
        <w:spacing w:after="240"/>
        <w:jc w:val="both"/>
        <w:rPr>
          <w:color w:val="000000" w:themeColor="text1"/>
          <w:lang w:val="fr-FR"/>
        </w:rPr>
      </w:pPr>
      <w:r>
        <w:rPr>
          <w:color w:val="000000" w:themeColor="text1"/>
          <w:lang w:val="fr-FR"/>
        </w:rPr>
        <w:t>Appro</w:t>
      </w:r>
      <w:r w:rsidR="002A1F7A" w:rsidRPr="00944BFF">
        <w:rPr>
          <w:color w:val="000000" w:themeColor="text1"/>
          <w:lang w:val="fr-FR"/>
        </w:rPr>
        <w:t xml:space="preserve">ches </w:t>
      </w:r>
      <w:r>
        <w:rPr>
          <w:color w:val="000000" w:themeColor="text1"/>
          <w:lang w:val="fr-FR"/>
        </w:rPr>
        <w:t>de suivi, d’établissement de rapports, de vé</w:t>
      </w:r>
      <w:r w:rsidR="002A1F7A" w:rsidRPr="00944BFF">
        <w:rPr>
          <w:color w:val="000000" w:themeColor="text1"/>
          <w:lang w:val="fr-FR"/>
        </w:rPr>
        <w:t xml:space="preserve">rification </w:t>
      </w:r>
      <w:r>
        <w:rPr>
          <w:color w:val="000000" w:themeColor="text1"/>
          <w:lang w:val="fr-FR"/>
        </w:rPr>
        <w:t xml:space="preserve">et systèmes d’exécution conformément aux plans de gestion de la consommation et de la production de </w:t>
      </w:r>
      <w:r w:rsidR="002A1F7A" w:rsidRPr="00944BFF">
        <w:rPr>
          <w:color w:val="000000" w:themeColor="text1"/>
          <w:lang w:val="fr-FR"/>
        </w:rPr>
        <w:t xml:space="preserve">HCFC </w:t>
      </w:r>
      <w:r>
        <w:rPr>
          <w:color w:val="000000" w:themeColor="text1"/>
          <w:lang w:val="fr-FR"/>
        </w:rPr>
        <w:t>en Chine, progrès vers un renforcement de la législati</w:t>
      </w:r>
      <w:r w:rsidR="002A1F7A" w:rsidRPr="00944BFF">
        <w:rPr>
          <w:color w:val="000000" w:themeColor="text1"/>
          <w:lang w:val="fr-FR"/>
        </w:rPr>
        <w:t xml:space="preserve">on </w:t>
      </w:r>
      <w:r>
        <w:rPr>
          <w:color w:val="000000" w:themeColor="text1"/>
          <w:lang w:val="fr-FR"/>
        </w:rPr>
        <w:t>sur les SA</w:t>
      </w:r>
      <w:r w:rsidR="002A1F7A" w:rsidRPr="00944BFF">
        <w:rPr>
          <w:color w:val="000000" w:themeColor="text1"/>
          <w:lang w:val="fr-FR"/>
        </w:rPr>
        <w:t>O</w:t>
      </w:r>
      <w:r>
        <w:rPr>
          <w:color w:val="000000" w:themeColor="text1"/>
          <w:lang w:val="fr-FR"/>
        </w:rPr>
        <w:t xml:space="preserve"> et sa mise en œuvre, et mécanismes possibles pour continuer de renforcer la mise en œuvre du Protocole de Montréal</w:t>
      </w:r>
    </w:p>
    <w:p w14:paraId="451888A5" w14:textId="0237C2E3" w:rsidR="002A1F7A" w:rsidRPr="00000A67" w:rsidRDefault="008E0DB5" w:rsidP="002A1F7A">
      <w:pPr>
        <w:tabs>
          <w:tab w:val="left" w:pos="720"/>
          <w:tab w:val="left" w:pos="1440"/>
          <w:tab w:val="left" w:pos="2160"/>
        </w:tabs>
        <w:spacing w:after="240"/>
        <w:ind w:left="709"/>
        <w:outlineLvl w:val="0"/>
        <w:rPr>
          <w:color w:val="000000" w:themeColor="text1"/>
          <w:lang w:val="fr-FR"/>
        </w:rPr>
      </w:pPr>
      <w:r w:rsidRPr="00000A67">
        <w:rPr>
          <w:color w:val="000000" w:themeColor="text1"/>
          <w:u w:val="single"/>
          <w:lang w:val="fr-FR"/>
        </w:rPr>
        <w:t>L</w:t>
      </w:r>
      <w:r w:rsidR="002A1F7A" w:rsidRPr="00000A67">
        <w:rPr>
          <w:color w:val="000000" w:themeColor="text1"/>
          <w:u w:val="single"/>
          <w:lang w:val="fr-FR"/>
        </w:rPr>
        <w:t xml:space="preserve">e </w:t>
      </w:r>
      <w:r w:rsidRPr="00000A67">
        <w:rPr>
          <w:color w:val="000000" w:themeColor="text1"/>
          <w:u w:val="single"/>
          <w:lang w:val="fr-FR"/>
        </w:rPr>
        <w:t xml:space="preserve">Comité exécutif pourrait souhaiter </w:t>
      </w:r>
      <w:r w:rsidR="002A1F7A" w:rsidRPr="00000A67">
        <w:rPr>
          <w:color w:val="000000" w:themeColor="text1"/>
          <w:lang w:val="fr-FR"/>
        </w:rPr>
        <w:t xml:space="preserve">: </w:t>
      </w:r>
    </w:p>
    <w:p w14:paraId="593EFF13" w14:textId="47B69206" w:rsidR="002A1F7A" w:rsidRPr="00000A67" w:rsidRDefault="004136AE" w:rsidP="004136AE">
      <w:pPr>
        <w:pStyle w:val="Heading2"/>
        <w:numPr>
          <w:ilvl w:val="0"/>
          <w:numId w:val="0"/>
        </w:numPr>
        <w:ind w:left="1440" w:hanging="720"/>
        <w:rPr>
          <w:lang w:val="fr-FR"/>
        </w:rPr>
      </w:pPr>
      <w:r w:rsidRPr="00000A67">
        <w:rPr>
          <w:lang w:val="fr-FR"/>
        </w:rPr>
        <w:t>a)</w:t>
      </w:r>
      <w:r w:rsidRPr="00000A67">
        <w:rPr>
          <w:lang w:val="fr-FR"/>
        </w:rPr>
        <w:tab/>
        <w:t>Prendre n</w:t>
      </w:r>
      <w:r w:rsidR="002A1F7A" w:rsidRPr="00000A67">
        <w:rPr>
          <w:lang w:val="fr-FR"/>
        </w:rPr>
        <w:t xml:space="preserve">ote </w:t>
      </w:r>
      <w:r w:rsidRPr="00000A67">
        <w:rPr>
          <w:lang w:val="fr-FR"/>
        </w:rPr>
        <w:t>de l’examen des systèmes actuels de suivi, d’établissement de rapports, de vérification et d’application administrés par le gouvernement de la Chine, conformément à ses Accords avec le Comité</w:t>
      </w:r>
      <w:r w:rsidR="00000A67" w:rsidRPr="00000A67">
        <w:rPr>
          <w:lang w:val="fr-FR"/>
        </w:rPr>
        <w:t xml:space="preserve"> exécutif dans le cadre du plan</w:t>
      </w:r>
      <w:r w:rsidRPr="00000A67">
        <w:rPr>
          <w:lang w:val="fr-FR"/>
        </w:rPr>
        <w:t xml:space="preserve"> de gestion de l’élimination des HCFC et du plan de gestion de l’élimination de la production de HCFC pour la Chine, ainsi que du rapport périodique sur les mesures prises en vue de renforcer la léglisation sur les SAO et son application en Chine, présenté en application des décisions</w:t>
      </w:r>
      <w:r w:rsidR="00D16F71">
        <w:rPr>
          <w:lang w:val="fr-FR"/>
        </w:rPr>
        <w:t> </w:t>
      </w:r>
      <w:r w:rsidR="002A1F7A" w:rsidRPr="00000A67">
        <w:rPr>
          <w:lang w:val="fr-FR"/>
        </w:rPr>
        <w:t>82/65</w:t>
      </w:r>
      <w:r w:rsidR="00000A67" w:rsidRPr="00000A67">
        <w:rPr>
          <w:lang w:val="fr-FR"/>
        </w:rPr>
        <w:t xml:space="preserve"> et</w:t>
      </w:r>
      <w:r w:rsidR="002A1F7A" w:rsidRPr="00000A67">
        <w:rPr>
          <w:lang w:val="fr-FR"/>
        </w:rPr>
        <w:t xml:space="preserve"> 82/71(a)</w:t>
      </w:r>
      <w:r w:rsidR="00000A67" w:rsidRPr="00000A67">
        <w:rPr>
          <w:lang w:val="fr-FR"/>
        </w:rPr>
        <w:t>, contenu</w:t>
      </w:r>
      <w:r w:rsidR="008C6CE8">
        <w:rPr>
          <w:lang w:val="fr-FR"/>
        </w:rPr>
        <w:t>s</w:t>
      </w:r>
      <w:r w:rsidR="00000A67" w:rsidRPr="00000A67">
        <w:rPr>
          <w:lang w:val="fr-FR"/>
        </w:rPr>
        <w:t xml:space="preserve"> dans les </w:t>
      </w:r>
      <w:r w:rsidR="002A1F7A" w:rsidRPr="00000A67">
        <w:rPr>
          <w:lang w:val="fr-FR"/>
        </w:rPr>
        <w:t>documents </w:t>
      </w:r>
      <w:r w:rsidR="002A1F7A" w:rsidRPr="00000A67">
        <w:rPr>
          <w:color w:val="000000" w:themeColor="text1"/>
          <w:lang w:val="fr-FR"/>
        </w:rPr>
        <w:t>UNEP/Oz</w:t>
      </w:r>
      <w:r w:rsidR="002A1F7A" w:rsidRPr="00000A67">
        <w:rPr>
          <w:color w:val="000000" w:themeColor="text1"/>
          <w:szCs w:val="24"/>
          <w:lang w:val="fr-FR"/>
        </w:rPr>
        <w:t xml:space="preserve">L.Pro/ExCom/83/11/Add.1 </w:t>
      </w:r>
      <w:r w:rsidR="00000A67" w:rsidRPr="00000A67">
        <w:rPr>
          <w:color w:val="000000" w:themeColor="text1"/>
          <w:szCs w:val="24"/>
          <w:lang w:val="fr-FR"/>
        </w:rPr>
        <w:t>et</w:t>
      </w:r>
      <w:r w:rsidR="002A1F7A" w:rsidRPr="00000A67">
        <w:rPr>
          <w:color w:val="000000" w:themeColor="text1"/>
          <w:szCs w:val="24"/>
          <w:lang w:val="fr-FR"/>
        </w:rPr>
        <w:t xml:space="preserve"> Add.2</w:t>
      </w:r>
      <w:r w:rsidR="002A1F7A" w:rsidRPr="00000A67">
        <w:rPr>
          <w:lang w:val="fr-FR"/>
        </w:rPr>
        <w:t xml:space="preserve">; </w:t>
      </w:r>
      <w:r w:rsidR="00000A67" w:rsidRPr="00000A67">
        <w:rPr>
          <w:lang w:val="fr-FR"/>
        </w:rPr>
        <w:t>et</w:t>
      </w:r>
    </w:p>
    <w:p w14:paraId="60CC73A3" w14:textId="5F469FA7" w:rsidR="002A1F7A" w:rsidRPr="00944BFF" w:rsidRDefault="00000A67" w:rsidP="00000A67">
      <w:pPr>
        <w:pStyle w:val="Heading2"/>
        <w:numPr>
          <w:ilvl w:val="0"/>
          <w:numId w:val="0"/>
        </w:numPr>
        <w:ind w:left="1440" w:hanging="720"/>
        <w:rPr>
          <w:color w:val="000000" w:themeColor="text1"/>
          <w:lang w:val="fr-FR"/>
        </w:rPr>
      </w:pPr>
      <w:r w:rsidRPr="00000A67">
        <w:rPr>
          <w:lang w:val="fr-FR"/>
        </w:rPr>
        <w:t>b)</w:t>
      </w:r>
      <w:r w:rsidRPr="00000A67">
        <w:rPr>
          <w:lang w:val="fr-FR"/>
        </w:rPr>
        <w:tab/>
        <w:t>Se réjouir de l’intention du gouvernement de la Chine d’inclure la surveillance des susbstances appauvrissant la couche d’ozone (SAO) et des HFC dans son programme de surveillance atmosphérique, et de sa volonté de partager les données recueillies par cette surveillance avec les milieux scientifiques,</w:t>
      </w:r>
      <w:r w:rsidR="002F1864">
        <w:rPr>
          <w:lang w:val="fr-FR"/>
        </w:rPr>
        <w:t xml:space="preserve"> </w:t>
      </w:r>
      <w:r w:rsidR="002A1F7A" w:rsidRPr="00000A67">
        <w:rPr>
          <w:lang w:val="fr-FR"/>
        </w:rPr>
        <w:t>[</w:t>
      </w:r>
      <w:r w:rsidRPr="00000A67">
        <w:rPr>
          <w:lang w:val="fr-FR"/>
        </w:rPr>
        <w:t>et demander au gouvernement de la Chine de présenter une mise à jour sur l’évolution de la mise sur pied d’un réseau de surveillance lors de la première réunion de</w:t>
      </w:r>
      <w:r w:rsidR="002A1F7A" w:rsidRPr="00000A67">
        <w:rPr>
          <w:lang w:val="fr-FR"/>
        </w:rPr>
        <w:t xml:space="preserve"> 2021</w:t>
      </w:r>
      <w:r w:rsidR="002A1F7A" w:rsidRPr="00000A67">
        <w:rPr>
          <w:sz w:val="24"/>
          <w:lang w:val="fr-FR"/>
        </w:rPr>
        <w:t>]</w:t>
      </w:r>
      <w:r w:rsidR="002A1F7A" w:rsidRPr="00000A67">
        <w:rPr>
          <w:lang w:val="fr-FR"/>
        </w:rPr>
        <w:t>.</w:t>
      </w:r>
    </w:p>
    <w:p w14:paraId="1F494DE8" w14:textId="2008AA5C" w:rsidR="00000A67" w:rsidRPr="00000A67" w:rsidRDefault="00000A67" w:rsidP="00000A67">
      <w:pPr>
        <w:spacing w:after="240"/>
        <w:ind w:left="709"/>
        <w:rPr>
          <w:i/>
          <w:lang w:val="fr-FR"/>
        </w:rPr>
      </w:pPr>
      <w:r w:rsidRPr="00000A67">
        <w:rPr>
          <w:i/>
          <w:lang w:val="fr-FR"/>
        </w:rPr>
        <w:t>Partie</w:t>
      </w:r>
      <w:r>
        <w:rPr>
          <w:i/>
          <w:lang w:val="fr-FR"/>
        </w:rPr>
        <w:t xml:space="preserve"> II : </w:t>
      </w:r>
      <w:r w:rsidRPr="00000A67">
        <w:rPr>
          <w:i/>
          <w:lang w:val="fr-FR"/>
        </w:rPr>
        <w:t>Étude théorique sur le programme actuel de suivi de la consommation d’agents de gonflage de la mousse dans les entreprises recevant du soutien dans le cadre de la phase I du PGEH et méthode de vérification (décision 82/67(c)) (Banque mondiale)</w:t>
      </w:r>
      <w:r>
        <w:rPr>
          <w:i/>
          <w:lang w:val="fr-FR"/>
        </w:rPr>
        <w:t xml:space="preserve"> (paragraphes 63-94)</w:t>
      </w:r>
    </w:p>
    <w:p w14:paraId="40122F6E" w14:textId="0FD1777C" w:rsidR="002A1F7A" w:rsidRPr="00944BFF" w:rsidRDefault="008E0DB5" w:rsidP="002A1F7A">
      <w:pPr>
        <w:widowControl w:val="0"/>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14B25938" w14:textId="1B84CD06" w:rsidR="002A1F7A" w:rsidRPr="00944BFF" w:rsidRDefault="00B841B3" w:rsidP="00761F88">
      <w:pPr>
        <w:pStyle w:val="ListParagraph"/>
        <w:widowControl w:val="0"/>
        <w:numPr>
          <w:ilvl w:val="0"/>
          <w:numId w:val="16"/>
        </w:numPr>
        <w:tabs>
          <w:tab w:val="left" w:pos="720"/>
          <w:tab w:val="left" w:pos="1440"/>
          <w:tab w:val="left" w:pos="2160"/>
        </w:tabs>
        <w:spacing w:after="240"/>
        <w:jc w:val="both"/>
        <w:rPr>
          <w:color w:val="000000" w:themeColor="text1"/>
          <w:lang w:val="fr-FR"/>
        </w:rPr>
      </w:pPr>
      <w:r>
        <w:rPr>
          <w:color w:val="000000" w:themeColor="text1"/>
          <w:lang w:val="fr-FR"/>
        </w:rPr>
        <w:t>Méthodologie</w:t>
      </w:r>
      <w:r w:rsidR="00000A67">
        <w:rPr>
          <w:color w:val="000000" w:themeColor="text1"/>
          <w:lang w:val="fr-FR"/>
        </w:rPr>
        <w:t xml:space="preserve"> de suivi de la consommation d’agents de gonflage de la mousse dans les entreprises recevant du soutien dans le cadre de la phase I du plan de gestion de élimination des HCFC </w:t>
      </w:r>
    </w:p>
    <w:p w14:paraId="19156D0C" w14:textId="59BC0370" w:rsidR="002A1F7A" w:rsidRPr="00B841B3" w:rsidRDefault="008E0DB5" w:rsidP="002A1F7A">
      <w:pPr>
        <w:keepNext/>
        <w:tabs>
          <w:tab w:val="left" w:pos="720"/>
          <w:tab w:val="left" w:pos="1440"/>
          <w:tab w:val="left" w:pos="2160"/>
        </w:tabs>
        <w:spacing w:after="240"/>
        <w:ind w:left="709"/>
        <w:outlineLvl w:val="0"/>
        <w:rPr>
          <w:color w:val="000000" w:themeColor="text1"/>
          <w:lang w:val="fr-FR"/>
        </w:rPr>
      </w:pPr>
      <w:r w:rsidRPr="00B841B3">
        <w:rPr>
          <w:color w:val="000000" w:themeColor="text1"/>
          <w:u w:val="single"/>
          <w:lang w:val="fr-FR"/>
        </w:rPr>
        <w:lastRenderedPageBreak/>
        <w:t>L</w:t>
      </w:r>
      <w:r w:rsidR="002A1F7A" w:rsidRPr="00B841B3">
        <w:rPr>
          <w:color w:val="000000" w:themeColor="text1"/>
          <w:u w:val="single"/>
          <w:lang w:val="fr-FR"/>
        </w:rPr>
        <w:t>e</w:t>
      </w:r>
      <w:r w:rsidRPr="00B841B3">
        <w:rPr>
          <w:color w:val="000000" w:themeColor="text1"/>
          <w:u w:val="single"/>
          <w:lang w:val="fr-FR"/>
        </w:rPr>
        <w:t xml:space="preserve"> Comité exécutif pourrait souhaiter </w:t>
      </w:r>
      <w:r w:rsidR="002A1F7A" w:rsidRPr="00B841B3">
        <w:rPr>
          <w:color w:val="000000" w:themeColor="text1"/>
          <w:lang w:val="fr-FR"/>
        </w:rPr>
        <w:t xml:space="preserve">: </w:t>
      </w:r>
    </w:p>
    <w:p w14:paraId="66052592" w14:textId="6C8675C8" w:rsidR="002A1F7A" w:rsidRPr="00B841B3" w:rsidRDefault="00000A67" w:rsidP="00000A67">
      <w:pPr>
        <w:pStyle w:val="Heading2"/>
        <w:keepNext/>
        <w:widowControl/>
        <w:numPr>
          <w:ilvl w:val="0"/>
          <w:numId w:val="0"/>
        </w:numPr>
        <w:ind w:left="1440" w:hanging="720"/>
        <w:rPr>
          <w:lang w:val="fr-FR"/>
        </w:rPr>
      </w:pPr>
      <w:r w:rsidRPr="00B841B3">
        <w:rPr>
          <w:lang w:val="fr-FR"/>
        </w:rPr>
        <w:t>a)</w:t>
      </w:r>
      <w:r w:rsidRPr="00B841B3">
        <w:rPr>
          <w:lang w:val="fr-FR"/>
        </w:rPr>
        <w:tab/>
        <w:t>Se féliciter de l’étude théorique sur le système actuel de surveillance de la consommation d’agents de gonflage de la mousse dans les entreprises recevant</w:t>
      </w:r>
      <w:r w:rsidR="00B841B3" w:rsidRPr="00B841B3">
        <w:rPr>
          <w:lang w:val="fr-FR"/>
        </w:rPr>
        <w:t xml:space="preserve"> un financement du Fonds au tit</w:t>
      </w:r>
      <w:r w:rsidRPr="00B841B3">
        <w:rPr>
          <w:lang w:val="fr-FR"/>
        </w:rPr>
        <w:t xml:space="preserve">re de la phase I du PGEH ainsi que de la méthodologie permettant de vérifier si des SAO déjà éliminées ont été consommées ou sont actuellement consommées par ces entreprises, lesquelles sont </w:t>
      </w:r>
      <w:r w:rsidR="00B841B3" w:rsidRPr="00B841B3">
        <w:rPr>
          <w:lang w:val="fr-FR"/>
        </w:rPr>
        <w:t xml:space="preserve">jointes au </w:t>
      </w:r>
      <w:r w:rsidR="002A1F7A" w:rsidRPr="00B841B3">
        <w:rPr>
          <w:lang w:val="fr-FR"/>
        </w:rPr>
        <w:t>document UNE</w:t>
      </w:r>
      <w:r w:rsidR="00B841B3" w:rsidRPr="00B841B3">
        <w:rPr>
          <w:lang w:val="fr-FR"/>
        </w:rPr>
        <w:t>P/OzL.Pro/ExCom/83/11/Add.1; et</w:t>
      </w:r>
    </w:p>
    <w:p w14:paraId="6E7F456D" w14:textId="678C4A87" w:rsidR="002A1F7A" w:rsidRPr="00B841B3" w:rsidRDefault="00B841B3" w:rsidP="00B841B3">
      <w:pPr>
        <w:pStyle w:val="Heading2"/>
        <w:numPr>
          <w:ilvl w:val="0"/>
          <w:numId w:val="0"/>
        </w:numPr>
        <w:ind w:left="1440" w:hanging="720"/>
        <w:rPr>
          <w:lang w:val="fr-FR"/>
        </w:rPr>
      </w:pPr>
      <w:r w:rsidRPr="00B841B3">
        <w:rPr>
          <w:lang w:val="fr-FR"/>
        </w:rPr>
        <w:t>b)</w:t>
      </w:r>
      <w:r w:rsidRPr="00B841B3">
        <w:rPr>
          <w:lang w:val="fr-FR"/>
        </w:rPr>
        <w:tab/>
        <w:t xml:space="preserve">Considérer toute directive supplémentaire que le Comité exécutif pourrait souhaiter recommander pour la mise en œuvre de la phase II du plan du secteur de la mousse PU, à la lumière des observations contenues dans le paragraphe </w:t>
      </w:r>
      <w:r w:rsidR="002A1F7A" w:rsidRPr="00B841B3">
        <w:rPr>
          <w:lang w:val="fr-FR"/>
        </w:rPr>
        <w:t xml:space="preserve">92 </w:t>
      </w:r>
      <w:r w:rsidRPr="00B841B3">
        <w:rPr>
          <w:lang w:val="fr-FR"/>
        </w:rPr>
        <w:t>du document</w:t>
      </w:r>
      <w:r w:rsidR="002A1F7A" w:rsidRPr="00B841B3">
        <w:rPr>
          <w:lang w:val="fr-FR"/>
        </w:rPr>
        <w:t> UNEP/OzL.Pro/ExCom/83/11/Add.1.</w:t>
      </w:r>
    </w:p>
    <w:p w14:paraId="11D566AB" w14:textId="28644D56" w:rsidR="00B841B3" w:rsidRDefault="00B841B3" w:rsidP="00B841B3">
      <w:pPr>
        <w:spacing w:after="240"/>
        <w:ind w:left="709"/>
        <w:rPr>
          <w:i/>
          <w:lang w:val="fr-FR"/>
        </w:rPr>
      </w:pPr>
      <w:r w:rsidRPr="00B841B3">
        <w:rPr>
          <w:i/>
          <w:lang w:val="fr-FR"/>
        </w:rPr>
        <w:t>Partie</w:t>
      </w:r>
      <w:r>
        <w:rPr>
          <w:i/>
          <w:lang w:val="fr-FR"/>
        </w:rPr>
        <w:t xml:space="preserve"> III : </w:t>
      </w:r>
      <w:r w:rsidRPr="00B841B3">
        <w:rPr>
          <w:i/>
          <w:lang w:val="fr-FR"/>
        </w:rPr>
        <w:t>Rapports</w:t>
      </w:r>
      <w:r w:rsidR="008C6CE8">
        <w:rPr>
          <w:i/>
          <w:lang w:val="fr-FR"/>
        </w:rPr>
        <w:t xml:space="preserve"> de vérification</w:t>
      </w:r>
      <w:r w:rsidRPr="00B841B3">
        <w:rPr>
          <w:i/>
          <w:lang w:val="fr-FR"/>
        </w:rPr>
        <w:t xml:space="preserve"> de</w:t>
      </w:r>
      <w:r w:rsidR="008C6CE8">
        <w:rPr>
          <w:i/>
          <w:lang w:val="fr-FR"/>
        </w:rPr>
        <w:t>s secteurs de</w:t>
      </w:r>
      <w:r w:rsidRPr="00B841B3">
        <w:rPr>
          <w:i/>
          <w:lang w:val="fr-FR"/>
        </w:rPr>
        <w:t xml:space="preserve"> la production de CFC, de</w:t>
      </w:r>
      <w:r w:rsidR="008C6CE8">
        <w:rPr>
          <w:i/>
          <w:lang w:val="fr-FR"/>
        </w:rPr>
        <w:t>s</w:t>
      </w:r>
      <w:r w:rsidRPr="00B841B3">
        <w:rPr>
          <w:i/>
          <w:lang w:val="fr-FR"/>
        </w:rPr>
        <w:t xml:space="preserve"> halons, de </w:t>
      </w:r>
      <w:r w:rsidR="008C6CE8">
        <w:rPr>
          <w:i/>
          <w:lang w:val="fr-FR"/>
        </w:rPr>
        <w:t xml:space="preserve">la </w:t>
      </w:r>
      <w:r w:rsidRPr="00B841B3">
        <w:rPr>
          <w:i/>
          <w:lang w:val="fr-FR"/>
        </w:rPr>
        <w:t xml:space="preserve">mousse de polyuréthane, de </w:t>
      </w:r>
      <w:r w:rsidR="00BC6014">
        <w:rPr>
          <w:i/>
          <w:lang w:val="fr-FR"/>
        </w:rPr>
        <w:t>l’agent</w:t>
      </w:r>
      <w:r w:rsidR="008C6CE8">
        <w:rPr>
          <w:i/>
          <w:lang w:val="fr-FR"/>
        </w:rPr>
        <w:t xml:space="preserve"> de transformatio</w:t>
      </w:r>
      <w:r w:rsidR="00BC6014">
        <w:rPr>
          <w:i/>
          <w:lang w:val="fr-FR"/>
        </w:rPr>
        <w:t>n II</w:t>
      </w:r>
      <w:r w:rsidR="008C6CE8">
        <w:rPr>
          <w:i/>
          <w:lang w:val="fr-FR"/>
        </w:rPr>
        <w:t xml:space="preserve">, de </w:t>
      </w:r>
      <w:r w:rsidRPr="00B841B3">
        <w:rPr>
          <w:i/>
          <w:lang w:val="fr-FR"/>
        </w:rPr>
        <w:t xml:space="preserve">l’entretien de l’équipement de réfrigération et des solvants (décision 82/17) (PNUD, PNUE, ONUDI et Banque </w:t>
      </w:r>
      <w:r w:rsidRPr="00BC6014">
        <w:rPr>
          <w:i/>
          <w:lang w:val="fr-FR"/>
        </w:rPr>
        <w:t>mondiale) (</w:t>
      </w:r>
      <w:r w:rsidRPr="00B841B3">
        <w:rPr>
          <w:i/>
          <w:lang w:val="fr-FR"/>
        </w:rPr>
        <w:t>paragraphes 95-186)</w:t>
      </w:r>
    </w:p>
    <w:p w14:paraId="00BD2A54" w14:textId="0D6015A5" w:rsidR="002A1F7A" w:rsidRPr="00944BFF" w:rsidRDefault="008E0DB5"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740D9401" w14:textId="45DC5E89" w:rsidR="002A1F7A" w:rsidRPr="001B300E" w:rsidRDefault="00BC6014" w:rsidP="001963F3">
      <w:pPr>
        <w:pStyle w:val="ListParagraph"/>
        <w:numPr>
          <w:ilvl w:val="0"/>
          <w:numId w:val="11"/>
        </w:numPr>
        <w:spacing w:after="240"/>
        <w:jc w:val="both"/>
        <w:rPr>
          <w:color w:val="000000" w:themeColor="text1"/>
          <w:lang w:val="fr-FR"/>
        </w:rPr>
      </w:pPr>
      <w:r>
        <w:rPr>
          <w:color w:val="000000" w:themeColor="text1"/>
          <w:lang w:val="fr-FR"/>
        </w:rPr>
        <w:t>Les s</w:t>
      </w:r>
      <w:r w:rsidR="00B841B3" w:rsidRPr="001B300E">
        <w:rPr>
          <w:color w:val="000000" w:themeColor="text1"/>
          <w:lang w:val="fr-FR"/>
        </w:rPr>
        <w:t>oldes de tous les</w:t>
      </w:r>
      <w:r w:rsidR="00EE2FA9" w:rsidRPr="001B300E">
        <w:rPr>
          <w:color w:val="000000" w:themeColor="text1"/>
          <w:lang w:val="fr-FR"/>
        </w:rPr>
        <w:t xml:space="preserve"> plans sectoriels n’avaient pas été entièrement</w:t>
      </w:r>
      <w:r w:rsidR="00B841B3" w:rsidRPr="001B300E">
        <w:rPr>
          <w:color w:val="000000" w:themeColor="text1"/>
          <w:lang w:val="fr-FR"/>
        </w:rPr>
        <w:t xml:space="preserve"> décaissés en date d’avril 2019 </w:t>
      </w:r>
    </w:p>
    <w:p w14:paraId="47F3F31C" w14:textId="1858EB68" w:rsidR="002A1F7A" w:rsidRPr="001B300E" w:rsidRDefault="001E5DC3" w:rsidP="001963F3">
      <w:pPr>
        <w:pStyle w:val="ListParagraph"/>
        <w:numPr>
          <w:ilvl w:val="0"/>
          <w:numId w:val="11"/>
        </w:numPr>
        <w:spacing w:after="240"/>
        <w:jc w:val="both"/>
        <w:rPr>
          <w:color w:val="000000" w:themeColor="text1"/>
          <w:lang w:val="fr-FR"/>
        </w:rPr>
      </w:pPr>
      <w:r w:rsidRPr="001B300E">
        <w:rPr>
          <w:color w:val="000000" w:themeColor="text1"/>
          <w:lang w:val="fr-FR"/>
        </w:rPr>
        <w:t>Autoriser</w:t>
      </w:r>
      <w:r w:rsidR="00B841B3" w:rsidRPr="001B300E">
        <w:rPr>
          <w:color w:val="000000" w:themeColor="text1"/>
          <w:lang w:val="fr-FR"/>
        </w:rPr>
        <w:t xml:space="preserve"> l’utilisation des soldes restants provenant des secteurs de la production de CFC, de la mousse de polyuréthane, des solvants et de l’entretien de l’équipement de réfrigération durant l’année 2019 pour soutenir les inspections </w:t>
      </w:r>
      <w:r w:rsidRPr="001B300E">
        <w:rPr>
          <w:color w:val="000000" w:themeColor="text1"/>
          <w:lang w:val="fr-FR"/>
        </w:rPr>
        <w:t>des BEE</w:t>
      </w:r>
      <w:r w:rsidR="002A1F7A" w:rsidRPr="001B300E">
        <w:rPr>
          <w:color w:val="000000" w:themeColor="text1"/>
          <w:lang w:val="fr-FR"/>
        </w:rPr>
        <w:t xml:space="preserve">; </w:t>
      </w:r>
      <w:r w:rsidR="00F50263" w:rsidRPr="001B300E">
        <w:rPr>
          <w:color w:val="000000" w:themeColor="text1"/>
          <w:lang w:val="fr-FR"/>
        </w:rPr>
        <w:t xml:space="preserve">et demander des rapports sur les résultats de ces inspections  </w:t>
      </w:r>
    </w:p>
    <w:p w14:paraId="74C24B37" w14:textId="61FDD62B" w:rsidR="002A1F7A" w:rsidRPr="001B300E" w:rsidRDefault="00F50263" w:rsidP="001963F3">
      <w:pPr>
        <w:pStyle w:val="ListParagraph"/>
        <w:numPr>
          <w:ilvl w:val="0"/>
          <w:numId w:val="11"/>
        </w:numPr>
        <w:spacing w:after="240"/>
        <w:jc w:val="both"/>
        <w:rPr>
          <w:color w:val="000000" w:themeColor="text1"/>
          <w:lang w:val="fr-FR"/>
        </w:rPr>
      </w:pPr>
      <w:r w:rsidRPr="001B300E">
        <w:rPr>
          <w:color w:val="000000" w:themeColor="text1"/>
          <w:lang w:val="fr-FR"/>
        </w:rPr>
        <w:t>Pro</w:t>
      </w:r>
      <w:r w:rsidR="00EE2FA9" w:rsidRPr="001B300E">
        <w:rPr>
          <w:color w:val="000000" w:themeColor="text1"/>
          <w:lang w:val="fr-FR"/>
        </w:rPr>
        <w:t>lon</w:t>
      </w:r>
      <w:r w:rsidRPr="001B300E">
        <w:rPr>
          <w:color w:val="000000" w:themeColor="text1"/>
          <w:lang w:val="fr-FR"/>
        </w:rPr>
        <w:t xml:space="preserve">gation des dates d’achèvement du plan sectoriel pour l’agent de transformation II jusqu’en décembre 2020 et pour le plan sectoriel des halons jusqu’en décembre 2022 </w:t>
      </w:r>
    </w:p>
    <w:p w14:paraId="5CCC7936" w14:textId="6B4C8E4C" w:rsidR="002A1F7A" w:rsidRPr="001B300E" w:rsidRDefault="00F50263" w:rsidP="001963F3">
      <w:pPr>
        <w:pStyle w:val="ListParagraph"/>
        <w:numPr>
          <w:ilvl w:val="0"/>
          <w:numId w:val="11"/>
        </w:numPr>
        <w:spacing w:after="240"/>
        <w:jc w:val="both"/>
        <w:rPr>
          <w:color w:val="000000" w:themeColor="text1"/>
          <w:lang w:val="fr-FR"/>
        </w:rPr>
      </w:pPr>
      <w:r w:rsidRPr="001B300E">
        <w:rPr>
          <w:color w:val="000000" w:themeColor="text1"/>
          <w:lang w:val="fr-FR"/>
        </w:rPr>
        <w:t xml:space="preserve">Informations supplémentaires pour le secteur des agents de transformation concernant la production de CTC et les systèmes de suivi, y compris en ce qui concerne les usines de perchloroéthylène </w:t>
      </w:r>
    </w:p>
    <w:p w14:paraId="2B52ECC0" w14:textId="0E99DBD6" w:rsidR="002A1F7A" w:rsidRPr="001B300E" w:rsidRDefault="008E0DB5" w:rsidP="002A1F7A">
      <w:pPr>
        <w:tabs>
          <w:tab w:val="left" w:pos="720"/>
          <w:tab w:val="left" w:pos="1440"/>
          <w:tab w:val="left" w:pos="2160"/>
        </w:tabs>
        <w:spacing w:after="240"/>
        <w:ind w:left="709"/>
        <w:rPr>
          <w:color w:val="000000" w:themeColor="text1"/>
          <w:lang w:val="fr-FR"/>
        </w:rPr>
      </w:pPr>
      <w:r w:rsidRPr="001B300E">
        <w:rPr>
          <w:color w:val="000000" w:themeColor="text1"/>
          <w:u w:val="single"/>
          <w:lang w:val="fr-FR"/>
        </w:rPr>
        <w:t>L</w:t>
      </w:r>
      <w:r w:rsidR="002A1F7A" w:rsidRPr="001B300E">
        <w:rPr>
          <w:color w:val="000000" w:themeColor="text1"/>
          <w:u w:val="single"/>
          <w:lang w:val="fr-FR"/>
        </w:rPr>
        <w:t xml:space="preserve">e </w:t>
      </w:r>
      <w:r w:rsidRPr="001B300E">
        <w:rPr>
          <w:color w:val="000000" w:themeColor="text1"/>
          <w:u w:val="single"/>
          <w:lang w:val="fr-FR"/>
        </w:rPr>
        <w:t xml:space="preserve">Comité exécutif pourrait souhaiter </w:t>
      </w:r>
      <w:r w:rsidR="002A1F7A" w:rsidRPr="001B300E">
        <w:rPr>
          <w:color w:val="000000" w:themeColor="text1"/>
          <w:lang w:val="fr-FR"/>
        </w:rPr>
        <w:t xml:space="preserve">: </w:t>
      </w:r>
    </w:p>
    <w:p w14:paraId="27515D50" w14:textId="177806D6" w:rsidR="002A1F7A" w:rsidRPr="001B300E" w:rsidRDefault="001E5DC3" w:rsidP="001E5DC3">
      <w:pPr>
        <w:pStyle w:val="Heading2"/>
        <w:numPr>
          <w:ilvl w:val="0"/>
          <w:numId w:val="0"/>
        </w:numPr>
        <w:ind w:left="1440" w:hanging="720"/>
        <w:rPr>
          <w:lang w:val="fr-FR"/>
        </w:rPr>
      </w:pPr>
      <w:r w:rsidRPr="001B300E">
        <w:rPr>
          <w:lang w:val="fr-FR"/>
        </w:rPr>
        <w:t>a)</w:t>
      </w:r>
      <w:r w:rsidRPr="001B300E">
        <w:rPr>
          <w:lang w:val="fr-FR"/>
        </w:rPr>
        <w:tab/>
        <w:t>Prendre</w:t>
      </w:r>
      <w:r w:rsidR="002A1F7A" w:rsidRPr="001B300E">
        <w:rPr>
          <w:lang w:val="fr-FR"/>
        </w:rPr>
        <w:t xml:space="preserve"> note:</w:t>
      </w:r>
    </w:p>
    <w:p w14:paraId="77759E8D" w14:textId="413696A4" w:rsidR="002A1F7A" w:rsidRPr="001B300E" w:rsidRDefault="001E5DC3" w:rsidP="001E5DC3">
      <w:pPr>
        <w:pStyle w:val="Heading3"/>
        <w:numPr>
          <w:ilvl w:val="0"/>
          <w:numId w:val="0"/>
        </w:numPr>
        <w:ind w:left="2160" w:hanging="720"/>
        <w:rPr>
          <w:lang w:val="fr-FR"/>
        </w:rPr>
      </w:pPr>
      <w:r w:rsidRPr="001B300E">
        <w:rPr>
          <w:lang w:val="fr-FR"/>
        </w:rPr>
        <w:t>i)</w:t>
      </w:r>
      <w:r w:rsidRPr="001B300E">
        <w:rPr>
          <w:lang w:val="fr-FR"/>
        </w:rPr>
        <w:tab/>
        <w:t xml:space="preserve">Des rapports de vérification financière et des mises à jour pour la proudction de </w:t>
      </w:r>
      <w:r w:rsidR="002A1F7A" w:rsidRPr="001B300E">
        <w:rPr>
          <w:lang w:val="fr-FR"/>
        </w:rPr>
        <w:t>CFC</w:t>
      </w:r>
      <w:r w:rsidRPr="001B300E">
        <w:rPr>
          <w:lang w:val="fr-FR"/>
        </w:rPr>
        <w:t>, le</w:t>
      </w:r>
      <w:r w:rsidR="002A1F7A" w:rsidRPr="001B300E">
        <w:rPr>
          <w:lang w:val="fr-FR"/>
        </w:rPr>
        <w:t xml:space="preserve"> halon, </w:t>
      </w:r>
      <w:r w:rsidRPr="001B300E">
        <w:rPr>
          <w:lang w:val="fr-FR"/>
        </w:rPr>
        <w:t>la mousse de polyuréthane</w:t>
      </w:r>
      <w:r w:rsidR="002A1F7A" w:rsidRPr="001B300E">
        <w:rPr>
          <w:lang w:val="fr-FR"/>
        </w:rPr>
        <w:t xml:space="preserve">, </w:t>
      </w:r>
      <w:r w:rsidRPr="001B300E">
        <w:rPr>
          <w:lang w:val="fr-FR"/>
        </w:rPr>
        <w:t xml:space="preserve">l’agent de transformation II, les secteurs des solvants et de l’entretien des équipements de réfrigération en Chine, contenus dans le </w:t>
      </w:r>
      <w:r w:rsidR="002A1F7A" w:rsidRPr="001B300E">
        <w:rPr>
          <w:lang w:val="fr-FR"/>
        </w:rPr>
        <w:t xml:space="preserve">document UNEP/OzL.Pro/ExCom/83/11/Add.1; </w:t>
      </w:r>
    </w:p>
    <w:p w14:paraId="765074EA" w14:textId="430473B3" w:rsidR="002A1F7A" w:rsidRPr="001B300E" w:rsidRDefault="001E5DC3" w:rsidP="001E5DC3">
      <w:pPr>
        <w:pStyle w:val="Heading3"/>
        <w:numPr>
          <w:ilvl w:val="0"/>
          <w:numId w:val="0"/>
        </w:numPr>
        <w:ind w:left="2160" w:hanging="720"/>
        <w:rPr>
          <w:lang w:val="fr-FR"/>
        </w:rPr>
      </w:pPr>
      <w:r w:rsidRPr="001B300E">
        <w:rPr>
          <w:lang w:val="fr-FR"/>
        </w:rPr>
        <w:t>ii)</w:t>
      </w:r>
      <w:r w:rsidRPr="001B300E">
        <w:rPr>
          <w:lang w:val="fr-FR"/>
        </w:rPr>
        <w:tab/>
        <w:t xml:space="preserve">Que les soldes du financement associé à chacun des plans sectorielsn’avaient pas été entirèrement décaissés fin avril </w:t>
      </w:r>
      <w:r w:rsidR="002A1F7A" w:rsidRPr="001B300E">
        <w:rPr>
          <w:lang w:val="fr-FR"/>
        </w:rPr>
        <w:t xml:space="preserve">2019; </w:t>
      </w:r>
    </w:p>
    <w:p w14:paraId="07A23237" w14:textId="705128AB" w:rsidR="002A1F7A" w:rsidRDefault="00EE2FA9" w:rsidP="006C3C08">
      <w:pPr>
        <w:pStyle w:val="Heading3"/>
        <w:numPr>
          <w:ilvl w:val="0"/>
          <w:numId w:val="43"/>
        </w:numPr>
        <w:rPr>
          <w:lang w:val="fr-FR"/>
        </w:rPr>
      </w:pPr>
      <w:r w:rsidRPr="001B300E">
        <w:rPr>
          <w:lang w:val="fr-FR"/>
        </w:rPr>
        <w:t>Que le gouvernement de la Chine a confirmé que les plans pour la production de CFC, de la mousse PU, les secteurs des solvants et de l’entretien des équipements de réfrigération seront achevés et les soldes décaissés en 2019;</w:t>
      </w:r>
    </w:p>
    <w:p w14:paraId="746D2F89" w14:textId="7B402C5F" w:rsidR="002A1F7A" w:rsidRPr="001B300E" w:rsidRDefault="00EE2FA9" w:rsidP="00761F88">
      <w:pPr>
        <w:pStyle w:val="Heading2"/>
        <w:numPr>
          <w:ilvl w:val="0"/>
          <w:numId w:val="33"/>
        </w:numPr>
        <w:ind w:left="1418" w:hanging="698"/>
        <w:rPr>
          <w:lang w:val="fr-FR"/>
        </w:rPr>
      </w:pPr>
      <w:r w:rsidRPr="001B300E">
        <w:rPr>
          <w:lang w:val="fr-FR"/>
        </w:rPr>
        <w:t>Accepter de prolonger le plan sectoriel pour l’agent de transformation II et le plan sectoriel des halons jusqu’en 2020 et 2022 respectivement</w:t>
      </w:r>
      <w:r w:rsidR="002A1F7A" w:rsidRPr="001B300E">
        <w:rPr>
          <w:lang w:val="fr-FR"/>
        </w:rPr>
        <w:t>;</w:t>
      </w:r>
    </w:p>
    <w:p w14:paraId="1826563C" w14:textId="3DD84BC6" w:rsidR="00106FF9" w:rsidRPr="008048E8" w:rsidRDefault="00106FF9" w:rsidP="00761F88">
      <w:pPr>
        <w:pStyle w:val="Heading2"/>
        <w:keepNext/>
        <w:keepLines/>
        <w:numPr>
          <w:ilvl w:val="0"/>
          <w:numId w:val="33"/>
        </w:numPr>
        <w:ind w:left="1418" w:hanging="698"/>
        <w:rPr>
          <w:lang w:val="fr-FR"/>
        </w:rPr>
      </w:pPr>
      <w:r w:rsidRPr="008048E8">
        <w:rPr>
          <w:lang w:val="fr-FR"/>
        </w:rPr>
        <w:lastRenderedPageBreak/>
        <w:t>Demander au gouvernement de la Chine, par l’intermédiaire de l’agence d’exécution concernée :</w:t>
      </w:r>
    </w:p>
    <w:p w14:paraId="11C7059B" w14:textId="3C681E3B" w:rsidR="00106FF9" w:rsidRPr="007B26A2" w:rsidRDefault="00106FF9" w:rsidP="00761F88">
      <w:pPr>
        <w:pStyle w:val="Heading2"/>
        <w:keepNext/>
        <w:keepLines/>
        <w:numPr>
          <w:ilvl w:val="0"/>
          <w:numId w:val="34"/>
        </w:numPr>
        <w:tabs>
          <w:tab w:val="left" w:pos="1418"/>
        </w:tabs>
        <w:ind w:left="2127" w:hanging="709"/>
        <w:rPr>
          <w:lang w:val="fr-FR"/>
        </w:rPr>
      </w:pPr>
      <w:r w:rsidRPr="007B26A2">
        <w:rPr>
          <w:lang w:val="fr-FR"/>
        </w:rPr>
        <w:t>De remettre à la première réunion en 2020 le rapport de vérification financière arrêté à décembre 2019 pour les secteurs de la production de CFC, des halons, de l’agent de transformation II, de la mousse PU, des solvants et de l’entretien de l’équipement de réfrigération, et les rapports d’achèvement de projet pour les secteurs de la production de CFC, de la mousse PU, des solvants et de l’entretien</w:t>
      </w:r>
      <w:r w:rsidR="007B26A2">
        <w:rPr>
          <w:lang w:val="fr-FR"/>
        </w:rPr>
        <w:t xml:space="preserve">; </w:t>
      </w:r>
      <w:r w:rsidRPr="007B26A2">
        <w:rPr>
          <w:lang w:val="fr-FR"/>
        </w:rPr>
        <w:t xml:space="preserve"> </w:t>
      </w:r>
    </w:p>
    <w:p w14:paraId="1B2EBB91" w14:textId="27AEEB92" w:rsidR="00106FF9" w:rsidRPr="007B26A2" w:rsidRDefault="00106FF9" w:rsidP="00761F88">
      <w:pPr>
        <w:pStyle w:val="Heading2"/>
        <w:numPr>
          <w:ilvl w:val="0"/>
          <w:numId w:val="35"/>
        </w:numPr>
        <w:rPr>
          <w:lang w:val="fr-FR"/>
        </w:rPr>
      </w:pPr>
      <w:r w:rsidRPr="007B26A2">
        <w:rPr>
          <w:lang w:val="fr-FR"/>
        </w:rPr>
        <w:t>De restituer au Fonds multilatéral lors de la première réunion en 2020, les soldes de financement liés aux secteurs de la production de CFC, de la mousse PU,</w:t>
      </w:r>
      <w:r w:rsidR="007B26A2">
        <w:rPr>
          <w:lang w:val="fr-FR"/>
        </w:rPr>
        <w:t xml:space="preserve"> des solvants et de l’entretien</w:t>
      </w:r>
      <w:r w:rsidRPr="007B26A2">
        <w:rPr>
          <w:lang w:val="fr-FR"/>
        </w:rPr>
        <w:t>;</w:t>
      </w:r>
    </w:p>
    <w:p w14:paraId="6ADE5C40" w14:textId="5CA53FE1" w:rsidR="00106FF9" w:rsidRPr="007B26A2" w:rsidRDefault="00106FF9" w:rsidP="00761F88">
      <w:pPr>
        <w:pStyle w:val="Heading2"/>
        <w:numPr>
          <w:ilvl w:val="0"/>
          <w:numId w:val="35"/>
        </w:numPr>
        <w:rPr>
          <w:lang w:val="fr-FR"/>
        </w:rPr>
      </w:pPr>
      <w:r w:rsidRPr="007B26A2">
        <w:rPr>
          <w:lang w:val="fr-FR"/>
        </w:rPr>
        <w:t>De rendre compte des résultats des activités de surveillance menées par les BEE au niveau local, notamment dans les cas où le CFC-11 a été détecté, dans les prochains rapports de vérification financière et une fois que tous les soldes restants au titre des projets inclus dans la vérification financière financier ont été décaissés et que ces projets ont été achevés, de poursuivre ces rapports dans le cadre des rapports périodiques annuels du plan sectoriel de la mousse de PU du plan de ge</w:t>
      </w:r>
      <w:r w:rsidR="007B26A2">
        <w:rPr>
          <w:lang w:val="fr-FR"/>
        </w:rPr>
        <w:t>stion de l’élimination des HCFC</w:t>
      </w:r>
      <w:r w:rsidRPr="007B26A2">
        <w:rPr>
          <w:lang w:val="fr-FR"/>
        </w:rPr>
        <w:t>; et</w:t>
      </w:r>
    </w:p>
    <w:p w14:paraId="6F85F464" w14:textId="66A5581F" w:rsidR="00106FF9" w:rsidRPr="007B26A2" w:rsidRDefault="00106FF9" w:rsidP="00761F88">
      <w:pPr>
        <w:pStyle w:val="Heading2"/>
        <w:numPr>
          <w:ilvl w:val="0"/>
          <w:numId w:val="35"/>
        </w:numPr>
        <w:rPr>
          <w:lang w:val="fr-FR"/>
        </w:rPr>
      </w:pPr>
      <w:r w:rsidRPr="007B26A2">
        <w:rPr>
          <w:lang w:val="fr-FR"/>
        </w:rPr>
        <w:t>De soumettre les rapports restants sur les recherches menées et l’assistance technique apportée dans tous les secteurs afin éventuellement de les diffuser à d’</w:t>
      </w:r>
      <w:r w:rsidR="007B26A2">
        <w:rPr>
          <w:lang w:val="fr-FR"/>
        </w:rPr>
        <w:t>autres pays visés à l’article 5</w:t>
      </w:r>
      <w:r w:rsidRPr="007B26A2">
        <w:rPr>
          <w:lang w:val="fr-FR"/>
        </w:rPr>
        <w:t xml:space="preserve">; </w:t>
      </w:r>
    </w:p>
    <w:p w14:paraId="00FD84F6" w14:textId="414DBE7A" w:rsidR="00106FF9" w:rsidRPr="007B26A2" w:rsidRDefault="00106FF9" w:rsidP="00106FF9">
      <w:pPr>
        <w:pStyle w:val="Heading2"/>
        <w:numPr>
          <w:ilvl w:val="0"/>
          <w:numId w:val="0"/>
        </w:numPr>
        <w:tabs>
          <w:tab w:val="left" w:pos="709"/>
        </w:tabs>
        <w:ind w:left="1440" w:hanging="731"/>
        <w:rPr>
          <w:lang w:val="fr-FR"/>
        </w:rPr>
      </w:pPr>
      <w:r w:rsidRPr="007B26A2">
        <w:rPr>
          <w:lang w:val="fr-FR"/>
        </w:rPr>
        <w:t>d)</w:t>
      </w:r>
      <w:r w:rsidRPr="007B26A2">
        <w:rPr>
          <w:lang w:val="fr-FR"/>
        </w:rPr>
        <w:tab/>
        <w:t>Demander au gouvernement</w:t>
      </w:r>
      <w:r w:rsidR="00D16F71">
        <w:rPr>
          <w:lang w:val="fr-FR"/>
        </w:rPr>
        <w:t xml:space="preserve"> de la Chine</w:t>
      </w:r>
      <w:r w:rsidRPr="007B26A2">
        <w:rPr>
          <w:lang w:val="fr-FR"/>
        </w:rPr>
        <w:t xml:space="preserve"> de fourn</w:t>
      </w:r>
      <w:r w:rsidR="007B26A2">
        <w:rPr>
          <w:lang w:val="fr-FR"/>
        </w:rPr>
        <w:t>ir par l’entremise de la Banque</w:t>
      </w:r>
      <w:r w:rsidRPr="007B26A2">
        <w:rPr>
          <w:lang w:val="fr-FR"/>
        </w:rPr>
        <w:t xml:space="preserve"> mondiale des informations supplémentaires sur les activités proposées dans le cadre du plan du secteur de l’agent de transformation II, leur budget, et un rapport périodique sur leur mise en œuvre pour la 8</w:t>
      </w:r>
      <w:r w:rsidR="007B26A2">
        <w:rPr>
          <w:lang w:val="fr-FR"/>
        </w:rPr>
        <w:t>5</w:t>
      </w:r>
      <w:r w:rsidR="007B26A2" w:rsidRPr="007B26A2">
        <w:rPr>
          <w:vertAlign w:val="superscript"/>
          <w:lang w:val="fr-FR"/>
        </w:rPr>
        <w:t>e</w:t>
      </w:r>
      <w:r w:rsidR="007B26A2">
        <w:rPr>
          <w:lang w:val="fr-FR"/>
        </w:rPr>
        <w:t xml:space="preserve"> réunion</w:t>
      </w:r>
      <w:r w:rsidRPr="007B26A2">
        <w:rPr>
          <w:lang w:val="fr-FR"/>
        </w:rPr>
        <w:t>; et</w:t>
      </w:r>
    </w:p>
    <w:p w14:paraId="18E282BF" w14:textId="4D67165E" w:rsidR="00106FF9" w:rsidRPr="007B26A2" w:rsidRDefault="00106FF9" w:rsidP="00106FF9">
      <w:pPr>
        <w:pStyle w:val="Heading2"/>
        <w:numPr>
          <w:ilvl w:val="0"/>
          <w:numId w:val="0"/>
        </w:numPr>
        <w:ind w:left="1440" w:hanging="731"/>
        <w:rPr>
          <w:lang w:val="fr-FR"/>
        </w:rPr>
      </w:pPr>
      <w:r w:rsidRPr="007B26A2">
        <w:rPr>
          <w:lang w:val="fr-FR"/>
        </w:rPr>
        <w:t xml:space="preserve">e) </w:t>
      </w:r>
      <w:r w:rsidRPr="007B26A2">
        <w:rPr>
          <w:lang w:val="fr-FR"/>
        </w:rPr>
        <w:tab/>
        <w:t>Demander à la Banque mondiale de présenter une traduction en anglais de l’étude sur la production de CTC en Chine et son utilisation comme matière première soumise conformément à la décision 75/18, dès que possible afin qu’elle puisse être présentée à la 8</w:t>
      </w:r>
      <w:r w:rsidR="007B26A2" w:rsidRPr="007B26A2">
        <w:rPr>
          <w:lang w:val="fr-FR"/>
        </w:rPr>
        <w:t>5</w:t>
      </w:r>
      <w:r w:rsidR="007B26A2" w:rsidRPr="007B26A2">
        <w:rPr>
          <w:vertAlign w:val="superscript"/>
          <w:lang w:val="fr-FR"/>
        </w:rPr>
        <w:t>e</w:t>
      </w:r>
      <w:r w:rsidR="007B26A2" w:rsidRPr="007B26A2">
        <w:rPr>
          <w:lang w:val="fr-FR"/>
        </w:rPr>
        <w:t xml:space="preserve"> </w:t>
      </w:r>
      <w:r w:rsidRPr="007B26A2">
        <w:rPr>
          <w:lang w:val="fr-FR"/>
        </w:rPr>
        <w:t>réunion.</w:t>
      </w:r>
    </w:p>
    <w:p w14:paraId="68F1CF6B" w14:textId="7D1FD67C" w:rsidR="002A1F7A" w:rsidRPr="00944BFF" w:rsidRDefault="002A1F7A" w:rsidP="002A1F7A">
      <w:pPr>
        <w:spacing w:after="240"/>
        <w:ind w:left="709"/>
        <w:rPr>
          <w:i/>
          <w:lang w:val="fr-FR"/>
        </w:rPr>
      </w:pPr>
      <w:r w:rsidRPr="007B26A2">
        <w:rPr>
          <w:i/>
          <w:lang w:val="fr-FR"/>
        </w:rPr>
        <w:t>Part</w:t>
      </w:r>
      <w:r w:rsidR="008E0DB5" w:rsidRPr="007B26A2">
        <w:rPr>
          <w:i/>
          <w:lang w:val="fr-FR"/>
        </w:rPr>
        <w:t>ie</w:t>
      </w:r>
      <w:r w:rsidRPr="007B26A2">
        <w:rPr>
          <w:i/>
          <w:lang w:val="fr-FR"/>
        </w:rPr>
        <w:t xml:space="preserve"> IV: </w:t>
      </w:r>
      <w:r w:rsidR="007B26A2" w:rsidRPr="007B26A2">
        <w:rPr>
          <w:i/>
          <w:lang w:val="fr-FR"/>
        </w:rPr>
        <w:t xml:space="preserve">Plan sectoriel pour l’élimination de la consommation de bromure de méthyle </w:t>
      </w:r>
      <w:r w:rsidR="008E0DB5" w:rsidRPr="007B26A2">
        <w:rPr>
          <w:i/>
          <w:lang w:val="fr-FR"/>
        </w:rPr>
        <w:t>(décision</w:t>
      </w:r>
      <w:r w:rsidR="00D16F71">
        <w:rPr>
          <w:i/>
          <w:lang w:val="fr-FR"/>
        </w:rPr>
        <w:t> </w:t>
      </w:r>
      <w:r w:rsidR="008E0DB5" w:rsidRPr="007B26A2">
        <w:rPr>
          <w:i/>
          <w:lang w:val="fr-FR"/>
        </w:rPr>
        <w:t>82/18(c)) (</w:t>
      </w:r>
      <w:r w:rsidRPr="007B26A2">
        <w:rPr>
          <w:i/>
          <w:lang w:val="fr-FR"/>
        </w:rPr>
        <w:t>O</w:t>
      </w:r>
      <w:r w:rsidR="008E0DB5" w:rsidRPr="007B26A2">
        <w:rPr>
          <w:i/>
          <w:lang w:val="fr-FR"/>
        </w:rPr>
        <w:t>NUDI</w:t>
      </w:r>
      <w:r w:rsidRPr="007B26A2">
        <w:rPr>
          <w:i/>
          <w:lang w:val="fr-FR"/>
        </w:rPr>
        <w:t>) (paragraph</w:t>
      </w:r>
      <w:r w:rsidR="008E0DB5" w:rsidRPr="007B26A2">
        <w:rPr>
          <w:i/>
          <w:lang w:val="fr-FR"/>
        </w:rPr>
        <w:t>e</w:t>
      </w:r>
      <w:r w:rsidRPr="007B26A2">
        <w:rPr>
          <w:i/>
          <w:lang w:val="fr-FR"/>
        </w:rPr>
        <w:t>s 187-201)</w:t>
      </w:r>
    </w:p>
    <w:p w14:paraId="1FAF2898" w14:textId="2D36EE0C" w:rsidR="002A1F7A" w:rsidRPr="00944BFF" w:rsidRDefault="008E0DB5"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r w:rsidRPr="00944BFF">
        <w:rPr>
          <w:color w:val="000000" w:themeColor="text1"/>
          <w:lang w:val="fr-FR"/>
        </w:rPr>
        <w:t>Aucu</w:t>
      </w:r>
      <w:r w:rsidR="002A1F7A" w:rsidRPr="00944BFF">
        <w:rPr>
          <w:color w:val="000000" w:themeColor="text1"/>
          <w:lang w:val="fr-FR"/>
        </w:rPr>
        <w:t>ne</w:t>
      </w:r>
    </w:p>
    <w:p w14:paraId="1DB51834" w14:textId="484F9DBC" w:rsidR="002A1F7A" w:rsidRPr="007B26A2" w:rsidRDefault="008E0DB5" w:rsidP="002A1F7A">
      <w:pPr>
        <w:keepNext/>
        <w:spacing w:after="240"/>
        <w:ind w:left="706"/>
        <w:outlineLvl w:val="0"/>
        <w:rPr>
          <w:rFonts w:eastAsiaTheme="minorEastAsia"/>
          <w:lang w:val="fr-FR"/>
        </w:rPr>
      </w:pPr>
      <w:r w:rsidRPr="007B26A2">
        <w:rPr>
          <w:color w:val="000000" w:themeColor="text1"/>
          <w:u w:val="single"/>
          <w:lang w:val="fr-FR"/>
        </w:rPr>
        <w:t>L</w:t>
      </w:r>
      <w:r w:rsidR="002A1F7A" w:rsidRPr="007B26A2">
        <w:rPr>
          <w:color w:val="000000" w:themeColor="text1"/>
          <w:u w:val="single"/>
          <w:lang w:val="fr-FR"/>
        </w:rPr>
        <w:t>e</w:t>
      </w:r>
      <w:r w:rsidRPr="007B26A2">
        <w:rPr>
          <w:color w:val="000000" w:themeColor="text1"/>
          <w:u w:val="single"/>
          <w:lang w:val="fr-FR"/>
        </w:rPr>
        <w:t xml:space="preserve"> Comité exé</w:t>
      </w:r>
      <w:r w:rsidR="002A1F7A" w:rsidRPr="007B26A2">
        <w:rPr>
          <w:color w:val="000000" w:themeColor="text1"/>
          <w:u w:val="single"/>
          <w:lang w:val="fr-FR"/>
        </w:rPr>
        <w:t>cuti</w:t>
      </w:r>
      <w:r w:rsidRPr="007B26A2">
        <w:rPr>
          <w:color w:val="000000" w:themeColor="text1"/>
          <w:u w:val="single"/>
          <w:lang w:val="fr-FR"/>
        </w:rPr>
        <w:t xml:space="preserve">f pourrait souhaiter </w:t>
      </w:r>
      <w:r w:rsidR="002A1F7A" w:rsidRPr="007B26A2">
        <w:rPr>
          <w:color w:val="000000" w:themeColor="text1"/>
          <w:lang w:val="fr-FR"/>
        </w:rPr>
        <w:t xml:space="preserve">: </w:t>
      </w:r>
    </w:p>
    <w:p w14:paraId="149AF904" w14:textId="0896EEEF" w:rsidR="007B26A2" w:rsidRPr="008048E8" w:rsidRDefault="007B26A2" w:rsidP="007B26A2">
      <w:pPr>
        <w:pStyle w:val="Heading2"/>
        <w:numPr>
          <w:ilvl w:val="0"/>
          <w:numId w:val="0"/>
        </w:numPr>
        <w:ind w:left="1440" w:hanging="720"/>
      </w:pPr>
      <w:r>
        <w:t>a)</w:t>
      </w:r>
      <w:r>
        <w:tab/>
      </w:r>
      <w:r w:rsidRPr="008048E8">
        <w:t>Prendre note :</w:t>
      </w:r>
    </w:p>
    <w:p w14:paraId="184FC228" w14:textId="5E35F292" w:rsidR="007B26A2" w:rsidRPr="008048E8" w:rsidRDefault="007B26A2" w:rsidP="00761F88">
      <w:pPr>
        <w:pStyle w:val="Heading2"/>
        <w:numPr>
          <w:ilvl w:val="0"/>
          <w:numId w:val="36"/>
        </w:numPr>
        <w:rPr>
          <w:lang w:val="fr-FR"/>
        </w:rPr>
      </w:pPr>
      <w:r w:rsidRPr="008048E8">
        <w:rPr>
          <w:lang w:val="fr-FR"/>
        </w:rPr>
        <w:t>Du rapport final sur la mise en œuvre de la phase II du plan national d’élimination du bromure de méthyle en Chine, présenté par l’ONUDI et figurant dans le document UNEP/OzL.Pro/ExCom/83/11/Add.1 ;</w:t>
      </w:r>
    </w:p>
    <w:p w14:paraId="46D838BF" w14:textId="7ABDE48F" w:rsidR="007B26A2" w:rsidRPr="008048E8" w:rsidRDefault="007B26A2" w:rsidP="00761F88">
      <w:pPr>
        <w:pStyle w:val="Heading2"/>
        <w:numPr>
          <w:ilvl w:val="0"/>
          <w:numId w:val="36"/>
        </w:numPr>
        <w:rPr>
          <w:lang w:val="fr-FR"/>
        </w:rPr>
      </w:pPr>
      <w:r w:rsidRPr="008048E8">
        <w:rPr>
          <w:lang w:val="fr-FR"/>
        </w:rPr>
        <w:t>Qu’aucune consommation de bromure de méthyle n’a été signalée en Chine pour 2018, sauf pour les dérogations pour utilisations essentielles par les Parties au Protocole de Montréal ;</w:t>
      </w:r>
    </w:p>
    <w:p w14:paraId="7005C469" w14:textId="287CFABA" w:rsidR="007B26A2" w:rsidRPr="008048E8" w:rsidRDefault="007B26A2" w:rsidP="006823BA">
      <w:pPr>
        <w:pStyle w:val="Heading2"/>
        <w:keepNext/>
        <w:keepLines/>
        <w:numPr>
          <w:ilvl w:val="0"/>
          <w:numId w:val="0"/>
        </w:numPr>
        <w:ind w:left="1440" w:hanging="720"/>
        <w:rPr>
          <w:lang w:val="fr-FR"/>
        </w:rPr>
      </w:pPr>
      <w:r>
        <w:rPr>
          <w:lang w:val="fr-FR"/>
        </w:rPr>
        <w:lastRenderedPageBreak/>
        <w:t>b)</w:t>
      </w:r>
      <w:r>
        <w:rPr>
          <w:lang w:val="fr-FR"/>
        </w:rPr>
        <w:tab/>
      </w:r>
      <w:r w:rsidRPr="008048E8">
        <w:rPr>
          <w:lang w:val="fr-FR"/>
        </w:rPr>
        <w:t>Demander au gouvernement de la Chine et à l’ONUDI :</w:t>
      </w:r>
    </w:p>
    <w:p w14:paraId="284CE5DC" w14:textId="79902E1E" w:rsidR="007B26A2" w:rsidRPr="008048E8" w:rsidRDefault="007B26A2" w:rsidP="006823BA">
      <w:pPr>
        <w:pStyle w:val="Heading2"/>
        <w:keepNext/>
        <w:keepLines/>
        <w:numPr>
          <w:ilvl w:val="0"/>
          <w:numId w:val="0"/>
        </w:numPr>
        <w:ind w:left="2160" w:hanging="720"/>
        <w:rPr>
          <w:lang w:val="fr-FR"/>
        </w:rPr>
      </w:pPr>
      <w:r>
        <w:rPr>
          <w:lang w:val="fr-FR"/>
        </w:rPr>
        <w:t>i)</w:t>
      </w:r>
      <w:r>
        <w:rPr>
          <w:lang w:val="fr-FR"/>
        </w:rPr>
        <w:tab/>
      </w:r>
      <w:r w:rsidRPr="008048E8">
        <w:rPr>
          <w:lang w:val="fr-FR"/>
        </w:rPr>
        <w:t>D’inclure dans la vérification de la production de bromure de méthyle en 2018 demandée par la décision 82/19(e) les quantités utilisées pour la consommation de bromure de méthyle ; et</w:t>
      </w:r>
    </w:p>
    <w:p w14:paraId="291AEA30" w14:textId="409A34FC" w:rsidR="007B26A2" w:rsidRPr="008048E8" w:rsidRDefault="00F53D65" w:rsidP="00F53D65">
      <w:pPr>
        <w:pStyle w:val="Heading2"/>
        <w:numPr>
          <w:ilvl w:val="0"/>
          <w:numId w:val="0"/>
        </w:numPr>
        <w:ind w:left="2160" w:hanging="720"/>
        <w:rPr>
          <w:lang w:val="fr-FR"/>
        </w:rPr>
      </w:pPr>
      <w:r>
        <w:rPr>
          <w:lang w:val="fr-FR"/>
        </w:rPr>
        <w:t>ii)</w:t>
      </w:r>
      <w:r>
        <w:rPr>
          <w:lang w:val="fr-FR"/>
        </w:rPr>
        <w:tab/>
      </w:r>
      <w:r w:rsidR="007B26A2" w:rsidRPr="008048E8">
        <w:rPr>
          <w:lang w:val="fr-FR"/>
        </w:rPr>
        <w:t>De présenter le rapport d’achèvement du projet au plus tard à la 84</w:t>
      </w:r>
      <w:r w:rsidR="007B26A2" w:rsidRPr="008048E8">
        <w:rPr>
          <w:vertAlign w:val="superscript"/>
          <w:lang w:val="fr-FR"/>
        </w:rPr>
        <w:t>e</w:t>
      </w:r>
      <w:r w:rsidR="007B26A2" w:rsidRPr="008048E8">
        <w:rPr>
          <w:lang w:val="fr-FR"/>
        </w:rPr>
        <w:t xml:space="preserve"> réunion conformément à la décision 82/18(c).</w:t>
      </w:r>
    </w:p>
    <w:p w14:paraId="27314805" w14:textId="226E785D" w:rsidR="002A1F7A" w:rsidRPr="007B26A2" w:rsidRDefault="002A1F7A" w:rsidP="002A1F7A">
      <w:pPr>
        <w:pStyle w:val="ListParagraph"/>
        <w:spacing w:after="240"/>
        <w:ind w:left="709"/>
        <w:jc w:val="both"/>
        <w:rPr>
          <w:i/>
          <w:lang w:val="fr-FR"/>
        </w:rPr>
      </w:pPr>
      <w:r w:rsidRPr="007B26A2">
        <w:rPr>
          <w:i/>
          <w:lang w:val="fr-FR"/>
        </w:rPr>
        <w:t>Part</w:t>
      </w:r>
      <w:r w:rsidR="008E0DB5" w:rsidRPr="007B26A2">
        <w:rPr>
          <w:i/>
          <w:lang w:val="fr-FR"/>
        </w:rPr>
        <w:t>ie</w:t>
      </w:r>
      <w:r w:rsidRPr="007B26A2">
        <w:rPr>
          <w:i/>
          <w:lang w:val="fr-FR"/>
        </w:rPr>
        <w:t xml:space="preserve"> V:</w:t>
      </w:r>
      <w:r w:rsidR="007B26A2" w:rsidRPr="007B26A2">
        <w:rPr>
          <w:i/>
          <w:lang w:val="fr-FR"/>
        </w:rPr>
        <w:t xml:space="preserve"> Plan sectoriel pour l’élimination de la production du bromure de méthyle</w:t>
      </w:r>
      <w:r w:rsidRPr="007B26A2">
        <w:rPr>
          <w:i/>
          <w:lang w:val="fr-FR"/>
        </w:rPr>
        <w:t xml:space="preserve"> (</w:t>
      </w:r>
      <w:r w:rsidR="008E0DB5" w:rsidRPr="007B26A2">
        <w:rPr>
          <w:i/>
          <w:lang w:val="fr-FR"/>
        </w:rPr>
        <w:t>décision</w:t>
      </w:r>
      <w:r w:rsidR="002F1864">
        <w:rPr>
          <w:i/>
          <w:lang w:val="fr-FR"/>
        </w:rPr>
        <w:t> </w:t>
      </w:r>
      <w:r w:rsidR="008E0DB5" w:rsidRPr="007B26A2">
        <w:rPr>
          <w:i/>
          <w:lang w:val="fr-FR"/>
        </w:rPr>
        <w:t>82/19(c) et (d)) (</w:t>
      </w:r>
      <w:r w:rsidRPr="007B26A2">
        <w:rPr>
          <w:i/>
          <w:lang w:val="fr-FR"/>
        </w:rPr>
        <w:t>O</w:t>
      </w:r>
      <w:r w:rsidR="008E0DB5" w:rsidRPr="007B26A2">
        <w:rPr>
          <w:i/>
          <w:lang w:val="fr-FR"/>
        </w:rPr>
        <w:t>NUDI</w:t>
      </w:r>
      <w:r w:rsidRPr="007B26A2">
        <w:rPr>
          <w:i/>
          <w:lang w:val="fr-FR"/>
        </w:rPr>
        <w:t>) (paragraph</w:t>
      </w:r>
      <w:r w:rsidR="008E0DB5" w:rsidRPr="007B26A2">
        <w:rPr>
          <w:i/>
          <w:lang w:val="fr-FR"/>
        </w:rPr>
        <w:t>e</w:t>
      </w:r>
      <w:r w:rsidRPr="007B26A2">
        <w:rPr>
          <w:i/>
          <w:lang w:val="fr-FR"/>
        </w:rPr>
        <w:t>s 202-213)</w:t>
      </w:r>
    </w:p>
    <w:p w14:paraId="28A49E84" w14:textId="7330AE41" w:rsidR="002A1F7A" w:rsidRPr="00944BFF" w:rsidRDefault="008E0DB5"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67722834" w14:textId="008ADA25" w:rsidR="00B67D4E" w:rsidRPr="00B606A9" w:rsidRDefault="008E0DB5" w:rsidP="001963F3">
      <w:pPr>
        <w:pStyle w:val="ListParagraph"/>
        <w:numPr>
          <w:ilvl w:val="0"/>
          <w:numId w:val="11"/>
        </w:numPr>
        <w:spacing w:after="240"/>
        <w:jc w:val="both"/>
        <w:rPr>
          <w:color w:val="000000" w:themeColor="text1"/>
          <w:lang w:val="fr-FR"/>
        </w:rPr>
      </w:pPr>
      <w:r w:rsidRPr="00944BFF">
        <w:rPr>
          <w:color w:val="000000" w:themeColor="text1"/>
          <w:lang w:val="fr-FR"/>
        </w:rPr>
        <w:t>Information</w:t>
      </w:r>
      <w:r w:rsidR="007B26A2">
        <w:rPr>
          <w:color w:val="000000" w:themeColor="text1"/>
          <w:lang w:val="fr-FR"/>
        </w:rPr>
        <w:t>s</w:t>
      </w:r>
      <w:r w:rsidRPr="00944BFF">
        <w:rPr>
          <w:color w:val="000000" w:themeColor="text1"/>
          <w:lang w:val="fr-FR"/>
        </w:rPr>
        <w:t xml:space="preserve"> supplémentaire</w:t>
      </w:r>
      <w:r w:rsidR="007B26A2">
        <w:rPr>
          <w:color w:val="000000" w:themeColor="text1"/>
          <w:lang w:val="fr-FR"/>
        </w:rPr>
        <w:t>s</w:t>
      </w:r>
      <w:r w:rsidRPr="00944BFF">
        <w:rPr>
          <w:color w:val="000000" w:themeColor="text1"/>
          <w:lang w:val="fr-FR"/>
        </w:rPr>
        <w:t xml:space="preserve"> concernant le plan de travail de 2019-2021 </w:t>
      </w:r>
    </w:p>
    <w:p w14:paraId="1F81A310" w14:textId="5845A9DF" w:rsidR="002A1F7A" w:rsidRPr="007B26A2" w:rsidRDefault="008E0DB5" w:rsidP="002A1F7A">
      <w:pPr>
        <w:keepNext/>
        <w:keepLines/>
        <w:spacing w:after="240"/>
        <w:ind w:left="709"/>
        <w:outlineLvl w:val="0"/>
        <w:rPr>
          <w:rFonts w:eastAsiaTheme="minorEastAsia"/>
          <w:lang w:val="fr-FR"/>
        </w:rPr>
      </w:pPr>
      <w:r w:rsidRPr="007B26A2">
        <w:rPr>
          <w:color w:val="000000" w:themeColor="text1"/>
          <w:u w:val="single"/>
          <w:lang w:val="fr-FR"/>
        </w:rPr>
        <w:t>L</w:t>
      </w:r>
      <w:r w:rsidR="002A1F7A" w:rsidRPr="007B26A2">
        <w:rPr>
          <w:color w:val="000000" w:themeColor="text1"/>
          <w:u w:val="single"/>
          <w:lang w:val="fr-FR"/>
        </w:rPr>
        <w:t xml:space="preserve">e </w:t>
      </w:r>
      <w:r w:rsidRPr="007B26A2">
        <w:rPr>
          <w:color w:val="000000" w:themeColor="text1"/>
          <w:u w:val="single"/>
          <w:lang w:val="fr-FR"/>
        </w:rPr>
        <w:t xml:space="preserve">Comité exécutif pourrait souhaiter </w:t>
      </w:r>
      <w:r w:rsidR="002A1F7A" w:rsidRPr="007B26A2">
        <w:rPr>
          <w:color w:val="000000" w:themeColor="text1"/>
          <w:lang w:val="fr-FR"/>
        </w:rPr>
        <w:t xml:space="preserve">: </w:t>
      </w:r>
    </w:p>
    <w:p w14:paraId="0C195E59" w14:textId="26708D49" w:rsidR="007B26A2" w:rsidRPr="008048E8" w:rsidRDefault="007B26A2" w:rsidP="007B26A2">
      <w:pPr>
        <w:pStyle w:val="Heading2"/>
        <w:numPr>
          <w:ilvl w:val="0"/>
          <w:numId w:val="0"/>
        </w:numPr>
        <w:ind w:left="1440" w:hanging="720"/>
        <w:rPr>
          <w:lang w:val="fr-FR"/>
        </w:rPr>
      </w:pPr>
      <w:r>
        <w:rPr>
          <w:lang w:val="fr-FR"/>
        </w:rPr>
        <w:t>a)</w:t>
      </w:r>
      <w:r>
        <w:rPr>
          <w:lang w:val="fr-FR"/>
        </w:rPr>
        <w:tab/>
      </w:r>
      <w:r w:rsidRPr="008048E8">
        <w:rPr>
          <w:lang w:val="fr-FR"/>
        </w:rPr>
        <w:t>Prendre note du rapport périodique sur le contrat relatif au développement du système d’information de gestion (SIG) et de son intégration dans le programme de surveillance et de supervision que l’Administration des douanes cherche à mettre en œuvre, et à la mise à jour du plan de travail afin de garantir la surveillance à long terme du bromure de méthyle après l’achèvement du plan d’élimination de la production de bromure de méthyle présenté par l’ONUDI et figurant dans le document</w:t>
      </w:r>
      <w:r w:rsidR="002F1864">
        <w:rPr>
          <w:lang w:val="fr-FR"/>
        </w:rPr>
        <w:t> </w:t>
      </w:r>
      <w:r w:rsidRPr="008048E8">
        <w:rPr>
          <w:lang w:val="fr-FR"/>
        </w:rPr>
        <w:t xml:space="preserve">UNEP/OzL.Pro/ExCom/83/11/Add.1 ; </w:t>
      </w:r>
    </w:p>
    <w:p w14:paraId="44453C19" w14:textId="604E1A1A" w:rsidR="007B26A2" w:rsidRPr="008048E8" w:rsidRDefault="007B26A2" w:rsidP="007B26A2">
      <w:pPr>
        <w:pStyle w:val="Heading2"/>
        <w:numPr>
          <w:ilvl w:val="0"/>
          <w:numId w:val="0"/>
        </w:numPr>
        <w:ind w:left="1440" w:hanging="720"/>
        <w:rPr>
          <w:lang w:val="fr-FR"/>
        </w:rPr>
      </w:pPr>
      <w:r>
        <w:rPr>
          <w:lang w:val="fr-FR"/>
        </w:rPr>
        <w:t>b)</w:t>
      </w:r>
      <w:r>
        <w:rPr>
          <w:lang w:val="fr-FR"/>
        </w:rPr>
        <w:tab/>
      </w:r>
      <w:r w:rsidRPr="008048E8">
        <w:rPr>
          <w:lang w:val="fr-FR"/>
        </w:rPr>
        <w:t>Demander au gouvernement de la Chine, par l’entremise de l’ONUDI, de fournir pour la 84e réunion une mise à jour sur le contrat de développement du SIG et de son intégration dans le programme de surveillance et de supervision qui sera mis en œuvre par l’Administration des douanes, étant entendu que si le contrat n’a pas été signé le premier jour de la réunion, le montant de 250 000 $US, plus les coûts d’appui d’agence de</w:t>
      </w:r>
      <w:r>
        <w:rPr>
          <w:lang w:val="fr-FR"/>
        </w:rPr>
        <w:t xml:space="preserve"> </w:t>
      </w:r>
      <w:r w:rsidRPr="008048E8">
        <w:rPr>
          <w:lang w:val="fr-FR"/>
        </w:rPr>
        <w:t>18</w:t>
      </w:r>
      <w:r w:rsidR="002F1864">
        <w:rPr>
          <w:lang w:val="fr-FR"/>
        </w:rPr>
        <w:t> </w:t>
      </w:r>
      <w:r w:rsidRPr="008048E8">
        <w:rPr>
          <w:lang w:val="fr-FR"/>
        </w:rPr>
        <w:t>750 $US pour l’ONUDI liés à l’activité seraient restitués au Fonds multilatéral ; et</w:t>
      </w:r>
    </w:p>
    <w:p w14:paraId="5FFFBF78" w14:textId="34C14D48" w:rsidR="007B26A2" w:rsidRDefault="007B26A2" w:rsidP="007B26A2">
      <w:pPr>
        <w:pStyle w:val="Heading2"/>
        <w:numPr>
          <w:ilvl w:val="0"/>
          <w:numId w:val="0"/>
        </w:numPr>
        <w:ind w:left="1440" w:hanging="720"/>
        <w:rPr>
          <w:lang w:val="fr-FR"/>
        </w:rPr>
      </w:pPr>
      <w:r>
        <w:rPr>
          <w:lang w:val="fr-FR"/>
        </w:rPr>
        <w:t>c)</w:t>
      </w:r>
      <w:r>
        <w:rPr>
          <w:lang w:val="fr-FR"/>
        </w:rPr>
        <w:tab/>
      </w:r>
      <w:r w:rsidRPr="008048E8">
        <w:rPr>
          <w:lang w:val="fr-FR"/>
        </w:rPr>
        <w:t>Demander au gouvernement de la Chine, par l’entremise de l’ONUDI, d’inclure une mise à jour du système d’étiquetage et de traçabilité du bromure de méthyle dans le rapport annuel sur l’état de mise en œuvre du plan sectoriel d’élimination de la production de bromure de méthyle en Chine qui doit être présenté à la 8</w:t>
      </w:r>
      <w:r>
        <w:rPr>
          <w:lang w:val="fr-FR"/>
        </w:rPr>
        <w:t>4</w:t>
      </w:r>
      <w:r w:rsidRPr="007B26A2">
        <w:rPr>
          <w:vertAlign w:val="superscript"/>
          <w:lang w:val="fr-FR"/>
        </w:rPr>
        <w:t>e</w:t>
      </w:r>
      <w:r>
        <w:rPr>
          <w:lang w:val="fr-FR"/>
        </w:rPr>
        <w:t xml:space="preserve"> </w:t>
      </w:r>
      <w:r w:rsidRPr="008048E8">
        <w:rPr>
          <w:lang w:val="fr-FR"/>
        </w:rPr>
        <w:t>réunion conformément à la décision 82/19.</w:t>
      </w:r>
    </w:p>
    <w:p w14:paraId="00866937" w14:textId="3066B823" w:rsidR="002A1F7A" w:rsidRPr="00944BFF" w:rsidRDefault="00B965DD" w:rsidP="00B67D4E">
      <w:pPr>
        <w:pStyle w:val="Heading2"/>
        <w:widowControl/>
        <w:numPr>
          <w:ilvl w:val="0"/>
          <w:numId w:val="0"/>
        </w:numPr>
        <w:ind w:left="709"/>
        <w:rPr>
          <w:b/>
          <w:lang w:val="fr-FR"/>
        </w:rPr>
      </w:pPr>
      <w:r>
        <w:rPr>
          <w:b/>
          <w:lang w:val="fr-FR"/>
        </w:rPr>
        <w:t>b)</w:t>
      </w:r>
      <w:r>
        <w:rPr>
          <w:b/>
          <w:lang w:val="fr-FR"/>
        </w:rPr>
        <w:tab/>
      </w:r>
      <w:r w:rsidR="008E0DB5" w:rsidRPr="00944BFF">
        <w:rPr>
          <w:b/>
          <w:lang w:val="fr-FR"/>
        </w:rPr>
        <w:t xml:space="preserve">Rapport global d’achèvement des projets de 2019 </w:t>
      </w:r>
    </w:p>
    <w:p w14:paraId="3F7F1B41" w14:textId="224226A3" w:rsidR="002A1F7A" w:rsidRPr="00944BFF" w:rsidRDefault="006A6FA0" w:rsidP="002A1F7A">
      <w:pPr>
        <w:keepNext/>
        <w:spacing w:after="240"/>
        <w:ind w:left="709"/>
        <w:rPr>
          <w:color w:val="000000" w:themeColor="text1"/>
          <w:u w:val="single"/>
          <w:lang w:val="fr-FR"/>
        </w:rPr>
      </w:pPr>
      <w:r w:rsidRPr="00944BFF">
        <w:rPr>
          <w:color w:val="000000" w:themeColor="text1"/>
          <w:lang w:val="fr-FR"/>
        </w:rPr>
        <w:t xml:space="preserve">Le </w:t>
      </w:r>
      <w:r w:rsidRPr="00944BFF">
        <w:rPr>
          <w:color w:val="000000" w:themeColor="text1"/>
          <w:u w:val="single"/>
          <w:lang w:val="fr-FR"/>
        </w:rPr>
        <w:t>do</w:t>
      </w:r>
      <w:r w:rsidR="002A1F7A" w:rsidRPr="00944BFF">
        <w:rPr>
          <w:color w:val="000000" w:themeColor="text1"/>
          <w:u w:val="single"/>
          <w:lang w:val="fr-FR"/>
        </w:rPr>
        <w:t>cument UNEP/Oz</w:t>
      </w:r>
      <w:r w:rsidR="002A1F7A" w:rsidRPr="00944BFF">
        <w:rPr>
          <w:color w:val="000000" w:themeColor="text1"/>
          <w:szCs w:val="24"/>
          <w:u w:val="single"/>
          <w:lang w:val="fr-FR"/>
        </w:rPr>
        <w:t>L.Pro/ExCom/83/12</w:t>
      </w:r>
      <w:r w:rsidR="002A1F7A" w:rsidRPr="00944BFF">
        <w:rPr>
          <w:color w:val="000000" w:themeColor="text1"/>
          <w:szCs w:val="24"/>
          <w:lang w:val="fr-FR"/>
        </w:rPr>
        <w:t xml:space="preserve"> </w:t>
      </w:r>
      <w:r w:rsidR="00ED0C2B">
        <w:rPr>
          <w:color w:val="000000" w:themeColor="text1"/>
          <w:lang w:val="fr-FR"/>
        </w:rPr>
        <w:t>pré</w:t>
      </w:r>
      <w:r w:rsidR="002A1F7A" w:rsidRPr="00944BFF">
        <w:rPr>
          <w:color w:val="000000" w:themeColor="text1"/>
          <w:lang w:val="fr-FR"/>
        </w:rPr>
        <w:t>sent</w:t>
      </w:r>
      <w:r w:rsidR="00ED0C2B">
        <w:rPr>
          <w:color w:val="000000" w:themeColor="text1"/>
          <w:lang w:val="fr-FR"/>
        </w:rPr>
        <w:t>e un aperçu des principales leçons tirées des rapports d’achèvement de projet (RAP)</w:t>
      </w:r>
      <w:r w:rsidR="00B965DD">
        <w:rPr>
          <w:color w:val="000000" w:themeColor="text1"/>
          <w:lang w:val="fr-FR"/>
        </w:rPr>
        <w:t xml:space="preserve"> reçus,</w:t>
      </w:r>
      <w:r w:rsidR="00ED0C2B">
        <w:rPr>
          <w:color w:val="000000" w:themeColor="text1"/>
          <w:lang w:val="fr-FR"/>
        </w:rPr>
        <w:t xml:space="preserve"> tant pour de</w:t>
      </w:r>
      <w:r w:rsidR="002A1F7A" w:rsidRPr="00944BFF">
        <w:rPr>
          <w:color w:val="000000" w:themeColor="text1"/>
          <w:lang w:val="fr-FR"/>
        </w:rPr>
        <w:t>s a</w:t>
      </w:r>
      <w:r w:rsidR="00ED0C2B">
        <w:rPr>
          <w:color w:val="000000" w:themeColor="text1"/>
          <w:lang w:val="fr-FR"/>
        </w:rPr>
        <w:t>ccords plurian</w:t>
      </w:r>
      <w:r w:rsidR="002A1F7A" w:rsidRPr="00944BFF">
        <w:rPr>
          <w:color w:val="000000" w:themeColor="text1"/>
          <w:lang w:val="fr-FR"/>
        </w:rPr>
        <w:t>n</w:t>
      </w:r>
      <w:r w:rsidR="00ED0C2B">
        <w:rPr>
          <w:color w:val="000000" w:themeColor="text1"/>
          <w:lang w:val="fr-FR"/>
        </w:rPr>
        <w:t>uels que pou</w:t>
      </w:r>
      <w:r w:rsidR="00B965DD">
        <w:rPr>
          <w:color w:val="000000" w:themeColor="text1"/>
          <w:lang w:val="fr-FR"/>
        </w:rPr>
        <w:t xml:space="preserve">r des projets individuels, </w:t>
      </w:r>
      <w:r w:rsidR="00ED0C2B">
        <w:rPr>
          <w:color w:val="000000" w:themeColor="text1"/>
          <w:lang w:val="fr-FR"/>
        </w:rPr>
        <w:t>et un résumé des leçons tirées.</w:t>
      </w:r>
      <w:r w:rsidR="002A1F7A" w:rsidRPr="00944BFF">
        <w:rPr>
          <w:color w:val="000000" w:themeColor="text1"/>
          <w:lang w:val="fr-FR"/>
        </w:rPr>
        <w:t xml:space="preserve"> </w:t>
      </w:r>
    </w:p>
    <w:p w14:paraId="0A454FE7" w14:textId="5831C0E1" w:rsidR="002A1F7A" w:rsidRPr="00944BFF" w:rsidRDefault="006A6FA0" w:rsidP="002A1F7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2A1F7A" w:rsidRPr="00944BFF">
        <w:rPr>
          <w:color w:val="000000" w:themeColor="text1"/>
          <w:lang w:val="fr-FR"/>
        </w:rPr>
        <w:t>: </w:t>
      </w:r>
    </w:p>
    <w:p w14:paraId="20171435" w14:textId="28500918" w:rsidR="002A1F7A" w:rsidRPr="00944BFF" w:rsidRDefault="00ED0C2B" w:rsidP="00761F88">
      <w:pPr>
        <w:pStyle w:val="ListParagraph"/>
        <w:numPr>
          <w:ilvl w:val="0"/>
          <w:numId w:val="15"/>
        </w:numPr>
        <w:tabs>
          <w:tab w:val="left" w:pos="720"/>
          <w:tab w:val="left" w:pos="1440"/>
          <w:tab w:val="left" w:pos="2160"/>
        </w:tabs>
        <w:spacing w:after="240"/>
        <w:rPr>
          <w:color w:val="000000" w:themeColor="text1"/>
          <w:lang w:val="fr-FR"/>
        </w:rPr>
      </w:pPr>
      <w:r>
        <w:rPr>
          <w:color w:val="000000" w:themeColor="text1"/>
          <w:lang w:val="fr-FR"/>
        </w:rPr>
        <w:t>RAP en retard</w:t>
      </w:r>
    </w:p>
    <w:p w14:paraId="59022280" w14:textId="08AC4F08" w:rsidR="00ED0C2B" w:rsidRPr="00B965DD" w:rsidRDefault="00ED0C2B" w:rsidP="00ED0C2B">
      <w:pPr>
        <w:pStyle w:val="Heading1"/>
        <w:numPr>
          <w:ilvl w:val="0"/>
          <w:numId w:val="0"/>
        </w:numPr>
        <w:tabs>
          <w:tab w:val="left" w:pos="709"/>
        </w:tabs>
        <w:rPr>
          <w:u w:val="single"/>
          <w:lang w:val="fr-FR"/>
        </w:rPr>
      </w:pPr>
      <w:r>
        <w:rPr>
          <w:lang w:val="fr-FR"/>
        </w:rPr>
        <w:tab/>
      </w:r>
      <w:r w:rsidRPr="00B965DD">
        <w:rPr>
          <w:u w:val="single"/>
          <w:lang w:val="fr-FR"/>
        </w:rPr>
        <w:t>Le Comité exécutif pourrait souhaiter :</w:t>
      </w:r>
    </w:p>
    <w:p w14:paraId="41F266C3" w14:textId="11E5DC84" w:rsidR="00ED0C2B" w:rsidRPr="007B7BD5" w:rsidRDefault="00B965DD" w:rsidP="00ED0C2B">
      <w:pPr>
        <w:pStyle w:val="Heading2"/>
        <w:numPr>
          <w:ilvl w:val="0"/>
          <w:numId w:val="0"/>
        </w:numPr>
        <w:ind w:left="1440" w:hanging="720"/>
        <w:rPr>
          <w:lang w:val="fr-FR"/>
        </w:rPr>
      </w:pPr>
      <w:r>
        <w:rPr>
          <w:lang w:val="fr-FR"/>
        </w:rPr>
        <w:t>a)</w:t>
      </w:r>
      <w:r>
        <w:rPr>
          <w:lang w:val="fr-FR"/>
        </w:rPr>
        <w:tab/>
      </w:r>
      <w:r w:rsidR="00ED0C2B" w:rsidRPr="00151975">
        <w:rPr>
          <w:lang w:val="fr-FR"/>
        </w:rPr>
        <w:t>Prendre note du r</w:t>
      </w:r>
      <w:r w:rsidR="00ED0C2B">
        <w:rPr>
          <w:lang w:val="fr-FR"/>
        </w:rPr>
        <w:t xml:space="preserve">apport </w:t>
      </w:r>
      <w:r w:rsidR="00ED0C2B" w:rsidRPr="007B7BD5">
        <w:rPr>
          <w:lang w:val="fr-FR"/>
        </w:rPr>
        <w:t>global d’achèvement des projets (RAP) de 2019, contenu dans le document UNEP/OzL.Pro/ExCom/83/12;</w:t>
      </w:r>
    </w:p>
    <w:p w14:paraId="0B5D0DA7" w14:textId="2FDD786F" w:rsidR="00ED0C2B" w:rsidRPr="007B7BD5" w:rsidRDefault="00B965DD" w:rsidP="00ED0C2B">
      <w:pPr>
        <w:pStyle w:val="Heading2"/>
        <w:numPr>
          <w:ilvl w:val="0"/>
          <w:numId w:val="0"/>
        </w:numPr>
        <w:ind w:left="1440" w:hanging="720"/>
        <w:rPr>
          <w:lang w:val="fr-FR"/>
        </w:rPr>
      </w:pPr>
      <w:r>
        <w:rPr>
          <w:lang w:val="fr-FR"/>
        </w:rPr>
        <w:lastRenderedPageBreak/>
        <w:t>b)</w:t>
      </w:r>
      <w:r>
        <w:rPr>
          <w:lang w:val="fr-FR"/>
        </w:rPr>
        <w:tab/>
      </w:r>
      <w:r w:rsidR="00ED0C2B" w:rsidRPr="007B7BD5">
        <w:rPr>
          <w:lang w:val="fr-FR"/>
        </w:rPr>
        <w:t>Exhorter les agences bilatérales et d’exécution à soumettre, à la 84</w:t>
      </w:r>
      <w:r w:rsidR="00ED0C2B" w:rsidRPr="007B7BD5">
        <w:rPr>
          <w:vertAlign w:val="superscript"/>
          <w:lang w:val="fr-FR"/>
        </w:rPr>
        <w:t>e</w:t>
      </w:r>
      <w:r w:rsidR="00ED0C2B" w:rsidRPr="007B7BD5">
        <w:rPr>
          <w:lang w:val="fr-FR"/>
        </w:rPr>
        <w:t xml:space="preserve"> réunion, les RAP attendus pour les accords pluriannuels et pour des projets individuels et, à défaut, à fournir les raisons des retards;</w:t>
      </w:r>
    </w:p>
    <w:p w14:paraId="0BE165BC" w14:textId="6F4E333C" w:rsidR="00ED0C2B" w:rsidRPr="007B7BD5" w:rsidRDefault="00B965DD" w:rsidP="00ED0C2B">
      <w:pPr>
        <w:pStyle w:val="Heading2"/>
        <w:numPr>
          <w:ilvl w:val="0"/>
          <w:numId w:val="0"/>
        </w:numPr>
        <w:ind w:left="1440" w:hanging="720"/>
        <w:rPr>
          <w:lang w:val="fr-FR"/>
        </w:rPr>
      </w:pPr>
      <w:r>
        <w:rPr>
          <w:lang w:val="fr-FR"/>
        </w:rPr>
        <w:t>c)</w:t>
      </w:r>
      <w:r>
        <w:rPr>
          <w:lang w:val="fr-FR"/>
        </w:rPr>
        <w:tab/>
      </w:r>
      <w:r w:rsidR="00ED0C2B" w:rsidRPr="007B7BD5">
        <w:rPr>
          <w:lang w:val="fr-FR"/>
        </w:rPr>
        <w:t>Exhorter les agences principales et de coopération à coordonner étroitement leurs travaux en vue de finaliser leurs sections des RAP pour permettre à l’agence d’exécution principale de remettre les rapports achevés aux dates prévues;</w:t>
      </w:r>
    </w:p>
    <w:p w14:paraId="61089B43" w14:textId="6180918B" w:rsidR="00ED0C2B" w:rsidRPr="007B7BD5" w:rsidRDefault="00ED0C2B" w:rsidP="00761F88">
      <w:pPr>
        <w:pStyle w:val="Heading2"/>
        <w:numPr>
          <w:ilvl w:val="0"/>
          <w:numId w:val="26"/>
        </w:numPr>
        <w:ind w:left="1418" w:hanging="709"/>
        <w:rPr>
          <w:lang w:val="fr-FR"/>
        </w:rPr>
      </w:pPr>
      <w:r w:rsidRPr="007B7BD5">
        <w:rPr>
          <w:lang w:val="fr-FR"/>
        </w:rPr>
        <w:t xml:space="preserve">Exhorter les agences bilatérales et d’exécution à consigner de manière claire, bien rédigée et détaillée, les leçons tirées lorsqu’elles soumettent leurs RAP; et   </w:t>
      </w:r>
    </w:p>
    <w:p w14:paraId="22393B80" w14:textId="1C6307C4" w:rsidR="00ED0C2B" w:rsidRPr="007B7BD5" w:rsidRDefault="00ED0C2B" w:rsidP="00761F88">
      <w:pPr>
        <w:pStyle w:val="Heading2"/>
        <w:numPr>
          <w:ilvl w:val="0"/>
          <w:numId w:val="26"/>
        </w:numPr>
        <w:ind w:left="1418" w:hanging="698"/>
        <w:rPr>
          <w:lang w:val="fr-FR"/>
        </w:rPr>
      </w:pPr>
      <w:r w:rsidRPr="007B7BD5">
        <w:rPr>
          <w:lang w:val="fr-FR"/>
        </w:rPr>
        <w:t>Inviter toutes les personnes impliquées dans la préparation et la mise en œuvre des accords pluriannuels et des projets individuels, à tenir compte des leçons tirées des RAP, le cas échéant, lors de la préparation et de la mise en œuvre de projets futurs.</w:t>
      </w:r>
    </w:p>
    <w:p w14:paraId="655B3B8F" w14:textId="43D68332" w:rsidR="00D76D08" w:rsidRPr="00B965DD" w:rsidRDefault="00276BC8" w:rsidP="00276BC8">
      <w:pPr>
        <w:pStyle w:val="Heading1"/>
        <w:numPr>
          <w:ilvl w:val="0"/>
          <w:numId w:val="0"/>
        </w:numPr>
        <w:rPr>
          <w:b/>
          <w:lang w:val="fr-FR"/>
        </w:rPr>
      </w:pPr>
      <w:r>
        <w:rPr>
          <w:b/>
          <w:lang w:val="fr-FR"/>
        </w:rPr>
        <w:t>8.</w:t>
      </w:r>
      <w:r>
        <w:rPr>
          <w:b/>
          <w:lang w:val="fr-FR"/>
        </w:rPr>
        <w:tab/>
      </w:r>
      <w:r w:rsidR="00D76D08" w:rsidRPr="00B965DD">
        <w:rPr>
          <w:b/>
          <w:lang w:val="fr-FR"/>
        </w:rPr>
        <w:t>Planification des activités</w:t>
      </w:r>
    </w:p>
    <w:p w14:paraId="7808BBF5" w14:textId="3453B4D4" w:rsidR="00D76D08" w:rsidRPr="00944BFF" w:rsidRDefault="00B965DD" w:rsidP="00B965DD">
      <w:pPr>
        <w:pStyle w:val="Heading2"/>
        <w:keepNext/>
        <w:widowControl/>
        <w:numPr>
          <w:ilvl w:val="0"/>
          <w:numId w:val="0"/>
        </w:numPr>
        <w:ind w:left="1440" w:hanging="720"/>
        <w:rPr>
          <w:b/>
          <w:lang w:val="fr-FR"/>
        </w:rPr>
      </w:pPr>
      <w:r>
        <w:rPr>
          <w:b/>
          <w:lang w:val="fr-FR"/>
        </w:rPr>
        <w:t>a)</w:t>
      </w:r>
      <w:r>
        <w:rPr>
          <w:b/>
          <w:lang w:val="fr-FR"/>
        </w:rPr>
        <w:tab/>
      </w:r>
      <w:r w:rsidR="00D76D08" w:rsidRPr="00944BFF">
        <w:rPr>
          <w:b/>
          <w:lang w:val="fr-FR"/>
        </w:rPr>
        <w:t>Compte rendu sur l’état de la mise en oeuvre du plan d’acti</w:t>
      </w:r>
      <w:r w:rsidR="006C40BD">
        <w:rPr>
          <w:b/>
          <w:lang w:val="fr-FR"/>
        </w:rPr>
        <w:t>vités général du Fonds multilaté</w:t>
      </w:r>
      <w:r w:rsidR="00D76D08" w:rsidRPr="00944BFF">
        <w:rPr>
          <w:b/>
          <w:lang w:val="fr-FR"/>
        </w:rPr>
        <w:t xml:space="preserve">ral pour 2019-2021 </w:t>
      </w:r>
    </w:p>
    <w:p w14:paraId="021F8C23" w14:textId="459764A4" w:rsidR="00D76D08" w:rsidRPr="00944BFF" w:rsidRDefault="00D76D08" w:rsidP="00D76D08">
      <w:pPr>
        <w:spacing w:after="240"/>
        <w:ind w:left="709"/>
        <w:rPr>
          <w:color w:val="000000" w:themeColor="text1"/>
          <w:szCs w:val="24"/>
          <w:lang w:val="fr-FR"/>
        </w:rPr>
      </w:pPr>
      <w:r w:rsidRPr="00B606A9">
        <w:rPr>
          <w:color w:val="000000" w:themeColor="text1"/>
          <w:lang w:val="fr-FR"/>
        </w:rPr>
        <w:t xml:space="preserve">Le </w:t>
      </w:r>
      <w:r w:rsidRPr="00B606A9">
        <w:rPr>
          <w:color w:val="000000" w:themeColor="text1"/>
          <w:u w:val="single"/>
          <w:lang w:val="fr-FR"/>
        </w:rPr>
        <w:t>document UNEP/Oz</w:t>
      </w:r>
      <w:r w:rsidRPr="00B606A9">
        <w:rPr>
          <w:color w:val="000000" w:themeColor="text1"/>
          <w:szCs w:val="24"/>
          <w:u w:val="single"/>
          <w:lang w:val="fr-FR"/>
        </w:rPr>
        <w:t>L.Pro/ExCom/83/13</w:t>
      </w:r>
      <w:r w:rsidRPr="00B606A9">
        <w:rPr>
          <w:color w:val="000000" w:themeColor="text1"/>
          <w:szCs w:val="24"/>
          <w:lang w:val="fr-FR"/>
        </w:rPr>
        <w:t xml:space="preserve"> </w:t>
      </w:r>
      <w:r w:rsidR="00B965DD" w:rsidRPr="00B606A9">
        <w:rPr>
          <w:color w:val="000000" w:themeColor="text1"/>
          <w:lang w:val="fr-FR"/>
        </w:rPr>
        <w:t>présente un résumé du plan d’activités de 2019</w:t>
      </w:r>
      <w:r w:rsidR="002F1864">
        <w:rPr>
          <w:color w:val="000000" w:themeColor="text1"/>
          <w:lang w:val="fr-FR"/>
        </w:rPr>
        <w:noBreakHyphen/>
      </w:r>
      <w:r w:rsidR="00B965DD" w:rsidRPr="00B606A9">
        <w:rPr>
          <w:color w:val="000000" w:themeColor="text1"/>
          <w:lang w:val="fr-FR"/>
        </w:rPr>
        <w:t xml:space="preserve">2021, l’état de </w:t>
      </w:r>
      <w:r w:rsidR="00037023" w:rsidRPr="00B606A9">
        <w:rPr>
          <w:color w:val="000000" w:themeColor="text1"/>
          <w:lang w:val="fr-FR"/>
        </w:rPr>
        <w:t>la mise en œuvre du plan d’activités de 2019 à la lumière des propositions</w:t>
      </w:r>
      <w:r w:rsidR="00037023">
        <w:rPr>
          <w:color w:val="000000" w:themeColor="text1"/>
          <w:lang w:val="fr-FR"/>
        </w:rPr>
        <w:t xml:space="preserve"> soumises à la 83</w:t>
      </w:r>
      <w:r w:rsidR="00037023" w:rsidRPr="00037023">
        <w:rPr>
          <w:color w:val="000000" w:themeColor="text1"/>
          <w:vertAlign w:val="superscript"/>
          <w:lang w:val="fr-FR"/>
        </w:rPr>
        <w:t>e</w:t>
      </w:r>
      <w:r w:rsidR="00037023">
        <w:rPr>
          <w:color w:val="000000" w:themeColor="text1"/>
          <w:lang w:val="fr-FR"/>
        </w:rPr>
        <w:t xml:space="preserve"> réunion, l’état des contributions volontaires pour faciliter des activités et des projets de réduction progressive des HFC</w:t>
      </w:r>
      <w:r w:rsidRPr="001B300E">
        <w:rPr>
          <w:color w:val="000000" w:themeColor="text1"/>
          <w:lang w:val="fr-FR"/>
        </w:rPr>
        <w:t xml:space="preserve">, </w:t>
      </w:r>
      <w:r w:rsidR="00037023" w:rsidRPr="001B300E">
        <w:rPr>
          <w:color w:val="000000" w:themeColor="text1"/>
          <w:lang w:val="fr-FR"/>
        </w:rPr>
        <w:t xml:space="preserve">les engagements </w:t>
      </w:r>
      <w:r w:rsidR="00B606A9" w:rsidRPr="001B300E">
        <w:rPr>
          <w:color w:val="000000" w:themeColor="text1"/>
          <w:lang w:val="fr-FR"/>
        </w:rPr>
        <w:t>à terme</w:t>
      </w:r>
      <w:r w:rsidRPr="001B300E">
        <w:rPr>
          <w:color w:val="000000" w:themeColor="text1"/>
          <w:lang w:val="fr-FR"/>
        </w:rPr>
        <w:t xml:space="preserve"> </w:t>
      </w:r>
      <w:r w:rsidR="00037023" w:rsidRPr="001B300E">
        <w:rPr>
          <w:color w:val="000000" w:themeColor="text1"/>
          <w:lang w:val="fr-FR"/>
        </w:rPr>
        <w:t>pour des accords pluriannuels pour la période</w:t>
      </w:r>
      <w:r w:rsidRPr="001B300E">
        <w:rPr>
          <w:color w:val="000000" w:themeColor="text1"/>
          <w:lang w:val="fr-FR"/>
        </w:rPr>
        <w:t xml:space="preserve"> </w:t>
      </w:r>
      <w:r w:rsidR="00037023" w:rsidRPr="001B300E">
        <w:rPr>
          <w:color w:val="000000" w:themeColor="text1"/>
          <w:lang w:val="fr-FR"/>
        </w:rPr>
        <w:t>2019 à</w:t>
      </w:r>
      <w:r w:rsidRPr="001B300E">
        <w:rPr>
          <w:color w:val="000000" w:themeColor="text1"/>
          <w:lang w:val="fr-FR"/>
        </w:rPr>
        <w:t xml:space="preserve"> 2031</w:t>
      </w:r>
      <w:r w:rsidR="00037023" w:rsidRPr="001B300E">
        <w:rPr>
          <w:color w:val="000000" w:themeColor="text1"/>
          <w:lang w:val="fr-FR"/>
        </w:rPr>
        <w:t xml:space="preserve"> et des rapports sur les discussions concernant les indicateurs qualitatifs de performance</w:t>
      </w:r>
      <w:r w:rsidRPr="001B300E">
        <w:rPr>
          <w:color w:val="000000" w:themeColor="text1"/>
          <w:lang w:val="fr-FR"/>
        </w:rPr>
        <w:t>.</w:t>
      </w:r>
    </w:p>
    <w:p w14:paraId="0F4FBE02" w14:textId="688020D5" w:rsidR="00D76D08" w:rsidRPr="00944BFF" w:rsidRDefault="00D76D08" w:rsidP="00D76D08">
      <w:pPr>
        <w:keepNext/>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Pr="00944BFF">
        <w:rPr>
          <w:color w:val="000000" w:themeColor="text1"/>
          <w:lang w:val="fr-FR"/>
        </w:rPr>
        <w:t>: </w:t>
      </w:r>
    </w:p>
    <w:p w14:paraId="01391B6A" w14:textId="3F79047A" w:rsidR="00D76D08" w:rsidRPr="00944BFF" w:rsidRDefault="006C40BD" w:rsidP="001963F3">
      <w:pPr>
        <w:pStyle w:val="ListParagraph"/>
        <w:keepNext/>
        <w:numPr>
          <w:ilvl w:val="0"/>
          <w:numId w:val="11"/>
        </w:numPr>
        <w:rPr>
          <w:color w:val="000000" w:themeColor="text1"/>
          <w:lang w:val="fr-FR"/>
        </w:rPr>
      </w:pPr>
      <w:r>
        <w:rPr>
          <w:color w:val="000000" w:themeColor="text1"/>
          <w:lang w:val="fr-FR"/>
        </w:rPr>
        <w:t>Activités de ré</w:t>
      </w:r>
      <w:r w:rsidR="00386447" w:rsidRPr="00944BFF">
        <w:rPr>
          <w:color w:val="000000" w:themeColor="text1"/>
          <w:lang w:val="fr-FR"/>
        </w:rPr>
        <w:t xml:space="preserve">duction progressive des </w:t>
      </w:r>
      <w:r w:rsidR="00D76D08" w:rsidRPr="00944BFF">
        <w:rPr>
          <w:color w:val="000000" w:themeColor="text1"/>
          <w:lang w:val="fr-FR"/>
        </w:rPr>
        <w:t xml:space="preserve">HFC </w:t>
      </w:r>
      <w:r w:rsidR="00386447" w:rsidRPr="00944BFF">
        <w:rPr>
          <w:color w:val="000000" w:themeColor="text1"/>
          <w:lang w:val="fr-FR"/>
        </w:rPr>
        <w:t>soumises à la 8</w:t>
      </w:r>
      <w:r>
        <w:rPr>
          <w:color w:val="000000" w:themeColor="text1"/>
          <w:lang w:val="fr-FR"/>
        </w:rPr>
        <w:t>3</w:t>
      </w:r>
      <w:r w:rsidRPr="006C40BD">
        <w:rPr>
          <w:color w:val="000000" w:themeColor="text1"/>
          <w:vertAlign w:val="superscript"/>
          <w:lang w:val="fr-FR"/>
        </w:rPr>
        <w:t>e</w:t>
      </w:r>
      <w:r>
        <w:rPr>
          <w:color w:val="000000" w:themeColor="text1"/>
          <w:lang w:val="fr-FR"/>
        </w:rPr>
        <w:t xml:space="preserve"> </w:t>
      </w:r>
      <w:r w:rsidR="00386447" w:rsidRPr="00944BFF">
        <w:rPr>
          <w:color w:val="000000" w:themeColor="text1"/>
          <w:lang w:val="fr-FR"/>
        </w:rPr>
        <w:t xml:space="preserve">réunion et qui n’étaient pas incluses dans les plans d’activités de </w:t>
      </w:r>
      <w:r w:rsidR="00D76D08" w:rsidRPr="00944BFF">
        <w:rPr>
          <w:color w:val="000000" w:themeColor="text1"/>
          <w:lang w:val="fr-FR"/>
        </w:rPr>
        <w:t>2019–2021</w:t>
      </w:r>
      <w:r w:rsidR="00386447" w:rsidRPr="00944BFF">
        <w:rPr>
          <w:color w:val="000000" w:themeColor="text1"/>
          <w:lang w:val="fr-FR"/>
        </w:rPr>
        <w:t xml:space="preserve"> </w:t>
      </w:r>
    </w:p>
    <w:p w14:paraId="06DD5CF8" w14:textId="77777777" w:rsidR="00D76D08" w:rsidRPr="00944BFF" w:rsidRDefault="00D76D08" w:rsidP="00D76D08">
      <w:pPr>
        <w:pStyle w:val="ListParagraph"/>
        <w:ind w:left="1440"/>
        <w:rPr>
          <w:color w:val="000000" w:themeColor="text1"/>
          <w:lang w:val="fr-FR"/>
        </w:rPr>
      </w:pPr>
    </w:p>
    <w:p w14:paraId="7544570E" w14:textId="5F404DBF" w:rsidR="00D76D08" w:rsidRPr="00352E52" w:rsidRDefault="00D76D08" w:rsidP="00D76D08">
      <w:pPr>
        <w:tabs>
          <w:tab w:val="left" w:pos="720"/>
          <w:tab w:val="left" w:pos="1440"/>
          <w:tab w:val="left" w:pos="2160"/>
        </w:tabs>
        <w:spacing w:after="240"/>
        <w:ind w:left="709"/>
        <w:outlineLvl w:val="0"/>
        <w:rPr>
          <w:color w:val="000000" w:themeColor="text1"/>
          <w:lang w:val="fr-FR"/>
        </w:rPr>
      </w:pPr>
      <w:r w:rsidRPr="00352E52">
        <w:rPr>
          <w:color w:val="000000" w:themeColor="text1"/>
          <w:u w:val="single"/>
          <w:lang w:val="fr-FR"/>
        </w:rPr>
        <w:t>Le Comité exécutif po</w:t>
      </w:r>
      <w:r w:rsidR="00F53D65">
        <w:rPr>
          <w:color w:val="000000" w:themeColor="text1"/>
          <w:u w:val="single"/>
          <w:lang w:val="fr-FR"/>
        </w:rPr>
        <w:t>urrait souhaiter prendre note</w:t>
      </w:r>
      <w:r w:rsidRPr="00352E52">
        <w:rPr>
          <w:color w:val="000000" w:themeColor="text1"/>
          <w:u w:val="single"/>
          <w:lang w:val="fr-FR"/>
        </w:rPr>
        <w:t xml:space="preserve"> </w:t>
      </w:r>
      <w:r w:rsidRPr="00352E52">
        <w:rPr>
          <w:color w:val="000000" w:themeColor="text1"/>
          <w:lang w:val="fr-FR"/>
        </w:rPr>
        <w:t xml:space="preserve">: </w:t>
      </w:r>
    </w:p>
    <w:p w14:paraId="59CCABEF" w14:textId="0A0C46A9" w:rsidR="00D76D08" w:rsidRPr="00352E52" w:rsidRDefault="00352E52" w:rsidP="00352E52">
      <w:pPr>
        <w:pStyle w:val="Heading2"/>
        <w:numPr>
          <w:ilvl w:val="0"/>
          <w:numId w:val="0"/>
        </w:numPr>
        <w:ind w:left="1440" w:hanging="720"/>
        <w:rPr>
          <w:lang w:val="fr-FR"/>
        </w:rPr>
      </w:pPr>
      <w:r w:rsidRPr="00352E52">
        <w:rPr>
          <w:lang w:val="fr-FR"/>
        </w:rPr>
        <w:t>a)</w:t>
      </w:r>
      <w:r w:rsidRPr="00352E52">
        <w:rPr>
          <w:lang w:val="fr-FR"/>
        </w:rPr>
        <w:tab/>
        <w:t>De la mise à jour sur l’état de la mise en œuvre des plans d’activités consolidés pour 2019-2021 du Fonds multilatéral contenus dans le document</w:t>
      </w:r>
      <w:r w:rsidR="00E744C2">
        <w:rPr>
          <w:lang w:val="fr-FR"/>
        </w:rPr>
        <w:t> </w:t>
      </w:r>
      <w:r w:rsidR="00D76D08" w:rsidRPr="00352E52">
        <w:rPr>
          <w:lang w:val="fr-FR"/>
        </w:rPr>
        <w:t xml:space="preserve">UNEP/OzL.Pro/ExCom/83/13; </w:t>
      </w:r>
    </w:p>
    <w:p w14:paraId="1BECCB04" w14:textId="2041F046" w:rsidR="00D76D08" w:rsidRPr="00352E52" w:rsidRDefault="00352E52" w:rsidP="00352E52">
      <w:pPr>
        <w:pStyle w:val="Heading2"/>
        <w:numPr>
          <w:ilvl w:val="0"/>
          <w:numId w:val="0"/>
        </w:numPr>
        <w:ind w:left="1440" w:hanging="720"/>
        <w:rPr>
          <w:lang w:val="fr-FR"/>
        </w:rPr>
      </w:pPr>
      <w:r w:rsidRPr="00352E52">
        <w:rPr>
          <w:lang w:val="fr-FR"/>
        </w:rPr>
        <w:t>b)</w:t>
      </w:r>
      <w:r w:rsidRPr="00352E52">
        <w:rPr>
          <w:lang w:val="fr-FR"/>
        </w:rPr>
        <w:tab/>
        <w:t xml:space="preserve">Que </w:t>
      </w:r>
      <w:r w:rsidR="00D76D08" w:rsidRPr="00352E52">
        <w:rPr>
          <w:lang w:val="fr-FR"/>
        </w:rPr>
        <w:t>1</w:t>
      </w:r>
      <w:r w:rsidRPr="00352E52">
        <w:rPr>
          <w:lang w:val="fr-FR"/>
        </w:rPr>
        <w:t xml:space="preserve"> 849 </w:t>
      </w:r>
      <w:r w:rsidR="00D76D08" w:rsidRPr="00352E52">
        <w:rPr>
          <w:lang w:val="fr-FR"/>
        </w:rPr>
        <w:t xml:space="preserve">684 </w:t>
      </w:r>
      <w:r w:rsidRPr="00352E52">
        <w:rPr>
          <w:lang w:val="fr-FR"/>
        </w:rPr>
        <w:t>$US en activ</w:t>
      </w:r>
      <w:r w:rsidR="00D76D08" w:rsidRPr="00352E52">
        <w:rPr>
          <w:lang w:val="fr-FR"/>
        </w:rPr>
        <w:t>i</w:t>
      </w:r>
      <w:r w:rsidRPr="00352E52">
        <w:rPr>
          <w:lang w:val="fr-FR"/>
        </w:rPr>
        <w:t>tés d’élimi</w:t>
      </w:r>
      <w:r w:rsidR="00D76D08" w:rsidRPr="00352E52">
        <w:rPr>
          <w:lang w:val="fr-FR"/>
        </w:rPr>
        <w:t>n</w:t>
      </w:r>
      <w:r w:rsidRPr="00352E52">
        <w:rPr>
          <w:lang w:val="fr-FR"/>
        </w:rPr>
        <w:t>ation de</w:t>
      </w:r>
      <w:r w:rsidR="00D76D08" w:rsidRPr="00352E52">
        <w:rPr>
          <w:lang w:val="fr-FR"/>
        </w:rPr>
        <w:t xml:space="preserve"> HFC </w:t>
      </w:r>
      <w:r w:rsidRPr="00352E52">
        <w:rPr>
          <w:lang w:val="fr-FR"/>
        </w:rPr>
        <w:t>ont été présentés à la 83</w:t>
      </w:r>
      <w:r w:rsidRPr="00352E52">
        <w:rPr>
          <w:vertAlign w:val="superscript"/>
          <w:lang w:val="fr-FR"/>
        </w:rPr>
        <w:t>e</w:t>
      </w:r>
      <w:r w:rsidRPr="00352E52">
        <w:rPr>
          <w:lang w:val="fr-FR"/>
        </w:rPr>
        <w:t xml:space="preserve"> réunion, dont 64 </w:t>
      </w:r>
      <w:r w:rsidR="00D76D08" w:rsidRPr="00352E52">
        <w:rPr>
          <w:lang w:val="fr-FR"/>
        </w:rPr>
        <w:t>200</w:t>
      </w:r>
      <w:r w:rsidRPr="00352E52">
        <w:rPr>
          <w:lang w:val="fr-FR"/>
        </w:rPr>
        <w:t xml:space="preserve"> $US qui n’ont pas été inclus dans les plans d’activités pour</w:t>
      </w:r>
      <w:r w:rsidR="00D76D08" w:rsidRPr="00352E52">
        <w:rPr>
          <w:lang w:val="fr-FR"/>
        </w:rPr>
        <w:t xml:space="preserve"> 2019–2021</w:t>
      </w:r>
      <w:r w:rsidRPr="00352E52">
        <w:rPr>
          <w:lang w:val="fr-FR"/>
        </w:rPr>
        <w:t>;</w:t>
      </w:r>
      <w:r w:rsidR="00D76D08" w:rsidRPr="00352E52">
        <w:rPr>
          <w:lang w:val="fr-FR"/>
        </w:rPr>
        <w:t xml:space="preserve"> </w:t>
      </w:r>
      <w:r w:rsidRPr="00352E52">
        <w:rPr>
          <w:lang w:val="fr-FR"/>
        </w:rPr>
        <w:t>et</w:t>
      </w:r>
    </w:p>
    <w:p w14:paraId="66350E1A" w14:textId="34EC41F5" w:rsidR="00D76D08" w:rsidRPr="00352E52" w:rsidRDefault="00352E52" w:rsidP="00352E52">
      <w:pPr>
        <w:pStyle w:val="Heading2"/>
        <w:numPr>
          <w:ilvl w:val="0"/>
          <w:numId w:val="0"/>
        </w:numPr>
        <w:ind w:left="1440" w:hanging="720"/>
        <w:rPr>
          <w:lang w:val="fr-FR"/>
        </w:rPr>
      </w:pPr>
      <w:r w:rsidRPr="00352E52">
        <w:rPr>
          <w:lang w:val="fr-FR"/>
        </w:rPr>
        <w:t>c)</w:t>
      </w:r>
      <w:r w:rsidRPr="00352E52">
        <w:rPr>
          <w:lang w:val="fr-FR"/>
        </w:rPr>
        <w:tab/>
        <w:t xml:space="preserve">Avec satisfaction des rapports sur les discussions de l’ONUDI avec les unités nationales de l’ozone concernant les notes des évaluations de performance qualitative, conformément à la demande contenue dans la </w:t>
      </w:r>
      <w:r w:rsidR="00D76D08" w:rsidRPr="00352E52">
        <w:rPr>
          <w:lang w:val="fr-FR"/>
        </w:rPr>
        <w:t>décision 82/8(b).</w:t>
      </w:r>
    </w:p>
    <w:p w14:paraId="1C6AD763" w14:textId="11193318" w:rsidR="00D76D08" w:rsidRPr="00944BFF" w:rsidRDefault="00037023" w:rsidP="00037023">
      <w:pPr>
        <w:pStyle w:val="Heading2"/>
        <w:widowControl/>
        <w:numPr>
          <w:ilvl w:val="0"/>
          <w:numId w:val="0"/>
        </w:numPr>
        <w:ind w:left="709"/>
        <w:rPr>
          <w:b/>
          <w:lang w:val="fr-FR"/>
        </w:rPr>
      </w:pPr>
      <w:r>
        <w:rPr>
          <w:b/>
          <w:lang w:val="fr-FR"/>
        </w:rPr>
        <w:t>b)</w:t>
      </w:r>
      <w:r>
        <w:rPr>
          <w:b/>
          <w:lang w:val="fr-FR"/>
        </w:rPr>
        <w:tab/>
      </w:r>
      <w:r w:rsidR="00D76D08" w:rsidRPr="00944BFF">
        <w:rPr>
          <w:b/>
          <w:lang w:val="fr-FR"/>
        </w:rPr>
        <w:t>Retards dans la proposition des tranches</w:t>
      </w:r>
    </w:p>
    <w:p w14:paraId="49D59F92" w14:textId="40F37154" w:rsidR="00D76D08" w:rsidRPr="00944BFF" w:rsidRDefault="00D76D08"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document UNEP/Oz</w:t>
      </w:r>
      <w:r w:rsidRPr="00944BFF">
        <w:rPr>
          <w:color w:val="000000" w:themeColor="text1"/>
          <w:szCs w:val="24"/>
          <w:u w:val="single"/>
          <w:lang w:val="fr-FR"/>
        </w:rPr>
        <w:t>L.Pro/ExCom/83/14</w:t>
      </w:r>
      <w:r w:rsidRPr="00944BFF">
        <w:rPr>
          <w:color w:val="000000" w:themeColor="text1"/>
          <w:szCs w:val="24"/>
          <w:lang w:val="fr-FR"/>
        </w:rPr>
        <w:t xml:space="preserve"> </w:t>
      </w:r>
      <w:r w:rsidR="00186F13">
        <w:rPr>
          <w:color w:val="000000" w:themeColor="text1"/>
          <w:lang w:val="fr-FR"/>
        </w:rPr>
        <w:t xml:space="preserve">présente les mesures prises </w:t>
      </w:r>
      <w:r w:rsidR="00037023">
        <w:rPr>
          <w:color w:val="000000" w:themeColor="text1"/>
          <w:lang w:val="fr-FR"/>
        </w:rPr>
        <w:t>pour donner suite aux décisions</w:t>
      </w:r>
      <w:r w:rsidR="00186F13">
        <w:rPr>
          <w:color w:val="000000" w:themeColor="text1"/>
          <w:lang w:val="fr-FR"/>
        </w:rPr>
        <w:t xml:space="preserve"> concernant les retards dans la soumission des tranches pour des accords pluriannuels adoptées à la 82</w:t>
      </w:r>
      <w:r w:rsidR="00186F13" w:rsidRPr="00186F13">
        <w:rPr>
          <w:color w:val="000000" w:themeColor="text1"/>
          <w:vertAlign w:val="superscript"/>
          <w:lang w:val="fr-FR"/>
        </w:rPr>
        <w:t>e</w:t>
      </w:r>
      <w:r w:rsidR="00186F13">
        <w:rPr>
          <w:color w:val="000000" w:themeColor="text1"/>
          <w:lang w:val="fr-FR"/>
        </w:rPr>
        <w:t xml:space="preserve"> réunion </w:t>
      </w:r>
      <w:r w:rsidR="00037023">
        <w:rPr>
          <w:color w:val="000000" w:themeColor="text1"/>
          <w:lang w:val="fr-FR"/>
        </w:rPr>
        <w:t>ainsi qu’</w:t>
      </w:r>
      <w:r w:rsidR="00186F13">
        <w:rPr>
          <w:color w:val="000000" w:themeColor="text1"/>
          <w:lang w:val="fr-FR"/>
        </w:rPr>
        <w:t xml:space="preserve">une analyse de chacune des tranches qui </w:t>
      </w:r>
      <w:r w:rsidR="00B606A9">
        <w:rPr>
          <w:color w:val="000000" w:themeColor="text1"/>
          <w:lang w:val="fr-FR"/>
        </w:rPr>
        <w:t>devaient être présentées</w:t>
      </w:r>
      <w:r w:rsidR="00037023">
        <w:rPr>
          <w:color w:val="000000" w:themeColor="text1"/>
          <w:lang w:val="fr-FR"/>
        </w:rPr>
        <w:t xml:space="preserve">, mais qui n’ont pas été soumises </w:t>
      </w:r>
      <w:r w:rsidR="00186F13">
        <w:rPr>
          <w:color w:val="000000" w:themeColor="text1"/>
          <w:lang w:val="fr-FR"/>
        </w:rPr>
        <w:t>à la 83</w:t>
      </w:r>
      <w:r w:rsidR="00186F13" w:rsidRPr="00186F13">
        <w:rPr>
          <w:color w:val="000000" w:themeColor="text1"/>
          <w:vertAlign w:val="superscript"/>
          <w:lang w:val="fr-FR"/>
        </w:rPr>
        <w:t>e</w:t>
      </w:r>
      <w:r w:rsidR="00186F13">
        <w:rPr>
          <w:color w:val="000000" w:themeColor="text1"/>
          <w:lang w:val="fr-FR"/>
        </w:rPr>
        <w:t xml:space="preserve"> réunion ou qui ont été </w:t>
      </w:r>
      <w:r w:rsidR="00037023">
        <w:rPr>
          <w:color w:val="000000" w:themeColor="text1"/>
          <w:lang w:val="fr-FR"/>
        </w:rPr>
        <w:t xml:space="preserve">présentées </w:t>
      </w:r>
      <w:r w:rsidR="00186F13">
        <w:rPr>
          <w:color w:val="000000" w:themeColor="text1"/>
          <w:lang w:val="fr-FR"/>
        </w:rPr>
        <w:t xml:space="preserve">mais retirées </w:t>
      </w:r>
      <w:r w:rsidR="00037023">
        <w:rPr>
          <w:color w:val="000000" w:themeColor="text1"/>
          <w:lang w:val="fr-FR"/>
        </w:rPr>
        <w:t>ultérieurement</w:t>
      </w:r>
      <w:r w:rsidR="00186F13">
        <w:rPr>
          <w:color w:val="000000" w:themeColor="text1"/>
          <w:lang w:val="fr-FR"/>
        </w:rPr>
        <w:t xml:space="preserve">. </w:t>
      </w:r>
    </w:p>
    <w:p w14:paraId="23577D22" w14:textId="1C226663" w:rsidR="00D76D08" w:rsidRPr="00944BFF" w:rsidRDefault="00D76D08" w:rsidP="006823BA">
      <w:pPr>
        <w:keepNext/>
        <w:keepLines/>
        <w:tabs>
          <w:tab w:val="left" w:pos="720"/>
          <w:tab w:val="left" w:pos="1440"/>
          <w:tab w:val="left" w:pos="2160"/>
        </w:tabs>
        <w:spacing w:after="240"/>
        <w:ind w:left="709"/>
        <w:rPr>
          <w:color w:val="000000" w:themeColor="text1"/>
          <w:lang w:val="fr-FR"/>
        </w:rPr>
      </w:pPr>
      <w:r w:rsidRPr="00944BFF">
        <w:rPr>
          <w:color w:val="000000" w:themeColor="text1"/>
          <w:u w:val="single"/>
          <w:lang w:val="fr-FR"/>
        </w:rPr>
        <w:lastRenderedPageBreak/>
        <w:t xml:space="preserve">Questions à traiter </w:t>
      </w:r>
      <w:r w:rsidRPr="00944BFF">
        <w:rPr>
          <w:color w:val="000000" w:themeColor="text1"/>
          <w:lang w:val="fr-FR"/>
        </w:rPr>
        <w:t>: </w:t>
      </w:r>
    </w:p>
    <w:p w14:paraId="6E6833B3" w14:textId="0E4F0AB0" w:rsidR="00D76D08" w:rsidRPr="00944BFF" w:rsidRDefault="00D76D08" w:rsidP="006823BA">
      <w:pPr>
        <w:pStyle w:val="ListParagraph"/>
        <w:keepNext/>
        <w:keepLines/>
        <w:numPr>
          <w:ilvl w:val="0"/>
          <w:numId w:val="11"/>
        </w:numPr>
        <w:spacing w:after="240"/>
        <w:jc w:val="both"/>
        <w:rPr>
          <w:color w:val="000000" w:themeColor="text1"/>
          <w:lang w:val="fr-FR"/>
        </w:rPr>
      </w:pPr>
      <w:r w:rsidRPr="00944BFF">
        <w:rPr>
          <w:color w:val="000000" w:themeColor="text1"/>
          <w:lang w:val="fr-FR"/>
        </w:rPr>
        <w:t>T</w:t>
      </w:r>
      <w:r w:rsidR="00186F13">
        <w:rPr>
          <w:color w:val="000000" w:themeColor="text1"/>
          <w:lang w:val="fr-FR"/>
        </w:rPr>
        <w:t>rente-six activité</w:t>
      </w:r>
      <w:r w:rsidRPr="00944BFF">
        <w:rPr>
          <w:color w:val="000000" w:themeColor="text1"/>
          <w:lang w:val="fr-FR"/>
        </w:rPr>
        <w:t>s associ</w:t>
      </w:r>
      <w:r w:rsidR="00186F13">
        <w:rPr>
          <w:color w:val="000000" w:themeColor="text1"/>
          <w:lang w:val="fr-FR"/>
        </w:rPr>
        <w:t xml:space="preserve">ées à des tranches de PGEH pour 21 pays </w:t>
      </w:r>
      <w:r w:rsidR="00037023">
        <w:rPr>
          <w:color w:val="000000" w:themeColor="text1"/>
          <w:lang w:val="fr-FR"/>
        </w:rPr>
        <w:t xml:space="preserve">qui devaient être soumises </w:t>
      </w:r>
      <w:r w:rsidR="00186F13">
        <w:rPr>
          <w:color w:val="000000" w:themeColor="text1"/>
          <w:lang w:val="fr-FR"/>
        </w:rPr>
        <w:t>à la 83</w:t>
      </w:r>
      <w:r w:rsidR="00186F13" w:rsidRPr="00186F13">
        <w:rPr>
          <w:color w:val="000000" w:themeColor="text1"/>
          <w:vertAlign w:val="superscript"/>
          <w:lang w:val="fr-FR"/>
        </w:rPr>
        <w:t>e</w:t>
      </w:r>
      <w:r w:rsidR="00186F13">
        <w:rPr>
          <w:color w:val="000000" w:themeColor="text1"/>
          <w:lang w:val="fr-FR"/>
        </w:rPr>
        <w:t xml:space="preserve"> réunion</w:t>
      </w:r>
      <w:r w:rsidR="00037023">
        <w:rPr>
          <w:color w:val="000000" w:themeColor="text1"/>
          <w:lang w:val="fr-FR"/>
        </w:rPr>
        <w:t xml:space="preserve">, n’ont pas été présentées </w:t>
      </w:r>
      <w:r w:rsidR="00186F13">
        <w:rPr>
          <w:color w:val="000000" w:themeColor="text1"/>
          <w:lang w:val="fr-FR"/>
        </w:rPr>
        <w:t xml:space="preserve"> </w:t>
      </w:r>
    </w:p>
    <w:p w14:paraId="2E945CA1" w14:textId="372BF4B2" w:rsidR="00D76D08" w:rsidRPr="00595196" w:rsidRDefault="00186F13" w:rsidP="001963F3">
      <w:pPr>
        <w:pStyle w:val="ListParagraph"/>
        <w:numPr>
          <w:ilvl w:val="0"/>
          <w:numId w:val="11"/>
        </w:numPr>
        <w:spacing w:after="240"/>
        <w:jc w:val="both"/>
        <w:rPr>
          <w:color w:val="000000" w:themeColor="text1"/>
          <w:lang w:val="fr-FR"/>
        </w:rPr>
      </w:pPr>
      <w:r>
        <w:rPr>
          <w:color w:val="000000" w:themeColor="text1"/>
          <w:lang w:val="fr-FR"/>
        </w:rPr>
        <w:t>Les raisons des retards incluent</w:t>
      </w:r>
      <w:r w:rsidR="00D76D08" w:rsidRPr="00944BFF">
        <w:rPr>
          <w:color w:val="000000" w:themeColor="text1"/>
          <w:lang w:val="fr-FR"/>
        </w:rPr>
        <w:t xml:space="preserve">: </w:t>
      </w:r>
      <w:r w:rsidR="00595196">
        <w:rPr>
          <w:color w:val="000000" w:themeColor="text1"/>
          <w:lang w:val="fr-FR"/>
        </w:rPr>
        <w:t>des décisions et/ou approbations gouvernementales, et</w:t>
      </w:r>
      <w:r w:rsidR="00B606A9">
        <w:rPr>
          <w:color w:val="000000" w:themeColor="text1"/>
          <w:lang w:val="fr-FR"/>
        </w:rPr>
        <w:t xml:space="preserve">/ </w:t>
      </w:r>
      <w:r w:rsidR="00595196">
        <w:rPr>
          <w:color w:val="000000" w:themeColor="text1"/>
          <w:lang w:val="fr-FR"/>
        </w:rPr>
        <w:t xml:space="preserve">ou des changements au sein de l’Unité nationale de l’ozone, et/ou </w:t>
      </w:r>
      <w:r w:rsidR="00660924">
        <w:rPr>
          <w:color w:val="000000" w:themeColor="text1"/>
          <w:lang w:val="fr-FR"/>
        </w:rPr>
        <w:t xml:space="preserve">des changements structurels </w:t>
      </w:r>
      <w:r w:rsidR="00D76D08" w:rsidRPr="00944BFF">
        <w:rPr>
          <w:color w:val="000000" w:themeColor="text1"/>
          <w:lang w:val="fr-FR"/>
        </w:rPr>
        <w:t xml:space="preserve">(12); </w:t>
      </w:r>
      <w:r w:rsidR="00595196">
        <w:rPr>
          <w:color w:val="000000" w:themeColor="text1"/>
          <w:lang w:val="fr-FR"/>
        </w:rPr>
        <w:t>absence du rapp</w:t>
      </w:r>
      <w:r w:rsidR="00660924">
        <w:rPr>
          <w:color w:val="000000" w:themeColor="text1"/>
          <w:lang w:val="fr-FR"/>
        </w:rPr>
        <w:t xml:space="preserve">ort de vérification obligatoire </w:t>
      </w:r>
      <w:r w:rsidR="00D76D08" w:rsidRPr="00944BFF">
        <w:rPr>
          <w:color w:val="000000" w:themeColor="text1"/>
          <w:lang w:val="fr-FR"/>
        </w:rPr>
        <w:t xml:space="preserve">(7); </w:t>
      </w:r>
      <w:r w:rsidR="00595196">
        <w:rPr>
          <w:color w:val="000000" w:themeColor="text1"/>
          <w:lang w:val="fr-FR"/>
        </w:rPr>
        <w:t>fonds suffisants provenant de tranches précédentes</w:t>
      </w:r>
      <w:r w:rsidR="00D76D08" w:rsidRPr="00944BFF">
        <w:rPr>
          <w:color w:val="000000" w:themeColor="text1"/>
          <w:lang w:val="fr-FR"/>
        </w:rPr>
        <w:t xml:space="preserve"> (5); d</w:t>
      </w:r>
      <w:r w:rsidR="00595196">
        <w:rPr>
          <w:color w:val="000000" w:themeColor="text1"/>
          <w:lang w:val="fr-FR"/>
        </w:rPr>
        <w:t xml:space="preserve">écaissement inférieur au seuil de 20 </w:t>
      </w:r>
      <w:r w:rsidR="00660924">
        <w:rPr>
          <w:color w:val="000000" w:themeColor="text1"/>
          <w:lang w:val="fr-FR"/>
        </w:rPr>
        <w:t>p</w:t>
      </w:r>
      <w:r w:rsidR="00595196">
        <w:rPr>
          <w:color w:val="000000" w:themeColor="text1"/>
          <w:lang w:val="fr-FR"/>
        </w:rPr>
        <w:t>our cent des fonds approuvés pour la tranche précédente</w:t>
      </w:r>
      <w:r w:rsidR="00D76D08" w:rsidRPr="00944BFF">
        <w:rPr>
          <w:color w:val="000000" w:themeColor="text1"/>
          <w:lang w:val="fr-FR"/>
        </w:rPr>
        <w:t xml:space="preserve"> (15); </w:t>
      </w:r>
      <w:r w:rsidR="00595196">
        <w:rPr>
          <w:color w:val="000000" w:themeColor="text1"/>
          <w:lang w:val="fr-FR"/>
        </w:rPr>
        <w:t xml:space="preserve">retards dans la mise en œuvre des volets Investissements </w:t>
      </w:r>
      <w:r w:rsidR="00D76D08" w:rsidRPr="00944BFF">
        <w:rPr>
          <w:color w:val="000000" w:themeColor="text1"/>
          <w:lang w:val="fr-FR"/>
        </w:rPr>
        <w:t xml:space="preserve">(5); </w:t>
      </w:r>
      <w:r w:rsidR="00595196">
        <w:rPr>
          <w:color w:val="000000" w:themeColor="text1"/>
          <w:lang w:val="fr-FR"/>
        </w:rPr>
        <w:t>problèmes au niveau de l’entreprise</w:t>
      </w:r>
      <w:r w:rsidR="00D76D08" w:rsidRPr="00944BFF">
        <w:rPr>
          <w:color w:val="000000" w:themeColor="text1"/>
          <w:lang w:val="fr-FR"/>
        </w:rPr>
        <w:t xml:space="preserve"> (1); sign</w:t>
      </w:r>
      <w:r w:rsidR="00595196">
        <w:rPr>
          <w:color w:val="000000" w:themeColor="text1"/>
          <w:lang w:val="fr-FR"/>
        </w:rPr>
        <w:t>ature des accords ou des contrats</w:t>
      </w:r>
      <w:r w:rsidR="00D76D08" w:rsidRPr="00944BFF">
        <w:rPr>
          <w:color w:val="000000" w:themeColor="text1"/>
          <w:lang w:val="fr-FR"/>
        </w:rPr>
        <w:t xml:space="preserve"> (4); </w:t>
      </w:r>
      <w:r w:rsidR="00595196">
        <w:rPr>
          <w:color w:val="000000" w:themeColor="text1"/>
          <w:lang w:val="fr-FR"/>
        </w:rPr>
        <w:t xml:space="preserve">agence principale ou de coopération pas prête pour la soumission </w:t>
      </w:r>
      <w:r w:rsidR="00D76D08" w:rsidRPr="00944BFF">
        <w:rPr>
          <w:color w:val="000000" w:themeColor="text1"/>
          <w:lang w:val="fr-FR"/>
        </w:rPr>
        <w:t xml:space="preserve">(1); </w:t>
      </w:r>
      <w:r w:rsidR="00595196">
        <w:rPr>
          <w:color w:val="000000" w:themeColor="text1"/>
          <w:lang w:val="fr-FR"/>
        </w:rPr>
        <w:t xml:space="preserve">difficultés </w:t>
      </w:r>
      <w:r w:rsidR="00D76D08" w:rsidRPr="00944BFF">
        <w:rPr>
          <w:color w:val="000000" w:themeColor="text1"/>
          <w:lang w:val="fr-FR"/>
        </w:rPr>
        <w:t>intern</w:t>
      </w:r>
      <w:r w:rsidR="00595196">
        <w:rPr>
          <w:color w:val="000000" w:themeColor="text1"/>
          <w:lang w:val="fr-FR"/>
        </w:rPr>
        <w:t xml:space="preserve">es ou </w:t>
      </w:r>
      <w:r w:rsidR="00D76D08" w:rsidRPr="00944BFF">
        <w:rPr>
          <w:color w:val="000000" w:themeColor="text1"/>
          <w:lang w:val="fr-FR"/>
        </w:rPr>
        <w:t>extern</w:t>
      </w:r>
      <w:r w:rsidR="00595196">
        <w:rPr>
          <w:color w:val="000000" w:themeColor="text1"/>
          <w:lang w:val="fr-FR"/>
        </w:rPr>
        <w:t>es (5); rév</w:t>
      </w:r>
      <w:r w:rsidR="00D76D08" w:rsidRPr="00944BFF">
        <w:rPr>
          <w:color w:val="000000" w:themeColor="text1"/>
          <w:lang w:val="fr-FR"/>
        </w:rPr>
        <w:t xml:space="preserve">ision </w:t>
      </w:r>
      <w:r w:rsidR="00595196">
        <w:rPr>
          <w:color w:val="000000" w:themeColor="text1"/>
          <w:lang w:val="fr-FR"/>
        </w:rPr>
        <w:t>de l’accord ou du plan d’action</w:t>
      </w:r>
      <w:r w:rsidR="00D76D08" w:rsidRPr="00944BFF">
        <w:rPr>
          <w:color w:val="000000" w:themeColor="text1"/>
          <w:lang w:val="fr-FR"/>
        </w:rPr>
        <w:t xml:space="preserve"> (3); o</w:t>
      </w:r>
      <w:r w:rsidR="00595196">
        <w:rPr>
          <w:color w:val="000000" w:themeColor="text1"/>
          <w:lang w:val="fr-FR"/>
        </w:rPr>
        <w:t xml:space="preserve">u </w:t>
      </w:r>
      <w:r w:rsidR="00660924">
        <w:rPr>
          <w:color w:val="000000" w:themeColor="text1"/>
          <w:lang w:val="fr-FR"/>
        </w:rPr>
        <w:t xml:space="preserve">aucun </w:t>
      </w:r>
      <w:r w:rsidR="00D76D08" w:rsidRPr="00595196">
        <w:rPr>
          <w:color w:val="000000" w:themeColor="text1"/>
          <w:lang w:val="fr-FR"/>
        </w:rPr>
        <w:t>r</w:t>
      </w:r>
      <w:r w:rsidR="00660924">
        <w:rPr>
          <w:color w:val="000000" w:themeColor="text1"/>
          <w:lang w:val="fr-FR"/>
        </w:rPr>
        <w:t>apport périodique et/ou financier présenté</w:t>
      </w:r>
      <w:r w:rsidR="00595196" w:rsidRPr="00595196">
        <w:rPr>
          <w:color w:val="000000" w:themeColor="text1"/>
          <w:lang w:val="fr-FR"/>
        </w:rPr>
        <w:t xml:space="preserve"> </w:t>
      </w:r>
      <w:r w:rsidR="00D76D08" w:rsidRPr="00595196">
        <w:rPr>
          <w:color w:val="000000" w:themeColor="text1"/>
          <w:lang w:val="fr-FR"/>
        </w:rPr>
        <w:t>(2)</w:t>
      </w:r>
    </w:p>
    <w:p w14:paraId="0CB2570C" w14:textId="730F3556" w:rsidR="00D76D08" w:rsidRPr="00595196" w:rsidRDefault="00D76D08" w:rsidP="001963F3">
      <w:pPr>
        <w:pStyle w:val="ListParagraph"/>
        <w:numPr>
          <w:ilvl w:val="0"/>
          <w:numId w:val="11"/>
        </w:numPr>
        <w:spacing w:after="240"/>
        <w:jc w:val="both"/>
        <w:rPr>
          <w:color w:val="000000" w:themeColor="text1"/>
          <w:lang w:val="fr-FR"/>
        </w:rPr>
      </w:pPr>
      <w:r w:rsidRPr="00595196">
        <w:rPr>
          <w:color w:val="000000" w:themeColor="text1"/>
          <w:lang w:val="fr-FR"/>
        </w:rPr>
        <w:t>Annulation de la phase I du PGEH pour l’Algérie</w:t>
      </w:r>
    </w:p>
    <w:p w14:paraId="43A27239" w14:textId="77777777" w:rsidR="00D7523B" w:rsidRPr="00595196" w:rsidRDefault="00D7523B" w:rsidP="00D7523B">
      <w:pPr>
        <w:pStyle w:val="Heading1"/>
        <w:numPr>
          <w:ilvl w:val="0"/>
          <w:numId w:val="0"/>
        </w:numPr>
        <w:ind w:firstLine="720"/>
        <w:rPr>
          <w:u w:val="single"/>
          <w:lang w:val="fr-CA"/>
        </w:rPr>
      </w:pPr>
      <w:r w:rsidRPr="00595196">
        <w:rPr>
          <w:u w:val="single"/>
          <w:lang w:val="fr-CA"/>
        </w:rPr>
        <w:t xml:space="preserve">Le Comité exécutif pourrait souhaiter : </w:t>
      </w:r>
    </w:p>
    <w:p w14:paraId="4A04D524" w14:textId="2EE66B09" w:rsidR="00D7523B" w:rsidRPr="00265403" w:rsidRDefault="00595196" w:rsidP="00595196">
      <w:pPr>
        <w:pStyle w:val="Heading2"/>
        <w:numPr>
          <w:ilvl w:val="0"/>
          <w:numId w:val="0"/>
        </w:numPr>
        <w:ind w:left="1440" w:hanging="720"/>
        <w:rPr>
          <w:lang w:val="fr-CA"/>
        </w:rPr>
      </w:pPr>
      <w:r w:rsidRPr="00265403">
        <w:rPr>
          <w:lang w:val="fr-CA"/>
        </w:rPr>
        <w:t>a)</w:t>
      </w:r>
      <w:r w:rsidRPr="00265403">
        <w:rPr>
          <w:lang w:val="fr-CA"/>
        </w:rPr>
        <w:tab/>
      </w:r>
      <w:r w:rsidR="00D7523B" w:rsidRPr="00265403">
        <w:rPr>
          <w:lang w:val="fr-CA"/>
        </w:rPr>
        <w:t>Prendre note :</w:t>
      </w:r>
    </w:p>
    <w:p w14:paraId="36719727" w14:textId="25A114AD" w:rsidR="00D7523B" w:rsidRPr="00302A8A" w:rsidRDefault="00595196" w:rsidP="00595196">
      <w:pPr>
        <w:pStyle w:val="Heading3"/>
        <w:numPr>
          <w:ilvl w:val="0"/>
          <w:numId w:val="0"/>
        </w:numPr>
        <w:ind w:left="2160" w:hanging="720"/>
        <w:rPr>
          <w:lang w:val="fr-CA"/>
        </w:rPr>
      </w:pPr>
      <w:r>
        <w:rPr>
          <w:lang w:val="fr-CA"/>
        </w:rPr>
        <w:t>i)</w:t>
      </w:r>
      <w:r>
        <w:rPr>
          <w:lang w:val="fr-CA"/>
        </w:rPr>
        <w:tab/>
      </w:r>
      <w:r w:rsidR="00D7523B" w:rsidRPr="00302A8A">
        <w:rPr>
          <w:lang w:val="fr-CA"/>
        </w:rPr>
        <w:t>Du rapport sur les retards dans la soumission des tranches figurant dans le document UNEP/OzL.Pro/ExCom/83/14;</w:t>
      </w:r>
    </w:p>
    <w:p w14:paraId="3EC07B2D" w14:textId="3CEC2357" w:rsidR="00D7523B" w:rsidRPr="00302A8A" w:rsidRDefault="00D7523B" w:rsidP="00761F88">
      <w:pPr>
        <w:pStyle w:val="Heading3"/>
        <w:numPr>
          <w:ilvl w:val="0"/>
          <w:numId w:val="28"/>
        </w:numPr>
        <w:rPr>
          <w:lang w:val="fr-CA"/>
        </w:rPr>
      </w:pPr>
      <w:r w:rsidRPr="00302A8A">
        <w:rPr>
          <w:lang w:val="fr-CA"/>
        </w:rPr>
        <w:t>De l’information concernant les retards dans la soumission des tranches dans le cadre des plans de gestion de l’élimination des HCFC (PGEH) présentés par les gouvernements de la France, de l’Allemagne et du Japon, le PNUD, le PNUE, l’ONUDI et la Banque mondiale;</w:t>
      </w:r>
    </w:p>
    <w:p w14:paraId="7942362D" w14:textId="64E7B557" w:rsidR="00D7523B" w:rsidRPr="00302A8A" w:rsidRDefault="00D7523B" w:rsidP="00761F88">
      <w:pPr>
        <w:pStyle w:val="Heading3"/>
        <w:numPr>
          <w:ilvl w:val="0"/>
          <w:numId w:val="28"/>
        </w:numPr>
        <w:rPr>
          <w:lang w:val="fr-CA"/>
        </w:rPr>
      </w:pPr>
      <w:r w:rsidRPr="00302A8A">
        <w:rPr>
          <w:lang w:val="fr-CA"/>
        </w:rPr>
        <w:t>Que 34 des 70 activités (19 pays sur 39) associées aux tranches des PGEH qui devaient être soumises à la 83</w:t>
      </w:r>
      <w:r w:rsidRPr="00302A8A">
        <w:rPr>
          <w:vertAlign w:val="superscript"/>
          <w:lang w:val="fr-CA"/>
        </w:rPr>
        <w:t>e</w:t>
      </w:r>
      <w:r w:rsidRPr="00302A8A">
        <w:rPr>
          <w:lang w:val="fr-CA"/>
        </w:rPr>
        <w:t> réunion avaient été présentées à temps;</w:t>
      </w:r>
    </w:p>
    <w:p w14:paraId="7C254B77" w14:textId="20BCDB7A" w:rsidR="00D7523B" w:rsidRPr="00302A8A" w:rsidRDefault="00D7523B" w:rsidP="00761F88">
      <w:pPr>
        <w:pStyle w:val="Heading3"/>
        <w:numPr>
          <w:ilvl w:val="0"/>
          <w:numId w:val="28"/>
        </w:numPr>
        <w:rPr>
          <w:lang w:val="fr-CA"/>
        </w:rPr>
      </w:pPr>
      <w:r w:rsidRPr="00302A8A">
        <w:rPr>
          <w:lang w:val="fr-CA"/>
        </w:rPr>
        <w:t xml:space="preserve">Du fait que les agences bilatérales et les agences d’exécution avaient indiqué que la transmission tardive des tranches des PGEH qui devaient être remises lors de la première réunion de 2019 n’aura aucune incidence, ou ne devrait sans doute pas en avoir, sur la conformité au Protocole de Montréal, et que rien ne montrait que l’un quelconque des pays concernés était en situation de non-conformité aux mesures de réglementation du Protocole; </w:t>
      </w:r>
    </w:p>
    <w:p w14:paraId="3DCCFC75" w14:textId="71E66921" w:rsidR="00D7523B" w:rsidRPr="00302A8A" w:rsidRDefault="00D7523B" w:rsidP="00761F88">
      <w:pPr>
        <w:pStyle w:val="Heading2"/>
        <w:keepNext/>
        <w:keepLines/>
        <w:numPr>
          <w:ilvl w:val="0"/>
          <w:numId w:val="29"/>
        </w:numPr>
        <w:ind w:left="1418" w:hanging="698"/>
        <w:rPr>
          <w:lang w:val="fr-CA"/>
        </w:rPr>
      </w:pPr>
      <w:r w:rsidRPr="00302A8A">
        <w:rPr>
          <w:lang w:val="fr-CA"/>
        </w:rPr>
        <w:t>Demander au Secrétariat d’envoyer des lettres aux gouvernements concernés en ce qui a trait aux décisions sur les retards dans la soumis</w:t>
      </w:r>
      <w:r w:rsidR="00660924">
        <w:rPr>
          <w:lang w:val="fr-CA"/>
        </w:rPr>
        <w:t>sion des tranches figurant à l’A</w:t>
      </w:r>
      <w:r w:rsidRPr="00302A8A">
        <w:rPr>
          <w:lang w:val="fr-CA"/>
        </w:rPr>
        <w:t xml:space="preserve">nnexe I du </w:t>
      </w:r>
      <w:r w:rsidR="00660924">
        <w:rPr>
          <w:lang w:val="fr-CA"/>
        </w:rPr>
        <w:t>document UNEP/OzL.Pro/ExCom/83/14; et</w:t>
      </w:r>
      <w:r w:rsidRPr="00302A8A">
        <w:rPr>
          <w:lang w:val="fr-CA"/>
        </w:rPr>
        <w:t xml:space="preserve"> </w:t>
      </w:r>
    </w:p>
    <w:p w14:paraId="55BF0DE2" w14:textId="24D7B03C" w:rsidR="00D7523B" w:rsidRPr="00D7523B" w:rsidRDefault="00D7523B" w:rsidP="00761F88">
      <w:pPr>
        <w:pStyle w:val="Heading2"/>
        <w:numPr>
          <w:ilvl w:val="0"/>
          <w:numId w:val="29"/>
        </w:numPr>
        <w:ind w:left="1418" w:hanging="698"/>
        <w:rPr>
          <w:lang w:val="fr-CA"/>
        </w:rPr>
      </w:pPr>
      <w:r w:rsidRPr="00302A8A">
        <w:rPr>
          <w:lang w:val="fr-CA"/>
        </w:rPr>
        <w:t>Envisager d’annuler la phase I du PGEH pour l’Algérie.</w:t>
      </w:r>
    </w:p>
    <w:p w14:paraId="13713AB6" w14:textId="1B331707" w:rsidR="00D76D08" w:rsidRPr="00595196" w:rsidRDefault="00276BC8" w:rsidP="00276BC8">
      <w:pPr>
        <w:pStyle w:val="Heading1"/>
        <w:numPr>
          <w:ilvl w:val="0"/>
          <w:numId w:val="0"/>
        </w:numPr>
        <w:rPr>
          <w:b/>
          <w:lang w:val="fr-FR"/>
        </w:rPr>
      </w:pPr>
      <w:r>
        <w:rPr>
          <w:b/>
          <w:lang w:val="fr-FR"/>
        </w:rPr>
        <w:t>9.</w:t>
      </w:r>
      <w:r>
        <w:rPr>
          <w:b/>
          <w:lang w:val="fr-FR"/>
        </w:rPr>
        <w:tab/>
      </w:r>
      <w:r w:rsidR="00D7523B" w:rsidRPr="00595196">
        <w:rPr>
          <w:b/>
          <w:lang w:val="fr-FR"/>
        </w:rPr>
        <w:t>Propositions de projets</w:t>
      </w:r>
    </w:p>
    <w:p w14:paraId="79E61209" w14:textId="4DA023EB" w:rsidR="00D76D08" w:rsidRPr="00944BFF" w:rsidRDefault="00595196" w:rsidP="00595196">
      <w:pPr>
        <w:pStyle w:val="Heading2"/>
        <w:widowControl/>
        <w:numPr>
          <w:ilvl w:val="0"/>
          <w:numId w:val="0"/>
        </w:numPr>
        <w:ind w:left="1440" w:hanging="720"/>
        <w:rPr>
          <w:lang w:val="fr-FR"/>
        </w:rPr>
      </w:pPr>
      <w:r>
        <w:rPr>
          <w:b/>
          <w:lang w:val="fr-FR"/>
        </w:rPr>
        <w:t>a)</w:t>
      </w:r>
      <w:r>
        <w:rPr>
          <w:b/>
          <w:lang w:val="fr-FR"/>
        </w:rPr>
        <w:tab/>
      </w:r>
      <w:r w:rsidR="001E28AA" w:rsidRPr="00944BFF">
        <w:rPr>
          <w:b/>
          <w:lang w:val="fr-FR"/>
        </w:rPr>
        <w:t>Aperçu des questions recensées pendant l’examen des projets</w:t>
      </w:r>
    </w:p>
    <w:p w14:paraId="0A4ECCC6" w14:textId="3F4029D3" w:rsidR="00D76D08" w:rsidRPr="00944BFF" w:rsidRDefault="001E28AA"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L.Pro/ExCom/83/15</w:t>
      </w:r>
      <w:r w:rsidR="00D76D08" w:rsidRPr="00944BFF">
        <w:rPr>
          <w:color w:val="000000" w:themeColor="text1"/>
          <w:szCs w:val="24"/>
          <w:lang w:val="fr-FR"/>
        </w:rPr>
        <w:t xml:space="preserve"> </w:t>
      </w:r>
      <w:r w:rsidR="00D76D08" w:rsidRPr="00944BFF">
        <w:rPr>
          <w:color w:val="000000" w:themeColor="text1"/>
          <w:lang w:val="fr-FR"/>
        </w:rPr>
        <w:t>co</w:t>
      </w:r>
      <w:r w:rsidR="00D7523B">
        <w:rPr>
          <w:color w:val="000000" w:themeColor="text1"/>
          <w:lang w:val="fr-FR"/>
        </w:rPr>
        <w:t xml:space="preserve">mprend quatre </w:t>
      </w:r>
      <w:r w:rsidR="00D76D08" w:rsidRPr="00944BFF">
        <w:rPr>
          <w:color w:val="000000" w:themeColor="text1"/>
          <w:lang w:val="fr-FR"/>
        </w:rPr>
        <w:t xml:space="preserve">sections: </w:t>
      </w:r>
      <w:r w:rsidR="00D7523B">
        <w:rPr>
          <w:color w:val="000000" w:themeColor="text1"/>
          <w:lang w:val="fr-FR"/>
        </w:rPr>
        <w:t xml:space="preserve">Un aperçu des projets et des activités présentés par les agences bilatérales et d’exécution; les enjeux identifiés pendant le processus d’examen des projets; les projets et activités présentés pour approbation générale; les projets </w:t>
      </w:r>
      <w:r w:rsidR="00F53D65">
        <w:rPr>
          <w:color w:val="000000" w:themeColor="text1"/>
          <w:lang w:val="fr-FR"/>
        </w:rPr>
        <w:t xml:space="preserve">portant sur </w:t>
      </w:r>
      <w:r w:rsidR="00660924">
        <w:rPr>
          <w:color w:val="000000" w:themeColor="text1"/>
          <w:lang w:val="fr-FR"/>
        </w:rPr>
        <w:t>d</w:t>
      </w:r>
      <w:r w:rsidR="00F53D65">
        <w:rPr>
          <w:color w:val="000000" w:themeColor="text1"/>
          <w:lang w:val="fr-FR"/>
        </w:rPr>
        <w:t xml:space="preserve">es </w:t>
      </w:r>
      <w:r w:rsidR="00660924">
        <w:rPr>
          <w:color w:val="000000" w:themeColor="text1"/>
          <w:lang w:val="fr-FR"/>
        </w:rPr>
        <w:t>investissement</w:t>
      </w:r>
      <w:r w:rsidR="00F53D65">
        <w:rPr>
          <w:color w:val="000000" w:themeColor="text1"/>
          <w:lang w:val="fr-FR"/>
        </w:rPr>
        <w:t>s</w:t>
      </w:r>
      <w:r w:rsidR="00D7523B">
        <w:rPr>
          <w:color w:val="000000" w:themeColor="text1"/>
          <w:lang w:val="fr-FR"/>
        </w:rPr>
        <w:t xml:space="preserve"> </w:t>
      </w:r>
      <w:r w:rsidR="00660924">
        <w:rPr>
          <w:color w:val="000000" w:themeColor="text1"/>
          <w:lang w:val="fr-FR"/>
        </w:rPr>
        <w:t xml:space="preserve">présentés </w:t>
      </w:r>
      <w:r w:rsidR="00D7523B">
        <w:rPr>
          <w:color w:val="000000" w:themeColor="text1"/>
          <w:lang w:val="fr-FR"/>
        </w:rPr>
        <w:t>pour examen individuel.</w:t>
      </w:r>
    </w:p>
    <w:p w14:paraId="0C1271D1" w14:textId="3E1C295D" w:rsidR="00D76D08" w:rsidRPr="00944BFF" w:rsidRDefault="001E28AA" w:rsidP="00D76D08">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D76D08" w:rsidRPr="00944BFF">
        <w:rPr>
          <w:color w:val="000000" w:themeColor="text1"/>
          <w:lang w:val="fr-FR"/>
        </w:rPr>
        <w:t> </w:t>
      </w:r>
      <w:r w:rsidRPr="00944BFF">
        <w:rPr>
          <w:color w:val="000000" w:themeColor="text1"/>
          <w:lang w:val="fr-FR"/>
        </w:rPr>
        <w:t>Aucu</w:t>
      </w:r>
      <w:r w:rsidR="00D76D08" w:rsidRPr="00944BFF">
        <w:rPr>
          <w:color w:val="000000" w:themeColor="text1"/>
          <w:lang w:val="fr-FR"/>
        </w:rPr>
        <w:t>ne</w:t>
      </w:r>
    </w:p>
    <w:p w14:paraId="3AA52702" w14:textId="4B9C356A" w:rsidR="00D76D08" w:rsidRPr="00944BFF" w:rsidRDefault="001E28AA" w:rsidP="00D76D08">
      <w:pPr>
        <w:keepNext/>
        <w:keepLines/>
        <w:spacing w:after="240"/>
        <w:ind w:left="706"/>
        <w:rPr>
          <w:b/>
          <w:i/>
          <w:color w:val="000000" w:themeColor="text1"/>
          <w:lang w:val="fr-FR"/>
        </w:rPr>
      </w:pPr>
      <w:r w:rsidRPr="00944BFF">
        <w:rPr>
          <w:b/>
          <w:i/>
          <w:color w:val="000000" w:themeColor="text1"/>
          <w:lang w:val="fr-FR"/>
        </w:rPr>
        <w:lastRenderedPageBreak/>
        <w:t>Approbation g</w:t>
      </w:r>
      <w:r w:rsidR="00D7523B">
        <w:rPr>
          <w:b/>
          <w:i/>
          <w:color w:val="000000" w:themeColor="text1"/>
          <w:lang w:val="fr-FR"/>
        </w:rPr>
        <w:t>énér</w:t>
      </w:r>
      <w:r w:rsidRPr="00944BFF">
        <w:rPr>
          <w:b/>
          <w:i/>
          <w:color w:val="000000" w:themeColor="text1"/>
          <w:lang w:val="fr-FR"/>
        </w:rPr>
        <w:t>ale</w:t>
      </w:r>
      <w:r w:rsidR="00D76D08" w:rsidRPr="00944BFF">
        <w:rPr>
          <w:b/>
          <w:i/>
          <w:color w:val="000000" w:themeColor="text1"/>
          <w:lang w:val="fr-FR"/>
        </w:rPr>
        <w:t xml:space="preserve"> </w:t>
      </w:r>
    </w:p>
    <w:p w14:paraId="6CD64786" w14:textId="18F4A43F" w:rsidR="00D76D08" w:rsidRPr="00944BFF" w:rsidRDefault="00D7523B" w:rsidP="00D76D08">
      <w:pPr>
        <w:keepNext/>
        <w:keepLines/>
        <w:spacing w:after="240"/>
        <w:ind w:left="706"/>
        <w:rPr>
          <w:b/>
          <w:i/>
          <w:color w:val="000000" w:themeColor="text1"/>
          <w:lang w:val="fr-FR"/>
        </w:rPr>
      </w:pPr>
      <w:r>
        <w:rPr>
          <w:i/>
          <w:szCs w:val="28"/>
          <w:lang w:val="fr-FR"/>
        </w:rPr>
        <w:t>Rapports de vér</w:t>
      </w:r>
      <w:r w:rsidR="00D76D08" w:rsidRPr="00944BFF">
        <w:rPr>
          <w:i/>
          <w:szCs w:val="28"/>
          <w:lang w:val="fr-FR"/>
        </w:rPr>
        <w:t xml:space="preserve">ification </w:t>
      </w:r>
      <w:r>
        <w:rPr>
          <w:i/>
          <w:szCs w:val="28"/>
          <w:lang w:val="fr-FR"/>
        </w:rPr>
        <w:t>de la conformité des pays à faibl</w:t>
      </w:r>
      <w:r w:rsidR="00B65A80">
        <w:rPr>
          <w:i/>
          <w:szCs w:val="28"/>
          <w:lang w:val="fr-FR"/>
        </w:rPr>
        <w:t>e volume de consommation à leur</w:t>
      </w:r>
      <w:r>
        <w:rPr>
          <w:i/>
          <w:szCs w:val="28"/>
          <w:lang w:val="fr-FR"/>
        </w:rPr>
        <w:t xml:space="preserve"> ac</w:t>
      </w:r>
      <w:r w:rsidR="00B65A80">
        <w:rPr>
          <w:i/>
          <w:szCs w:val="28"/>
          <w:lang w:val="fr-FR"/>
        </w:rPr>
        <w:t>cord</w:t>
      </w:r>
      <w:r>
        <w:rPr>
          <w:i/>
          <w:szCs w:val="28"/>
          <w:lang w:val="fr-FR"/>
        </w:rPr>
        <w:t xml:space="preserve"> de PGEH  </w:t>
      </w:r>
    </w:p>
    <w:p w14:paraId="7382CAAD" w14:textId="035CF186" w:rsidR="00D76D08" w:rsidRPr="00944BFF" w:rsidRDefault="001E28AA" w:rsidP="00D76D08">
      <w:pPr>
        <w:pStyle w:val="Heading2"/>
        <w:numPr>
          <w:ilvl w:val="0"/>
          <w:numId w:val="0"/>
        </w:numPr>
        <w:ind w:left="709"/>
        <w:rPr>
          <w:color w:val="000000" w:themeColor="text1"/>
          <w:lang w:val="fr-FR"/>
        </w:rPr>
      </w:pPr>
      <w:r w:rsidRPr="006B4F5E">
        <w:rPr>
          <w:u w:val="single"/>
          <w:lang w:val="fr-FR"/>
        </w:rPr>
        <w:t>L</w:t>
      </w:r>
      <w:r w:rsidR="00D76D08" w:rsidRPr="006B4F5E">
        <w:rPr>
          <w:u w:val="single"/>
          <w:lang w:val="fr-FR"/>
        </w:rPr>
        <w:t xml:space="preserve">e </w:t>
      </w:r>
      <w:r w:rsidRPr="006B4F5E">
        <w:rPr>
          <w:u w:val="single"/>
          <w:lang w:val="fr-FR"/>
        </w:rPr>
        <w:t>Comité exécutif pourrait souhaiter</w:t>
      </w:r>
      <w:r w:rsidR="00D76D08" w:rsidRPr="006B4F5E">
        <w:rPr>
          <w:lang w:val="fr-FR"/>
        </w:rPr>
        <w:t xml:space="preserve"> </w:t>
      </w:r>
      <w:r w:rsidR="00892122" w:rsidRPr="006B4F5E">
        <w:rPr>
          <w:lang w:val="fr-FR"/>
        </w:rPr>
        <w:t>demander aux agences bilatérales et d’exécution pertinentes d’inclure dans leurs modifications de leurs programmes de travail respectifs, qui devraient être présentés à la 84</w:t>
      </w:r>
      <w:r w:rsidR="00892122" w:rsidRPr="006B4F5E">
        <w:rPr>
          <w:vertAlign w:val="superscript"/>
          <w:lang w:val="fr-FR"/>
        </w:rPr>
        <w:t>e</w:t>
      </w:r>
      <w:r w:rsidR="00892122" w:rsidRPr="006B4F5E">
        <w:rPr>
          <w:lang w:val="fr-FR"/>
        </w:rPr>
        <w:t xml:space="preserve"> réunion, le financement au montant de 30 </w:t>
      </w:r>
      <w:r w:rsidR="00D76D08" w:rsidRPr="006B4F5E">
        <w:rPr>
          <w:lang w:val="fr-FR"/>
        </w:rPr>
        <w:t>000</w:t>
      </w:r>
      <w:r w:rsidR="00892122" w:rsidRPr="006B4F5E">
        <w:rPr>
          <w:lang w:val="fr-FR"/>
        </w:rPr>
        <w:t xml:space="preserve"> $US, plus des coûts d’appui d’agence</w:t>
      </w:r>
      <w:r w:rsidR="00D76D08" w:rsidRPr="006B4F5E">
        <w:rPr>
          <w:lang w:val="fr-FR"/>
        </w:rPr>
        <w:t xml:space="preserve">, </w:t>
      </w:r>
      <w:r w:rsidR="00892122" w:rsidRPr="006B4F5E">
        <w:rPr>
          <w:lang w:val="fr-FR"/>
        </w:rPr>
        <w:t>à des fins de rapports de vérification pour la phase I des plans de gestion de l’élimination des HCFC (PGEH) pour le</w:t>
      </w:r>
      <w:r w:rsidR="00D76D08" w:rsidRPr="006B4F5E">
        <w:rPr>
          <w:lang w:val="fr-FR"/>
        </w:rPr>
        <w:t xml:space="preserve"> Burkina Faso, </w:t>
      </w:r>
      <w:r w:rsidR="00892122" w:rsidRPr="006B4F5E">
        <w:rPr>
          <w:lang w:val="fr-FR"/>
        </w:rPr>
        <w:t xml:space="preserve">le </w:t>
      </w:r>
      <w:r w:rsidR="00D76D08" w:rsidRPr="006B4F5E">
        <w:rPr>
          <w:lang w:val="fr-FR"/>
        </w:rPr>
        <w:t>Cambod</w:t>
      </w:r>
      <w:r w:rsidR="00892122" w:rsidRPr="006B4F5E">
        <w:rPr>
          <w:lang w:val="fr-FR"/>
        </w:rPr>
        <w:t>ge</w:t>
      </w:r>
      <w:r w:rsidR="00D76D08" w:rsidRPr="006B4F5E">
        <w:rPr>
          <w:lang w:val="fr-FR"/>
        </w:rPr>
        <w:t xml:space="preserve">, </w:t>
      </w:r>
      <w:r w:rsidR="00892122" w:rsidRPr="006B4F5E">
        <w:rPr>
          <w:lang w:val="fr-FR"/>
        </w:rPr>
        <w:t>les Îles Cook</w:t>
      </w:r>
      <w:r w:rsidR="00D76D08" w:rsidRPr="006B4F5E">
        <w:rPr>
          <w:lang w:val="fr-FR"/>
        </w:rPr>
        <w:t xml:space="preserve">, </w:t>
      </w:r>
      <w:r w:rsidR="00892122" w:rsidRPr="006B4F5E">
        <w:rPr>
          <w:lang w:val="fr-FR"/>
        </w:rPr>
        <w:t xml:space="preserve">le </w:t>
      </w:r>
      <w:r w:rsidR="00D76D08" w:rsidRPr="006B4F5E">
        <w:rPr>
          <w:lang w:val="fr-FR"/>
        </w:rPr>
        <w:t xml:space="preserve">Guatemala, </w:t>
      </w:r>
      <w:r w:rsidR="00892122" w:rsidRPr="006B4F5E">
        <w:rPr>
          <w:lang w:val="fr-FR"/>
        </w:rPr>
        <w:t xml:space="preserve">le </w:t>
      </w:r>
      <w:r w:rsidR="00D76D08" w:rsidRPr="006B4F5E">
        <w:rPr>
          <w:lang w:val="fr-FR"/>
        </w:rPr>
        <w:t xml:space="preserve">Honduras, Kiribati, </w:t>
      </w:r>
      <w:r w:rsidR="00892122" w:rsidRPr="006B4F5E">
        <w:rPr>
          <w:lang w:val="fr-FR"/>
        </w:rPr>
        <w:t xml:space="preserve">le </w:t>
      </w:r>
      <w:r w:rsidR="00D76D08" w:rsidRPr="006B4F5E">
        <w:rPr>
          <w:lang w:val="fr-FR"/>
        </w:rPr>
        <w:t xml:space="preserve">Lesotho, </w:t>
      </w:r>
      <w:r w:rsidR="00892122" w:rsidRPr="006B4F5E">
        <w:rPr>
          <w:lang w:val="fr-FR"/>
        </w:rPr>
        <w:t>les Îles Marshall</w:t>
      </w:r>
      <w:r w:rsidR="00D76D08" w:rsidRPr="006B4F5E">
        <w:rPr>
          <w:lang w:val="fr-FR"/>
        </w:rPr>
        <w:t xml:space="preserve">, </w:t>
      </w:r>
      <w:r w:rsidR="006B4F5E" w:rsidRPr="006B4F5E">
        <w:rPr>
          <w:lang w:val="fr-FR"/>
        </w:rPr>
        <w:t xml:space="preserve">la Micronésie (États fédérés de), le </w:t>
      </w:r>
      <w:r w:rsidR="00D76D08" w:rsidRPr="006B4F5E">
        <w:rPr>
          <w:lang w:val="fr-FR"/>
        </w:rPr>
        <w:t>Mont</w:t>
      </w:r>
      <w:r w:rsidR="00E744C2">
        <w:rPr>
          <w:lang w:val="fr-FR"/>
        </w:rPr>
        <w:t>é</w:t>
      </w:r>
      <w:r w:rsidR="00D76D08" w:rsidRPr="006B4F5E">
        <w:rPr>
          <w:lang w:val="fr-FR"/>
        </w:rPr>
        <w:t>n</w:t>
      </w:r>
      <w:r w:rsidR="00E744C2">
        <w:rPr>
          <w:lang w:val="fr-FR"/>
        </w:rPr>
        <w:t>é</w:t>
      </w:r>
      <w:r w:rsidR="00D76D08" w:rsidRPr="006B4F5E">
        <w:rPr>
          <w:lang w:val="fr-FR"/>
        </w:rPr>
        <w:t xml:space="preserve">gro, Nauru, Niue, </w:t>
      </w:r>
      <w:r w:rsidR="006B4F5E" w:rsidRPr="006B4F5E">
        <w:rPr>
          <w:lang w:val="fr-FR"/>
        </w:rPr>
        <w:t xml:space="preserve">le </w:t>
      </w:r>
      <w:r w:rsidR="00D76D08" w:rsidRPr="006B4F5E">
        <w:rPr>
          <w:lang w:val="fr-FR"/>
        </w:rPr>
        <w:t>Sou</w:t>
      </w:r>
      <w:r w:rsidR="006B4F5E" w:rsidRPr="006B4F5E">
        <w:rPr>
          <w:lang w:val="fr-FR"/>
        </w:rPr>
        <w:t>dan du Sud</w:t>
      </w:r>
      <w:r w:rsidR="00D76D08" w:rsidRPr="006B4F5E">
        <w:rPr>
          <w:lang w:val="fr-FR"/>
        </w:rPr>
        <w:t xml:space="preserve">, Tuvalu </w:t>
      </w:r>
      <w:r w:rsidR="006B4F5E" w:rsidRPr="006B4F5E">
        <w:rPr>
          <w:lang w:val="fr-FR"/>
        </w:rPr>
        <w:t>et</w:t>
      </w:r>
      <w:r w:rsidR="00D76D08" w:rsidRPr="006B4F5E">
        <w:rPr>
          <w:lang w:val="fr-FR"/>
        </w:rPr>
        <w:t xml:space="preserve"> Vanuatu, </w:t>
      </w:r>
      <w:r w:rsidR="006B4F5E" w:rsidRPr="006B4F5E">
        <w:rPr>
          <w:lang w:val="fr-FR"/>
        </w:rPr>
        <w:t>et aux fins des rapports de vérification pour la phase II des PGEH pour l’</w:t>
      </w:r>
      <w:r w:rsidR="00D76D08" w:rsidRPr="006B4F5E">
        <w:rPr>
          <w:lang w:val="fr-FR"/>
        </w:rPr>
        <w:t xml:space="preserve">Angola </w:t>
      </w:r>
      <w:r w:rsidR="006B4F5E" w:rsidRPr="006B4F5E">
        <w:rPr>
          <w:lang w:val="fr-FR"/>
        </w:rPr>
        <w:t>et l’Arménie</w:t>
      </w:r>
      <w:r w:rsidR="00D76D08" w:rsidRPr="006B4F5E">
        <w:rPr>
          <w:lang w:val="fr-FR"/>
        </w:rPr>
        <w:t>.</w:t>
      </w:r>
    </w:p>
    <w:p w14:paraId="7BA6375F" w14:textId="78E74C57" w:rsidR="00D76D08" w:rsidRPr="00944BFF" w:rsidRDefault="006C40BD" w:rsidP="00D76D08">
      <w:pPr>
        <w:widowControl w:val="0"/>
        <w:spacing w:after="240"/>
        <w:ind w:left="709"/>
        <w:rPr>
          <w:b/>
          <w:i/>
          <w:color w:val="000000" w:themeColor="text1"/>
          <w:lang w:val="fr-FR"/>
        </w:rPr>
      </w:pPr>
      <w:r>
        <w:rPr>
          <w:b/>
          <w:i/>
          <w:color w:val="000000" w:themeColor="text1"/>
          <w:lang w:val="fr-FR"/>
        </w:rPr>
        <w:t>Proje</w:t>
      </w:r>
      <w:r w:rsidR="00D76D08" w:rsidRPr="00944BFF">
        <w:rPr>
          <w:b/>
          <w:i/>
          <w:color w:val="000000" w:themeColor="text1"/>
          <w:lang w:val="fr-FR"/>
        </w:rPr>
        <w:t>t</w:t>
      </w:r>
      <w:r>
        <w:rPr>
          <w:b/>
          <w:i/>
          <w:color w:val="000000" w:themeColor="text1"/>
          <w:lang w:val="fr-FR"/>
        </w:rPr>
        <w:t>s et activités soumis pour approbation g</w:t>
      </w:r>
      <w:r w:rsidR="009A1FEF">
        <w:rPr>
          <w:b/>
          <w:i/>
          <w:color w:val="000000" w:themeColor="text1"/>
          <w:lang w:val="fr-FR"/>
        </w:rPr>
        <w:t>énéral</w:t>
      </w:r>
      <w:r>
        <w:rPr>
          <w:b/>
          <w:i/>
          <w:color w:val="000000" w:themeColor="text1"/>
          <w:lang w:val="fr-FR"/>
        </w:rPr>
        <w:t>e</w:t>
      </w:r>
    </w:p>
    <w:p w14:paraId="32A72056" w14:textId="2EF926B0" w:rsidR="00D76D08" w:rsidRPr="0099446C" w:rsidRDefault="001E28AA" w:rsidP="00D76D08">
      <w:pPr>
        <w:pStyle w:val="Heading1"/>
        <w:numPr>
          <w:ilvl w:val="0"/>
          <w:numId w:val="0"/>
        </w:numPr>
        <w:ind w:left="720"/>
        <w:rPr>
          <w:lang w:val="fr-FR"/>
        </w:rPr>
      </w:pPr>
      <w:r w:rsidRPr="0099446C">
        <w:rPr>
          <w:color w:val="000000" w:themeColor="text1"/>
          <w:u w:val="single"/>
          <w:lang w:val="fr-FR"/>
        </w:rPr>
        <w:t>L</w:t>
      </w:r>
      <w:r w:rsidR="00D76D08" w:rsidRPr="0099446C">
        <w:rPr>
          <w:color w:val="000000" w:themeColor="text1"/>
          <w:u w:val="single"/>
          <w:lang w:val="fr-FR"/>
        </w:rPr>
        <w:t>e</w:t>
      </w:r>
      <w:r w:rsidRPr="0099446C">
        <w:rPr>
          <w:color w:val="000000" w:themeColor="text1"/>
          <w:u w:val="single"/>
          <w:lang w:val="fr-FR"/>
        </w:rPr>
        <w:t xml:space="preserve"> Comité exé</w:t>
      </w:r>
      <w:r w:rsidR="00D76D08" w:rsidRPr="0099446C">
        <w:rPr>
          <w:color w:val="000000" w:themeColor="text1"/>
          <w:u w:val="single"/>
          <w:lang w:val="fr-FR"/>
        </w:rPr>
        <w:t>cuti</w:t>
      </w:r>
      <w:r w:rsidRPr="0099446C">
        <w:rPr>
          <w:color w:val="000000" w:themeColor="text1"/>
          <w:u w:val="single"/>
          <w:lang w:val="fr-FR"/>
        </w:rPr>
        <w:t xml:space="preserve">f pourrait souhaiter </w:t>
      </w:r>
      <w:r w:rsidR="00D76D08" w:rsidRPr="0099446C">
        <w:rPr>
          <w:color w:val="000000" w:themeColor="text1"/>
          <w:lang w:val="fr-FR"/>
        </w:rPr>
        <w:t xml:space="preserve">: </w:t>
      </w:r>
    </w:p>
    <w:p w14:paraId="50906194" w14:textId="36495639" w:rsidR="00D76D08" w:rsidRPr="0099446C" w:rsidRDefault="006B4F5E" w:rsidP="006B4F5E">
      <w:pPr>
        <w:pStyle w:val="Heading2"/>
        <w:numPr>
          <w:ilvl w:val="0"/>
          <w:numId w:val="0"/>
        </w:numPr>
        <w:ind w:left="1440" w:hanging="720"/>
        <w:rPr>
          <w:lang w:val="fr-FR"/>
        </w:rPr>
      </w:pPr>
      <w:r w:rsidRPr="0099446C">
        <w:rPr>
          <w:lang w:val="fr-FR"/>
        </w:rPr>
        <w:t>a)</w:t>
      </w:r>
      <w:r w:rsidRPr="0099446C">
        <w:rPr>
          <w:lang w:val="fr-FR"/>
        </w:rPr>
        <w:tab/>
        <w:t>Approuver les projets et activités soumis pour approbation g</w:t>
      </w:r>
      <w:r w:rsidR="00660924">
        <w:rPr>
          <w:lang w:val="fr-FR"/>
        </w:rPr>
        <w:t>énérale</w:t>
      </w:r>
      <w:r w:rsidRPr="0099446C">
        <w:rPr>
          <w:lang w:val="fr-FR"/>
        </w:rPr>
        <w:t xml:space="preserve"> aux niveaux de financement indiqués à l’</w:t>
      </w:r>
      <w:r w:rsidR="00D76D08" w:rsidRPr="0099446C">
        <w:rPr>
          <w:lang w:val="fr-FR"/>
        </w:rPr>
        <w:t>Annex</w:t>
      </w:r>
      <w:r w:rsidRPr="0099446C">
        <w:rPr>
          <w:lang w:val="fr-FR"/>
        </w:rPr>
        <w:t>e</w:t>
      </w:r>
      <w:r w:rsidR="00D76D08" w:rsidRPr="0099446C">
        <w:rPr>
          <w:lang w:val="fr-FR"/>
        </w:rPr>
        <w:t xml:space="preserve"> [ ] </w:t>
      </w:r>
      <w:r w:rsidRPr="0099446C">
        <w:rPr>
          <w:lang w:val="fr-FR"/>
        </w:rPr>
        <w:t>au rapport final</w:t>
      </w:r>
      <w:r w:rsidR="00D76D08" w:rsidRPr="0099446C">
        <w:rPr>
          <w:lang w:val="fr-FR"/>
        </w:rPr>
        <w:t xml:space="preserve">, </w:t>
      </w:r>
      <w:r w:rsidRPr="0099446C">
        <w:rPr>
          <w:lang w:val="fr-FR"/>
        </w:rPr>
        <w:t>avec les conditions ou dispositions incluses dans les documents d’évaluation de projets correspondants ainsi que les conditions du Comité exécutif jointes aux projets et en prenant note que les accords suivants ont été mis à jour </w:t>
      </w:r>
      <w:r w:rsidR="00D76D08" w:rsidRPr="0099446C">
        <w:rPr>
          <w:lang w:val="fr-FR"/>
        </w:rPr>
        <w:t>:</w:t>
      </w:r>
    </w:p>
    <w:p w14:paraId="4DFC388A" w14:textId="58BA8C3D" w:rsidR="00D76D08" w:rsidRPr="0099446C" w:rsidRDefault="006B4F5E" w:rsidP="006B4F5E">
      <w:pPr>
        <w:pStyle w:val="Heading3"/>
        <w:numPr>
          <w:ilvl w:val="0"/>
          <w:numId w:val="0"/>
        </w:numPr>
        <w:ind w:left="2160" w:hanging="720"/>
        <w:rPr>
          <w:lang w:val="fr-FR"/>
        </w:rPr>
      </w:pPr>
      <w:r w:rsidRPr="0099446C">
        <w:rPr>
          <w:lang w:val="fr-FR"/>
        </w:rPr>
        <w:t>i)</w:t>
      </w:r>
      <w:r w:rsidRPr="0099446C">
        <w:rPr>
          <w:lang w:val="fr-FR"/>
        </w:rPr>
        <w:tab/>
        <w:t xml:space="preserve">L’Accord entre le gouvernement du </w:t>
      </w:r>
      <w:r w:rsidR="00D76D08" w:rsidRPr="0099446C">
        <w:rPr>
          <w:lang w:val="fr-FR"/>
        </w:rPr>
        <w:t xml:space="preserve">Mozambique </w:t>
      </w:r>
      <w:r w:rsidRPr="0099446C">
        <w:rPr>
          <w:lang w:val="fr-FR"/>
        </w:rPr>
        <w:t xml:space="preserve">et le Comité exécutif pour tenir compte </w:t>
      </w:r>
      <w:r w:rsidR="0099446C" w:rsidRPr="0099446C">
        <w:rPr>
          <w:lang w:val="fr-FR"/>
        </w:rPr>
        <w:t xml:space="preserve">de la valeur de référence révisée des </w:t>
      </w:r>
      <w:r w:rsidR="00D76D08" w:rsidRPr="0099446C">
        <w:rPr>
          <w:lang w:val="fr-FR"/>
        </w:rPr>
        <w:t xml:space="preserve">HCFC </w:t>
      </w:r>
      <w:r w:rsidR="0099446C" w:rsidRPr="0099446C">
        <w:rPr>
          <w:lang w:val="fr-FR"/>
        </w:rPr>
        <w:t>pour la conformité et du point de départ pour la réduction globale durable de la consommation de HCFC et la modification correspondante du financement pour la phase I du PGEH</w:t>
      </w:r>
      <w:r w:rsidR="00D76D08" w:rsidRPr="0099446C">
        <w:rPr>
          <w:lang w:val="fr-FR"/>
        </w:rPr>
        <w:t xml:space="preserve">; </w:t>
      </w:r>
    </w:p>
    <w:p w14:paraId="6011F4CD" w14:textId="490030E8" w:rsidR="00D76D08" w:rsidRPr="0099446C" w:rsidRDefault="006C3C08" w:rsidP="006C3C08">
      <w:pPr>
        <w:pStyle w:val="Heading3"/>
        <w:numPr>
          <w:ilvl w:val="0"/>
          <w:numId w:val="0"/>
        </w:numPr>
        <w:ind w:left="2160" w:hanging="720"/>
        <w:rPr>
          <w:lang w:val="fr-FR"/>
        </w:rPr>
      </w:pPr>
      <w:r>
        <w:rPr>
          <w:lang w:val="fr-FR"/>
        </w:rPr>
        <w:t>ii)</w:t>
      </w:r>
      <w:r>
        <w:rPr>
          <w:lang w:val="fr-FR"/>
        </w:rPr>
        <w:tab/>
      </w:r>
      <w:r w:rsidR="0099446C" w:rsidRPr="0099446C">
        <w:rPr>
          <w:lang w:val="fr-FR"/>
        </w:rPr>
        <w:t xml:space="preserve">L’Accord entre le gouvernement du </w:t>
      </w:r>
      <w:r w:rsidR="00D76D08" w:rsidRPr="0099446C">
        <w:rPr>
          <w:lang w:val="fr-FR"/>
        </w:rPr>
        <w:t xml:space="preserve">Pakistan </w:t>
      </w:r>
      <w:r w:rsidR="0099446C" w:rsidRPr="0099446C">
        <w:rPr>
          <w:lang w:val="fr-FR"/>
        </w:rPr>
        <w:t xml:space="preserve">et le Comité exécutif pour tenir compte de la valeur de référence révisée des HCFC pour la conformité et du point de départ pour la réduction globale de la consommation de HCFC; et </w:t>
      </w:r>
    </w:p>
    <w:p w14:paraId="2BE9412E" w14:textId="0F609DC4" w:rsidR="00D76D08" w:rsidRPr="0099446C" w:rsidRDefault="0099446C" w:rsidP="0099446C">
      <w:pPr>
        <w:pStyle w:val="Heading2"/>
        <w:numPr>
          <w:ilvl w:val="0"/>
          <w:numId w:val="0"/>
        </w:numPr>
        <w:ind w:left="1440" w:hanging="720"/>
        <w:rPr>
          <w:b/>
          <w:i/>
          <w:color w:val="000000" w:themeColor="text1"/>
          <w:lang w:val="fr-FR"/>
        </w:rPr>
      </w:pPr>
      <w:r w:rsidRPr="0099446C">
        <w:rPr>
          <w:lang w:val="fr-FR"/>
        </w:rPr>
        <w:t>b)</w:t>
      </w:r>
      <w:r w:rsidRPr="0099446C">
        <w:rPr>
          <w:lang w:val="fr-FR"/>
        </w:rPr>
        <w:tab/>
        <w:t>Décider que pour les projets associés au renouvellement du renforcement d</w:t>
      </w:r>
      <w:r w:rsidR="00660924">
        <w:rPr>
          <w:lang w:val="fr-FR"/>
        </w:rPr>
        <w:t>es institutions, l’approbation génér</w:t>
      </w:r>
      <w:r w:rsidRPr="0099446C">
        <w:rPr>
          <w:lang w:val="fr-FR"/>
        </w:rPr>
        <w:t>ale incluait l’approbation des commentaires à transmettre aux gouvernements bénéficiaires, tels que contenus à l’</w:t>
      </w:r>
      <w:r w:rsidR="00D76D08" w:rsidRPr="0099446C">
        <w:rPr>
          <w:lang w:val="fr-FR"/>
        </w:rPr>
        <w:t>Annex</w:t>
      </w:r>
      <w:r w:rsidRPr="0099446C">
        <w:rPr>
          <w:lang w:val="fr-FR"/>
        </w:rPr>
        <w:t>e</w:t>
      </w:r>
      <w:r w:rsidR="00D76D08" w:rsidRPr="0099446C">
        <w:rPr>
          <w:lang w:val="fr-FR"/>
        </w:rPr>
        <w:t xml:space="preserve"> [ ] </w:t>
      </w:r>
      <w:r w:rsidRPr="0099446C">
        <w:rPr>
          <w:lang w:val="fr-FR"/>
        </w:rPr>
        <w:t>au rapport final</w:t>
      </w:r>
      <w:r w:rsidR="00D76D08" w:rsidRPr="0099446C">
        <w:rPr>
          <w:lang w:val="fr-FR"/>
        </w:rPr>
        <w:t>.</w:t>
      </w:r>
    </w:p>
    <w:p w14:paraId="2E7639FC" w14:textId="3AAEDE4A" w:rsidR="00D76D08" w:rsidRPr="00944BFF" w:rsidRDefault="0099446C" w:rsidP="0099446C">
      <w:pPr>
        <w:pStyle w:val="Heading2"/>
        <w:keepNext/>
        <w:widowControl/>
        <w:numPr>
          <w:ilvl w:val="0"/>
          <w:numId w:val="0"/>
        </w:numPr>
        <w:ind w:left="1440" w:hanging="720"/>
        <w:rPr>
          <w:b/>
          <w:lang w:val="fr-FR"/>
        </w:rPr>
      </w:pPr>
      <w:r>
        <w:rPr>
          <w:b/>
          <w:lang w:val="fr-FR"/>
        </w:rPr>
        <w:t>b)</w:t>
      </w:r>
      <w:r>
        <w:rPr>
          <w:b/>
          <w:lang w:val="fr-FR"/>
        </w:rPr>
        <w:tab/>
      </w:r>
      <w:r w:rsidR="001E28AA" w:rsidRPr="00944BFF">
        <w:rPr>
          <w:b/>
          <w:lang w:val="fr-FR"/>
        </w:rPr>
        <w:t>Coopér</w:t>
      </w:r>
      <w:r w:rsidR="006C40BD">
        <w:rPr>
          <w:b/>
          <w:lang w:val="fr-FR"/>
        </w:rPr>
        <w:t>a</w:t>
      </w:r>
      <w:r w:rsidR="001E28AA" w:rsidRPr="00944BFF">
        <w:rPr>
          <w:b/>
          <w:lang w:val="fr-FR"/>
        </w:rPr>
        <w:t>tion bilaté</w:t>
      </w:r>
      <w:r w:rsidR="00D76D08" w:rsidRPr="00944BFF">
        <w:rPr>
          <w:b/>
          <w:lang w:val="fr-FR"/>
        </w:rPr>
        <w:t>ral</w:t>
      </w:r>
      <w:r w:rsidR="001E28AA" w:rsidRPr="00944BFF">
        <w:rPr>
          <w:b/>
          <w:lang w:val="fr-FR"/>
        </w:rPr>
        <w:t xml:space="preserve">e </w:t>
      </w:r>
    </w:p>
    <w:p w14:paraId="089B3BD6" w14:textId="5F18DAA5" w:rsidR="00D76D08" w:rsidRPr="00944BFF" w:rsidRDefault="001E28AA" w:rsidP="00D76D08">
      <w:pPr>
        <w:pStyle w:val="ListParagraph"/>
        <w:keepNext/>
        <w:spacing w:after="240"/>
        <w:ind w:left="709"/>
        <w:jc w:val="both"/>
        <w:rPr>
          <w:color w:val="000000" w:themeColor="text1"/>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L.Pro/ExCom/83/16</w:t>
      </w:r>
      <w:r w:rsidR="00D76D08" w:rsidRPr="00944BFF">
        <w:rPr>
          <w:color w:val="000000" w:themeColor="text1"/>
          <w:szCs w:val="24"/>
          <w:lang w:val="fr-FR"/>
        </w:rPr>
        <w:t xml:space="preserve"> </w:t>
      </w:r>
      <w:r w:rsidR="00D76D08" w:rsidRPr="00944BFF">
        <w:rPr>
          <w:color w:val="000000" w:themeColor="text1"/>
          <w:lang w:val="fr-FR"/>
        </w:rPr>
        <w:t>pr</w:t>
      </w:r>
      <w:r w:rsidR="0099446C">
        <w:rPr>
          <w:color w:val="000000" w:themeColor="text1"/>
          <w:lang w:val="fr-FR"/>
        </w:rPr>
        <w:t xml:space="preserve">ésente un aperçu des demandes de deux agences bilatérales pour des projets reliés aux </w:t>
      </w:r>
      <w:r w:rsidR="00D76D08" w:rsidRPr="00944BFF">
        <w:rPr>
          <w:color w:val="000000" w:themeColor="text1"/>
          <w:lang w:val="fr-FR"/>
        </w:rPr>
        <w:t>HCFC</w:t>
      </w:r>
      <w:r w:rsidR="0099446C">
        <w:rPr>
          <w:color w:val="000000" w:themeColor="text1"/>
          <w:lang w:val="fr-FR"/>
        </w:rPr>
        <w:t xml:space="preserve"> concernant deux pays et leur admissibilité à l’approbation compte tenu du niveau maximum de coopération bilatérale </w:t>
      </w:r>
      <w:r w:rsidR="005B1901">
        <w:rPr>
          <w:color w:val="000000" w:themeColor="text1"/>
          <w:lang w:val="fr-FR"/>
        </w:rPr>
        <w:t>disponible pour la période triennale 2018-2020</w:t>
      </w:r>
      <w:r w:rsidR="00D76D08" w:rsidRPr="00944BFF">
        <w:rPr>
          <w:color w:val="000000" w:themeColor="text1"/>
          <w:lang w:val="fr-FR"/>
        </w:rPr>
        <w:t>.</w:t>
      </w:r>
    </w:p>
    <w:p w14:paraId="46533890" w14:textId="035A56FE" w:rsidR="00D76D08" w:rsidRDefault="001E28AA" w:rsidP="00D76D08">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r w:rsidRPr="00944BFF">
        <w:rPr>
          <w:color w:val="000000" w:themeColor="text1"/>
          <w:lang w:val="fr-FR"/>
        </w:rPr>
        <w:t>Aucu</w:t>
      </w:r>
      <w:r w:rsidR="00D76D08" w:rsidRPr="00944BFF">
        <w:rPr>
          <w:color w:val="000000" w:themeColor="text1"/>
          <w:lang w:val="fr-FR"/>
        </w:rPr>
        <w:t>ne</w:t>
      </w:r>
    </w:p>
    <w:p w14:paraId="5A3C6C36" w14:textId="77777777" w:rsidR="008F5B06" w:rsidRPr="006C6362" w:rsidRDefault="008F5B06" w:rsidP="008F5B06">
      <w:pPr>
        <w:pStyle w:val="Heading1"/>
        <w:numPr>
          <w:ilvl w:val="0"/>
          <w:numId w:val="0"/>
        </w:numPr>
        <w:spacing w:after="0"/>
        <w:ind w:left="709"/>
        <w:rPr>
          <w:lang w:val="fr-FR"/>
        </w:rPr>
      </w:pPr>
      <w:r w:rsidRPr="00660924">
        <w:rPr>
          <w:u w:val="single"/>
          <w:lang w:val="fr"/>
        </w:rPr>
        <w:t>Le Comité exécutif pourrait souhaiter</w:t>
      </w:r>
      <w:r>
        <w:rPr>
          <w:lang w:val="fr"/>
        </w:rPr>
        <w:t xml:space="preserve"> demander au Trésorier de déduire les coûts des projets bilatéraux, approuvés à la 83</w:t>
      </w:r>
      <w:r>
        <w:rPr>
          <w:vertAlign w:val="superscript"/>
          <w:lang w:val="fr"/>
        </w:rPr>
        <w:t>e</w:t>
      </w:r>
      <w:r>
        <w:rPr>
          <w:lang w:val="fr"/>
        </w:rPr>
        <w:t xml:space="preserve"> réunion, comme suit :</w:t>
      </w:r>
    </w:p>
    <w:p w14:paraId="5B1035C6" w14:textId="77777777" w:rsidR="008F5B06" w:rsidRPr="006C6362" w:rsidRDefault="008F5B06" w:rsidP="008F5B06">
      <w:pPr>
        <w:rPr>
          <w:lang w:val="fr-FR"/>
        </w:rPr>
      </w:pPr>
    </w:p>
    <w:p w14:paraId="17EBC4D3" w14:textId="5A82BBF2" w:rsidR="008F5B06" w:rsidRPr="006C6362" w:rsidRDefault="008F5B06" w:rsidP="008F5B06">
      <w:pPr>
        <w:pStyle w:val="Heading2"/>
        <w:numPr>
          <w:ilvl w:val="0"/>
          <w:numId w:val="0"/>
        </w:numPr>
        <w:ind w:left="1440" w:hanging="720"/>
        <w:rPr>
          <w:lang w:val="fr-FR"/>
        </w:rPr>
      </w:pPr>
      <w:r>
        <w:rPr>
          <w:lang w:val="fr"/>
        </w:rPr>
        <w:t>(a)</w:t>
      </w:r>
      <w:r>
        <w:rPr>
          <w:lang w:val="fr"/>
        </w:rPr>
        <w:tab/>
        <w:t>XX</w:t>
      </w:r>
      <w:r w:rsidR="00416E16">
        <w:rPr>
          <w:lang w:val="fr"/>
        </w:rPr>
        <w:t> $US</w:t>
      </w:r>
      <w:r>
        <w:rPr>
          <w:lang w:val="fr"/>
        </w:rPr>
        <w:t xml:space="preserve"> (coûts d’agence compris) du solde de la contribution bilatérale de l’Allemagne pour 2018-2020 ; et </w:t>
      </w:r>
    </w:p>
    <w:p w14:paraId="346D254B" w14:textId="3BC4F2F0" w:rsidR="008F5B06" w:rsidRPr="008F5B06" w:rsidRDefault="008F5B06" w:rsidP="008F5B06">
      <w:pPr>
        <w:pStyle w:val="Heading2"/>
        <w:numPr>
          <w:ilvl w:val="0"/>
          <w:numId w:val="0"/>
        </w:numPr>
        <w:ind w:left="1440" w:hanging="720"/>
        <w:rPr>
          <w:lang w:val="fr-FR"/>
        </w:rPr>
      </w:pPr>
      <w:r>
        <w:rPr>
          <w:lang w:val="fr"/>
        </w:rPr>
        <w:t>(b)</w:t>
      </w:r>
      <w:r>
        <w:rPr>
          <w:lang w:val="fr"/>
        </w:rPr>
        <w:tab/>
        <w:t>XX</w:t>
      </w:r>
      <w:r w:rsidR="00416E16">
        <w:rPr>
          <w:lang w:val="fr"/>
        </w:rPr>
        <w:t> $US</w:t>
      </w:r>
      <w:r>
        <w:rPr>
          <w:lang w:val="fr"/>
        </w:rPr>
        <w:t xml:space="preserve"> (coûts d’agence compris) du solde de la contribution bilatérale du Japon pour 2019.</w:t>
      </w:r>
    </w:p>
    <w:p w14:paraId="3369B1BF" w14:textId="5788DB5C" w:rsidR="00D76D08" w:rsidRPr="00944BFF" w:rsidRDefault="005B1901" w:rsidP="005B1901">
      <w:pPr>
        <w:pStyle w:val="Heading2"/>
        <w:keepNext/>
        <w:widowControl/>
        <w:numPr>
          <w:ilvl w:val="0"/>
          <w:numId w:val="0"/>
        </w:numPr>
        <w:ind w:left="1440" w:hanging="720"/>
        <w:rPr>
          <w:lang w:val="fr-FR"/>
        </w:rPr>
      </w:pPr>
      <w:r>
        <w:rPr>
          <w:b/>
          <w:lang w:val="fr-FR"/>
        </w:rPr>
        <w:lastRenderedPageBreak/>
        <w:t>c)</w:t>
      </w:r>
      <w:r>
        <w:rPr>
          <w:b/>
          <w:lang w:val="fr-FR"/>
        </w:rPr>
        <w:tab/>
      </w:r>
      <w:r w:rsidR="001E28AA" w:rsidRPr="00944BFF">
        <w:rPr>
          <w:b/>
          <w:lang w:val="fr-FR"/>
        </w:rPr>
        <w:t>Programmes de travail</w:t>
      </w:r>
    </w:p>
    <w:p w14:paraId="78D4B5D0" w14:textId="18939997" w:rsidR="00D76D08" w:rsidRPr="00944BFF" w:rsidRDefault="005B1901" w:rsidP="005B1901">
      <w:pPr>
        <w:pStyle w:val="Heading3"/>
        <w:keepNext/>
        <w:widowControl/>
        <w:numPr>
          <w:ilvl w:val="0"/>
          <w:numId w:val="0"/>
        </w:numPr>
        <w:ind w:left="2160" w:hanging="720"/>
        <w:rPr>
          <w:b/>
          <w:lang w:val="fr-FR"/>
        </w:rPr>
      </w:pPr>
      <w:r>
        <w:rPr>
          <w:b/>
          <w:lang w:val="fr-FR"/>
        </w:rPr>
        <w:t>i)</w:t>
      </w:r>
      <w:r>
        <w:rPr>
          <w:b/>
          <w:lang w:val="fr-FR"/>
        </w:rPr>
        <w:tab/>
      </w:r>
      <w:r w:rsidR="001E28AA" w:rsidRPr="00944BFF">
        <w:rPr>
          <w:b/>
          <w:lang w:val="fr-FR"/>
        </w:rPr>
        <w:t>Programme de travail du PNUD pour l’année</w:t>
      </w:r>
      <w:r w:rsidR="00D76D08" w:rsidRPr="00944BFF">
        <w:rPr>
          <w:b/>
          <w:lang w:val="fr-FR"/>
        </w:rPr>
        <w:t xml:space="preserve"> 2019</w:t>
      </w:r>
    </w:p>
    <w:p w14:paraId="134FED11" w14:textId="2E65F80A" w:rsidR="00D76D08" w:rsidRPr="00944BFF" w:rsidRDefault="001E28AA"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L.Pro/ExCom/83/17</w:t>
      </w:r>
      <w:r w:rsidR="00D76D08" w:rsidRPr="00944BFF">
        <w:rPr>
          <w:color w:val="000000" w:themeColor="text1"/>
          <w:szCs w:val="24"/>
          <w:lang w:val="fr-FR"/>
        </w:rPr>
        <w:t xml:space="preserve"> </w:t>
      </w:r>
      <w:r w:rsidR="008F5B06">
        <w:rPr>
          <w:lang w:val="fr-FR"/>
        </w:rPr>
        <w:t>cont</w:t>
      </w:r>
      <w:r w:rsidR="005B1901">
        <w:rPr>
          <w:lang w:val="fr-FR"/>
        </w:rPr>
        <w:t xml:space="preserve">ient </w:t>
      </w:r>
      <w:r w:rsidR="008F5B06">
        <w:rPr>
          <w:lang w:val="fr-FR"/>
        </w:rPr>
        <w:t>14 activité</w:t>
      </w:r>
      <w:r w:rsidR="00D76D08" w:rsidRPr="00944BFF">
        <w:rPr>
          <w:lang w:val="fr-FR"/>
        </w:rPr>
        <w:t xml:space="preserve">s </w:t>
      </w:r>
      <w:r w:rsidR="008F5B06">
        <w:rPr>
          <w:lang w:val="fr-FR"/>
        </w:rPr>
        <w:t>présentée</w:t>
      </w:r>
      <w:r w:rsidR="00D76D08" w:rsidRPr="00944BFF">
        <w:rPr>
          <w:lang w:val="fr-FR"/>
        </w:rPr>
        <w:t>s</w:t>
      </w:r>
      <w:r w:rsidR="008F5B06">
        <w:rPr>
          <w:lang w:val="fr-FR"/>
        </w:rPr>
        <w:t xml:space="preserve"> par le PNUD, inclu</w:t>
      </w:r>
      <w:r w:rsidR="005B1901">
        <w:rPr>
          <w:lang w:val="fr-FR"/>
        </w:rPr>
        <w:t>a</w:t>
      </w:r>
      <w:r w:rsidR="008F5B06">
        <w:rPr>
          <w:lang w:val="fr-FR"/>
        </w:rPr>
        <w:t>nt cinq demandes pour le renouvellement de projets de renforcement des instit</w:t>
      </w:r>
      <w:r w:rsidR="00D76D08" w:rsidRPr="00944BFF">
        <w:rPr>
          <w:lang w:val="fr-FR"/>
        </w:rPr>
        <w:t>u</w:t>
      </w:r>
      <w:r w:rsidR="005B1901">
        <w:rPr>
          <w:lang w:val="fr-FR"/>
        </w:rPr>
        <w:t>tions</w:t>
      </w:r>
      <w:r w:rsidR="008F5B06">
        <w:rPr>
          <w:lang w:val="fr-FR"/>
        </w:rPr>
        <w:t xml:space="preserve">; deux demandes </w:t>
      </w:r>
      <w:r w:rsidR="00B65A80">
        <w:rPr>
          <w:lang w:val="fr-FR"/>
        </w:rPr>
        <w:t>de</w:t>
      </w:r>
      <w:r w:rsidR="008F5B06">
        <w:rPr>
          <w:lang w:val="fr-FR"/>
        </w:rPr>
        <w:t xml:space="preserve"> préparation de projet </w:t>
      </w:r>
      <w:r w:rsidR="00B65A80">
        <w:rPr>
          <w:lang w:val="fr-FR"/>
        </w:rPr>
        <w:t xml:space="preserve">pour la phase II </w:t>
      </w:r>
      <w:r w:rsidR="008F5B06">
        <w:rPr>
          <w:lang w:val="fr-FR"/>
        </w:rPr>
        <w:t>de PGEH et quatre dema</w:t>
      </w:r>
      <w:r w:rsidR="00B65A80">
        <w:rPr>
          <w:lang w:val="fr-FR"/>
        </w:rPr>
        <w:t>ndes pour la phase III de</w:t>
      </w:r>
      <w:r w:rsidR="005B1901">
        <w:rPr>
          <w:lang w:val="fr-FR"/>
        </w:rPr>
        <w:t xml:space="preserve"> PGEH</w:t>
      </w:r>
      <w:r w:rsidR="008F5B06">
        <w:rPr>
          <w:lang w:val="fr-FR"/>
        </w:rPr>
        <w:t xml:space="preserve">; et trois demandes </w:t>
      </w:r>
      <w:r w:rsidR="00B65A80">
        <w:rPr>
          <w:lang w:val="fr-FR"/>
        </w:rPr>
        <w:t>de</w:t>
      </w:r>
      <w:r w:rsidR="008F5B06">
        <w:rPr>
          <w:lang w:val="fr-FR"/>
        </w:rPr>
        <w:t xml:space="preserve"> préparation de projet pour </w:t>
      </w:r>
      <w:r w:rsidR="005B1901">
        <w:rPr>
          <w:lang w:val="fr-FR"/>
        </w:rPr>
        <w:t xml:space="preserve">des </w:t>
      </w:r>
      <w:r w:rsidR="008F5B06">
        <w:rPr>
          <w:lang w:val="fr-FR"/>
        </w:rPr>
        <w:t xml:space="preserve">projets </w:t>
      </w:r>
      <w:r w:rsidR="000C6A95">
        <w:rPr>
          <w:lang w:val="fr-FR"/>
        </w:rPr>
        <w:t>portant sur les</w:t>
      </w:r>
      <w:r w:rsidR="008F5B06">
        <w:rPr>
          <w:lang w:val="fr-FR"/>
        </w:rPr>
        <w:t xml:space="preserve"> HFC</w:t>
      </w:r>
      <w:r w:rsidR="005B1901">
        <w:rPr>
          <w:lang w:val="fr-FR"/>
        </w:rPr>
        <w:t>,</w:t>
      </w:r>
      <w:r w:rsidR="008F5B06">
        <w:rPr>
          <w:lang w:val="fr-FR"/>
        </w:rPr>
        <w:t xml:space="preserve"> selon la décision </w:t>
      </w:r>
      <w:r w:rsidR="00D76D08" w:rsidRPr="00944BFF">
        <w:rPr>
          <w:lang w:val="fr-FR"/>
        </w:rPr>
        <w:t>78/3(g).</w:t>
      </w:r>
    </w:p>
    <w:p w14:paraId="7C466C6E" w14:textId="4E6161B6" w:rsidR="00D76D08" w:rsidRPr="00944BFF" w:rsidRDefault="001E28AA" w:rsidP="00D76D08">
      <w:pPr>
        <w:keepNext/>
        <w:tabs>
          <w:tab w:val="left" w:pos="720"/>
          <w:tab w:val="left" w:pos="1440"/>
          <w:tab w:val="left" w:pos="2160"/>
        </w:tabs>
        <w:spacing w:after="240"/>
        <w:ind w:left="706"/>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p>
    <w:p w14:paraId="34BAAE33" w14:textId="395D409B" w:rsidR="00D76D08" w:rsidRPr="00944BFF" w:rsidRDefault="00EE440F" w:rsidP="00761F88">
      <w:pPr>
        <w:pStyle w:val="ListParagraph"/>
        <w:numPr>
          <w:ilvl w:val="0"/>
          <w:numId w:val="19"/>
        </w:numPr>
        <w:tabs>
          <w:tab w:val="left" w:pos="720"/>
          <w:tab w:val="left" w:pos="1440"/>
          <w:tab w:val="left" w:pos="2160"/>
        </w:tabs>
        <w:spacing w:after="240"/>
        <w:jc w:val="both"/>
        <w:rPr>
          <w:color w:val="000000" w:themeColor="text1"/>
          <w:lang w:val="fr-FR"/>
        </w:rPr>
      </w:pPr>
      <w:r>
        <w:rPr>
          <w:color w:val="000000" w:themeColor="text1"/>
          <w:lang w:val="fr-FR"/>
        </w:rPr>
        <w:t>T</w:t>
      </w:r>
      <w:r w:rsidR="00D76D08" w:rsidRPr="00944BFF">
        <w:rPr>
          <w:color w:val="000000" w:themeColor="text1"/>
          <w:lang w:val="fr-FR"/>
        </w:rPr>
        <w:t>r</w:t>
      </w:r>
      <w:r>
        <w:rPr>
          <w:color w:val="000000" w:themeColor="text1"/>
          <w:lang w:val="fr-FR"/>
        </w:rPr>
        <w:t>ois demandes</w:t>
      </w:r>
      <w:r w:rsidR="00D76D08" w:rsidRPr="00944BFF">
        <w:rPr>
          <w:color w:val="000000" w:themeColor="text1"/>
          <w:lang w:val="fr-FR"/>
        </w:rPr>
        <w:t xml:space="preserve"> </w:t>
      </w:r>
      <w:r w:rsidR="005B1901">
        <w:rPr>
          <w:color w:val="000000" w:themeColor="text1"/>
          <w:lang w:val="fr-FR"/>
        </w:rPr>
        <w:t>de</w:t>
      </w:r>
      <w:r>
        <w:rPr>
          <w:color w:val="000000" w:themeColor="text1"/>
          <w:lang w:val="fr-FR"/>
        </w:rPr>
        <w:t xml:space="preserve"> préparation de projet </w:t>
      </w:r>
      <w:r w:rsidR="005B1901">
        <w:rPr>
          <w:color w:val="000000" w:themeColor="text1"/>
          <w:lang w:val="fr-FR"/>
        </w:rPr>
        <w:t>pou</w:t>
      </w:r>
      <w:r w:rsidR="000C6A95">
        <w:rPr>
          <w:color w:val="000000" w:themeColor="text1"/>
          <w:lang w:val="fr-FR"/>
        </w:rPr>
        <w:t xml:space="preserve">r des projets d’investissement portant sur les </w:t>
      </w:r>
      <w:r w:rsidR="005B1901">
        <w:rPr>
          <w:color w:val="000000" w:themeColor="text1"/>
          <w:lang w:val="fr-FR"/>
        </w:rPr>
        <w:t xml:space="preserve"> HFC</w:t>
      </w:r>
      <w:r w:rsidR="00D76D08" w:rsidRPr="00944BFF">
        <w:rPr>
          <w:color w:val="000000" w:themeColor="text1"/>
          <w:lang w:val="fr-FR"/>
        </w:rPr>
        <w:t xml:space="preserve"> (paragraph</w:t>
      </w:r>
      <w:r w:rsidR="005B1901">
        <w:rPr>
          <w:color w:val="000000" w:themeColor="text1"/>
          <w:lang w:val="fr-FR"/>
        </w:rPr>
        <w:t>e</w:t>
      </w:r>
      <w:r w:rsidR="00D76D08" w:rsidRPr="00944BFF">
        <w:rPr>
          <w:color w:val="000000" w:themeColor="text1"/>
          <w:lang w:val="fr-FR"/>
        </w:rPr>
        <w:t>s 11</w:t>
      </w:r>
      <w:r w:rsidR="00D76D08" w:rsidRPr="00944BFF">
        <w:rPr>
          <w:color w:val="000000" w:themeColor="text1"/>
          <w:lang w:val="fr-FR"/>
        </w:rPr>
        <w:noBreakHyphen/>
        <w:t>16)</w:t>
      </w:r>
    </w:p>
    <w:p w14:paraId="78B9A647" w14:textId="775B8104" w:rsidR="00D76D08" w:rsidRPr="008F5B06" w:rsidRDefault="001E28AA" w:rsidP="00D76D08">
      <w:pPr>
        <w:tabs>
          <w:tab w:val="left" w:pos="720"/>
          <w:tab w:val="left" w:pos="1440"/>
          <w:tab w:val="left" w:pos="2160"/>
        </w:tabs>
        <w:spacing w:after="240"/>
        <w:ind w:left="709"/>
        <w:rPr>
          <w:lang w:val="fr-FR"/>
        </w:rPr>
      </w:pPr>
      <w:r w:rsidRPr="008F5B06">
        <w:rPr>
          <w:color w:val="000000" w:themeColor="text1"/>
          <w:u w:val="single"/>
          <w:lang w:val="fr-FR"/>
        </w:rPr>
        <w:t>L</w:t>
      </w:r>
      <w:r w:rsidR="00D76D08" w:rsidRPr="008F5B06">
        <w:rPr>
          <w:color w:val="000000" w:themeColor="text1"/>
          <w:u w:val="single"/>
          <w:lang w:val="fr-FR"/>
        </w:rPr>
        <w:t>e</w:t>
      </w:r>
      <w:r w:rsidRPr="008F5B06">
        <w:rPr>
          <w:color w:val="000000" w:themeColor="text1"/>
          <w:u w:val="single"/>
          <w:lang w:val="fr-FR"/>
        </w:rPr>
        <w:t xml:space="preserve"> Comité exé</w:t>
      </w:r>
      <w:r w:rsidR="00D76D08" w:rsidRPr="008F5B06">
        <w:rPr>
          <w:color w:val="000000" w:themeColor="text1"/>
          <w:u w:val="single"/>
          <w:lang w:val="fr-FR"/>
        </w:rPr>
        <w:t>cuti</w:t>
      </w:r>
      <w:r w:rsidRPr="008F5B06">
        <w:rPr>
          <w:color w:val="000000" w:themeColor="text1"/>
          <w:u w:val="single"/>
          <w:lang w:val="fr-FR"/>
        </w:rPr>
        <w:t>f pourrait souhaiter</w:t>
      </w:r>
      <w:r w:rsidR="00D76D08" w:rsidRPr="008F5B06">
        <w:rPr>
          <w:color w:val="000000" w:themeColor="text1"/>
          <w:lang w:val="fr-FR"/>
        </w:rPr>
        <w:t xml:space="preserve"> </w:t>
      </w:r>
      <w:r w:rsidR="008F5B06" w:rsidRPr="008F5B06">
        <w:rPr>
          <w:color w:val="000000" w:themeColor="text1"/>
          <w:lang w:val="fr-FR"/>
        </w:rPr>
        <w:t xml:space="preserve">approuver les demandes </w:t>
      </w:r>
      <w:r w:rsidR="008F5B06" w:rsidRPr="008F5B06">
        <w:rPr>
          <w:lang w:val="fr-FR"/>
        </w:rPr>
        <w:t>de :</w:t>
      </w:r>
    </w:p>
    <w:p w14:paraId="2A198C0B" w14:textId="28401B41" w:rsidR="008F5B06" w:rsidRPr="008F5B06" w:rsidRDefault="005B1901" w:rsidP="005B1901">
      <w:pPr>
        <w:pStyle w:val="Heading2"/>
        <w:numPr>
          <w:ilvl w:val="0"/>
          <w:numId w:val="0"/>
        </w:numPr>
        <w:ind w:left="1440" w:hanging="720"/>
        <w:rPr>
          <w:lang w:val="fr-FR"/>
        </w:rPr>
      </w:pPr>
      <w:r>
        <w:rPr>
          <w:lang w:val="fr"/>
        </w:rPr>
        <w:t>a)</w:t>
      </w:r>
      <w:r>
        <w:rPr>
          <w:lang w:val="fr"/>
        </w:rPr>
        <w:tab/>
      </w:r>
      <w:r w:rsidR="008F5B06" w:rsidRPr="008F5B06">
        <w:rPr>
          <w:lang w:val="fr"/>
        </w:rPr>
        <w:t xml:space="preserve">Préparation de projet concernant la conversion du HFC-134a pour la fabrication de systèmes de réfrigération </w:t>
      </w:r>
      <w:r w:rsidR="00914146">
        <w:rPr>
          <w:lang w:val="fr"/>
        </w:rPr>
        <w:t>domestiqu</w:t>
      </w:r>
      <w:r w:rsidR="008F5B06" w:rsidRPr="008F5B06">
        <w:rPr>
          <w:lang w:val="fr"/>
        </w:rPr>
        <w:t>e en Indonésie, d’un montant de 30 000 $US, plus 2 10</w:t>
      </w:r>
      <w:r>
        <w:rPr>
          <w:lang w:val="fr"/>
        </w:rPr>
        <w:t>0 $US de coûts d’appui d’agence</w:t>
      </w:r>
      <w:r w:rsidR="008F5B06" w:rsidRPr="008F5B06">
        <w:rPr>
          <w:lang w:val="fr"/>
        </w:rPr>
        <w:t>;</w:t>
      </w:r>
    </w:p>
    <w:p w14:paraId="311E4E20" w14:textId="6660A7B7" w:rsidR="008F5B06" w:rsidRPr="00877906" w:rsidRDefault="005B1901" w:rsidP="005B1901">
      <w:pPr>
        <w:pStyle w:val="Heading2"/>
        <w:keepNext/>
        <w:widowControl/>
        <w:numPr>
          <w:ilvl w:val="0"/>
          <w:numId w:val="0"/>
        </w:numPr>
        <w:ind w:left="1440" w:hanging="720"/>
        <w:rPr>
          <w:lang w:val="fr-FR"/>
        </w:rPr>
      </w:pPr>
      <w:r>
        <w:rPr>
          <w:lang w:val="fr"/>
        </w:rPr>
        <w:t>b)</w:t>
      </w:r>
      <w:r>
        <w:rPr>
          <w:lang w:val="fr"/>
        </w:rPr>
        <w:tab/>
      </w:r>
      <w:r w:rsidR="008F5B06">
        <w:rPr>
          <w:lang w:val="fr"/>
        </w:rPr>
        <w:t>Préparation de projet concernant la conversion du R-404A pour la fabrication de systèmes de réfrigération commerciale pour supermarchés chez Leon Industries S.A.R.L, au Liban, d’un montant de 30 000 $US, plus 2 10</w:t>
      </w:r>
      <w:r>
        <w:rPr>
          <w:lang w:val="fr"/>
        </w:rPr>
        <w:t>0 $US de coûts d’appui d’agence</w:t>
      </w:r>
      <w:r w:rsidR="008F5B06">
        <w:rPr>
          <w:lang w:val="fr"/>
        </w:rPr>
        <w:t>; et</w:t>
      </w:r>
    </w:p>
    <w:p w14:paraId="2ECBF3E8" w14:textId="002357C2" w:rsidR="008F5B06" w:rsidRPr="00877906" w:rsidRDefault="005B1901" w:rsidP="00124398">
      <w:pPr>
        <w:pStyle w:val="Heading2"/>
        <w:numPr>
          <w:ilvl w:val="0"/>
          <w:numId w:val="0"/>
        </w:numPr>
        <w:ind w:left="1440" w:hanging="720"/>
        <w:rPr>
          <w:lang w:val="fr-FR"/>
        </w:rPr>
      </w:pPr>
      <w:r>
        <w:rPr>
          <w:lang w:val="fr"/>
        </w:rPr>
        <w:t>c)</w:t>
      </w:r>
      <w:r>
        <w:rPr>
          <w:lang w:val="fr"/>
        </w:rPr>
        <w:tab/>
      </w:r>
      <w:r w:rsidR="008F5B06">
        <w:rPr>
          <w:lang w:val="fr"/>
        </w:rPr>
        <w:t xml:space="preserve">Préparation de projet concernant la conversion du HFC-134a au R-600a/R-290 comme réfrigérant dans la fabrication de surgélateurs, de réfrigérateurs </w:t>
      </w:r>
      <w:r w:rsidR="00914146">
        <w:rPr>
          <w:lang w:val="fr"/>
        </w:rPr>
        <w:t>domestiques</w:t>
      </w:r>
      <w:r w:rsidR="008F5B06">
        <w:rPr>
          <w:lang w:val="fr"/>
        </w:rPr>
        <w:t xml:space="preserve"> et de distributeurs d’eau chez PAK Elektron Limited, Lahore, Pakistan, d’un montant de 30 000 $US, plus 2 100 $US de coûts d’appui d’agence.</w:t>
      </w:r>
    </w:p>
    <w:p w14:paraId="70B10BD9" w14:textId="6BCE357E" w:rsidR="00D76D08" w:rsidRPr="00944BFF" w:rsidRDefault="00124398" w:rsidP="00124398">
      <w:pPr>
        <w:pStyle w:val="Heading3"/>
        <w:keepNext/>
        <w:widowControl/>
        <w:numPr>
          <w:ilvl w:val="0"/>
          <w:numId w:val="0"/>
        </w:numPr>
        <w:ind w:left="720" w:firstLine="720"/>
        <w:rPr>
          <w:lang w:val="fr-FR"/>
        </w:rPr>
      </w:pPr>
      <w:r>
        <w:rPr>
          <w:b/>
          <w:lang w:val="fr-FR"/>
        </w:rPr>
        <w:t>ii)</w:t>
      </w:r>
      <w:r>
        <w:rPr>
          <w:b/>
          <w:lang w:val="fr-FR"/>
        </w:rPr>
        <w:tab/>
      </w:r>
      <w:r w:rsidR="001E28AA" w:rsidRPr="00944BFF">
        <w:rPr>
          <w:b/>
          <w:lang w:val="fr-FR"/>
        </w:rPr>
        <w:t>Programme de travail du PNUE pour l’année</w:t>
      </w:r>
      <w:r w:rsidR="00D76D08" w:rsidRPr="00944BFF">
        <w:rPr>
          <w:b/>
          <w:lang w:val="fr-FR"/>
        </w:rPr>
        <w:t xml:space="preserve"> 2019</w:t>
      </w:r>
    </w:p>
    <w:p w14:paraId="53207619" w14:textId="02A1593B" w:rsidR="00D76D08" w:rsidRPr="00944BFF" w:rsidRDefault="001E28AA" w:rsidP="00D76D08">
      <w:pPr>
        <w:keepNext/>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L.Pro/ExCom/83/18</w:t>
      </w:r>
      <w:r w:rsidR="00D76D08" w:rsidRPr="00944BFF">
        <w:rPr>
          <w:color w:val="000000" w:themeColor="text1"/>
          <w:szCs w:val="24"/>
          <w:lang w:val="fr-FR"/>
        </w:rPr>
        <w:t xml:space="preserve"> </w:t>
      </w:r>
      <w:r w:rsidR="00124398">
        <w:rPr>
          <w:color w:val="000000" w:themeColor="text1"/>
          <w:lang w:val="fr-FR"/>
        </w:rPr>
        <w:t>cont</w:t>
      </w:r>
      <w:r w:rsidR="00D76D08" w:rsidRPr="00944BFF">
        <w:rPr>
          <w:color w:val="000000" w:themeColor="text1"/>
          <w:lang w:val="fr-FR"/>
        </w:rPr>
        <w:t>i</w:t>
      </w:r>
      <w:r w:rsidR="00124398">
        <w:rPr>
          <w:color w:val="000000" w:themeColor="text1"/>
          <w:lang w:val="fr-FR"/>
        </w:rPr>
        <w:t>e</w:t>
      </w:r>
      <w:r w:rsidR="00D76D08" w:rsidRPr="00944BFF">
        <w:rPr>
          <w:color w:val="000000" w:themeColor="text1"/>
          <w:lang w:val="fr-FR"/>
        </w:rPr>
        <w:t>n</w:t>
      </w:r>
      <w:r w:rsidR="00124398">
        <w:rPr>
          <w:color w:val="000000" w:themeColor="text1"/>
          <w:lang w:val="fr-FR"/>
        </w:rPr>
        <w:t>t 33 activité</w:t>
      </w:r>
      <w:r w:rsidR="00D76D08" w:rsidRPr="00944BFF">
        <w:rPr>
          <w:color w:val="000000" w:themeColor="text1"/>
          <w:lang w:val="fr-FR"/>
        </w:rPr>
        <w:t xml:space="preserve">s </w:t>
      </w:r>
      <w:r w:rsidR="00124398">
        <w:rPr>
          <w:color w:val="000000" w:themeColor="text1"/>
          <w:lang w:val="fr-FR"/>
        </w:rPr>
        <w:t xml:space="preserve">présentées par le PNUE, incluant 23 demandes pour des projets de renouvellement des institutions; huit demandes </w:t>
      </w:r>
      <w:r w:rsidR="000C6A95">
        <w:rPr>
          <w:color w:val="000000" w:themeColor="text1"/>
          <w:lang w:val="fr-FR"/>
        </w:rPr>
        <w:t>de</w:t>
      </w:r>
      <w:r w:rsidR="00124398">
        <w:rPr>
          <w:color w:val="000000" w:themeColor="text1"/>
          <w:lang w:val="fr-FR"/>
        </w:rPr>
        <w:t xml:space="preserve"> préparation de projet </w:t>
      </w:r>
      <w:r w:rsidR="000C6A95">
        <w:rPr>
          <w:color w:val="000000" w:themeColor="text1"/>
          <w:lang w:val="fr-FR"/>
        </w:rPr>
        <w:t>pour la phase II de PGEH</w:t>
      </w:r>
      <w:r w:rsidR="00124398">
        <w:rPr>
          <w:color w:val="000000" w:themeColor="text1"/>
          <w:lang w:val="fr-FR"/>
        </w:rPr>
        <w:t xml:space="preserve">; une demande pour un projet d’activités </w:t>
      </w:r>
      <w:r w:rsidR="009133DE">
        <w:rPr>
          <w:color w:val="000000" w:themeColor="text1"/>
          <w:lang w:val="fr-FR"/>
        </w:rPr>
        <w:t>de facilitation</w:t>
      </w:r>
      <w:r w:rsidR="00124398">
        <w:rPr>
          <w:color w:val="000000" w:themeColor="text1"/>
          <w:lang w:val="fr-FR"/>
        </w:rPr>
        <w:t xml:space="preserve"> pour la réduction progressive des HFC; et une demande de préparation de projet pour la phase II du PGEH</w:t>
      </w:r>
      <w:r w:rsidR="00D76D08" w:rsidRPr="00944BFF">
        <w:rPr>
          <w:color w:val="000000" w:themeColor="text1"/>
          <w:lang w:val="fr-FR"/>
        </w:rPr>
        <w:t>.</w:t>
      </w:r>
    </w:p>
    <w:p w14:paraId="1F5F7713" w14:textId="762EFF0C" w:rsidR="00D76D08" w:rsidRPr="00944BFF" w:rsidRDefault="001E28AA" w:rsidP="00D76D08">
      <w:pPr>
        <w:keepNext/>
        <w:tabs>
          <w:tab w:val="left" w:pos="720"/>
          <w:tab w:val="left" w:pos="1440"/>
          <w:tab w:val="left" w:pos="2160"/>
        </w:tabs>
        <w:spacing w:after="240"/>
        <w:ind w:left="706"/>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p>
    <w:p w14:paraId="458F0099" w14:textId="7505CE4F" w:rsidR="008F5B06" w:rsidRPr="00124398" w:rsidRDefault="00124398" w:rsidP="00761F88">
      <w:pPr>
        <w:pStyle w:val="ListParagraph"/>
        <w:numPr>
          <w:ilvl w:val="0"/>
          <w:numId w:val="19"/>
        </w:numPr>
        <w:tabs>
          <w:tab w:val="left" w:pos="720"/>
          <w:tab w:val="left" w:pos="1440"/>
          <w:tab w:val="left" w:pos="2160"/>
        </w:tabs>
        <w:spacing w:after="240"/>
        <w:jc w:val="both"/>
        <w:rPr>
          <w:color w:val="000000" w:themeColor="text1"/>
          <w:lang w:val="fr-FR"/>
        </w:rPr>
      </w:pPr>
      <w:r>
        <w:rPr>
          <w:color w:val="000000" w:themeColor="text1"/>
          <w:lang w:val="fr-FR"/>
        </w:rPr>
        <w:t>La d</w:t>
      </w:r>
      <w:r w:rsidRPr="00124398">
        <w:rPr>
          <w:color w:val="000000" w:themeColor="text1"/>
          <w:lang w:val="fr-FR"/>
        </w:rPr>
        <w:t xml:space="preserve">emande de fonds supplémentaires pour préparer le PGEH pour la République arabe syrienne </w:t>
      </w:r>
    </w:p>
    <w:p w14:paraId="2535FBF4" w14:textId="23D87EFC" w:rsidR="00D76D08" w:rsidRPr="00914146" w:rsidRDefault="001E28AA" w:rsidP="00D76D08">
      <w:pPr>
        <w:pStyle w:val="Heading1"/>
        <w:numPr>
          <w:ilvl w:val="0"/>
          <w:numId w:val="0"/>
        </w:numPr>
        <w:ind w:left="709"/>
        <w:rPr>
          <w:lang w:val="fr-FR"/>
        </w:rPr>
      </w:pPr>
      <w:r w:rsidRPr="00914146">
        <w:rPr>
          <w:color w:val="000000" w:themeColor="text1"/>
          <w:u w:val="single"/>
          <w:lang w:val="fr-FR"/>
        </w:rPr>
        <w:t>L</w:t>
      </w:r>
      <w:r w:rsidR="00D76D08" w:rsidRPr="00914146">
        <w:rPr>
          <w:color w:val="000000" w:themeColor="text1"/>
          <w:u w:val="single"/>
          <w:lang w:val="fr-FR"/>
        </w:rPr>
        <w:t>e</w:t>
      </w:r>
      <w:r w:rsidRPr="00914146">
        <w:rPr>
          <w:color w:val="000000" w:themeColor="text1"/>
          <w:u w:val="single"/>
          <w:lang w:val="fr-FR"/>
        </w:rPr>
        <w:t xml:space="preserve"> Comité exé</w:t>
      </w:r>
      <w:r w:rsidR="00D76D08" w:rsidRPr="00914146">
        <w:rPr>
          <w:color w:val="000000" w:themeColor="text1"/>
          <w:u w:val="single"/>
          <w:lang w:val="fr-FR"/>
        </w:rPr>
        <w:t>cuti</w:t>
      </w:r>
      <w:r w:rsidRPr="00914146">
        <w:rPr>
          <w:color w:val="000000" w:themeColor="text1"/>
          <w:u w:val="single"/>
          <w:lang w:val="fr-FR"/>
        </w:rPr>
        <w:t xml:space="preserve">f pourrait souhaiter </w:t>
      </w:r>
      <w:r w:rsidR="00D76D08" w:rsidRPr="00914146">
        <w:rPr>
          <w:color w:val="000000" w:themeColor="text1"/>
          <w:lang w:val="fr-FR"/>
        </w:rPr>
        <w:t>:</w:t>
      </w:r>
      <w:r w:rsidR="00D76D08" w:rsidRPr="00914146">
        <w:rPr>
          <w:color w:val="000000" w:themeColor="text1"/>
          <w:u w:val="single"/>
          <w:lang w:val="fr-FR"/>
        </w:rPr>
        <w:t xml:space="preserve"> </w:t>
      </w:r>
    </w:p>
    <w:p w14:paraId="230F8E9E" w14:textId="344958D7" w:rsidR="00D76D08" w:rsidRPr="00914146" w:rsidRDefault="00124398" w:rsidP="00124398">
      <w:pPr>
        <w:pStyle w:val="Heading2"/>
        <w:numPr>
          <w:ilvl w:val="0"/>
          <w:numId w:val="0"/>
        </w:numPr>
        <w:ind w:left="1440" w:hanging="720"/>
        <w:rPr>
          <w:lang w:val="fr-FR"/>
        </w:rPr>
      </w:pPr>
      <w:r w:rsidRPr="00914146">
        <w:rPr>
          <w:lang w:val="fr-FR"/>
        </w:rPr>
        <w:t>a)</w:t>
      </w:r>
      <w:r w:rsidRPr="00914146">
        <w:rPr>
          <w:lang w:val="fr-FR"/>
        </w:rPr>
        <w:tab/>
      </w:r>
      <w:r w:rsidR="00914146" w:rsidRPr="00914146">
        <w:rPr>
          <w:lang w:val="fr-FR"/>
        </w:rPr>
        <w:t>Envisager d’a</w:t>
      </w:r>
      <w:r w:rsidRPr="00914146">
        <w:rPr>
          <w:lang w:val="fr-FR"/>
        </w:rPr>
        <w:t>pprouver la demande de préparation de projet pour la phase II du plan de gestion de l’élimination des HCFC (PGEH) pour la République arab</w:t>
      </w:r>
      <w:r w:rsidR="00914146" w:rsidRPr="00914146">
        <w:rPr>
          <w:lang w:val="fr-FR"/>
        </w:rPr>
        <w:t xml:space="preserve">e syrienne, au montant de </w:t>
      </w:r>
      <w:r w:rsidRPr="00914146">
        <w:rPr>
          <w:lang w:val="fr-FR"/>
        </w:rPr>
        <w:t xml:space="preserve">30 000 $US, plus 3 900 $US de coûts d’appui d’agence; et </w:t>
      </w:r>
    </w:p>
    <w:p w14:paraId="26DF081C" w14:textId="341C1730" w:rsidR="00D76D08" w:rsidRDefault="00124398" w:rsidP="00124398">
      <w:pPr>
        <w:pStyle w:val="Heading2"/>
        <w:numPr>
          <w:ilvl w:val="0"/>
          <w:numId w:val="0"/>
        </w:numPr>
        <w:ind w:left="1440" w:hanging="720"/>
        <w:rPr>
          <w:lang w:val="fr-FR"/>
        </w:rPr>
      </w:pPr>
      <w:r w:rsidRPr="00914146">
        <w:rPr>
          <w:lang w:val="fr-FR"/>
        </w:rPr>
        <w:t>b)</w:t>
      </w:r>
      <w:r w:rsidRPr="00914146">
        <w:rPr>
          <w:lang w:val="fr-FR"/>
        </w:rPr>
        <w:tab/>
        <w:t>Prendre note que l’ONUDI, en qualité d’agence coopérante, préparera la composante relative aux investissements nécessaires au PGEH en utilisant les fonds provenant du financement précédemment approuvé pour la préparation de la phase I du PGEH</w:t>
      </w:r>
      <w:r w:rsidR="00D76D08" w:rsidRPr="00914146">
        <w:rPr>
          <w:lang w:val="fr-FR"/>
        </w:rPr>
        <w:t>.</w:t>
      </w:r>
    </w:p>
    <w:p w14:paraId="02E8D3DA" w14:textId="77777777" w:rsidR="009133DE" w:rsidRPr="00265403" w:rsidRDefault="009133DE" w:rsidP="009133DE">
      <w:pPr>
        <w:rPr>
          <w:lang w:val="fr-CA"/>
        </w:rPr>
      </w:pPr>
    </w:p>
    <w:p w14:paraId="5546E34D" w14:textId="39C58BCA" w:rsidR="00D76D08" w:rsidRPr="00944BFF" w:rsidRDefault="00B13966" w:rsidP="00B13966">
      <w:pPr>
        <w:pStyle w:val="Heading3"/>
        <w:widowControl/>
        <w:numPr>
          <w:ilvl w:val="0"/>
          <w:numId w:val="0"/>
        </w:numPr>
        <w:ind w:left="2160" w:hanging="720"/>
        <w:rPr>
          <w:lang w:val="fr-FR"/>
        </w:rPr>
      </w:pPr>
      <w:r>
        <w:rPr>
          <w:b/>
          <w:lang w:val="fr-FR"/>
        </w:rPr>
        <w:lastRenderedPageBreak/>
        <w:t>iii)</w:t>
      </w:r>
      <w:r>
        <w:rPr>
          <w:b/>
          <w:lang w:val="fr-FR"/>
        </w:rPr>
        <w:tab/>
      </w:r>
      <w:r w:rsidR="001E28AA" w:rsidRPr="00944BFF">
        <w:rPr>
          <w:b/>
          <w:lang w:val="fr-FR"/>
        </w:rPr>
        <w:t>Programme de travail de l’ONUDI pour l’année</w:t>
      </w:r>
      <w:r w:rsidR="00D76D08" w:rsidRPr="00944BFF">
        <w:rPr>
          <w:b/>
          <w:lang w:val="fr-FR"/>
        </w:rPr>
        <w:t xml:space="preserve"> 2019</w:t>
      </w:r>
    </w:p>
    <w:p w14:paraId="1B8AE59B" w14:textId="01A43FD3" w:rsidR="00D76D08" w:rsidRPr="00944BFF" w:rsidRDefault="001E28AA"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L.Pro/ExCom/83/19</w:t>
      </w:r>
      <w:r w:rsidR="00D76D08" w:rsidRPr="00944BFF">
        <w:rPr>
          <w:color w:val="000000" w:themeColor="text1"/>
          <w:szCs w:val="24"/>
          <w:lang w:val="fr-FR"/>
        </w:rPr>
        <w:t xml:space="preserve"> </w:t>
      </w:r>
      <w:r w:rsidR="00B13966">
        <w:rPr>
          <w:color w:val="000000" w:themeColor="text1"/>
          <w:lang w:val="fr-FR"/>
        </w:rPr>
        <w:t>cont</w:t>
      </w:r>
      <w:r w:rsidR="00D76D08" w:rsidRPr="00944BFF">
        <w:rPr>
          <w:color w:val="000000" w:themeColor="text1"/>
          <w:lang w:val="fr-FR"/>
        </w:rPr>
        <w:t>i</w:t>
      </w:r>
      <w:r w:rsidR="00B13966">
        <w:rPr>
          <w:color w:val="000000" w:themeColor="text1"/>
          <w:lang w:val="fr-FR"/>
        </w:rPr>
        <w:t>e</w:t>
      </w:r>
      <w:r w:rsidR="00D76D08" w:rsidRPr="00944BFF">
        <w:rPr>
          <w:color w:val="000000" w:themeColor="text1"/>
          <w:lang w:val="fr-FR"/>
        </w:rPr>
        <w:t>n</w:t>
      </w:r>
      <w:r w:rsidR="00B13966">
        <w:rPr>
          <w:color w:val="000000" w:themeColor="text1"/>
          <w:lang w:val="fr-FR"/>
        </w:rPr>
        <w:t>t huit activité</w:t>
      </w:r>
      <w:r w:rsidR="00D76D08" w:rsidRPr="00944BFF">
        <w:rPr>
          <w:color w:val="000000" w:themeColor="text1"/>
          <w:lang w:val="fr-FR"/>
        </w:rPr>
        <w:t>s</w:t>
      </w:r>
      <w:r w:rsidR="00B13966">
        <w:rPr>
          <w:color w:val="000000" w:themeColor="text1"/>
          <w:lang w:val="fr-FR"/>
        </w:rPr>
        <w:t>, incluant six demandes de préparation de projets pour la phase II de PGEH et une demande pour la phase III d’un PGEH et une demande de préparation de projet pour le contrôle des émissions de sous-produits du HFC</w:t>
      </w:r>
      <w:r w:rsidR="00B13966">
        <w:rPr>
          <w:color w:val="000000" w:themeColor="text1"/>
          <w:lang w:val="fr-FR"/>
        </w:rPr>
        <w:noBreakHyphen/>
        <w:t>23</w:t>
      </w:r>
      <w:r w:rsidR="00D76D08" w:rsidRPr="00944BFF">
        <w:rPr>
          <w:color w:val="000000" w:themeColor="text1"/>
          <w:lang w:val="fr-FR"/>
        </w:rPr>
        <w:t>.</w:t>
      </w:r>
    </w:p>
    <w:p w14:paraId="3A971C9D" w14:textId="03BBDC16" w:rsidR="00D76D08" w:rsidRPr="00944BFF" w:rsidRDefault="001E28AA" w:rsidP="00D76D08">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r w:rsidR="00B13966">
        <w:rPr>
          <w:color w:val="000000" w:themeColor="text1"/>
          <w:lang w:val="fr-FR"/>
        </w:rPr>
        <w:t>Aucune</w:t>
      </w:r>
      <w:r w:rsidR="00D76D08" w:rsidRPr="00944BFF">
        <w:rPr>
          <w:color w:val="000000" w:themeColor="text1"/>
          <w:lang w:val="fr-FR"/>
        </w:rPr>
        <w:t xml:space="preserve"> (</w:t>
      </w:r>
      <w:r w:rsidR="00B13966">
        <w:rPr>
          <w:color w:val="000000" w:themeColor="text1"/>
          <w:lang w:val="fr-FR"/>
        </w:rPr>
        <w:t>toutes les activités ont été proposées pour approbation g</w:t>
      </w:r>
      <w:r w:rsidR="00914146">
        <w:rPr>
          <w:color w:val="000000" w:themeColor="text1"/>
          <w:lang w:val="fr-FR"/>
        </w:rPr>
        <w:t>énér</w:t>
      </w:r>
      <w:r w:rsidR="00D76D08" w:rsidRPr="00944BFF">
        <w:rPr>
          <w:color w:val="000000" w:themeColor="text1"/>
          <w:lang w:val="fr-FR"/>
        </w:rPr>
        <w:t>al</w:t>
      </w:r>
      <w:r w:rsidR="00B13966">
        <w:rPr>
          <w:color w:val="000000" w:themeColor="text1"/>
          <w:lang w:val="fr-FR"/>
        </w:rPr>
        <w:t>e)</w:t>
      </w:r>
    </w:p>
    <w:p w14:paraId="52317A71" w14:textId="6F3BDA89" w:rsidR="00D76D08" w:rsidRPr="00944BFF" w:rsidRDefault="001E28AA" w:rsidP="00761F88">
      <w:pPr>
        <w:pStyle w:val="Heading2"/>
        <w:widowControl/>
        <w:numPr>
          <w:ilvl w:val="0"/>
          <w:numId w:val="29"/>
        </w:numPr>
        <w:ind w:left="1418" w:hanging="698"/>
        <w:rPr>
          <w:b/>
          <w:lang w:val="fr-FR"/>
        </w:rPr>
      </w:pPr>
      <w:r w:rsidRPr="00944BFF">
        <w:rPr>
          <w:b/>
          <w:lang w:val="fr-FR"/>
        </w:rPr>
        <w:t>Projets d’investissement</w:t>
      </w:r>
    </w:p>
    <w:p w14:paraId="4F331EDC" w14:textId="11CEC1E3" w:rsidR="00D76D08" w:rsidRPr="00944BFF" w:rsidRDefault="001E28AA"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L.Pro/ExCom/83/15</w:t>
      </w:r>
      <w:r w:rsidR="00D76D08" w:rsidRPr="00944BFF">
        <w:rPr>
          <w:color w:val="000000" w:themeColor="text1"/>
          <w:szCs w:val="24"/>
          <w:lang w:val="fr-FR"/>
        </w:rPr>
        <w:t xml:space="preserve"> </w:t>
      </w:r>
      <w:r w:rsidR="00B13966">
        <w:rPr>
          <w:color w:val="000000" w:themeColor="text1"/>
          <w:lang w:val="fr-FR"/>
        </w:rPr>
        <w:t>cont</w:t>
      </w:r>
      <w:r w:rsidR="00D76D08" w:rsidRPr="00944BFF">
        <w:rPr>
          <w:color w:val="000000" w:themeColor="text1"/>
          <w:lang w:val="fr-FR"/>
        </w:rPr>
        <w:t>i</w:t>
      </w:r>
      <w:r w:rsidR="00B13966">
        <w:rPr>
          <w:color w:val="000000" w:themeColor="text1"/>
          <w:lang w:val="fr-FR"/>
        </w:rPr>
        <w:t>e</w:t>
      </w:r>
      <w:r w:rsidR="00D76D08" w:rsidRPr="00944BFF">
        <w:rPr>
          <w:color w:val="000000" w:themeColor="text1"/>
          <w:lang w:val="fr-FR"/>
        </w:rPr>
        <w:t>n</w:t>
      </w:r>
      <w:r w:rsidR="00B13966">
        <w:rPr>
          <w:color w:val="000000" w:themeColor="text1"/>
          <w:lang w:val="fr-FR"/>
        </w:rPr>
        <w:t>t la li</w:t>
      </w:r>
      <w:r w:rsidR="00D76D08" w:rsidRPr="00944BFF">
        <w:rPr>
          <w:color w:val="000000" w:themeColor="text1"/>
          <w:lang w:val="fr-FR"/>
        </w:rPr>
        <w:t>s</w:t>
      </w:r>
      <w:r w:rsidR="00B13966">
        <w:rPr>
          <w:color w:val="000000" w:themeColor="text1"/>
          <w:lang w:val="fr-FR"/>
        </w:rPr>
        <w:t>te des projets soumis pour examen individuel  (voir tableau ci-dessous) examinés au point 9d) de l’ordre du jour</w:t>
      </w:r>
      <w:r w:rsidR="00D76D08" w:rsidRPr="00944BFF">
        <w:rPr>
          <w:color w:val="000000" w:themeColor="text1"/>
          <w:lang w:val="fr-FR"/>
        </w:rPr>
        <w:t xml:space="preserve">. </w:t>
      </w:r>
    </w:p>
    <w:p w14:paraId="7733C7A5" w14:textId="045EB131" w:rsidR="00D76D08" w:rsidRDefault="001E28AA" w:rsidP="00D76D08">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r w:rsidR="00B13966">
        <w:rPr>
          <w:color w:val="000000" w:themeColor="text1"/>
          <w:lang w:val="fr-FR"/>
        </w:rPr>
        <w:t>Chaque projet devra être examiné individuellement pour approbation.  La description des projets ainsi que les observations et recommandations du Secrétariat se trouvent dans le document de projet du pays concerné dont la référence est indiquée dans le tableau ci</w:t>
      </w:r>
      <w:r w:rsidR="00A757FC">
        <w:rPr>
          <w:color w:val="000000" w:themeColor="text1"/>
          <w:lang w:val="fr-FR"/>
        </w:rPr>
        <w:noBreakHyphen/>
      </w:r>
      <w:r w:rsidR="00B13966">
        <w:rPr>
          <w:color w:val="000000" w:themeColor="text1"/>
          <w:lang w:val="fr-FR"/>
        </w:rPr>
        <w:t xml:space="preserve">dessous.  </w:t>
      </w:r>
    </w:p>
    <w:tbl>
      <w:tblPr>
        <w:tblStyle w:val="TableGrid"/>
        <w:tblW w:w="9356" w:type="dxa"/>
        <w:tblInd w:w="-5" w:type="dxa"/>
        <w:tblLayout w:type="fixed"/>
        <w:tblLook w:val="04A0" w:firstRow="1" w:lastRow="0" w:firstColumn="1" w:lastColumn="0" w:noHBand="0" w:noVBand="1"/>
      </w:tblPr>
      <w:tblGrid>
        <w:gridCol w:w="1560"/>
        <w:gridCol w:w="2693"/>
        <w:gridCol w:w="1559"/>
        <w:gridCol w:w="1116"/>
        <w:gridCol w:w="18"/>
        <w:gridCol w:w="2410"/>
      </w:tblGrid>
      <w:tr w:rsidR="00A7168F" w:rsidRPr="00E57F2A" w14:paraId="3524314E" w14:textId="77777777" w:rsidTr="00A7168F">
        <w:trPr>
          <w:tblHeader/>
        </w:trPr>
        <w:tc>
          <w:tcPr>
            <w:tcW w:w="1560" w:type="dxa"/>
            <w:vAlign w:val="center"/>
          </w:tcPr>
          <w:p w14:paraId="3732A6CF" w14:textId="77777777" w:rsidR="00A7168F" w:rsidRPr="00E57F2A" w:rsidRDefault="00A7168F" w:rsidP="00A7168F">
            <w:pPr>
              <w:keepNext/>
              <w:jc w:val="center"/>
              <w:rPr>
                <w:b/>
                <w:sz w:val="20"/>
                <w:szCs w:val="20"/>
              </w:rPr>
            </w:pPr>
            <w:r w:rsidRPr="00E57F2A">
              <w:rPr>
                <w:b/>
                <w:sz w:val="20"/>
                <w:szCs w:val="20"/>
              </w:rPr>
              <w:t>Pays</w:t>
            </w:r>
          </w:p>
        </w:tc>
        <w:tc>
          <w:tcPr>
            <w:tcW w:w="2693" w:type="dxa"/>
            <w:vAlign w:val="center"/>
          </w:tcPr>
          <w:p w14:paraId="2D361B0F" w14:textId="77777777" w:rsidR="00A7168F" w:rsidRPr="00E57F2A" w:rsidRDefault="00A7168F" w:rsidP="00A7168F">
            <w:pPr>
              <w:keepNext/>
              <w:jc w:val="center"/>
              <w:rPr>
                <w:b/>
                <w:sz w:val="20"/>
                <w:szCs w:val="20"/>
              </w:rPr>
            </w:pPr>
            <w:r w:rsidRPr="00E57F2A">
              <w:rPr>
                <w:b/>
                <w:sz w:val="20"/>
                <w:szCs w:val="20"/>
              </w:rPr>
              <w:t>Projet</w:t>
            </w:r>
          </w:p>
        </w:tc>
        <w:tc>
          <w:tcPr>
            <w:tcW w:w="1559" w:type="dxa"/>
            <w:vAlign w:val="center"/>
          </w:tcPr>
          <w:p w14:paraId="0FB8C959" w14:textId="77777777" w:rsidR="00A7168F" w:rsidRPr="00E57F2A" w:rsidRDefault="00A7168F" w:rsidP="00A7168F">
            <w:pPr>
              <w:keepNext/>
              <w:jc w:val="center"/>
              <w:rPr>
                <w:b/>
                <w:sz w:val="20"/>
                <w:szCs w:val="20"/>
              </w:rPr>
            </w:pPr>
            <w:r w:rsidRPr="00E57F2A">
              <w:rPr>
                <w:b/>
                <w:sz w:val="20"/>
                <w:szCs w:val="20"/>
              </w:rPr>
              <w:t>Agence</w:t>
            </w:r>
          </w:p>
        </w:tc>
        <w:tc>
          <w:tcPr>
            <w:tcW w:w="1116" w:type="dxa"/>
            <w:vAlign w:val="center"/>
          </w:tcPr>
          <w:p w14:paraId="3F1105F7" w14:textId="77777777" w:rsidR="00A7168F" w:rsidRPr="00E57F2A" w:rsidRDefault="00A7168F" w:rsidP="00A7168F">
            <w:pPr>
              <w:keepNext/>
              <w:jc w:val="center"/>
              <w:rPr>
                <w:b/>
                <w:sz w:val="20"/>
                <w:szCs w:val="20"/>
              </w:rPr>
            </w:pPr>
            <w:r w:rsidRPr="00E57F2A">
              <w:rPr>
                <w:b/>
                <w:sz w:val="20"/>
                <w:szCs w:val="20"/>
              </w:rPr>
              <w:t>Numéro de document ExCom</w:t>
            </w:r>
          </w:p>
        </w:tc>
        <w:tc>
          <w:tcPr>
            <w:tcW w:w="2428" w:type="dxa"/>
            <w:gridSpan w:val="2"/>
            <w:vAlign w:val="center"/>
          </w:tcPr>
          <w:p w14:paraId="0B1EBC23" w14:textId="12A038AF" w:rsidR="00A7168F" w:rsidRPr="00E57F2A" w:rsidRDefault="00914146" w:rsidP="00A7168F">
            <w:pPr>
              <w:keepNext/>
              <w:jc w:val="center"/>
              <w:rPr>
                <w:b/>
                <w:sz w:val="20"/>
                <w:szCs w:val="20"/>
              </w:rPr>
            </w:pPr>
            <w:r>
              <w:rPr>
                <w:b/>
                <w:sz w:val="20"/>
                <w:szCs w:val="20"/>
              </w:rPr>
              <w:t>Enjeu</w:t>
            </w:r>
          </w:p>
        </w:tc>
      </w:tr>
      <w:tr w:rsidR="00A7168F" w:rsidRPr="00E742AC" w14:paraId="15736928" w14:textId="77777777" w:rsidTr="00A7168F">
        <w:trPr>
          <w:trHeight w:val="47"/>
        </w:trPr>
        <w:tc>
          <w:tcPr>
            <w:tcW w:w="9356" w:type="dxa"/>
            <w:gridSpan w:val="6"/>
            <w:vAlign w:val="center"/>
          </w:tcPr>
          <w:p w14:paraId="488445B7" w14:textId="77777777" w:rsidR="00A7168F" w:rsidRPr="00265403" w:rsidRDefault="00A7168F" w:rsidP="00A7168F">
            <w:pPr>
              <w:keepNext/>
              <w:jc w:val="left"/>
              <w:rPr>
                <w:sz w:val="20"/>
                <w:szCs w:val="20"/>
                <w:lang w:val="fr-CA"/>
              </w:rPr>
            </w:pPr>
            <w:r w:rsidRPr="00265403">
              <w:rPr>
                <w:b/>
                <w:sz w:val="20"/>
                <w:szCs w:val="20"/>
                <w:lang w:val="fr-CA"/>
              </w:rPr>
              <w:t>Demande pour des tranches de la phase I et de la phase II des PGEH</w:t>
            </w:r>
          </w:p>
        </w:tc>
      </w:tr>
      <w:tr w:rsidR="00A7168F" w:rsidRPr="00E742AC" w14:paraId="2D2182E1" w14:textId="77777777" w:rsidTr="00A7168F">
        <w:tc>
          <w:tcPr>
            <w:tcW w:w="1560" w:type="dxa"/>
            <w:tcBorders>
              <w:top w:val="single" w:sz="4" w:space="0" w:color="auto"/>
              <w:left w:val="single" w:sz="4" w:space="0" w:color="auto"/>
              <w:bottom w:val="single" w:sz="4" w:space="0" w:color="auto"/>
              <w:right w:val="single" w:sz="4" w:space="0" w:color="auto"/>
            </w:tcBorders>
          </w:tcPr>
          <w:p w14:paraId="0795D7AF" w14:textId="77777777" w:rsidR="00A7168F" w:rsidRPr="00E57F2A" w:rsidRDefault="00A7168F" w:rsidP="00A7168F">
            <w:pPr>
              <w:widowControl w:val="0"/>
              <w:jc w:val="left"/>
              <w:rPr>
                <w:sz w:val="20"/>
                <w:szCs w:val="20"/>
              </w:rPr>
            </w:pPr>
            <w:r w:rsidRPr="00E57F2A">
              <w:rPr>
                <w:sz w:val="20"/>
                <w:szCs w:val="20"/>
              </w:rPr>
              <w:t>Chine</w:t>
            </w:r>
          </w:p>
        </w:tc>
        <w:tc>
          <w:tcPr>
            <w:tcW w:w="2693" w:type="dxa"/>
            <w:tcBorders>
              <w:top w:val="single" w:sz="4" w:space="0" w:color="auto"/>
              <w:left w:val="single" w:sz="4" w:space="0" w:color="auto"/>
              <w:bottom w:val="single" w:sz="4" w:space="0" w:color="auto"/>
              <w:right w:val="single" w:sz="4" w:space="0" w:color="auto"/>
            </w:tcBorders>
          </w:tcPr>
          <w:p w14:paraId="1A80183D"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 rapport périodique annuel)</w:t>
            </w:r>
          </w:p>
          <w:p w14:paraId="7868D076" w14:textId="330A3587" w:rsidR="00A7168F" w:rsidRPr="00E57F2A" w:rsidRDefault="00A7168F" w:rsidP="002F1864">
            <w:pPr>
              <w:widowControl w:val="0"/>
              <w:jc w:val="left"/>
              <w:rPr>
                <w:sz w:val="20"/>
                <w:szCs w:val="20"/>
              </w:rPr>
            </w:pPr>
            <w:r w:rsidRPr="00E57F2A">
              <w:rPr>
                <w:sz w:val="20"/>
                <w:szCs w:val="20"/>
              </w:rPr>
              <w:t>Conditionneur d’air unitaire</w:t>
            </w:r>
          </w:p>
        </w:tc>
        <w:tc>
          <w:tcPr>
            <w:tcW w:w="1559" w:type="dxa"/>
            <w:tcBorders>
              <w:top w:val="single" w:sz="4" w:space="0" w:color="auto"/>
              <w:left w:val="single" w:sz="4" w:space="0" w:color="auto"/>
              <w:bottom w:val="single" w:sz="4" w:space="0" w:color="auto"/>
              <w:right w:val="single" w:sz="4" w:space="0" w:color="auto"/>
            </w:tcBorders>
            <w:tcMar>
              <w:left w:w="29" w:type="dxa"/>
              <w:right w:w="0" w:type="dxa"/>
            </w:tcMar>
          </w:tcPr>
          <w:p w14:paraId="681237A6" w14:textId="77777777" w:rsidR="00A7168F" w:rsidRPr="00E57F2A" w:rsidRDefault="00A7168F" w:rsidP="00A7168F">
            <w:pPr>
              <w:widowControl w:val="0"/>
              <w:jc w:val="left"/>
              <w:rPr>
                <w:sz w:val="20"/>
                <w:szCs w:val="20"/>
              </w:rPr>
            </w:pPr>
            <w:r w:rsidRPr="00E57F2A">
              <w:rPr>
                <w:sz w:val="20"/>
                <w:szCs w:val="20"/>
              </w:rPr>
              <w:t>ONUDI</w:t>
            </w:r>
          </w:p>
        </w:tc>
        <w:tc>
          <w:tcPr>
            <w:tcW w:w="1134" w:type="dxa"/>
            <w:gridSpan w:val="2"/>
            <w:tcBorders>
              <w:top w:val="single" w:sz="4" w:space="0" w:color="auto"/>
              <w:left w:val="single" w:sz="4" w:space="0" w:color="auto"/>
              <w:bottom w:val="single" w:sz="4" w:space="0" w:color="auto"/>
              <w:right w:val="single" w:sz="4" w:space="0" w:color="auto"/>
            </w:tcBorders>
          </w:tcPr>
          <w:p w14:paraId="1DEDD404" w14:textId="77777777" w:rsidR="00A7168F" w:rsidRPr="00E57F2A" w:rsidRDefault="00A7168F" w:rsidP="00A7168F">
            <w:pPr>
              <w:widowControl w:val="0"/>
              <w:jc w:val="center"/>
              <w:rPr>
                <w:sz w:val="20"/>
                <w:szCs w:val="20"/>
              </w:rPr>
            </w:pPr>
            <w:r w:rsidRPr="00E57F2A">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47EB68D5" w14:textId="77777777" w:rsidR="00A7168F" w:rsidRPr="00265403" w:rsidRDefault="00A7168F" w:rsidP="00A7168F">
            <w:pPr>
              <w:widowControl w:val="0"/>
              <w:jc w:val="left"/>
              <w:rPr>
                <w:sz w:val="20"/>
                <w:szCs w:val="20"/>
                <w:lang w:val="fr-CA"/>
              </w:rPr>
            </w:pPr>
            <w:r w:rsidRPr="00265403">
              <w:rPr>
                <w:sz w:val="20"/>
                <w:szCs w:val="20"/>
                <w:lang w:val="fr-CA"/>
              </w:rPr>
              <w:t>Système proposé pour attribuer les CDE</w:t>
            </w:r>
          </w:p>
        </w:tc>
      </w:tr>
      <w:tr w:rsidR="00A7168F" w:rsidRPr="00E57F2A" w14:paraId="0C72AAFC" w14:textId="77777777" w:rsidTr="00A7168F">
        <w:tc>
          <w:tcPr>
            <w:tcW w:w="1560" w:type="dxa"/>
            <w:tcBorders>
              <w:top w:val="single" w:sz="4" w:space="0" w:color="auto"/>
              <w:left w:val="single" w:sz="4" w:space="0" w:color="auto"/>
              <w:bottom w:val="single" w:sz="4" w:space="0" w:color="auto"/>
              <w:right w:val="single" w:sz="4" w:space="0" w:color="auto"/>
            </w:tcBorders>
          </w:tcPr>
          <w:p w14:paraId="79A6C0DC" w14:textId="77777777" w:rsidR="00A7168F" w:rsidRPr="00E57F2A" w:rsidRDefault="00A7168F" w:rsidP="00A7168F">
            <w:pPr>
              <w:widowControl w:val="0"/>
              <w:jc w:val="left"/>
              <w:rPr>
                <w:sz w:val="20"/>
                <w:szCs w:val="20"/>
              </w:rPr>
            </w:pPr>
            <w:r w:rsidRPr="00E57F2A">
              <w:rPr>
                <w:sz w:val="20"/>
                <w:szCs w:val="20"/>
              </w:rPr>
              <w:t>Chine (global)</w:t>
            </w:r>
          </w:p>
        </w:tc>
        <w:tc>
          <w:tcPr>
            <w:tcW w:w="2693" w:type="dxa"/>
            <w:tcBorders>
              <w:top w:val="single" w:sz="4" w:space="0" w:color="auto"/>
              <w:left w:val="single" w:sz="4" w:space="0" w:color="auto"/>
              <w:bottom w:val="single" w:sz="4" w:space="0" w:color="auto"/>
              <w:right w:val="single" w:sz="4" w:space="0" w:color="auto"/>
            </w:tcBorders>
          </w:tcPr>
          <w:p w14:paraId="0D41B0EF"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7AB5097" w14:textId="77777777" w:rsidR="00914146" w:rsidRPr="00265403" w:rsidRDefault="00A7168F" w:rsidP="00A7168F">
            <w:pPr>
              <w:widowControl w:val="0"/>
              <w:jc w:val="left"/>
              <w:rPr>
                <w:sz w:val="20"/>
                <w:szCs w:val="20"/>
                <w:lang w:val="fr-CA"/>
              </w:rPr>
            </w:pPr>
            <w:r w:rsidRPr="00265403">
              <w:rPr>
                <w:sz w:val="20"/>
                <w:szCs w:val="20"/>
                <w:lang w:val="fr-CA"/>
              </w:rPr>
              <w:t>PNUD/PNUE/</w:t>
            </w:r>
          </w:p>
          <w:p w14:paraId="0957103F" w14:textId="77777777" w:rsidR="00914146" w:rsidRPr="00265403" w:rsidRDefault="00A7168F" w:rsidP="00A7168F">
            <w:pPr>
              <w:widowControl w:val="0"/>
              <w:jc w:val="left"/>
              <w:rPr>
                <w:sz w:val="20"/>
                <w:szCs w:val="20"/>
                <w:lang w:val="fr-CA"/>
              </w:rPr>
            </w:pPr>
            <w:r w:rsidRPr="00265403">
              <w:rPr>
                <w:sz w:val="20"/>
                <w:szCs w:val="20"/>
                <w:lang w:val="fr-CA"/>
              </w:rPr>
              <w:t>ONUDI/Banque mondiale/</w:t>
            </w:r>
          </w:p>
          <w:p w14:paraId="68D8E85D" w14:textId="2ACC2727" w:rsidR="00A7168F" w:rsidRPr="00E57F2A" w:rsidRDefault="00A7168F" w:rsidP="002F1864">
            <w:pPr>
              <w:widowControl w:val="0"/>
              <w:jc w:val="left"/>
              <w:rPr>
                <w:sz w:val="20"/>
                <w:szCs w:val="20"/>
              </w:rPr>
            </w:pPr>
            <w:r w:rsidRPr="00E57F2A">
              <w:rPr>
                <w:sz w:val="20"/>
                <w:szCs w:val="20"/>
              </w:rPr>
              <w:t>Allemagne/Japon</w:t>
            </w:r>
          </w:p>
        </w:tc>
        <w:tc>
          <w:tcPr>
            <w:tcW w:w="1134" w:type="dxa"/>
            <w:gridSpan w:val="2"/>
            <w:tcBorders>
              <w:top w:val="single" w:sz="4" w:space="0" w:color="auto"/>
              <w:left w:val="single" w:sz="4" w:space="0" w:color="auto"/>
              <w:bottom w:val="single" w:sz="4" w:space="0" w:color="auto"/>
              <w:right w:val="single" w:sz="4" w:space="0" w:color="auto"/>
            </w:tcBorders>
          </w:tcPr>
          <w:p w14:paraId="64572AA6" w14:textId="77777777" w:rsidR="00A7168F" w:rsidRPr="00E57F2A" w:rsidRDefault="00A7168F" w:rsidP="00A7168F">
            <w:pPr>
              <w:jc w:val="center"/>
            </w:pPr>
            <w:r w:rsidRPr="00E57F2A">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7F0C0D99" w14:textId="77777777" w:rsidR="00A7168F" w:rsidRPr="00E57F2A" w:rsidRDefault="00A7168F" w:rsidP="00A7168F">
            <w:pPr>
              <w:widowControl w:val="0"/>
              <w:jc w:val="left"/>
              <w:rPr>
                <w:sz w:val="20"/>
                <w:szCs w:val="20"/>
              </w:rPr>
            </w:pPr>
            <w:r w:rsidRPr="00E57F2A">
              <w:rPr>
                <w:sz w:val="20"/>
                <w:szCs w:val="20"/>
              </w:rPr>
              <w:t>Examen de l’Accord (décision 81/45)</w:t>
            </w:r>
          </w:p>
        </w:tc>
      </w:tr>
      <w:tr w:rsidR="00A7168F" w:rsidRPr="00E742AC" w14:paraId="5F689C53" w14:textId="77777777" w:rsidTr="00A7168F">
        <w:tc>
          <w:tcPr>
            <w:tcW w:w="1560" w:type="dxa"/>
            <w:tcBorders>
              <w:top w:val="single" w:sz="4" w:space="0" w:color="auto"/>
              <w:left w:val="single" w:sz="4" w:space="0" w:color="auto"/>
              <w:bottom w:val="single" w:sz="4" w:space="0" w:color="auto"/>
              <w:right w:val="single" w:sz="4" w:space="0" w:color="auto"/>
            </w:tcBorders>
          </w:tcPr>
          <w:p w14:paraId="26163787" w14:textId="77777777" w:rsidR="00A7168F" w:rsidRPr="00E57F2A" w:rsidRDefault="00A7168F" w:rsidP="00A7168F">
            <w:pPr>
              <w:keepNext/>
              <w:jc w:val="left"/>
              <w:rPr>
                <w:sz w:val="20"/>
                <w:szCs w:val="20"/>
              </w:rPr>
            </w:pPr>
            <w:r w:rsidRPr="00E57F2A">
              <w:rPr>
                <w:sz w:val="20"/>
                <w:szCs w:val="20"/>
              </w:rPr>
              <w:t xml:space="preserve">Chine </w:t>
            </w:r>
          </w:p>
          <w:p w14:paraId="3D5CEF70" w14:textId="77777777" w:rsidR="00A7168F" w:rsidRPr="00E57F2A" w:rsidRDefault="00A7168F" w:rsidP="00A7168F">
            <w:pPr>
              <w:keepNext/>
              <w:jc w:val="left"/>
              <w:rPr>
                <w:sz w:val="20"/>
                <w:szCs w:val="20"/>
              </w:rPr>
            </w:pPr>
            <w:r w:rsidRPr="00E57F2A">
              <w:rPr>
                <w:sz w:val="20"/>
                <w:szCs w:val="20"/>
              </w:rPr>
              <w:t>(mousses PSX)</w:t>
            </w:r>
          </w:p>
        </w:tc>
        <w:tc>
          <w:tcPr>
            <w:tcW w:w="2693" w:type="dxa"/>
            <w:tcBorders>
              <w:top w:val="single" w:sz="4" w:space="0" w:color="auto"/>
              <w:left w:val="single" w:sz="4" w:space="0" w:color="auto"/>
              <w:bottom w:val="single" w:sz="4" w:space="0" w:color="auto"/>
              <w:right w:val="single" w:sz="4" w:space="0" w:color="auto"/>
            </w:tcBorders>
          </w:tcPr>
          <w:p w14:paraId="315A7AC6" w14:textId="77777777" w:rsidR="00A7168F" w:rsidRPr="00265403" w:rsidRDefault="00A7168F" w:rsidP="00A7168F">
            <w:pPr>
              <w:keepNext/>
              <w:jc w:val="left"/>
              <w:rPr>
                <w:sz w:val="20"/>
                <w:szCs w:val="20"/>
                <w:lang w:val="fr-CA"/>
              </w:rPr>
            </w:pPr>
            <w:r w:rsidRPr="00265403">
              <w:rPr>
                <w:sz w:val="20"/>
                <w:szCs w:val="20"/>
                <w:lang w:val="fr-CA"/>
              </w:rPr>
              <w:t>Plan de gestion de l’élimination des HCFC (phase II,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724C4A9" w14:textId="77777777" w:rsidR="00A7168F" w:rsidRPr="00E57F2A" w:rsidRDefault="00A7168F" w:rsidP="00A7168F">
            <w:pPr>
              <w:keepNext/>
              <w:jc w:val="left"/>
              <w:rPr>
                <w:sz w:val="20"/>
                <w:szCs w:val="20"/>
              </w:rPr>
            </w:pPr>
            <w:r w:rsidRPr="00E57F2A">
              <w:rPr>
                <w:sz w:val="20"/>
                <w:szCs w:val="20"/>
              </w:rPr>
              <w:t>ONUDI/</w:t>
            </w:r>
          </w:p>
          <w:p w14:paraId="58997337" w14:textId="77777777" w:rsidR="00A7168F" w:rsidRPr="00E57F2A" w:rsidRDefault="00A7168F" w:rsidP="00A7168F">
            <w:pPr>
              <w:keepNext/>
              <w:jc w:val="left"/>
              <w:rPr>
                <w:sz w:val="20"/>
                <w:szCs w:val="20"/>
              </w:rPr>
            </w:pPr>
            <w:r w:rsidRPr="00E57F2A">
              <w:rPr>
                <w:sz w:val="20"/>
                <w:szCs w:val="20"/>
              </w:rPr>
              <w:t>Allemagne</w:t>
            </w:r>
          </w:p>
        </w:tc>
        <w:tc>
          <w:tcPr>
            <w:tcW w:w="1134" w:type="dxa"/>
            <w:gridSpan w:val="2"/>
            <w:tcBorders>
              <w:top w:val="single" w:sz="4" w:space="0" w:color="auto"/>
              <w:left w:val="single" w:sz="4" w:space="0" w:color="auto"/>
              <w:bottom w:val="single" w:sz="4" w:space="0" w:color="auto"/>
              <w:right w:val="single" w:sz="4" w:space="0" w:color="auto"/>
            </w:tcBorders>
          </w:tcPr>
          <w:p w14:paraId="11E5ED82" w14:textId="77777777" w:rsidR="00A7168F" w:rsidRPr="00E57F2A" w:rsidRDefault="00A7168F" w:rsidP="00A7168F">
            <w:pPr>
              <w:jc w:val="center"/>
            </w:pPr>
            <w:r w:rsidRPr="00E57F2A">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3CD5569D" w14:textId="32CD1134" w:rsidR="00A7168F" w:rsidRPr="00265403" w:rsidRDefault="00A7168F" w:rsidP="002F1864">
            <w:pPr>
              <w:keepNext/>
              <w:jc w:val="left"/>
              <w:rPr>
                <w:sz w:val="20"/>
                <w:szCs w:val="20"/>
                <w:lang w:val="fr-CA"/>
              </w:rPr>
            </w:pPr>
            <w:r w:rsidRPr="00265403">
              <w:rPr>
                <w:sz w:val="20"/>
                <w:szCs w:val="20"/>
                <w:lang w:val="fr-CA"/>
              </w:rPr>
              <w:t>Tranche au-dessus de 5</w:t>
            </w:r>
            <w:r w:rsidR="002F1864">
              <w:rPr>
                <w:sz w:val="20"/>
                <w:szCs w:val="20"/>
                <w:lang w:val="fr-CA"/>
              </w:rPr>
              <w:t> </w:t>
            </w:r>
            <w:r w:rsidRPr="00265403">
              <w:rPr>
                <w:sz w:val="20"/>
                <w:szCs w:val="20"/>
                <w:lang w:val="fr-CA"/>
              </w:rPr>
              <w:t>millions.</w:t>
            </w:r>
            <w:r w:rsidRPr="00265403">
              <w:rPr>
                <w:lang w:val="fr-CA"/>
              </w:rPr>
              <w:t xml:space="preserve"> </w:t>
            </w:r>
            <w:r w:rsidRPr="00265403">
              <w:rPr>
                <w:sz w:val="20"/>
                <w:szCs w:val="20"/>
                <w:lang w:val="fr-CA"/>
              </w:rPr>
              <w:t>Toutes les questions techniques et de coût résolues</w:t>
            </w:r>
          </w:p>
        </w:tc>
      </w:tr>
      <w:tr w:rsidR="00A7168F" w:rsidRPr="00E742AC" w14:paraId="3CBDC849" w14:textId="77777777" w:rsidTr="00A7168F">
        <w:tc>
          <w:tcPr>
            <w:tcW w:w="1560" w:type="dxa"/>
            <w:tcBorders>
              <w:top w:val="single" w:sz="4" w:space="0" w:color="auto"/>
              <w:left w:val="single" w:sz="4" w:space="0" w:color="auto"/>
              <w:bottom w:val="single" w:sz="4" w:space="0" w:color="auto"/>
              <w:right w:val="single" w:sz="4" w:space="0" w:color="auto"/>
            </w:tcBorders>
          </w:tcPr>
          <w:p w14:paraId="4B420D72" w14:textId="77777777" w:rsidR="00A7168F" w:rsidRPr="00E57F2A" w:rsidRDefault="00A7168F" w:rsidP="00A7168F">
            <w:pPr>
              <w:widowControl w:val="0"/>
              <w:jc w:val="left"/>
              <w:rPr>
                <w:sz w:val="20"/>
                <w:szCs w:val="20"/>
              </w:rPr>
            </w:pPr>
            <w:r w:rsidRPr="00E57F2A">
              <w:rPr>
                <w:sz w:val="20"/>
                <w:szCs w:val="20"/>
              </w:rPr>
              <w:t xml:space="preserve">Chine </w:t>
            </w:r>
          </w:p>
          <w:p w14:paraId="400A9A77" w14:textId="77777777" w:rsidR="00A7168F" w:rsidRPr="00E57F2A" w:rsidRDefault="00A7168F" w:rsidP="00A7168F">
            <w:pPr>
              <w:widowControl w:val="0"/>
              <w:jc w:val="left"/>
              <w:rPr>
                <w:sz w:val="20"/>
                <w:szCs w:val="20"/>
              </w:rPr>
            </w:pPr>
            <w:r w:rsidRPr="00E57F2A">
              <w:rPr>
                <w:sz w:val="20"/>
                <w:szCs w:val="20"/>
              </w:rPr>
              <w:t>(RCI)</w:t>
            </w:r>
          </w:p>
        </w:tc>
        <w:tc>
          <w:tcPr>
            <w:tcW w:w="2693" w:type="dxa"/>
            <w:tcBorders>
              <w:top w:val="single" w:sz="4" w:space="0" w:color="auto"/>
              <w:left w:val="single" w:sz="4" w:space="0" w:color="auto"/>
              <w:bottom w:val="single" w:sz="4" w:space="0" w:color="auto"/>
              <w:right w:val="single" w:sz="4" w:space="0" w:color="auto"/>
            </w:tcBorders>
          </w:tcPr>
          <w:p w14:paraId="71D4AF14"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74D8908" w14:textId="77777777" w:rsidR="00A7168F" w:rsidRPr="00E57F2A" w:rsidRDefault="00A7168F" w:rsidP="00A7168F">
            <w:pPr>
              <w:widowControl w:val="0"/>
              <w:jc w:val="left"/>
              <w:rPr>
                <w:sz w:val="20"/>
                <w:szCs w:val="20"/>
              </w:rPr>
            </w:pPr>
            <w:r w:rsidRPr="00E57F2A">
              <w:rPr>
                <w:sz w:val="20"/>
                <w:szCs w:val="20"/>
              </w:rPr>
              <w:t>PNUD</w:t>
            </w:r>
          </w:p>
        </w:tc>
        <w:tc>
          <w:tcPr>
            <w:tcW w:w="1134" w:type="dxa"/>
            <w:gridSpan w:val="2"/>
            <w:tcBorders>
              <w:top w:val="single" w:sz="4" w:space="0" w:color="auto"/>
              <w:left w:val="single" w:sz="4" w:space="0" w:color="auto"/>
              <w:bottom w:val="single" w:sz="4" w:space="0" w:color="auto"/>
              <w:right w:val="single" w:sz="4" w:space="0" w:color="auto"/>
            </w:tcBorders>
          </w:tcPr>
          <w:p w14:paraId="448EA7A3" w14:textId="77777777" w:rsidR="00A7168F" w:rsidRPr="00E57F2A" w:rsidRDefault="00A7168F" w:rsidP="00A7168F">
            <w:pPr>
              <w:jc w:val="center"/>
            </w:pPr>
            <w:r w:rsidRPr="00E57F2A">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2FC1E6BE" w14:textId="234498C4" w:rsidR="00A7168F" w:rsidRPr="00265403" w:rsidRDefault="00A7168F" w:rsidP="002F1864">
            <w:pPr>
              <w:widowControl w:val="0"/>
              <w:jc w:val="left"/>
              <w:rPr>
                <w:sz w:val="20"/>
                <w:szCs w:val="20"/>
                <w:lang w:val="fr-CA"/>
              </w:rPr>
            </w:pPr>
            <w:r w:rsidRPr="00265403">
              <w:rPr>
                <w:sz w:val="20"/>
                <w:szCs w:val="20"/>
                <w:lang w:val="fr-CA"/>
              </w:rPr>
              <w:t>Tranche au-dessus de 5</w:t>
            </w:r>
            <w:r w:rsidR="002F1864">
              <w:rPr>
                <w:sz w:val="20"/>
                <w:szCs w:val="20"/>
                <w:lang w:val="fr-CA"/>
              </w:rPr>
              <w:t> </w:t>
            </w:r>
            <w:r w:rsidRPr="00265403">
              <w:rPr>
                <w:sz w:val="20"/>
                <w:szCs w:val="20"/>
                <w:lang w:val="fr-CA"/>
              </w:rPr>
              <w:t>millions.</w:t>
            </w:r>
            <w:r w:rsidRPr="00265403">
              <w:rPr>
                <w:lang w:val="fr-CA"/>
              </w:rPr>
              <w:t xml:space="preserve"> </w:t>
            </w:r>
            <w:r w:rsidRPr="00265403">
              <w:rPr>
                <w:sz w:val="20"/>
                <w:szCs w:val="20"/>
                <w:lang w:val="fr-CA"/>
              </w:rPr>
              <w:t>Toutes les questions techniques et de coût résolues</w:t>
            </w:r>
          </w:p>
        </w:tc>
      </w:tr>
      <w:tr w:rsidR="00A7168F" w:rsidRPr="00E742AC" w14:paraId="1F042762" w14:textId="77777777" w:rsidTr="00A7168F">
        <w:tc>
          <w:tcPr>
            <w:tcW w:w="1560" w:type="dxa"/>
            <w:tcBorders>
              <w:top w:val="single" w:sz="4" w:space="0" w:color="auto"/>
              <w:left w:val="single" w:sz="4" w:space="0" w:color="auto"/>
              <w:bottom w:val="single" w:sz="4" w:space="0" w:color="auto"/>
              <w:right w:val="single" w:sz="4" w:space="0" w:color="auto"/>
            </w:tcBorders>
          </w:tcPr>
          <w:p w14:paraId="57B97A60" w14:textId="77777777" w:rsidR="00A7168F" w:rsidRPr="00E57F2A" w:rsidRDefault="00A7168F" w:rsidP="00A7168F">
            <w:pPr>
              <w:widowControl w:val="0"/>
              <w:jc w:val="left"/>
              <w:rPr>
                <w:sz w:val="20"/>
                <w:szCs w:val="20"/>
              </w:rPr>
            </w:pPr>
            <w:r w:rsidRPr="00E57F2A">
              <w:rPr>
                <w:sz w:val="20"/>
                <w:szCs w:val="20"/>
              </w:rPr>
              <w:t>Chine (entretien)</w:t>
            </w:r>
          </w:p>
        </w:tc>
        <w:tc>
          <w:tcPr>
            <w:tcW w:w="2693" w:type="dxa"/>
            <w:tcBorders>
              <w:top w:val="single" w:sz="4" w:space="0" w:color="auto"/>
              <w:left w:val="single" w:sz="4" w:space="0" w:color="auto"/>
              <w:bottom w:val="single" w:sz="4" w:space="0" w:color="auto"/>
              <w:right w:val="single" w:sz="4" w:space="0" w:color="auto"/>
            </w:tcBorders>
          </w:tcPr>
          <w:p w14:paraId="01989743"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8D45802" w14:textId="77777777" w:rsidR="00914146" w:rsidRDefault="00A7168F" w:rsidP="00A7168F">
            <w:pPr>
              <w:widowControl w:val="0"/>
              <w:jc w:val="left"/>
              <w:rPr>
                <w:sz w:val="20"/>
                <w:szCs w:val="20"/>
              </w:rPr>
            </w:pPr>
            <w:r w:rsidRPr="00E57F2A">
              <w:rPr>
                <w:sz w:val="20"/>
                <w:szCs w:val="20"/>
              </w:rPr>
              <w:t>PNUE/Japon/</w:t>
            </w:r>
          </w:p>
          <w:p w14:paraId="55EF8568" w14:textId="154117AD" w:rsidR="00A7168F" w:rsidRPr="00E57F2A" w:rsidRDefault="00A7168F" w:rsidP="00A7168F">
            <w:pPr>
              <w:widowControl w:val="0"/>
              <w:jc w:val="left"/>
              <w:rPr>
                <w:sz w:val="20"/>
                <w:szCs w:val="20"/>
              </w:rPr>
            </w:pPr>
            <w:r w:rsidRPr="00E57F2A">
              <w:rPr>
                <w:sz w:val="20"/>
                <w:szCs w:val="20"/>
              </w:rPr>
              <w:t>Allemagne</w:t>
            </w:r>
          </w:p>
        </w:tc>
        <w:tc>
          <w:tcPr>
            <w:tcW w:w="1134" w:type="dxa"/>
            <w:gridSpan w:val="2"/>
            <w:tcBorders>
              <w:top w:val="single" w:sz="4" w:space="0" w:color="auto"/>
              <w:left w:val="single" w:sz="4" w:space="0" w:color="auto"/>
              <w:bottom w:val="single" w:sz="4" w:space="0" w:color="auto"/>
              <w:right w:val="single" w:sz="4" w:space="0" w:color="auto"/>
            </w:tcBorders>
          </w:tcPr>
          <w:p w14:paraId="60DDDD18" w14:textId="77777777" w:rsidR="00A7168F" w:rsidRPr="00E57F2A" w:rsidRDefault="00A7168F" w:rsidP="00A7168F">
            <w:pPr>
              <w:jc w:val="center"/>
            </w:pPr>
            <w:r w:rsidRPr="00E57F2A">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3A77BFC1" w14:textId="77777777" w:rsidR="00A7168F" w:rsidRPr="00265403" w:rsidRDefault="00A7168F" w:rsidP="00A7168F">
            <w:pPr>
              <w:widowControl w:val="0"/>
              <w:jc w:val="left"/>
              <w:rPr>
                <w:sz w:val="20"/>
                <w:szCs w:val="20"/>
                <w:lang w:val="fr-CA"/>
              </w:rPr>
            </w:pPr>
            <w:r w:rsidRPr="00265403">
              <w:rPr>
                <w:sz w:val="20"/>
                <w:szCs w:val="20"/>
                <w:lang w:val="fr-CA"/>
              </w:rPr>
              <w:t>Toutes les questions techniques et de coût résolues</w:t>
            </w:r>
          </w:p>
        </w:tc>
      </w:tr>
      <w:tr w:rsidR="00A7168F" w:rsidRPr="00E742AC" w14:paraId="329184D5" w14:textId="77777777" w:rsidTr="00A7168F">
        <w:tc>
          <w:tcPr>
            <w:tcW w:w="1560" w:type="dxa"/>
            <w:tcBorders>
              <w:top w:val="single" w:sz="4" w:space="0" w:color="auto"/>
              <w:left w:val="single" w:sz="4" w:space="0" w:color="auto"/>
              <w:bottom w:val="single" w:sz="4" w:space="0" w:color="auto"/>
              <w:right w:val="single" w:sz="4" w:space="0" w:color="auto"/>
            </w:tcBorders>
          </w:tcPr>
          <w:p w14:paraId="7D678D06" w14:textId="77777777" w:rsidR="00A7168F" w:rsidRPr="00E57F2A" w:rsidRDefault="00A7168F" w:rsidP="00A7168F">
            <w:pPr>
              <w:widowControl w:val="0"/>
              <w:jc w:val="left"/>
              <w:rPr>
                <w:sz w:val="20"/>
                <w:szCs w:val="20"/>
              </w:rPr>
            </w:pPr>
            <w:r w:rsidRPr="00E57F2A">
              <w:rPr>
                <w:sz w:val="20"/>
                <w:szCs w:val="20"/>
              </w:rPr>
              <w:t>Chine (solvants)</w:t>
            </w:r>
          </w:p>
        </w:tc>
        <w:tc>
          <w:tcPr>
            <w:tcW w:w="2693" w:type="dxa"/>
            <w:tcBorders>
              <w:top w:val="single" w:sz="4" w:space="0" w:color="auto"/>
              <w:left w:val="single" w:sz="4" w:space="0" w:color="auto"/>
              <w:bottom w:val="single" w:sz="4" w:space="0" w:color="auto"/>
              <w:right w:val="single" w:sz="4" w:space="0" w:color="auto"/>
            </w:tcBorders>
          </w:tcPr>
          <w:p w14:paraId="089A28C0"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1D1A141C" w14:textId="77777777" w:rsidR="00A7168F" w:rsidRPr="00E57F2A" w:rsidRDefault="00A7168F" w:rsidP="00A7168F">
            <w:pPr>
              <w:widowControl w:val="0"/>
              <w:jc w:val="left"/>
              <w:rPr>
                <w:sz w:val="20"/>
                <w:szCs w:val="20"/>
              </w:rPr>
            </w:pPr>
            <w:r w:rsidRPr="00E57F2A">
              <w:rPr>
                <w:sz w:val="20"/>
                <w:szCs w:val="20"/>
              </w:rPr>
              <w:t>PNUD</w:t>
            </w:r>
          </w:p>
        </w:tc>
        <w:tc>
          <w:tcPr>
            <w:tcW w:w="1116" w:type="dxa"/>
            <w:tcBorders>
              <w:top w:val="single" w:sz="4" w:space="0" w:color="auto"/>
              <w:left w:val="single" w:sz="4" w:space="0" w:color="auto"/>
              <w:bottom w:val="single" w:sz="4" w:space="0" w:color="auto"/>
              <w:right w:val="single" w:sz="4" w:space="0" w:color="auto"/>
            </w:tcBorders>
          </w:tcPr>
          <w:p w14:paraId="0C823F28" w14:textId="77777777" w:rsidR="00A7168F" w:rsidRPr="00E57F2A" w:rsidRDefault="00A7168F" w:rsidP="00A7168F">
            <w:pPr>
              <w:jc w:val="center"/>
            </w:pPr>
            <w:r w:rsidRPr="00E57F2A">
              <w:rPr>
                <w:sz w:val="20"/>
                <w:szCs w:val="20"/>
              </w:rPr>
              <w:t>83/22</w:t>
            </w:r>
          </w:p>
        </w:tc>
        <w:tc>
          <w:tcPr>
            <w:tcW w:w="2428" w:type="dxa"/>
            <w:gridSpan w:val="2"/>
            <w:tcBorders>
              <w:top w:val="single" w:sz="4" w:space="0" w:color="auto"/>
              <w:left w:val="single" w:sz="4" w:space="0" w:color="auto"/>
              <w:bottom w:val="single" w:sz="4" w:space="0" w:color="auto"/>
              <w:right w:val="single" w:sz="4" w:space="0" w:color="auto"/>
            </w:tcBorders>
          </w:tcPr>
          <w:p w14:paraId="7BBD91DB" w14:textId="77777777" w:rsidR="00A7168F" w:rsidRPr="00265403" w:rsidRDefault="00A7168F" w:rsidP="00A7168F">
            <w:pPr>
              <w:widowControl w:val="0"/>
              <w:jc w:val="left"/>
              <w:rPr>
                <w:sz w:val="20"/>
                <w:szCs w:val="20"/>
                <w:lang w:val="fr-CA"/>
              </w:rPr>
            </w:pPr>
            <w:r w:rsidRPr="00265403">
              <w:rPr>
                <w:sz w:val="20"/>
                <w:szCs w:val="20"/>
                <w:lang w:val="fr-CA"/>
              </w:rPr>
              <w:t>Toutes les questions techniques et de coût résolues</w:t>
            </w:r>
          </w:p>
        </w:tc>
      </w:tr>
      <w:tr w:rsidR="00A7168F" w:rsidRPr="00E742AC" w14:paraId="03E6A5CE" w14:textId="77777777" w:rsidTr="00A7168F">
        <w:tc>
          <w:tcPr>
            <w:tcW w:w="1560" w:type="dxa"/>
            <w:tcBorders>
              <w:top w:val="single" w:sz="4" w:space="0" w:color="auto"/>
              <w:left w:val="single" w:sz="4" w:space="0" w:color="auto"/>
              <w:bottom w:val="single" w:sz="4" w:space="0" w:color="auto"/>
              <w:right w:val="single" w:sz="4" w:space="0" w:color="auto"/>
            </w:tcBorders>
          </w:tcPr>
          <w:p w14:paraId="13A1A60A" w14:textId="77777777" w:rsidR="00A7168F" w:rsidRPr="00E57F2A" w:rsidRDefault="00A7168F" w:rsidP="00A7168F">
            <w:pPr>
              <w:widowControl w:val="0"/>
              <w:jc w:val="left"/>
              <w:rPr>
                <w:sz w:val="20"/>
                <w:szCs w:val="20"/>
              </w:rPr>
            </w:pPr>
            <w:r w:rsidRPr="00E57F2A">
              <w:rPr>
                <w:sz w:val="20"/>
                <w:szCs w:val="20"/>
              </w:rPr>
              <w:t>Koweït</w:t>
            </w:r>
          </w:p>
        </w:tc>
        <w:tc>
          <w:tcPr>
            <w:tcW w:w="2693" w:type="dxa"/>
            <w:tcBorders>
              <w:top w:val="single" w:sz="4" w:space="0" w:color="auto"/>
              <w:left w:val="single" w:sz="4" w:space="0" w:color="auto"/>
              <w:bottom w:val="single" w:sz="4" w:space="0" w:color="auto"/>
              <w:right w:val="single" w:sz="4" w:space="0" w:color="auto"/>
            </w:tcBorders>
          </w:tcPr>
          <w:p w14:paraId="3B6B8C20"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27EB6DD6" w14:textId="77777777" w:rsidR="00A7168F" w:rsidRPr="00E57F2A" w:rsidRDefault="00A7168F" w:rsidP="00A7168F">
            <w:pPr>
              <w:widowControl w:val="0"/>
              <w:jc w:val="left"/>
              <w:rPr>
                <w:sz w:val="20"/>
                <w:szCs w:val="20"/>
              </w:rPr>
            </w:pPr>
            <w:r w:rsidRPr="00E57F2A">
              <w:rPr>
                <w:sz w:val="20"/>
                <w:szCs w:val="20"/>
              </w:rPr>
              <w:t>PNUE et ONUDI</w:t>
            </w:r>
          </w:p>
        </w:tc>
        <w:tc>
          <w:tcPr>
            <w:tcW w:w="1116" w:type="dxa"/>
            <w:tcBorders>
              <w:top w:val="single" w:sz="4" w:space="0" w:color="auto"/>
              <w:left w:val="single" w:sz="4" w:space="0" w:color="auto"/>
              <w:bottom w:val="single" w:sz="4" w:space="0" w:color="auto"/>
              <w:right w:val="single" w:sz="4" w:space="0" w:color="auto"/>
            </w:tcBorders>
          </w:tcPr>
          <w:p w14:paraId="0DE165CA" w14:textId="77777777" w:rsidR="00A7168F" w:rsidRPr="00E57F2A" w:rsidRDefault="00A7168F" w:rsidP="00A7168F">
            <w:pPr>
              <w:jc w:val="center"/>
            </w:pPr>
            <w:r w:rsidRPr="00E57F2A">
              <w:rPr>
                <w:sz w:val="20"/>
                <w:szCs w:val="20"/>
              </w:rPr>
              <w:t>83/29</w:t>
            </w:r>
          </w:p>
        </w:tc>
        <w:tc>
          <w:tcPr>
            <w:tcW w:w="2428" w:type="dxa"/>
            <w:gridSpan w:val="2"/>
            <w:tcBorders>
              <w:top w:val="single" w:sz="4" w:space="0" w:color="auto"/>
              <w:left w:val="single" w:sz="4" w:space="0" w:color="auto"/>
              <w:bottom w:val="single" w:sz="4" w:space="0" w:color="auto"/>
              <w:right w:val="single" w:sz="4" w:space="0" w:color="auto"/>
            </w:tcBorders>
          </w:tcPr>
          <w:p w14:paraId="1B0AAEF5" w14:textId="77777777" w:rsidR="00A7168F" w:rsidRPr="00265403" w:rsidRDefault="00A7168F" w:rsidP="00A7168F">
            <w:pPr>
              <w:widowControl w:val="0"/>
              <w:jc w:val="left"/>
              <w:rPr>
                <w:sz w:val="20"/>
                <w:szCs w:val="20"/>
                <w:lang w:val="fr-CA"/>
              </w:rPr>
            </w:pPr>
            <w:r w:rsidRPr="00265403">
              <w:rPr>
                <w:sz w:val="20"/>
                <w:szCs w:val="20"/>
                <w:lang w:val="fr-CA"/>
              </w:rPr>
              <w:t>Prorogation de la phase I et examen de l’Accord. Toutes les questions techniques et de coût résolues</w:t>
            </w:r>
          </w:p>
        </w:tc>
      </w:tr>
      <w:tr w:rsidR="00A7168F" w:rsidRPr="00E742AC" w14:paraId="7664EF39" w14:textId="77777777" w:rsidTr="00A7168F">
        <w:tc>
          <w:tcPr>
            <w:tcW w:w="1560" w:type="dxa"/>
            <w:tcBorders>
              <w:top w:val="single" w:sz="4" w:space="0" w:color="auto"/>
              <w:left w:val="single" w:sz="4" w:space="0" w:color="auto"/>
              <w:bottom w:val="single" w:sz="4" w:space="0" w:color="auto"/>
              <w:right w:val="single" w:sz="4" w:space="0" w:color="auto"/>
            </w:tcBorders>
          </w:tcPr>
          <w:p w14:paraId="4273772C" w14:textId="77777777" w:rsidR="00A7168F" w:rsidRPr="00E57F2A" w:rsidRDefault="00A7168F" w:rsidP="00A7168F">
            <w:pPr>
              <w:widowControl w:val="0"/>
              <w:jc w:val="left"/>
              <w:rPr>
                <w:sz w:val="20"/>
                <w:szCs w:val="20"/>
              </w:rPr>
            </w:pPr>
            <w:r w:rsidRPr="00E57F2A">
              <w:rPr>
                <w:sz w:val="20"/>
                <w:szCs w:val="20"/>
              </w:rPr>
              <w:t>Maroc</w:t>
            </w:r>
          </w:p>
        </w:tc>
        <w:tc>
          <w:tcPr>
            <w:tcW w:w="2693" w:type="dxa"/>
            <w:tcBorders>
              <w:top w:val="single" w:sz="4" w:space="0" w:color="auto"/>
              <w:left w:val="single" w:sz="4" w:space="0" w:color="auto"/>
              <w:bottom w:val="single" w:sz="4" w:space="0" w:color="auto"/>
              <w:right w:val="single" w:sz="4" w:space="0" w:color="auto"/>
            </w:tcBorders>
          </w:tcPr>
          <w:p w14:paraId="62AFBAAF" w14:textId="77777777" w:rsidR="00A7168F" w:rsidRPr="00265403" w:rsidRDefault="00A7168F" w:rsidP="00A7168F">
            <w:pPr>
              <w:widowControl w:val="0"/>
              <w:jc w:val="left"/>
              <w:rPr>
                <w:sz w:val="20"/>
                <w:szCs w:val="20"/>
                <w:lang w:val="fr-CA"/>
              </w:rPr>
            </w:pPr>
            <w:r w:rsidRPr="00265403">
              <w:rPr>
                <w:sz w:val="20"/>
                <w:szCs w:val="20"/>
                <w:lang w:val="fr-CA"/>
              </w:rPr>
              <w:t>Plan de gestion de l’élimination des HCFC (phase I, troisième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0A99B467" w14:textId="77777777" w:rsidR="00A7168F" w:rsidRPr="00E57F2A" w:rsidRDefault="00A7168F" w:rsidP="00A7168F">
            <w:pPr>
              <w:widowControl w:val="0"/>
              <w:jc w:val="left"/>
              <w:rPr>
                <w:sz w:val="20"/>
                <w:szCs w:val="20"/>
              </w:rPr>
            </w:pPr>
            <w:r w:rsidRPr="00E57F2A">
              <w:rPr>
                <w:sz w:val="20"/>
                <w:szCs w:val="20"/>
              </w:rPr>
              <w:t>ONUDI</w:t>
            </w:r>
          </w:p>
        </w:tc>
        <w:tc>
          <w:tcPr>
            <w:tcW w:w="1116" w:type="dxa"/>
            <w:tcBorders>
              <w:top w:val="single" w:sz="4" w:space="0" w:color="auto"/>
              <w:left w:val="single" w:sz="4" w:space="0" w:color="auto"/>
              <w:bottom w:val="single" w:sz="4" w:space="0" w:color="auto"/>
              <w:right w:val="single" w:sz="4" w:space="0" w:color="auto"/>
            </w:tcBorders>
          </w:tcPr>
          <w:p w14:paraId="45AA8B51" w14:textId="77777777" w:rsidR="00A7168F" w:rsidRPr="00E57F2A" w:rsidRDefault="00A7168F" w:rsidP="00A7168F">
            <w:pPr>
              <w:jc w:val="center"/>
              <w:rPr>
                <w:sz w:val="20"/>
                <w:szCs w:val="20"/>
              </w:rPr>
            </w:pPr>
            <w:r w:rsidRPr="00E57F2A">
              <w:rPr>
                <w:sz w:val="20"/>
                <w:szCs w:val="20"/>
              </w:rPr>
              <w:t>83/32</w:t>
            </w:r>
          </w:p>
        </w:tc>
        <w:tc>
          <w:tcPr>
            <w:tcW w:w="2428" w:type="dxa"/>
            <w:gridSpan w:val="2"/>
            <w:tcBorders>
              <w:top w:val="single" w:sz="4" w:space="0" w:color="auto"/>
              <w:left w:val="single" w:sz="4" w:space="0" w:color="auto"/>
              <w:bottom w:val="single" w:sz="4" w:space="0" w:color="auto"/>
              <w:right w:val="single" w:sz="4" w:space="0" w:color="auto"/>
            </w:tcBorders>
          </w:tcPr>
          <w:p w14:paraId="3AAF693C" w14:textId="77777777" w:rsidR="00A7168F" w:rsidRPr="00265403" w:rsidRDefault="00A7168F" w:rsidP="00A7168F">
            <w:pPr>
              <w:widowControl w:val="0"/>
              <w:jc w:val="left"/>
              <w:rPr>
                <w:sz w:val="20"/>
                <w:szCs w:val="20"/>
                <w:lang w:val="fr-CA"/>
              </w:rPr>
            </w:pPr>
            <w:r w:rsidRPr="00265403">
              <w:rPr>
                <w:sz w:val="20"/>
                <w:szCs w:val="20"/>
                <w:lang w:val="fr-CA"/>
              </w:rPr>
              <w:t>Prorogation de la phase I et examen de l’Accord. Toutes les questions techniques et de coût résolues</w:t>
            </w:r>
          </w:p>
        </w:tc>
      </w:tr>
    </w:tbl>
    <w:p w14:paraId="5BED94BE" w14:textId="77777777" w:rsidR="00D76D08" w:rsidRPr="00944BFF" w:rsidRDefault="00D76D08" w:rsidP="00A7168F">
      <w:pPr>
        <w:tabs>
          <w:tab w:val="left" w:pos="720"/>
          <w:tab w:val="left" w:pos="1440"/>
          <w:tab w:val="left" w:pos="2160"/>
        </w:tabs>
        <w:spacing w:after="240"/>
        <w:rPr>
          <w:color w:val="000000" w:themeColor="text1"/>
          <w:lang w:val="fr-FR"/>
        </w:rPr>
      </w:pPr>
    </w:p>
    <w:p w14:paraId="44701524" w14:textId="4CC083ED" w:rsidR="00D76D08" w:rsidRPr="00944BFF" w:rsidRDefault="00914146" w:rsidP="00914146">
      <w:pPr>
        <w:pStyle w:val="Heading1"/>
        <w:keepNext/>
        <w:numPr>
          <w:ilvl w:val="0"/>
          <w:numId w:val="0"/>
        </w:numPr>
        <w:ind w:left="709" w:hanging="709"/>
        <w:rPr>
          <w:b/>
          <w:lang w:val="fr-FR"/>
        </w:rPr>
      </w:pPr>
      <w:r>
        <w:rPr>
          <w:b/>
          <w:lang w:val="fr-FR"/>
        </w:rPr>
        <w:t>10.</w:t>
      </w:r>
      <w:r>
        <w:rPr>
          <w:b/>
          <w:lang w:val="fr-FR"/>
        </w:rPr>
        <w:tab/>
      </w:r>
      <w:r w:rsidR="001E28AA" w:rsidRPr="00944BFF">
        <w:rPr>
          <w:b/>
          <w:lang w:val="fr-FR"/>
        </w:rPr>
        <w:t>Aperçu des programmes actuels de suivi,</w:t>
      </w:r>
      <w:r w:rsidR="00EE440F">
        <w:rPr>
          <w:b/>
          <w:lang w:val="fr-FR"/>
        </w:rPr>
        <w:t xml:space="preserve"> établissement de rapports et vé</w:t>
      </w:r>
      <w:r w:rsidR="001E28AA" w:rsidRPr="00944BFF">
        <w:rPr>
          <w:b/>
          <w:lang w:val="fr-FR"/>
        </w:rPr>
        <w:t>rification, et des programmes exécutoires d’octroi de permis et de quotas élaborés avec le soutien du</w:t>
      </w:r>
      <w:r w:rsidR="000A7B86" w:rsidRPr="00944BFF">
        <w:rPr>
          <w:b/>
          <w:lang w:val="fr-FR"/>
        </w:rPr>
        <w:t xml:space="preserve"> </w:t>
      </w:r>
      <w:r w:rsidR="001E28AA" w:rsidRPr="00944BFF">
        <w:rPr>
          <w:b/>
          <w:lang w:val="fr-FR"/>
        </w:rPr>
        <w:t xml:space="preserve">Fonds </w:t>
      </w:r>
      <w:r w:rsidR="000A7B86" w:rsidRPr="00944BFF">
        <w:rPr>
          <w:b/>
          <w:lang w:val="fr-FR"/>
        </w:rPr>
        <w:t>multilatéral (dé</w:t>
      </w:r>
      <w:r w:rsidR="00D76D08" w:rsidRPr="00944BFF">
        <w:rPr>
          <w:b/>
          <w:lang w:val="fr-FR"/>
        </w:rPr>
        <w:t>cision 82/86(c))</w:t>
      </w:r>
    </w:p>
    <w:p w14:paraId="1AE7D0EF" w14:textId="709E9F5F" w:rsidR="00D76D08" w:rsidRPr="00944BFF" w:rsidRDefault="000A7B86" w:rsidP="00D76D08">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76D08" w:rsidRPr="00944BFF">
        <w:rPr>
          <w:color w:val="000000" w:themeColor="text1"/>
          <w:u w:val="single"/>
          <w:lang w:val="fr-FR"/>
        </w:rPr>
        <w:t>ocument UNEP/Oz</w:t>
      </w:r>
      <w:r w:rsidR="00D76D08" w:rsidRPr="00944BFF">
        <w:rPr>
          <w:color w:val="000000" w:themeColor="text1"/>
          <w:szCs w:val="24"/>
          <w:u w:val="single"/>
          <w:lang w:val="fr-FR"/>
        </w:rPr>
        <w:t>L.Pro/ExCom/83/38</w:t>
      </w:r>
      <w:r w:rsidR="00D76D08" w:rsidRPr="00944BFF">
        <w:rPr>
          <w:color w:val="000000" w:themeColor="text1"/>
          <w:szCs w:val="24"/>
          <w:lang w:val="fr-FR"/>
        </w:rPr>
        <w:t xml:space="preserve"> </w:t>
      </w:r>
      <w:r w:rsidR="00D76D08" w:rsidRPr="00944BFF">
        <w:rPr>
          <w:color w:val="000000" w:themeColor="text1"/>
          <w:lang w:val="fr-FR"/>
        </w:rPr>
        <w:t>co</w:t>
      </w:r>
      <w:r w:rsidR="00A7168F">
        <w:rPr>
          <w:color w:val="000000" w:themeColor="text1"/>
          <w:lang w:val="fr-FR"/>
        </w:rPr>
        <w:t xml:space="preserve">mprend trois </w:t>
      </w:r>
      <w:r w:rsidR="00D76D08" w:rsidRPr="00944BFF">
        <w:rPr>
          <w:color w:val="000000" w:themeColor="text1"/>
          <w:lang w:val="fr-FR"/>
        </w:rPr>
        <w:t xml:space="preserve">sections. </w:t>
      </w:r>
      <w:r w:rsidR="00A7168F">
        <w:rPr>
          <w:color w:val="000000" w:themeColor="text1"/>
          <w:lang w:val="fr-FR"/>
        </w:rPr>
        <w:t xml:space="preserve">Suivi et notification; vérification </w:t>
      </w:r>
      <w:r w:rsidR="0026088E">
        <w:rPr>
          <w:color w:val="000000" w:themeColor="text1"/>
          <w:lang w:val="fr-FR"/>
        </w:rPr>
        <w:t>en vertu</w:t>
      </w:r>
      <w:r w:rsidR="00A7168F">
        <w:rPr>
          <w:color w:val="000000" w:themeColor="text1"/>
          <w:lang w:val="fr-FR"/>
        </w:rPr>
        <w:t xml:space="preserve"> des accords pluriannuels; et cadre règlementaire </w:t>
      </w:r>
      <w:r w:rsidR="0026088E">
        <w:rPr>
          <w:color w:val="000000" w:themeColor="text1"/>
          <w:lang w:val="fr-FR"/>
        </w:rPr>
        <w:t>pour</w:t>
      </w:r>
      <w:r w:rsidR="00A7168F">
        <w:rPr>
          <w:color w:val="000000" w:themeColor="text1"/>
          <w:lang w:val="fr-FR"/>
        </w:rPr>
        <w:t xml:space="preserve"> les substances règlementée</w:t>
      </w:r>
      <w:r w:rsidR="00D76D08" w:rsidRPr="00944BFF">
        <w:rPr>
          <w:color w:val="000000" w:themeColor="text1"/>
          <w:lang w:val="fr-FR"/>
        </w:rPr>
        <w:t>s.</w:t>
      </w:r>
    </w:p>
    <w:p w14:paraId="4A4725E8" w14:textId="6D3F2692" w:rsidR="00D76D08" w:rsidRPr="00944BFF" w:rsidRDefault="000A7B86" w:rsidP="00D76D08">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76D08" w:rsidRPr="00944BFF">
        <w:rPr>
          <w:color w:val="000000" w:themeColor="text1"/>
          <w:lang w:val="fr-FR"/>
        </w:rPr>
        <w:t>: </w:t>
      </w:r>
    </w:p>
    <w:p w14:paraId="26862141" w14:textId="1054E98A" w:rsidR="00D76D08" w:rsidRPr="00944BFF" w:rsidRDefault="00A7168F" w:rsidP="00761F88">
      <w:pPr>
        <w:pStyle w:val="ListParagraph"/>
        <w:numPr>
          <w:ilvl w:val="0"/>
          <w:numId w:val="19"/>
        </w:numPr>
        <w:tabs>
          <w:tab w:val="left" w:pos="720"/>
          <w:tab w:val="left" w:pos="1440"/>
          <w:tab w:val="left" w:pos="2160"/>
        </w:tabs>
        <w:spacing w:after="240"/>
        <w:jc w:val="both"/>
        <w:rPr>
          <w:color w:val="000000" w:themeColor="text1"/>
          <w:lang w:val="fr-FR"/>
        </w:rPr>
      </w:pPr>
      <w:r>
        <w:rPr>
          <w:color w:val="000000" w:themeColor="text1"/>
          <w:lang w:val="fr-FR"/>
        </w:rPr>
        <w:t xml:space="preserve">Donner </w:t>
      </w:r>
      <w:r w:rsidR="00276BC8">
        <w:rPr>
          <w:color w:val="000000" w:themeColor="text1"/>
          <w:lang w:val="fr-FR"/>
        </w:rPr>
        <w:t>une orientation</w:t>
      </w:r>
      <w:r>
        <w:rPr>
          <w:color w:val="000000" w:themeColor="text1"/>
          <w:lang w:val="fr-FR"/>
        </w:rPr>
        <w:t xml:space="preserve"> sur la mise en œuvre ou pas</w:t>
      </w:r>
      <w:r w:rsidR="0026088E">
        <w:rPr>
          <w:color w:val="000000" w:themeColor="text1"/>
          <w:lang w:val="fr-FR"/>
        </w:rPr>
        <w:t>,</w:t>
      </w:r>
      <w:r>
        <w:rPr>
          <w:color w:val="000000" w:themeColor="text1"/>
          <w:lang w:val="fr-FR"/>
        </w:rPr>
        <w:t xml:space="preserve"> des commentaires contenus au paragraphe 67 du document </w:t>
      </w:r>
      <w:r w:rsidR="00D76D08" w:rsidRPr="00944BFF">
        <w:rPr>
          <w:color w:val="000000" w:themeColor="text1"/>
          <w:lang w:val="fr-FR"/>
        </w:rPr>
        <w:t>UNEP/OzL.Pro/ExCom/83/38</w:t>
      </w:r>
    </w:p>
    <w:p w14:paraId="02B68AA4" w14:textId="049FE67D" w:rsidR="00D76D08" w:rsidRPr="00276BC8" w:rsidRDefault="000A7B86" w:rsidP="00D76D08">
      <w:pPr>
        <w:pStyle w:val="Heading1"/>
        <w:numPr>
          <w:ilvl w:val="0"/>
          <w:numId w:val="0"/>
        </w:numPr>
        <w:ind w:left="709"/>
        <w:rPr>
          <w:lang w:val="fr-FR"/>
        </w:rPr>
      </w:pPr>
      <w:r w:rsidRPr="00276BC8">
        <w:rPr>
          <w:color w:val="000000" w:themeColor="text1"/>
          <w:u w:val="single"/>
          <w:lang w:val="fr-FR"/>
        </w:rPr>
        <w:t>L</w:t>
      </w:r>
      <w:r w:rsidR="00D76D08" w:rsidRPr="00276BC8">
        <w:rPr>
          <w:color w:val="000000" w:themeColor="text1"/>
          <w:u w:val="single"/>
          <w:lang w:val="fr-FR"/>
        </w:rPr>
        <w:t>e</w:t>
      </w:r>
      <w:r w:rsidRPr="00276BC8">
        <w:rPr>
          <w:color w:val="000000" w:themeColor="text1"/>
          <w:u w:val="single"/>
          <w:lang w:val="fr-FR"/>
        </w:rPr>
        <w:t xml:space="preserve"> Comité exécutif pourrait souhaiter </w:t>
      </w:r>
      <w:r w:rsidR="00D76D08" w:rsidRPr="00276BC8">
        <w:rPr>
          <w:color w:val="000000" w:themeColor="text1"/>
          <w:lang w:val="fr-FR"/>
        </w:rPr>
        <w:t xml:space="preserve">: </w:t>
      </w:r>
    </w:p>
    <w:p w14:paraId="2FF168C1" w14:textId="3771D876" w:rsidR="00D76D08" w:rsidRPr="00276BC8" w:rsidRDefault="00A7168F" w:rsidP="00761F88">
      <w:pPr>
        <w:pStyle w:val="Heading2"/>
        <w:numPr>
          <w:ilvl w:val="0"/>
          <w:numId w:val="18"/>
        </w:numPr>
        <w:ind w:left="1418" w:hanging="698"/>
        <w:rPr>
          <w:lang w:val="fr-FR"/>
        </w:rPr>
      </w:pPr>
      <w:r w:rsidRPr="00276BC8">
        <w:rPr>
          <w:lang w:val="fr-FR"/>
        </w:rPr>
        <w:t xml:space="preserve">Prendre </w:t>
      </w:r>
      <w:r w:rsidR="00D76D08" w:rsidRPr="00276BC8">
        <w:rPr>
          <w:lang w:val="fr-FR"/>
        </w:rPr>
        <w:t xml:space="preserve">note </w:t>
      </w:r>
      <w:r w:rsidRPr="00276BC8">
        <w:rPr>
          <w:lang w:val="fr-FR"/>
        </w:rPr>
        <w:t xml:space="preserve">de </w:t>
      </w:r>
      <w:r w:rsidR="00276BC8" w:rsidRPr="00276BC8">
        <w:rPr>
          <w:lang w:val="fr-FR"/>
        </w:rPr>
        <w:t>l’aperçu des programmes actuels</w:t>
      </w:r>
      <w:r w:rsidRPr="00276BC8">
        <w:rPr>
          <w:lang w:val="fr-FR"/>
        </w:rPr>
        <w:t xml:space="preserve"> </w:t>
      </w:r>
      <w:r w:rsidR="00276BC8" w:rsidRPr="00276BC8">
        <w:rPr>
          <w:lang w:val="fr-FR"/>
        </w:rPr>
        <w:t>de suivi, établissement de rapp</w:t>
      </w:r>
      <w:r w:rsidRPr="00276BC8">
        <w:rPr>
          <w:lang w:val="fr-FR"/>
        </w:rPr>
        <w:t>o</w:t>
      </w:r>
      <w:r w:rsidR="00276BC8" w:rsidRPr="00276BC8">
        <w:rPr>
          <w:lang w:val="fr-FR"/>
        </w:rPr>
        <w:t>r</w:t>
      </w:r>
      <w:r w:rsidRPr="00276BC8">
        <w:rPr>
          <w:lang w:val="fr-FR"/>
        </w:rPr>
        <w:t>ts et vérific</w:t>
      </w:r>
      <w:r w:rsidR="00276BC8" w:rsidRPr="00276BC8">
        <w:rPr>
          <w:lang w:val="fr-FR"/>
        </w:rPr>
        <w:t>ation, et des programmes exécut</w:t>
      </w:r>
      <w:r w:rsidRPr="00276BC8">
        <w:rPr>
          <w:lang w:val="fr-FR"/>
        </w:rPr>
        <w:t xml:space="preserve">oires </w:t>
      </w:r>
      <w:r w:rsidR="00276BC8" w:rsidRPr="00276BC8">
        <w:rPr>
          <w:lang w:val="fr-FR"/>
        </w:rPr>
        <w:t xml:space="preserve">d’octroi de permis et de quotas, </w:t>
      </w:r>
      <w:r w:rsidRPr="00276BC8">
        <w:rPr>
          <w:lang w:val="fr-FR"/>
        </w:rPr>
        <w:t xml:space="preserve">contenu dans le </w:t>
      </w:r>
      <w:r w:rsidR="00D76D08" w:rsidRPr="00276BC8">
        <w:rPr>
          <w:lang w:val="fr-FR"/>
        </w:rPr>
        <w:t>docume</w:t>
      </w:r>
      <w:r w:rsidR="00276BC8" w:rsidRPr="00276BC8">
        <w:rPr>
          <w:lang w:val="fr-FR"/>
        </w:rPr>
        <w:t>nt UNEP/OzL.Pro/ExCom/83/38; et</w:t>
      </w:r>
    </w:p>
    <w:p w14:paraId="5B4C9047" w14:textId="5508EB84" w:rsidR="00D76D08" w:rsidRPr="00276BC8" w:rsidRDefault="00A7168F" w:rsidP="00761F88">
      <w:pPr>
        <w:pStyle w:val="Heading2"/>
        <w:numPr>
          <w:ilvl w:val="0"/>
          <w:numId w:val="18"/>
        </w:numPr>
        <w:tabs>
          <w:tab w:val="clear" w:pos="720"/>
          <w:tab w:val="num" w:pos="1418"/>
        </w:tabs>
        <w:rPr>
          <w:lang w:val="fr-FR"/>
        </w:rPr>
      </w:pPr>
      <w:r w:rsidRPr="00276BC8">
        <w:rPr>
          <w:lang w:val="fr-FR"/>
        </w:rPr>
        <w:t>E</w:t>
      </w:r>
      <w:r w:rsidR="00276BC8">
        <w:rPr>
          <w:lang w:val="fr-FR"/>
        </w:rPr>
        <w:t>xamin</w:t>
      </w:r>
      <w:r w:rsidR="00276BC8" w:rsidRPr="00276BC8">
        <w:rPr>
          <w:lang w:val="fr-FR"/>
        </w:rPr>
        <w:t>er</w:t>
      </w:r>
      <w:r w:rsidRPr="00276BC8">
        <w:rPr>
          <w:lang w:val="fr-FR"/>
        </w:rPr>
        <w:t xml:space="preserve"> s’il y a lieu ou non de mettre en œuvre l’une des observations récapitulées au </w:t>
      </w:r>
      <w:r w:rsidR="002E0F67" w:rsidRPr="00276BC8">
        <w:rPr>
          <w:lang w:val="fr-FR"/>
        </w:rPr>
        <w:tab/>
      </w:r>
      <w:r w:rsidRPr="00276BC8">
        <w:rPr>
          <w:lang w:val="fr-FR"/>
        </w:rPr>
        <w:t>paragraphe</w:t>
      </w:r>
      <w:r w:rsidR="00D76D08" w:rsidRPr="00276BC8">
        <w:rPr>
          <w:lang w:val="fr-FR"/>
        </w:rPr>
        <w:t xml:space="preserve"> 67 </w:t>
      </w:r>
      <w:r w:rsidRPr="00276BC8">
        <w:rPr>
          <w:lang w:val="fr-FR"/>
        </w:rPr>
        <w:t>du</w:t>
      </w:r>
      <w:r w:rsidR="00D76D08" w:rsidRPr="00276BC8">
        <w:rPr>
          <w:lang w:val="fr-FR"/>
        </w:rPr>
        <w:t xml:space="preserve"> d</w:t>
      </w:r>
      <w:r w:rsidR="00D76D08" w:rsidRPr="00276BC8">
        <w:rPr>
          <w:color w:val="000000" w:themeColor="text1"/>
          <w:lang w:val="fr-FR"/>
        </w:rPr>
        <w:t>ocument UNEP/Oz</w:t>
      </w:r>
      <w:r w:rsidR="00D76D08" w:rsidRPr="00276BC8">
        <w:rPr>
          <w:color w:val="000000" w:themeColor="text1"/>
          <w:szCs w:val="24"/>
          <w:lang w:val="fr-FR"/>
        </w:rPr>
        <w:t>L.Pro/ExCom/83/38</w:t>
      </w:r>
      <w:r w:rsidRPr="00276BC8">
        <w:rPr>
          <w:lang w:val="fr-FR"/>
        </w:rPr>
        <w:t>; et</w:t>
      </w:r>
    </w:p>
    <w:p w14:paraId="06680945" w14:textId="2242D125" w:rsidR="002E0F67" w:rsidRPr="00276BC8" w:rsidRDefault="002E0F67" w:rsidP="00CA49E4">
      <w:pPr>
        <w:pStyle w:val="Heading2"/>
        <w:numPr>
          <w:ilvl w:val="0"/>
          <w:numId w:val="0"/>
        </w:numPr>
        <w:tabs>
          <w:tab w:val="num" w:pos="1418"/>
        </w:tabs>
        <w:ind w:left="1440" w:hanging="720"/>
        <w:rPr>
          <w:color w:val="000000" w:themeColor="text1"/>
          <w:lang w:val="fr-FR"/>
        </w:rPr>
      </w:pPr>
      <w:r w:rsidRPr="00276BC8">
        <w:rPr>
          <w:lang w:val="fr-FR"/>
        </w:rPr>
        <w:t>c)</w:t>
      </w:r>
      <w:r w:rsidRPr="00276BC8">
        <w:rPr>
          <w:lang w:val="fr-FR"/>
        </w:rPr>
        <w:tab/>
        <w:t>I</w:t>
      </w:r>
      <w:r w:rsidR="00D76D08" w:rsidRPr="00276BC8">
        <w:rPr>
          <w:lang w:val="fr-FR"/>
        </w:rPr>
        <w:t>nvite</w:t>
      </w:r>
      <w:r w:rsidRPr="00276BC8">
        <w:rPr>
          <w:lang w:val="fr-FR"/>
        </w:rPr>
        <w:t>r les pays visés à l’article 5 concernés à examiner les nouveaux mécanismes</w:t>
      </w:r>
      <w:r w:rsidRPr="00276BC8">
        <w:rPr>
          <w:lang w:val="fr-FR"/>
        </w:rPr>
        <w:tab/>
        <w:t xml:space="preserve"> supplémentaires contenus dans le </w:t>
      </w:r>
      <w:r w:rsidR="00D76D08" w:rsidRPr="00276BC8">
        <w:rPr>
          <w:lang w:val="fr-FR"/>
        </w:rPr>
        <w:t xml:space="preserve">document UNEP/OzL.Pro/ExCom/83/38 </w:t>
      </w:r>
      <w:r w:rsidR="00276BC8" w:rsidRPr="00276BC8">
        <w:rPr>
          <w:lang w:val="fr-FR"/>
        </w:rPr>
        <w:t>en vue d’améliore</w:t>
      </w:r>
      <w:r w:rsidRPr="00276BC8">
        <w:rPr>
          <w:lang w:val="fr-FR"/>
        </w:rPr>
        <w:t>r</w:t>
      </w:r>
      <w:r w:rsidR="00276BC8" w:rsidRPr="00276BC8">
        <w:rPr>
          <w:lang w:val="fr-FR"/>
        </w:rPr>
        <w:t xml:space="preserve"> </w:t>
      </w:r>
      <w:r w:rsidRPr="00276BC8">
        <w:rPr>
          <w:lang w:val="fr-FR"/>
        </w:rPr>
        <w:t>la durabilité de l’élimination des substances règlementées, notant que de tels mécanismes seraient seulement applicables dans un nombre limité de cas.</w:t>
      </w:r>
    </w:p>
    <w:p w14:paraId="6EF77623" w14:textId="211365C9" w:rsidR="00D51B2A" w:rsidRPr="00276BC8" w:rsidRDefault="00276BC8" w:rsidP="00276BC8">
      <w:pPr>
        <w:pStyle w:val="Heading1"/>
        <w:numPr>
          <w:ilvl w:val="0"/>
          <w:numId w:val="0"/>
        </w:numPr>
        <w:ind w:left="709" w:hanging="709"/>
        <w:rPr>
          <w:lang w:val="fr-FR"/>
        </w:rPr>
      </w:pPr>
      <w:r>
        <w:rPr>
          <w:b/>
          <w:lang w:val="fr-FR"/>
        </w:rPr>
        <w:t>11.</w:t>
      </w:r>
      <w:r>
        <w:rPr>
          <w:b/>
          <w:lang w:val="fr-FR"/>
        </w:rPr>
        <w:tab/>
      </w:r>
      <w:r w:rsidR="00D51B2A" w:rsidRPr="00276BC8">
        <w:rPr>
          <w:b/>
          <w:lang w:val="fr-FR"/>
        </w:rPr>
        <w:t xml:space="preserve">Examen du régime des coûts administratifs : Analyse détaillée par pays des Bureaux de gestion de programme, des projets de renforcement des institutions et des agences d’exécution, notamment en ce qui concerne les activités et le financement au titre du Programme d’aide à la conformité, des coûts de base et des autres </w:t>
      </w:r>
      <w:r w:rsidR="00CD3FB5" w:rsidRPr="00276BC8">
        <w:rPr>
          <w:b/>
          <w:lang w:val="fr-FR"/>
        </w:rPr>
        <w:t>élé</w:t>
      </w:r>
      <w:r w:rsidR="00D51B2A" w:rsidRPr="00276BC8">
        <w:rPr>
          <w:b/>
          <w:lang w:val="fr-FR"/>
        </w:rPr>
        <w:t xml:space="preserve">ments du </w:t>
      </w:r>
      <w:r w:rsidR="00CD3FB5" w:rsidRPr="00276BC8">
        <w:rPr>
          <w:b/>
          <w:lang w:val="fr-FR"/>
        </w:rPr>
        <w:t>ré</w:t>
      </w:r>
      <w:r w:rsidR="00D51B2A" w:rsidRPr="00276BC8">
        <w:rPr>
          <w:b/>
          <w:lang w:val="fr-FR"/>
        </w:rPr>
        <w:t xml:space="preserve">gime des coûts administratifs, et des informations sur les </w:t>
      </w:r>
      <w:r w:rsidR="00CD3FB5" w:rsidRPr="00276BC8">
        <w:rPr>
          <w:b/>
          <w:lang w:val="fr-FR"/>
        </w:rPr>
        <w:t>vé</w:t>
      </w:r>
      <w:r w:rsidR="00D51B2A" w:rsidRPr="00276BC8">
        <w:rPr>
          <w:b/>
          <w:lang w:val="fr-FR"/>
        </w:rPr>
        <w:t>rifications indépendantes nation</w:t>
      </w:r>
      <w:r w:rsidR="00CD3FB5" w:rsidRPr="00276BC8">
        <w:rPr>
          <w:b/>
          <w:lang w:val="fr-FR"/>
        </w:rPr>
        <w:t>ales (dé</w:t>
      </w:r>
      <w:r w:rsidR="00D51B2A" w:rsidRPr="00276BC8">
        <w:rPr>
          <w:b/>
          <w:lang w:val="fr-FR"/>
        </w:rPr>
        <w:t>cision 82/82(b))</w:t>
      </w:r>
    </w:p>
    <w:p w14:paraId="267BFF53" w14:textId="49093C3F" w:rsidR="00D51B2A" w:rsidRPr="00944BFF" w:rsidRDefault="00CD3FB5" w:rsidP="00D51B2A">
      <w:pPr>
        <w:spacing w:after="240"/>
        <w:ind w:left="709"/>
        <w:rPr>
          <w:lang w:val="fr-FR"/>
        </w:rPr>
      </w:pPr>
      <w:r w:rsidRPr="00944BFF">
        <w:rPr>
          <w:color w:val="000000" w:themeColor="text1"/>
          <w:lang w:val="fr-FR"/>
        </w:rPr>
        <w:t>Le</w:t>
      </w:r>
      <w:r w:rsidR="002E0F67">
        <w:rPr>
          <w:color w:val="000000" w:themeColor="text1"/>
          <w:lang w:val="fr-FR"/>
        </w:rPr>
        <w:t xml:space="preserv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L.Pro/ExCom/83/39</w:t>
      </w:r>
      <w:r w:rsidR="00D51B2A" w:rsidRPr="00944BFF">
        <w:rPr>
          <w:color w:val="000000" w:themeColor="text1"/>
          <w:szCs w:val="24"/>
          <w:lang w:val="fr-FR"/>
        </w:rPr>
        <w:t xml:space="preserve"> </w:t>
      </w:r>
      <w:r w:rsidRPr="00944BFF">
        <w:rPr>
          <w:color w:val="000000" w:themeColor="text1"/>
          <w:lang w:val="fr-FR"/>
        </w:rPr>
        <w:t>présente</w:t>
      </w:r>
      <w:r w:rsidR="00D51B2A" w:rsidRPr="00944BFF">
        <w:rPr>
          <w:color w:val="000000" w:themeColor="text1"/>
          <w:lang w:val="fr-FR"/>
        </w:rPr>
        <w:t xml:space="preserve"> </w:t>
      </w:r>
      <w:r w:rsidRPr="00944BFF">
        <w:rPr>
          <w:color w:val="000000" w:themeColor="text1"/>
          <w:lang w:val="fr-FR"/>
        </w:rPr>
        <w:t>une analyse supplémentaire de</w:t>
      </w:r>
      <w:r w:rsidR="0026088E">
        <w:rPr>
          <w:color w:val="000000" w:themeColor="text1"/>
          <w:lang w:val="fr-FR"/>
        </w:rPr>
        <w:t xml:space="preserve">s </w:t>
      </w:r>
      <w:r w:rsidRPr="00944BFF">
        <w:rPr>
          <w:color w:val="000000" w:themeColor="text1"/>
          <w:lang w:val="fr-FR"/>
        </w:rPr>
        <w:t>information</w:t>
      </w:r>
      <w:r w:rsidR="0026088E">
        <w:rPr>
          <w:color w:val="000000" w:themeColor="text1"/>
          <w:lang w:val="fr-FR"/>
        </w:rPr>
        <w:t>s</w:t>
      </w:r>
      <w:r w:rsidRPr="00944BFF">
        <w:rPr>
          <w:color w:val="000000" w:themeColor="text1"/>
          <w:lang w:val="fr-FR"/>
        </w:rPr>
        <w:t xml:space="preserve"> </w:t>
      </w:r>
      <w:r w:rsidR="0026088E">
        <w:rPr>
          <w:color w:val="000000" w:themeColor="text1"/>
          <w:lang w:val="fr-FR"/>
        </w:rPr>
        <w:t>figurant</w:t>
      </w:r>
      <w:r w:rsidRPr="00944BFF">
        <w:rPr>
          <w:color w:val="000000" w:themeColor="text1"/>
          <w:lang w:val="fr-FR"/>
        </w:rPr>
        <w:t xml:space="preserve"> dans le </w:t>
      </w:r>
      <w:r w:rsidR="00D51B2A" w:rsidRPr="00944BFF">
        <w:rPr>
          <w:color w:val="000000" w:themeColor="text1"/>
          <w:lang w:val="fr-FR"/>
        </w:rPr>
        <w:t xml:space="preserve">document UNEP/OzL.Pro/ExCom/82/63, </w:t>
      </w:r>
      <w:r w:rsidRPr="00944BFF">
        <w:rPr>
          <w:color w:val="000000" w:themeColor="text1"/>
          <w:lang w:val="fr-FR"/>
        </w:rPr>
        <w:t>en particulier les éléments inclus dans la dé</w:t>
      </w:r>
      <w:r w:rsidR="00D51B2A" w:rsidRPr="00944BFF">
        <w:rPr>
          <w:color w:val="000000" w:themeColor="text1"/>
          <w:lang w:val="fr-FR"/>
        </w:rPr>
        <w:t xml:space="preserve">cision 82/82(b), </w:t>
      </w:r>
      <w:r w:rsidRPr="00944BFF">
        <w:rPr>
          <w:color w:val="000000" w:themeColor="text1"/>
          <w:lang w:val="fr-FR"/>
        </w:rPr>
        <w:t>et une</w:t>
      </w:r>
      <w:r w:rsidR="00D51B2A" w:rsidRPr="00944BFF">
        <w:rPr>
          <w:color w:val="000000" w:themeColor="text1"/>
          <w:lang w:val="fr-FR"/>
        </w:rPr>
        <w:t xml:space="preserve"> description </w:t>
      </w:r>
      <w:r w:rsidRPr="00944BFF">
        <w:rPr>
          <w:color w:val="000000" w:themeColor="text1"/>
          <w:lang w:val="fr-FR"/>
        </w:rPr>
        <w:t>des obligations et des coûts de la mise en oeuvre d</w:t>
      </w:r>
      <w:r w:rsidR="0026088E">
        <w:rPr>
          <w:color w:val="000000" w:themeColor="text1"/>
          <w:lang w:val="fr-FR"/>
        </w:rPr>
        <w:t>’</w:t>
      </w:r>
      <w:r w:rsidRPr="00944BFF">
        <w:rPr>
          <w:color w:val="000000" w:themeColor="text1"/>
          <w:lang w:val="fr-FR"/>
        </w:rPr>
        <w:t>activités</w:t>
      </w:r>
      <w:r w:rsidR="0026088E">
        <w:rPr>
          <w:color w:val="000000" w:themeColor="text1"/>
          <w:lang w:val="fr-FR"/>
        </w:rPr>
        <w:t xml:space="preserve"> financ</w:t>
      </w:r>
      <w:r w:rsidRPr="00944BFF">
        <w:rPr>
          <w:color w:val="000000" w:themeColor="text1"/>
          <w:lang w:val="fr-FR"/>
        </w:rPr>
        <w:t>ées par le Fonds</w:t>
      </w:r>
      <w:r w:rsidR="0026088E">
        <w:rPr>
          <w:color w:val="000000" w:themeColor="text1"/>
          <w:lang w:val="fr-FR"/>
        </w:rPr>
        <w:t>.  Il fait une analyse</w:t>
      </w:r>
      <w:r w:rsidRPr="00944BFF">
        <w:rPr>
          <w:color w:val="000000" w:themeColor="text1"/>
          <w:lang w:val="fr-FR"/>
        </w:rPr>
        <w:t xml:space="preserve"> par pays à partir de</w:t>
      </w:r>
      <w:r w:rsidR="0026088E">
        <w:rPr>
          <w:color w:val="000000" w:themeColor="text1"/>
          <w:lang w:val="fr-FR"/>
        </w:rPr>
        <w:t xml:space="preserve">s </w:t>
      </w:r>
      <w:r w:rsidRPr="00944BFF">
        <w:rPr>
          <w:color w:val="000000" w:themeColor="text1"/>
          <w:lang w:val="fr-FR"/>
        </w:rPr>
        <w:t>information</w:t>
      </w:r>
      <w:r w:rsidR="0026088E">
        <w:rPr>
          <w:color w:val="000000" w:themeColor="text1"/>
          <w:lang w:val="fr-FR"/>
        </w:rPr>
        <w:t>s</w:t>
      </w:r>
      <w:r w:rsidRPr="00944BFF">
        <w:rPr>
          <w:color w:val="000000" w:themeColor="text1"/>
          <w:lang w:val="fr-FR"/>
        </w:rPr>
        <w:t xml:space="preserve"> recueillie</w:t>
      </w:r>
      <w:r w:rsidR="0026088E">
        <w:rPr>
          <w:color w:val="000000" w:themeColor="text1"/>
          <w:lang w:val="fr-FR"/>
        </w:rPr>
        <w:t>s</w:t>
      </w:r>
      <w:r w:rsidRPr="00944BFF">
        <w:rPr>
          <w:color w:val="000000" w:themeColor="text1"/>
          <w:lang w:val="fr-FR"/>
        </w:rPr>
        <w:t xml:space="preserve"> l</w:t>
      </w:r>
      <w:r w:rsidR="00276BC8">
        <w:rPr>
          <w:color w:val="000000" w:themeColor="text1"/>
          <w:lang w:val="fr-FR"/>
        </w:rPr>
        <w:t>ors de l’examen de la phase I des</w:t>
      </w:r>
      <w:r w:rsidRPr="00944BFF">
        <w:rPr>
          <w:color w:val="000000" w:themeColor="text1"/>
          <w:lang w:val="fr-FR"/>
        </w:rPr>
        <w:t xml:space="preserve"> PGEH</w:t>
      </w:r>
      <w:r w:rsidR="0026088E">
        <w:rPr>
          <w:color w:val="000000" w:themeColor="text1"/>
          <w:lang w:val="fr-FR"/>
        </w:rPr>
        <w:t xml:space="preserve"> et</w:t>
      </w:r>
      <w:r w:rsidRPr="00944BFF">
        <w:rPr>
          <w:color w:val="000000" w:themeColor="text1"/>
          <w:lang w:val="fr-FR"/>
        </w:rPr>
        <w:t xml:space="preserve"> des demandes de renforcement des institutions</w:t>
      </w:r>
      <w:r w:rsidR="0026088E">
        <w:rPr>
          <w:color w:val="000000" w:themeColor="text1"/>
          <w:lang w:val="fr-FR"/>
        </w:rPr>
        <w:t>.  L’analyse s’appuie sur un</w:t>
      </w:r>
      <w:r w:rsidRPr="00944BFF">
        <w:rPr>
          <w:color w:val="000000" w:themeColor="text1"/>
          <w:lang w:val="fr-FR"/>
        </w:rPr>
        <w:t xml:space="preserve"> grand nomb</w:t>
      </w:r>
      <w:r w:rsidR="0026088E">
        <w:rPr>
          <w:color w:val="000000" w:themeColor="text1"/>
          <w:lang w:val="fr-FR"/>
        </w:rPr>
        <w:t xml:space="preserve">re de politiques et décisions </w:t>
      </w:r>
      <w:r w:rsidRPr="00944BFF">
        <w:rPr>
          <w:color w:val="000000" w:themeColor="text1"/>
          <w:lang w:val="fr-FR"/>
        </w:rPr>
        <w:t xml:space="preserve">liées aux Bureaux de gestion de programme, </w:t>
      </w:r>
      <w:r w:rsidR="0026088E">
        <w:rPr>
          <w:color w:val="000000" w:themeColor="text1"/>
          <w:lang w:val="fr-FR"/>
        </w:rPr>
        <w:t>aux</w:t>
      </w:r>
      <w:r w:rsidR="00747802">
        <w:rPr>
          <w:color w:val="000000" w:themeColor="text1"/>
          <w:lang w:val="fr-FR"/>
        </w:rPr>
        <w:t xml:space="preserve"> </w:t>
      </w:r>
      <w:r w:rsidRPr="00944BFF">
        <w:rPr>
          <w:color w:val="000000" w:themeColor="text1"/>
          <w:lang w:val="fr-FR"/>
        </w:rPr>
        <w:t xml:space="preserve">projets de renforcement des institutions, </w:t>
      </w:r>
      <w:r w:rsidR="0026088E">
        <w:rPr>
          <w:color w:val="000000" w:themeColor="text1"/>
          <w:lang w:val="fr-FR"/>
        </w:rPr>
        <w:t>aux</w:t>
      </w:r>
      <w:r w:rsidR="00747802">
        <w:rPr>
          <w:color w:val="000000" w:themeColor="text1"/>
          <w:lang w:val="fr-FR"/>
        </w:rPr>
        <w:t xml:space="preserve"> </w:t>
      </w:r>
      <w:r w:rsidRPr="00944BFF">
        <w:rPr>
          <w:color w:val="000000" w:themeColor="text1"/>
          <w:lang w:val="fr-FR"/>
        </w:rPr>
        <w:t xml:space="preserve">agences d’exécution </w:t>
      </w:r>
      <w:r w:rsidR="00D51B2A" w:rsidRPr="00944BFF">
        <w:rPr>
          <w:color w:val="000000" w:themeColor="text1"/>
          <w:lang w:val="fr-FR"/>
        </w:rPr>
        <w:t>(</w:t>
      </w:r>
      <w:r w:rsidRPr="00944BFF">
        <w:rPr>
          <w:color w:val="000000" w:themeColor="text1"/>
          <w:lang w:val="fr-FR"/>
        </w:rPr>
        <w:t>y com</w:t>
      </w:r>
      <w:r w:rsidR="00EE440F">
        <w:rPr>
          <w:color w:val="000000" w:themeColor="text1"/>
          <w:lang w:val="fr-FR"/>
        </w:rPr>
        <w:t xml:space="preserve">pris le PAC du PNUE et les </w:t>
      </w:r>
      <w:r w:rsidR="0026088E">
        <w:rPr>
          <w:color w:val="000000" w:themeColor="text1"/>
          <w:lang w:val="fr-FR"/>
        </w:rPr>
        <w:t>coût</w:t>
      </w:r>
      <w:r w:rsidRPr="00944BFF">
        <w:rPr>
          <w:color w:val="000000" w:themeColor="text1"/>
          <w:lang w:val="fr-FR"/>
        </w:rPr>
        <w:t xml:space="preserve">s de base du PNUD, de l’ONUDI et </w:t>
      </w:r>
      <w:r w:rsidR="00747802">
        <w:rPr>
          <w:color w:val="000000" w:themeColor="text1"/>
          <w:lang w:val="fr-FR"/>
        </w:rPr>
        <w:t xml:space="preserve">de la Banque mondiale), </w:t>
      </w:r>
      <w:r w:rsidR="0026088E">
        <w:rPr>
          <w:color w:val="000000" w:themeColor="text1"/>
          <w:lang w:val="fr-FR"/>
        </w:rPr>
        <w:t>à d’</w:t>
      </w:r>
      <w:r w:rsidR="00747802">
        <w:rPr>
          <w:color w:val="000000" w:themeColor="text1"/>
          <w:lang w:val="fr-FR"/>
        </w:rPr>
        <w:t>autres élé</w:t>
      </w:r>
      <w:r w:rsidRPr="00944BFF">
        <w:rPr>
          <w:color w:val="000000" w:themeColor="text1"/>
          <w:lang w:val="fr-FR"/>
        </w:rPr>
        <w:t xml:space="preserve">ments du régime des coûts administratifs du Fonds et </w:t>
      </w:r>
      <w:r w:rsidR="0026088E">
        <w:rPr>
          <w:color w:val="000000" w:themeColor="text1"/>
          <w:lang w:val="fr-FR"/>
        </w:rPr>
        <w:t xml:space="preserve">à </w:t>
      </w:r>
      <w:r w:rsidRPr="00944BFF">
        <w:rPr>
          <w:color w:val="000000" w:themeColor="text1"/>
          <w:lang w:val="fr-FR"/>
        </w:rPr>
        <w:t xml:space="preserve">des vérifications </w:t>
      </w:r>
      <w:r w:rsidR="0026088E">
        <w:rPr>
          <w:color w:val="000000" w:themeColor="text1"/>
          <w:lang w:val="fr-FR"/>
        </w:rPr>
        <w:t xml:space="preserve">faites au titre </w:t>
      </w:r>
      <w:r w:rsidR="00EE440F">
        <w:rPr>
          <w:color w:val="000000" w:themeColor="text1"/>
          <w:lang w:val="fr-FR"/>
        </w:rPr>
        <w:t xml:space="preserve">des PGEH. </w:t>
      </w:r>
      <w:r w:rsidR="00747802">
        <w:rPr>
          <w:color w:val="000000" w:themeColor="text1"/>
          <w:lang w:val="fr-FR"/>
        </w:rPr>
        <w:t xml:space="preserve"> </w:t>
      </w:r>
      <w:r w:rsidRPr="00944BFF">
        <w:rPr>
          <w:color w:val="000000" w:themeColor="text1"/>
          <w:lang w:val="fr-FR"/>
        </w:rPr>
        <w:t xml:space="preserve">Il présente les </w:t>
      </w:r>
      <w:r w:rsidR="0026088E">
        <w:rPr>
          <w:color w:val="000000" w:themeColor="text1"/>
          <w:lang w:val="fr-FR"/>
        </w:rPr>
        <w:t>observations</w:t>
      </w:r>
      <w:r w:rsidRPr="00944BFF">
        <w:rPr>
          <w:color w:val="000000" w:themeColor="text1"/>
          <w:lang w:val="fr-FR"/>
        </w:rPr>
        <w:t xml:space="preserve"> du Secrétariat sur les </w:t>
      </w:r>
      <w:r w:rsidR="00747802">
        <w:rPr>
          <w:lang w:val="fr-FR"/>
        </w:rPr>
        <w:t>liens entre</w:t>
      </w:r>
      <w:r w:rsidR="00413F1F" w:rsidRPr="00944BFF">
        <w:rPr>
          <w:lang w:val="fr-FR"/>
        </w:rPr>
        <w:t xml:space="preserve"> ces éléments </w:t>
      </w:r>
      <w:r w:rsidR="0026088E">
        <w:rPr>
          <w:lang w:val="fr-FR"/>
        </w:rPr>
        <w:t>ainsi qu’</w:t>
      </w:r>
      <w:r w:rsidR="00413F1F" w:rsidRPr="00944BFF">
        <w:rPr>
          <w:lang w:val="fr-FR"/>
        </w:rPr>
        <w:t>une recommandation</w:t>
      </w:r>
      <w:r w:rsidR="00D51B2A" w:rsidRPr="00944BFF">
        <w:rPr>
          <w:lang w:val="fr-FR"/>
        </w:rPr>
        <w:t xml:space="preserve">. </w:t>
      </w:r>
      <w:r w:rsidR="00D51B2A" w:rsidRPr="00944BFF">
        <w:rPr>
          <w:color w:val="000000" w:themeColor="text1"/>
          <w:lang w:val="fr-FR"/>
        </w:rPr>
        <w:t xml:space="preserve"> </w:t>
      </w:r>
    </w:p>
    <w:p w14:paraId="7DFEC820" w14:textId="1CBF90CC" w:rsidR="00D51B2A" w:rsidRPr="009A41EE" w:rsidRDefault="00413F1F" w:rsidP="00D51B2A">
      <w:pPr>
        <w:keepNext/>
        <w:tabs>
          <w:tab w:val="left" w:pos="720"/>
          <w:tab w:val="left" w:pos="1440"/>
          <w:tab w:val="left" w:pos="2160"/>
        </w:tabs>
        <w:spacing w:after="240"/>
        <w:ind w:left="706"/>
        <w:rPr>
          <w:color w:val="000000" w:themeColor="text1"/>
          <w:lang w:val="fr-FR"/>
        </w:rPr>
      </w:pPr>
      <w:r w:rsidRPr="009A41EE">
        <w:rPr>
          <w:color w:val="000000" w:themeColor="text1"/>
          <w:u w:val="single"/>
          <w:lang w:val="fr-FR"/>
        </w:rPr>
        <w:t xml:space="preserve">Questions à traiter </w:t>
      </w:r>
      <w:r w:rsidR="00D51B2A" w:rsidRPr="009A41EE">
        <w:rPr>
          <w:color w:val="000000" w:themeColor="text1"/>
          <w:lang w:val="fr-FR"/>
        </w:rPr>
        <w:t>: </w:t>
      </w:r>
      <w:r w:rsidRPr="009A41EE">
        <w:rPr>
          <w:color w:val="000000" w:themeColor="text1"/>
          <w:lang w:val="fr-FR"/>
        </w:rPr>
        <w:t>Aucune</w:t>
      </w:r>
    </w:p>
    <w:p w14:paraId="32505D93" w14:textId="62EF6F4C" w:rsidR="00D51B2A" w:rsidRPr="00944BFF" w:rsidRDefault="00413F1F" w:rsidP="00D51B2A">
      <w:pPr>
        <w:tabs>
          <w:tab w:val="left" w:pos="720"/>
          <w:tab w:val="left" w:pos="1440"/>
          <w:tab w:val="left" w:pos="2160"/>
        </w:tabs>
        <w:spacing w:after="240"/>
        <w:ind w:left="709"/>
        <w:outlineLvl w:val="0"/>
        <w:rPr>
          <w:color w:val="000000" w:themeColor="text1"/>
          <w:lang w:val="fr-FR"/>
        </w:rPr>
      </w:pPr>
      <w:r w:rsidRPr="009A41EE">
        <w:rPr>
          <w:color w:val="000000" w:themeColor="text1"/>
          <w:u w:val="single"/>
          <w:lang w:val="fr-FR"/>
        </w:rPr>
        <w:t>L</w:t>
      </w:r>
      <w:r w:rsidR="00D51B2A" w:rsidRPr="009A41EE">
        <w:rPr>
          <w:color w:val="000000" w:themeColor="text1"/>
          <w:u w:val="single"/>
          <w:lang w:val="fr-FR"/>
        </w:rPr>
        <w:t>e</w:t>
      </w:r>
      <w:r w:rsidRPr="009A41EE">
        <w:rPr>
          <w:color w:val="000000" w:themeColor="text1"/>
          <w:u w:val="single"/>
          <w:lang w:val="fr-FR"/>
        </w:rPr>
        <w:t xml:space="preserve"> Comité exécutif pourrait souhaiter</w:t>
      </w:r>
      <w:r w:rsidR="009A41EE" w:rsidRPr="009A41EE">
        <w:rPr>
          <w:lang w:val="fr-FR"/>
        </w:rPr>
        <w:t xml:space="preserve"> prendre </w:t>
      </w:r>
      <w:r w:rsidR="00D51B2A" w:rsidRPr="009A41EE">
        <w:rPr>
          <w:lang w:val="fr-FR"/>
        </w:rPr>
        <w:t>note</w:t>
      </w:r>
      <w:r w:rsidR="009A41EE" w:rsidRPr="009A41EE">
        <w:rPr>
          <w:lang w:val="fr-FR"/>
        </w:rPr>
        <w:t xml:space="preserve"> de l’examen du régime des coûts administratifs : analyse par pays sur les bureaux de gestion de projet, le renforcement des institutions, et les agences d’exécution, notamment les activités et les résultats au titre du </w:t>
      </w:r>
      <w:r w:rsidR="009A41EE" w:rsidRPr="009A41EE">
        <w:rPr>
          <w:lang w:val="fr-FR"/>
        </w:rPr>
        <w:lastRenderedPageBreak/>
        <w:t xml:space="preserve">Programme d’assistance à la conformité, les unités centrales et autres éléments du régime des coûts administratifs, ainsi que des informations sur la vérification indépendante du niveau national (décision 82/82(b)), figurant dans le </w:t>
      </w:r>
      <w:r w:rsidR="00D51B2A" w:rsidRPr="009A41EE">
        <w:rPr>
          <w:lang w:val="fr-FR"/>
        </w:rPr>
        <w:t>document UNEP/OzL.Pro/ExCom/83/39.</w:t>
      </w:r>
      <w:r w:rsidR="00D51B2A" w:rsidRPr="00944BFF">
        <w:rPr>
          <w:color w:val="000000" w:themeColor="text1"/>
          <w:lang w:val="fr-FR"/>
        </w:rPr>
        <w:t xml:space="preserve"> </w:t>
      </w:r>
    </w:p>
    <w:p w14:paraId="5022A43F" w14:textId="5EF10BA7" w:rsidR="00D51B2A" w:rsidRPr="00944BFF" w:rsidRDefault="00747802" w:rsidP="00747802">
      <w:pPr>
        <w:pStyle w:val="Heading1"/>
        <w:numPr>
          <w:ilvl w:val="0"/>
          <w:numId w:val="0"/>
        </w:numPr>
        <w:rPr>
          <w:lang w:val="fr-FR"/>
        </w:rPr>
      </w:pPr>
      <w:r>
        <w:rPr>
          <w:b/>
          <w:lang w:val="fr-FR"/>
        </w:rPr>
        <w:t>12.</w:t>
      </w:r>
      <w:r>
        <w:rPr>
          <w:b/>
          <w:lang w:val="fr-FR"/>
        </w:rPr>
        <w:tab/>
      </w:r>
      <w:r w:rsidR="00413F1F" w:rsidRPr="00944BFF">
        <w:rPr>
          <w:b/>
          <w:lang w:val="fr-FR"/>
        </w:rPr>
        <w:t>Questions en lien avec l’Amendement de</w:t>
      </w:r>
      <w:r w:rsidR="00D51B2A" w:rsidRPr="00944BFF">
        <w:rPr>
          <w:b/>
          <w:lang w:val="fr-FR"/>
        </w:rPr>
        <w:t xml:space="preserve"> Kigali </w:t>
      </w:r>
      <w:r w:rsidR="00413F1F" w:rsidRPr="00944BFF">
        <w:rPr>
          <w:b/>
          <w:lang w:val="fr-FR"/>
        </w:rPr>
        <w:t xml:space="preserve">au Protocole de Montréal </w:t>
      </w:r>
    </w:p>
    <w:p w14:paraId="5C03E88A" w14:textId="168D8FA1" w:rsidR="00D51B2A" w:rsidRPr="00944BFF" w:rsidRDefault="009A41EE" w:rsidP="009A41EE">
      <w:pPr>
        <w:pStyle w:val="Heading2"/>
        <w:widowControl/>
        <w:numPr>
          <w:ilvl w:val="0"/>
          <w:numId w:val="0"/>
        </w:numPr>
        <w:ind w:left="1440" w:hanging="720"/>
        <w:rPr>
          <w:lang w:val="fr-FR"/>
        </w:rPr>
      </w:pPr>
      <w:r>
        <w:rPr>
          <w:b/>
          <w:lang w:val="fr-FR"/>
        </w:rPr>
        <w:t>a)</w:t>
      </w:r>
      <w:r>
        <w:rPr>
          <w:b/>
          <w:lang w:val="fr-FR"/>
        </w:rPr>
        <w:tab/>
      </w:r>
      <w:r w:rsidR="00D51B2A" w:rsidRPr="00944BFF">
        <w:rPr>
          <w:b/>
          <w:lang w:val="fr-FR"/>
        </w:rPr>
        <w:t>E</w:t>
      </w:r>
      <w:r w:rsidR="00413F1F" w:rsidRPr="00944BFF">
        <w:rPr>
          <w:b/>
          <w:lang w:val="fr-FR"/>
        </w:rPr>
        <w:t>fficacité énergétique</w:t>
      </w:r>
    </w:p>
    <w:p w14:paraId="1CFCE64E" w14:textId="45FC4087" w:rsidR="00D51B2A" w:rsidRPr="00944BFF" w:rsidRDefault="009A41EE" w:rsidP="009A41EE">
      <w:pPr>
        <w:pStyle w:val="Heading3"/>
        <w:numPr>
          <w:ilvl w:val="0"/>
          <w:numId w:val="0"/>
        </w:numPr>
        <w:ind w:left="2160" w:hanging="720"/>
        <w:rPr>
          <w:lang w:val="fr-FR"/>
        </w:rPr>
      </w:pPr>
      <w:r>
        <w:rPr>
          <w:b/>
          <w:lang w:val="fr-FR"/>
        </w:rPr>
        <w:t>i)</w:t>
      </w:r>
      <w:r>
        <w:rPr>
          <w:b/>
          <w:lang w:val="fr-FR"/>
        </w:rPr>
        <w:tab/>
      </w:r>
      <w:r w:rsidR="00413F1F" w:rsidRPr="00944BFF">
        <w:rPr>
          <w:b/>
          <w:lang w:val="fr-FR"/>
        </w:rPr>
        <w:t>Document décrivant des moyens d’opérationnaliser le paragraphe 16 de la dé</w:t>
      </w:r>
      <w:r w:rsidR="00D51B2A" w:rsidRPr="00944BFF">
        <w:rPr>
          <w:b/>
          <w:lang w:val="fr-FR"/>
        </w:rPr>
        <w:t xml:space="preserve">cision XXVIII/2 </w:t>
      </w:r>
      <w:r w:rsidR="00413F1F" w:rsidRPr="00944BFF">
        <w:rPr>
          <w:b/>
          <w:lang w:val="fr-FR"/>
        </w:rPr>
        <w:t xml:space="preserve">et le </w:t>
      </w:r>
      <w:r w:rsidR="00D51B2A" w:rsidRPr="00944BFF">
        <w:rPr>
          <w:b/>
          <w:lang w:val="fr-FR"/>
        </w:rPr>
        <w:t>paragraph</w:t>
      </w:r>
      <w:r w:rsidR="00413F1F" w:rsidRPr="00944BFF">
        <w:rPr>
          <w:b/>
          <w:lang w:val="fr-FR"/>
        </w:rPr>
        <w:t>e</w:t>
      </w:r>
      <w:r w:rsidR="00D51B2A" w:rsidRPr="00944BFF">
        <w:rPr>
          <w:b/>
          <w:lang w:val="fr-FR"/>
        </w:rPr>
        <w:t xml:space="preserve"> 2 </w:t>
      </w:r>
      <w:r w:rsidR="00413F1F" w:rsidRPr="00944BFF">
        <w:rPr>
          <w:b/>
          <w:lang w:val="fr-FR"/>
        </w:rPr>
        <w:t xml:space="preserve">de la décision </w:t>
      </w:r>
      <w:r w:rsidR="00D51B2A" w:rsidRPr="00944BFF">
        <w:rPr>
          <w:b/>
          <w:lang w:val="fr-FR"/>
        </w:rPr>
        <w:t xml:space="preserve">of XXX/5 </w:t>
      </w:r>
      <w:r w:rsidR="00413F1F" w:rsidRPr="00944BFF">
        <w:rPr>
          <w:b/>
          <w:lang w:val="fr-FR"/>
        </w:rPr>
        <w:t>des Parties (dé</w:t>
      </w:r>
      <w:r w:rsidR="00D51B2A" w:rsidRPr="00944BFF">
        <w:rPr>
          <w:b/>
          <w:lang w:val="fr-FR"/>
        </w:rPr>
        <w:t>cision 82/83(c))</w:t>
      </w:r>
    </w:p>
    <w:p w14:paraId="2D1BEE97" w14:textId="731E9522" w:rsidR="00D51B2A" w:rsidRPr="00944BFF" w:rsidRDefault="00413F1F"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L.Pro/ExCom/83/40</w:t>
      </w:r>
      <w:r w:rsidR="00D51B2A" w:rsidRPr="00944BFF">
        <w:rPr>
          <w:color w:val="000000" w:themeColor="text1"/>
          <w:szCs w:val="24"/>
          <w:lang w:val="fr-FR"/>
        </w:rPr>
        <w:t xml:space="preserve"> </w:t>
      </w:r>
      <w:r w:rsidR="00D51B2A" w:rsidRPr="00944BFF">
        <w:rPr>
          <w:lang w:val="fr-FR"/>
        </w:rPr>
        <w:t>d</w:t>
      </w:r>
      <w:r w:rsidRPr="00944BFF">
        <w:rPr>
          <w:lang w:val="fr-FR"/>
        </w:rPr>
        <w:t xml:space="preserve">écrit les moyens d’opérationnaliser le </w:t>
      </w:r>
      <w:r w:rsidR="00D51B2A" w:rsidRPr="00944BFF">
        <w:rPr>
          <w:lang w:val="fr-FR"/>
        </w:rPr>
        <w:t>paragraph</w:t>
      </w:r>
      <w:r w:rsidRPr="00944BFF">
        <w:rPr>
          <w:lang w:val="fr-FR"/>
        </w:rPr>
        <w:t>e</w:t>
      </w:r>
      <w:r w:rsidR="00D51B2A" w:rsidRPr="00944BFF">
        <w:rPr>
          <w:lang w:val="fr-FR"/>
        </w:rPr>
        <w:t xml:space="preserve"> 16 </w:t>
      </w:r>
      <w:r w:rsidRPr="00944BFF">
        <w:rPr>
          <w:lang w:val="fr-FR"/>
        </w:rPr>
        <w:t>de la dé</w:t>
      </w:r>
      <w:r w:rsidR="00D51B2A" w:rsidRPr="00944BFF">
        <w:rPr>
          <w:lang w:val="fr-FR"/>
        </w:rPr>
        <w:t xml:space="preserve">cision XXVIII/2, </w:t>
      </w:r>
      <w:r w:rsidR="0071447A" w:rsidRPr="00944BFF">
        <w:rPr>
          <w:lang w:val="fr-FR"/>
        </w:rPr>
        <w:t xml:space="preserve">et le </w:t>
      </w:r>
      <w:r w:rsidR="00D51B2A" w:rsidRPr="00944BFF">
        <w:rPr>
          <w:lang w:val="fr-FR"/>
        </w:rPr>
        <w:t>paragraph</w:t>
      </w:r>
      <w:r w:rsidR="0071447A" w:rsidRPr="00944BFF">
        <w:rPr>
          <w:lang w:val="fr-FR"/>
        </w:rPr>
        <w:t>e</w:t>
      </w:r>
      <w:r w:rsidR="00D51B2A" w:rsidRPr="00944BFF">
        <w:rPr>
          <w:lang w:val="fr-FR"/>
        </w:rPr>
        <w:t xml:space="preserve"> 2 </w:t>
      </w:r>
      <w:r w:rsidR="0071447A" w:rsidRPr="00944BFF">
        <w:rPr>
          <w:lang w:val="fr-FR"/>
        </w:rPr>
        <w:t>de la dé</w:t>
      </w:r>
      <w:r w:rsidR="00D51B2A" w:rsidRPr="00944BFF">
        <w:rPr>
          <w:lang w:val="fr-FR"/>
        </w:rPr>
        <w:t xml:space="preserve">cision XXX/5, </w:t>
      </w:r>
      <w:r w:rsidR="0071447A" w:rsidRPr="00944BFF">
        <w:rPr>
          <w:lang w:val="fr-FR"/>
        </w:rPr>
        <w:t>en tenant compte des critères, des indicateurs d</w:t>
      </w:r>
      <w:r w:rsidR="00592D1D">
        <w:rPr>
          <w:lang w:val="fr-FR"/>
        </w:rPr>
        <w:t>’efficacité</w:t>
      </w:r>
      <w:r w:rsidR="0071447A" w:rsidRPr="00944BFF">
        <w:rPr>
          <w:lang w:val="fr-FR"/>
        </w:rPr>
        <w:t xml:space="preserve"> et des mécanismes de financement </w:t>
      </w:r>
      <w:r w:rsidR="009A41EE">
        <w:rPr>
          <w:lang w:val="fr-FR"/>
        </w:rPr>
        <w:t>connexes</w:t>
      </w:r>
      <w:r w:rsidR="0071447A" w:rsidRPr="00944BFF">
        <w:rPr>
          <w:lang w:val="fr-FR"/>
        </w:rPr>
        <w:t xml:space="preserve"> des plans </w:t>
      </w:r>
      <w:r w:rsidR="009A41EE">
        <w:rPr>
          <w:lang w:val="fr-FR"/>
        </w:rPr>
        <w:t xml:space="preserve">du secteur de </w:t>
      </w:r>
      <w:r w:rsidR="0071447A" w:rsidRPr="00944BFF">
        <w:rPr>
          <w:lang w:val="fr-FR"/>
        </w:rPr>
        <w:t xml:space="preserve">l’entretien dans les PGEH existants ou nouveaux pour des pays à faible </w:t>
      </w:r>
      <w:r w:rsidR="009A41EE">
        <w:rPr>
          <w:lang w:val="fr-FR"/>
        </w:rPr>
        <w:t xml:space="preserve">volume de </w:t>
      </w:r>
      <w:r w:rsidR="0071447A" w:rsidRPr="00944BFF">
        <w:rPr>
          <w:lang w:val="fr-FR"/>
        </w:rPr>
        <w:t xml:space="preserve">consommation.   </w:t>
      </w:r>
    </w:p>
    <w:p w14:paraId="239CEFCC" w14:textId="5EA8BFC2" w:rsidR="00D51B2A" w:rsidRDefault="0071447A"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51B2A" w:rsidRPr="00944BFF">
        <w:rPr>
          <w:color w:val="000000" w:themeColor="text1"/>
          <w:lang w:val="fr-FR"/>
        </w:rPr>
        <w:t>: </w:t>
      </w:r>
      <w:r w:rsidRPr="00944BFF">
        <w:rPr>
          <w:color w:val="000000" w:themeColor="text1"/>
          <w:lang w:val="fr-FR"/>
        </w:rPr>
        <w:t>Aucune</w:t>
      </w:r>
    </w:p>
    <w:p w14:paraId="1150AFB6" w14:textId="3B724631" w:rsidR="005318BF" w:rsidRPr="00C51E0A" w:rsidRDefault="005318BF" w:rsidP="005318BF">
      <w:pPr>
        <w:pStyle w:val="Heading1"/>
        <w:numPr>
          <w:ilvl w:val="0"/>
          <w:numId w:val="0"/>
        </w:numPr>
        <w:ind w:left="709"/>
        <w:rPr>
          <w:lang w:val="fr-FR"/>
        </w:rPr>
      </w:pPr>
      <w:r w:rsidRPr="00CA49E4">
        <w:rPr>
          <w:u w:val="single"/>
          <w:lang w:val="fr-FR"/>
        </w:rPr>
        <w:t>Le Comité exécutif pourrait envisager</w:t>
      </w:r>
      <w:r w:rsidRPr="00593C40">
        <w:rPr>
          <w:lang w:val="fr-FR"/>
        </w:rPr>
        <w:t xml:space="preserve"> de prendre note du document sur les moyens d</w:t>
      </w:r>
      <w:r>
        <w:rPr>
          <w:lang w:val="fr-FR"/>
        </w:rPr>
        <w:t>’</w:t>
      </w:r>
      <w:r w:rsidRPr="00593C40">
        <w:rPr>
          <w:lang w:val="fr-FR"/>
        </w:rPr>
        <w:t>opérationnaliser le paragraphe 16 de la décision XXVIII/2 et le paragraphe 2 de la décision</w:t>
      </w:r>
      <w:r w:rsidR="00674009">
        <w:rPr>
          <w:lang w:val="fr-FR"/>
        </w:rPr>
        <w:t> </w:t>
      </w:r>
      <w:r w:rsidRPr="00593C40">
        <w:rPr>
          <w:lang w:val="fr-FR"/>
        </w:rPr>
        <w:t xml:space="preserve">XXX/5 des Parties, </w:t>
      </w:r>
      <w:r>
        <w:rPr>
          <w:lang w:val="fr-FR"/>
        </w:rPr>
        <w:t xml:space="preserve">en </w:t>
      </w:r>
      <w:r w:rsidRPr="00593C40">
        <w:rPr>
          <w:lang w:val="fr-FR"/>
        </w:rPr>
        <w:t>tenant compte des critères, des indicateurs d</w:t>
      </w:r>
      <w:r>
        <w:rPr>
          <w:lang w:val="fr-FR"/>
        </w:rPr>
        <w:t>’</w:t>
      </w:r>
      <w:r w:rsidRPr="00593C40">
        <w:rPr>
          <w:lang w:val="fr-FR"/>
        </w:rPr>
        <w:t>efficacité et des mécanismes de financement connexes des plans du secteur de l</w:t>
      </w:r>
      <w:r>
        <w:rPr>
          <w:lang w:val="fr-FR"/>
        </w:rPr>
        <w:t>’</w:t>
      </w:r>
      <w:r w:rsidRPr="00593C40">
        <w:rPr>
          <w:lang w:val="fr-FR"/>
        </w:rPr>
        <w:t>entretien dans les plans de gestion de l</w:t>
      </w:r>
      <w:r>
        <w:rPr>
          <w:lang w:val="fr-FR"/>
        </w:rPr>
        <w:t>’</w:t>
      </w:r>
      <w:r w:rsidRPr="00593C40">
        <w:rPr>
          <w:lang w:val="fr-FR"/>
        </w:rPr>
        <w:t>élimination des HCFC nouveaux ou existants pour les pays à faible volume de consommation, contenu dans le document UNEP/OzL.Pro/ExCom/83/40.</w:t>
      </w:r>
    </w:p>
    <w:p w14:paraId="0D41FBF2" w14:textId="21F608C7" w:rsidR="00D51B2A" w:rsidRPr="00944BFF" w:rsidRDefault="009A41EE" w:rsidP="005318BF">
      <w:pPr>
        <w:pStyle w:val="Heading3"/>
        <w:keepNext/>
        <w:keepLines/>
        <w:widowControl/>
        <w:numPr>
          <w:ilvl w:val="0"/>
          <w:numId w:val="0"/>
        </w:numPr>
        <w:ind w:left="1440" w:hanging="720"/>
        <w:rPr>
          <w:lang w:val="fr-FR"/>
        </w:rPr>
      </w:pPr>
      <w:r>
        <w:rPr>
          <w:b/>
          <w:lang w:val="fr-FR"/>
        </w:rPr>
        <w:t>ii)</w:t>
      </w:r>
      <w:r>
        <w:rPr>
          <w:b/>
          <w:lang w:val="fr-FR"/>
        </w:rPr>
        <w:tab/>
      </w:r>
      <w:r w:rsidR="00E52A60" w:rsidRPr="00944BFF">
        <w:rPr>
          <w:b/>
          <w:lang w:val="fr-FR"/>
        </w:rPr>
        <w:t>Document offrant de l’</w:t>
      </w:r>
      <w:r w:rsidR="00D51B2A" w:rsidRPr="00944BFF">
        <w:rPr>
          <w:b/>
          <w:lang w:val="fr-FR"/>
        </w:rPr>
        <w:t xml:space="preserve">information </w:t>
      </w:r>
      <w:r w:rsidR="00E52A60" w:rsidRPr="00944BFF">
        <w:rPr>
          <w:b/>
          <w:lang w:val="fr-FR"/>
        </w:rPr>
        <w:t>sur les fonds et les institutions financières d’intérêt mobilisant des ressources pour l’efficaci</w:t>
      </w:r>
      <w:r w:rsidR="005A3E67" w:rsidRPr="00944BFF">
        <w:rPr>
          <w:b/>
          <w:lang w:val="fr-FR"/>
        </w:rPr>
        <w:t>té énergétique qui pourraient contribuer à la réduction progressive des HFC (dé</w:t>
      </w:r>
      <w:r w:rsidR="00D51B2A" w:rsidRPr="00944BFF">
        <w:rPr>
          <w:b/>
          <w:lang w:val="fr-FR"/>
        </w:rPr>
        <w:t>cision 82/83(d))</w:t>
      </w:r>
    </w:p>
    <w:p w14:paraId="376B3CA5" w14:textId="6BB3168D" w:rsidR="00D51B2A" w:rsidRPr="00944BFF" w:rsidRDefault="005A3E67"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L.Pro/ExCom/83/41</w:t>
      </w:r>
      <w:r w:rsidR="00D51B2A" w:rsidRPr="00944BFF">
        <w:rPr>
          <w:color w:val="000000" w:themeColor="text1"/>
          <w:szCs w:val="24"/>
          <w:lang w:val="fr-FR"/>
        </w:rPr>
        <w:t xml:space="preserve"> </w:t>
      </w:r>
      <w:r w:rsidR="00D51B2A" w:rsidRPr="00944BFF">
        <w:rPr>
          <w:color w:val="000000" w:themeColor="text1"/>
          <w:lang w:val="fr-FR"/>
        </w:rPr>
        <w:t>co</w:t>
      </w:r>
      <w:r w:rsidRPr="00944BFF">
        <w:rPr>
          <w:color w:val="000000" w:themeColor="text1"/>
          <w:lang w:val="fr-FR"/>
        </w:rPr>
        <w:t>mprend trois section</w:t>
      </w:r>
      <w:r w:rsidR="00D51B2A" w:rsidRPr="00944BFF">
        <w:rPr>
          <w:color w:val="000000" w:themeColor="text1"/>
          <w:lang w:val="fr-FR"/>
        </w:rPr>
        <w:t xml:space="preserve">s: </w:t>
      </w:r>
      <w:r w:rsidR="009A41EE">
        <w:rPr>
          <w:color w:val="000000" w:themeColor="text1"/>
          <w:lang w:val="fr-FR"/>
        </w:rPr>
        <w:t>le sommaire des conclusions du rapport du groupe de travail du Groupe de l’évaluation t</w:t>
      </w:r>
      <w:r w:rsidR="002140E6">
        <w:rPr>
          <w:color w:val="000000" w:themeColor="text1"/>
          <w:lang w:val="fr-FR"/>
        </w:rPr>
        <w:t>echnique et éco</w:t>
      </w:r>
      <w:r w:rsidR="00592D1D">
        <w:rPr>
          <w:color w:val="000000" w:themeColor="text1"/>
          <w:lang w:val="fr-FR"/>
        </w:rPr>
        <w:t>nomique (GETE); les fonds et</w:t>
      </w:r>
      <w:r w:rsidR="002140E6">
        <w:rPr>
          <w:color w:val="000000" w:themeColor="text1"/>
          <w:lang w:val="fr-FR"/>
        </w:rPr>
        <w:t xml:space="preserve"> institutions financières </w:t>
      </w:r>
      <w:r w:rsidR="00747802">
        <w:rPr>
          <w:color w:val="000000" w:themeColor="text1"/>
          <w:lang w:val="fr-FR"/>
        </w:rPr>
        <w:t xml:space="preserve">d’intérêt </w:t>
      </w:r>
      <w:r w:rsidR="002140E6">
        <w:rPr>
          <w:color w:val="000000" w:themeColor="text1"/>
          <w:lang w:val="fr-FR"/>
        </w:rPr>
        <w:t xml:space="preserve">pour </w:t>
      </w:r>
      <w:r w:rsidR="00441587">
        <w:rPr>
          <w:color w:val="000000" w:themeColor="text1"/>
          <w:lang w:val="fr-FR"/>
        </w:rPr>
        <w:t xml:space="preserve">la </w:t>
      </w:r>
      <w:r w:rsidR="002140E6">
        <w:rPr>
          <w:color w:val="000000" w:themeColor="text1"/>
          <w:lang w:val="fr-FR"/>
        </w:rPr>
        <w:t>mobilis</w:t>
      </w:r>
      <w:r w:rsidR="00441587">
        <w:rPr>
          <w:color w:val="000000" w:themeColor="text1"/>
          <w:lang w:val="fr-FR"/>
        </w:rPr>
        <w:t>ation de</w:t>
      </w:r>
      <w:r w:rsidR="002140E6">
        <w:rPr>
          <w:color w:val="000000" w:themeColor="text1"/>
          <w:lang w:val="fr-FR"/>
        </w:rPr>
        <w:t xml:space="preserve"> ressources pour l’efficacité énergétique; et les modalités utilisées par les </w:t>
      </w:r>
      <w:r w:rsidR="00D51B2A" w:rsidRPr="00944BFF">
        <w:rPr>
          <w:lang w:val="fr-FR"/>
        </w:rPr>
        <w:t xml:space="preserve">institutions </w:t>
      </w:r>
      <w:r w:rsidR="002140E6">
        <w:rPr>
          <w:lang w:val="fr-FR"/>
        </w:rPr>
        <w:t xml:space="preserve">pour </w:t>
      </w:r>
      <w:r w:rsidR="00441587">
        <w:rPr>
          <w:lang w:val="fr-FR"/>
        </w:rPr>
        <w:t>offr</w:t>
      </w:r>
      <w:r w:rsidR="00592D1D">
        <w:rPr>
          <w:lang w:val="fr-FR"/>
        </w:rPr>
        <w:t>ir des ress</w:t>
      </w:r>
      <w:r w:rsidR="002140E6">
        <w:rPr>
          <w:lang w:val="fr-FR"/>
        </w:rPr>
        <w:t>ou</w:t>
      </w:r>
      <w:r w:rsidR="00592D1D">
        <w:rPr>
          <w:lang w:val="fr-FR"/>
        </w:rPr>
        <w:t>r</w:t>
      </w:r>
      <w:r w:rsidR="002140E6">
        <w:rPr>
          <w:lang w:val="fr-FR"/>
        </w:rPr>
        <w:t xml:space="preserve">ces et la </w:t>
      </w:r>
      <w:r w:rsidR="00441587">
        <w:rPr>
          <w:lang w:val="fr-FR"/>
        </w:rPr>
        <w:t>vraisemblance que les agences d’exécution mettent en œuvre les demandes de</w:t>
      </w:r>
      <w:r w:rsidR="002140E6">
        <w:rPr>
          <w:lang w:val="fr-FR"/>
        </w:rPr>
        <w:t xml:space="preserve"> cofinancement des ces institut</w:t>
      </w:r>
      <w:r w:rsidR="00441587">
        <w:rPr>
          <w:lang w:val="fr-FR"/>
        </w:rPr>
        <w:t>ions</w:t>
      </w:r>
      <w:r w:rsidR="00D51B2A" w:rsidRPr="00944BFF">
        <w:rPr>
          <w:lang w:val="fr-FR"/>
        </w:rPr>
        <w:t>.</w:t>
      </w:r>
    </w:p>
    <w:p w14:paraId="28025598" w14:textId="3F181A10" w:rsidR="00D51B2A" w:rsidRPr="00944BFF" w:rsidRDefault="005A3E67"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D51B2A" w:rsidRPr="00944BFF">
        <w:rPr>
          <w:color w:val="000000" w:themeColor="text1"/>
          <w:lang w:val="fr-FR"/>
        </w:rPr>
        <w:t> </w:t>
      </w:r>
    </w:p>
    <w:p w14:paraId="7C9A5EEA" w14:textId="09E043E2" w:rsidR="00D51B2A" w:rsidRPr="00944BFF" w:rsidRDefault="002140E6" w:rsidP="00761F88">
      <w:pPr>
        <w:pStyle w:val="ListParagraph"/>
        <w:numPr>
          <w:ilvl w:val="0"/>
          <w:numId w:val="19"/>
        </w:numPr>
        <w:tabs>
          <w:tab w:val="left" w:pos="720"/>
          <w:tab w:val="left" w:pos="1440"/>
          <w:tab w:val="left" w:pos="2160"/>
        </w:tabs>
        <w:spacing w:after="240"/>
        <w:jc w:val="both"/>
        <w:rPr>
          <w:color w:val="000000" w:themeColor="text1"/>
          <w:lang w:val="fr-FR"/>
        </w:rPr>
      </w:pPr>
      <w:r>
        <w:rPr>
          <w:color w:val="000000" w:themeColor="text1"/>
          <w:lang w:val="fr-FR"/>
        </w:rPr>
        <w:t xml:space="preserve">Donner </w:t>
      </w:r>
      <w:r w:rsidR="00441587">
        <w:rPr>
          <w:color w:val="000000" w:themeColor="text1"/>
          <w:lang w:val="fr-FR"/>
        </w:rPr>
        <w:t>une orientation</w:t>
      </w:r>
      <w:r>
        <w:rPr>
          <w:color w:val="000000" w:themeColor="text1"/>
          <w:lang w:val="fr-FR"/>
        </w:rPr>
        <w:t xml:space="preserve"> au Secrétariat sur les c</w:t>
      </w:r>
      <w:r w:rsidR="00592D1D">
        <w:rPr>
          <w:color w:val="000000" w:themeColor="text1"/>
          <w:lang w:val="fr-FR"/>
        </w:rPr>
        <w:t xml:space="preserve">ritères permettant d’identifier </w:t>
      </w:r>
      <w:r>
        <w:rPr>
          <w:color w:val="000000" w:themeColor="text1"/>
          <w:lang w:val="fr-FR"/>
        </w:rPr>
        <w:t xml:space="preserve">les institutions qu’il pourrait contacter pour obtenir du financement supplémentaire en vue de maintenir et/ou </w:t>
      </w:r>
      <w:r w:rsidR="00441587">
        <w:rPr>
          <w:color w:val="000000" w:themeColor="text1"/>
          <w:lang w:val="fr-FR"/>
        </w:rPr>
        <w:t>d’</w:t>
      </w:r>
      <w:r>
        <w:rPr>
          <w:color w:val="000000" w:themeColor="text1"/>
          <w:lang w:val="fr-FR"/>
        </w:rPr>
        <w:t>améliorer l’efficacité énergétique des te</w:t>
      </w:r>
      <w:r w:rsidR="00592D1D">
        <w:rPr>
          <w:color w:val="000000" w:themeColor="text1"/>
          <w:lang w:val="fr-FR"/>
        </w:rPr>
        <w:t>chnologies de remplacement à PRP</w:t>
      </w:r>
      <w:r>
        <w:rPr>
          <w:color w:val="000000" w:themeColor="text1"/>
          <w:lang w:val="fr-FR"/>
        </w:rPr>
        <w:t xml:space="preserve"> faible ou nul pour les équipements de réfrigération, climati</w:t>
      </w:r>
      <w:r w:rsidR="00441587">
        <w:rPr>
          <w:color w:val="000000" w:themeColor="text1"/>
          <w:lang w:val="fr-FR"/>
        </w:rPr>
        <w:t xml:space="preserve">sation et les pompes à chaleur durant </w:t>
      </w:r>
      <w:r>
        <w:rPr>
          <w:color w:val="000000" w:themeColor="text1"/>
          <w:lang w:val="fr-FR"/>
        </w:rPr>
        <w:t>la réduction progressive des HFC</w:t>
      </w:r>
      <w:r w:rsidR="00747802">
        <w:rPr>
          <w:color w:val="000000" w:themeColor="text1"/>
          <w:lang w:val="fr-FR"/>
        </w:rPr>
        <w:t>.</w:t>
      </w:r>
    </w:p>
    <w:p w14:paraId="493827C6" w14:textId="319C7925" w:rsidR="00D51B2A" w:rsidRPr="00441587" w:rsidRDefault="005A3E67" w:rsidP="00D51B2A">
      <w:pPr>
        <w:pStyle w:val="Heading1"/>
        <w:numPr>
          <w:ilvl w:val="0"/>
          <w:numId w:val="0"/>
        </w:numPr>
        <w:ind w:left="709"/>
        <w:rPr>
          <w:lang w:val="fr-FR"/>
        </w:rPr>
      </w:pPr>
      <w:r w:rsidRPr="00441587">
        <w:rPr>
          <w:color w:val="000000" w:themeColor="text1"/>
          <w:u w:val="single"/>
          <w:lang w:val="fr-FR"/>
        </w:rPr>
        <w:t>L</w:t>
      </w:r>
      <w:r w:rsidR="00D51B2A" w:rsidRPr="00441587">
        <w:rPr>
          <w:color w:val="000000" w:themeColor="text1"/>
          <w:u w:val="single"/>
          <w:lang w:val="fr-FR"/>
        </w:rPr>
        <w:t xml:space="preserve">e </w:t>
      </w:r>
      <w:r w:rsidRPr="00441587">
        <w:rPr>
          <w:color w:val="000000" w:themeColor="text1"/>
          <w:u w:val="single"/>
          <w:lang w:val="fr-FR"/>
        </w:rPr>
        <w:t xml:space="preserve">Comité exécutif pourrait souhaiter </w:t>
      </w:r>
      <w:r w:rsidR="00D51B2A" w:rsidRPr="00441587">
        <w:rPr>
          <w:color w:val="000000" w:themeColor="text1"/>
          <w:lang w:val="fr-FR"/>
        </w:rPr>
        <w:t xml:space="preserve">: </w:t>
      </w:r>
    </w:p>
    <w:p w14:paraId="0A5ABF02" w14:textId="435C6802" w:rsidR="00D51B2A" w:rsidRPr="00441587" w:rsidRDefault="00441587" w:rsidP="00441587">
      <w:pPr>
        <w:pStyle w:val="Heading2"/>
        <w:numPr>
          <w:ilvl w:val="0"/>
          <w:numId w:val="0"/>
        </w:numPr>
        <w:ind w:left="1440" w:hanging="720"/>
        <w:rPr>
          <w:lang w:val="fr-FR"/>
        </w:rPr>
      </w:pPr>
      <w:r w:rsidRPr="00441587">
        <w:rPr>
          <w:lang w:val="fr-FR"/>
        </w:rPr>
        <w:t>a)</w:t>
      </w:r>
      <w:r w:rsidRPr="00441587">
        <w:rPr>
          <w:lang w:val="fr-FR"/>
        </w:rPr>
        <w:tab/>
        <w:t>Prendre</w:t>
      </w:r>
      <w:r w:rsidR="00D51B2A" w:rsidRPr="00441587">
        <w:rPr>
          <w:lang w:val="fr-FR"/>
        </w:rPr>
        <w:t xml:space="preserve"> note </w:t>
      </w:r>
      <w:r w:rsidRPr="00441587">
        <w:rPr>
          <w:lang w:val="fr-FR"/>
        </w:rPr>
        <w:t>de l’</w:t>
      </w:r>
      <w:r w:rsidR="00D51B2A" w:rsidRPr="00441587">
        <w:rPr>
          <w:lang w:val="fr-FR"/>
        </w:rPr>
        <w:t>information</w:t>
      </w:r>
      <w:r w:rsidRPr="00441587">
        <w:rPr>
          <w:lang w:val="fr-FR"/>
        </w:rPr>
        <w:t xml:space="preserve"> sur les fonds et les institutions financières d’intérêt mobilisant des ressources pour l’efficacité énergétique qui pourraient contribuer à la réduction progressive des HFC, contenue dans le </w:t>
      </w:r>
      <w:r w:rsidR="00D51B2A" w:rsidRPr="00441587">
        <w:rPr>
          <w:lang w:val="fr-FR"/>
        </w:rPr>
        <w:t>document</w:t>
      </w:r>
      <w:r w:rsidR="00674009">
        <w:rPr>
          <w:lang w:val="fr-FR"/>
        </w:rPr>
        <w:t> </w:t>
      </w:r>
      <w:r w:rsidR="00D51B2A" w:rsidRPr="00441587">
        <w:rPr>
          <w:lang w:val="fr-FR"/>
        </w:rPr>
        <w:t>UNEP/OzL.Pro/ExCom/83/</w:t>
      </w:r>
      <w:r w:rsidRPr="00441587">
        <w:rPr>
          <w:lang w:val="fr-FR"/>
        </w:rPr>
        <w:t>41; et</w:t>
      </w:r>
    </w:p>
    <w:p w14:paraId="565E6EAA" w14:textId="368F0B60" w:rsidR="00D51B2A" w:rsidRPr="00441587" w:rsidRDefault="00441587" w:rsidP="00441587">
      <w:pPr>
        <w:pStyle w:val="Heading2"/>
        <w:numPr>
          <w:ilvl w:val="0"/>
          <w:numId w:val="0"/>
        </w:numPr>
        <w:ind w:left="1440" w:hanging="720"/>
        <w:rPr>
          <w:color w:val="000000" w:themeColor="text1"/>
          <w:lang w:val="fr-FR"/>
        </w:rPr>
      </w:pPr>
      <w:r w:rsidRPr="00441587">
        <w:rPr>
          <w:lang w:val="fr-FR"/>
        </w:rPr>
        <w:lastRenderedPageBreak/>
        <w:t>b)</w:t>
      </w:r>
      <w:r w:rsidRPr="00441587">
        <w:rPr>
          <w:lang w:val="fr-FR"/>
        </w:rPr>
        <w:tab/>
        <w:t xml:space="preserve">Donner une orientation au Secrétariat sur les critères propres </w:t>
      </w:r>
      <w:r w:rsidR="00592D1D">
        <w:rPr>
          <w:lang w:val="fr-FR"/>
        </w:rPr>
        <w:t>pour</w:t>
      </w:r>
      <w:r w:rsidRPr="00441587">
        <w:rPr>
          <w:lang w:val="fr-FR"/>
        </w:rPr>
        <w:t xml:space="preserve"> identifier les institutions à solliciter pour obtenir un financement supplémentaire pour maintenir et/ou améliorer l’efficacité énergétique des technologies à potentiel de réchauffement de la planète faible à nul pour remplacer l’équipement de réfrigération, de climatisation et de pompes à chaleur dans le contexte de la réduction progressive des HFC.  </w:t>
      </w:r>
    </w:p>
    <w:p w14:paraId="7FC85FC6" w14:textId="7D75D587" w:rsidR="00D51B2A" w:rsidRPr="00944BFF" w:rsidRDefault="002140E6" w:rsidP="005318BF">
      <w:pPr>
        <w:pStyle w:val="Heading3"/>
        <w:numPr>
          <w:ilvl w:val="0"/>
          <w:numId w:val="0"/>
        </w:numPr>
        <w:ind w:left="1440" w:hanging="720"/>
        <w:rPr>
          <w:lang w:val="fr-FR"/>
        </w:rPr>
      </w:pPr>
      <w:r>
        <w:rPr>
          <w:b/>
          <w:lang w:val="fr-FR"/>
        </w:rPr>
        <w:t>iii)</w:t>
      </w:r>
      <w:r>
        <w:rPr>
          <w:b/>
          <w:lang w:val="fr-FR"/>
        </w:rPr>
        <w:tab/>
      </w:r>
      <w:r w:rsidR="00D51B2A" w:rsidRPr="00944BFF">
        <w:rPr>
          <w:b/>
          <w:lang w:val="fr-FR"/>
        </w:rPr>
        <w:t>S</w:t>
      </w:r>
      <w:r w:rsidR="005A3E67" w:rsidRPr="00944BFF">
        <w:rPr>
          <w:b/>
          <w:lang w:val="fr-FR"/>
        </w:rPr>
        <w:t>ommaire du rapport du Groupe de l’évaluation technique et économique sur l’efficacité énergétique, dans le context des questions mentionnées dans la décision</w:t>
      </w:r>
      <w:r w:rsidR="00265403">
        <w:rPr>
          <w:b/>
          <w:lang w:val="fr-FR"/>
        </w:rPr>
        <w:t> </w:t>
      </w:r>
      <w:r w:rsidR="00D51B2A" w:rsidRPr="00944BFF">
        <w:rPr>
          <w:b/>
          <w:lang w:val="fr-FR"/>
        </w:rPr>
        <w:t>82/83(</w:t>
      </w:r>
      <w:r w:rsidR="005A3E67" w:rsidRPr="00944BFF">
        <w:rPr>
          <w:b/>
          <w:lang w:val="fr-FR"/>
        </w:rPr>
        <w:t>e) (dé</w:t>
      </w:r>
      <w:r w:rsidR="00D51B2A" w:rsidRPr="00944BFF">
        <w:rPr>
          <w:b/>
          <w:lang w:val="fr-FR"/>
        </w:rPr>
        <w:t>cision 82/83(f))</w:t>
      </w:r>
    </w:p>
    <w:p w14:paraId="450F1DF9" w14:textId="15480AFF" w:rsidR="00D51B2A" w:rsidRPr="00944BFF" w:rsidRDefault="005A3E67"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do</w:t>
      </w:r>
      <w:r w:rsidR="00D51B2A" w:rsidRPr="00944BFF">
        <w:rPr>
          <w:color w:val="000000" w:themeColor="text1"/>
          <w:u w:val="single"/>
          <w:lang w:val="fr-FR"/>
        </w:rPr>
        <w:t>cument UNEP/Oz</w:t>
      </w:r>
      <w:r w:rsidR="00D51B2A" w:rsidRPr="00944BFF">
        <w:rPr>
          <w:color w:val="000000" w:themeColor="text1"/>
          <w:szCs w:val="24"/>
          <w:u w:val="single"/>
          <w:lang w:val="fr-FR"/>
        </w:rPr>
        <w:t>L.Pro/ExCom/83/42</w:t>
      </w:r>
      <w:r w:rsidR="00D51B2A" w:rsidRPr="00944BFF">
        <w:rPr>
          <w:color w:val="000000" w:themeColor="text1"/>
          <w:szCs w:val="24"/>
          <w:lang w:val="fr-FR"/>
        </w:rPr>
        <w:t xml:space="preserve"> </w:t>
      </w:r>
      <w:r w:rsidR="002140E6">
        <w:rPr>
          <w:color w:val="000000" w:themeColor="text1"/>
          <w:szCs w:val="24"/>
          <w:lang w:val="fr-FR"/>
        </w:rPr>
        <w:t>a été préparé pour donner suite à la déc</w:t>
      </w:r>
      <w:r w:rsidR="00D51B2A" w:rsidRPr="00944BFF">
        <w:rPr>
          <w:color w:val="000000" w:themeColor="text1"/>
          <w:lang w:val="fr-FR"/>
        </w:rPr>
        <w:t>is</w:t>
      </w:r>
      <w:r w:rsidR="002140E6">
        <w:rPr>
          <w:color w:val="000000" w:themeColor="text1"/>
          <w:lang w:val="fr-FR"/>
        </w:rPr>
        <w:t>ion</w:t>
      </w:r>
      <w:r w:rsidR="00CA49E4">
        <w:rPr>
          <w:color w:val="000000" w:themeColor="text1"/>
          <w:lang w:val="fr-FR"/>
        </w:rPr>
        <w:t> </w:t>
      </w:r>
      <w:r w:rsidR="002140E6">
        <w:rPr>
          <w:color w:val="000000" w:themeColor="text1"/>
          <w:lang w:val="fr-FR"/>
        </w:rPr>
        <w:t>82</w:t>
      </w:r>
      <w:r w:rsidR="002140E6">
        <w:rPr>
          <w:lang w:val="fr-FR"/>
        </w:rPr>
        <w:t xml:space="preserve">/83(e) et </w:t>
      </w:r>
      <w:r w:rsidR="00D51B2A" w:rsidRPr="00944BFF">
        <w:rPr>
          <w:lang w:val="fr-FR"/>
        </w:rPr>
        <w:t xml:space="preserve">(f) </w:t>
      </w:r>
      <w:r w:rsidR="002140E6">
        <w:rPr>
          <w:lang w:val="fr-FR"/>
        </w:rPr>
        <w:t xml:space="preserve">et se compose de </w:t>
      </w:r>
      <w:r w:rsidR="00D51B2A" w:rsidRPr="00944BFF">
        <w:rPr>
          <w:lang w:val="fr-FR"/>
        </w:rPr>
        <w:t>six sections.</w:t>
      </w:r>
      <w:r w:rsidR="00D51B2A" w:rsidRPr="00944BFF">
        <w:rPr>
          <w:color w:val="000000" w:themeColor="text1"/>
          <w:lang w:val="fr-FR"/>
        </w:rPr>
        <w:t xml:space="preserve"> </w:t>
      </w:r>
      <w:r w:rsidR="002140E6">
        <w:rPr>
          <w:color w:val="000000" w:themeColor="text1"/>
          <w:lang w:val="fr-FR"/>
        </w:rPr>
        <w:t xml:space="preserve">La </w:t>
      </w:r>
      <w:r w:rsidR="00D51B2A" w:rsidRPr="00944BFF">
        <w:rPr>
          <w:color w:val="000000" w:themeColor="text1"/>
          <w:lang w:val="fr-FR"/>
        </w:rPr>
        <w:t xml:space="preserve">Section I </w:t>
      </w:r>
      <w:r w:rsidR="002140E6">
        <w:rPr>
          <w:color w:val="000000" w:themeColor="text1"/>
          <w:lang w:val="fr-FR"/>
        </w:rPr>
        <w:t xml:space="preserve">résume </w:t>
      </w:r>
      <w:r w:rsidR="00343514">
        <w:rPr>
          <w:color w:val="000000" w:themeColor="text1"/>
          <w:lang w:val="fr-FR"/>
        </w:rPr>
        <w:t xml:space="preserve">les principaux éléments couverts par le rapport du groupe de travail du GETE </w:t>
      </w:r>
      <w:r w:rsidR="00E3095E">
        <w:rPr>
          <w:color w:val="000000" w:themeColor="text1"/>
          <w:lang w:val="fr-FR"/>
        </w:rPr>
        <w:t xml:space="preserve">en lien avec les </w:t>
      </w:r>
      <w:r w:rsidR="00D51B2A" w:rsidRPr="00944BFF">
        <w:rPr>
          <w:lang w:val="fr-FR"/>
        </w:rPr>
        <w:t>paragraph</w:t>
      </w:r>
      <w:r w:rsidR="00E3095E">
        <w:rPr>
          <w:lang w:val="fr-FR"/>
        </w:rPr>
        <w:t>e</w:t>
      </w:r>
      <w:r w:rsidR="00D51B2A" w:rsidRPr="00944BFF">
        <w:rPr>
          <w:lang w:val="fr-FR"/>
        </w:rPr>
        <w:t xml:space="preserve">s (e) and (f) </w:t>
      </w:r>
      <w:r w:rsidR="00E3095E">
        <w:rPr>
          <w:lang w:val="fr-FR"/>
        </w:rPr>
        <w:t>de la dé</w:t>
      </w:r>
      <w:r w:rsidR="00D51B2A" w:rsidRPr="00944BFF">
        <w:rPr>
          <w:lang w:val="fr-FR"/>
        </w:rPr>
        <w:t>cision</w:t>
      </w:r>
      <w:r w:rsidR="00CA49E4">
        <w:rPr>
          <w:lang w:val="fr-FR"/>
        </w:rPr>
        <w:t> </w:t>
      </w:r>
      <w:r w:rsidR="00D51B2A" w:rsidRPr="00944BFF">
        <w:rPr>
          <w:lang w:val="fr-FR"/>
        </w:rPr>
        <w:t xml:space="preserve">82/83; </w:t>
      </w:r>
      <w:r w:rsidR="00E3095E">
        <w:rPr>
          <w:lang w:val="fr-FR"/>
        </w:rPr>
        <w:t xml:space="preserve">la Section II </w:t>
      </w:r>
      <w:r w:rsidR="00592D1D">
        <w:rPr>
          <w:lang w:val="fr-FR"/>
        </w:rPr>
        <w:t>porte sur l’</w:t>
      </w:r>
      <w:r w:rsidR="00D51B2A" w:rsidRPr="00944BFF">
        <w:rPr>
          <w:lang w:val="fr-FR"/>
        </w:rPr>
        <w:t xml:space="preserve">introduction </w:t>
      </w:r>
      <w:r w:rsidR="00592D1D">
        <w:rPr>
          <w:lang w:val="fr-FR"/>
        </w:rPr>
        <w:t>de</w:t>
      </w:r>
      <w:r w:rsidR="00E3095E">
        <w:rPr>
          <w:lang w:val="fr-FR"/>
        </w:rPr>
        <w:t xml:space="preserve"> l’efficacité énergétique dans le contexte de la réduction progressive des HFC et de l’adoption</w:t>
      </w:r>
      <w:r w:rsidR="00592D1D">
        <w:rPr>
          <w:lang w:val="fr-FR"/>
        </w:rPr>
        <w:t xml:space="preserve"> de technologies à PRP</w:t>
      </w:r>
      <w:r w:rsidR="00747802">
        <w:rPr>
          <w:lang w:val="fr-FR"/>
        </w:rPr>
        <w:t xml:space="preserve"> faible et</w:t>
      </w:r>
      <w:r w:rsidR="00E3095E">
        <w:rPr>
          <w:lang w:val="fr-FR"/>
        </w:rPr>
        <w:t xml:space="preserve"> nul; la Section</w:t>
      </w:r>
      <w:r w:rsidR="00D51B2A" w:rsidRPr="00944BFF">
        <w:rPr>
          <w:lang w:val="fr-FR"/>
        </w:rPr>
        <w:t> III co</w:t>
      </w:r>
      <w:r w:rsidR="00E3095E">
        <w:rPr>
          <w:lang w:val="fr-FR"/>
        </w:rPr>
        <w:t>uvre les interventions techniques associées au maintien et/ou à l’amélioration de l’efficacité énergétique</w:t>
      </w:r>
      <w:r w:rsidR="00D51B2A" w:rsidRPr="00944BFF">
        <w:rPr>
          <w:lang w:val="fr-FR"/>
        </w:rPr>
        <w:t xml:space="preserve">; </w:t>
      </w:r>
      <w:r w:rsidR="00E3095E">
        <w:rPr>
          <w:lang w:val="fr-FR"/>
        </w:rPr>
        <w:t xml:space="preserve">la </w:t>
      </w:r>
      <w:r w:rsidR="00D51B2A" w:rsidRPr="00944BFF">
        <w:rPr>
          <w:lang w:val="fr-FR"/>
        </w:rPr>
        <w:t xml:space="preserve">Section IV </w:t>
      </w:r>
      <w:r w:rsidR="00E3095E">
        <w:rPr>
          <w:lang w:val="fr-FR"/>
        </w:rPr>
        <w:t>traite de</w:t>
      </w:r>
      <w:r w:rsidR="00D51B2A" w:rsidRPr="00944BFF">
        <w:rPr>
          <w:lang w:val="fr-FR"/>
        </w:rPr>
        <w:t xml:space="preserve">s </w:t>
      </w:r>
      <w:r w:rsidR="00E3095E">
        <w:rPr>
          <w:lang w:val="fr-FR"/>
        </w:rPr>
        <w:t>coûts, incluant les surcoûts associés, les possibilités de remboursement et les coûts du suivi et de la vé</w:t>
      </w:r>
      <w:r w:rsidR="00D51B2A" w:rsidRPr="00944BFF">
        <w:rPr>
          <w:lang w:val="fr-FR"/>
        </w:rPr>
        <w:t xml:space="preserve">rification; </w:t>
      </w:r>
      <w:r w:rsidR="00E3095E">
        <w:rPr>
          <w:lang w:val="fr-FR"/>
        </w:rPr>
        <w:t xml:space="preserve">la </w:t>
      </w:r>
      <w:r w:rsidR="00D51B2A" w:rsidRPr="00944BFF">
        <w:rPr>
          <w:lang w:val="fr-FR"/>
        </w:rPr>
        <w:t xml:space="preserve">Section V </w:t>
      </w:r>
      <w:r w:rsidR="00E3095E">
        <w:rPr>
          <w:lang w:val="fr-FR"/>
        </w:rPr>
        <w:t xml:space="preserve">porte sur les  bienfaits environnementaux en termes d’équivalent </w:t>
      </w:r>
      <w:r w:rsidR="00D51B2A" w:rsidRPr="00944BFF">
        <w:rPr>
          <w:lang w:val="fr-FR"/>
        </w:rPr>
        <w:t>CO</w:t>
      </w:r>
      <w:r w:rsidR="00D51B2A" w:rsidRPr="00944BFF">
        <w:rPr>
          <w:vertAlign w:val="subscript"/>
          <w:lang w:val="fr-FR"/>
        </w:rPr>
        <w:t>2</w:t>
      </w:r>
      <w:r w:rsidR="00D51B2A" w:rsidRPr="00944BFF">
        <w:rPr>
          <w:lang w:val="fr-FR"/>
        </w:rPr>
        <w:t xml:space="preserve">; </w:t>
      </w:r>
      <w:r w:rsidR="00E3095E">
        <w:rPr>
          <w:lang w:val="fr-FR"/>
        </w:rPr>
        <w:t xml:space="preserve">et la </w:t>
      </w:r>
      <w:r w:rsidR="00D51B2A" w:rsidRPr="00944BFF">
        <w:rPr>
          <w:lang w:val="fr-FR"/>
        </w:rPr>
        <w:t xml:space="preserve">Section VI </w:t>
      </w:r>
      <w:r w:rsidR="00747802">
        <w:rPr>
          <w:lang w:val="fr-FR"/>
        </w:rPr>
        <w:t>traite d</w:t>
      </w:r>
      <w:r w:rsidR="00E3095E">
        <w:rPr>
          <w:lang w:val="fr-FR"/>
        </w:rPr>
        <w:t>es projets de démonstration pour l’introduct</w:t>
      </w:r>
      <w:r w:rsidR="00592D1D">
        <w:rPr>
          <w:lang w:val="fr-FR"/>
        </w:rPr>
        <w:t>ion de technologies à faible PRP</w:t>
      </w:r>
      <w:r w:rsidR="00E3095E">
        <w:rPr>
          <w:lang w:val="fr-FR"/>
        </w:rPr>
        <w:t xml:space="preserve"> et des projets d’investissement autonomes pour les HFC.</w:t>
      </w:r>
    </w:p>
    <w:p w14:paraId="6FFDBAC9" w14:textId="5965B2FA" w:rsidR="00D51B2A" w:rsidRPr="00944BFF" w:rsidRDefault="005A3E67"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D51B2A" w:rsidRPr="00944BFF">
        <w:rPr>
          <w:color w:val="000000" w:themeColor="text1"/>
          <w:lang w:val="fr-FR"/>
        </w:rPr>
        <w:t> </w:t>
      </w:r>
      <w:r w:rsidRPr="00944BFF">
        <w:rPr>
          <w:color w:val="000000" w:themeColor="text1"/>
          <w:lang w:val="fr-FR"/>
        </w:rPr>
        <w:t>Aucune</w:t>
      </w:r>
      <w:r w:rsidR="00E3095E">
        <w:rPr>
          <w:color w:val="000000" w:themeColor="text1"/>
          <w:lang w:val="fr-FR"/>
        </w:rPr>
        <w:tab/>
      </w:r>
    </w:p>
    <w:p w14:paraId="33D004D5" w14:textId="7390D958" w:rsidR="00E3095E" w:rsidRPr="005C4D17" w:rsidRDefault="005A3E67" w:rsidP="00E3095E">
      <w:pPr>
        <w:ind w:left="709"/>
        <w:rPr>
          <w:lang w:val="fr-FR"/>
        </w:rPr>
      </w:pPr>
      <w:r w:rsidRPr="00E3095E">
        <w:rPr>
          <w:color w:val="000000" w:themeColor="text1"/>
          <w:u w:val="single"/>
          <w:lang w:val="fr-FR"/>
        </w:rPr>
        <w:t>L</w:t>
      </w:r>
      <w:r w:rsidR="00D51B2A" w:rsidRPr="00E3095E">
        <w:rPr>
          <w:color w:val="000000" w:themeColor="text1"/>
          <w:u w:val="single"/>
          <w:lang w:val="fr-FR"/>
        </w:rPr>
        <w:t>e</w:t>
      </w:r>
      <w:r w:rsidRPr="00E3095E">
        <w:rPr>
          <w:color w:val="000000" w:themeColor="text1"/>
          <w:u w:val="single"/>
          <w:lang w:val="fr-FR"/>
        </w:rPr>
        <w:t xml:space="preserve"> Comité exécutif pourrait souhaiter</w:t>
      </w:r>
      <w:r w:rsidR="00D51B2A" w:rsidRPr="00E3095E">
        <w:rPr>
          <w:color w:val="000000" w:themeColor="text1"/>
          <w:lang w:val="fr-FR"/>
        </w:rPr>
        <w:t xml:space="preserve"> </w:t>
      </w:r>
      <w:r w:rsidR="00E3095E">
        <w:rPr>
          <w:lang w:val="fr-FR"/>
        </w:rPr>
        <w:t xml:space="preserve">examiner le Sommaire </w:t>
      </w:r>
      <w:r w:rsidR="00E3095E" w:rsidRPr="005C4D17">
        <w:rPr>
          <w:bCs/>
          <w:lang w:val="fr-FR"/>
        </w:rPr>
        <w:t xml:space="preserve">du rapport du </w:t>
      </w:r>
      <w:r w:rsidR="00E3095E">
        <w:rPr>
          <w:bCs/>
          <w:lang w:val="fr-FR"/>
        </w:rPr>
        <w:t>Groupe de l’évaluation technique et économique sur les questions reliées à l’efficacité énergétique dans le contexte des questions</w:t>
      </w:r>
      <w:r w:rsidR="00E3095E" w:rsidRPr="005C4D17">
        <w:rPr>
          <w:bCs/>
          <w:lang w:val="fr-FR"/>
        </w:rPr>
        <w:t xml:space="preserve"> mentionnées dans la décision 82/83(e) </w:t>
      </w:r>
      <w:r w:rsidR="00CA49E4">
        <w:rPr>
          <w:bCs/>
          <w:lang w:val="fr-FR"/>
        </w:rPr>
        <w:t>(</w:t>
      </w:r>
      <w:r w:rsidR="00E3095E" w:rsidRPr="005C4D17">
        <w:rPr>
          <w:bCs/>
          <w:lang w:val="fr-FR"/>
        </w:rPr>
        <w:t>décision 82/83(f)</w:t>
      </w:r>
      <w:r w:rsidR="00CA49E4">
        <w:rPr>
          <w:bCs/>
          <w:lang w:val="fr-FR"/>
        </w:rPr>
        <w:t>)</w:t>
      </w:r>
      <w:r w:rsidR="00E3095E">
        <w:rPr>
          <w:bCs/>
          <w:lang w:val="fr-FR"/>
        </w:rPr>
        <w:t>, contenu dans le document UNEP/OzL.Pro/ExCom/83/42, durant ses délibérations sur les moyens d’opération</w:t>
      </w:r>
      <w:r w:rsidR="00747802">
        <w:rPr>
          <w:bCs/>
          <w:lang w:val="fr-FR"/>
        </w:rPr>
        <w:t>naliser le paragraphe 22 de la d</w:t>
      </w:r>
      <w:r w:rsidR="00E3095E">
        <w:rPr>
          <w:bCs/>
          <w:lang w:val="fr-FR"/>
        </w:rPr>
        <w:t>écision XXVIII/2 e</w:t>
      </w:r>
      <w:r w:rsidR="00747802">
        <w:rPr>
          <w:bCs/>
          <w:lang w:val="fr-FR"/>
        </w:rPr>
        <w:t>t les paragraphes</w:t>
      </w:r>
      <w:r w:rsidR="00674009">
        <w:rPr>
          <w:bCs/>
          <w:lang w:val="fr-FR"/>
        </w:rPr>
        <w:t> </w:t>
      </w:r>
      <w:r w:rsidR="00747802">
        <w:rPr>
          <w:bCs/>
          <w:lang w:val="fr-FR"/>
        </w:rPr>
        <w:t>5 et</w:t>
      </w:r>
      <w:r w:rsidR="00674009">
        <w:rPr>
          <w:bCs/>
          <w:lang w:val="fr-FR"/>
        </w:rPr>
        <w:t> </w:t>
      </w:r>
      <w:r w:rsidR="00747802">
        <w:rPr>
          <w:bCs/>
          <w:lang w:val="fr-FR"/>
        </w:rPr>
        <w:t>6 de la d</w:t>
      </w:r>
      <w:r w:rsidR="00E3095E">
        <w:rPr>
          <w:bCs/>
          <w:lang w:val="fr-FR"/>
        </w:rPr>
        <w:t>écision XXX/5.</w:t>
      </w:r>
    </w:p>
    <w:p w14:paraId="4E562211" w14:textId="77777777" w:rsidR="00E3095E" w:rsidRPr="005C4D17" w:rsidRDefault="00E3095E" w:rsidP="00E3095E">
      <w:pPr>
        <w:rPr>
          <w:lang w:val="fr-FR"/>
        </w:rPr>
      </w:pPr>
    </w:p>
    <w:p w14:paraId="669ACCC3" w14:textId="2AC82EFD" w:rsidR="00D51B2A" w:rsidRPr="00944BFF" w:rsidRDefault="009A6DD4" w:rsidP="009A6DD4">
      <w:pPr>
        <w:pStyle w:val="Heading2"/>
        <w:keepNext/>
        <w:keepLines/>
        <w:widowControl/>
        <w:numPr>
          <w:ilvl w:val="0"/>
          <w:numId w:val="0"/>
        </w:numPr>
        <w:ind w:left="1440" w:hanging="720"/>
        <w:rPr>
          <w:lang w:val="fr-FR"/>
        </w:rPr>
      </w:pPr>
      <w:r>
        <w:rPr>
          <w:b/>
          <w:lang w:val="fr-FR"/>
        </w:rPr>
        <w:t>b)</w:t>
      </w:r>
      <w:r>
        <w:rPr>
          <w:b/>
          <w:lang w:val="fr-FR"/>
        </w:rPr>
        <w:tab/>
      </w:r>
      <w:r w:rsidR="005A3E67" w:rsidRPr="00944BFF">
        <w:rPr>
          <w:b/>
          <w:lang w:val="fr-FR"/>
        </w:rPr>
        <w:t>Élaboration des lignes directrices sur les coûts de la réduction progressive des HFC</w:t>
      </w:r>
      <w:r w:rsidR="00D51B2A" w:rsidRPr="00944BFF">
        <w:rPr>
          <w:b/>
          <w:lang w:val="fr-FR"/>
        </w:rPr>
        <w:t xml:space="preserve"> </w:t>
      </w:r>
      <w:r w:rsidR="005A3E67" w:rsidRPr="00944BFF">
        <w:rPr>
          <w:b/>
          <w:lang w:val="fr-FR"/>
        </w:rPr>
        <w:t xml:space="preserve">dans les pays visés à l’article 5 </w:t>
      </w:r>
      <w:r w:rsidR="00D51B2A" w:rsidRPr="00944BFF">
        <w:rPr>
          <w:b/>
          <w:lang w:val="fr-FR"/>
        </w:rPr>
        <w:t xml:space="preserve">: </w:t>
      </w:r>
      <w:r w:rsidR="005A3E67" w:rsidRPr="00944BFF">
        <w:rPr>
          <w:b/>
          <w:lang w:val="fr-FR"/>
        </w:rPr>
        <w:t>Projet de critères de financement (dé</w:t>
      </w:r>
      <w:r w:rsidR="00D51B2A" w:rsidRPr="00944BFF">
        <w:rPr>
          <w:b/>
          <w:lang w:val="fr-FR"/>
        </w:rPr>
        <w:t>cision 82/84)</w:t>
      </w:r>
    </w:p>
    <w:p w14:paraId="5BAE302D" w14:textId="7B284A04" w:rsidR="00D51B2A" w:rsidRPr="00944BFF" w:rsidRDefault="005A3E67"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L.Pro/ExCom/83/43</w:t>
      </w:r>
      <w:r w:rsidR="00D51B2A" w:rsidRPr="00944BFF">
        <w:rPr>
          <w:color w:val="000000" w:themeColor="text1"/>
          <w:szCs w:val="24"/>
          <w:lang w:val="fr-FR"/>
        </w:rPr>
        <w:t xml:space="preserve"> </w:t>
      </w:r>
      <w:r w:rsidR="009A6DD4">
        <w:rPr>
          <w:color w:val="000000" w:themeColor="text1"/>
          <w:lang w:val="fr-FR"/>
        </w:rPr>
        <w:t>cont</w:t>
      </w:r>
      <w:r w:rsidR="00D51B2A" w:rsidRPr="00944BFF">
        <w:rPr>
          <w:color w:val="000000" w:themeColor="text1"/>
          <w:lang w:val="fr-FR"/>
        </w:rPr>
        <w:t>i</w:t>
      </w:r>
      <w:r w:rsidR="009A6DD4">
        <w:rPr>
          <w:color w:val="000000" w:themeColor="text1"/>
          <w:lang w:val="fr-FR"/>
        </w:rPr>
        <w:t>e</w:t>
      </w:r>
      <w:r w:rsidR="00D51B2A" w:rsidRPr="00944BFF">
        <w:rPr>
          <w:color w:val="000000" w:themeColor="text1"/>
          <w:lang w:val="fr-FR"/>
        </w:rPr>
        <w:t>n</w:t>
      </w:r>
      <w:r w:rsidR="009A6DD4">
        <w:rPr>
          <w:color w:val="000000" w:themeColor="text1"/>
          <w:lang w:val="fr-FR"/>
        </w:rPr>
        <w:t xml:space="preserve">t un </w:t>
      </w:r>
      <w:r w:rsidR="00592D1D">
        <w:rPr>
          <w:color w:val="000000" w:themeColor="text1"/>
          <w:lang w:val="fr-FR"/>
        </w:rPr>
        <w:t>aperçu</w:t>
      </w:r>
      <w:r w:rsidR="009A6DD4">
        <w:rPr>
          <w:color w:val="000000" w:themeColor="text1"/>
          <w:lang w:val="fr-FR"/>
        </w:rPr>
        <w:t xml:space="preserve"> de</w:t>
      </w:r>
      <w:r w:rsidR="00D51B2A" w:rsidRPr="00944BFF">
        <w:rPr>
          <w:color w:val="000000" w:themeColor="text1"/>
          <w:lang w:val="fr-FR"/>
        </w:rPr>
        <w:t xml:space="preserve">s </w:t>
      </w:r>
      <w:r w:rsidR="009A6DD4">
        <w:rPr>
          <w:color w:val="000000" w:themeColor="text1"/>
          <w:lang w:val="fr-FR"/>
        </w:rPr>
        <w:t>résult</w:t>
      </w:r>
      <w:r w:rsidR="00D51B2A" w:rsidRPr="00944BFF">
        <w:rPr>
          <w:color w:val="000000" w:themeColor="text1"/>
          <w:lang w:val="fr-FR"/>
        </w:rPr>
        <w:t>a</w:t>
      </w:r>
      <w:r w:rsidR="009A6DD4">
        <w:rPr>
          <w:color w:val="000000" w:themeColor="text1"/>
          <w:lang w:val="fr-FR"/>
        </w:rPr>
        <w:t>ts des</w:t>
      </w:r>
      <w:r w:rsidR="00D51B2A" w:rsidRPr="00944BFF">
        <w:rPr>
          <w:color w:val="000000" w:themeColor="text1"/>
          <w:lang w:val="fr-FR"/>
        </w:rPr>
        <w:t xml:space="preserve"> d</w:t>
      </w:r>
      <w:r w:rsidR="00F8198C">
        <w:rPr>
          <w:color w:val="000000" w:themeColor="text1"/>
          <w:lang w:val="fr-FR"/>
        </w:rPr>
        <w:t>élibé</w:t>
      </w:r>
      <w:r w:rsidR="009A6DD4">
        <w:rPr>
          <w:color w:val="000000" w:themeColor="text1"/>
          <w:lang w:val="fr-FR"/>
        </w:rPr>
        <w:t>rations</w:t>
      </w:r>
      <w:r w:rsidR="006C0A36">
        <w:rPr>
          <w:color w:val="000000" w:themeColor="text1"/>
          <w:lang w:val="fr-FR"/>
        </w:rPr>
        <w:t>,</w:t>
      </w:r>
      <w:r w:rsidR="009A6DD4">
        <w:rPr>
          <w:color w:val="000000" w:themeColor="text1"/>
          <w:lang w:val="fr-FR"/>
        </w:rPr>
        <w:t xml:space="preserve"> depuis la 77</w:t>
      </w:r>
      <w:r w:rsidR="009A6DD4" w:rsidRPr="009A6DD4">
        <w:rPr>
          <w:color w:val="000000" w:themeColor="text1"/>
          <w:vertAlign w:val="superscript"/>
          <w:lang w:val="fr-FR"/>
        </w:rPr>
        <w:t>e</w:t>
      </w:r>
      <w:r w:rsidR="009A6DD4">
        <w:rPr>
          <w:color w:val="000000" w:themeColor="text1"/>
          <w:lang w:val="fr-FR"/>
        </w:rPr>
        <w:t xml:space="preserve"> réunion, au sujet des critères de financement de la réduction progressive des HFC dans les pays visés à l’article 5</w:t>
      </w:r>
      <w:r w:rsidR="00D51B2A" w:rsidRPr="00944BFF">
        <w:rPr>
          <w:color w:val="000000" w:themeColor="text1"/>
          <w:lang w:val="fr-FR"/>
        </w:rPr>
        <w:t xml:space="preserve">; </w:t>
      </w:r>
      <w:r w:rsidR="009A6DD4">
        <w:rPr>
          <w:color w:val="000000" w:themeColor="text1"/>
          <w:lang w:val="fr-FR"/>
        </w:rPr>
        <w:t xml:space="preserve">une </w:t>
      </w:r>
      <w:r w:rsidR="00D51B2A" w:rsidRPr="00944BFF">
        <w:rPr>
          <w:color w:val="000000" w:themeColor="text1"/>
          <w:lang w:val="fr-FR"/>
        </w:rPr>
        <w:t xml:space="preserve">description </w:t>
      </w:r>
      <w:r w:rsidR="009A6DD4">
        <w:rPr>
          <w:color w:val="000000" w:themeColor="text1"/>
          <w:lang w:val="fr-FR"/>
        </w:rPr>
        <w:t xml:space="preserve">des questions en suspens qui requièrent </w:t>
      </w:r>
      <w:r w:rsidR="00F8198C">
        <w:rPr>
          <w:color w:val="000000" w:themeColor="text1"/>
          <w:lang w:val="fr-FR"/>
        </w:rPr>
        <w:t>la poursuite des délibérations</w:t>
      </w:r>
      <w:r w:rsidR="009A6DD4">
        <w:rPr>
          <w:color w:val="000000" w:themeColor="text1"/>
          <w:lang w:val="fr-FR"/>
        </w:rPr>
        <w:t>; et une mise à jour sur les résultats de la Trentième Réunion des Parties.  L’</w:t>
      </w:r>
      <w:r w:rsidR="00D51B2A" w:rsidRPr="00944BFF">
        <w:rPr>
          <w:color w:val="000000" w:themeColor="text1"/>
          <w:lang w:val="fr-FR"/>
        </w:rPr>
        <w:t>Annex</w:t>
      </w:r>
      <w:r w:rsidR="009A6DD4">
        <w:rPr>
          <w:color w:val="000000" w:themeColor="text1"/>
          <w:lang w:val="fr-FR"/>
        </w:rPr>
        <w:t>e</w:t>
      </w:r>
      <w:r w:rsidR="00D51B2A" w:rsidRPr="00944BFF">
        <w:rPr>
          <w:color w:val="000000" w:themeColor="text1"/>
          <w:lang w:val="fr-FR"/>
        </w:rPr>
        <w:t> I cont</w:t>
      </w:r>
      <w:r w:rsidR="009A6DD4">
        <w:rPr>
          <w:color w:val="000000" w:themeColor="text1"/>
          <w:lang w:val="fr-FR"/>
        </w:rPr>
        <w:t>ient l’ébauche du tableau des lignes directrices sur les coûts, incluant les élé</w:t>
      </w:r>
      <w:r w:rsidR="00F8198C">
        <w:rPr>
          <w:color w:val="000000" w:themeColor="text1"/>
          <w:lang w:val="fr-FR"/>
        </w:rPr>
        <w:t>m</w:t>
      </w:r>
      <w:r w:rsidR="009A6DD4">
        <w:rPr>
          <w:color w:val="000000" w:themeColor="text1"/>
          <w:lang w:val="fr-FR"/>
        </w:rPr>
        <w:t>ents acceptés par la décision</w:t>
      </w:r>
      <w:r w:rsidR="00D51B2A" w:rsidRPr="00944BFF">
        <w:rPr>
          <w:color w:val="000000" w:themeColor="text1"/>
          <w:lang w:val="fr-FR"/>
        </w:rPr>
        <w:t xml:space="preserve"> XXVIII/2. </w:t>
      </w:r>
      <w:r w:rsidR="009A6DD4">
        <w:rPr>
          <w:color w:val="000000" w:themeColor="text1"/>
          <w:lang w:val="fr-FR"/>
        </w:rPr>
        <w:t>L’</w:t>
      </w:r>
      <w:r w:rsidR="00D51B2A" w:rsidRPr="00944BFF">
        <w:rPr>
          <w:color w:val="000000" w:themeColor="text1"/>
          <w:lang w:val="fr-FR"/>
        </w:rPr>
        <w:t>Annex</w:t>
      </w:r>
      <w:r w:rsidR="009A6DD4">
        <w:rPr>
          <w:color w:val="000000" w:themeColor="text1"/>
          <w:lang w:val="fr-FR"/>
        </w:rPr>
        <w:t>e II présente</w:t>
      </w:r>
      <w:r w:rsidR="00F8198C">
        <w:rPr>
          <w:color w:val="000000" w:themeColor="text1"/>
          <w:lang w:val="fr-FR"/>
        </w:rPr>
        <w:t xml:space="preserve"> les</w:t>
      </w:r>
      <w:r w:rsidR="00D51B2A" w:rsidRPr="00944BFF">
        <w:rPr>
          <w:color w:val="000000" w:themeColor="text1"/>
          <w:lang w:val="fr-FR"/>
        </w:rPr>
        <w:t xml:space="preserve"> </w:t>
      </w:r>
      <w:r w:rsidR="009A6DD4">
        <w:rPr>
          <w:color w:val="000000" w:themeColor="text1"/>
          <w:lang w:val="fr-FR"/>
        </w:rPr>
        <w:t xml:space="preserve">questions en suspens qui feront encore l’objet de </w:t>
      </w:r>
      <w:r w:rsidR="00D51B2A" w:rsidRPr="00944BFF">
        <w:rPr>
          <w:color w:val="000000" w:themeColor="text1"/>
          <w:lang w:val="fr-FR"/>
        </w:rPr>
        <w:t>d</w:t>
      </w:r>
      <w:r w:rsidR="00F8198C">
        <w:rPr>
          <w:color w:val="000000" w:themeColor="text1"/>
          <w:lang w:val="fr-FR"/>
        </w:rPr>
        <w:t>élibérations</w:t>
      </w:r>
      <w:r w:rsidR="00D51B2A" w:rsidRPr="00944BFF">
        <w:rPr>
          <w:color w:val="000000" w:themeColor="text1"/>
          <w:lang w:val="fr-FR"/>
        </w:rPr>
        <w:t>.</w:t>
      </w:r>
    </w:p>
    <w:p w14:paraId="447B184C" w14:textId="1F4B8BBD" w:rsidR="00D51B2A" w:rsidRPr="00944BFF" w:rsidRDefault="005A3E67"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D51B2A" w:rsidRPr="00944BFF">
        <w:rPr>
          <w:color w:val="000000" w:themeColor="text1"/>
          <w:lang w:val="fr-FR"/>
        </w:rPr>
        <w:t> </w:t>
      </w:r>
      <w:r w:rsidRPr="00944BFF">
        <w:rPr>
          <w:color w:val="000000" w:themeColor="text1"/>
          <w:lang w:val="fr-FR"/>
        </w:rPr>
        <w:t>Examen du projet de critères de financement pour la réduction progressive des HFC</w:t>
      </w:r>
    </w:p>
    <w:p w14:paraId="415FEF4E" w14:textId="2B095273" w:rsidR="00D51B2A" w:rsidRPr="00B3661A" w:rsidRDefault="005A3E67" w:rsidP="00D51B2A">
      <w:pPr>
        <w:tabs>
          <w:tab w:val="left" w:pos="720"/>
          <w:tab w:val="left" w:pos="1440"/>
          <w:tab w:val="left" w:pos="2160"/>
        </w:tabs>
        <w:spacing w:after="240"/>
        <w:ind w:left="709"/>
        <w:outlineLvl w:val="0"/>
        <w:rPr>
          <w:color w:val="000000" w:themeColor="text1"/>
          <w:lang w:val="fr-FR"/>
        </w:rPr>
      </w:pPr>
      <w:r w:rsidRPr="00B3661A">
        <w:rPr>
          <w:color w:val="000000" w:themeColor="text1"/>
          <w:u w:val="single"/>
          <w:lang w:val="fr-FR"/>
        </w:rPr>
        <w:t>L</w:t>
      </w:r>
      <w:r w:rsidR="00D51B2A" w:rsidRPr="00B3661A">
        <w:rPr>
          <w:color w:val="000000" w:themeColor="text1"/>
          <w:u w:val="single"/>
          <w:lang w:val="fr-FR"/>
        </w:rPr>
        <w:t xml:space="preserve">e </w:t>
      </w:r>
      <w:r w:rsidRPr="00B3661A">
        <w:rPr>
          <w:color w:val="000000" w:themeColor="text1"/>
          <w:u w:val="single"/>
          <w:lang w:val="fr-FR"/>
        </w:rPr>
        <w:t xml:space="preserve">Comité exécutif pourrait souhaiter </w:t>
      </w:r>
      <w:r w:rsidR="00D51B2A" w:rsidRPr="00B3661A">
        <w:rPr>
          <w:color w:val="000000" w:themeColor="text1"/>
          <w:lang w:val="fr-FR"/>
        </w:rPr>
        <w:t xml:space="preserve">: </w:t>
      </w:r>
    </w:p>
    <w:p w14:paraId="186C590F" w14:textId="345675F4" w:rsidR="00D51B2A" w:rsidRPr="00B3661A" w:rsidRDefault="009A6DD4" w:rsidP="009A6DD4">
      <w:pPr>
        <w:pStyle w:val="Heading2"/>
        <w:numPr>
          <w:ilvl w:val="0"/>
          <w:numId w:val="0"/>
        </w:numPr>
        <w:ind w:left="1440" w:hanging="720"/>
        <w:rPr>
          <w:lang w:val="fr-FR"/>
        </w:rPr>
      </w:pPr>
      <w:r w:rsidRPr="00B3661A">
        <w:rPr>
          <w:lang w:val="fr-FR"/>
        </w:rPr>
        <w:t>a)</w:t>
      </w:r>
      <w:r w:rsidRPr="00B3661A">
        <w:rPr>
          <w:lang w:val="fr-FR"/>
        </w:rPr>
        <w:tab/>
        <w:t xml:space="preserve">Prendre </w:t>
      </w:r>
      <w:r w:rsidR="00D51B2A" w:rsidRPr="00B3661A">
        <w:rPr>
          <w:lang w:val="fr-FR"/>
        </w:rPr>
        <w:t xml:space="preserve">note </w:t>
      </w:r>
      <w:r w:rsidRPr="00B3661A">
        <w:rPr>
          <w:lang w:val="fr-FR"/>
        </w:rPr>
        <w:t xml:space="preserve">du </w:t>
      </w:r>
      <w:r w:rsidR="00D51B2A" w:rsidRPr="00B3661A">
        <w:rPr>
          <w:lang w:val="fr-FR"/>
        </w:rPr>
        <w:t xml:space="preserve">document UNEP/OzL.Pro/ExCom/83/43 </w:t>
      </w:r>
      <w:r w:rsidRPr="00B3661A">
        <w:rPr>
          <w:lang w:val="fr-FR"/>
        </w:rPr>
        <w:t xml:space="preserve">sur l’établissement des lignes directrices sur le coût de la réduction graduelle des HFC dans les pays visés à l’Article 5: Projet de critères de financement;   </w:t>
      </w:r>
      <w:r w:rsidR="00D51B2A" w:rsidRPr="00B3661A">
        <w:rPr>
          <w:lang w:val="fr-FR"/>
        </w:rPr>
        <w:t xml:space="preserve"> </w:t>
      </w:r>
    </w:p>
    <w:p w14:paraId="0FA14023" w14:textId="2F6F27E0" w:rsidR="00D51B2A" w:rsidRPr="00B3661A" w:rsidRDefault="009A6DD4" w:rsidP="009A6DD4">
      <w:pPr>
        <w:pStyle w:val="Heading2"/>
        <w:keepNext/>
        <w:widowControl/>
        <w:numPr>
          <w:ilvl w:val="0"/>
          <w:numId w:val="0"/>
        </w:numPr>
        <w:ind w:left="1440" w:hanging="720"/>
        <w:rPr>
          <w:lang w:val="fr-FR"/>
        </w:rPr>
      </w:pPr>
      <w:r w:rsidRPr="00B3661A">
        <w:rPr>
          <w:lang w:val="fr-FR"/>
        </w:rPr>
        <w:lastRenderedPageBreak/>
        <w:t>b)</w:t>
      </w:r>
      <w:r w:rsidRPr="00B3661A">
        <w:rPr>
          <w:lang w:val="fr-FR"/>
        </w:rPr>
        <w:tab/>
        <w:t xml:space="preserve">Lorsqu’il poursuivra ses délibérations sur les lignes directrices sur le coût de la réduction graduelle des </w:t>
      </w:r>
      <w:r w:rsidR="00D51B2A" w:rsidRPr="00B3661A">
        <w:rPr>
          <w:lang w:val="fr-FR"/>
        </w:rPr>
        <w:t>HFC</w:t>
      </w:r>
      <w:r w:rsidRPr="00B3661A">
        <w:rPr>
          <w:lang w:val="fr-FR"/>
        </w:rPr>
        <w:t xml:space="preserve"> dan</w:t>
      </w:r>
      <w:r w:rsidR="00D51B2A" w:rsidRPr="00B3661A">
        <w:rPr>
          <w:lang w:val="fr-FR"/>
        </w:rPr>
        <w:t xml:space="preserve">s </w:t>
      </w:r>
      <w:r w:rsidRPr="00B3661A">
        <w:rPr>
          <w:lang w:val="fr-FR"/>
        </w:rPr>
        <w:t xml:space="preserve">les pays visés à l’Article 5 </w:t>
      </w:r>
      <w:r w:rsidR="00D51B2A" w:rsidRPr="00B3661A">
        <w:rPr>
          <w:lang w:val="fr-FR"/>
        </w:rPr>
        <w:t>:</w:t>
      </w:r>
    </w:p>
    <w:p w14:paraId="38262E38" w14:textId="7270DFBC" w:rsidR="00D51B2A" w:rsidRPr="00B3661A" w:rsidRDefault="00F8198C" w:rsidP="00D51B2A">
      <w:pPr>
        <w:tabs>
          <w:tab w:val="left" w:pos="8280"/>
        </w:tabs>
        <w:ind w:left="720"/>
        <w:rPr>
          <w:u w:val="single"/>
          <w:lang w:val="fr-FR"/>
        </w:rPr>
      </w:pPr>
      <w:r w:rsidRPr="00B3661A">
        <w:rPr>
          <w:u w:val="single"/>
          <w:lang w:val="fr-FR"/>
        </w:rPr>
        <w:t xml:space="preserve">Concernant les réductions globales durables de la consommation et de la production des </w:t>
      </w:r>
      <w:r w:rsidR="00D51B2A" w:rsidRPr="00B3661A">
        <w:rPr>
          <w:u w:val="single"/>
          <w:lang w:val="fr-FR"/>
        </w:rPr>
        <w:t xml:space="preserve">HFC </w:t>
      </w:r>
    </w:p>
    <w:p w14:paraId="2BC7FA54" w14:textId="77777777" w:rsidR="00D51B2A" w:rsidRPr="00B3661A" w:rsidRDefault="00D51B2A" w:rsidP="00D51B2A">
      <w:pPr>
        <w:tabs>
          <w:tab w:val="left" w:pos="8280"/>
        </w:tabs>
        <w:ind w:left="720"/>
        <w:rPr>
          <w:u w:val="single"/>
          <w:lang w:val="fr-FR"/>
        </w:rPr>
      </w:pPr>
    </w:p>
    <w:p w14:paraId="31DB3624" w14:textId="629F5975" w:rsidR="00D51B2A" w:rsidRPr="00B3661A" w:rsidRDefault="00F8198C" w:rsidP="00F8198C">
      <w:pPr>
        <w:pStyle w:val="Heading3"/>
        <w:numPr>
          <w:ilvl w:val="0"/>
          <w:numId w:val="0"/>
        </w:numPr>
        <w:ind w:left="2160" w:hanging="720"/>
        <w:rPr>
          <w:lang w:val="fr-FR"/>
        </w:rPr>
      </w:pPr>
      <w:r w:rsidRPr="00B3661A">
        <w:rPr>
          <w:lang w:val="fr-FR"/>
        </w:rPr>
        <w:t>i)</w:t>
      </w:r>
      <w:r w:rsidRPr="00B3661A">
        <w:rPr>
          <w:lang w:val="fr-FR"/>
        </w:rPr>
        <w:tab/>
        <w:t>Examiner des propositions particulières des membres du Comité exécutif sur l’élaboration d’une mé</w:t>
      </w:r>
      <w:r w:rsidR="00D51B2A" w:rsidRPr="00B3661A">
        <w:rPr>
          <w:lang w:val="fr-FR"/>
        </w:rPr>
        <w:t>thod</w:t>
      </w:r>
      <w:r w:rsidRPr="00B3661A">
        <w:rPr>
          <w:lang w:val="fr-FR"/>
        </w:rPr>
        <w:t>e pour fixer le point de départ de la réduction progressive globale durabe des</w:t>
      </w:r>
      <w:r w:rsidR="00D51B2A" w:rsidRPr="00B3661A">
        <w:rPr>
          <w:lang w:val="fr-FR"/>
        </w:rPr>
        <w:t xml:space="preserve"> HFC</w:t>
      </w:r>
      <w:r w:rsidRPr="00B3661A">
        <w:rPr>
          <w:lang w:val="fr-FR"/>
        </w:rPr>
        <w:t xml:space="preserve">, </w:t>
      </w:r>
      <w:r w:rsidR="00D51B2A" w:rsidRPr="00B3661A">
        <w:rPr>
          <w:lang w:val="fr-FR"/>
        </w:rPr>
        <w:t>s</w:t>
      </w:r>
      <w:r w:rsidRPr="00B3661A">
        <w:rPr>
          <w:lang w:val="fr-FR"/>
        </w:rPr>
        <w:t>ur la</w:t>
      </w:r>
      <w:r w:rsidR="00D51B2A" w:rsidRPr="00B3661A">
        <w:rPr>
          <w:lang w:val="fr-FR"/>
        </w:rPr>
        <w:t xml:space="preserve"> base</w:t>
      </w:r>
      <w:r w:rsidRPr="00B3661A">
        <w:rPr>
          <w:lang w:val="fr-FR"/>
        </w:rPr>
        <w:t xml:space="preserve"> </w:t>
      </w:r>
      <w:r w:rsidR="00D51B2A" w:rsidRPr="00B3661A">
        <w:rPr>
          <w:lang w:val="fr-FR"/>
        </w:rPr>
        <w:t>d</w:t>
      </w:r>
      <w:r w:rsidRPr="00B3661A">
        <w:rPr>
          <w:lang w:val="fr-FR"/>
        </w:rPr>
        <w:t xml:space="preserve">es aspects clés décrits dans le document </w:t>
      </w:r>
      <w:r w:rsidR="00D51B2A" w:rsidRPr="00B3661A">
        <w:rPr>
          <w:lang w:val="fr-FR"/>
        </w:rPr>
        <w:t xml:space="preserve">UNEP/OzL.Pro/ExCom/82/66 </w:t>
      </w:r>
      <w:r w:rsidRPr="00B3661A">
        <w:rPr>
          <w:lang w:val="fr-FR"/>
        </w:rPr>
        <w:t>et de ses délibérations sur cette questio</w:t>
      </w:r>
      <w:r w:rsidR="00D51B2A" w:rsidRPr="00B3661A">
        <w:rPr>
          <w:lang w:val="fr-FR"/>
        </w:rPr>
        <w:t xml:space="preserve">n </w:t>
      </w:r>
      <w:r w:rsidRPr="00B3661A">
        <w:rPr>
          <w:lang w:val="fr-FR"/>
        </w:rPr>
        <w:t>à la 83</w:t>
      </w:r>
      <w:r w:rsidRPr="00B3661A">
        <w:rPr>
          <w:vertAlign w:val="superscript"/>
          <w:lang w:val="fr-FR"/>
        </w:rPr>
        <w:t>e</w:t>
      </w:r>
      <w:r w:rsidRPr="00B3661A">
        <w:rPr>
          <w:lang w:val="fr-FR"/>
        </w:rPr>
        <w:t xml:space="preserve"> réunion</w:t>
      </w:r>
      <w:r w:rsidR="00D51B2A" w:rsidRPr="00B3661A">
        <w:rPr>
          <w:lang w:val="fr-FR"/>
        </w:rPr>
        <w:t>;</w:t>
      </w:r>
    </w:p>
    <w:p w14:paraId="41B8E3D0" w14:textId="7E4B06C6" w:rsidR="00D51B2A" w:rsidRPr="00B3661A" w:rsidRDefault="00F8198C" w:rsidP="00761F88">
      <w:pPr>
        <w:pStyle w:val="Heading3"/>
        <w:numPr>
          <w:ilvl w:val="0"/>
          <w:numId w:val="30"/>
        </w:numPr>
        <w:rPr>
          <w:lang w:val="fr-FR"/>
        </w:rPr>
      </w:pPr>
      <w:r w:rsidRPr="00B3661A">
        <w:rPr>
          <w:lang w:val="fr-FR"/>
        </w:rPr>
        <w:t>I</w:t>
      </w:r>
      <w:r w:rsidR="00D51B2A" w:rsidRPr="00B3661A">
        <w:rPr>
          <w:lang w:val="fr-FR"/>
        </w:rPr>
        <w:t>ncorpor</w:t>
      </w:r>
      <w:r w:rsidRPr="00B3661A">
        <w:rPr>
          <w:lang w:val="fr-FR"/>
        </w:rPr>
        <w:t>er dans l’Annexe I au document UNEP/OzL.Pro/ExCom/82/66, une fois convenue, la méthode pour fixer le point de départ de la réduction progressive globale durable des HFC, et supprimer le texte sur les réductions progressives globales durables figurant dans l’Annexe II au document</w:t>
      </w:r>
      <w:r w:rsidR="00674009">
        <w:rPr>
          <w:lang w:val="fr-FR"/>
        </w:rPr>
        <w:t> </w:t>
      </w:r>
      <w:r w:rsidR="00D51B2A" w:rsidRPr="00B3661A">
        <w:rPr>
          <w:lang w:val="fr-FR"/>
        </w:rPr>
        <w:t>UNEP/OzL.Pro/ExCom/82/66;</w:t>
      </w:r>
    </w:p>
    <w:p w14:paraId="6D086924" w14:textId="1384C026" w:rsidR="00D51B2A" w:rsidRPr="00B3661A" w:rsidRDefault="00F8198C" w:rsidP="00D51B2A">
      <w:pPr>
        <w:tabs>
          <w:tab w:val="left" w:pos="8280"/>
        </w:tabs>
        <w:ind w:left="720"/>
        <w:rPr>
          <w:u w:val="single"/>
          <w:lang w:val="fr-FR"/>
        </w:rPr>
      </w:pPr>
      <w:r w:rsidRPr="00B3661A">
        <w:rPr>
          <w:u w:val="single"/>
          <w:lang w:val="fr-FR"/>
        </w:rPr>
        <w:t>Concernant la consommation du secteur de la fabrication</w:t>
      </w:r>
    </w:p>
    <w:p w14:paraId="76B68E53" w14:textId="77777777" w:rsidR="00D51B2A" w:rsidRPr="00944BFF" w:rsidRDefault="00D51B2A" w:rsidP="00D51B2A">
      <w:pPr>
        <w:tabs>
          <w:tab w:val="left" w:pos="8280"/>
        </w:tabs>
        <w:rPr>
          <w:highlight w:val="yellow"/>
          <w:lang w:val="fr-FR"/>
        </w:rPr>
      </w:pPr>
    </w:p>
    <w:p w14:paraId="4F50AEC5" w14:textId="6D9CF19B" w:rsidR="00F8198C" w:rsidRPr="00265403" w:rsidRDefault="00B3661A" w:rsidP="00761F88">
      <w:pPr>
        <w:pStyle w:val="Heading3"/>
        <w:numPr>
          <w:ilvl w:val="0"/>
          <w:numId w:val="30"/>
        </w:numPr>
        <w:rPr>
          <w:noProof/>
          <w:lang w:val="fr-CA"/>
        </w:rPr>
      </w:pPr>
      <w:r w:rsidRPr="00265403">
        <w:rPr>
          <w:noProof/>
          <w:lang w:val="fr-CA"/>
        </w:rPr>
        <w:t>E</w:t>
      </w:r>
      <w:r w:rsidR="00F8198C" w:rsidRPr="00265403">
        <w:rPr>
          <w:noProof/>
          <w:lang w:val="fr-CA"/>
        </w:rPr>
        <w:t xml:space="preserve">nvisager d’établir des </w:t>
      </w:r>
      <w:bookmarkStart w:id="0" w:name="_Hlk7642295"/>
      <w:r w:rsidR="00F8198C" w:rsidRPr="00265403">
        <w:rPr>
          <w:noProof/>
          <w:lang w:val="fr-CA"/>
        </w:rPr>
        <w:t>seuils pour le rapport coût-efficacité et des seuils pour les surcoûts d’exploitation (IOC) pour les activités de réduction graduelle des HFC dans la consommation du secteur de la fabrication</w:t>
      </w:r>
      <w:bookmarkEnd w:id="0"/>
      <w:r w:rsidR="00F8198C" w:rsidRPr="00265403">
        <w:rPr>
          <w:noProof/>
          <w:lang w:val="fr-CA"/>
        </w:rPr>
        <w:t xml:space="preserve">, en fonction des résultats de la mise en œuvre de projets d’investissement sur les HFC; </w:t>
      </w:r>
    </w:p>
    <w:p w14:paraId="654D896A" w14:textId="65C51DD7" w:rsidR="00F8198C" w:rsidRPr="00265403" w:rsidRDefault="00B3661A" w:rsidP="00B3661A">
      <w:pPr>
        <w:pStyle w:val="Heading3"/>
        <w:numPr>
          <w:ilvl w:val="0"/>
          <w:numId w:val="0"/>
        </w:numPr>
        <w:ind w:left="2160" w:hanging="720"/>
        <w:rPr>
          <w:noProof/>
          <w:lang w:val="fr-CA"/>
        </w:rPr>
      </w:pPr>
      <w:r w:rsidRPr="00265403">
        <w:rPr>
          <w:noProof/>
          <w:lang w:val="fr-CA"/>
        </w:rPr>
        <w:t>iv)</w:t>
      </w:r>
      <w:r w:rsidRPr="00265403">
        <w:rPr>
          <w:noProof/>
          <w:lang w:val="fr-CA"/>
        </w:rPr>
        <w:tab/>
        <w:t>I</w:t>
      </w:r>
      <w:r w:rsidR="00F8198C" w:rsidRPr="00265403">
        <w:rPr>
          <w:noProof/>
          <w:lang w:val="fr-CA"/>
        </w:rPr>
        <w:t>ncorporer dans l’Annexe I au document</w:t>
      </w:r>
      <w:r w:rsidR="00CA49E4">
        <w:rPr>
          <w:noProof/>
          <w:lang w:val="fr-CA"/>
        </w:rPr>
        <w:t> UNEP/OzL.Pro/ExCom/82/66</w:t>
      </w:r>
      <w:r w:rsidR="00F8198C" w:rsidRPr="00265403">
        <w:rPr>
          <w:noProof/>
          <w:lang w:val="fr-CA"/>
        </w:rPr>
        <w:t>, une fois convenus, les seuils pour le rapport coût-efficacité et les seuils pour les IOC pour les activités de réduction graduelle des HFC dans la consommation du secteur de la fabrication, et supprimer le texte sur les travaux supplémentaires à demander au Secrétariat en rapport avec la consommation du secteur de la production, contenu dans l’Annexe II au document</w:t>
      </w:r>
      <w:r w:rsidRPr="00265403">
        <w:rPr>
          <w:noProof/>
          <w:lang w:val="fr-CA"/>
        </w:rPr>
        <w:t xml:space="preserve"> </w:t>
      </w:r>
      <w:r w:rsidRPr="00B3661A">
        <w:rPr>
          <w:lang w:val="fr-FR"/>
        </w:rPr>
        <w:t>UNEP/OzL.Pro/ExCom/82/66</w:t>
      </w:r>
      <w:r w:rsidR="00F8198C" w:rsidRPr="00265403">
        <w:rPr>
          <w:noProof/>
          <w:lang w:val="fr-CA"/>
        </w:rPr>
        <w:t>;</w:t>
      </w:r>
    </w:p>
    <w:p w14:paraId="6A9D9D25" w14:textId="77777777" w:rsidR="00F8198C" w:rsidRPr="00265403" w:rsidRDefault="00F8198C" w:rsidP="00F8198C">
      <w:pPr>
        <w:tabs>
          <w:tab w:val="left" w:pos="8280"/>
        </w:tabs>
        <w:ind w:left="720"/>
        <w:rPr>
          <w:noProof/>
          <w:u w:val="single"/>
          <w:lang w:val="fr-CA"/>
        </w:rPr>
      </w:pPr>
      <w:r w:rsidRPr="00265403">
        <w:rPr>
          <w:noProof/>
          <w:u w:val="single"/>
          <w:lang w:val="fr-CA"/>
        </w:rPr>
        <w:t>Concernant les surcoûts admissibles pour le secteur de l’entretien en réfrigération</w:t>
      </w:r>
    </w:p>
    <w:p w14:paraId="3BA27506" w14:textId="77777777" w:rsidR="00F8198C" w:rsidRPr="00265403" w:rsidRDefault="00F8198C" w:rsidP="00F8198C">
      <w:pPr>
        <w:tabs>
          <w:tab w:val="left" w:pos="8280"/>
        </w:tabs>
        <w:rPr>
          <w:noProof/>
          <w:lang w:val="fr-CA"/>
        </w:rPr>
      </w:pPr>
    </w:p>
    <w:p w14:paraId="62704630" w14:textId="44CCDF73" w:rsidR="00F8198C" w:rsidRPr="00265403" w:rsidRDefault="00B3661A" w:rsidP="00761F88">
      <w:pPr>
        <w:pStyle w:val="Heading3"/>
        <w:numPr>
          <w:ilvl w:val="0"/>
          <w:numId w:val="28"/>
        </w:numPr>
        <w:rPr>
          <w:noProof/>
          <w:lang w:val="fr-CA"/>
        </w:rPr>
      </w:pPr>
      <w:r w:rsidRPr="00265403">
        <w:rPr>
          <w:noProof/>
          <w:lang w:val="fr-CA"/>
        </w:rPr>
        <w:t>E</w:t>
      </w:r>
      <w:r w:rsidR="00F8198C" w:rsidRPr="00265403">
        <w:rPr>
          <w:noProof/>
          <w:lang w:val="fr-CA"/>
        </w:rPr>
        <w:t xml:space="preserve">xaminer le niveau et les modalités de financement des surcoûts admissibles </w:t>
      </w:r>
      <w:r w:rsidRPr="00265403">
        <w:rPr>
          <w:noProof/>
          <w:lang w:val="fr-CA"/>
        </w:rPr>
        <w:t>pour la réduction graduelle des</w:t>
      </w:r>
      <w:r w:rsidR="00F8198C" w:rsidRPr="00265403">
        <w:rPr>
          <w:noProof/>
          <w:lang w:val="fr-CA"/>
        </w:rPr>
        <w:t xml:space="preserve"> HFC dans le secteur de l’entretien en réfrigération, à la lumière des informations présentées dans le document UNEP/OzL.Pro/ExCom/82/64, notamment les opportunités et les synergies découlant des activités de mise en œuvre favorables à l’élimination des HCFC aussi bien qu’à la réduction graduelle des HFC, les difficultés soulevées par l’introduction de solutions de rechange à faible PRG, les niveaux de financement nécessaires, et la souplesse requise par les pays visés à l’Article 5 pour attribuer le financement aux priorités stratégiques en fonction de leur consommation; </w:t>
      </w:r>
    </w:p>
    <w:p w14:paraId="08418592" w14:textId="730678AC" w:rsidR="00F8198C" w:rsidRPr="00265403" w:rsidRDefault="00B3661A" w:rsidP="00761F88">
      <w:pPr>
        <w:pStyle w:val="Heading3"/>
        <w:numPr>
          <w:ilvl w:val="0"/>
          <w:numId w:val="28"/>
        </w:numPr>
        <w:rPr>
          <w:noProof/>
          <w:lang w:val="fr-CA"/>
        </w:rPr>
      </w:pPr>
      <w:r w:rsidRPr="00265403">
        <w:rPr>
          <w:noProof/>
          <w:lang w:val="fr-CA"/>
        </w:rPr>
        <w:t>D</w:t>
      </w:r>
      <w:r w:rsidR="00F8198C" w:rsidRPr="00265403">
        <w:rPr>
          <w:noProof/>
          <w:lang w:val="fr-CA"/>
        </w:rPr>
        <w:t xml:space="preserve">éterminer s’il convient de demander au Secrétariat de préparer un document présentant une analyse du niveau et des </w:t>
      </w:r>
      <w:r w:rsidR="006C0A36" w:rsidRPr="00265403">
        <w:rPr>
          <w:noProof/>
          <w:lang w:val="fr-CA"/>
        </w:rPr>
        <w:t>modalités de financement pour l</w:t>
      </w:r>
      <w:r w:rsidR="00F8198C" w:rsidRPr="00265403">
        <w:rPr>
          <w:noProof/>
          <w:lang w:val="fr-CA"/>
        </w:rPr>
        <w:t>e secteur de l’entretien en réfrigération;</w:t>
      </w:r>
    </w:p>
    <w:p w14:paraId="54ADD541" w14:textId="5439E68E" w:rsidR="00F8198C" w:rsidRPr="00265403" w:rsidRDefault="00B3661A" w:rsidP="00761F88">
      <w:pPr>
        <w:pStyle w:val="Heading3"/>
        <w:numPr>
          <w:ilvl w:val="0"/>
          <w:numId w:val="28"/>
        </w:numPr>
        <w:rPr>
          <w:noProof/>
          <w:lang w:val="fr-CA"/>
        </w:rPr>
      </w:pPr>
      <w:r w:rsidRPr="00265403">
        <w:rPr>
          <w:noProof/>
          <w:lang w:val="fr-CA"/>
        </w:rPr>
        <w:t>I</w:t>
      </w:r>
      <w:r w:rsidR="00F8198C" w:rsidRPr="00265403">
        <w:rPr>
          <w:noProof/>
          <w:lang w:val="fr-CA"/>
        </w:rPr>
        <w:t>ncorporer dans l’Annexe I au document</w:t>
      </w:r>
      <w:r w:rsidRPr="00265403">
        <w:rPr>
          <w:noProof/>
          <w:lang w:val="fr-CA"/>
        </w:rPr>
        <w:t xml:space="preserve"> </w:t>
      </w:r>
      <w:r w:rsidRPr="00B3661A">
        <w:rPr>
          <w:lang w:val="fr-FR"/>
        </w:rPr>
        <w:t>UNEP/OzL.Pro/ExCom/82/66</w:t>
      </w:r>
      <w:r w:rsidR="00F8198C" w:rsidRPr="00265403">
        <w:rPr>
          <w:noProof/>
          <w:lang w:val="fr-CA"/>
        </w:rPr>
        <w:t xml:space="preserve">, une fois convenus, les seuils pour le rapport coût-efficacité pour le secteur de l’entretien en réfrigération </w:t>
      </w:r>
      <w:r w:rsidR="006C0A36" w:rsidRPr="00265403">
        <w:rPr>
          <w:noProof/>
          <w:lang w:val="fr-CA"/>
        </w:rPr>
        <w:t xml:space="preserve">et </w:t>
      </w:r>
      <w:r w:rsidR="00F8198C" w:rsidRPr="00265403">
        <w:rPr>
          <w:noProof/>
          <w:lang w:val="fr-CA"/>
        </w:rPr>
        <w:t xml:space="preserve">supprimer le texte correspondant dans l’Annexe II au </w:t>
      </w:r>
      <w:r w:rsidRPr="00265403">
        <w:rPr>
          <w:noProof/>
          <w:lang w:val="fr-CA"/>
        </w:rPr>
        <w:t xml:space="preserve">document </w:t>
      </w:r>
      <w:r w:rsidRPr="00B3661A">
        <w:rPr>
          <w:lang w:val="fr-FR"/>
        </w:rPr>
        <w:t>UNEP/OzL.Pro/ExCom/82/66</w:t>
      </w:r>
      <w:r w:rsidR="00F8198C" w:rsidRPr="00265403">
        <w:rPr>
          <w:noProof/>
          <w:lang w:val="fr-CA"/>
        </w:rPr>
        <w:t>;</w:t>
      </w:r>
    </w:p>
    <w:p w14:paraId="2BDB06B1" w14:textId="77777777" w:rsidR="00F8198C" w:rsidRPr="006437DD" w:rsidRDefault="00F8198C" w:rsidP="006823BA">
      <w:pPr>
        <w:keepNext/>
        <w:keepLines/>
        <w:tabs>
          <w:tab w:val="left" w:pos="8280"/>
        </w:tabs>
        <w:ind w:left="720"/>
        <w:rPr>
          <w:noProof/>
          <w:u w:val="single"/>
        </w:rPr>
      </w:pPr>
      <w:r>
        <w:rPr>
          <w:noProof/>
          <w:u w:val="single"/>
        </w:rPr>
        <w:lastRenderedPageBreak/>
        <w:t>Concernant l’efficacité énergétique</w:t>
      </w:r>
    </w:p>
    <w:p w14:paraId="0C9C733E" w14:textId="77777777" w:rsidR="00F8198C" w:rsidRPr="006437DD" w:rsidRDefault="00F8198C" w:rsidP="006823BA">
      <w:pPr>
        <w:keepNext/>
        <w:keepLines/>
        <w:tabs>
          <w:tab w:val="left" w:pos="8280"/>
        </w:tabs>
        <w:rPr>
          <w:noProof/>
        </w:rPr>
      </w:pPr>
    </w:p>
    <w:p w14:paraId="68FDDB2D" w14:textId="08D6FE02" w:rsidR="00F8198C" w:rsidRPr="00265403" w:rsidRDefault="00B3661A" w:rsidP="00761F88">
      <w:pPr>
        <w:pStyle w:val="Heading3"/>
        <w:keepNext/>
        <w:keepLines/>
        <w:numPr>
          <w:ilvl w:val="0"/>
          <w:numId w:val="28"/>
        </w:numPr>
        <w:rPr>
          <w:noProof/>
          <w:lang w:val="fr-CA"/>
        </w:rPr>
      </w:pPr>
      <w:r w:rsidRPr="00265403">
        <w:rPr>
          <w:noProof/>
          <w:lang w:val="fr-CA"/>
        </w:rPr>
        <w:t>D</w:t>
      </w:r>
      <w:r w:rsidR="00F8198C" w:rsidRPr="00265403">
        <w:rPr>
          <w:noProof/>
          <w:lang w:val="fr-CA"/>
        </w:rPr>
        <w:t>écider s’il convient d’incorporer</w:t>
      </w:r>
      <w:r w:rsidR="00F8198C" w:rsidRPr="00265403">
        <w:rPr>
          <w:lang w:val="fr-CA"/>
        </w:rPr>
        <w:t xml:space="preserve"> </w:t>
      </w:r>
      <w:r w:rsidR="00F8198C" w:rsidRPr="00265403">
        <w:rPr>
          <w:noProof/>
          <w:lang w:val="fr-CA"/>
        </w:rPr>
        <w:t>dans l’Annexe I au document</w:t>
      </w:r>
      <w:r w:rsidR="00CA49E4">
        <w:rPr>
          <w:noProof/>
          <w:lang w:val="fr-CA"/>
        </w:rPr>
        <w:t> </w:t>
      </w:r>
      <w:r w:rsidRPr="00B3661A">
        <w:rPr>
          <w:lang w:val="fr-FR"/>
        </w:rPr>
        <w:t>UNEP/OzL.Pro/ExCom/82/66</w:t>
      </w:r>
      <w:r w:rsidR="00F8198C" w:rsidRPr="00265403">
        <w:rPr>
          <w:noProof/>
          <w:lang w:val="fr-CA"/>
        </w:rPr>
        <w:t>, une fois convenues, toutes décisions relatives à l’efficacité énergétique au titre du point 12(a) de l’ordre du jour de la présente réunion;</w:t>
      </w:r>
    </w:p>
    <w:p w14:paraId="6DCE3C64" w14:textId="091EF288" w:rsidR="00F8198C" w:rsidRPr="00265403" w:rsidRDefault="00B3661A" w:rsidP="00761F88">
      <w:pPr>
        <w:pStyle w:val="Heading3"/>
        <w:numPr>
          <w:ilvl w:val="0"/>
          <w:numId w:val="28"/>
        </w:numPr>
        <w:rPr>
          <w:noProof/>
          <w:lang w:val="fr-CA"/>
        </w:rPr>
      </w:pPr>
      <w:r w:rsidRPr="00265403">
        <w:rPr>
          <w:noProof/>
          <w:lang w:val="fr-CA"/>
        </w:rPr>
        <w:t>S</w:t>
      </w:r>
      <w:r w:rsidR="00F8198C" w:rsidRPr="00265403">
        <w:rPr>
          <w:noProof/>
          <w:lang w:val="fr-CA"/>
        </w:rPr>
        <w:t>upprimer, dans l’Annexe II au document</w:t>
      </w:r>
      <w:r w:rsidRPr="00265403">
        <w:rPr>
          <w:noProof/>
          <w:lang w:val="fr-CA"/>
        </w:rPr>
        <w:t xml:space="preserve"> </w:t>
      </w:r>
      <w:r w:rsidRPr="00B3661A">
        <w:rPr>
          <w:lang w:val="fr-FR"/>
        </w:rPr>
        <w:t>UNEP/OzL.Pro/ExCom/82/66</w:t>
      </w:r>
      <w:r w:rsidR="00F8198C" w:rsidRPr="00265403">
        <w:rPr>
          <w:noProof/>
          <w:lang w:val="fr-CA"/>
        </w:rPr>
        <w:t>, le texte sur l’efficacité énergétique, notamment le document de séance présenté par le gouvernement d’Autriche à la 80</w:t>
      </w:r>
      <w:r w:rsidR="00F8198C" w:rsidRPr="00265403">
        <w:rPr>
          <w:noProof/>
          <w:vertAlign w:val="superscript"/>
          <w:lang w:val="fr-CA"/>
        </w:rPr>
        <w:t>e</w:t>
      </w:r>
      <w:r w:rsidR="00F8198C" w:rsidRPr="00265403">
        <w:rPr>
          <w:noProof/>
          <w:lang w:val="fr-CA"/>
        </w:rPr>
        <w:t xml:space="preserve"> réunion; </w:t>
      </w:r>
    </w:p>
    <w:p w14:paraId="1BEFA983" w14:textId="77777777" w:rsidR="00F8198C" w:rsidRPr="006437DD" w:rsidRDefault="00F8198C" w:rsidP="00F8198C">
      <w:pPr>
        <w:tabs>
          <w:tab w:val="left" w:pos="8280"/>
        </w:tabs>
        <w:ind w:left="720"/>
        <w:rPr>
          <w:noProof/>
          <w:u w:val="single"/>
        </w:rPr>
      </w:pPr>
      <w:r>
        <w:rPr>
          <w:noProof/>
          <w:u w:val="single"/>
        </w:rPr>
        <w:t>Concernant l’élimination définitive</w:t>
      </w:r>
    </w:p>
    <w:p w14:paraId="5446D0B1" w14:textId="77777777" w:rsidR="00F8198C" w:rsidRPr="006437DD" w:rsidRDefault="00F8198C" w:rsidP="00F8198C">
      <w:pPr>
        <w:tabs>
          <w:tab w:val="left" w:pos="8280"/>
        </w:tabs>
        <w:rPr>
          <w:noProof/>
        </w:rPr>
      </w:pPr>
    </w:p>
    <w:p w14:paraId="3BC108CB" w14:textId="0192DB70" w:rsidR="00F8198C" w:rsidRPr="00265403" w:rsidRDefault="00F8198C" w:rsidP="00761F88">
      <w:pPr>
        <w:pStyle w:val="Heading3"/>
        <w:numPr>
          <w:ilvl w:val="0"/>
          <w:numId w:val="28"/>
        </w:numPr>
        <w:rPr>
          <w:noProof/>
          <w:lang w:val="fr-CA"/>
        </w:rPr>
      </w:pPr>
      <w:r w:rsidRPr="00265403">
        <w:rPr>
          <w:noProof/>
          <w:lang w:val="fr-CA"/>
        </w:rPr>
        <w:t>Lorsqu’il examinera l’élé</w:t>
      </w:r>
      <w:r w:rsidR="006C0A36" w:rsidRPr="00265403">
        <w:rPr>
          <w:noProof/>
          <w:lang w:val="fr-CA"/>
        </w:rPr>
        <w:t>ment d’élimination définitive,</w:t>
      </w:r>
      <w:r w:rsidRPr="00265403">
        <w:rPr>
          <w:noProof/>
          <w:lang w:val="fr-CA"/>
        </w:rPr>
        <w:t xml:space="preserve"> prendre en considération les questions relatives à la gestion efficiente des stocks de substances réglementées usées ou indésirables, incluant leur destruction, à la lumière de la note sur la destruction de SAO préparée par le Secrétariat en réponse à la décision 79/18(e), figurant dans le document UNEP/OzL.Pro/ExCom/82/21;</w:t>
      </w:r>
    </w:p>
    <w:p w14:paraId="777B1C33" w14:textId="61EBFEE7" w:rsidR="00F8198C" w:rsidRPr="00265403" w:rsidRDefault="00B3661A" w:rsidP="00761F88">
      <w:pPr>
        <w:pStyle w:val="Heading3"/>
        <w:numPr>
          <w:ilvl w:val="0"/>
          <w:numId w:val="28"/>
        </w:numPr>
        <w:rPr>
          <w:noProof/>
          <w:lang w:val="fr-CA"/>
        </w:rPr>
      </w:pPr>
      <w:r w:rsidRPr="00265403">
        <w:rPr>
          <w:noProof/>
          <w:lang w:val="fr-CA"/>
        </w:rPr>
        <w:t>D</w:t>
      </w:r>
      <w:r w:rsidR="00F8198C" w:rsidRPr="00265403">
        <w:rPr>
          <w:noProof/>
          <w:lang w:val="fr-CA"/>
        </w:rPr>
        <w:t>éterminer s’il convient d’incorporer dans l’Annexe I au document</w:t>
      </w:r>
      <w:r w:rsidRPr="00265403">
        <w:rPr>
          <w:noProof/>
          <w:lang w:val="fr-CA"/>
        </w:rPr>
        <w:t xml:space="preserve"> </w:t>
      </w:r>
      <w:r w:rsidRPr="00B3661A">
        <w:rPr>
          <w:lang w:val="fr-FR"/>
        </w:rPr>
        <w:t>UNEP/OzL.Pro/ExCom/82/66</w:t>
      </w:r>
      <w:r w:rsidR="00F8198C" w:rsidRPr="00265403">
        <w:rPr>
          <w:noProof/>
          <w:lang w:val="fr-CA"/>
        </w:rPr>
        <w:t>, une fois convenues, toutes décisions relatives à</w:t>
      </w:r>
      <w:r w:rsidR="006C0A36" w:rsidRPr="00265403">
        <w:rPr>
          <w:noProof/>
          <w:lang w:val="fr-CA"/>
        </w:rPr>
        <w:t xml:space="preserve"> l’élimination définitive, et</w:t>
      </w:r>
      <w:r w:rsidR="00F8198C" w:rsidRPr="00265403">
        <w:rPr>
          <w:noProof/>
          <w:lang w:val="fr-CA"/>
        </w:rPr>
        <w:t xml:space="preserve"> supprimer en conséquence le texte correspondant dans l’Annexe II au document</w:t>
      </w:r>
      <w:r w:rsidRPr="00265403">
        <w:rPr>
          <w:noProof/>
          <w:lang w:val="fr-CA"/>
        </w:rPr>
        <w:t xml:space="preserve"> </w:t>
      </w:r>
      <w:r w:rsidRPr="00B3661A">
        <w:rPr>
          <w:lang w:val="fr-FR"/>
        </w:rPr>
        <w:t>UNEP/OzL.Pro/ExCom/82/66</w:t>
      </w:r>
      <w:r w:rsidR="00F8198C" w:rsidRPr="00265403">
        <w:rPr>
          <w:noProof/>
          <w:lang w:val="fr-CA"/>
        </w:rPr>
        <w:t>; et</w:t>
      </w:r>
    </w:p>
    <w:p w14:paraId="48F5C32B" w14:textId="77777777" w:rsidR="00F8198C" w:rsidRPr="00265403" w:rsidRDefault="00F8198C" w:rsidP="00F8198C">
      <w:pPr>
        <w:tabs>
          <w:tab w:val="left" w:pos="8280"/>
        </w:tabs>
        <w:ind w:left="720"/>
        <w:rPr>
          <w:noProof/>
          <w:u w:val="single"/>
          <w:lang w:val="fr-CA"/>
        </w:rPr>
      </w:pPr>
      <w:r w:rsidRPr="00265403">
        <w:rPr>
          <w:noProof/>
          <w:u w:val="single"/>
          <w:lang w:val="fr-CA"/>
        </w:rPr>
        <w:t>Concernant d’autres questions d’ordre général liées à la réduction graduelle des HFC</w:t>
      </w:r>
    </w:p>
    <w:p w14:paraId="174D1F2B" w14:textId="77777777" w:rsidR="00F8198C" w:rsidRPr="00265403" w:rsidRDefault="00F8198C" w:rsidP="00F8198C">
      <w:pPr>
        <w:tabs>
          <w:tab w:val="left" w:pos="8280"/>
        </w:tabs>
        <w:rPr>
          <w:noProof/>
          <w:lang w:val="fr-CA"/>
        </w:rPr>
      </w:pPr>
    </w:p>
    <w:p w14:paraId="23C58656" w14:textId="21A44F78" w:rsidR="00F8198C" w:rsidRPr="00265403" w:rsidRDefault="00B3661A" w:rsidP="00761F88">
      <w:pPr>
        <w:pStyle w:val="Heading3"/>
        <w:numPr>
          <w:ilvl w:val="0"/>
          <w:numId w:val="28"/>
        </w:numPr>
        <w:rPr>
          <w:noProof/>
          <w:lang w:val="fr-CA"/>
        </w:rPr>
      </w:pPr>
      <w:r w:rsidRPr="00265403">
        <w:rPr>
          <w:noProof/>
          <w:lang w:val="fr-CA"/>
        </w:rPr>
        <w:t>D</w:t>
      </w:r>
      <w:r w:rsidR="00F8198C" w:rsidRPr="00265403">
        <w:rPr>
          <w:noProof/>
          <w:lang w:val="fr-CA"/>
        </w:rPr>
        <w:t>éterminer s’il convient d’incorporer dans l’Annexe I le texte relatif asux « autres questions d’ordre général liées à la réduction graduelle des HFC » figurant dans l’Annexe II, ou de reporter l’examen de cette question à une réunion future.</w:t>
      </w:r>
    </w:p>
    <w:p w14:paraId="366C8EC0" w14:textId="2E992666" w:rsidR="00D51B2A" w:rsidRPr="00944BFF" w:rsidRDefault="00B3661A" w:rsidP="00B3661A">
      <w:pPr>
        <w:pStyle w:val="Heading2"/>
        <w:widowControl/>
        <w:numPr>
          <w:ilvl w:val="0"/>
          <w:numId w:val="0"/>
        </w:numPr>
        <w:ind w:left="1440" w:hanging="720"/>
        <w:rPr>
          <w:color w:val="000000"/>
          <w:lang w:val="fr-FR"/>
        </w:rPr>
      </w:pPr>
      <w:r>
        <w:rPr>
          <w:b/>
          <w:lang w:val="fr-FR"/>
        </w:rPr>
        <w:t>c)</w:t>
      </w:r>
      <w:r>
        <w:rPr>
          <w:b/>
          <w:lang w:val="fr-FR"/>
        </w:rPr>
        <w:tab/>
      </w:r>
      <w:r w:rsidR="005A3E67" w:rsidRPr="00944BFF">
        <w:rPr>
          <w:b/>
          <w:lang w:val="fr-FR"/>
        </w:rPr>
        <w:t>Principaux aspects en lien avec le</w:t>
      </w:r>
      <w:r w:rsidR="00EE440F">
        <w:rPr>
          <w:b/>
          <w:lang w:val="fr-FR"/>
        </w:rPr>
        <w:t>s technologies de contrôle des é</w:t>
      </w:r>
      <w:r w:rsidR="005A3E67" w:rsidRPr="00944BFF">
        <w:rPr>
          <w:b/>
          <w:lang w:val="fr-FR"/>
        </w:rPr>
        <w:t>missions du sous</w:t>
      </w:r>
      <w:r w:rsidR="002F1864">
        <w:rPr>
          <w:b/>
          <w:lang w:val="fr-FR"/>
        </w:rPr>
        <w:noBreakHyphen/>
      </w:r>
      <w:r w:rsidR="005A3E67" w:rsidRPr="00944BFF">
        <w:rPr>
          <w:b/>
          <w:lang w:val="fr-FR"/>
        </w:rPr>
        <w:t xml:space="preserve">produit </w:t>
      </w:r>
      <w:r w:rsidR="00D51B2A" w:rsidRPr="00944BFF">
        <w:rPr>
          <w:b/>
          <w:color w:val="000000"/>
          <w:lang w:val="fr-FR"/>
        </w:rPr>
        <w:t xml:space="preserve">HFC-23 </w:t>
      </w:r>
      <w:r w:rsidR="005A3E67" w:rsidRPr="00944BFF">
        <w:rPr>
          <w:b/>
          <w:color w:val="000000"/>
          <w:lang w:val="fr-FR"/>
        </w:rPr>
        <w:t>(dé</w:t>
      </w:r>
      <w:r w:rsidR="00D51B2A" w:rsidRPr="00944BFF">
        <w:rPr>
          <w:b/>
          <w:color w:val="000000"/>
          <w:lang w:val="fr-FR"/>
        </w:rPr>
        <w:t>cision 82/85)</w:t>
      </w:r>
    </w:p>
    <w:p w14:paraId="7DAD2686" w14:textId="1A53D36A" w:rsidR="00D51B2A" w:rsidRPr="006C0A36" w:rsidRDefault="005A3E67" w:rsidP="006823BA">
      <w:pPr>
        <w:spacing w:after="240"/>
        <w:ind w:left="709"/>
        <w:rPr>
          <w:color w:val="000000"/>
          <w:highlight w:val="yellow"/>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 xml:space="preserve">ocument </w:t>
      </w:r>
      <w:r w:rsidR="00D51B2A" w:rsidRPr="00117F68">
        <w:rPr>
          <w:color w:val="000000" w:themeColor="text1"/>
          <w:u w:val="single"/>
          <w:lang w:val="fr-FR"/>
        </w:rPr>
        <w:t>UNEP/Oz</w:t>
      </w:r>
      <w:r w:rsidR="00D51B2A" w:rsidRPr="00117F68">
        <w:rPr>
          <w:color w:val="000000" w:themeColor="text1"/>
          <w:szCs w:val="24"/>
          <w:u w:val="single"/>
          <w:lang w:val="fr-FR"/>
        </w:rPr>
        <w:t>L.Pro/ExCom/83/44</w:t>
      </w:r>
      <w:r w:rsidR="00D51B2A" w:rsidRPr="00117F68">
        <w:rPr>
          <w:color w:val="000000" w:themeColor="text1"/>
          <w:szCs w:val="24"/>
          <w:lang w:val="fr-FR"/>
        </w:rPr>
        <w:t xml:space="preserve"> </w:t>
      </w:r>
      <w:r w:rsidR="00B3661A" w:rsidRPr="00117F68">
        <w:rPr>
          <w:color w:val="000000" w:themeColor="text1"/>
          <w:szCs w:val="24"/>
          <w:lang w:val="fr-FR"/>
        </w:rPr>
        <w:t>fournit de l’</w:t>
      </w:r>
      <w:r w:rsidR="00D51B2A" w:rsidRPr="00117F68">
        <w:rPr>
          <w:color w:val="000000"/>
          <w:lang w:val="fr-FR"/>
        </w:rPr>
        <w:t xml:space="preserve">information </w:t>
      </w:r>
      <w:r w:rsidR="00B3661A" w:rsidRPr="00117F68">
        <w:rPr>
          <w:color w:val="000000"/>
          <w:lang w:val="fr-FR"/>
        </w:rPr>
        <w:t xml:space="preserve">sur le projet visant à contrôler les émissions du sous-produit </w:t>
      </w:r>
      <w:r w:rsidR="00B3661A" w:rsidRPr="00117F68">
        <w:rPr>
          <w:lang w:val="fr-FR"/>
        </w:rPr>
        <w:t>HFC-23 chez</w:t>
      </w:r>
      <w:r w:rsidR="00D51B2A" w:rsidRPr="00117F68">
        <w:rPr>
          <w:lang w:val="fr-FR"/>
        </w:rPr>
        <w:t xml:space="preserve"> Frio Industrias Argentinas (FIASA), </w:t>
      </w:r>
      <w:r w:rsidR="00B3661A" w:rsidRPr="00117F68">
        <w:rPr>
          <w:lang w:val="fr-FR"/>
        </w:rPr>
        <w:t>à mettre en œuvre par l’ONUDI</w:t>
      </w:r>
      <w:r w:rsidR="00D51B2A" w:rsidRPr="00117F68">
        <w:rPr>
          <w:lang w:val="fr-FR"/>
        </w:rPr>
        <w:t xml:space="preserve">, </w:t>
      </w:r>
      <w:r w:rsidR="002D517D" w:rsidRPr="00117F68">
        <w:rPr>
          <w:lang w:val="fr-FR"/>
        </w:rPr>
        <w:t xml:space="preserve">et </w:t>
      </w:r>
      <w:r w:rsidR="00B3661A" w:rsidRPr="00117F68">
        <w:rPr>
          <w:lang w:val="fr-FR"/>
        </w:rPr>
        <w:t>de l’</w:t>
      </w:r>
      <w:r w:rsidR="00D51B2A" w:rsidRPr="00117F68">
        <w:rPr>
          <w:lang w:val="fr-FR"/>
        </w:rPr>
        <w:t xml:space="preserve">information </w:t>
      </w:r>
      <w:r w:rsidR="00B3661A" w:rsidRPr="00117F68">
        <w:rPr>
          <w:lang w:val="fr-FR"/>
        </w:rPr>
        <w:t>sur l’audit technique de</w:t>
      </w:r>
      <w:r w:rsidR="00D51B2A" w:rsidRPr="00117F68">
        <w:rPr>
          <w:lang w:val="fr-FR"/>
        </w:rPr>
        <w:t xml:space="preserve"> FIASA </w:t>
      </w:r>
      <w:r w:rsidR="002D517D" w:rsidRPr="00117F68">
        <w:rPr>
          <w:lang w:val="fr-FR"/>
        </w:rPr>
        <w:t xml:space="preserve">pour établir le coût de la fermeture, préparé par un consultant indépendant, ainsi que les observations et recommandations du Secrétariat </w:t>
      </w:r>
      <w:r w:rsidR="006C0A36" w:rsidRPr="00117F68">
        <w:rPr>
          <w:lang w:val="fr-FR"/>
        </w:rPr>
        <w:t>s</w:t>
      </w:r>
      <w:r w:rsidR="002D517D" w:rsidRPr="00117F68">
        <w:rPr>
          <w:lang w:val="fr-FR"/>
        </w:rPr>
        <w:t>ur le projet. Le document identifie</w:t>
      </w:r>
      <w:r w:rsidR="00D51B2A" w:rsidRPr="00117F68">
        <w:rPr>
          <w:lang w:val="fr-FR"/>
        </w:rPr>
        <w:t xml:space="preserve"> </w:t>
      </w:r>
      <w:r w:rsidR="002D517D" w:rsidRPr="00117F68">
        <w:rPr>
          <w:lang w:val="fr-FR"/>
        </w:rPr>
        <w:t>aussi des enjeux de politiques sur lesquels les orientations du Comité exécutif sont sollicitées en vue du financement des activités reliées aux obligations de conformité relatives au contrôle des émissions du sous</w:t>
      </w:r>
      <w:r w:rsidR="00674009">
        <w:rPr>
          <w:lang w:val="fr-FR"/>
        </w:rPr>
        <w:noBreakHyphen/>
      </w:r>
      <w:r w:rsidR="002D517D" w:rsidRPr="00117F68">
        <w:rPr>
          <w:lang w:val="fr-FR"/>
        </w:rPr>
        <w:t>produit</w:t>
      </w:r>
      <w:r w:rsidR="00D51B2A" w:rsidRPr="00117F68">
        <w:rPr>
          <w:lang w:val="fr-FR"/>
        </w:rPr>
        <w:t xml:space="preserve"> HFC-23 </w:t>
      </w:r>
      <w:r w:rsidR="002D517D" w:rsidRPr="00117F68">
        <w:rPr>
          <w:lang w:val="fr-FR"/>
        </w:rPr>
        <w:t>dans les pays visés à l’article 5</w:t>
      </w:r>
      <w:r w:rsidR="00D51B2A" w:rsidRPr="00117F68">
        <w:rPr>
          <w:lang w:val="fr-FR"/>
        </w:rPr>
        <w:t>.</w:t>
      </w:r>
    </w:p>
    <w:p w14:paraId="76ABED85" w14:textId="602BC9FF" w:rsidR="00D51B2A" w:rsidRPr="00352E52" w:rsidRDefault="005A3E67" w:rsidP="006823BA">
      <w:pPr>
        <w:spacing w:after="240"/>
        <w:ind w:left="709"/>
        <w:rPr>
          <w:color w:val="000000"/>
          <w:lang w:val="fr-FR"/>
        </w:rPr>
      </w:pPr>
      <w:r w:rsidRPr="00352E52">
        <w:rPr>
          <w:color w:val="000000"/>
          <w:u w:val="single"/>
          <w:lang w:val="fr-FR"/>
        </w:rPr>
        <w:t xml:space="preserve">Questions à traiter </w:t>
      </w:r>
      <w:r w:rsidR="00D51B2A" w:rsidRPr="00352E52">
        <w:rPr>
          <w:color w:val="000000"/>
          <w:lang w:val="fr-FR"/>
        </w:rPr>
        <w:t>: </w:t>
      </w:r>
    </w:p>
    <w:p w14:paraId="3CC3F77C" w14:textId="5269F666" w:rsidR="00D51B2A" w:rsidRPr="00352E52" w:rsidRDefault="002D517D" w:rsidP="00761F88">
      <w:pPr>
        <w:pStyle w:val="ListParagraph"/>
        <w:numPr>
          <w:ilvl w:val="0"/>
          <w:numId w:val="20"/>
        </w:numPr>
        <w:spacing w:after="240"/>
        <w:jc w:val="both"/>
        <w:rPr>
          <w:color w:val="000000"/>
          <w:lang w:val="fr-FR"/>
        </w:rPr>
      </w:pPr>
      <w:r w:rsidRPr="00352E52">
        <w:rPr>
          <w:lang w:val="fr-FR"/>
        </w:rPr>
        <w:t xml:space="preserve">Donner </w:t>
      </w:r>
      <w:r w:rsidR="00441587" w:rsidRPr="00352E52">
        <w:rPr>
          <w:lang w:val="fr-FR"/>
        </w:rPr>
        <w:t>une orientation</w:t>
      </w:r>
      <w:r w:rsidRPr="00352E52">
        <w:rPr>
          <w:lang w:val="fr-FR"/>
        </w:rPr>
        <w:t xml:space="preserve"> sur les politiques concernant les projets de contrôle des émissions du sous-produit </w:t>
      </w:r>
      <w:r w:rsidR="00D51B2A" w:rsidRPr="00352E52">
        <w:rPr>
          <w:lang w:val="fr-FR"/>
        </w:rPr>
        <w:t xml:space="preserve">HFC-23 </w:t>
      </w:r>
      <w:r w:rsidRPr="00352E52">
        <w:rPr>
          <w:lang w:val="fr-FR"/>
        </w:rPr>
        <w:t xml:space="preserve">dans les pays visés à l’article 5 </w:t>
      </w:r>
    </w:p>
    <w:p w14:paraId="44FA26BD" w14:textId="308A7F03" w:rsidR="00D51B2A" w:rsidRPr="00352E52" w:rsidRDefault="00352E52" w:rsidP="00761F88">
      <w:pPr>
        <w:pStyle w:val="ListParagraph"/>
        <w:numPr>
          <w:ilvl w:val="0"/>
          <w:numId w:val="20"/>
        </w:numPr>
        <w:spacing w:after="240"/>
        <w:jc w:val="both"/>
        <w:rPr>
          <w:color w:val="000000"/>
          <w:lang w:val="fr-FR"/>
        </w:rPr>
      </w:pPr>
      <w:r w:rsidRPr="00352E52">
        <w:rPr>
          <w:lang w:val="fr-FR"/>
        </w:rPr>
        <w:t xml:space="preserve">Conformément à </w:t>
      </w:r>
      <w:r w:rsidR="006C0A36" w:rsidRPr="00352E52">
        <w:rPr>
          <w:lang w:val="fr-FR"/>
        </w:rPr>
        <w:t>cette orientation, le niveau approprié du</w:t>
      </w:r>
      <w:r w:rsidR="002D517D" w:rsidRPr="00352E52">
        <w:rPr>
          <w:lang w:val="fr-FR"/>
        </w:rPr>
        <w:t xml:space="preserve"> financement pour contrôler le sous-produit </w:t>
      </w:r>
      <w:r w:rsidR="00D51B2A" w:rsidRPr="00352E52">
        <w:rPr>
          <w:lang w:val="fr-FR"/>
        </w:rPr>
        <w:t xml:space="preserve">HFC-23 </w:t>
      </w:r>
      <w:r w:rsidR="002D517D" w:rsidRPr="00352E52">
        <w:rPr>
          <w:lang w:val="fr-FR"/>
        </w:rPr>
        <w:t xml:space="preserve">chez </w:t>
      </w:r>
      <w:r w:rsidR="00D51B2A" w:rsidRPr="00352E52">
        <w:rPr>
          <w:lang w:val="fr-FR"/>
        </w:rPr>
        <w:t>FIASA</w:t>
      </w:r>
      <w:r w:rsidR="002D517D" w:rsidRPr="00352E52">
        <w:rPr>
          <w:lang w:val="fr-FR"/>
        </w:rPr>
        <w:t xml:space="preserve">, selon les </w:t>
      </w:r>
      <w:r w:rsidR="00D51B2A" w:rsidRPr="00352E52">
        <w:rPr>
          <w:lang w:val="fr-FR"/>
        </w:rPr>
        <w:t xml:space="preserve">options </w:t>
      </w:r>
      <w:r w:rsidR="002D517D" w:rsidRPr="00352E52">
        <w:rPr>
          <w:lang w:val="fr-FR"/>
        </w:rPr>
        <w:t>de r</w:t>
      </w:r>
      <w:r w:rsidR="00117F68">
        <w:rPr>
          <w:lang w:val="fr-FR"/>
        </w:rPr>
        <w:t>ed</w:t>
      </w:r>
      <w:r w:rsidR="002D517D" w:rsidRPr="00352E52">
        <w:rPr>
          <w:lang w:val="fr-FR"/>
        </w:rPr>
        <w:t>é</w:t>
      </w:r>
      <w:r w:rsidR="00117F68">
        <w:rPr>
          <w:lang w:val="fr-FR"/>
        </w:rPr>
        <w:t>marrage</w:t>
      </w:r>
      <w:r w:rsidR="002D517D" w:rsidRPr="00352E52">
        <w:rPr>
          <w:lang w:val="fr-FR"/>
        </w:rPr>
        <w:t xml:space="preserve"> de l’incinérateur sur place, de destruction hors du site ou de fermeture.  </w:t>
      </w:r>
    </w:p>
    <w:p w14:paraId="4BAD0091" w14:textId="21D6E330" w:rsidR="00D51B2A" w:rsidRDefault="005A3E67" w:rsidP="006823BA">
      <w:pPr>
        <w:pStyle w:val="Heading1"/>
        <w:keepNext/>
        <w:keepLines/>
        <w:numPr>
          <w:ilvl w:val="0"/>
          <w:numId w:val="0"/>
        </w:numPr>
        <w:tabs>
          <w:tab w:val="left" w:pos="720"/>
        </w:tabs>
        <w:ind w:firstLine="720"/>
        <w:rPr>
          <w:kern w:val="36"/>
          <w:lang w:val="fr-FR"/>
        </w:rPr>
      </w:pPr>
      <w:r w:rsidRPr="00441587">
        <w:rPr>
          <w:color w:val="000000"/>
          <w:kern w:val="36"/>
          <w:u w:val="single"/>
          <w:lang w:val="fr-FR"/>
        </w:rPr>
        <w:lastRenderedPageBreak/>
        <w:t>L</w:t>
      </w:r>
      <w:r w:rsidR="00D51B2A" w:rsidRPr="00441587">
        <w:rPr>
          <w:color w:val="000000"/>
          <w:kern w:val="36"/>
          <w:u w:val="single"/>
          <w:lang w:val="fr-FR"/>
        </w:rPr>
        <w:t xml:space="preserve">e </w:t>
      </w:r>
      <w:r w:rsidRPr="00441587">
        <w:rPr>
          <w:color w:val="000000"/>
          <w:kern w:val="36"/>
          <w:u w:val="single"/>
          <w:lang w:val="fr-FR"/>
        </w:rPr>
        <w:t xml:space="preserve">Comité exécutif pourrait souhaiter </w:t>
      </w:r>
      <w:r w:rsidR="00D51B2A" w:rsidRPr="00441587">
        <w:rPr>
          <w:kern w:val="36"/>
          <w:lang w:val="fr-FR"/>
        </w:rPr>
        <w:t>:</w:t>
      </w:r>
    </w:p>
    <w:p w14:paraId="273162C7" w14:textId="7A7A42C4" w:rsidR="00352E52" w:rsidRPr="00265403" w:rsidRDefault="00352E52" w:rsidP="006823BA">
      <w:pPr>
        <w:pStyle w:val="Heading2"/>
        <w:keepNext/>
        <w:keepLines/>
        <w:numPr>
          <w:ilvl w:val="0"/>
          <w:numId w:val="0"/>
        </w:numPr>
        <w:shd w:val="clear" w:color="auto" w:fill="FFFFFF"/>
        <w:ind w:left="1440" w:hanging="720"/>
        <w:rPr>
          <w:color w:val="222222"/>
          <w:lang w:val="fr-CA"/>
        </w:rPr>
      </w:pPr>
      <w:r w:rsidRPr="00265403">
        <w:rPr>
          <w:lang w:val="fr-CA"/>
        </w:rPr>
        <w:t>a)</w:t>
      </w:r>
      <w:r w:rsidRPr="00265403">
        <w:rPr>
          <w:lang w:val="fr-CA"/>
        </w:rPr>
        <w:tab/>
      </w:r>
      <w:r w:rsidRPr="00352E52">
        <w:rPr>
          <w:bCs/>
          <w:color w:val="222222"/>
          <w:lang w:val="fr-CA"/>
        </w:rPr>
        <w:t>Prendre note des principaux aspects relatifs aux technologies de contrôle du sous</w:t>
      </w:r>
      <w:r w:rsidRPr="00352E52">
        <w:rPr>
          <w:bCs/>
          <w:color w:val="222222"/>
          <w:lang w:val="fr-CA"/>
        </w:rPr>
        <w:noBreakHyphen/>
        <w:t>produit HFC</w:t>
      </w:r>
      <w:r w:rsidRPr="00352E52">
        <w:rPr>
          <w:bCs/>
          <w:color w:val="222222"/>
          <w:lang w:val="fr-CA"/>
        </w:rPr>
        <w:noBreakHyphen/>
        <w:t xml:space="preserve">23 (décision 82/85) figurant dans le </w:t>
      </w:r>
      <w:r>
        <w:rPr>
          <w:bCs/>
          <w:color w:val="222222"/>
          <w:lang w:val="fr-CA"/>
        </w:rPr>
        <w:t>document</w:t>
      </w:r>
      <w:r w:rsidRPr="00352E52">
        <w:rPr>
          <w:bCs/>
          <w:color w:val="222222"/>
          <w:lang w:val="fr-CA"/>
        </w:rPr>
        <w:t> UNEP/OzL.Pro/ExCom/83/44;</w:t>
      </w:r>
    </w:p>
    <w:p w14:paraId="2CA72B62" w14:textId="3A7C7CEA" w:rsidR="00352E52" w:rsidRPr="00265403" w:rsidRDefault="00352E52" w:rsidP="00352E52">
      <w:pPr>
        <w:pStyle w:val="Heading2"/>
        <w:numPr>
          <w:ilvl w:val="0"/>
          <w:numId w:val="0"/>
        </w:numPr>
        <w:shd w:val="clear" w:color="auto" w:fill="FFFFFF"/>
        <w:ind w:left="1440" w:hanging="720"/>
        <w:rPr>
          <w:bCs/>
          <w:color w:val="222222"/>
          <w:lang w:val="fr-CA"/>
        </w:rPr>
      </w:pPr>
      <w:r>
        <w:rPr>
          <w:bCs/>
          <w:color w:val="222222"/>
          <w:lang w:val="fr-CA"/>
        </w:rPr>
        <w:t>b)</w:t>
      </w:r>
      <w:r>
        <w:rPr>
          <w:bCs/>
          <w:color w:val="222222"/>
          <w:lang w:val="fr-CA"/>
        </w:rPr>
        <w:tab/>
      </w:r>
      <w:r w:rsidRPr="00352E52">
        <w:rPr>
          <w:bCs/>
          <w:color w:val="222222"/>
          <w:lang w:val="fr-CA"/>
        </w:rPr>
        <w:t>Envisager toute aide technique et financière destinée au gouvernement de l’Argentine, en vue d’assurer le respect des obligations en matière de contrôle du sous</w:t>
      </w:r>
      <w:r w:rsidRPr="00352E52">
        <w:rPr>
          <w:bCs/>
          <w:color w:val="222222"/>
          <w:lang w:val="fr-CA"/>
        </w:rPr>
        <w:noBreakHyphen/>
        <w:t>produit HFC</w:t>
      </w:r>
      <w:r w:rsidRPr="00352E52">
        <w:rPr>
          <w:bCs/>
          <w:color w:val="222222"/>
          <w:lang w:val="fr-CA"/>
        </w:rPr>
        <w:noBreakHyphen/>
        <w:t>23 au titre de l’Amendement de Kigali du Protocole de Montréal, à la lumière de l’information contenue dans le document UNEP/OzL.Pro/ExCom/83/44;</w:t>
      </w:r>
    </w:p>
    <w:p w14:paraId="24382632" w14:textId="291EED24" w:rsidR="00352E52" w:rsidRPr="00265403" w:rsidRDefault="00352E52" w:rsidP="00352E52">
      <w:pPr>
        <w:pStyle w:val="Heading2"/>
        <w:numPr>
          <w:ilvl w:val="0"/>
          <w:numId w:val="0"/>
        </w:numPr>
        <w:shd w:val="clear" w:color="auto" w:fill="FFFFFF"/>
        <w:ind w:left="1440" w:hanging="720"/>
        <w:rPr>
          <w:bCs/>
          <w:color w:val="222222"/>
          <w:lang w:val="fr-CA"/>
        </w:rPr>
      </w:pPr>
      <w:r>
        <w:rPr>
          <w:bCs/>
          <w:color w:val="222222"/>
          <w:lang w:val="fr-CA"/>
        </w:rPr>
        <w:t>c)</w:t>
      </w:r>
      <w:r>
        <w:rPr>
          <w:bCs/>
          <w:color w:val="222222"/>
          <w:lang w:val="fr-CA"/>
        </w:rPr>
        <w:tab/>
        <w:t>E</w:t>
      </w:r>
      <w:r w:rsidRPr="00352E52">
        <w:rPr>
          <w:bCs/>
          <w:color w:val="222222"/>
          <w:lang w:val="fr-CA"/>
        </w:rPr>
        <w:t>nvisager de fournir une orientation politique concernant les questions suivantes relatives aux projets de contrôle du sous</w:t>
      </w:r>
      <w:r w:rsidRPr="00352E52">
        <w:rPr>
          <w:bCs/>
          <w:color w:val="222222"/>
          <w:lang w:val="fr-CA"/>
        </w:rPr>
        <w:noBreakHyphen/>
        <w:t>produit HFC</w:t>
      </w:r>
      <w:r w:rsidRPr="00352E52">
        <w:rPr>
          <w:bCs/>
          <w:color w:val="222222"/>
          <w:lang w:val="fr-CA"/>
        </w:rPr>
        <w:noBreakHyphen/>
        <w:t>23 :</w:t>
      </w:r>
    </w:p>
    <w:p w14:paraId="191E0C9B" w14:textId="77777777" w:rsidR="00352E52" w:rsidRPr="00265403" w:rsidRDefault="00352E52" w:rsidP="00352E52">
      <w:pPr>
        <w:pStyle w:val="Heading3"/>
        <w:numPr>
          <w:ilvl w:val="0"/>
          <w:numId w:val="0"/>
        </w:numPr>
        <w:shd w:val="clear" w:color="auto" w:fill="FFFFFF"/>
        <w:ind w:left="2160" w:hanging="720"/>
        <w:rPr>
          <w:bCs/>
          <w:color w:val="222222"/>
          <w:lang w:val="fr-CA"/>
        </w:rPr>
      </w:pPr>
      <w:r w:rsidRPr="00352E52">
        <w:rPr>
          <w:bCs/>
          <w:color w:val="222222"/>
          <w:lang w:val="fr-CA"/>
        </w:rPr>
        <w:t>i)</w:t>
      </w:r>
      <w:r w:rsidRPr="00352E52">
        <w:rPr>
          <w:bCs/>
          <w:color w:val="222222"/>
          <w:sz w:val="14"/>
          <w:szCs w:val="14"/>
          <w:lang w:val="fr-CA"/>
        </w:rPr>
        <w:t>                 </w:t>
      </w:r>
      <w:r w:rsidRPr="00352E52">
        <w:rPr>
          <w:bCs/>
          <w:color w:val="222222"/>
          <w:lang w:val="fr-CA"/>
        </w:rPr>
        <w:t>Mesure dans laquelle la demande de marché et la rentabilité de la production de HCFC</w:t>
      </w:r>
      <w:r w:rsidRPr="00352E52">
        <w:rPr>
          <w:bCs/>
          <w:color w:val="222222"/>
          <w:lang w:val="fr-CA"/>
        </w:rPr>
        <w:noBreakHyphen/>
        <w:t>22 devraient déterminer la future production de cette substance;</w:t>
      </w:r>
    </w:p>
    <w:p w14:paraId="30D651E1" w14:textId="77777777" w:rsidR="00352E52" w:rsidRPr="00265403" w:rsidRDefault="00352E52" w:rsidP="00352E52">
      <w:pPr>
        <w:pStyle w:val="Heading3"/>
        <w:numPr>
          <w:ilvl w:val="0"/>
          <w:numId w:val="0"/>
        </w:numPr>
        <w:shd w:val="clear" w:color="auto" w:fill="FFFFFF"/>
        <w:ind w:left="2160" w:hanging="720"/>
        <w:rPr>
          <w:bCs/>
          <w:color w:val="222222"/>
          <w:lang w:val="fr-CA"/>
        </w:rPr>
      </w:pPr>
      <w:r w:rsidRPr="00352E52">
        <w:rPr>
          <w:bCs/>
          <w:color w:val="222222"/>
          <w:lang w:val="fr-CA"/>
        </w:rPr>
        <w:t>ii)</w:t>
      </w:r>
      <w:r w:rsidRPr="00352E52">
        <w:rPr>
          <w:bCs/>
          <w:color w:val="222222"/>
          <w:sz w:val="14"/>
          <w:szCs w:val="14"/>
          <w:lang w:val="fr-CA"/>
        </w:rPr>
        <w:t>               </w:t>
      </w:r>
      <w:r w:rsidRPr="00352E52">
        <w:rPr>
          <w:bCs/>
          <w:color w:val="222222"/>
          <w:lang w:val="fr-CA"/>
        </w:rPr>
        <w:t>Fondement pour utiliser la production de HCFC</w:t>
      </w:r>
      <w:r w:rsidRPr="00352E52">
        <w:rPr>
          <w:bCs/>
          <w:color w:val="222222"/>
          <w:lang w:val="fr-CA"/>
        </w:rPr>
        <w:noBreakHyphen/>
        <w:t>22 en vue de déterminer les surcoûts d’exploitation;</w:t>
      </w:r>
    </w:p>
    <w:p w14:paraId="290FE7BA" w14:textId="697CADCE" w:rsidR="00352E52" w:rsidRPr="00265403" w:rsidRDefault="00352E52" w:rsidP="00352E52">
      <w:pPr>
        <w:pStyle w:val="Heading3"/>
        <w:numPr>
          <w:ilvl w:val="0"/>
          <w:numId w:val="0"/>
        </w:numPr>
        <w:shd w:val="clear" w:color="auto" w:fill="FFFFFF"/>
        <w:ind w:left="2160" w:hanging="720"/>
        <w:rPr>
          <w:bCs/>
          <w:color w:val="222222"/>
          <w:lang w:val="fr-CA"/>
        </w:rPr>
      </w:pPr>
      <w:r w:rsidRPr="00352E52">
        <w:rPr>
          <w:bCs/>
          <w:color w:val="222222"/>
          <w:lang w:val="fr-CA"/>
        </w:rPr>
        <w:t>iii)</w:t>
      </w:r>
      <w:r w:rsidRPr="00352E52">
        <w:rPr>
          <w:bCs/>
          <w:color w:val="222222"/>
          <w:sz w:val="14"/>
          <w:szCs w:val="14"/>
          <w:lang w:val="fr-CA"/>
        </w:rPr>
        <w:t>             </w:t>
      </w:r>
      <w:r w:rsidRPr="00352E52">
        <w:rPr>
          <w:bCs/>
          <w:color w:val="222222"/>
          <w:lang w:val="fr-CA"/>
        </w:rPr>
        <w:t>Durée du soutien financier procuré pour contrôler les émissions du sous</w:t>
      </w:r>
      <w:r w:rsidRPr="00352E52">
        <w:rPr>
          <w:bCs/>
          <w:color w:val="222222"/>
          <w:lang w:val="fr-CA"/>
        </w:rPr>
        <w:noBreakHyphen/>
        <w:t>produit HFC</w:t>
      </w:r>
      <w:r w:rsidRPr="00352E52">
        <w:rPr>
          <w:bCs/>
          <w:color w:val="222222"/>
          <w:lang w:val="fr-CA"/>
        </w:rPr>
        <w:noBreakHyphen/>
        <w:t>23;</w:t>
      </w:r>
      <w:r w:rsidR="00CA49E4">
        <w:rPr>
          <w:bCs/>
          <w:color w:val="222222"/>
          <w:lang w:val="fr-CA"/>
        </w:rPr>
        <w:t xml:space="preserve"> et</w:t>
      </w:r>
    </w:p>
    <w:p w14:paraId="54DE8A6C" w14:textId="227C48A2" w:rsidR="00352E52" w:rsidRPr="00265403" w:rsidRDefault="00352E52" w:rsidP="00352E52">
      <w:pPr>
        <w:pStyle w:val="Heading3"/>
        <w:numPr>
          <w:ilvl w:val="0"/>
          <w:numId w:val="0"/>
        </w:numPr>
        <w:shd w:val="clear" w:color="auto" w:fill="FFFFFF"/>
        <w:ind w:left="2160" w:hanging="720"/>
        <w:rPr>
          <w:bCs/>
          <w:color w:val="222222"/>
          <w:lang w:val="fr-CA"/>
        </w:rPr>
      </w:pPr>
      <w:r w:rsidRPr="00352E52">
        <w:rPr>
          <w:bCs/>
          <w:color w:val="222222"/>
          <w:lang w:val="fr-CA"/>
        </w:rPr>
        <w:t>iv)</w:t>
      </w:r>
      <w:r w:rsidRPr="00352E52">
        <w:rPr>
          <w:bCs/>
          <w:color w:val="222222"/>
          <w:sz w:val="14"/>
          <w:szCs w:val="14"/>
          <w:lang w:val="fr-CA"/>
        </w:rPr>
        <w:t>              </w:t>
      </w:r>
      <w:r w:rsidRPr="00352E52">
        <w:rPr>
          <w:bCs/>
          <w:color w:val="222222"/>
          <w:lang w:val="fr-CA"/>
        </w:rPr>
        <w:t>Niveau adéquat de coûts d’appui d’agence.</w:t>
      </w:r>
    </w:p>
    <w:p w14:paraId="4515048C" w14:textId="76780D37" w:rsidR="00D51B2A" w:rsidRPr="00944BFF" w:rsidRDefault="002D517D" w:rsidP="002D517D">
      <w:pPr>
        <w:pStyle w:val="Heading1"/>
        <w:numPr>
          <w:ilvl w:val="0"/>
          <w:numId w:val="0"/>
        </w:numPr>
        <w:rPr>
          <w:lang w:val="fr-FR"/>
        </w:rPr>
      </w:pPr>
      <w:r>
        <w:rPr>
          <w:b/>
          <w:lang w:val="fr-FR"/>
        </w:rPr>
        <w:t>13.</w:t>
      </w:r>
      <w:r>
        <w:rPr>
          <w:b/>
          <w:lang w:val="fr-FR"/>
        </w:rPr>
        <w:tab/>
      </w:r>
      <w:r w:rsidR="00D51B2A" w:rsidRPr="00944BFF">
        <w:rPr>
          <w:b/>
          <w:lang w:val="fr-FR"/>
        </w:rPr>
        <w:t>Po</w:t>
      </w:r>
      <w:r w:rsidR="005A3E67" w:rsidRPr="00944BFF">
        <w:rPr>
          <w:b/>
          <w:lang w:val="fr-FR"/>
        </w:rPr>
        <w:t>litique possible sur l’égalité des sexes pour le Fonds multilatéral (dé</w:t>
      </w:r>
      <w:r w:rsidR="00D51B2A" w:rsidRPr="00944BFF">
        <w:rPr>
          <w:b/>
          <w:lang w:val="fr-FR"/>
        </w:rPr>
        <w:t>cision 81/7(e))</w:t>
      </w:r>
    </w:p>
    <w:p w14:paraId="525C57AF" w14:textId="036190FB" w:rsidR="00D51B2A" w:rsidRPr="00944BFF" w:rsidRDefault="005A3E67"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L.Pro/ExCom/83/45</w:t>
      </w:r>
      <w:r w:rsidR="002D517D">
        <w:rPr>
          <w:color w:val="000000" w:themeColor="text1"/>
          <w:szCs w:val="24"/>
          <w:lang w:val="fr-FR"/>
        </w:rPr>
        <w:t xml:space="preserve"> contient</w:t>
      </w:r>
      <w:r w:rsidR="00D51B2A" w:rsidRPr="00944BFF">
        <w:rPr>
          <w:color w:val="000000" w:themeColor="text1"/>
          <w:lang w:val="fr-FR"/>
        </w:rPr>
        <w:t xml:space="preserve"> </w:t>
      </w:r>
      <w:r w:rsidR="002D517D">
        <w:rPr>
          <w:color w:val="000000" w:themeColor="text1"/>
          <w:lang w:val="fr-FR"/>
        </w:rPr>
        <w:t>un document de</w:t>
      </w:r>
      <w:r w:rsidR="00D51B2A" w:rsidRPr="00944BFF">
        <w:rPr>
          <w:color w:val="000000" w:themeColor="text1"/>
          <w:lang w:val="fr-FR"/>
        </w:rPr>
        <w:t xml:space="preserve"> discussion </w:t>
      </w:r>
      <w:r w:rsidR="002D517D">
        <w:rPr>
          <w:color w:val="000000" w:themeColor="text1"/>
          <w:lang w:val="fr-FR"/>
        </w:rPr>
        <w:t xml:space="preserve">qui présente les objectifs </w:t>
      </w:r>
      <w:r w:rsidR="00992823">
        <w:rPr>
          <w:color w:val="000000" w:themeColor="text1"/>
          <w:lang w:val="fr-FR"/>
        </w:rPr>
        <w:t xml:space="preserve">possibles </w:t>
      </w:r>
      <w:r w:rsidR="002D517D">
        <w:rPr>
          <w:color w:val="000000" w:themeColor="text1"/>
          <w:lang w:val="fr-FR"/>
        </w:rPr>
        <w:t xml:space="preserve">et </w:t>
      </w:r>
      <w:r w:rsidR="00992823">
        <w:rPr>
          <w:color w:val="000000" w:themeColor="text1"/>
          <w:lang w:val="fr-FR"/>
        </w:rPr>
        <w:t>les éléments</w:t>
      </w:r>
      <w:r w:rsidR="002D517D">
        <w:rPr>
          <w:color w:val="000000" w:themeColor="text1"/>
          <w:lang w:val="fr-FR"/>
        </w:rPr>
        <w:t xml:space="preserve"> d’une éventuelle politique </w:t>
      </w:r>
      <w:r w:rsidR="00992823">
        <w:rPr>
          <w:color w:val="000000" w:themeColor="text1"/>
          <w:lang w:val="fr-FR"/>
        </w:rPr>
        <w:t>en matière d’égalité des sexes pour</w:t>
      </w:r>
      <w:r w:rsidR="002D517D">
        <w:rPr>
          <w:color w:val="000000" w:themeColor="text1"/>
          <w:lang w:val="fr-FR"/>
        </w:rPr>
        <w:t xml:space="preserve"> le Fonds </w:t>
      </w:r>
      <w:r w:rsidR="00992823">
        <w:rPr>
          <w:color w:val="000000" w:themeColor="text1"/>
          <w:lang w:val="fr-FR"/>
        </w:rPr>
        <w:t>multilatéral</w:t>
      </w:r>
      <w:r w:rsidR="00D51B2A" w:rsidRPr="00944BFF">
        <w:rPr>
          <w:color w:val="000000" w:themeColor="text1"/>
          <w:lang w:val="fr-FR"/>
        </w:rPr>
        <w:t xml:space="preserve">, </w:t>
      </w:r>
      <w:r w:rsidR="00992823">
        <w:rPr>
          <w:color w:val="000000" w:themeColor="text1"/>
          <w:lang w:val="fr-FR"/>
        </w:rPr>
        <w:t>en tenant compte des politiques des agences bilatérales et d’exécution, des commentaires provenant des Unités nationales de l’ozone à travers les réunions de réseaux régionaux et de toute autre information pertinente (dé</w:t>
      </w:r>
      <w:r w:rsidR="00D51B2A" w:rsidRPr="00944BFF">
        <w:rPr>
          <w:color w:val="000000" w:themeColor="text1"/>
          <w:lang w:val="fr-FR"/>
        </w:rPr>
        <w:t>cision 81/7(e)).</w:t>
      </w:r>
    </w:p>
    <w:p w14:paraId="3B9CB2D6" w14:textId="5C72F14A" w:rsidR="00D51B2A" w:rsidRPr="00944BFF" w:rsidRDefault="005A3E67"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 xml:space="preserve">Questions à traiter </w:t>
      </w:r>
      <w:r w:rsidR="00D51B2A" w:rsidRPr="00944BFF">
        <w:rPr>
          <w:color w:val="000000" w:themeColor="text1"/>
          <w:lang w:val="fr-FR"/>
        </w:rPr>
        <w:t>: </w:t>
      </w:r>
    </w:p>
    <w:p w14:paraId="0585828E" w14:textId="409776D5" w:rsidR="00D51B2A" w:rsidRPr="00944BFF" w:rsidRDefault="00992823" w:rsidP="001963F3">
      <w:pPr>
        <w:pStyle w:val="ListParagraph"/>
        <w:numPr>
          <w:ilvl w:val="0"/>
          <w:numId w:val="11"/>
        </w:numPr>
        <w:tabs>
          <w:tab w:val="left" w:pos="720"/>
          <w:tab w:val="left" w:pos="1440"/>
          <w:tab w:val="left" w:pos="2160"/>
        </w:tabs>
        <w:spacing w:after="240"/>
        <w:jc w:val="both"/>
        <w:rPr>
          <w:color w:val="000000" w:themeColor="text1"/>
          <w:lang w:val="fr-FR"/>
        </w:rPr>
      </w:pPr>
      <w:r>
        <w:rPr>
          <w:color w:val="000000" w:themeColor="text1"/>
          <w:lang w:val="fr-FR"/>
        </w:rPr>
        <w:t>Do</w:t>
      </w:r>
      <w:r w:rsidR="00117F68">
        <w:rPr>
          <w:color w:val="000000" w:themeColor="text1"/>
          <w:lang w:val="fr-FR"/>
        </w:rPr>
        <w:t>n</w:t>
      </w:r>
      <w:r>
        <w:rPr>
          <w:color w:val="000000" w:themeColor="text1"/>
          <w:lang w:val="fr-FR"/>
        </w:rPr>
        <w:t xml:space="preserve">ner </w:t>
      </w:r>
      <w:r w:rsidR="001963F3">
        <w:rPr>
          <w:color w:val="000000" w:themeColor="text1"/>
          <w:lang w:val="fr-FR"/>
        </w:rPr>
        <w:t>une orientation</w:t>
      </w:r>
      <w:r>
        <w:rPr>
          <w:color w:val="000000" w:themeColor="text1"/>
          <w:lang w:val="fr-FR"/>
        </w:rPr>
        <w:t xml:space="preserve"> au Secrétariat afin</w:t>
      </w:r>
      <w:r w:rsidR="001963F3">
        <w:rPr>
          <w:color w:val="000000" w:themeColor="text1"/>
          <w:lang w:val="fr-FR"/>
        </w:rPr>
        <w:t xml:space="preserve"> de </w:t>
      </w:r>
      <w:r>
        <w:rPr>
          <w:color w:val="000000" w:themeColor="text1"/>
          <w:lang w:val="fr-FR"/>
        </w:rPr>
        <w:t>préparer ou pas un document pour la 84</w:t>
      </w:r>
      <w:r w:rsidRPr="00992823">
        <w:rPr>
          <w:color w:val="000000" w:themeColor="text1"/>
          <w:vertAlign w:val="superscript"/>
          <w:lang w:val="fr-FR"/>
        </w:rPr>
        <w:t>e</w:t>
      </w:r>
      <w:r w:rsidR="006877C9">
        <w:rPr>
          <w:color w:val="000000" w:themeColor="text1"/>
          <w:vertAlign w:val="superscript"/>
          <w:lang w:val="fr-FR"/>
        </w:rPr>
        <w:t> </w:t>
      </w:r>
      <w:r>
        <w:rPr>
          <w:color w:val="000000" w:themeColor="text1"/>
          <w:lang w:val="fr-FR"/>
        </w:rPr>
        <w:t>réunion qui présenterait une ébauche de politique sur l</w:t>
      </w:r>
      <w:r w:rsidR="001963F3">
        <w:rPr>
          <w:color w:val="000000" w:themeColor="text1"/>
          <w:lang w:val="fr-FR"/>
        </w:rPr>
        <w:t>’égalité des sex</w:t>
      </w:r>
      <w:r>
        <w:rPr>
          <w:color w:val="000000" w:themeColor="text1"/>
          <w:lang w:val="fr-FR"/>
        </w:rPr>
        <w:t xml:space="preserve">es </w:t>
      </w:r>
      <w:r w:rsidR="001963F3">
        <w:rPr>
          <w:color w:val="000000" w:themeColor="text1"/>
          <w:lang w:val="fr-FR"/>
        </w:rPr>
        <w:t xml:space="preserve">dans les </w:t>
      </w:r>
      <w:r>
        <w:rPr>
          <w:color w:val="000000" w:themeColor="text1"/>
          <w:lang w:val="fr-FR"/>
        </w:rPr>
        <w:t xml:space="preserve">projets soutenus par le Fonds multilatéral et la manière d’opérationnaliser une telle politique. </w:t>
      </w:r>
    </w:p>
    <w:p w14:paraId="6DEE27A6" w14:textId="56BA506D" w:rsidR="00D51B2A" w:rsidRPr="00441587" w:rsidRDefault="005A3E67" w:rsidP="00D51B2A">
      <w:pPr>
        <w:tabs>
          <w:tab w:val="left" w:pos="720"/>
          <w:tab w:val="left" w:pos="1440"/>
          <w:tab w:val="left" w:pos="2160"/>
        </w:tabs>
        <w:spacing w:after="240"/>
        <w:ind w:left="709"/>
        <w:outlineLvl w:val="0"/>
        <w:rPr>
          <w:color w:val="000000" w:themeColor="text1"/>
          <w:lang w:val="fr-FR"/>
        </w:rPr>
      </w:pPr>
      <w:r w:rsidRPr="00441587">
        <w:rPr>
          <w:color w:val="000000" w:themeColor="text1"/>
          <w:u w:val="single"/>
          <w:lang w:val="fr-FR"/>
        </w:rPr>
        <w:t>L</w:t>
      </w:r>
      <w:r w:rsidR="00D51B2A" w:rsidRPr="00441587">
        <w:rPr>
          <w:color w:val="000000" w:themeColor="text1"/>
          <w:u w:val="single"/>
          <w:lang w:val="fr-FR"/>
        </w:rPr>
        <w:t xml:space="preserve">e </w:t>
      </w:r>
      <w:r w:rsidRPr="00441587">
        <w:rPr>
          <w:color w:val="000000" w:themeColor="text1"/>
          <w:u w:val="single"/>
          <w:lang w:val="fr-FR"/>
        </w:rPr>
        <w:t xml:space="preserve">Comité exécutif pourrait souhaiter </w:t>
      </w:r>
      <w:r w:rsidR="00D51B2A" w:rsidRPr="00441587">
        <w:rPr>
          <w:color w:val="000000" w:themeColor="text1"/>
          <w:lang w:val="fr-FR"/>
        </w:rPr>
        <w:t xml:space="preserve">: </w:t>
      </w:r>
    </w:p>
    <w:p w14:paraId="6473EFA2" w14:textId="1AE7031D" w:rsidR="00D51B2A" w:rsidRPr="00441587" w:rsidRDefault="00992823" w:rsidP="00992823">
      <w:pPr>
        <w:pStyle w:val="Heading2"/>
        <w:numPr>
          <w:ilvl w:val="0"/>
          <w:numId w:val="0"/>
        </w:numPr>
        <w:ind w:left="1440" w:hanging="720"/>
        <w:rPr>
          <w:color w:val="000000" w:themeColor="text1"/>
          <w:lang w:val="fr-FR"/>
        </w:rPr>
      </w:pPr>
      <w:r w:rsidRPr="00441587">
        <w:rPr>
          <w:color w:val="000000" w:themeColor="text1"/>
          <w:lang w:val="fr-FR"/>
        </w:rPr>
        <w:t>a)</w:t>
      </w:r>
      <w:r w:rsidRPr="00441587">
        <w:rPr>
          <w:color w:val="000000" w:themeColor="text1"/>
          <w:lang w:val="fr-FR"/>
        </w:rPr>
        <w:tab/>
        <w:t>Prendre n</w:t>
      </w:r>
      <w:r w:rsidR="00D51B2A" w:rsidRPr="00441587">
        <w:rPr>
          <w:color w:val="000000" w:themeColor="text1"/>
          <w:lang w:val="fr-FR"/>
        </w:rPr>
        <w:t xml:space="preserve">ote </w:t>
      </w:r>
      <w:r w:rsidRPr="00441587">
        <w:rPr>
          <w:color w:val="000000" w:themeColor="text1"/>
          <w:lang w:val="fr-FR"/>
        </w:rPr>
        <w:t>des</w:t>
      </w:r>
      <w:r w:rsidR="00441587" w:rsidRPr="00441587">
        <w:rPr>
          <w:color w:val="000000" w:themeColor="text1"/>
          <w:lang w:val="fr-FR"/>
        </w:rPr>
        <w:t xml:space="preserve"> élé</w:t>
      </w:r>
      <w:r w:rsidR="00D51B2A" w:rsidRPr="00441587">
        <w:rPr>
          <w:color w:val="000000" w:themeColor="text1"/>
          <w:lang w:val="fr-FR"/>
        </w:rPr>
        <w:t xml:space="preserve">ments </w:t>
      </w:r>
      <w:r w:rsidR="00441587" w:rsidRPr="00441587">
        <w:rPr>
          <w:color w:val="000000" w:themeColor="text1"/>
          <w:lang w:val="fr-FR"/>
        </w:rPr>
        <w:t>d’un</w:t>
      </w:r>
      <w:r w:rsidRPr="00441587">
        <w:rPr>
          <w:color w:val="000000" w:themeColor="text1"/>
          <w:lang w:val="fr-FR"/>
        </w:rPr>
        <w:t xml:space="preserve">e éventuelle politique </w:t>
      </w:r>
      <w:r w:rsidR="00441587" w:rsidRPr="00441587">
        <w:rPr>
          <w:color w:val="000000" w:themeColor="text1"/>
          <w:lang w:val="fr-FR"/>
        </w:rPr>
        <w:t>du Fonds multilatéral en faveur de l</w:t>
      </w:r>
      <w:r w:rsidRPr="00441587">
        <w:rPr>
          <w:color w:val="000000" w:themeColor="text1"/>
          <w:lang w:val="fr-FR"/>
        </w:rPr>
        <w:t>’égalité des sexes</w:t>
      </w:r>
      <w:r w:rsidR="00441587" w:rsidRPr="00441587">
        <w:rPr>
          <w:color w:val="000000" w:themeColor="text1"/>
          <w:lang w:val="fr-FR"/>
        </w:rPr>
        <w:t xml:space="preserve">, présentée dans le </w:t>
      </w:r>
      <w:r w:rsidR="00D51B2A" w:rsidRPr="00441587">
        <w:rPr>
          <w:color w:val="000000" w:themeColor="text1"/>
          <w:lang w:val="fr-FR"/>
        </w:rPr>
        <w:t>document UNEP/OzL.Pro/ExCom/83/45;</w:t>
      </w:r>
    </w:p>
    <w:p w14:paraId="4EBCFC15" w14:textId="341490AA" w:rsidR="00D51B2A" w:rsidRPr="00441587" w:rsidRDefault="00992823" w:rsidP="00992823">
      <w:pPr>
        <w:pStyle w:val="Heading2"/>
        <w:numPr>
          <w:ilvl w:val="0"/>
          <w:numId w:val="0"/>
        </w:numPr>
        <w:ind w:left="1440" w:hanging="720"/>
        <w:rPr>
          <w:color w:val="000000" w:themeColor="text1"/>
          <w:lang w:val="fr-FR"/>
        </w:rPr>
      </w:pPr>
      <w:r w:rsidRPr="00441587">
        <w:rPr>
          <w:color w:val="000000" w:themeColor="text1"/>
          <w:lang w:val="fr-FR"/>
        </w:rPr>
        <w:t>b)</w:t>
      </w:r>
      <w:r w:rsidRPr="00441587">
        <w:rPr>
          <w:color w:val="000000" w:themeColor="text1"/>
          <w:lang w:val="fr-FR"/>
        </w:rPr>
        <w:tab/>
      </w:r>
      <w:r w:rsidR="00D51B2A" w:rsidRPr="00441587">
        <w:rPr>
          <w:color w:val="000000" w:themeColor="text1"/>
          <w:lang w:val="fr-FR"/>
        </w:rPr>
        <w:t>Encourage</w:t>
      </w:r>
      <w:r w:rsidRPr="00441587">
        <w:rPr>
          <w:color w:val="000000" w:themeColor="text1"/>
          <w:lang w:val="fr-FR"/>
        </w:rPr>
        <w:t>r</w:t>
      </w:r>
      <w:r w:rsidR="00D51B2A" w:rsidRPr="00441587">
        <w:rPr>
          <w:color w:val="000000" w:themeColor="text1"/>
          <w:lang w:val="fr-FR"/>
        </w:rPr>
        <w:t xml:space="preserve"> </w:t>
      </w:r>
      <w:r w:rsidRPr="00441587">
        <w:rPr>
          <w:color w:val="000000" w:themeColor="text1"/>
          <w:lang w:val="fr-FR"/>
        </w:rPr>
        <w:t>les agences bilaté</w:t>
      </w:r>
      <w:r w:rsidR="00D51B2A" w:rsidRPr="00441587">
        <w:rPr>
          <w:color w:val="000000" w:themeColor="text1"/>
          <w:lang w:val="fr-FR"/>
        </w:rPr>
        <w:t>ral</w:t>
      </w:r>
      <w:r w:rsidRPr="00441587">
        <w:rPr>
          <w:color w:val="000000" w:themeColor="text1"/>
          <w:lang w:val="fr-FR"/>
        </w:rPr>
        <w:t>es</w:t>
      </w:r>
      <w:r w:rsidR="00D51B2A" w:rsidRPr="00441587">
        <w:rPr>
          <w:color w:val="000000" w:themeColor="text1"/>
          <w:lang w:val="fr-FR"/>
        </w:rPr>
        <w:t xml:space="preserve"> </w:t>
      </w:r>
      <w:r w:rsidRPr="00441587">
        <w:rPr>
          <w:color w:val="000000" w:themeColor="text1"/>
          <w:lang w:val="fr-FR"/>
        </w:rPr>
        <w:t xml:space="preserve">et d’exécution à </w:t>
      </w:r>
      <w:r w:rsidR="00441587" w:rsidRPr="00441587">
        <w:rPr>
          <w:color w:val="000000" w:themeColor="text1"/>
          <w:lang w:val="fr-FR"/>
        </w:rPr>
        <w:t>utiliser</w:t>
      </w:r>
      <w:r w:rsidRPr="00441587">
        <w:rPr>
          <w:color w:val="000000" w:themeColor="text1"/>
          <w:lang w:val="fr-FR"/>
        </w:rPr>
        <w:t xml:space="preserve"> leurs </w:t>
      </w:r>
      <w:r w:rsidR="00441587" w:rsidRPr="00441587">
        <w:rPr>
          <w:color w:val="000000" w:themeColor="text1"/>
          <w:lang w:val="fr-FR"/>
        </w:rPr>
        <w:t xml:space="preserve">propres </w:t>
      </w:r>
      <w:r w:rsidRPr="00441587">
        <w:rPr>
          <w:color w:val="000000" w:themeColor="text1"/>
          <w:lang w:val="fr-FR"/>
        </w:rPr>
        <w:t xml:space="preserve">politiques </w:t>
      </w:r>
      <w:r w:rsidR="00441587" w:rsidRPr="00441587">
        <w:rPr>
          <w:color w:val="000000" w:themeColor="text1"/>
          <w:lang w:val="fr-FR"/>
        </w:rPr>
        <w:t>en faveur de l’ég</w:t>
      </w:r>
      <w:r w:rsidR="00D51B2A" w:rsidRPr="00441587">
        <w:rPr>
          <w:color w:val="000000" w:themeColor="text1"/>
          <w:lang w:val="fr-FR"/>
        </w:rPr>
        <w:t>a</w:t>
      </w:r>
      <w:r w:rsidR="00441587" w:rsidRPr="00441587">
        <w:rPr>
          <w:color w:val="000000" w:themeColor="text1"/>
          <w:lang w:val="fr-FR"/>
        </w:rPr>
        <w:t xml:space="preserve">lité des sexes lors de la préparation et de la mise en œuvre des projets financés par </w:t>
      </w:r>
      <w:r w:rsidRPr="00441587">
        <w:rPr>
          <w:color w:val="000000" w:themeColor="text1"/>
          <w:lang w:val="fr-FR"/>
        </w:rPr>
        <w:t>le Fonds multilatéral; et</w:t>
      </w:r>
    </w:p>
    <w:p w14:paraId="431F907D" w14:textId="6348C7B0" w:rsidR="00D51B2A" w:rsidRPr="00441587" w:rsidRDefault="00992823" w:rsidP="00992823">
      <w:pPr>
        <w:pStyle w:val="Heading2"/>
        <w:numPr>
          <w:ilvl w:val="0"/>
          <w:numId w:val="0"/>
        </w:numPr>
        <w:ind w:left="1440" w:hanging="720"/>
        <w:rPr>
          <w:color w:val="000000" w:themeColor="text1"/>
          <w:lang w:val="fr-FR"/>
        </w:rPr>
      </w:pPr>
      <w:r w:rsidRPr="00441587">
        <w:rPr>
          <w:color w:val="000000" w:themeColor="text1"/>
          <w:lang w:val="fr-FR"/>
        </w:rPr>
        <w:t>c)</w:t>
      </w:r>
      <w:r w:rsidRPr="00441587">
        <w:rPr>
          <w:color w:val="000000" w:themeColor="text1"/>
          <w:lang w:val="fr-FR"/>
        </w:rPr>
        <w:tab/>
        <w:t>Demander au Secrétariat, en consultation avec les agences bilatérales et d’exécution, de préparer un document pour examen à la 84</w:t>
      </w:r>
      <w:r w:rsidRPr="00441587">
        <w:rPr>
          <w:color w:val="000000" w:themeColor="text1"/>
          <w:vertAlign w:val="superscript"/>
          <w:lang w:val="fr-FR"/>
        </w:rPr>
        <w:t>e</w:t>
      </w:r>
      <w:r w:rsidRPr="00441587">
        <w:rPr>
          <w:color w:val="000000" w:themeColor="text1"/>
          <w:lang w:val="fr-FR"/>
        </w:rPr>
        <w:t xml:space="preserve"> réunion, </w:t>
      </w:r>
      <w:r w:rsidR="00441587" w:rsidRPr="00441587">
        <w:rPr>
          <w:color w:val="000000" w:themeColor="text1"/>
          <w:lang w:val="fr-FR"/>
        </w:rPr>
        <w:t>présent</w:t>
      </w:r>
      <w:r w:rsidRPr="00441587">
        <w:rPr>
          <w:color w:val="000000" w:themeColor="text1"/>
          <w:lang w:val="fr-FR"/>
        </w:rPr>
        <w:t>ant un</w:t>
      </w:r>
      <w:r w:rsidR="00441587" w:rsidRPr="00441587">
        <w:rPr>
          <w:color w:val="000000" w:themeColor="text1"/>
          <w:lang w:val="fr-FR"/>
        </w:rPr>
        <w:t xml:space="preserve"> projet de</w:t>
      </w:r>
      <w:r w:rsidRPr="00441587">
        <w:rPr>
          <w:color w:val="000000" w:themeColor="text1"/>
          <w:lang w:val="fr-FR"/>
        </w:rPr>
        <w:t xml:space="preserve"> politique </w:t>
      </w:r>
      <w:r w:rsidR="001963F3">
        <w:rPr>
          <w:color w:val="000000" w:themeColor="text1"/>
          <w:lang w:val="fr-FR"/>
        </w:rPr>
        <w:t>sur l’égalité des sexes</w:t>
      </w:r>
      <w:r w:rsidR="00441587" w:rsidRPr="00441587">
        <w:rPr>
          <w:color w:val="000000" w:themeColor="text1"/>
          <w:lang w:val="fr-FR"/>
        </w:rPr>
        <w:t xml:space="preserve"> pour les projets financés par le Fonds multilatéral ainsi que les modalités d’application associées</w:t>
      </w:r>
      <w:r w:rsidR="00D51B2A" w:rsidRPr="00441587">
        <w:rPr>
          <w:color w:val="000000" w:themeColor="text1"/>
          <w:lang w:val="fr-FR"/>
        </w:rPr>
        <w:t>.</w:t>
      </w:r>
    </w:p>
    <w:p w14:paraId="2CF6E39A" w14:textId="6BECF0EF" w:rsidR="00D51B2A" w:rsidRPr="00944BFF" w:rsidRDefault="00984659" w:rsidP="00984659">
      <w:pPr>
        <w:pStyle w:val="Heading1"/>
        <w:numPr>
          <w:ilvl w:val="0"/>
          <w:numId w:val="0"/>
        </w:numPr>
        <w:ind w:left="709" w:hanging="709"/>
        <w:rPr>
          <w:lang w:val="fr-FR"/>
        </w:rPr>
      </w:pPr>
      <w:r>
        <w:rPr>
          <w:b/>
          <w:lang w:val="fr-FR"/>
        </w:rPr>
        <w:lastRenderedPageBreak/>
        <w:t>14.</w:t>
      </w:r>
      <w:r>
        <w:rPr>
          <w:b/>
          <w:lang w:val="fr-FR"/>
        </w:rPr>
        <w:tab/>
      </w:r>
      <w:r w:rsidR="005A3E67" w:rsidRPr="00944BFF">
        <w:rPr>
          <w:b/>
          <w:lang w:val="fr-FR"/>
        </w:rPr>
        <w:t xml:space="preserve">Projet de rapport du Comité exécutif du Fonds multilatéral aux fins d’application du  </w:t>
      </w:r>
      <w:r w:rsidR="00D51B2A" w:rsidRPr="00944BFF">
        <w:rPr>
          <w:b/>
          <w:lang w:val="fr-FR"/>
        </w:rPr>
        <w:t>Protocol</w:t>
      </w:r>
      <w:r w:rsidR="005A3E67" w:rsidRPr="00944BFF">
        <w:rPr>
          <w:b/>
          <w:lang w:val="fr-FR"/>
        </w:rPr>
        <w:t xml:space="preserve">e de Montréal </w:t>
      </w:r>
      <w:r w:rsidR="00D51B2A" w:rsidRPr="00944BFF">
        <w:rPr>
          <w:b/>
          <w:lang w:val="fr-FR"/>
        </w:rPr>
        <w:t xml:space="preserve"> </w:t>
      </w:r>
      <w:r w:rsidR="005A3E67" w:rsidRPr="00944BFF">
        <w:rPr>
          <w:b/>
          <w:lang w:val="fr-FR"/>
        </w:rPr>
        <w:t xml:space="preserve">à la </w:t>
      </w:r>
      <w:r w:rsidR="002F1864">
        <w:rPr>
          <w:b/>
          <w:lang w:val="fr-FR"/>
        </w:rPr>
        <w:t>t</w:t>
      </w:r>
      <w:r w:rsidR="005A3E67" w:rsidRPr="00944BFF">
        <w:rPr>
          <w:b/>
          <w:lang w:val="fr-FR"/>
        </w:rPr>
        <w:t>rente et unième Réunion des</w:t>
      </w:r>
      <w:r w:rsidR="00D51B2A" w:rsidRPr="00944BFF">
        <w:rPr>
          <w:b/>
          <w:lang w:val="fr-FR"/>
        </w:rPr>
        <w:t xml:space="preserve"> Parties</w:t>
      </w:r>
    </w:p>
    <w:p w14:paraId="16865CC5" w14:textId="6E218676" w:rsidR="00D51B2A" w:rsidRPr="00944BFF" w:rsidRDefault="005A3E67" w:rsidP="00D51B2A">
      <w:pPr>
        <w:spacing w:after="240"/>
        <w:ind w:left="709"/>
        <w:rPr>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L.Pro/ExCom/83/46</w:t>
      </w:r>
      <w:r w:rsidR="00D51B2A" w:rsidRPr="00944BFF">
        <w:rPr>
          <w:color w:val="000000" w:themeColor="text1"/>
          <w:szCs w:val="24"/>
          <w:lang w:val="fr-FR"/>
        </w:rPr>
        <w:t xml:space="preserve"> </w:t>
      </w:r>
      <w:r w:rsidR="00D51B2A" w:rsidRPr="00944BFF">
        <w:rPr>
          <w:color w:val="000000" w:themeColor="text1"/>
          <w:lang w:val="fr-FR"/>
        </w:rPr>
        <w:t>cont</w:t>
      </w:r>
      <w:r w:rsidR="00984659">
        <w:rPr>
          <w:color w:val="000000" w:themeColor="text1"/>
          <w:lang w:val="fr-FR"/>
        </w:rPr>
        <w:t xml:space="preserve">ient un projet de rapport du Comité exécutif à la Trente et unième </w:t>
      </w:r>
      <w:r w:rsidR="00CA49E4">
        <w:rPr>
          <w:color w:val="000000" w:themeColor="text1"/>
          <w:lang w:val="fr-FR"/>
        </w:rPr>
        <w:t>r</w:t>
      </w:r>
      <w:r w:rsidR="00984659">
        <w:rPr>
          <w:color w:val="000000" w:themeColor="text1"/>
          <w:lang w:val="fr-FR"/>
        </w:rPr>
        <w:t>éunion des Parties qui résume les plus importantes décisions prises par le Comité exécutif à sa 82</w:t>
      </w:r>
      <w:r w:rsidR="00984659" w:rsidRPr="00984659">
        <w:rPr>
          <w:color w:val="000000" w:themeColor="text1"/>
          <w:vertAlign w:val="superscript"/>
          <w:lang w:val="fr-FR"/>
        </w:rPr>
        <w:t>e</w:t>
      </w:r>
      <w:r w:rsidR="00984659">
        <w:rPr>
          <w:color w:val="000000" w:themeColor="text1"/>
          <w:lang w:val="fr-FR"/>
        </w:rPr>
        <w:t xml:space="preserve"> réunion.</w:t>
      </w:r>
      <w:r w:rsidR="00984659" w:rsidRPr="00944BFF">
        <w:rPr>
          <w:color w:val="000000" w:themeColor="text1"/>
          <w:lang w:val="fr-FR"/>
        </w:rPr>
        <w:t xml:space="preserve"> </w:t>
      </w:r>
      <w:r w:rsidR="00D51B2A" w:rsidRPr="00944BFF">
        <w:rPr>
          <w:color w:val="000000" w:themeColor="text1"/>
          <w:lang w:val="fr-FR"/>
        </w:rPr>
        <w:t xml:space="preserve"> </w:t>
      </w:r>
    </w:p>
    <w:p w14:paraId="3BA1B288" w14:textId="07BE2273" w:rsidR="00D51B2A" w:rsidRPr="00944BFF" w:rsidRDefault="005A3E67" w:rsidP="00D51B2A">
      <w:pPr>
        <w:tabs>
          <w:tab w:val="left" w:pos="720"/>
          <w:tab w:val="left" w:pos="1440"/>
          <w:tab w:val="left" w:pos="2160"/>
        </w:tabs>
        <w:spacing w:after="240"/>
        <w:ind w:left="709"/>
        <w:rPr>
          <w:color w:val="000000" w:themeColor="text1"/>
          <w:lang w:val="fr-FR"/>
        </w:rPr>
      </w:pPr>
      <w:r w:rsidRPr="00944BFF">
        <w:rPr>
          <w:color w:val="000000" w:themeColor="text1"/>
          <w:u w:val="single"/>
          <w:lang w:val="fr-FR"/>
        </w:rPr>
        <w:t>Questions à traiter :</w:t>
      </w:r>
      <w:r w:rsidR="00D51B2A" w:rsidRPr="00944BFF">
        <w:rPr>
          <w:color w:val="000000" w:themeColor="text1"/>
          <w:lang w:val="fr-FR"/>
        </w:rPr>
        <w:t> </w:t>
      </w:r>
    </w:p>
    <w:p w14:paraId="454AD164" w14:textId="7601A788" w:rsidR="00D51B2A" w:rsidRPr="00944BFF" w:rsidRDefault="00984659" w:rsidP="001963F3">
      <w:pPr>
        <w:pStyle w:val="ListParagraph"/>
        <w:numPr>
          <w:ilvl w:val="0"/>
          <w:numId w:val="11"/>
        </w:numPr>
        <w:jc w:val="both"/>
        <w:rPr>
          <w:color w:val="000000" w:themeColor="text1"/>
          <w:lang w:val="fr-FR"/>
        </w:rPr>
      </w:pPr>
      <w:r>
        <w:rPr>
          <w:color w:val="000000" w:themeColor="text1"/>
          <w:lang w:val="fr-FR"/>
        </w:rPr>
        <w:t>Puisque la période couverte par ce rapport inclut aussi la 83</w:t>
      </w:r>
      <w:r w:rsidRPr="00984659">
        <w:rPr>
          <w:color w:val="000000" w:themeColor="text1"/>
          <w:vertAlign w:val="superscript"/>
          <w:lang w:val="fr-FR"/>
        </w:rPr>
        <w:t>e</w:t>
      </w:r>
      <w:r>
        <w:rPr>
          <w:color w:val="000000" w:themeColor="text1"/>
          <w:lang w:val="fr-FR"/>
        </w:rPr>
        <w:t xml:space="preserve"> réunion, le rapport devra être mis à jour après la finalisation du rapport de la 83</w:t>
      </w:r>
      <w:r w:rsidRPr="00984659">
        <w:rPr>
          <w:color w:val="000000" w:themeColor="text1"/>
          <w:vertAlign w:val="superscript"/>
          <w:lang w:val="fr-FR"/>
        </w:rPr>
        <w:t>e</w:t>
      </w:r>
      <w:r>
        <w:rPr>
          <w:color w:val="000000" w:themeColor="text1"/>
          <w:lang w:val="fr-FR"/>
        </w:rPr>
        <w:t xml:space="preserve"> réunion du Comité exécutif.</w:t>
      </w:r>
    </w:p>
    <w:p w14:paraId="624FB5D4" w14:textId="77777777" w:rsidR="00D51B2A" w:rsidRPr="00944BFF" w:rsidRDefault="00D51B2A" w:rsidP="00D51B2A">
      <w:pPr>
        <w:pStyle w:val="ListParagraph"/>
        <w:ind w:left="1440"/>
        <w:jc w:val="both"/>
        <w:rPr>
          <w:color w:val="000000" w:themeColor="text1"/>
          <w:lang w:val="fr-FR"/>
        </w:rPr>
      </w:pPr>
    </w:p>
    <w:p w14:paraId="26FF7151" w14:textId="391BF413" w:rsidR="00D51B2A" w:rsidRPr="00944BFF" w:rsidRDefault="005A3E67" w:rsidP="00D51B2A">
      <w:pPr>
        <w:tabs>
          <w:tab w:val="left" w:pos="720"/>
          <w:tab w:val="left" w:pos="1440"/>
          <w:tab w:val="left" w:pos="2160"/>
        </w:tabs>
        <w:spacing w:after="240"/>
        <w:ind w:left="709"/>
        <w:outlineLvl w:val="0"/>
        <w:rPr>
          <w:color w:val="000000" w:themeColor="text1"/>
          <w:u w:val="single"/>
          <w:lang w:val="fr-FR"/>
        </w:rPr>
      </w:pPr>
      <w:r w:rsidRPr="00EC1B08">
        <w:rPr>
          <w:color w:val="000000" w:themeColor="text1"/>
          <w:u w:val="single"/>
          <w:lang w:val="fr-FR"/>
        </w:rPr>
        <w:t>Le Comité exé</w:t>
      </w:r>
      <w:r w:rsidR="00D51B2A" w:rsidRPr="00EC1B08">
        <w:rPr>
          <w:color w:val="000000" w:themeColor="text1"/>
          <w:u w:val="single"/>
          <w:lang w:val="fr-FR"/>
        </w:rPr>
        <w:t>cuti</w:t>
      </w:r>
      <w:r w:rsidRPr="00EC1B08">
        <w:rPr>
          <w:color w:val="000000" w:themeColor="text1"/>
          <w:u w:val="single"/>
          <w:lang w:val="fr-FR"/>
        </w:rPr>
        <w:t>f pourrait souhaiter</w:t>
      </w:r>
      <w:r w:rsidR="00984659" w:rsidRPr="00EC1B08">
        <w:rPr>
          <w:color w:val="000000" w:themeColor="text1"/>
          <w:lang w:val="fr-FR"/>
        </w:rPr>
        <w:t xml:space="preserve"> aut</w:t>
      </w:r>
      <w:r w:rsidR="00D51B2A" w:rsidRPr="00EC1B08">
        <w:rPr>
          <w:color w:val="000000" w:themeColor="text1"/>
          <w:lang w:val="fr-FR"/>
        </w:rPr>
        <w:t>ori</w:t>
      </w:r>
      <w:r w:rsidR="00984659" w:rsidRPr="00EC1B08">
        <w:rPr>
          <w:color w:val="000000" w:themeColor="text1"/>
          <w:lang w:val="fr-FR"/>
        </w:rPr>
        <w:t>ser le Secré</w:t>
      </w:r>
      <w:r w:rsidR="00D51B2A" w:rsidRPr="00EC1B08">
        <w:rPr>
          <w:color w:val="000000" w:themeColor="text1"/>
          <w:lang w:val="fr-FR"/>
        </w:rPr>
        <w:t xml:space="preserve">tariat </w:t>
      </w:r>
      <w:r w:rsidR="00984659" w:rsidRPr="00EC1B08">
        <w:rPr>
          <w:color w:val="000000" w:themeColor="text1"/>
          <w:lang w:val="fr-FR"/>
        </w:rPr>
        <w:t xml:space="preserve">à finaliser le rapport du Comité exécutif à la trente et unième </w:t>
      </w:r>
      <w:r w:rsidR="00CA49E4">
        <w:rPr>
          <w:color w:val="000000" w:themeColor="text1"/>
          <w:lang w:val="fr-FR"/>
        </w:rPr>
        <w:t>r</w:t>
      </w:r>
      <w:r w:rsidR="00984659" w:rsidRPr="00EC1B08">
        <w:rPr>
          <w:color w:val="000000" w:themeColor="text1"/>
          <w:lang w:val="fr-FR"/>
        </w:rPr>
        <w:t>éunion des Parties au Protocole de Montréal, à la lumière des discussions tenues et des décisions prises lors de la 83</w:t>
      </w:r>
      <w:r w:rsidR="00984659" w:rsidRPr="00EC1B08">
        <w:rPr>
          <w:color w:val="000000" w:themeColor="text1"/>
          <w:vertAlign w:val="superscript"/>
          <w:lang w:val="fr-FR"/>
        </w:rPr>
        <w:t>e</w:t>
      </w:r>
      <w:r w:rsidR="00984659" w:rsidRPr="00EC1B08">
        <w:rPr>
          <w:color w:val="000000" w:themeColor="text1"/>
          <w:lang w:val="fr-FR"/>
        </w:rPr>
        <w:t xml:space="preserve"> réunion, pour le so</w:t>
      </w:r>
      <w:r w:rsidR="00EC1B08" w:rsidRPr="00EC1B08">
        <w:rPr>
          <w:color w:val="000000" w:themeColor="text1"/>
          <w:lang w:val="fr-FR"/>
        </w:rPr>
        <w:t>umettre à l’approbation du prés</w:t>
      </w:r>
      <w:r w:rsidR="00984659" w:rsidRPr="00EC1B08">
        <w:rPr>
          <w:color w:val="000000" w:themeColor="text1"/>
          <w:lang w:val="fr-FR"/>
        </w:rPr>
        <w:t xml:space="preserve">ident </w:t>
      </w:r>
      <w:r w:rsidR="000F6526" w:rsidRPr="00EC1B08">
        <w:rPr>
          <w:color w:val="000000" w:themeColor="text1"/>
          <w:lang w:val="fr-FR"/>
        </w:rPr>
        <w:t>avant de le transmettre au Secrétariat de l’ozone</w:t>
      </w:r>
      <w:r w:rsidR="00D51B2A" w:rsidRPr="00EC1B08">
        <w:rPr>
          <w:color w:val="000000" w:themeColor="text1"/>
          <w:lang w:val="fr-FR"/>
        </w:rPr>
        <w:t>.</w:t>
      </w:r>
    </w:p>
    <w:p w14:paraId="30AAE819" w14:textId="3884F6F4" w:rsidR="00D51B2A" w:rsidRPr="00944BFF" w:rsidRDefault="000F6526" w:rsidP="000F6526">
      <w:pPr>
        <w:pStyle w:val="Heading1"/>
        <w:keepNext/>
        <w:numPr>
          <w:ilvl w:val="0"/>
          <w:numId w:val="0"/>
        </w:numPr>
        <w:rPr>
          <w:b/>
          <w:lang w:val="fr-FR"/>
        </w:rPr>
      </w:pPr>
      <w:r>
        <w:rPr>
          <w:b/>
          <w:lang w:val="fr-FR"/>
        </w:rPr>
        <w:t>15.</w:t>
      </w:r>
      <w:r>
        <w:rPr>
          <w:b/>
          <w:lang w:val="fr-FR"/>
        </w:rPr>
        <w:tab/>
      </w:r>
      <w:r w:rsidR="00D51B2A" w:rsidRPr="00944BFF">
        <w:rPr>
          <w:b/>
          <w:lang w:val="fr-FR"/>
        </w:rPr>
        <w:t>R</w:t>
      </w:r>
      <w:r w:rsidR="005A3E67" w:rsidRPr="00944BFF">
        <w:rPr>
          <w:b/>
          <w:lang w:val="fr-FR"/>
        </w:rPr>
        <w:t xml:space="preserve">apport du Sous-groupe sur le secteur de la production </w:t>
      </w:r>
    </w:p>
    <w:p w14:paraId="2796DF59" w14:textId="46AAAA09" w:rsidR="00D51B2A" w:rsidRPr="00944BFF" w:rsidRDefault="005A3E67" w:rsidP="000F6526">
      <w:pPr>
        <w:keepNext/>
        <w:spacing w:after="240"/>
        <w:ind w:left="709"/>
        <w:rPr>
          <w:color w:val="000000" w:themeColor="text1"/>
          <w:lang w:val="fr-FR"/>
        </w:rPr>
      </w:pPr>
      <w:r w:rsidRPr="00944BFF">
        <w:rPr>
          <w:color w:val="000000" w:themeColor="text1"/>
          <w:lang w:val="fr-FR"/>
        </w:rPr>
        <w:t xml:space="preserve">Le </w:t>
      </w:r>
      <w:r w:rsidRPr="00944BFF">
        <w:rPr>
          <w:color w:val="000000" w:themeColor="text1"/>
          <w:u w:val="single"/>
          <w:lang w:val="fr-FR"/>
        </w:rPr>
        <w:t>d</w:t>
      </w:r>
      <w:r w:rsidR="00D51B2A" w:rsidRPr="00944BFF">
        <w:rPr>
          <w:color w:val="000000" w:themeColor="text1"/>
          <w:u w:val="single"/>
          <w:lang w:val="fr-FR"/>
        </w:rPr>
        <w:t>ocument UNEP/Oz</w:t>
      </w:r>
      <w:r w:rsidR="00D51B2A" w:rsidRPr="00944BFF">
        <w:rPr>
          <w:color w:val="000000" w:themeColor="text1"/>
          <w:szCs w:val="24"/>
          <w:u w:val="single"/>
          <w:lang w:val="fr-FR"/>
        </w:rPr>
        <w:t>L.Pro/ExCom/83/</w:t>
      </w:r>
      <w:r w:rsidR="00D51B2A" w:rsidRPr="00944BFF">
        <w:rPr>
          <w:color w:val="000000" w:themeColor="text1"/>
          <w:u w:val="single"/>
          <w:lang w:val="fr-FR"/>
        </w:rPr>
        <w:t>47</w:t>
      </w:r>
      <w:r w:rsidR="00D51B2A" w:rsidRPr="00944BFF">
        <w:rPr>
          <w:color w:val="000000" w:themeColor="text1"/>
          <w:lang w:val="fr-FR"/>
        </w:rPr>
        <w:t xml:space="preserve"> </w:t>
      </w:r>
      <w:r w:rsidR="000F6526">
        <w:rPr>
          <w:color w:val="000000" w:themeColor="text1"/>
          <w:lang w:val="fr-FR"/>
        </w:rPr>
        <w:t>sera émis au cours de la 83</w:t>
      </w:r>
      <w:r w:rsidR="000F6526" w:rsidRPr="000F6526">
        <w:rPr>
          <w:color w:val="000000" w:themeColor="text1"/>
          <w:vertAlign w:val="superscript"/>
          <w:lang w:val="fr-FR"/>
        </w:rPr>
        <w:t>e</w:t>
      </w:r>
      <w:r w:rsidR="000F6526">
        <w:rPr>
          <w:color w:val="000000" w:themeColor="text1"/>
          <w:lang w:val="fr-FR"/>
        </w:rPr>
        <w:t xml:space="preserve"> réunion et présentera un rapport sur la réunion du Sous-groupe sur le secteur de la production qui se tiendra en marge de la réunion.  </w:t>
      </w:r>
      <w:r w:rsidR="00D51B2A" w:rsidRPr="00944BFF">
        <w:rPr>
          <w:color w:val="000000" w:themeColor="text1"/>
          <w:lang w:val="fr-FR"/>
        </w:rPr>
        <w:t xml:space="preserve"> </w:t>
      </w:r>
    </w:p>
    <w:p w14:paraId="6203321F" w14:textId="51EA926C" w:rsidR="00D51B2A" w:rsidRPr="00944BFF" w:rsidRDefault="000F6526" w:rsidP="000F6526">
      <w:pPr>
        <w:pStyle w:val="Heading1"/>
        <w:numPr>
          <w:ilvl w:val="0"/>
          <w:numId w:val="0"/>
        </w:numPr>
        <w:rPr>
          <w:b/>
          <w:lang w:val="fr-FR"/>
        </w:rPr>
      </w:pPr>
      <w:r>
        <w:rPr>
          <w:b/>
          <w:lang w:val="fr-FR"/>
        </w:rPr>
        <w:t>16.</w:t>
      </w:r>
      <w:r>
        <w:rPr>
          <w:b/>
          <w:lang w:val="fr-FR"/>
        </w:rPr>
        <w:tab/>
      </w:r>
      <w:r w:rsidR="005A3E67" w:rsidRPr="00944BFF">
        <w:rPr>
          <w:b/>
          <w:lang w:val="fr-FR"/>
        </w:rPr>
        <w:t>Questions diverses</w:t>
      </w:r>
    </w:p>
    <w:p w14:paraId="29196BF4" w14:textId="7A219D20" w:rsidR="00D51B2A" w:rsidRDefault="000F6526" w:rsidP="001963F3">
      <w:pPr>
        <w:ind w:left="709"/>
        <w:rPr>
          <w:bCs/>
          <w:color w:val="000000" w:themeColor="text1"/>
          <w:lang w:val="fr-FR"/>
        </w:rPr>
      </w:pPr>
      <w:r>
        <w:rPr>
          <w:bCs/>
          <w:color w:val="000000" w:themeColor="text1"/>
          <w:lang w:val="fr-FR"/>
        </w:rPr>
        <w:t xml:space="preserve">Toute question de fond dont l’inscription à l’ordre du jour a fait consensus au point 2a) sera traitée sous ce point de l’ordre du jour. </w:t>
      </w:r>
    </w:p>
    <w:p w14:paraId="02F96FBA" w14:textId="77777777" w:rsidR="00117F68" w:rsidRPr="001963F3" w:rsidRDefault="00117F68" w:rsidP="001963F3">
      <w:pPr>
        <w:ind w:left="709"/>
        <w:rPr>
          <w:bCs/>
          <w:color w:val="000000" w:themeColor="text1"/>
          <w:lang w:val="fr-FR"/>
        </w:rPr>
      </w:pPr>
    </w:p>
    <w:p w14:paraId="4F4F389F" w14:textId="411F4E44" w:rsidR="00D51B2A" w:rsidRPr="00944BFF" w:rsidRDefault="000F6526" w:rsidP="000F6526">
      <w:pPr>
        <w:pStyle w:val="Heading1"/>
        <w:numPr>
          <w:ilvl w:val="0"/>
          <w:numId w:val="0"/>
        </w:numPr>
        <w:rPr>
          <w:lang w:val="fr-FR"/>
        </w:rPr>
      </w:pPr>
      <w:r>
        <w:rPr>
          <w:b/>
          <w:lang w:val="fr-FR"/>
        </w:rPr>
        <w:t>17.</w:t>
      </w:r>
      <w:r>
        <w:rPr>
          <w:b/>
          <w:lang w:val="fr-FR"/>
        </w:rPr>
        <w:tab/>
      </w:r>
      <w:r w:rsidR="00D51B2A" w:rsidRPr="00944BFF">
        <w:rPr>
          <w:b/>
          <w:lang w:val="fr-FR"/>
        </w:rPr>
        <w:t xml:space="preserve">Adoption </w:t>
      </w:r>
      <w:r w:rsidR="00944BFF" w:rsidRPr="00944BFF">
        <w:rPr>
          <w:b/>
          <w:lang w:val="fr-FR"/>
        </w:rPr>
        <w:t>du rapport</w:t>
      </w:r>
    </w:p>
    <w:p w14:paraId="38BB1E54" w14:textId="7D87498A" w:rsidR="000F6526" w:rsidRPr="00944BFF" w:rsidRDefault="000F6526" w:rsidP="000F6526">
      <w:pPr>
        <w:tabs>
          <w:tab w:val="left" w:pos="720"/>
          <w:tab w:val="left" w:pos="1440"/>
          <w:tab w:val="left" w:pos="2160"/>
        </w:tabs>
        <w:spacing w:after="240"/>
        <w:ind w:left="720" w:hanging="11"/>
        <w:outlineLvl w:val="0"/>
        <w:rPr>
          <w:color w:val="000000" w:themeColor="text1"/>
          <w:lang w:val="fr-FR"/>
        </w:rPr>
      </w:pPr>
      <w:r>
        <w:rPr>
          <w:color w:val="000000" w:themeColor="text1"/>
          <w:lang w:val="fr-FR"/>
        </w:rPr>
        <w:t>Le Comité exécutif aura entre les mains le projet de rapport de la 83</w:t>
      </w:r>
      <w:r w:rsidRPr="000F6526">
        <w:rPr>
          <w:color w:val="000000" w:themeColor="text1"/>
          <w:vertAlign w:val="superscript"/>
          <w:lang w:val="fr-FR"/>
        </w:rPr>
        <w:t>e</w:t>
      </w:r>
      <w:r>
        <w:rPr>
          <w:color w:val="000000" w:themeColor="text1"/>
          <w:lang w:val="fr-FR"/>
        </w:rPr>
        <w:t xml:space="preserve"> réunion aux fins d’examen et d’approbation.</w:t>
      </w:r>
    </w:p>
    <w:p w14:paraId="7236FC0C" w14:textId="4A1D28D8" w:rsidR="00D51B2A" w:rsidRPr="00944BFF" w:rsidRDefault="000F6526" w:rsidP="000F6526">
      <w:pPr>
        <w:pStyle w:val="Heading1"/>
        <w:numPr>
          <w:ilvl w:val="0"/>
          <w:numId w:val="0"/>
        </w:numPr>
        <w:rPr>
          <w:lang w:val="fr-FR"/>
        </w:rPr>
      </w:pPr>
      <w:r>
        <w:rPr>
          <w:b/>
          <w:lang w:val="fr-FR"/>
        </w:rPr>
        <w:t>18.</w:t>
      </w:r>
      <w:r>
        <w:rPr>
          <w:b/>
          <w:lang w:val="fr-FR"/>
        </w:rPr>
        <w:tab/>
      </w:r>
      <w:r w:rsidR="00D51B2A" w:rsidRPr="00944BFF">
        <w:rPr>
          <w:b/>
          <w:lang w:val="fr-FR"/>
        </w:rPr>
        <w:t>Cl</w:t>
      </w:r>
      <w:r w:rsidR="00944BFF" w:rsidRPr="00944BFF">
        <w:rPr>
          <w:b/>
          <w:lang w:val="fr-FR"/>
        </w:rPr>
        <w:t>ôture de la réunion</w:t>
      </w:r>
    </w:p>
    <w:p w14:paraId="42704561" w14:textId="4CFA7F33" w:rsidR="00D51B2A" w:rsidRPr="00944BFF" w:rsidRDefault="000F6526" w:rsidP="00D51B2A">
      <w:pPr>
        <w:tabs>
          <w:tab w:val="left" w:pos="720"/>
          <w:tab w:val="left" w:pos="1440"/>
          <w:tab w:val="left" w:pos="2160"/>
        </w:tabs>
        <w:spacing w:before="100" w:beforeAutospacing="1" w:after="100" w:afterAutospacing="1"/>
        <w:ind w:left="709" w:hanging="36"/>
        <w:outlineLvl w:val="0"/>
        <w:rPr>
          <w:b/>
          <w:color w:val="000000" w:themeColor="text1"/>
          <w:lang w:val="fr-FR"/>
        </w:rPr>
      </w:pPr>
      <w:r>
        <w:rPr>
          <w:color w:val="000000" w:themeColor="text1"/>
          <w:lang w:val="fr-FR"/>
        </w:rPr>
        <w:t xml:space="preserve">La réunion devrait être close le vendredi 31 mai 2019. </w:t>
      </w:r>
    </w:p>
    <w:p w14:paraId="6B0E954A" w14:textId="50706277" w:rsidR="002F1864" w:rsidRDefault="002F1864" w:rsidP="000F6526">
      <w:pPr>
        <w:jc w:val="center"/>
        <w:rPr>
          <w:lang w:val="fr-FR"/>
        </w:rPr>
      </w:pPr>
    </w:p>
    <w:p w14:paraId="027E41F5" w14:textId="06A8FAFF" w:rsidR="002F1864" w:rsidRDefault="002F1864" w:rsidP="000F6526">
      <w:pPr>
        <w:jc w:val="center"/>
        <w:rPr>
          <w:lang w:val="fr-FR"/>
        </w:rPr>
      </w:pPr>
    </w:p>
    <w:p w14:paraId="1BB1AA95" w14:textId="600F100A" w:rsidR="002F1864" w:rsidRDefault="002F1864" w:rsidP="000F6526">
      <w:pPr>
        <w:jc w:val="center"/>
        <w:rPr>
          <w:lang w:val="fr-FR"/>
        </w:rPr>
      </w:pPr>
    </w:p>
    <w:p w14:paraId="3CE74798" w14:textId="1BA5466A" w:rsidR="002F1864" w:rsidRDefault="002F1864" w:rsidP="000F6526">
      <w:pPr>
        <w:jc w:val="cente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2F1864" w:rsidRPr="00E742AC" w14:paraId="5BE1BE8C" w14:textId="77777777" w:rsidTr="002F1864">
        <w:tc>
          <w:tcPr>
            <w:tcW w:w="1915" w:type="dxa"/>
          </w:tcPr>
          <w:p w14:paraId="331485A7" w14:textId="77777777" w:rsidR="002F1864" w:rsidRDefault="002F1864" w:rsidP="000F6526">
            <w:pPr>
              <w:jc w:val="center"/>
              <w:rPr>
                <w:lang w:val="fr-FR"/>
              </w:rPr>
            </w:pPr>
          </w:p>
        </w:tc>
        <w:tc>
          <w:tcPr>
            <w:tcW w:w="1915" w:type="dxa"/>
          </w:tcPr>
          <w:p w14:paraId="35582ED0" w14:textId="77777777" w:rsidR="002F1864" w:rsidRDefault="002F1864" w:rsidP="000F6526">
            <w:pPr>
              <w:jc w:val="center"/>
              <w:rPr>
                <w:lang w:val="fr-FR"/>
              </w:rPr>
            </w:pPr>
          </w:p>
        </w:tc>
        <w:tc>
          <w:tcPr>
            <w:tcW w:w="1915" w:type="dxa"/>
            <w:tcBorders>
              <w:bottom w:val="single" w:sz="4" w:space="0" w:color="auto"/>
            </w:tcBorders>
          </w:tcPr>
          <w:p w14:paraId="13089E8F" w14:textId="77777777" w:rsidR="002F1864" w:rsidRDefault="002F1864" w:rsidP="000F6526">
            <w:pPr>
              <w:jc w:val="center"/>
              <w:rPr>
                <w:lang w:val="fr-FR"/>
              </w:rPr>
            </w:pPr>
          </w:p>
        </w:tc>
        <w:tc>
          <w:tcPr>
            <w:tcW w:w="1915" w:type="dxa"/>
          </w:tcPr>
          <w:p w14:paraId="4CB781E1" w14:textId="77777777" w:rsidR="002F1864" w:rsidRDefault="002F1864" w:rsidP="000F6526">
            <w:pPr>
              <w:jc w:val="center"/>
              <w:rPr>
                <w:lang w:val="fr-FR"/>
              </w:rPr>
            </w:pPr>
          </w:p>
        </w:tc>
        <w:tc>
          <w:tcPr>
            <w:tcW w:w="1916" w:type="dxa"/>
          </w:tcPr>
          <w:p w14:paraId="36FE7BD7" w14:textId="77777777" w:rsidR="002F1864" w:rsidRDefault="002F1864" w:rsidP="000F6526">
            <w:pPr>
              <w:jc w:val="center"/>
              <w:rPr>
                <w:lang w:val="fr-FR"/>
              </w:rPr>
            </w:pPr>
          </w:p>
        </w:tc>
      </w:tr>
    </w:tbl>
    <w:p w14:paraId="0E476C43" w14:textId="77777777" w:rsidR="002F1864" w:rsidRDefault="002F1864" w:rsidP="000F6526">
      <w:pPr>
        <w:jc w:val="center"/>
        <w:rPr>
          <w:lang w:val="fr-FR"/>
        </w:rPr>
      </w:pPr>
      <w:bookmarkStart w:id="1" w:name="_GoBack"/>
      <w:bookmarkEnd w:id="1"/>
    </w:p>
    <w:p w14:paraId="537A7B27" w14:textId="2E755832" w:rsidR="00441083" w:rsidRDefault="00441083">
      <w:pPr>
        <w:pStyle w:val="StyleHeader4Para4Left0Firstline0"/>
        <w:numPr>
          <w:ilvl w:val="0"/>
          <w:numId w:val="0"/>
        </w:numPr>
        <w:rPr>
          <w:lang w:val="fr-FR"/>
        </w:rPr>
      </w:pPr>
    </w:p>
    <w:p w14:paraId="1CD36521" w14:textId="77777777" w:rsidR="00441083" w:rsidRDefault="00441083">
      <w:pPr>
        <w:rPr>
          <w:lang w:val="fr-FR"/>
        </w:rPr>
        <w:sectPr w:rsidR="0044108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4DB7448" w14:textId="77777777" w:rsidR="00441083" w:rsidRDefault="00E60D9C">
      <w:pPr>
        <w:jc w:val="center"/>
        <w:rPr>
          <w:b/>
          <w:lang w:val="fr-FR"/>
        </w:rPr>
      </w:pPr>
      <w:r>
        <w:rPr>
          <w:b/>
          <w:lang w:val="fr-FR"/>
        </w:rPr>
        <w:lastRenderedPageBreak/>
        <w:t>Annexe I</w:t>
      </w:r>
    </w:p>
    <w:p w14:paraId="2208F16F" w14:textId="77777777" w:rsidR="00441083" w:rsidRDefault="00441083">
      <w:pPr>
        <w:rPr>
          <w:lang w:val="fr-FR"/>
        </w:rPr>
      </w:pPr>
    </w:p>
    <w:p w14:paraId="4C22EBCA" w14:textId="77777777" w:rsidR="00441083" w:rsidRDefault="00441083">
      <w:pPr>
        <w:rPr>
          <w:lang w:val="fr-FR"/>
        </w:rPr>
      </w:pPr>
    </w:p>
    <w:p w14:paraId="72BC949F" w14:textId="77777777" w:rsidR="00441083" w:rsidRDefault="00441083">
      <w:pPr>
        <w:rPr>
          <w:lang w:val="fr-FR"/>
        </w:rPr>
      </w:pPr>
    </w:p>
    <w:p w14:paraId="479E9BB6" w14:textId="77777777" w:rsidR="00441083" w:rsidRDefault="00441083">
      <w:pPr>
        <w:rPr>
          <w:lang w:val="fr-FR"/>
        </w:rPr>
      </w:pPr>
    </w:p>
    <w:p w14:paraId="2AC86A03" w14:textId="77777777" w:rsidR="00441083" w:rsidRDefault="00441083">
      <w:pPr>
        <w:rPr>
          <w:lang w:val="fr-FR"/>
        </w:rPr>
      </w:pPr>
    </w:p>
    <w:p w14:paraId="6597C736" w14:textId="77777777" w:rsidR="00441083" w:rsidRDefault="00441083">
      <w:pPr>
        <w:rPr>
          <w:lang w:val="fr-FR"/>
        </w:rPr>
      </w:pPr>
    </w:p>
    <w:p w14:paraId="0AC23F75" w14:textId="77777777" w:rsidR="00441083" w:rsidRDefault="00441083">
      <w:pPr>
        <w:rPr>
          <w:lang w:val="fr-FR"/>
        </w:rPr>
      </w:pPr>
    </w:p>
    <w:p w14:paraId="59092100" w14:textId="77777777" w:rsidR="00441083" w:rsidRDefault="00441083">
      <w:pPr>
        <w:rPr>
          <w:lang w:val="fr-FR"/>
        </w:rPr>
      </w:pPr>
    </w:p>
    <w:p w14:paraId="4E43F15D" w14:textId="77777777" w:rsidR="00441083" w:rsidRDefault="00441083">
      <w:pPr>
        <w:rPr>
          <w:lang w:val="fr-FR"/>
        </w:rPr>
      </w:pPr>
    </w:p>
    <w:p w14:paraId="1F8F5A00" w14:textId="77777777" w:rsidR="00441083" w:rsidRDefault="00441083">
      <w:pPr>
        <w:rPr>
          <w:lang w:val="fr-FR"/>
        </w:rPr>
      </w:pPr>
    </w:p>
    <w:p w14:paraId="597C63FA" w14:textId="77777777" w:rsidR="00441083" w:rsidRDefault="00441083">
      <w:pPr>
        <w:rPr>
          <w:lang w:val="fr-FR"/>
        </w:rPr>
      </w:pPr>
    </w:p>
    <w:p w14:paraId="14144D95" w14:textId="77777777" w:rsidR="00441083" w:rsidRDefault="00441083">
      <w:pPr>
        <w:rPr>
          <w:lang w:val="fr-FR"/>
        </w:rPr>
      </w:pPr>
    </w:p>
    <w:p w14:paraId="69F105D9" w14:textId="77777777" w:rsidR="00441083" w:rsidRDefault="00441083">
      <w:pPr>
        <w:rPr>
          <w:lang w:val="fr-FR"/>
        </w:rPr>
      </w:pPr>
    </w:p>
    <w:p w14:paraId="5E7A42ED" w14:textId="77777777" w:rsidR="00441083" w:rsidRDefault="00441083">
      <w:pPr>
        <w:rPr>
          <w:lang w:val="fr-FR"/>
        </w:rPr>
      </w:pPr>
    </w:p>
    <w:p w14:paraId="136669EC" w14:textId="77777777" w:rsidR="00441083" w:rsidRDefault="00441083">
      <w:pPr>
        <w:rPr>
          <w:lang w:val="fr-FR"/>
        </w:rPr>
      </w:pPr>
    </w:p>
    <w:p w14:paraId="5AFA44D2" w14:textId="77777777" w:rsidR="00441083" w:rsidRDefault="00441083">
      <w:pPr>
        <w:rPr>
          <w:lang w:val="fr-FR"/>
        </w:rPr>
      </w:pPr>
    </w:p>
    <w:p w14:paraId="4E2F0E12" w14:textId="77777777" w:rsidR="00441083" w:rsidRDefault="00441083">
      <w:pPr>
        <w:rPr>
          <w:lang w:val="fr-FR"/>
        </w:rPr>
      </w:pPr>
    </w:p>
    <w:p w14:paraId="7E3BA3F3" w14:textId="77777777" w:rsidR="00441083" w:rsidRDefault="00441083">
      <w:pPr>
        <w:rPr>
          <w:lang w:val="fr-FR"/>
        </w:rPr>
      </w:pPr>
    </w:p>
    <w:p w14:paraId="510D9232" w14:textId="77777777" w:rsidR="00441083" w:rsidRDefault="00441083">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190D" w14:textId="77777777" w:rsidR="008D48A2" w:rsidRDefault="008D48A2">
      <w:r>
        <w:separator/>
      </w:r>
    </w:p>
  </w:endnote>
  <w:endnote w:type="continuationSeparator" w:id="0">
    <w:p w14:paraId="0AF1F188" w14:textId="77777777" w:rsidR="008D48A2" w:rsidRDefault="008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AB4C" w14:textId="61C3A27F" w:rsidR="008D48A2" w:rsidRDefault="008D48A2">
    <w:pPr>
      <w:jc w:val="center"/>
    </w:pPr>
    <w:r>
      <w:fldChar w:fldCharType="begin"/>
    </w:r>
    <w:r>
      <w:instrText xml:space="preserve"> PAGE </w:instrText>
    </w:r>
    <w:r>
      <w:fldChar w:fldCharType="separate"/>
    </w:r>
    <w:r w:rsidR="00E742AC">
      <w:rPr>
        <w:noProof/>
      </w:rPr>
      <w:t>36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DAD2" w14:textId="17D45DB1" w:rsidR="008D48A2" w:rsidRDefault="008D48A2">
    <w:pPr>
      <w:jc w:val="center"/>
    </w:pPr>
    <w:r>
      <w:fldChar w:fldCharType="begin"/>
    </w:r>
    <w:r>
      <w:instrText xml:space="preserve"> PAGE </w:instrText>
    </w:r>
    <w:r>
      <w:fldChar w:fldCharType="separate"/>
    </w:r>
    <w:r w:rsidR="00E742AC">
      <w:rPr>
        <w:noProof/>
      </w:rPr>
      <w:t>37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0D87" w14:textId="77777777" w:rsidR="008D48A2" w:rsidRDefault="008D48A2">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08E60063" w14:textId="28757891" w:rsidR="008D48A2" w:rsidRDefault="008D48A2">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7AA991AE" w14:textId="77777777" w:rsidR="008D48A2" w:rsidRDefault="008D48A2">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1939A90E" w14:textId="5C025F3C" w:rsidR="008D48A2" w:rsidRDefault="008D48A2">
        <w:pPr>
          <w:pStyle w:val="Footer"/>
          <w:jc w:val="center"/>
        </w:pPr>
        <w:r>
          <w:fldChar w:fldCharType="begin"/>
        </w:r>
        <w:r>
          <w:instrText xml:space="preserve"> PAGE   \* MERGEFORMAT </w:instrText>
        </w:r>
        <w:r>
          <w:fldChar w:fldCharType="separate"/>
        </w:r>
        <w:r w:rsidR="00E742AC">
          <w:rPr>
            <w:noProof/>
          </w:rPr>
          <w:t>1</w:t>
        </w:r>
        <w:r>
          <w:rPr>
            <w:noProof/>
          </w:rPr>
          <w:fldChar w:fldCharType="end"/>
        </w:r>
      </w:p>
    </w:sdtContent>
  </w:sdt>
  <w:p w14:paraId="5417409F" w14:textId="77777777" w:rsidR="008D48A2" w:rsidRDefault="008D48A2">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7EA0" w14:textId="77777777" w:rsidR="008D48A2" w:rsidRDefault="008D48A2">
      <w:r>
        <w:separator/>
      </w:r>
    </w:p>
  </w:footnote>
  <w:footnote w:type="continuationSeparator" w:id="0">
    <w:p w14:paraId="4842124A" w14:textId="77777777" w:rsidR="008D48A2" w:rsidRDefault="008D4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A723" w14:textId="10BFC4DA" w:rsidR="008D48A2" w:rsidRDefault="006C3C08">
    <w:fldSimple w:instr=" DOCPROPERTY &quot;Document number&quot;  \* MERGEFORMAT ">
      <w:r w:rsidR="008D48A2">
        <w:t>UNEP/OzL.Pro/ExCom/83/1/Add.1</w:t>
      </w:r>
    </w:fldSimple>
  </w:p>
  <w:p w14:paraId="45E2DF94" w14:textId="77777777" w:rsidR="008D48A2" w:rsidRDefault="008D48A2"/>
  <w:p w14:paraId="2BA7FFE4" w14:textId="77777777" w:rsidR="008D48A2" w:rsidRDefault="008D48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2936" w14:textId="73C22A80" w:rsidR="008D48A2" w:rsidRDefault="006C3C08">
    <w:pPr>
      <w:jc w:val="right"/>
    </w:pPr>
    <w:fldSimple w:instr=" DOCPROPERTY &quot;Document number&quot;  \* MERGEFORMAT ">
      <w:r w:rsidR="008D48A2">
        <w:t>UNEP/OzL.Pro/ExCom/83/1/Add.1</w:t>
      </w:r>
    </w:fldSimple>
  </w:p>
  <w:p w14:paraId="22DEBBA2" w14:textId="77777777" w:rsidR="008D48A2" w:rsidRDefault="008D48A2"/>
  <w:p w14:paraId="55D10679" w14:textId="77777777" w:rsidR="008D48A2" w:rsidRDefault="008D48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6391" w14:textId="77777777" w:rsidR="008D48A2" w:rsidRDefault="006C3C08">
    <w:pPr>
      <w:jc w:val="right"/>
    </w:pPr>
    <w:fldSimple w:instr=" DOCPROPERTY &quot;Document number&quot;  \* MERGEFORMAT ">
      <w:r w:rsidR="008D48A2">
        <w:t>UNEP/OzL.Pro/ExCom/83/1</w:t>
      </w:r>
    </w:fldSimple>
  </w:p>
  <w:p w14:paraId="2DCAA91D" w14:textId="77777777" w:rsidR="008D48A2" w:rsidRDefault="008D48A2">
    <w:pPr>
      <w:jc w:val="right"/>
    </w:pPr>
  </w:p>
  <w:p w14:paraId="52C685B1" w14:textId="77777777" w:rsidR="008D48A2" w:rsidRDefault="008D48A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1D32C21"/>
    <w:multiLevelType w:val="hybridMultilevel"/>
    <w:tmpl w:val="9EBADE6C"/>
    <w:lvl w:ilvl="0" w:tplc="B61CBD82">
      <w:start w:val="2"/>
      <w:numFmt w:val="lowerLetter"/>
      <w:lvlText w:val="%1)"/>
      <w:lvlJc w:val="left"/>
      <w:pPr>
        <w:ind w:left="3567" w:hanging="360"/>
      </w:pPr>
      <w:rPr>
        <w:rFonts w:hint="default"/>
      </w:rPr>
    </w:lvl>
    <w:lvl w:ilvl="1" w:tplc="0C0C0019" w:tentative="1">
      <w:start w:val="1"/>
      <w:numFmt w:val="lowerLetter"/>
      <w:lvlText w:val="%2."/>
      <w:lvlJc w:val="left"/>
      <w:pPr>
        <w:ind w:left="4287" w:hanging="360"/>
      </w:pPr>
    </w:lvl>
    <w:lvl w:ilvl="2" w:tplc="0C0C001B">
      <w:start w:val="1"/>
      <w:numFmt w:val="lowerRoman"/>
      <w:lvlText w:val="%3."/>
      <w:lvlJc w:val="right"/>
      <w:pPr>
        <w:ind w:left="5007" w:hanging="180"/>
      </w:pPr>
    </w:lvl>
    <w:lvl w:ilvl="3" w:tplc="0C0C000F" w:tentative="1">
      <w:start w:val="1"/>
      <w:numFmt w:val="decimal"/>
      <w:lvlText w:val="%4."/>
      <w:lvlJc w:val="left"/>
      <w:pPr>
        <w:ind w:left="5727" w:hanging="360"/>
      </w:pPr>
    </w:lvl>
    <w:lvl w:ilvl="4" w:tplc="0C0C0019" w:tentative="1">
      <w:start w:val="1"/>
      <w:numFmt w:val="lowerLetter"/>
      <w:lvlText w:val="%5."/>
      <w:lvlJc w:val="left"/>
      <w:pPr>
        <w:ind w:left="6447" w:hanging="360"/>
      </w:pPr>
    </w:lvl>
    <w:lvl w:ilvl="5" w:tplc="0C0C001B" w:tentative="1">
      <w:start w:val="1"/>
      <w:numFmt w:val="lowerRoman"/>
      <w:lvlText w:val="%6."/>
      <w:lvlJc w:val="right"/>
      <w:pPr>
        <w:ind w:left="7167" w:hanging="180"/>
      </w:pPr>
    </w:lvl>
    <w:lvl w:ilvl="6" w:tplc="0C0C000F" w:tentative="1">
      <w:start w:val="1"/>
      <w:numFmt w:val="decimal"/>
      <w:lvlText w:val="%7."/>
      <w:lvlJc w:val="left"/>
      <w:pPr>
        <w:ind w:left="7887" w:hanging="360"/>
      </w:pPr>
    </w:lvl>
    <w:lvl w:ilvl="7" w:tplc="0C0C0019" w:tentative="1">
      <w:start w:val="1"/>
      <w:numFmt w:val="lowerLetter"/>
      <w:lvlText w:val="%8."/>
      <w:lvlJc w:val="left"/>
      <w:pPr>
        <w:ind w:left="8607" w:hanging="360"/>
      </w:pPr>
    </w:lvl>
    <w:lvl w:ilvl="8" w:tplc="0C0C001B" w:tentative="1">
      <w:start w:val="1"/>
      <w:numFmt w:val="lowerRoman"/>
      <w:lvlText w:val="%9."/>
      <w:lvlJc w:val="right"/>
      <w:pPr>
        <w:ind w:left="9327" w:hanging="180"/>
      </w:pPr>
    </w:lvl>
  </w:abstractNum>
  <w:abstractNum w:abstractNumId="2" w15:restartNumberingAfterBreak="0">
    <w:nsid w:val="07C54E54"/>
    <w:multiLevelType w:val="hybridMultilevel"/>
    <w:tmpl w:val="8FB0CEBC"/>
    <w:lvl w:ilvl="0" w:tplc="90C2CCF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612CD"/>
    <w:multiLevelType w:val="hybridMultilevel"/>
    <w:tmpl w:val="03760CE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09F34E0C"/>
    <w:multiLevelType w:val="hybridMultilevel"/>
    <w:tmpl w:val="C59A2868"/>
    <w:lvl w:ilvl="0" w:tplc="6FA2151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5177D"/>
    <w:multiLevelType w:val="hybridMultilevel"/>
    <w:tmpl w:val="B47CA422"/>
    <w:lvl w:ilvl="0" w:tplc="2C168D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A33B3"/>
    <w:multiLevelType w:val="hybridMultilevel"/>
    <w:tmpl w:val="46B4D024"/>
    <w:lvl w:ilvl="0" w:tplc="3400560A">
      <w:start w:val="9"/>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0FDB65C5"/>
    <w:multiLevelType w:val="multilevel"/>
    <w:tmpl w:val="DC043FC0"/>
    <w:lvl w:ilvl="0">
      <w:start w:val="1"/>
      <w:numFmt w:val="lowerLetter"/>
      <w:lvlText w:val="%1)"/>
      <w:lvlJc w:val="left"/>
      <w:pPr>
        <w:tabs>
          <w:tab w:val="num" w:pos="720"/>
        </w:tabs>
        <w:ind w:left="720" w:firstLine="0"/>
      </w:pPr>
      <w:rPr>
        <w:rFonts w:ascii="Times New Roman" w:eastAsia="Times New Roman" w:hAnsi="Times New Roman" w:cs="Times New Roman"/>
      </w:rPr>
    </w:lvl>
    <w:lvl w:ilvl="1">
      <w:start w:val="1"/>
      <w:numFmt w:val="lowerLetter"/>
      <w:lvlText w:val="(%2)"/>
      <w:lvlJc w:val="left"/>
      <w:pPr>
        <w:tabs>
          <w:tab w:val="num" w:pos="720"/>
        </w:tabs>
        <w:ind w:left="2160" w:hanging="720"/>
      </w:pPr>
      <w:rPr>
        <w:b w:val="0"/>
      </w:rPr>
    </w:lvl>
    <w:lvl w:ilvl="2">
      <w:start w:val="1"/>
      <w:numFmt w:val="lowerRoman"/>
      <w:lvlText w:val="(%3)"/>
      <w:lvlJc w:val="left"/>
      <w:pPr>
        <w:tabs>
          <w:tab w:val="num" w:pos="720"/>
        </w:tabs>
        <w:ind w:left="2880" w:hanging="720"/>
      </w:pPr>
      <w:rPr>
        <w:b w:val="0"/>
        <w:strike w:val="0"/>
      </w:rPr>
    </w:lvl>
    <w:lvl w:ilvl="3">
      <w:start w:val="1"/>
      <w:numFmt w:val="lowerLetter"/>
      <w:lvlText w:val="%4)"/>
      <w:lvlJc w:val="left"/>
      <w:pPr>
        <w:tabs>
          <w:tab w:val="num" w:pos="630"/>
        </w:tabs>
        <w:ind w:left="3496" w:hanging="706"/>
      </w:pPr>
      <w:rPr>
        <w:b w:val="0"/>
        <w:i w:val="0"/>
      </w:r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8" w15:restartNumberingAfterBreak="0">
    <w:nsid w:val="11AA47E6"/>
    <w:multiLevelType w:val="hybridMultilevel"/>
    <w:tmpl w:val="2B082E36"/>
    <w:lvl w:ilvl="0" w:tplc="AD88B8C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1C1741F3"/>
    <w:multiLevelType w:val="hybridMultilevel"/>
    <w:tmpl w:val="DAC204DE"/>
    <w:lvl w:ilvl="0" w:tplc="210E994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D0C05"/>
    <w:multiLevelType w:val="hybridMultilevel"/>
    <w:tmpl w:val="A860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4B5E9F"/>
    <w:multiLevelType w:val="hybridMultilevel"/>
    <w:tmpl w:val="FAC4C54A"/>
    <w:lvl w:ilvl="0" w:tplc="3EDE3606">
      <w:start w:val="9"/>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768741F"/>
    <w:multiLevelType w:val="hybridMultilevel"/>
    <w:tmpl w:val="449433B6"/>
    <w:lvl w:ilvl="0" w:tplc="EC6A485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ED2D02"/>
    <w:multiLevelType w:val="hybridMultilevel"/>
    <w:tmpl w:val="DC729CC6"/>
    <w:lvl w:ilvl="0" w:tplc="0D885F1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A665B4"/>
    <w:multiLevelType w:val="hybridMultilevel"/>
    <w:tmpl w:val="232A61EE"/>
    <w:lvl w:ilvl="0" w:tplc="8FDC7A4C">
      <w:start w:val="9"/>
      <w:numFmt w:val="lowerLetter"/>
      <w:lvlText w:val="%1)"/>
      <w:lvlJc w:val="left"/>
      <w:pPr>
        <w:ind w:left="3136" w:hanging="360"/>
      </w:pPr>
      <w:rPr>
        <w:rFonts w:hint="default"/>
      </w:rPr>
    </w:lvl>
    <w:lvl w:ilvl="1" w:tplc="0C0C0019" w:tentative="1">
      <w:start w:val="1"/>
      <w:numFmt w:val="lowerLetter"/>
      <w:lvlText w:val="%2."/>
      <w:lvlJc w:val="left"/>
      <w:pPr>
        <w:ind w:left="3856" w:hanging="360"/>
      </w:pPr>
    </w:lvl>
    <w:lvl w:ilvl="2" w:tplc="0C0C001B" w:tentative="1">
      <w:start w:val="1"/>
      <w:numFmt w:val="lowerRoman"/>
      <w:lvlText w:val="%3."/>
      <w:lvlJc w:val="right"/>
      <w:pPr>
        <w:ind w:left="4576" w:hanging="180"/>
      </w:pPr>
    </w:lvl>
    <w:lvl w:ilvl="3" w:tplc="0C0C000F" w:tentative="1">
      <w:start w:val="1"/>
      <w:numFmt w:val="decimal"/>
      <w:lvlText w:val="%4."/>
      <w:lvlJc w:val="left"/>
      <w:pPr>
        <w:ind w:left="5296" w:hanging="360"/>
      </w:pPr>
    </w:lvl>
    <w:lvl w:ilvl="4" w:tplc="0C0C0019" w:tentative="1">
      <w:start w:val="1"/>
      <w:numFmt w:val="lowerLetter"/>
      <w:lvlText w:val="%5."/>
      <w:lvlJc w:val="left"/>
      <w:pPr>
        <w:ind w:left="6016" w:hanging="360"/>
      </w:pPr>
    </w:lvl>
    <w:lvl w:ilvl="5" w:tplc="0C0C001B" w:tentative="1">
      <w:start w:val="1"/>
      <w:numFmt w:val="lowerRoman"/>
      <w:lvlText w:val="%6."/>
      <w:lvlJc w:val="right"/>
      <w:pPr>
        <w:ind w:left="6736" w:hanging="180"/>
      </w:pPr>
    </w:lvl>
    <w:lvl w:ilvl="6" w:tplc="0C0C000F" w:tentative="1">
      <w:start w:val="1"/>
      <w:numFmt w:val="decimal"/>
      <w:lvlText w:val="%7."/>
      <w:lvlJc w:val="left"/>
      <w:pPr>
        <w:ind w:left="7456" w:hanging="360"/>
      </w:pPr>
    </w:lvl>
    <w:lvl w:ilvl="7" w:tplc="0C0C0019" w:tentative="1">
      <w:start w:val="1"/>
      <w:numFmt w:val="lowerLetter"/>
      <w:lvlText w:val="%8."/>
      <w:lvlJc w:val="left"/>
      <w:pPr>
        <w:ind w:left="8176" w:hanging="360"/>
      </w:pPr>
    </w:lvl>
    <w:lvl w:ilvl="8" w:tplc="0C0C001B" w:tentative="1">
      <w:start w:val="1"/>
      <w:numFmt w:val="lowerRoman"/>
      <w:lvlText w:val="%9."/>
      <w:lvlJc w:val="right"/>
      <w:pPr>
        <w:ind w:left="8896" w:hanging="180"/>
      </w:pPr>
    </w:lvl>
  </w:abstractNum>
  <w:abstractNum w:abstractNumId="16" w15:restartNumberingAfterBreak="0">
    <w:nsid w:val="309D391E"/>
    <w:multiLevelType w:val="hybridMultilevel"/>
    <w:tmpl w:val="687A7F7A"/>
    <w:lvl w:ilvl="0" w:tplc="8E4ECC3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DC036C"/>
    <w:multiLevelType w:val="hybridMultilevel"/>
    <w:tmpl w:val="3B6AC1EC"/>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2DA7FEC"/>
    <w:multiLevelType w:val="hybridMultilevel"/>
    <w:tmpl w:val="88603A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6EB07A7"/>
    <w:multiLevelType w:val="hybridMultilevel"/>
    <w:tmpl w:val="2A88F5A6"/>
    <w:lvl w:ilvl="0" w:tplc="DBA2544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BF58C6"/>
    <w:multiLevelType w:val="hybridMultilevel"/>
    <w:tmpl w:val="D62851AC"/>
    <w:lvl w:ilvl="0" w:tplc="0C682D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572D9E"/>
    <w:multiLevelType w:val="hybridMultilevel"/>
    <w:tmpl w:val="ABFA3576"/>
    <w:lvl w:ilvl="0" w:tplc="D682D638">
      <w:start w:val="2"/>
      <w:numFmt w:val="lowerRoman"/>
      <w:lvlText w:val="%1)"/>
      <w:lvlJc w:val="left"/>
      <w:pPr>
        <w:ind w:left="2847" w:hanging="720"/>
      </w:pPr>
      <w:rPr>
        <w:rFonts w:hint="default"/>
      </w:rPr>
    </w:lvl>
    <w:lvl w:ilvl="1" w:tplc="0C0C0019">
      <w:start w:val="1"/>
      <w:numFmt w:val="lowerLetter"/>
      <w:lvlText w:val="%2."/>
      <w:lvlJc w:val="left"/>
      <w:pPr>
        <w:ind w:left="3207" w:hanging="360"/>
      </w:pPr>
    </w:lvl>
    <w:lvl w:ilvl="2" w:tplc="0C0C001B">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23" w15:restartNumberingAfterBreak="0">
    <w:nsid w:val="38C171CF"/>
    <w:multiLevelType w:val="hybridMultilevel"/>
    <w:tmpl w:val="D214DF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E53306E"/>
    <w:multiLevelType w:val="hybridMultilevel"/>
    <w:tmpl w:val="1A4C5688"/>
    <w:lvl w:ilvl="0" w:tplc="4830AB9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1412C6"/>
    <w:multiLevelType w:val="hybridMultilevel"/>
    <w:tmpl w:val="CD34C31A"/>
    <w:lvl w:ilvl="0" w:tplc="106C7DF0">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1F449D0"/>
    <w:multiLevelType w:val="hybridMultilevel"/>
    <w:tmpl w:val="F70C226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15:restartNumberingAfterBreak="0">
    <w:nsid w:val="56A6786C"/>
    <w:multiLevelType w:val="hybridMultilevel"/>
    <w:tmpl w:val="A0B2636A"/>
    <w:lvl w:ilvl="0" w:tplc="EE54A7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3F7FC4"/>
    <w:multiLevelType w:val="hybridMultilevel"/>
    <w:tmpl w:val="EE4EB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6435589"/>
    <w:multiLevelType w:val="hybridMultilevel"/>
    <w:tmpl w:val="8CD2B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1813F0"/>
    <w:multiLevelType w:val="hybridMultilevel"/>
    <w:tmpl w:val="84D44F5C"/>
    <w:lvl w:ilvl="0" w:tplc="BFAA8B4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367ABC"/>
    <w:multiLevelType w:val="hybridMultilevel"/>
    <w:tmpl w:val="9FD642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0054E44"/>
    <w:multiLevelType w:val="hybridMultilevel"/>
    <w:tmpl w:val="E7FAE5F6"/>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35" w15:restartNumberingAfterBreak="0">
    <w:nsid w:val="71297E77"/>
    <w:multiLevelType w:val="hybridMultilevel"/>
    <w:tmpl w:val="2F0076A0"/>
    <w:lvl w:ilvl="0" w:tplc="743C9FC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AC6E96"/>
    <w:multiLevelType w:val="hybridMultilevel"/>
    <w:tmpl w:val="FAA4E756"/>
    <w:lvl w:ilvl="0" w:tplc="1472CBCC">
      <w:start w:val="2"/>
      <w:numFmt w:val="lowerRoman"/>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B194E06"/>
    <w:multiLevelType w:val="hybridMultilevel"/>
    <w:tmpl w:val="63763B16"/>
    <w:lvl w:ilvl="0" w:tplc="150A755A">
      <w:start w:val="2"/>
      <w:numFmt w:val="lowerRoman"/>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3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13"/>
  </w:num>
  <w:num w:numId="6">
    <w:abstractNumId w:val="26"/>
  </w:num>
  <w:num w:numId="7">
    <w:abstractNumId w:val="27"/>
  </w:num>
  <w:num w:numId="8">
    <w:abstractNumId w:val="38"/>
  </w:num>
  <w:num w:numId="9">
    <w:abstractNumId w:val="18"/>
  </w:num>
  <w:num w:numId="10">
    <w:abstractNumId w:val="10"/>
  </w:num>
  <w:num w:numId="11">
    <w:abstractNumId w:val="17"/>
  </w:num>
  <w:num w:numId="12">
    <w:abstractNumId w:val="31"/>
  </w:num>
  <w:num w:numId="13">
    <w:abstractNumId w:val="33"/>
  </w:num>
  <w:num w:numId="14">
    <w:abstractNumId w:val="23"/>
  </w:num>
  <w:num w:numId="15">
    <w:abstractNumId w:val="19"/>
  </w:num>
  <w:num w:numId="16">
    <w:abstractNumId w:val="28"/>
  </w:num>
  <w:num w:numId="17">
    <w:abstractNumId w:val="3"/>
  </w:num>
  <w:num w:numId="18">
    <w:abstractNumId w:val="7"/>
  </w:num>
  <w:num w:numId="19">
    <w:abstractNumId w:val="30"/>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9"/>
    </w:lvlOverride>
  </w:num>
  <w:num w:numId="22">
    <w:abstractNumId w:val="22"/>
  </w:num>
  <w:num w:numId="23">
    <w:abstractNumId w:val="1"/>
  </w:num>
  <w:num w:numId="24">
    <w:abstractNumId w:val="37"/>
  </w:num>
  <w:num w:numId="25">
    <w:abstractNumId w:val="15"/>
  </w:num>
  <w:num w:numId="26">
    <w:abstractNumId w:val="4"/>
  </w:num>
  <w:num w:numId="27">
    <w:abstractNumId w:val="24"/>
  </w:num>
  <w:num w:numId="28">
    <w:abstractNumId w:val="25"/>
  </w:num>
  <w:num w:numId="29">
    <w:abstractNumId w:val="2"/>
  </w:num>
  <w:num w:numId="30">
    <w:abstractNumId w:val="16"/>
  </w:num>
  <w:num w:numId="31">
    <w:abstractNumId w:val="32"/>
  </w:num>
  <w:num w:numId="32">
    <w:abstractNumId w:val="20"/>
  </w:num>
  <w:num w:numId="33">
    <w:abstractNumId w:val="9"/>
  </w:num>
  <w:num w:numId="34">
    <w:abstractNumId w:val="6"/>
  </w:num>
  <w:num w:numId="35">
    <w:abstractNumId w:val="36"/>
  </w:num>
  <w:num w:numId="36">
    <w:abstractNumId w:val="29"/>
  </w:num>
  <w:num w:numId="37">
    <w:abstractNumId w:val="35"/>
  </w:num>
  <w:num w:numId="38">
    <w:abstractNumId w:val="12"/>
  </w:num>
  <w:num w:numId="39">
    <w:abstractNumId w:val="5"/>
  </w:num>
  <w:num w:numId="40">
    <w:abstractNumId w:val="21"/>
  </w:num>
  <w:num w:numId="41">
    <w:abstractNumId w:val="8"/>
  </w:num>
  <w:num w:numId="42">
    <w:abstractNumId w:val="11"/>
  </w:num>
  <w:num w:numId="43">
    <w:abstractNumId w:val="14"/>
  </w:num>
  <w:num w:numId="44">
    <w:abstractNumId w:val="0"/>
  </w:num>
  <w:num w:numId="45">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06"/>
    <w:rsid w:val="00000A67"/>
    <w:rsid w:val="00002752"/>
    <w:rsid w:val="00026218"/>
    <w:rsid w:val="00037023"/>
    <w:rsid w:val="00083378"/>
    <w:rsid w:val="00095793"/>
    <w:rsid w:val="000A7B86"/>
    <w:rsid w:val="000C5BEB"/>
    <w:rsid w:val="000C6A95"/>
    <w:rsid w:val="000D06CF"/>
    <w:rsid w:val="000F6526"/>
    <w:rsid w:val="00101C06"/>
    <w:rsid w:val="00106FF9"/>
    <w:rsid w:val="00117A43"/>
    <w:rsid w:val="00117F68"/>
    <w:rsid w:val="00124398"/>
    <w:rsid w:val="00186F13"/>
    <w:rsid w:val="00194291"/>
    <w:rsid w:val="001963F3"/>
    <w:rsid w:val="00196D8E"/>
    <w:rsid w:val="001B300E"/>
    <w:rsid w:val="001C3D0C"/>
    <w:rsid w:val="001D4CE7"/>
    <w:rsid w:val="001E28AA"/>
    <w:rsid w:val="001E5DC3"/>
    <w:rsid w:val="002039BC"/>
    <w:rsid w:val="002140E6"/>
    <w:rsid w:val="0024127F"/>
    <w:rsid w:val="0026088E"/>
    <w:rsid w:val="00265403"/>
    <w:rsid w:val="00265AF0"/>
    <w:rsid w:val="00271B01"/>
    <w:rsid w:val="0027639F"/>
    <w:rsid w:val="00276BC8"/>
    <w:rsid w:val="00294BB4"/>
    <w:rsid w:val="002A1F7A"/>
    <w:rsid w:val="002A7553"/>
    <w:rsid w:val="002D517D"/>
    <w:rsid w:val="002E0F67"/>
    <w:rsid w:val="002F0B57"/>
    <w:rsid w:val="002F1864"/>
    <w:rsid w:val="002F1CF0"/>
    <w:rsid w:val="00343514"/>
    <w:rsid w:val="00352E52"/>
    <w:rsid w:val="003857FA"/>
    <w:rsid w:val="00386447"/>
    <w:rsid w:val="003876FF"/>
    <w:rsid w:val="003B51A1"/>
    <w:rsid w:val="003E7924"/>
    <w:rsid w:val="004136AE"/>
    <w:rsid w:val="00413F1F"/>
    <w:rsid w:val="00416E16"/>
    <w:rsid w:val="00441083"/>
    <w:rsid w:val="00441587"/>
    <w:rsid w:val="00493277"/>
    <w:rsid w:val="004C2C87"/>
    <w:rsid w:val="004C680E"/>
    <w:rsid w:val="004E3A36"/>
    <w:rsid w:val="005318BF"/>
    <w:rsid w:val="00592D1D"/>
    <w:rsid w:val="00595196"/>
    <w:rsid w:val="005A3E67"/>
    <w:rsid w:val="005B1901"/>
    <w:rsid w:val="005B7870"/>
    <w:rsid w:val="00605093"/>
    <w:rsid w:val="00607CDA"/>
    <w:rsid w:val="00610A48"/>
    <w:rsid w:val="00633AE9"/>
    <w:rsid w:val="0064372A"/>
    <w:rsid w:val="00652793"/>
    <w:rsid w:val="00660924"/>
    <w:rsid w:val="00665AB3"/>
    <w:rsid w:val="00674009"/>
    <w:rsid w:val="00676CD4"/>
    <w:rsid w:val="0067761C"/>
    <w:rsid w:val="006804B1"/>
    <w:rsid w:val="006823BA"/>
    <w:rsid w:val="006877C9"/>
    <w:rsid w:val="006A6FA0"/>
    <w:rsid w:val="006B4F5E"/>
    <w:rsid w:val="006C0A36"/>
    <w:rsid w:val="006C3C08"/>
    <w:rsid w:val="006C40BD"/>
    <w:rsid w:val="006F7C97"/>
    <w:rsid w:val="007034FA"/>
    <w:rsid w:val="00707116"/>
    <w:rsid w:val="00712E72"/>
    <w:rsid w:val="0071447A"/>
    <w:rsid w:val="00741CF4"/>
    <w:rsid w:val="00747802"/>
    <w:rsid w:val="0075750B"/>
    <w:rsid w:val="00761F88"/>
    <w:rsid w:val="007935E1"/>
    <w:rsid w:val="007B26A2"/>
    <w:rsid w:val="007D3305"/>
    <w:rsid w:val="00816DF9"/>
    <w:rsid w:val="00872B62"/>
    <w:rsid w:val="00891647"/>
    <w:rsid w:val="00892122"/>
    <w:rsid w:val="008A7856"/>
    <w:rsid w:val="008C187D"/>
    <w:rsid w:val="008C32CB"/>
    <w:rsid w:val="008C5359"/>
    <w:rsid w:val="008C6CE8"/>
    <w:rsid w:val="008D48A2"/>
    <w:rsid w:val="008E0DB5"/>
    <w:rsid w:val="008F5B06"/>
    <w:rsid w:val="0091161A"/>
    <w:rsid w:val="009133DE"/>
    <w:rsid w:val="00914146"/>
    <w:rsid w:val="0091784A"/>
    <w:rsid w:val="00921074"/>
    <w:rsid w:val="00944BFF"/>
    <w:rsid w:val="00982FAC"/>
    <w:rsid w:val="00984659"/>
    <w:rsid w:val="00992823"/>
    <w:rsid w:val="0099339F"/>
    <w:rsid w:val="0099446C"/>
    <w:rsid w:val="00995EE7"/>
    <w:rsid w:val="009A1AE0"/>
    <w:rsid w:val="009A1FEF"/>
    <w:rsid w:val="009A41EE"/>
    <w:rsid w:val="009A5180"/>
    <w:rsid w:val="009A6DD4"/>
    <w:rsid w:val="00A234E9"/>
    <w:rsid w:val="00A372CB"/>
    <w:rsid w:val="00A7168F"/>
    <w:rsid w:val="00A757FC"/>
    <w:rsid w:val="00A848D7"/>
    <w:rsid w:val="00AB1813"/>
    <w:rsid w:val="00AE3431"/>
    <w:rsid w:val="00AE63D8"/>
    <w:rsid w:val="00AE706C"/>
    <w:rsid w:val="00AF0916"/>
    <w:rsid w:val="00B13966"/>
    <w:rsid w:val="00B30887"/>
    <w:rsid w:val="00B3529E"/>
    <w:rsid w:val="00B3661A"/>
    <w:rsid w:val="00B40560"/>
    <w:rsid w:val="00B606A9"/>
    <w:rsid w:val="00B65A80"/>
    <w:rsid w:val="00B67D4E"/>
    <w:rsid w:val="00B811F2"/>
    <w:rsid w:val="00B841B3"/>
    <w:rsid w:val="00B965DD"/>
    <w:rsid w:val="00BA0AE9"/>
    <w:rsid w:val="00BB389A"/>
    <w:rsid w:val="00BC3C7D"/>
    <w:rsid w:val="00BC6014"/>
    <w:rsid w:val="00BD2172"/>
    <w:rsid w:val="00BE1805"/>
    <w:rsid w:val="00C072B3"/>
    <w:rsid w:val="00C6443E"/>
    <w:rsid w:val="00C905B0"/>
    <w:rsid w:val="00C9768E"/>
    <w:rsid w:val="00CA49E4"/>
    <w:rsid w:val="00CD3FB5"/>
    <w:rsid w:val="00CE0C86"/>
    <w:rsid w:val="00CF1CF8"/>
    <w:rsid w:val="00D16F71"/>
    <w:rsid w:val="00D5134E"/>
    <w:rsid w:val="00D51B2A"/>
    <w:rsid w:val="00D64741"/>
    <w:rsid w:val="00D7523B"/>
    <w:rsid w:val="00D76D08"/>
    <w:rsid w:val="00D90B2E"/>
    <w:rsid w:val="00E3095E"/>
    <w:rsid w:val="00E3769E"/>
    <w:rsid w:val="00E52A60"/>
    <w:rsid w:val="00E54871"/>
    <w:rsid w:val="00E60D9C"/>
    <w:rsid w:val="00E735EC"/>
    <w:rsid w:val="00E73763"/>
    <w:rsid w:val="00E742AC"/>
    <w:rsid w:val="00E744C2"/>
    <w:rsid w:val="00E77E6C"/>
    <w:rsid w:val="00EC1B08"/>
    <w:rsid w:val="00ED0C2B"/>
    <w:rsid w:val="00EE2FA9"/>
    <w:rsid w:val="00EE440F"/>
    <w:rsid w:val="00F008F6"/>
    <w:rsid w:val="00F078D3"/>
    <w:rsid w:val="00F16A6A"/>
    <w:rsid w:val="00F3453B"/>
    <w:rsid w:val="00F37A42"/>
    <w:rsid w:val="00F50263"/>
    <w:rsid w:val="00F53D65"/>
    <w:rsid w:val="00F557F5"/>
    <w:rsid w:val="00F8198C"/>
    <w:rsid w:val="00FB40BB"/>
    <w:rsid w:val="00FC2DB5"/>
    <w:rsid w:val="00FC5578"/>
    <w:rsid w:val="00FD2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DCE6E"/>
  <w15:docId w15:val="{02012BC3-66DF-4118-8607-A7BAD0C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uiPriority w:val="99"/>
    <w:qFormat/>
    <w:pPr>
      <w:numPr>
        <w:ilvl w:val="5"/>
        <w:numId w:val="1"/>
      </w:numPr>
      <w:spacing w:before="240" w:after="60"/>
      <w:outlineLvl w:val="5"/>
    </w:pPr>
    <w:rPr>
      <w:rFonts w:ascii="Arial" w:hAnsi="Arial"/>
      <w:i/>
    </w:rPr>
  </w:style>
  <w:style w:type="paragraph" w:styleId="Heading7">
    <w:name w:val="heading 7"/>
    <w:basedOn w:val="Normal"/>
    <w:next w:val="Normal"/>
    <w:uiPriority w:val="9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Pr>
      <w:sz w:val="22"/>
      <w:szCs w:val="22"/>
      <w:lang w:val="en-GB"/>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372CB"/>
    <w:rPr>
      <w:sz w:val="22"/>
      <w:szCs w:val="22"/>
      <w:lang w:val="en-GB"/>
    </w:rPr>
  </w:style>
  <w:style w:type="paragraph" w:styleId="ListParagraph">
    <w:name w:val="List Paragraph"/>
    <w:aliases w:val="列出段落YUAN"/>
    <w:basedOn w:val="Normal"/>
    <w:link w:val="ListParagraphChar"/>
    <w:uiPriority w:val="34"/>
    <w:qFormat/>
    <w:rsid w:val="00607CDA"/>
    <w:pPr>
      <w:ind w:left="720"/>
      <w:contextualSpacing/>
      <w:jc w:val="left"/>
    </w:pPr>
  </w:style>
  <w:style w:type="character" w:customStyle="1" w:styleId="ListParagraphChar">
    <w:name w:val="List Paragraph Char"/>
    <w:aliases w:val="列出段落YUAN Char"/>
    <w:link w:val="ListParagraph"/>
    <w:uiPriority w:val="34"/>
    <w:locked/>
    <w:rsid w:val="00607CDA"/>
    <w:rPr>
      <w:sz w:val="22"/>
      <w:szCs w:val="22"/>
      <w:lang w:val="en-GB"/>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basedOn w:val="DefaultParagraphFont"/>
    <w:link w:val="Heading3"/>
    <w:uiPriority w:val="99"/>
    <w:rsid w:val="00610A48"/>
    <w:rPr>
      <w:sz w:val="22"/>
      <w:szCs w:val="22"/>
      <w:lang w:val="en-GB"/>
    </w:rPr>
  </w:style>
  <w:style w:type="character" w:customStyle="1" w:styleId="bumpedfont15">
    <w:name w:val="bumpedfont15"/>
    <w:basedOn w:val="DefaultParagraphFont"/>
    <w:rsid w:val="0061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746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UNEP/OzL.Pro/ExCom/83/1/Add.1</Document_x0020_Number>
  </documentManagement>
</p:properties>
</file>

<file path=customXml/itemProps1.xml><?xml version="1.0" encoding="utf-8"?>
<ds:datastoreItem xmlns:ds="http://schemas.openxmlformats.org/officeDocument/2006/customXml" ds:itemID="{2C26FC1A-7457-4AAE-8348-0CAC2B23B1C6}"/>
</file>

<file path=customXml/itemProps2.xml><?xml version="1.0" encoding="utf-8"?>
<ds:datastoreItem xmlns:ds="http://schemas.openxmlformats.org/officeDocument/2006/customXml" ds:itemID="{7D9DA68B-126F-4DCF-8E4E-82A2D0A50A56}"/>
</file>

<file path=customXml/itemProps3.xml><?xml version="1.0" encoding="utf-8"?>
<ds:datastoreItem xmlns:ds="http://schemas.openxmlformats.org/officeDocument/2006/customXml" ds:itemID="{230F602A-59B5-4644-B295-5DF02555FC47}"/>
</file>

<file path=customXml/itemProps4.xml><?xml version="1.0" encoding="utf-8"?>
<ds:datastoreItem xmlns:ds="http://schemas.openxmlformats.org/officeDocument/2006/customXml" ds:itemID="{00F40C09-9264-45F5-8C2A-12C97D328324}"/>
</file>

<file path=docProps/app.xml><?xml version="1.0" encoding="utf-8"?>
<Properties xmlns="http://schemas.openxmlformats.org/officeDocument/2006/extended-properties" xmlns:vt="http://schemas.openxmlformats.org/officeDocument/2006/docPropsVTypes">
  <Template>normal.dotm</Template>
  <TotalTime>142</TotalTime>
  <Pages>39</Pages>
  <Words>14136</Words>
  <Characters>80580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Ordre du jour provisoire annoté</vt:lpstr>
    </vt:vector>
  </TitlesOfParts>
  <Company>UNMFS</Company>
  <LinksUpToDate>false</LinksUpToDate>
  <CharactersWithSpaces>94527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83e</dc:subject>
  <dc:creator>Microsoft Office User</dc:creator>
  <cp:lastModifiedBy>Patricia Chau</cp:lastModifiedBy>
  <cp:revision>20</cp:revision>
  <cp:lastPrinted>2001-05-26T16:40:00Z</cp:lastPrinted>
  <dcterms:created xsi:type="dcterms:W3CDTF">2019-05-22T14:22:00Z</dcterms:created>
  <dcterms:modified xsi:type="dcterms:W3CDTF">2019-05-23T17:59:00Z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UNEP/OzL.Pro/ExCom/83/1/Add.1</vt:lpwstr>
  </property>
  <property fmtid="{D5CDD505-2E9C-101B-9397-08002B2CF9AE}" pid="3" name="Revision date">
    <vt:lpwstr>5/10/2019</vt:lpwstr>
  </property>
  <property fmtid="{D5CDD505-2E9C-101B-9397-08002B2CF9AE}" pid="4" name="ContentTypeId">
    <vt:lpwstr>0x01010021E4441DB9763A4B9F4793D394AD28DA</vt:lpwstr>
  </property>
</Properties>
</file>