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14:paraId="4D5778AC" w14:textId="77777777" w:rsidTr="00A5090F">
        <w:trPr>
          <w:trHeight w:val="720"/>
        </w:trPr>
        <w:tc>
          <w:tcPr>
            <w:tcW w:w="5490" w:type="dxa"/>
            <w:gridSpan w:val="2"/>
            <w:tcBorders>
              <w:bottom w:val="single" w:sz="18" w:space="0" w:color="auto"/>
            </w:tcBorders>
          </w:tcPr>
          <w:p w14:paraId="0BB8F123" w14:textId="77777777" w:rsidR="00AA1F65" w:rsidRDefault="00B278E2" w:rsidP="00AA1F6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 xml:space="preserve"> </w:t>
            </w:r>
            <w:r w:rsidR="00AA1F65">
              <w:rPr>
                <w:rFonts w:ascii="Univers" w:hAnsi="Univers"/>
                <w:b/>
                <w:sz w:val="28"/>
                <w:szCs w:val="28"/>
              </w:rPr>
              <w:t>NATIONS</w:t>
            </w:r>
          </w:p>
          <w:p w14:paraId="3D5C35E6" w14:textId="2A1150AB" w:rsidR="00AA1F65" w:rsidRPr="00AA1F65" w:rsidRDefault="00AA1F65" w:rsidP="00AA1F6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 xml:space="preserve"> UNIES</w:t>
            </w:r>
          </w:p>
        </w:tc>
        <w:tc>
          <w:tcPr>
            <w:tcW w:w="4590" w:type="dxa"/>
            <w:tcBorders>
              <w:bottom w:val="single" w:sz="18" w:space="0" w:color="auto"/>
            </w:tcBorders>
          </w:tcPr>
          <w:p w14:paraId="158C95B2" w14:textId="77777777" w:rsidR="00C15867" w:rsidRPr="00493D40" w:rsidRDefault="00C15867" w:rsidP="007532A8">
            <w:pPr>
              <w:jc w:val="right"/>
              <w:rPr>
                <w:sz w:val="52"/>
                <w:szCs w:val="52"/>
              </w:rPr>
            </w:pPr>
            <w:r>
              <w:rPr>
                <w:rFonts w:ascii="Univers Bold" w:hAnsi="Univers Bold"/>
                <w:b/>
                <w:sz w:val="72"/>
              </w:rPr>
              <w:t>EP</w:t>
            </w:r>
          </w:p>
        </w:tc>
      </w:tr>
      <w:tr w:rsidR="00C15867" w14:paraId="0329A092" w14:textId="77777777" w:rsidTr="00A50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FBD425D" w14:textId="77777777" w:rsidR="00C15867" w:rsidRDefault="00DA0CE2" w:rsidP="007532A8">
            <w:pPr>
              <w:spacing w:before="120"/>
            </w:pPr>
            <w:r w:rsidRPr="00DA0CE2">
              <w:rPr>
                <w:noProof/>
                <w:lang w:val="en-CA" w:eastAsia="en-CA"/>
              </w:rPr>
              <w:drawing>
                <wp:anchor distT="0" distB="0" distL="114300" distR="114300" simplePos="0" relativeHeight="251659264" behindDoc="0" locked="0" layoutInCell="1" allowOverlap="1" wp14:anchorId="7912E4CF" wp14:editId="64E0C193">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DA0CE2">
              <w:rPr>
                <w:noProof/>
                <w:lang w:val="en-CA" w:eastAsia="en-CA"/>
              </w:rPr>
              <w:drawing>
                <wp:anchor distT="0" distB="0" distL="114300" distR="114300" simplePos="0" relativeHeight="251660288" behindDoc="1" locked="0" layoutInCell="0" allowOverlap="1" wp14:anchorId="1D6EFF4B" wp14:editId="4644A062">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14:paraId="3BCA1447" w14:textId="77777777" w:rsidR="00FB0534" w:rsidRDefault="00FB0534" w:rsidP="00AA1F6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233B2865" w14:textId="21AE6E4C" w:rsidR="00C15867" w:rsidRPr="00AA1F65" w:rsidRDefault="00AA1F65" w:rsidP="00AA1F6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fr-CA"/>
              </w:rPr>
            </w:pPr>
            <w:r w:rsidRPr="00AA1F65">
              <w:rPr>
                <w:rFonts w:ascii="Univers" w:hAnsi="Univers"/>
                <w:b/>
                <w:sz w:val="32"/>
                <w:lang w:val="fr-CA"/>
              </w:rPr>
              <w:t>Programme des Nations Unies pour l’environnement</w:t>
            </w:r>
          </w:p>
          <w:p w14:paraId="2F896AE8" w14:textId="77777777" w:rsidR="00C15867" w:rsidRPr="00AA1F65" w:rsidRDefault="00C15867" w:rsidP="007532A8">
            <w:pPr>
              <w:spacing w:before="720"/>
              <w:ind w:left="158"/>
              <w:rPr>
                <w:lang w:val="fr-CA"/>
              </w:rPr>
            </w:pPr>
          </w:p>
        </w:tc>
        <w:tc>
          <w:tcPr>
            <w:tcW w:w="4590" w:type="dxa"/>
            <w:tcBorders>
              <w:top w:val="nil"/>
              <w:left w:val="nil"/>
              <w:bottom w:val="single" w:sz="36" w:space="0" w:color="auto"/>
              <w:right w:val="nil"/>
            </w:tcBorders>
          </w:tcPr>
          <w:p w14:paraId="271F4855" w14:textId="77777777" w:rsidR="00FB0534" w:rsidRDefault="00FB0534" w:rsidP="007532A8">
            <w:pPr>
              <w:rPr>
                <w:lang w:val="fr-CA"/>
              </w:rPr>
            </w:pPr>
          </w:p>
          <w:p w14:paraId="45D7134F" w14:textId="6DF33AAF" w:rsidR="00C15867" w:rsidRPr="006E6F01" w:rsidRDefault="00C15867" w:rsidP="007532A8">
            <w:pPr>
              <w:rPr>
                <w:lang w:val="fr-CA"/>
              </w:rPr>
            </w:pPr>
            <w:bookmarkStart w:id="0" w:name="_GoBack"/>
            <w:bookmarkEnd w:id="0"/>
            <w:proofErr w:type="spellStart"/>
            <w:r w:rsidRPr="006E6F01">
              <w:rPr>
                <w:lang w:val="fr-CA"/>
              </w:rPr>
              <w:t>Distr</w:t>
            </w:r>
            <w:proofErr w:type="spellEnd"/>
            <w:r w:rsidRPr="006E6F01">
              <w:rPr>
                <w:lang w:val="fr-CA"/>
              </w:rPr>
              <w:t>.</w:t>
            </w:r>
          </w:p>
          <w:p w14:paraId="670C8D0C" w14:textId="7A71949C" w:rsidR="00923540" w:rsidRPr="006E6F01" w:rsidRDefault="00DC3A9A" w:rsidP="00923540">
            <w:pPr>
              <w:rPr>
                <w:lang w:val="fr-CA"/>
              </w:rPr>
            </w:pPr>
            <w:r w:rsidRPr="006E6F01">
              <w:rPr>
                <w:lang w:val="fr-CA"/>
              </w:rPr>
              <w:t>GÉNÉRALE</w:t>
            </w:r>
          </w:p>
          <w:p w14:paraId="7E0C8187" w14:textId="77777777" w:rsidR="00C15867" w:rsidRPr="006E6F01" w:rsidRDefault="00C15867" w:rsidP="007532A8">
            <w:pPr>
              <w:rPr>
                <w:lang w:val="fr-CA"/>
              </w:rPr>
            </w:pPr>
          </w:p>
          <w:p w14:paraId="40D224E9" w14:textId="484F684C" w:rsidR="00C15867" w:rsidRPr="006E6F01" w:rsidRDefault="00BD24C9" w:rsidP="007532A8">
            <w:pPr>
              <w:rPr>
                <w:lang w:val="fr-CA"/>
              </w:rPr>
            </w:pPr>
            <w:r>
              <w:fldChar w:fldCharType="begin"/>
            </w:r>
            <w:r w:rsidRPr="006E6F01">
              <w:rPr>
                <w:lang w:val="fr-CA"/>
              </w:rPr>
              <w:instrText xml:space="preserve"> DOCPROPERTY "Document number"  \* MERGEFORMAT </w:instrText>
            </w:r>
            <w:r>
              <w:fldChar w:fldCharType="separate"/>
            </w:r>
            <w:r w:rsidR="0079738F" w:rsidRPr="006E6F01">
              <w:rPr>
                <w:lang w:val="fr-CA"/>
              </w:rPr>
              <w:t>UNEP/</w:t>
            </w:r>
            <w:proofErr w:type="spellStart"/>
            <w:r w:rsidR="0079738F" w:rsidRPr="006E6F01">
              <w:rPr>
                <w:lang w:val="fr-CA"/>
              </w:rPr>
              <w:t>OzL.Pro</w:t>
            </w:r>
            <w:proofErr w:type="spellEnd"/>
            <w:r w:rsidR="0079738F" w:rsidRPr="006E6F01">
              <w:rPr>
                <w:lang w:val="fr-CA"/>
              </w:rPr>
              <w:t>/</w:t>
            </w:r>
            <w:proofErr w:type="spellStart"/>
            <w:r w:rsidR="0079738F" w:rsidRPr="006E6F01">
              <w:rPr>
                <w:lang w:val="fr-CA"/>
              </w:rPr>
              <w:t>ExCom</w:t>
            </w:r>
            <w:proofErr w:type="spellEnd"/>
            <w:r w:rsidR="0079738F" w:rsidRPr="006E6F01">
              <w:rPr>
                <w:lang w:val="fr-CA"/>
              </w:rPr>
              <w:t>/83/8</w:t>
            </w:r>
            <w:r>
              <w:fldChar w:fldCharType="end"/>
            </w:r>
          </w:p>
          <w:p w14:paraId="58DEC4B4" w14:textId="1D2993C8" w:rsidR="00C15867" w:rsidRPr="006C754A" w:rsidRDefault="00BC2495" w:rsidP="007532A8">
            <w:pPr>
              <w:rPr>
                <w:lang w:val="fr-CA"/>
              </w:rPr>
            </w:pPr>
            <w:r>
              <w:fldChar w:fldCharType="begin"/>
            </w:r>
            <w:r w:rsidR="00851352" w:rsidRPr="006C754A">
              <w:rPr>
                <w:lang w:val="fr-CA"/>
              </w:rPr>
              <w:instrText xml:space="preserve"> DOCPROPERTY "Revision date" \@ "d MMMM YYYY"  \* MERGEFORMAT </w:instrText>
            </w:r>
            <w:r>
              <w:fldChar w:fldCharType="separate"/>
            </w:r>
            <w:r w:rsidR="003C3C4F" w:rsidRPr="006C754A">
              <w:rPr>
                <w:lang w:val="fr-CA"/>
              </w:rPr>
              <w:t xml:space="preserve">25 </w:t>
            </w:r>
            <w:r w:rsidR="00AA1F65" w:rsidRPr="006C754A">
              <w:rPr>
                <w:lang w:val="fr-CA"/>
              </w:rPr>
              <w:t>avril</w:t>
            </w:r>
            <w:r w:rsidR="003C3C4F" w:rsidRPr="006C754A">
              <w:rPr>
                <w:lang w:val="fr-CA"/>
              </w:rPr>
              <w:t xml:space="preserve"> 2019</w:t>
            </w:r>
            <w:r>
              <w:fldChar w:fldCharType="end"/>
            </w:r>
          </w:p>
          <w:p w14:paraId="752D00DC" w14:textId="77777777" w:rsidR="00C15867" w:rsidRPr="006C754A" w:rsidRDefault="00C15867" w:rsidP="007532A8">
            <w:pPr>
              <w:rPr>
                <w:caps/>
                <w:lang w:val="fr-CA"/>
              </w:rPr>
            </w:pPr>
          </w:p>
          <w:p w14:paraId="1317D318" w14:textId="77777777" w:rsidR="00AA1F65" w:rsidRDefault="00AA1F65" w:rsidP="007532A8">
            <w:r>
              <w:t>FRANÇAIS</w:t>
            </w:r>
          </w:p>
          <w:p w14:paraId="5A86DF19" w14:textId="15789F6E" w:rsidR="00C15867" w:rsidRDefault="00C15867" w:rsidP="00AA1F65">
            <w:r w:rsidRPr="0033525D">
              <w:t>ORIGINAL</w:t>
            </w:r>
            <w:r w:rsidR="00AA1F65">
              <w:t xml:space="preserve"> </w:t>
            </w:r>
            <w:r w:rsidRPr="0033525D">
              <w:t xml:space="preserve">: </w:t>
            </w:r>
            <w:r w:rsidR="00AA1F65">
              <w:t>ANGLAIS</w:t>
            </w:r>
          </w:p>
        </w:tc>
      </w:tr>
    </w:tbl>
    <w:p w14:paraId="0F91DA30" w14:textId="77777777" w:rsidR="00A5090F" w:rsidRPr="00007F87" w:rsidRDefault="00A5090F" w:rsidP="00A5090F">
      <w:pPr>
        <w:jc w:val="left"/>
        <w:rPr>
          <w:lang w:val="fr-CA"/>
        </w:rPr>
      </w:pPr>
      <w:r w:rsidRPr="00007F87">
        <w:rPr>
          <w:lang w:val="fr-CA"/>
        </w:rPr>
        <w:t xml:space="preserve">COMITE EXÉCUTIF </w:t>
      </w:r>
      <w:r w:rsidRPr="00007F87">
        <w:rPr>
          <w:lang w:val="fr-CA"/>
        </w:rPr>
        <w:br/>
        <w:t xml:space="preserve">  DU FONDS MULTILATÉRAL AUX FINS </w:t>
      </w:r>
      <w:r w:rsidRPr="00007F87">
        <w:rPr>
          <w:lang w:val="fr-CA"/>
        </w:rPr>
        <w:br/>
        <w:t xml:space="preserve">  D’APPLICATION DU PROTOCOLE DE MONTRÉAL</w:t>
      </w:r>
      <w:r w:rsidRPr="00007F87">
        <w:rPr>
          <w:lang w:val="fr-CA"/>
        </w:rPr>
        <w:br/>
        <w:t>Quatre-vingt-troisième réunion</w:t>
      </w:r>
    </w:p>
    <w:p w14:paraId="2FBEDA65" w14:textId="696C2ACD" w:rsidR="009E196C" w:rsidRPr="00FF5E5D" w:rsidRDefault="00A5090F" w:rsidP="00A5090F">
      <w:pPr>
        <w:jc w:val="left"/>
        <w:rPr>
          <w:lang w:val="fr-CA"/>
        </w:rPr>
      </w:pPr>
      <w:r w:rsidRPr="00007F87">
        <w:rPr>
          <w:lang w:val="fr-CA"/>
        </w:rPr>
        <w:t>Montréal, 27</w:t>
      </w:r>
      <w:r>
        <w:rPr>
          <w:lang w:val="fr-CA"/>
        </w:rPr>
        <w:t xml:space="preserve"> </w:t>
      </w:r>
      <w:r w:rsidRPr="00007F87">
        <w:rPr>
          <w:lang w:val="fr-CA"/>
        </w:rPr>
        <w:t xml:space="preserve">– 31 mai </w:t>
      </w:r>
      <w:r w:rsidR="009E196C" w:rsidRPr="00FF5E5D">
        <w:rPr>
          <w:lang w:val="fr-CA"/>
        </w:rPr>
        <w:t>201</w:t>
      </w:r>
      <w:r w:rsidR="0050078E" w:rsidRPr="00FF5E5D">
        <w:rPr>
          <w:lang w:val="fr-CA"/>
        </w:rPr>
        <w:t>9</w:t>
      </w:r>
    </w:p>
    <w:p w14:paraId="24EF2F8C" w14:textId="672889EA" w:rsidR="004E7F9C" w:rsidRPr="00FF5E5D" w:rsidRDefault="004E7F9C" w:rsidP="004E7F9C">
      <w:pPr>
        <w:pStyle w:val="Title1"/>
        <w:rPr>
          <w:lang w:val="fr-CA"/>
        </w:rPr>
      </w:pPr>
    </w:p>
    <w:p w14:paraId="7F5EBB77" w14:textId="77777777" w:rsidR="00D154F9" w:rsidRDefault="00FF5E5D" w:rsidP="00D154F9">
      <w:pPr>
        <w:jc w:val="center"/>
        <w:rPr>
          <w:b/>
          <w:lang w:val="fr-CA"/>
        </w:rPr>
      </w:pPr>
      <w:r w:rsidRPr="00FF5E5D">
        <w:rPr>
          <w:b/>
          <w:lang w:val="fr-CA"/>
        </w:rPr>
        <w:t xml:space="preserve">ÉTUDE THÉORIQUE RÉVISÉE </w:t>
      </w:r>
    </w:p>
    <w:p w14:paraId="2902BF68" w14:textId="3758BBB8" w:rsidR="00D154F9" w:rsidRDefault="00FF5E5D" w:rsidP="00D154F9">
      <w:pPr>
        <w:jc w:val="center"/>
        <w:rPr>
          <w:b/>
          <w:lang w:val="fr-CA"/>
        </w:rPr>
      </w:pPr>
      <w:r w:rsidRPr="00FF5E5D">
        <w:rPr>
          <w:b/>
          <w:lang w:val="fr-CA"/>
        </w:rPr>
        <w:t xml:space="preserve">SUR L’ÉVALUATION DES ACTIVITÉS DE PRÉPARATION </w:t>
      </w:r>
    </w:p>
    <w:p w14:paraId="2C8F267A" w14:textId="0709208D" w:rsidR="00D154F9" w:rsidRDefault="00D154F9" w:rsidP="00D154F9">
      <w:pPr>
        <w:jc w:val="center"/>
        <w:rPr>
          <w:b/>
          <w:lang w:val="fr-CA"/>
        </w:rPr>
      </w:pPr>
      <w:r>
        <w:rPr>
          <w:b/>
          <w:lang w:val="fr-CA"/>
        </w:rPr>
        <w:t xml:space="preserve">DES </w:t>
      </w:r>
      <w:r w:rsidR="00FF5E5D" w:rsidRPr="00FF5E5D">
        <w:rPr>
          <w:b/>
          <w:lang w:val="fr-CA"/>
        </w:rPr>
        <w:t xml:space="preserve">PLANS DE GESTION DE L’ÉLIMINATION DES HCFC </w:t>
      </w:r>
    </w:p>
    <w:p w14:paraId="06FFCF20" w14:textId="2D209959" w:rsidR="00B4139E" w:rsidRDefault="00FF5E5D" w:rsidP="00D154F9">
      <w:pPr>
        <w:jc w:val="center"/>
        <w:rPr>
          <w:b/>
          <w:lang w:val="fr-CA"/>
        </w:rPr>
      </w:pPr>
      <w:r w:rsidRPr="00FF5E5D">
        <w:rPr>
          <w:b/>
          <w:lang w:val="fr-CA"/>
        </w:rPr>
        <w:t>PROPRES À AIDER À LA MISE EN ŒUVRE DE L’AMENDEMENT DE KIGALI</w:t>
      </w:r>
    </w:p>
    <w:p w14:paraId="56A7B2E3" w14:textId="37DC9E83" w:rsidR="00D154F9" w:rsidRDefault="00D154F9" w:rsidP="00D154F9">
      <w:pPr>
        <w:jc w:val="center"/>
        <w:rPr>
          <w:b/>
          <w:lang w:val="fr-CA"/>
        </w:rPr>
      </w:pPr>
    </w:p>
    <w:p w14:paraId="25B9E447" w14:textId="77777777" w:rsidR="00D154F9" w:rsidRPr="00FF5E5D" w:rsidRDefault="00D154F9" w:rsidP="00D154F9">
      <w:pPr>
        <w:jc w:val="center"/>
        <w:rPr>
          <w:b/>
          <w:lang w:val="fr-CA"/>
        </w:rPr>
      </w:pPr>
    </w:p>
    <w:p w14:paraId="7DE689BF" w14:textId="58E9DD66" w:rsidR="001732DD" w:rsidRPr="00FF5E5D" w:rsidRDefault="00492D04" w:rsidP="001732DD">
      <w:pPr>
        <w:pStyle w:val="Heading1"/>
        <w:rPr>
          <w:lang w:val="fr-CA"/>
        </w:rPr>
      </w:pPr>
      <w:r w:rsidRPr="00DC3A9A">
        <w:rPr>
          <w:lang w:val="fr-CA"/>
        </w:rPr>
        <w:t>L</w:t>
      </w:r>
      <w:r w:rsidR="00DC3A9A" w:rsidRPr="00DC3A9A">
        <w:rPr>
          <w:lang w:val="fr-CA"/>
        </w:rPr>
        <w:t>e Comité exécutif, à</w:t>
      </w:r>
      <w:r w:rsidRPr="00DC3A9A">
        <w:rPr>
          <w:lang w:val="fr-CA"/>
        </w:rPr>
        <w:t xml:space="preserve"> sa 82</w:t>
      </w:r>
      <w:r w:rsidRPr="00DC3A9A">
        <w:rPr>
          <w:vertAlign w:val="superscript"/>
          <w:lang w:val="fr-CA"/>
        </w:rPr>
        <w:t>e</w:t>
      </w:r>
      <w:r w:rsidRPr="00DC3A9A">
        <w:rPr>
          <w:lang w:val="fr-CA"/>
        </w:rPr>
        <w:t xml:space="preserve"> réunion, a examiné l’Étude théorique sur l’évaluation des activités de préparation des plans de gestion de l’élimination des HCFC propres à aider à la mise en œuvre de l’Amendement de Kigali</w:t>
      </w:r>
      <w:r w:rsidR="00271D70" w:rsidRPr="00DC3A9A">
        <w:rPr>
          <w:rStyle w:val="FootnoteReference"/>
        </w:rPr>
        <w:footnoteReference w:id="1"/>
      </w:r>
      <w:r w:rsidR="00271D70" w:rsidRPr="00DC3A9A">
        <w:rPr>
          <w:lang w:val="fr-CA"/>
        </w:rPr>
        <w:t xml:space="preserve"> </w:t>
      </w:r>
      <w:r w:rsidRPr="00DC3A9A">
        <w:rPr>
          <w:lang w:val="fr-CA"/>
        </w:rPr>
        <w:t>proposée par l’Administrateur principal</w:t>
      </w:r>
      <w:r>
        <w:rPr>
          <w:lang w:val="fr-CA"/>
        </w:rPr>
        <w:t>, Suivi et évaluation</w:t>
      </w:r>
      <w:r w:rsidR="001732DD" w:rsidRPr="00FF5E5D">
        <w:rPr>
          <w:lang w:val="fr-CA"/>
        </w:rPr>
        <w:t xml:space="preserve">. </w:t>
      </w:r>
    </w:p>
    <w:p w14:paraId="67002D99" w14:textId="0D371B97" w:rsidR="001732DD" w:rsidRPr="00FF5E5D" w:rsidRDefault="00472F37" w:rsidP="001732DD">
      <w:pPr>
        <w:pStyle w:val="Heading1"/>
        <w:rPr>
          <w:lang w:val="fr-CA"/>
        </w:rPr>
      </w:pPr>
      <w:r>
        <w:rPr>
          <w:lang w:val="fr-CA"/>
        </w:rPr>
        <w:t xml:space="preserve">Au cours des échanges, certains membres ont </w:t>
      </w:r>
      <w:r w:rsidR="00DC3A9A">
        <w:rPr>
          <w:lang w:val="fr-CA"/>
        </w:rPr>
        <w:t>souligné</w:t>
      </w:r>
      <w:r>
        <w:rPr>
          <w:lang w:val="fr-CA"/>
        </w:rPr>
        <w:t xml:space="preserve"> </w:t>
      </w:r>
      <w:r w:rsidR="006E6F01">
        <w:rPr>
          <w:lang w:val="fr-CA"/>
        </w:rPr>
        <w:t xml:space="preserve">le fait </w:t>
      </w:r>
      <w:r>
        <w:rPr>
          <w:lang w:val="fr-CA"/>
        </w:rPr>
        <w:t xml:space="preserve">que </w:t>
      </w:r>
      <w:r w:rsidR="006E6F01">
        <w:rPr>
          <w:lang w:val="fr-CA"/>
        </w:rPr>
        <w:t xml:space="preserve">les réponses à </w:t>
      </w:r>
      <w:r>
        <w:rPr>
          <w:lang w:val="fr-CA"/>
        </w:rPr>
        <w:t>certain</w:t>
      </w:r>
      <w:r w:rsidR="006E6F01">
        <w:rPr>
          <w:lang w:val="fr-CA"/>
        </w:rPr>
        <w:t>e</w:t>
      </w:r>
      <w:r>
        <w:rPr>
          <w:lang w:val="fr-CA"/>
        </w:rPr>
        <w:t xml:space="preserve">s questions soulevées dans l’étude théorique </w:t>
      </w:r>
      <w:r w:rsidR="006E6F01">
        <w:rPr>
          <w:lang w:val="fr-CA"/>
        </w:rPr>
        <w:t>étaient incomplèt</w:t>
      </w:r>
      <w:r>
        <w:rPr>
          <w:lang w:val="fr-CA"/>
        </w:rPr>
        <w:t xml:space="preserve">es. Voici quelques exemples précis : </w:t>
      </w:r>
      <w:r w:rsidR="007B0B29">
        <w:rPr>
          <w:lang w:val="fr-CA"/>
        </w:rPr>
        <w:t xml:space="preserve">la mesure dans laquelle les politiques générales sur les mesures d’encouragement, les </w:t>
      </w:r>
      <w:r w:rsidR="007B0B29" w:rsidRPr="00DC3A9A">
        <w:rPr>
          <w:lang w:val="fr-CA"/>
        </w:rPr>
        <w:t>modalités de cofinancement et les approches de coordination interministérielles ont été examinées lors de la préparation du plan de gestion de l'élimination des HCFC (PGEH); les activités les plus utiles au cours de la préparation du projet de PGEH, y compris l’orientation sur les projets de technologies de réfrigération pas en nature</w:t>
      </w:r>
      <w:r w:rsidR="00AA00DC" w:rsidRPr="00DC3A9A">
        <w:rPr>
          <w:lang w:val="fr-CA"/>
        </w:rPr>
        <w:t xml:space="preserve">; la quantité d’attention </w:t>
      </w:r>
      <w:r w:rsidR="003763FB">
        <w:rPr>
          <w:lang w:val="fr-CA"/>
        </w:rPr>
        <w:t xml:space="preserve">accordée à </w:t>
      </w:r>
      <w:r w:rsidR="00DC3A9A">
        <w:rPr>
          <w:lang w:val="fr-CA"/>
        </w:rPr>
        <w:t>déterminer</w:t>
      </w:r>
      <w:r w:rsidR="00AA00DC" w:rsidRPr="00DC3A9A">
        <w:rPr>
          <w:lang w:val="fr-CA"/>
        </w:rPr>
        <w:t xml:space="preserve"> si les activités et processus du Fonds multilatéral pouvaient êt</w:t>
      </w:r>
      <w:r w:rsidR="00DC3A9A">
        <w:rPr>
          <w:lang w:val="fr-CA"/>
        </w:rPr>
        <w:t>re relié</w:t>
      </w:r>
      <w:r w:rsidR="00AA00DC" w:rsidRPr="00DC3A9A">
        <w:rPr>
          <w:lang w:val="fr-CA"/>
        </w:rPr>
        <w:t>s</w:t>
      </w:r>
      <w:r w:rsidR="00AA00DC">
        <w:rPr>
          <w:lang w:val="fr-CA"/>
        </w:rPr>
        <w:t xml:space="preserve"> à </w:t>
      </w:r>
      <w:r w:rsidR="00DC3A9A">
        <w:rPr>
          <w:lang w:val="fr-CA"/>
        </w:rPr>
        <w:t>ceux</w:t>
      </w:r>
      <w:r w:rsidR="00AA00DC">
        <w:rPr>
          <w:lang w:val="fr-CA"/>
        </w:rPr>
        <w:t xml:space="preserve"> d’autres institutions; et si le prix des HCFC et des substances de remplacement figurait parmi les données recueillies pendant la préparation du projet</w:t>
      </w:r>
      <w:r w:rsidR="001732DD" w:rsidRPr="00FF5E5D">
        <w:rPr>
          <w:lang w:val="fr-CA"/>
        </w:rPr>
        <w:t>.</w:t>
      </w:r>
      <w:r w:rsidR="00AA00DC">
        <w:rPr>
          <w:lang w:val="fr-CA"/>
        </w:rPr>
        <w:t xml:space="preserve"> Un membre a aussi souligné que l’étude théorique ne fournissait pas d’</w:t>
      </w:r>
      <w:r w:rsidR="00F42776">
        <w:rPr>
          <w:lang w:val="fr-CA"/>
        </w:rPr>
        <w:t>information sur les mo</w:t>
      </w:r>
      <w:r w:rsidR="00AA00DC">
        <w:rPr>
          <w:lang w:val="fr-CA"/>
        </w:rPr>
        <w:t>yens d’a</w:t>
      </w:r>
      <w:r w:rsidR="00F42776">
        <w:rPr>
          <w:lang w:val="fr-CA"/>
        </w:rPr>
        <w:t xml:space="preserve">ssurer la conformité malgré l’arrivée rapide de l’objectif de réduction </w:t>
      </w:r>
      <w:r w:rsidR="003D1C3A">
        <w:rPr>
          <w:lang w:val="fr-CA"/>
        </w:rPr>
        <w:t xml:space="preserve">progressive </w:t>
      </w:r>
      <w:r w:rsidR="00F42776">
        <w:rPr>
          <w:lang w:val="fr-CA"/>
        </w:rPr>
        <w:t xml:space="preserve">du HFC-23. L’Administrateur principal, Suivi et évaluation a expliqué que certaines questions soulevées dans l’étude théorique étaient demeurées sans réponse car l’information </w:t>
      </w:r>
      <w:r w:rsidR="003763FB">
        <w:rPr>
          <w:lang w:val="fr-CA"/>
        </w:rPr>
        <w:t>n’était</w:t>
      </w:r>
      <w:r w:rsidR="00F42776">
        <w:rPr>
          <w:lang w:val="fr-CA"/>
        </w:rPr>
        <w:t xml:space="preserve"> pas disponible. Certains membres ont ajouté que malgré les lacunes du rapport, l’étude théorique fournissait plusieurs perspectives et suggestions utiles</w:t>
      </w:r>
      <w:r w:rsidR="00AA00DC">
        <w:rPr>
          <w:lang w:val="fr-CA"/>
        </w:rPr>
        <w:t xml:space="preserve"> </w:t>
      </w:r>
      <w:r w:rsidR="00F42776">
        <w:rPr>
          <w:lang w:val="fr-CA"/>
        </w:rPr>
        <w:t>que le Secrétariat pourrait prendre en ligne de compte lors de l’élaboration du projet de lignes directrices pour la préparation des plans de réduction progressive des HFC.</w:t>
      </w:r>
      <w:r w:rsidR="001732DD" w:rsidRPr="00FF5E5D">
        <w:rPr>
          <w:lang w:val="fr-CA"/>
        </w:rPr>
        <w:t xml:space="preserve"> </w:t>
      </w:r>
    </w:p>
    <w:p w14:paraId="3CE9D062" w14:textId="162A3611" w:rsidR="001732DD" w:rsidRPr="00FF5E5D" w:rsidRDefault="00271D70" w:rsidP="001732DD">
      <w:pPr>
        <w:pStyle w:val="Heading1"/>
        <w:rPr>
          <w:lang w:val="fr-CA"/>
        </w:rPr>
      </w:pPr>
      <w:r>
        <w:rPr>
          <w:lang w:val="fr-CA" w:eastAsia="en-CA"/>
        </w:rPr>
        <w:lastRenderedPageBreak/>
        <w:t>Compte tenu des différentes opinions sur la nécessité de réviser l’étude théorique et de la proposer de nouveau à la 83</w:t>
      </w:r>
      <w:r w:rsidRPr="00271D70">
        <w:rPr>
          <w:vertAlign w:val="superscript"/>
          <w:lang w:val="fr-CA" w:eastAsia="en-CA"/>
        </w:rPr>
        <w:t>e</w:t>
      </w:r>
      <w:r>
        <w:rPr>
          <w:lang w:val="fr-CA" w:eastAsia="en-CA"/>
        </w:rPr>
        <w:t xml:space="preserve"> réunion, et à l’issue de débats supplémentaires, le Comité exécutif a pris note</w:t>
      </w:r>
      <w:r w:rsidR="00745464">
        <w:rPr>
          <w:lang w:val="fr-CA" w:eastAsia="en-CA"/>
        </w:rPr>
        <w:t xml:space="preserve"> que la prolongation de l’étude théorique avait été prévue dans le programme de travail </w:t>
      </w:r>
      <w:r w:rsidR="003D1C3A">
        <w:rPr>
          <w:lang w:val="fr-CA" w:eastAsia="en-CA"/>
        </w:rPr>
        <w:t xml:space="preserve">de suivi </w:t>
      </w:r>
      <w:r w:rsidR="00745464">
        <w:rPr>
          <w:lang w:val="fr-CA" w:eastAsia="en-CA"/>
        </w:rPr>
        <w:t>et évaluation de l’année 2019</w:t>
      </w:r>
      <w:r w:rsidR="001732DD" w:rsidRPr="00FF5E5D">
        <w:rPr>
          <w:lang w:val="fr-CA"/>
        </w:rPr>
        <w:t>.</w:t>
      </w:r>
    </w:p>
    <w:p w14:paraId="0D42208E" w14:textId="5050A551" w:rsidR="00802BA7" w:rsidRPr="00FF5E5D" w:rsidRDefault="00745464" w:rsidP="00813B50">
      <w:pPr>
        <w:pStyle w:val="Heading1"/>
        <w:rPr>
          <w:lang w:val="fr-CA"/>
        </w:rPr>
      </w:pPr>
      <w:r>
        <w:rPr>
          <w:lang w:val="fr-CA"/>
        </w:rPr>
        <w:t>En réponse aux inquiétudes exprimées par</w:t>
      </w:r>
      <w:r w:rsidR="006510FE">
        <w:rPr>
          <w:lang w:val="fr-CA"/>
        </w:rPr>
        <w:t xml:space="preserve"> certains membres au</w:t>
      </w:r>
      <w:r>
        <w:rPr>
          <w:lang w:val="fr-CA"/>
        </w:rPr>
        <w:t xml:space="preserve"> sujet du caract</w:t>
      </w:r>
      <w:r w:rsidR="006510FE">
        <w:rPr>
          <w:lang w:val="fr-CA"/>
        </w:rPr>
        <w:t>ère in</w:t>
      </w:r>
      <w:r>
        <w:rPr>
          <w:lang w:val="fr-CA"/>
        </w:rPr>
        <w:t>complet des réponses à certaines questions posées dans le mandat, l’Adminis</w:t>
      </w:r>
      <w:r w:rsidR="006510FE">
        <w:rPr>
          <w:lang w:val="fr-CA"/>
        </w:rPr>
        <w:t xml:space="preserve">trateur principal, </w:t>
      </w:r>
      <w:r w:rsidR="006510FE" w:rsidRPr="003D1C3A">
        <w:rPr>
          <w:lang w:val="fr-CA"/>
        </w:rPr>
        <w:t>Suivi et évaluation a proposé à la 83</w:t>
      </w:r>
      <w:r w:rsidR="006510FE" w:rsidRPr="003D1C3A">
        <w:rPr>
          <w:vertAlign w:val="superscript"/>
          <w:lang w:val="fr-CA"/>
        </w:rPr>
        <w:t>e</w:t>
      </w:r>
      <w:r w:rsidR="006510FE" w:rsidRPr="003D1C3A">
        <w:rPr>
          <w:lang w:val="fr-CA"/>
        </w:rPr>
        <w:t xml:space="preserve"> </w:t>
      </w:r>
      <w:r w:rsidR="003D1C3A" w:rsidRPr="003D1C3A">
        <w:rPr>
          <w:lang w:val="fr-CA"/>
        </w:rPr>
        <w:t>réunion</w:t>
      </w:r>
      <w:r w:rsidR="006510FE" w:rsidRPr="003D1C3A">
        <w:rPr>
          <w:lang w:val="fr-CA"/>
        </w:rPr>
        <w:t xml:space="preserve"> une étude théorique révisée sur l’évaluation des activités de préparation des plans de gestion de l’élimination des HCFC propres à aider à la mise en œuvre de l’Amendement de Kigali</w:t>
      </w:r>
      <w:r w:rsidR="00D27DCC">
        <w:rPr>
          <w:lang w:val="fr-CA"/>
        </w:rPr>
        <w:t>,</w:t>
      </w:r>
      <w:r w:rsidR="006510FE" w:rsidRPr="003D1C3A">
        <w:rPr>
          <w:lang w:val="fr-CA"/>
        </w:rPr>
        <w:t xml:space="preserve"> </w:t>
      </w:r>
      <w:r w:rsidR="003D1C3A">
        <w:rPr>
          <w:lang w:val="fr-CA"/>
        </w:rPr>
        <w:t xml:space="preserve">préparée </w:t>
      </w:r>
      <w:r w:rsidR="006510FE" w:rsidRPr="003D1C3A">
        <w:rPr>
          <w:lang w:val="fr-CA"/>
        </w:rPr>
        <w:t>à partir de l’étude théorique proposée à la 82</w:t>
      </w:r>
      <w:r w:rsidR="006510FE" w:rsidRPr="003D1C3A">
        <w:rPr>
          <w:vertAlign w:val="superscript"/>
          <w:lang w:val="fr-CA"/>
        </w:rPr>
        <w:t>e</w:t>
      </w:r>
      <w:r w:rsidR="006510FE" w:rsidRPr="003D1C3A">
        <w:rPr>
          <w:lang w:val="fr-CA"/>
        </w:rPr>
        <w:t xml:space="preserve"> réunion. Les changements apportés au document</w:t>
      </w:r>
      <w:r w:rsidR="006510FE">
        <w:rPr>
          <w:lang w:val="fr-CA"/>
        </w:rPr>
        <w:t xml:space="preserve"> proposé à la 82</w:t>
      </w:r>
      <w:r w:rsidR="006510FE" w:rsidRPr="006510FE">
        <w:rPr>
          <w:vertAlign w:val="superscript"/>
          <w:lang w:val="fr-CA"/>
        </w:rPr>
        <w:t>e</w:t>
      </w:r>
      <w:r w:rsidR="006510FE">
        <w:rPr>
          <w:lang w:val="fr-CA"/>
        </w:rPr>
        <w:t xml:space="preserve"> réunion sont indiqués en </w:t>
      </w:r>
      <w:r w:rsidR="006510FE" w:rsidRPr="006510FE">
        <w:rPr>
          <w:b/>
          <w:lang w:val="fr-CA"/>
        </w:rPr>
        <w:t>caractères gras</w:t>
      </w:r>
      <w:r w:rsidR="003D1C3A">
        <w:rPr>
          <w:lang w:val="fr-CA"/>
        </w:rPr>
        <w:t xml:space="preserve"> ci-desso</w:t>
      </w:r>
      <w:r w:rsidR="006510FE">
        <w:rPr>
          <w:lang w:val="fr-CA"/>
        </w:rPr>
        <w:t>us</w:t>
      </w:r>
      <w:r w:rsidR="00154961" w:rsidRPr="00FF5E5D">
        <w:rPr>
          <w:lang w:val="fr-CA"/>
        </w:rPr>
        <w:t xml:space="preserve">. </w:t>
      </w:r>
    </w:p>
    <w:p w14:paraId="5206BABA" w14:textId="77777777" w:rsidR="006510FE" w:rsidRPr="00686189" w:rsidRDefault="006510FE" w:rsidP="006510FE">
      <w:pPr>
        <w:spacing w:after="240"/>
        <w:rPr>
          <w:lang w:val="fr-CA"/>
        </w:rPr>
      </w:pPr>
      <w:r w:rsidRPr="00686189">
        <w:rPr>
          <w:b/>
          <w:lang w:val="fr-CA"/>
        </w:rPr>
        <w:t xml:space="preserve">Contexte </w:t>
      </w:r>
    </w:p>
    <w:p w14:paraId="6736512D" w14:textId="2C6C7FAC" w:rsidR="006510FE" w:rsidRPr="000547CF" w:rsidRDefault="006510FE" w:rsidP="006510FE">
      <w:pPr>
        <w:pStyle w:val="Heading1"/>
        <w:rPr>
          <w:lang w:val="fr-CA"/>
        </w:rPr>
      </w:pPr>
      <w:r w:rsidRPr="00715C2A">
        <w:rPr>
          <w:lang w:val="fr-CA"/>
        </w:rPr>
        <w:t>En septembre</w:t>
      </w:r>
      <w:r>
        <w:rPr>
          <w:lang w:val="fr-CA"/>
        </w:rPr>
        <w:t> </w:t>
      </w:r>
      <w:r w:rsidRPr="00715C2A">
        <w:rPr>
          <w:lang w:val="fr-CA"/>
        </w:rPr>
        <w:t xml:space="preserve">2007, la </w:t>
      </w:r>
      <w:r>
        <w:rPr>
          <w:lang w:val="fr-CA"/>
        </w:rPr>
        <w:t>dix</w:t>
      </w:r>
      <w:r>
        <w:rPr>
          <w:lang w:val="fr-CA"/>
        </w:rPr>
        <w:noBreakHyphen/>
        <w:t>neuvième </w:t>
      </w:r>
      <w:r w:rsidRPr="00715C2A">
        <w:rPr>
          <w:lang w:val="fr-CA"/>
        </w:rPr>
        <w:t>Réunion des Parties au Protocole de Montréal a convenu d’accélérer l’élimination de la production et de la consommation de HCFC par la décision</w:t>
      </w:r>
      <w:r>
        <w:rPr>
          <w:lang w:val="fr-CA"/>
        </w:rPr>
        <w:t> </w:t>
      </w:r>
      <w:r w:rsidRPr="00715C2A">
        <w:rPr>
          <w:lang w:val="fr-CA"/>
        </w:rPr>
        <w:t>XIX/6. Le Comité exécutif à sa 54</w:t>
      </w:r>
      <w:r w:rsidRPr="00CB3956">
        <w:rPr>
          <w:vertAlign w:val="superscript"/>
          <w:lang w:val="fr-CA"/>
        </w:rPr>
        <w:t>e</w:t>
      </w:r>
      <w:r>
        <w:rPr>
          <w:lang w:val="fr-CA"/>
        </w:rPr>
        <w:t> </w:t>
      </w:r>
      <w:r w:rsidRPr="00715C2A">
        <w:rPr>
          <w:lang w:val="fr-CA"/>
        </w:rPr>
        <w:t xml:space="preserve">réunion a ensuite approuvé le projet de lignes directrices pour la préparation des plans de gestion de l’élimination des HCFC </w:t>
      </w:r>
      <w:r>
        <w:rPr>
          <w:lang w:val="fr-CA"/>
        </w:rPr>
        <w:t xml:space="preserve">(PGEH) qui couvrait trois aspects : le calendrier et l’approche, les questions </w:t>
      </w:r>
      <w:r w:rsidR="003D1C3A">
        <w:rPr>
          <w:lang w:val="fr-CA"/>
        </w:rPr>
        <w:t>d’orientation</w:t>
      </w:r>
      <w:r>
        <w:rPr>
          <w:lang w:val="fr-CA"/>
        </w:rPr>
        <w:t xml:space="preserve"> relatives aux PGEH et un projet de format pour les PGEH (décision 54/39).</w:t>
      </w:r>
    </w:p>
    <w:p w14:paraId="29D522DC" w14:textId="6096DE2A" w:rsidR="006510FE" w:rsidRPr="000547CF" w:rsidRDefault="006510FE" w:rsidP="006510FE">
      <w:pPr>
        <w:pStyle w:val="Heading1"/>
        <w:rPr>
          <w:lang w:val="fr-CA"/>
        </w:rPr>
      </w:pPr>
      <w:r>
        <w:rPr>
          <w:lang w:val="fr-CA"/>
        </w:rPr>
        <w:t>Ces</w:t>
      </w:r>
      <w:r w:rsidRPr="00715C2A">
        <w:rPr>
          <w:lang w:val="fr-CA"/>
        </w:rPr>
        <w:t xml:space="preserve"> lignes directrices traitaient de la nécessité d’approuver le</w:t>
      </w:r>
      <w:r>
        <w:rPr>
          <w:lang w:val="fr-CA"/>
        </w:rPr>
        <w:t>s</w:t>
      </w:r>
      <w:r w:rsidRPr="00715C2A">
        <w:rPr>
          <w:lang w:val="fr-CA"/>
        </w:rPr>
        <w:t xml:space="preserve"> PGEH rapidement en vue de respecter le gel de 2013 et l’</w:t>
      </w:r>
      <w:r>
        <w:rPr>
          <w:lang w:val="fr-CA"/>
        </w:rPr>
        <w:t>objectif</w:t>
      </w:r>
      <w:r w:rsidRPr="00715C2A">
        <w:rPr>
          <w:lang w:val="fr-CA"/>
        </w:rPr>
        <w:t xml:space="preserve"> de réduction de 10</w:t>
      </w:r>
      <w:r>
        <w:rPr>
          <w:lang w:val="fr-CA"/>
        </w:rPr>
        <w:t> </w:t>
      </w:r>
      <w:r w:rsidR="00686189">
        <w:rPr>
          <w:lang w:val="fr-CA"/>
        </w:rPr>
        <w:t>pour cent</w:t>
      </w:r>
      <w:r w:rsidRPr="00715C2A">
        <w:rPr>
          <w:lang w:val="fr-CA"/>
        </w:rPr>
        <w:t xml:space="preserve"> </w:t>
      </w:r>
      <w:r>
        <w:rPr>
          <w:lang w:val="fr-CA"/>
        </w:rPr>
        <w:t>par rapport à</w:t>
      </w:r>
      <w:r w:rsidRPr="00715C2A">
        <w:rPr>
          <w:lang w:val="fr-CA"/>
        </w:rPr>
        <w:t xml:space="preserve"> la valeur de référence des HCFC </w:t>
      </w:r>
      <w:r>
        <w:rPr>
          <w:lang w:val="fr-CA"/>
        </w:rPr>
        <w:t xml:space="preserve">pour 2015. </w:t>
      </w:r>
      <w:r w:rsidRPr="00715C2A">
        <w:rPr>
          <w:lang w:val="fr-CA"/>
        </w:rPr>
        <w:t xml:space="preserve">La principale question </w:t>
      </w:r>
      <w:r w:rsidR="00686189">
        <w:rPr>
          <w:lang w:val="fr-CA"/>
        </w:rPr>
        <w:t>d’orientation</w:t>
      </w:r>
      <w:r w:rsidRPr="00715C2A">
        <w:rPr>
          <w:lang w:val="fr-CA"/>
        </w:rPr>
        <w:t xml:space="preserve"> étudi</w:t>
      </w:r>
      <w:r>
        <w:rPr>
          <w:lang w:val="fr-CA"/>
        </w:rPr>
        <w:t>ée</w:t>
      </w:r>
      <w:r w:rsidRPr="00715C2A">
        <w:rPr>
          <w:lang w:val="fr-CA"/>
        </w:rPr>
        <w:t xml:space="preserve"> était le besoin d’établir un système d’octroi de </w:t>
      </w:r>
      <w:r w:rsidR="00686189">
        <w:rPr>
          <w:lang w:val="fr-CA"/>
        </w:rPr>
        <w:t>permis</w:t>
      </w:r>
      <w:r w:rsidRPr="00715C2A">
        <w:rPr>
          <w:lang w:val="fr-CA"/>
        </w:rPr>
        <w:t xml:space="preserve"> pour les importations/exportations de SAO </w:t>
      </w:r>
      <w:r w:rsidR="00686189">
        <w:rPr>
          <w:lang w:val="fr-CA"/>
        </w:rPr>
        <w:t>comprenant</w:t>
      </w:r>
      <w:r>
        <w:rPr>
          <w:lang w:val="fr-CA"/>
        </w:rPr>
        <w:t xml:space="preserve"> également les HCFC. Cela constituerait une exigence pour l’approbation du financement des PGEH. </w:t>
      </w:r>
      <w:r w:rsidRPr="00715C2A">
        <w:rPr>
          <w:lang w:val="fr-CA"/>
        </w:rPr>
        <w:t xml:space="preserve">Le projet de format des PGEH requiert une description des lois, règlements et politiques en place et de la façon </w:t>
      </w:r>
      <w:r>
        <w:rPr>
          <w:lang w:val="fr-CA"/>
        </w:rPr>
        <w:t xml:space="preserve">dont ce dispositif fonctionne. </w:t>
      </w:r>
      <w:r w:rsidRPr="00715C2A">
        <w:rPr>
          <w:lang w:val="fr-CA"/>
        </w:rPr>
        <w:t xml:space="preserve">Il faut également </w:t>
      </w:r>
      <w:r>
        <w:rPr>
          <w:lang w:val="fr-CA"/>
        </w:rPr>
        <w:t>décrire le</w:t>
      </w:r>
      <w:r w:rsidRPr="00715C2A">
        <w:rPr>
          <w:lang w:val="fr-CA"/>
        </w:rPr>
        <w:t xml:space="preserve"> système de quotas</w:t>
      </w:r>
      <w:r>
        <w:rPr>
          <w:lang w:val="fr-CA"/>
        </w:rPr>
        <w:t xml:space="preserve"> et</w:t>
      </w:r>
      <w:r w:rsidRPr="00715C2A">
        <w:rPr>
          <w:lang w:val="fr-CA"/>
        </w:rPr>
        <w:t xml:space="preserve"> </w:t>
      </w:r>
      <w:r>
        <w:rPr>
          <w:lang w:val="fr-CA"/>
        </w:rPr>
        <w:t>l</w:t>
      </w:r>
      <w:r w:rsidRPr="00715C2A">
        <w:rPr>
          <w:lang w:val="fr-CA"/>
        </w:rPr>
        <w:t xml:space="preserve">es interdictions touchant les importations d’équipement à base de </w:t>
      </w:r>
      <w:r>
        <w:rPr>
          <w:lang w:val="fr-CA"/>
        </w:rPr>
        <w:t xml:space="preserve">SAO et les SAO utilisées comme frigorigènes, déjà en place ou proposés, et toute autre initiative gouvernementale liée à l’élimination des HCFC. </w:t>
      </w:r>
    </w:p>
    <w:p w14:paraId="70A720E5" w14:textId="77777777" w:rsidR="006510FE" w:rsidRPr="000B7F19" w:rsidRDefault="006510FE" w:rsidP="006510FE">
      <w:pPr>
        <w:pStyle w:val="Heading1"/>
        <w:rPr>
          <w:lang w:val="fr-CA"/>
        </w:rPr>
      </w:pPr>
      <w:r w:rsidRPr="00715C2A">
        <w:rPr>
          <w:lang w:val="fr-CA"/>
        </w:rPr>
        <w:t>Par ailleurs, l’Amendement de Kigali au Protocole de Montréal, entériné par la</w:t>
      </w:r>
      <w:r>
        <w:rPr>
          <w:lang w:val="fr-CA"/>
        </w:rPr>
        <w:t xml:space="preserve"> vingt</w:t>
      </w:r>
      <w:r>
        <w:rPr>
          <w:lang w:val="fr-CA"/>
        </w:rPr>
        <w:noBreakHyphen/>
        <w:t>huitième </w:t>
      </w:r>
      <w:r w:rsidRPr="00715C2A">
        <w:rPr>
          <w:lang w:val="fr-CA"/>
        </w:rPr>
        <w:t>Réunion des Parties (Kigali, 10</w:t>
      </w:r>
      <w:r>
        <w:rPr>
          <w:lang w:val="fr-CA"/>
        </w:rPr>
        <w:noBreakHyphen/>
      </w:r>
      <w:r w:rsidRPr="00715C2A">
        <w:rPr>
          <w:lang w:val="fr-CA"/>
        </w:rPr>
        <w:t>15</w:t>
      </w:r>
      <w:r>
        <w:rPr>
          <w:lang w:val="fr-CA"/>
        </w:rPr>
        <w:t> </w:t>
      </w:r>
      <w:r w:rsidRPr="00715C2A">
        <w:rPr>
          <w:lang w:val="fr-CA"/>
        </w:rPr>
        <w:t>octobre</w:t>
      </w:r>
      <w:r>
        <w:rPr>
          <w:lang w:val="fr-CA"/>
        </w:rPr>
        <w:t> </w:t>
      </w:r>
      <w:r w:rsidRPr="00715C2A">
        <w:rPr>
          <w:lang w:val="fr-CA"/>
        </w:rPr>
        <w:t>2016), entrera en vigueur le 1</w:t>
      </w:r>
      <w:r w:rsidRPr="00E85AF5">
        <w:rPr>
          <w:vertAlign w:val="superscript"/>
          <w:lang w:val="fr-CA"/>
        </w:rPr>
        <w:t>er</w:t>
      </w:r>
      <w:r>
        <w:rPr>
          <w:lang w:val="fr-CA"/>
        </w:rPr>
        <w:t> </w:t>
      </w:r>
      <w:r w:rsidRPr="00715C2A">
        <w:rPr>
          <w:lang w:val="fr-CA"/>
        </w:rPr>
        <w:t>janvier</w:t>
      </w:r>
      <w:r>
        <w:rPr>
          <w:lang w:val="fr-CA"/>
        </w:rPr>
        <w:t> </w:t>
      </w:r>
      <w:r w:rsidRPr="00715C2A">
        <w:rPr>
          <w:lang w:val="fr-CA"/>
        </w:rPr>
        <w:t xml:space="preserve">2019. </w:t>
      </w:r>
    </w:p>
    <w:p w14:paraId="56A5DC43" w14:textId="77777777" w:rsidR="006510FE" w:rsidRPr="00E85AF5" w:rsidRDefault="006510FE" w:rsidP="006510FE">
      <w:pPr>
        <w:pStyle w:val="Heading1"/>
        <w:rPr>
          <w:lang w:val="fr-CA"/>
        </w:rPr>
      </w:pPr>
      <w:r w:rsidRPr="00715C2A">
        <w:rPr>
          <w:lang w:val="fr-CA"/>
        </w:rPr>
        <w:t>Entre les 55</w:t>
      </w:r>
      <w:r w:rsidRPr="00492AB8">
        <w:rPr>
          <w:vertAlign w:val="superscript"/>
          <w:lang w:val="fr-CA"/>
        </w:rPr>
        <w:t>e</w:t>
      </w:r>
      <w:r>
        <w:rPr>
          <w:lang w:val="fr-CA"/>
        </w:rPr>
        <w:t xml:space="preserve"> et </w:t>
      </w:r>
      <w:r w:rsidRPr="00715C2A">
        <w:rPr>
          <w:lang w:val="fr-CA"/>
        </w:rPr>
        <w:t>58</w:t>
      </w:r>
      <w:r w:rsidRPr="00E85AF5">
        <w:rPr>
          <w:vertAlign w:val="superscript"/>
          <w:lang w:val="fr-CA"/>
        </w:rPr>
        <w:t>e</w:t>
      </w:r>
      <w:r>
        <w:rPr>
          <w:lang w:val="fr-CA"/>
        </w:rPr>
        <w:t> réunions</w:t>
      </w:r>
      <w:r w:rsidRPr="00715C2A">
        <w:rPr>
          <w:lang w:val="fr-CA"/>
        </w:rPr>
        <w:t>, le Comité exécutif a approuvé le financement de 227</w:t>
      </w:r>
      <w:r>
        <w:rPr>
          <w:lang w:val="fr-CA"/>
        </w:rPr>
        <w:t> </w:t>
      </w:r>
      <w:r w:rsidRPr="00715C2A">
        <w:rPr>
          <w:lang w:val="fr-CA"/>
        </w:rPr>
        <w:t>demandes de préparation de projet, comprenant l’élaboration de la stratégie générale et des plans sectoriels individuels. À la 80</w:t>
      </w:r>
      <w:r w:rsidRPr="00715C2A">
        <w:rPr>
          <w:vertAlign w:val="superscript"/>
          <w:lang w:val="fr-CA"/>
        </w:rPr>
        <w:t>e</w:t>
      </w:r>
      <w:r>
        <w:rPr>
          <w:lang w:val="fr-CA"/>
        </w:rPr>
        <w:t> </w:t>
      </w:r>
      <w:r w:rsidRPr="00715C2A">
        <w:rPr>
          <w:lang w:val="fr-CA"/>
        </w:rPr>
        <w:t xml:space="preserve">réunion, le Comité exécutif avait approuvé la </w:t>
      </w:r>
      <w:r>
        <w:rPr>
          <w:lang w:val="fr-CA"/>
        </w:rPr>
        <w:t>phase I</w:t>
      </w:r>
      <w:r w:rsidRPr="00715C2A">
        <w:rPr>
          <w:lang w:val="fr-CA"/>
        </w:rPr>
        <w:t xml:space="preserve"> des PGEH pour 144</w:t>
      </w:r>
      <w:r>
        <w:rPr>
          <w:lang w:val="fr-CA"/>
        </w:rPr>
        <w:t> </w:t>
      </w:r>
      <w:r w:rsidRPr="00715C2A">
        <w:rPr>
          <w:lang w:val="fr-CA"/>
        </w:rPr>
        <w:t>pays visés à l’article</w:t>
      </w:r>
      <w:r>
        <w:rPr>
          <w:lang w:val="fr-CA"/>
        </w:rPr>
        <w:t> </w:t>
      </w:r>
      <w:r w:rsidRPr="00715C2A">
        <w:rPr>
          <w:lang w:val="fr-CA"/>
        </w:rPr>
        <w:t>5</w:t>
      </w:r>
      <w:r>
        <w:rPr>
          <w:lang w:val="fr-CA"/>
        </w:rPr>
        <w:t xml:space="preserve"> et</w:t>
      </w:r>
      <w:r w:rsidRPr="00715C2A">
        <w:rPr>
          <w:lang w:val="fr-CA"/>
        </w:rPr>
        <w:t xml:space="preserve"> la </w:t>
      </w:r>
      <w:r>
        <w:rPr>
          <w:lang w:val="fr-CA"/>
        </w:rPr>
        <w:t>phase I</w:t>
      </w:r>
      <w:r w:rsidRPr="00715C2A">
        <w:rPr>
          <w:lang w:val="fr-CA"/>
        </w:rPr>
        <w:t>I pour 30</w:t>
      </w:r>
      <w:r>
        <w:rPr>
          <w:lang w:val="fr-CA"/>
        </w:rPr>
        <w:t> </w:t>
      </w:r>
      <w:r w:rsidRPr="00715C2A">
        <w:rPr>
          <w:lang w:val="fr-CA"/>
        </w:rPr>
        <w:t>pays.</w:t>
      </w:r>
    </w:p>
    <w:p w14:paraId="33FFE5E9" w14:textId="5E6BE61F" w:rsidR="006510FE" w:rsidRPr="000547CF" w:rsidRDefault="006510FE" w:rsidP="006510FE">
      <w:pPr>
        <w:pStyle w:val="Heading1"/>
        <w:rPr>
          <w:lang w:val="fr-CA"/>
        </w:rPr>
      </w:pPr>
      <w:r w:rsidRPr="00061EB6">
        <w:rPr>
          <w:lang w:val="fr-CA"/>
        </w:rPr>
        <w:t>Le Comité exécutif</w:t>
      </w:r>
      <w:r w:rsidR="00686189">
        <w:rPr>
          <w:lang w:val="fr-CA"/>
        </w:rPr>
        <w:t>,</w:t>
      </w:r>
      <w:r w:rsidRPr="00061EB6">
        <w:rPr>
          <w:lang w:val="fr-CA"/>
        </w:rPr>
        <w:t xml:space="preserve"> à sa 81</w:t>
      </w:r>
      <w:r w:rsidRPr="00E85AF5">
        <w:rPr>
          <w:vertAlign w:val="superscript"/>
          <w:lang w:val="fr-CA"/>
        </w:rPr>
        <w:t>e</w:t>
      </w:r>
      <w:r>
        <w:rPr>
          <w:lang w:val="fr-CA"/>
        </w:rPr>
        <w:t> </w:t>
      </w:r>
      <w:r w:rsidRPr="00061EB6">
        <w:rPr>
          <w:lang w:val="fr-CA"/>
        </w:rPr>
        <w:t>réunion</w:t>
      </w:r>
      <w:r w:rsidR="00686189">
        <w:rPr>
          <w:lang w:val="fr-CA"/>
        </w:rPr>
        <w:t>,</w:t>
      </w:r>
      <w:r w:rsidRPr="00061EB6">
        <w:rPr>
          <w:lang w:val="fr-CA"/>
        </w:rPr>
        <w:t xml:space="preserve"> a approuvé le mandat de l’étude théorique sur l’évaluation des activités de préparation du PGEH (décision</w:t>
      </w:r>
      <w:r>
        <w:rPr>
          <w:lang w:val="fr-CA"/>
        </w:rPr>
        <w:t> </w:t>
      </w:r>
      <w:r w:rsidRPr="00061EB6">
        <w:rPr>
          <w:lang w:val="fr-CA"/>
        </w:rPr>
        <w:t>8</w:t>
      </w:r>
      <w:r>
        <w:rPr>
          <w:lang w:val="fr-CA"/>
        </w:rPr>
        <w:t>1</w:t>
      </w:r>
      <w:r w:rsidRPr="00061EB6">
        <w:rPr>
          <w:lang w:val="fr-CA"/>
        </w:rPr>
        <w:t>/6)</w:t>
      </w:r>
      <w:r>
        <w:rPr>
          <w:rStyle w:val="FootnoteReference"/>
          <w:rFonts w:eastAsiaTheme="minorHAnsi"/>
        </w:rPr>
        <w:footnoteReference w:id="2"/>
      </w:r>
      <w:r w:rsidRPr="00061EB6">
        <w:rPr>
          <w:lang w:val="fr-CA"/>
        </w:rPr>
        <w:t xml:space="preserve">, ainsi que les dispositions </w:t>
      </w:r>
      <w:r>
        <w:rPr>
          <w:lang w:val="fr-CA"/>
        </w:rPr>
        <w:t>qu’</w:t>
      </w:r>
      <w:r w:rsidRPr="00061EB6">
        <w:rPr>
          <w:lang w:val="fr-CA"/>
        </w:rPr>
        <w:t xml:space="preserve">elle renferme relativement à l’établissement de systèmes d’octroi de </w:t>
      </w:r>
      <w:r w:rsidR="00686189">
        <w:rPr>
          <w:lang w:val="fr-CA"/>
        </w:rPr>
        <w:t>permis</w:t>
      </w:r>
      <w:r w:rsidRPr="00061EB6">
        <w:rPr>
          <w:lang w:val="fr-CA"/>
        </w:rPr>
        <w:t xml:space="preserve"> et de quotas d’importation/exportation de HCFC et d’autres politiques pertinentes, constituant le cadre du processus d’élimination des HCFC. Le rapport contien</w:t>
      </w:r>
      <w:r>
        <w:rPr>
          <w:lang w:val="fr-CA"/>
        </w:rPr>
        <w:t>drai</w:t>
      </w:r>
      <w:r w:rsidRPr="00061EB6">
        <w:rPr>
          <w:lang w:val="fr-CA"/>
        </w:rPr>
        <w:t xml:space="preserve">t une analyse des activités menées au cours de la préparation des PGEH ayant donné lieu </w:t>
      </w:r>
      <w:r>
        <w:rPr>
          <w:lang w:val="fr-CA"/>
        </w:rPr>
        <w:t xml:space="preserve">à la mise en place des systèmes d’octroi de </w:t>
      </w:r>
      <w:r w:rsidR="00392991">
        <w:rPr>
          <w:lang w:val="fr-CA"/>
        </w:rPr>
        <w:t>permis</w:t>
      </w:r>
      <w:r>
        <w:rPr>
          <w:lang w:val="fr-CA"/>
        </w:rPr>
        <w:t xml:space="preserve"> et de quotas, en vue d’assurer la surveillance des importations et des exportations de HCFC, et d’autres politiques à l’appui de la conformité au Protocole de Montréal (p. ex., enquêtes, création de systèmes de gestion de l’information, mise en place de mécanismes de consultation sectorielle et intergouvernementale et préparation des plans initiaux). </w:t>
      </w:r>
    </w:p>
    <w:p w14:paraId="7B23E0E0" w14:textId="77777777" w:rsidR="006510FE" w:rsidRPr="00392991" w:rsidRDefault="006510FE" w:rsidP="004B73D6">
      <w:pPr>
        <w:pStyle w:val="Heading1"/>
        <w:keepNext/>
        <w:numPr>
          <w:ilvl w:val="0"/>
          <w:numId w:val="0"/>
        </w:numPr>
        <w:spacing w:before="120"/>
        <w:rPr>
          <w:u w:val="single"/>
          <w:lang w:val="fr-CA"/>
        </w:rPr>
      </w:pPr>
      <w:r w:rsidRPr="00392991">
        <w:rPr>
          <w:u w:val="single"/>
          <w:lang w:val="fr-CA"/>
        </w:rPr>
        <w:lastRenderedPageBreak/>
        <w:t>Objectif de l’étude théorique</w:t>
      </w:r>
    </w:p>
    <w:p w14:paraId="2A76EB49" w14:textId="29134D02" w:rsidR="006510FE" w:rsidRPr="00EF78F7" w:rsidRDefault="006510FE" w:rsidP="004B73D6">
      <w:pPr>
        <w:pStyle w:val="Heading1"/>
        <w:keepNext/>
        <w:rPr>
          <w:lang w:val="fr-CA"/>
        </w:rPr>
      </w:pPr>
      <w:r w:rsidRPr="00061EB6">
        <w:rPr>
          <w:lang w:val="fr-CA"/>
        </w:rPr>
        <w:t>L’étude théorique a pour objectif d’évaluer les activités d</w:t>
      </w:r>
      <w:r>
        <w:rPr>
          <w:lang w:val="fr-CA"/>
        </w:rPr>
        <w:t>e préparation</w:t>
      </w:r>
      <w:r w:rsidRPr="00061EB6">
        <w:rPr>
          <w:lang w:val="fr-CA"/>
        </w:rPr>
        <w:t xml:space="preserve"> des PGEH pour l’élaboration d</w:t>
      </w:r>
      <w:r>
        <w:rPr>
          <w:lang w:val="fr-CA"/>
        </w:rPr>
        <w:t>e</w:t>
      </w:r>
      <w:r w:rsidRPr="00061EB6">
        <w:rPr>
          <w:lang w:val="fr-CA"/>
        </w:rPr>
        <w:t xml:space="preserve"> système</w:t>
      </w:r>
      <w:r>
        <w:rPr>
          <w:lang w:val="fr-CA"/>
        </w:rPr>
        <w:t>s</w:t>
      </w:r>
      <w:r w:rsidRPr="00061EB6">
        <w:rPr>
          <w:lang w:val="fr-CA"/>
        </w:rPr>
        <w:t xml:space="preserve"> d’octroi de </w:t>
      </w:r>
      <w:r w:rsidR="00392991">
        <w:rPr>
          <w:lang w:val="fr-CA"/>
        </w:rPr>
        <w:t>permis</w:t>
      </w:r>
      <w:r w:rsidRPr="00061EB6">
        <w:rPr>
          <w:lang w:val="fr-CA"/>
        </w:rPr>
        <w:t xml:space="preserve"> et de quotas d’importation/exportation de </w:t>
      </w:r>
      <w:r>
        <w:rPr>
          <w:lang w:val="fr-CA"/>
        </w:rPr>
        <w:t>HCFC</w:t>
      </w:r>
      <w:r w:rsidRPr="00061EB6">
        <w:rPr>
          <w:lang w:val="fr-CA"/>
        </w:rPr>
        <w:t xml:space="preserve"> et d’autres politiques pertinentes, en particulier le</w:t>
      </w:r>
      <w:r>
        <w:rPr>
          <w:lang w:val="fr-CA"/>
        </w:rPr>
        <w:t>ur</w:t>
      </w:r>
      <w:r w:rsidRPr="00061EB6">
        <w:rPr>
          <w:lang w:val="fr-CA"/>
        </w:rPr>
        <w:t xml:space="preserve"> type</w:t>
      </w:r>
      <w:r>
        <w:rPr>
          <w:lang w:val="fr-CA"/>
        </w:rPr>
        <w:t xml:space="preserve">, </w:t>
      </w:r>
      <w:r w:rsidRPr="00061EB6">
        <w:rPr>
          <w:lang w:val="fr-CA"/>
        </w:rPr>
        <w:t>leur valeur et leur nombre, et de tirer des enseignements en vue de faciliter la mise en œuvre de l’Amendement de Kigali</w:t>
      </w:r>
      <w:r>
        <w:rPr>
          <w:lang w:val="fr-CA"/>
        </w:rPr>
        <w:t>.</w:t>
      </w:r>
      <w:r w:rsidRPr="00EF78F7">
        <w:rPr>
          <w:lang w:val="fr-CA"/>
        </w:rPr>
        <w:t xml:space="preserve"> </w:t>
      </w:r>
    </w:p>
    <w:p w14:paraId="2F2D1761" w14:textId="77777777" w:rsidR="006510FE" w:rsidRPr="003A16C6" w:rsidRDefault="006510FE" w:rsidP="006510FE">
      <w:pPr>
        <w:pStyle w:val="Heading1"/>
        <w:rPr>
          <w:lang w:val="fr-CA"/>
        </w:rPr>
      </w:pPr>
      <w:r w:rsidRPr="00061EB6">
        <w:rPr>
          <w:lang w:val="fr-CA"/>
        </w:rPr>
        <w:t xml:space="preserve">L’étude théorique examine comment les éléments définis dans les lignes directrices pour la préparation des PGEH ont été mis en </w:t>
      </w:r>
      <w:r>
        <w:rPr>
          <w:lang w:val="fr-CA"/>
        </w:rPr>
        <w:t>œuvre</w:t>
      </w:r>
      <w:r w:rsidRPr="00061EB6">
        <w:rPr>
          <w:lang w:val="fr-CA"/>
        </w:rPr>
        <w:t>, au cours de la préparation des PGEH, en tenant compte de la préparation des phases</w:t>
      </w:r>
      <w:r>
        <w:rPr>
          <w:lang w:val="fr-CA"/>
        </w:rPr>
        <w:t> I</w:t>
      </w:r>
      <w:r w:rsidRPr="00061EB6">
        <w:rPr>
          <w:lang w:val="fr-CA"/>
        </w:rPr>
        <w:t xml:space="preserve"> et II des PGEH </w:t>
      </w:r>
      <w:r>
        <w:rPr>
          <w:lang w:val="fr-CA"/>
        </w:rPr>
        <w:t xml:space="preserve">ayant été approuvées. </w:t>
      </w:r>
      <w:r w:rsidRPr="003A16C6">
        <w:rPr>
          <w:lang w:val="fr-CA"/>
        </w:rPr>
        <w:t xml:space="preserve">Les éléments évalués sont les suivants : </w:t>
      </w:r>
    </w:p>
    <w:p w14:paraId="6FE69F21" w14:textId="462F847E" w:rsidR="006510FE" w:rsidRPr="00061EB6" w:rsidRDefault="006510FE" w:rsidP="00392991">
      <w:pPr>
        <w:pStyle w:val="Heading2"/>
        <w:rPr>
          <w:lang w:val="fr-CA"/>
        </w:rPr>
      </w:pPr>
      <w:r w:rsidRPr="00061EB6">
        <w:rPr>
          <w:lang w:val="fr-CA"/>
        </w:rPr>
        <w:t xml:space="preserve">Assistance </w:t>
      </w:r>
      <w:r>
        <w:rPr>
          <w:lang w:val="fr-CA"/>
        </w:rPr>
        <w:t xml:space="preserve">pour les </w:t>
      </w:r>
      <w:r w:rsidRPr="00061EB6">
        <w:rPr>
          <w:lang w:val="fr-CA"/>
        </w:rPr>
        <w:t>politique</w:t>
      </w:r>
      <w:r>
        <w:rPr>
          <w:lang w:val="fr-CA"/>
        </w:rPr>
        <w:t>s</w:t>
      </w:r>
      <w:r w:rsidRPr="00061EB6">
        <w:rPr>
          <w:lang w:val="fr-CA"/>
        </w:rPr>
        <w:t xml:space="preserve"> </w:t>
      </w:r>
      <w:r>
        <w:rPr>
          <w:lang w:val="fr-CA"/>
        </w:rPr>
        <w:t xml:space="preserve">et les mesures </w:t>
      </w:r>
      <w:r w:rsidR="004B73D6">
        <w:rPr>
          <w:lang w:val="fr-CA"/>
        </w:rPr>
        <w:t>législatives</w:t>
      </w:r>
      <w:r w:rsidR="004B73D6" w:rsidRPr="00061EB6">
        <w:rPr>
          <w:lang w:val="fr-CA"/>
        </w:rPr>
        <w:t xml:space="preserve"> ;</w:t>
      </w:r>
      <w:r w:rsidRPr="00061EB6">
        <w:rPr>
          <w:lang w:val="fr-CA"/>
        </w:rPr>
        <w:t xml:space="preserve"> </w:t>
      </w:r>
    </w:p>
    <w:p w14:paraId="7D73AC58" w14:textId="7808129B" w:rsidR="006510FE" w:rsidRPr="00061EB6" w:rsidRDefault="006510FE" w:rsidP="006510FE">
      <w:pPr>
        <w:pStyle w:val="Heading2"/>
        <w:rPr>
          <w:lang w:val="fr-CA"/>
        </w:rPr>
      </w:pPr>
      <w:r w:rsidRPr="00061EB6">
        <w:rPr>
          <w:lang w:val="fr-CA"/>
        </w:rPr>
        <w:t xml:space="preserve">Enquête sur l’utilisation des HCFC et analyse des </w:t>
      </w:r>
      <w:r w:rsidR="004B73D6" w:rsidRPr="00061EB6">
        <w:rPr>
          <w:lang w:val="fr-CA"/>
        </w:rPr>
        <w:t>données ;</w:t>
      </w:r>
      <w:r w:rsidRPr="00061EB6">
        <w:rPr>
          <w:lang w:val="fr-CA"/>
        </w:rPr>
        <w:t xml:space="preserve"> </w:t>
      </w:r>
    </w:p>
    <w:p w14:paraId="59A7B9CF" w14:textId="77777777" w:rsidR="006510FE" w:rsidRPr="000547CF" w:rsidRDefault="006510FE" w:rsidP="006510FE">
      <w:pPr>
        <w:pStyle w:val="Heading2"/>
        <w:rPr>
          <w:lang w:val="fr-CA"/>
        </w:rPr>
      </w:pPr>
      <w:r w:rsidRPr="00061EB6">
        <w:rPr>
          <w:lang w:val="fr-CA"/>
        </w:rPr>
        <w:t>Élaboration et finalisation des PGEH, y compris les consultations.</w:t>
      </w:r>
    </w:p>
    <w:p w14:paraId="12900E32" w14:textId="7220B695" w:rsidR="006510FE" w:rsidRPr="00EF78F7" w:rsidRDefault="006510FE" w:rsidP="006510FE">
      <w:pPr>
        <w:pStyle w:val="Heading1"/>
        <w:rPr>
          <w:lang w:val="fr-CA"/>
        </w:rPr>
      </w:pPr>
      <w:r w:rsidRPr="00F874B7">
        <w:rPr>
          <w:lang w:val="fr-CA"/>
        </w:rPr>
        <w:t xml:space="preserve">Comme le Comité exécutif a spécifiquement demandé que </w:t>
      </w:r>
      <w:r>
        <w:rPr>
          <w:lang w:val="fr-CA"/>
        </w:rPr>
        <w:t>l’</w:t>
      </w:r>
      <w:r w:rsidRPr="00F874B7">
        <w:rPr>
          <w:lang w:val="fr-CA"/>
        </w:rPr>
        <w:t>étude théorique se concentre sur l’élaboration d</w:t>
      </w:r>
      <w:r>
        <w:rPr>
          <w:lang w:val="fr-CA"/>
        </w:rPr>
        <w:t>es</w:t>
      </w:r>
      <w:r w:rsidRPr="00F874B7">
        <w:rPr>
          <w:lang w:val="fr-CA"/>
        </w:rPr>
        <w:t xml:space="preserve"> système</w:t>
      </w:r>
      <w:r>
        <w:rPr>
          <w:lang w:val="fr-CA"/>
        </w:rPr>
        <w:t>s</w:t>
      </w:r>
      <w:r w:rsidRPr="00F874B7">
        <w:rPr>
          <w:lang w:val="fr-CA"/>
        </w:rPr>
        <w:t xml:space="preserve"> d’octroi de </w:t>
      </w:r>
      <w:r w:rsidR="00392991">
        <w:rPr>
          <w:lang w:val="fr-CA"/>
        </w:rPr>
        <w:t>permis</w:t>
      </w:r>
      <w:r w:rsidRPr="00F874B7">
        <w:rPr>
          <w:lang w:val="fr-CA"/>
        </w:rPr>
        <w:t xml:space="preserve"> et de quotas d’importation/exportation de HCFC et d’autres politiques pertinentes au cours de la préparation des PGEH, </w:t>
      </w:r>
      <w:r>
        <w:rPr>
          <w:lang w:val="fr-CA"/>
        </w:rPr>
        <w:t>celle-ci</w:t>
      </w:r>
      <w:r w:rsidRPr="00F874B7">
        <w:rPr>
          <w:lang w:val="fr-CA"/>
        </w:rPr>
        <w:t xml:space="preserve"> ne se penchera pas sur la préparation des activités </w:t>
      </w:r>
      <w:r>
        <w:rPr>
          <w:lang w:val="fr-CA"/>
        </w:rPr>
        <w:t>d’investissement.</w:t>
      </w:r>
      <w:r w:rsidRPr="00EF78F7">
        <w:rPr>
          <w:lang w:val="fr-CA"/>
        </w:rPr>
        <w:t xml:space="preserve"> </w:t>
      </w:r>
    </w:p>
    <w:p w14:paraId="3B7D5F65" w14:textId="77777777" w:rsidR="006510FE" w:rsidRPr="004D6AC5" w:rsidRDefault="006510FE" w:rsidP="006510FE">
      <w:pPr>
        <w:pStyle w:val="ListParagraph"/>
        <w:spacing w:before="120" w:after="240"/>
        <w:ind w:left="0"/>
        <w:contextualSpacing w:val="0"/>
        <w:jc w:val="both"/>
        <w:rPr>
          <w:u w:val="single"/>
          <w:lang w:val="fr-CA"/>
        </w:rPr>
      </w:pPr>
      <w:r w:rsidRPr="004D6AC5">
        <w:rPr>
          <w:u w:val="single"/>
          <w:lang w:val="fr-CA"/>
        </w:rPr>
        <w:t>Méthodologie</w:t>
      </w:r>
    </w:p>
    <w:p w14:paraId="53C16741" w14:textId="5AEE38A3" w:rsidR="006510FE" w:rsidRPr="00EF78F7" w:rsidRDefault="006510FE" w:rsidP="006510FE">
      <w:pPr>
        <w:pStyle w:val="Heading1"/>
        <w:rPr>
          <w:lang w:val="fr-CA"/>
        </w:rPr>
      </w:pPr>
      <w:r w:rsidRPr="00F874B7">
        <w:rPr>
          <w:lang w:val="fr-CA"/>
        </w:rPr>
        <w:t>Conformément au mandat, un consultant a analysé la documentation existante (c.</w:t>
      </w:r>
      <w:r>
        <w:rPr>
          <w:lang w:val="fr-CA"/>
        </w:rPr>
        <w:noBreakHyphen/>
      </w:r>
      <w:r w:rsidRPr="00F874B7">
        <w:rPr>
          <w:lang w:val="fr-CA"/>
        </w:rPr>
        <w:t>à</w:t>
      </w:r>
      <w:r>
        <w:rPr>
          <w:lang w:val="fr-CA"/>
        </w:rPr>
        <w:noBreakHyphen/>
      </w:r>
      <w:r w:rsidRPr="00F874B7">
        <w:rPr>
          <w:lang w:val="fr-CA"/>
        </w:rPr>
        <w:t xml:space="preserve">d., </w:t>
      </w:r>
      <w:r>
        <w:rPr>
          <w:lang w:val="fr-CA"/>
        </w:rPr>
        <w:t>r</w:t>
      </w:r>
      <w:r w:rsidRPr="00F874B7">
        <w:rPr>
          <w:lang w:val="fr-CA"/>
        </w:rPr>
        <w:t>apport</w:t>
      </w:r>
      <w:r>
        <w:rPr>
          <w:lang w:val="fr-CA"/>
        </w:rPr>
        <w:t>s</w:t>
      </w:r>
      <w:r w:rsidRPr="00F874B7">
        <w:rPr>
          <w:lang w:val="fr-CA"/>
        </w:rPr>
        <w:t xml:space="preserve"> périodique</w:t>
      </w:r>
      <w:r>
        <w:rPr>
          <w:lang w:val="fr-CA"/>
        </w:rPr>
        <w:t>s</w:t>
      </w:r>
      <w:r w:rsidRPr="00F874B7">
        <w:rPr>
          <w:lang w:val="fr-CA"/>
        </w:rPr>
        <w:t xml:space="preserve">, </w:t>
      </w:r>
      <w:r>
        <w:rPr>
          <w:lang w:val="fr-CA"/>
        </w:rPr>
        <w:t>r</w:t>
      </w:r>
      <w:r w:rsidRPr="00F874B7">
        <w:rPr>
          <w:lang w:val="fr-CA"/>
        </w:rPr>
        <w:t>apport</w:t>
      </w:r>
      <w:r>
        <w:rPr>
          <w:lang w:val="fr-CA"/>
        </w:rPr>
        <w:t>s</w:t>
      </w:r>
      <w:r w:rsidRPr="00F874B7">
        <w:rPr>
          <w:lang w:val="fr-CA"/>
        </w:rPr>
        <w:t xml:space="preserve"> sur l’achèvement des projets, et proposition</w:t>
      </w:r>
      <w:r>
        <w:rPr>
          <w:lang w:val="fr-CA"/>
        </w:rPr>
        <w:t>s</w:t>
      </w:r>
      <w:r w:rsidRPr="00F874B7">
        <w:rPr>
          <w:lang w:val="fr-CA"/>
        </w:rPr>
        <w:t xml:space="preserve"> de projet) touchant un échantillon de 29</w:t>
      </w:r>
      <w:r>
        <w:rPr>
          <w:lang w:val="fr-CA"/>
        </w:rPr>
        <w:t> </w:t>
      </w:r>
      <w:r w:rsidRPr="00F874B7">
        <w:rPr>
          <w:lang w:val="fr-CA"/>
        </w:rPr>
        <w:t xml:space="preserve">pays </w:t>
      </w:r>
      <w:r>
        <w:rPr>
          <w:lang w:val="fr-CA"/>
        </w:rPr>
        <w:t xml:space="preserve">à faible volume de consommation et pays </w:t>
      </w:r>
      <w:r w:rsidR="00BD468F">
        <w:rPr>
          <w:lang w:val="fr-CA"/>
        </w:rPr>
        <w:t>n’étant pas des</w:t>
      </w:r>
      <w:r w:rsidR="004D6AC5">
        <w:rPr>
          <w:lang w:val="fr-CA"/>
        </w:rPr>
        <w:t xml:space="preserve"> pays à faible volume de consommation</w:t>
      </w:r>
      <w:r>
        <w:rPr>
          <w:lang w:val="fr-CA"/>
        </w:rPr>
        <w:t xml:space="preserve">. </w:t>
      </w:r>
      <w:r w:rsidRPr="00F874B7">
        <w:rPr>
          <w:lang w:val="fr-CA"/>
        </w:rPr>
        <w:t xml:space="preserve">On peut consulter la liste des pays </w:t>
      </w:r>
      <w:r>
        <w:rPr>
          <w:lang w:val="fr-CA"/>
        </w:rPr>
        <w:t>évalués</w:t>
      </w:r>
      <w:r w:rsidRPr="00F874B7">
        <w:rPr>
          <w:lang w:val="fr-CA"/>
        </w:rPr>
        <w:t xml:space="preserve"> </w:t>
      </w:r>
      <w:r>
        <w:rPr>
          <w:lang w:val="fr-CA"/>
        </w:rPr>
        <w:t>à l’annexe I du présent document.</w:t>
      </w:r>
    </w:p>
    <w:p w14:paraId="3DA2FFFB" w14:textId="37061F05" w:rsidR="006510FE" w:rsidRPr="009657D0" w:rsidRDefault="006510FE" w:rsidP="006510FE">
      <w:pPr>
        <w:pStyle w:val="Heading1"/>
        <w:rPr>
          <w:lang w:val="fr-CA"/>
        </w:rPr>
      </w:pPr>
      <w:r w:rsidRPr="00F874B7">
        <w:rPr>
          <w:lang w:val="fr-CA"/>
        </w:rPr>
        <w:t xml:space="preserve">L’étude théorique est fondée sur les rapports périodiques relatifs à chaque projet de préparation de PGEH </w:t>
      </w:r>
      <w:r>
        <w:rPr>
          <w:lang w:val="fr-CA"/>
        </w:rPr>
        <w:t xml:space="preserve">et chaque </w:t>
      </w:r>
      <w:r w:rsidRPr="00F874B7">
        <w:rPr>
          <w:lang w:val="fr-CA"/>
        </w:rPr>
        <w:t>phase</w:t>
      </w:r>
      <w:r>
        <w:rPr>
          <w:lang w:val="fr-CA"/>
        </w:rPr>
        <w:t> II</w:t>
      </w:r>
      <w:r w:rsidRPr="00F874B7">
        <w:rPr>
          <w:lang w:val="fr-CA"/>
        </w:rPr>
        <w:t xml:space="preserve"> de PGEH soumis aux fins </w:t>
      </w:r>
      <w:r w:rsidR="004B73D6" w:rsidRPr="00F874B7">
        <w:rPr>
          <w:lang w:val="fr-CA"/>
        </w:rPr>
        <w:t>d’approbation ;</w:t>
      </w:r>
      <w:r w:rsidRPr="00F874B7">
        <w:rPr>
          <w:lang w:val="fr-CA"/>
        </w:rPr>
        <w:t xml:space="preserve"> toutefois, les renseignements détaillés nécessaires comme référence </w:t>
      </w:r>
      <w:r>
        <w:rPr>
          <w:lang w:val="fr-CA"/>
        </w:rPr>
        <w:t>n’étaient</w:t>
      </w:r>
      <w:r w:rsidRPr="00F874B7">
        <w:rPr>
          <w:lang w:val="fr-CA"/>
        </w:rPr>
        <w:t xml:space="preserve"> souvent</w:t>
      </w:r>
      <w:r>
        <w:rPr>
          <w:lang w:val="fr-CA"/>
        </w:rPr>
        <w:t xml:space="preserve"> pas</w:t>
      </w:r>
      <w:r w:rsidRPr="00F874B7">
        <w:rPr>
          <w:lang w:val="fr-CA"/>
        </w:rPr>
        <w:t xml:space="preserve"> </w:t>
      </w:r>
      <w:r>
        <w:rPr>
          <w:lang w:val="fr-CA"/>
        </w:rPr>
        <w:t>disponibles</w:t>
      </w:r>
      <w:r w:rsidRPr="00F874B7">
        <w:rPr>
          <w:lang w:val="fr-CA"/>
        </w:rPr>
        <w:t xml:space="preserve"> dans ces documents.</w:t>
      </w:r>
      <w:r w:rsidRPr="009657D0">
        <w:rPr>
          <w:lang w:val="fr-CA"/>
        </w:rPr>
        <w:t xml:space="preserve"> </w:t>
      </w:r>
    </w:p>
    <w:p w14:paraId="31431215" w14:textId="77777777" w:rsidR="006510FE" w:rsidRPr="00F874B7" w:rsidRDefault="006510FE" w:rsidP="006510FE">
      <w:pPr>
        <w:keepNext/>
        <w:keepLines/>
        <w:spacing w:before="240" w:after="240"/>
        <w:rPr>
          <w:b/>
          <w:lang w:val="fr-CA"/>
        </w:rPr>
      </w:pPr>
      <w:r w:rsidRPr="00F874B7">
        <w:rPr>
          <w:b/>
          <w:lang w:val="fr-CA"/>
        </w:rPr>
        <w:t xml:space="preserve">Assistance </w:t>
      </w:r>
      <w:r>
        <w:rPr>
          <w:b/>
          <w:lang w:val="fr-CA"/>
        </w:rPr>
        <w:t>pour les</w:t>
      </w:r>
      <w:r w:rsidRPr="00F874B7">
        <w:rPr>
          <w:b/>
          <w:lang w:val="fr-CA"/>
        </w:rPr>
        <w:t xml:space="preserve"> politique</w:t>
      </w:r>
      <w:r>
        <w:rPr>
          <w:b/>
          <w:lang w:val="fr-CA"/>
        </w:rPr>
        <w:t>s</w:t>
      </w:r>
      <w:r w:rsidRPr="00F874B7">
        <w:rPr>
          <w:b/>
          <w:lang w:val="fr-CA"/>
        </w:rPr>
        <w:t xml:space="preserve"> et </w:t>
      </w:r>
      <w:r>
        <w:rPr>
          <w:b/>
          <w:lang w:val="fr-CA"/>
        </w:rPr>
        <w:t>les mesures législatives</w:t>
      </w:r>
    </w:p>
    <w:p w14:paraId="7519778F" w14:textId="3E8B7A0C" w:rsidR="006510FE" w:rsidRPr="00F874B7" w:rsidRDefault="006510FE" w:rsidP="006510FE">
      <w:pPr>
        <w:spacing w:before="120" w:after="240"/>
        <w:rPr>
          <w:u w:val="single"/>
          <w:lang w:val="fr-CA"/>
        </w:rPr>
      </w:pPr>
      <w:r w:rsidRPr="00F874B7">
        <w:rPr>
          <w:u w:val="single"/>
          <w:lang w:val="fr-CA"/>
        </w:rPr>
        <w:t>Élaboration d</w:t>
      </w:r>
      <w:r>
        <w:rPr>
          <w:u w:val="single"/>
          <w:lang w:val="fr-CA"/>
        </w:rPr>
        <w:t>e</w:t>
      </w:r>
      <w:r w:rsidRPr="00F874B7">
        <w:rPr>
          <w:u w:val="single"/>
          <w:lang w:val="fr-CA"/>
        </w:rPr>
        <w:t xml:space="preserve"> système</w:t>
      </w:r>
      <w:r>
        <w:rPr>
          <w:u w:val="single"/>
          <w:lang w:val="fr-CA"/>
        </w:rPr>
        <w:t>s</w:t>
      </w:r>
      <w:r w:rsidRPr="00F874B7">
        <w:rPr>
          <w:u w:val="single"/>
          <w:lang w:val="fr-CA"/>
        </w:rPr>
        <w:t xml:space="preserve"> d’octroi de </w:t>
      </w:r>
      <w:r w:rsidR="00392991">
        <w:rPr>
          <w:u w:val="single"/>
          <w:lang w:val="fr-CA"/>
        </w:rPr>
        <w:t>permis</w:t>
      </w:r>
      <w:r>
        <w:rPr>
          <w:u w:val="single"/>
          <w:lang w:val="fr-CA"/>
        </w:rPr>
        <w:t xml:space="preserve"> et de quotas</w:t>
      </w:r>
      <w:r w:rsidRPr="00F874B7">
        <w:rPr>
          <w:u w:val="single"/>
          <w:lang w:val="fr-CA"/>
        </w:rPr>
        <w:t xml:space="preserve"> d’importation/exportation de </w:t>
      </w:r>
      <w:r>
        <w:rPr>
          <w:u w:val="single"/>
          <w:lang w:val="fr-CA"/>
        </w:rPr>
        <w:t>HCFC</w:t>
      </w:r>
      <w:r w:rsidRPr="00F874B7">
        <w:rPr>
          <w:u w:val="single"/>
          <w:lang w:val="fr-CA"/>
        </w:rPr>
        <w:t xml:space="preserve"> </w:t>
      </w:r>
    </w:p>
    <w:p w14:paraId="6D0C912C" w14:textId="0D8B41FE" w:rsidR="006510FE" w:rsidRPr="009657D0" w:rsidRDefault="006510FE" w:rsidP="006510FE">
      <w:pPr>
        <w:pStyle w:val="Heading1"/>
        <w:rPr>
          <w:lang w:val="fr-CA"/>
        </w:rPr>
      </w:pPr>
      <w:r w:rsidRPr="00F874B7">
        <w:rPr>
          <w:lang w:val="fr-CA"/>
        </w:rPr>
        <w:t>Le Comité exécutif</w:t>
      </w:r>
      <w:r w:rsidR="00BD468F">
        <w:rPr>
          <w:lang w:val="fr-CA"/>
        </w:rPr>
        <w:t>,</w:t>
      </w:r>
      <w:r w:rsidRPr="00F874B7">
        <w:rPr>
          <w:lang w:val="fr-CA"/>
        </w:rPr>
        <w:t xml:space="preserve"> à sa 54</w:t>
      </w:r>
      <w:r w:rsidRPr="009657D0">
        <w:rPr>
          <w:vertAlign w:val="superscript"/>
          <w:lang w:val="fr-CA"/>
        </w:rPr>
        <w:t>e</w:t>
      </w:r>
      <w:r>
        <w:rPr>
          <w:lang w:val="fr-CA"/>
        </w:rPr>
        <w:t> </w:t>
      </w:r>
      <w:r w:rsidRPr="00F874B7">
        <w:rPr>
          <w:lang w:val="fr-CA"/>
        </w:rPr>
        <w:t>réunion</w:t>
      </w:r>
      <w:r w:rsidR="00BD468F">
        <w:rPr>
          <w:lang w:val="fr-CA"/>
        </w:rPr>
        <w:t>,</w:t>
      </w:r>
      <w:r w:rsidRPr="00F874B7">
        <w:rPr>
          <w:lang w:val="fr-CA"/>
        </w:rPr>
        <w:t xml:space="preserve"> a décidé d’adopter les lignes directrices pour la préparation de la </w:t>
      </w:r>
      <w:r>
        <w:rPr>
          <w:lang w:val="fr-CA"/>
        </w:rPr>
        <w:t>phase I</w:t>
      </w:r>
      <w:r w:rsidRPr="00F874B7">
        <w:rPr>
          <w:lang w:val="fr-CA"/>
        </w:rPr>
        <w:t xml:space="preserve"> du PGEH (décision</w:t>
      </w:r>
      <w:r>
        <w:rPr>
          <w:lang w:val="fr-CA"/>
        </w:rPr>
        <w:t> </w:t>
      </w:r>
      <w:r w:rsidRPr="00F874B7">
        <w:rPr>
          <w:lang w:val="fr-CA"/>
        </w:rPr>
        <w:t>54/39</w:t>
      </w:r>
      <w:r>
        <w:rPr>
          <w:lang w:val="fr-CA"/>
        </w:rPr>
        <w:t>)</w:t>
      </w:r>
      <w:r>
        <w:rPr>
          <w:rStyle w:val="FootnoteReference"/>
          <w:rFonts w:eastAsiaTheme="minorHAnsi"/>
        </w:rPr>
        <w:footnoteReference w:id="3"/>
      </w:r>
      <w:r>
        <w:rPr>
          <w:lang w:val="fr-CA"/>
        </w:rPr>
        <w:t>,</w:t>
      </w:r>
      <w:r w:rsidRPr="00F874B7">
        <w:rPr>
          <w:lang w:val="fr-CA"/>
        </w:rPr>
        <w:t xml:space="preserve"> établissant notamment que les PGEH pour les pays dont la consommation concerne uniquement le secteur de l’entretien </w:t>
      </w:r>
      <w:r>
        <w:rPr>
          <w:lang w:val="fr-CA"/>
        </w:rPr>
        <w:t xml:space="preserve">devraient respecter les lignes directrices pour la préparation des plans de gestion des frigorigènes, et leurs mises à jour, en application des décisions 31/48 et 35/57, et les plans de gestion de l’élimination finale (PGEF), en application de la décision 45/54. </w:t>
      </w:r>
      <w:r w:rsidRPr="00F874B7">
        <w:rPr>
          <w:lang w:val="fr-CA"/>
        </w:rPr>
        <w:t xml:space="preserve">De plus, les PGEH des pays dont les secteurs de la fabrication </w:t>
      </w:r>
      <w:r>
        <w:rPr>
          <w:lang w:val="fr-CA"/>
        </w:rPr>
        <w:t>consomment</w:t>
      </w:r>
      <w:r w:rsidRPr="00F874B7">
        <w:rPr>
          <w:lang w:val="fr-CA"/>
        </w:rPr>
        <w:t xml:space="preserve"> des HCFC devraient renfermer un plan national</w:t>
      </w:r>
      <w:r>
        <w:rPr>
          <w:lang w:val="fr-CA"/>
        </w:rPr>
        <w:t xml:space="preserve"> d’élimination</w:t>
      </w:r>
      <w:r w:rsidRPr="00F874B7">
        <w:rPr>
          <w:lang w:val="fr-CA"/>
        </w:rPr>
        <w:t xml:space="preserve"> conforme à la décision</w:t>
      </w:r>
      <w:r>
        <w:rPr>
          <w:lang w:val="fr-CA"/>
        </w:rPr>
        <w:t> </w:t>
      </w:r>
      <w:r w:rsidRPr="00F874B7">
        <w:rPr>
          <w:lang w:val="fr-CA"/>
        </w:rPr>
        <w:t xml:space="preserve">38/65 </w:t>
      </w:r>
      <w:r>
        <w:rPr>
          <w:lang w:val="fr-CA"/>
        </w:rPr>
        <w:t>et fournir un point de départ assorti d’objectifs de réduction annuels.</w:t>
      </w:r>
      <w:r w:rsidRPr="009657D0">
        <w:rPr>
          <w:lang w:val="fr-CA"/>
        </w:rPr>
        <w:t xml:space="preserve"> </w:t>
      </w:r>
    </w:p>
    <w:p w14:paraId="162A384D" w14:textId="358B9A9E" w:rsidR="006510FE" w:rsidRPr="000547CF" w:rsidRDefault="006510FE" w:rsidP="006510FE">
      <w:pPr>
        <w:pStyle w:val="Heading1"/>
        <w:rPr>
          <w:lang w:val="fr-CA"/>
        </w:rPr>
      </w:pPr>
      <w:r w:rsidRPr="00602F42">
        <w:rPr>
          <w:lang w:val="fr-CA"/>
        </w:rPr>
        <w:t xml:space="preserve">Les lignes directrices énoncent par ailleurs qu’il faudrait envisager de financer l’assistance, de manière à inclure les mesures de </w:t>
      </w:r>
      <w:r>
        <w:rPr>
          <w:lang w:val="fr-CA"/>
        </w:rPr>
        <w:t>réglementation</w:t>
      </w:r>
      <w:r w:rsidRPr="00602F42">
        <w:rPr>
          <w:lang w:val="fr-CA"/>
        </w:rPr>
        <w:t xml:space="preserve"> des HCFC dans les lois, </w:t>
      </w:r>
      <w:r>
        <w:rPr>
          <w:lang w:val="fr-CA"/>
        </w:rPr>
        <w:t xml:space="preserve">les </w:t>
      </w:r>
      <w:r w:rsidRPr="00602F42">
        <w:rPr>
          <w:lang w:val="fr-CA"/>
        </w:rPr>
        <w:t>règlement</w:t>
      </w:r>
      <w:r>
        <w:rPr>
          <w:lang w:val="fr-CA"/>
        </w:rPr>
        <w:t>s</w:t>
      </w:r>
      <w:r w:rsidRPr="00602F42">
        <w:rPr>
          <w:lang w:val="fr-CA"/>
        </w:rPr>
        <w:t xml:space="preserve"> et le</w:t>
      </w:r>
      <w:r>
        <w:rPr>
          <w:lang w:val="fr-CA"/>
        </w:rPr>
        <w:t>s</w:t>
      </w:r>
      <w:r w:rsidRPr="00602F42">
        <w:rPr>
          <w:lang w:val="fr-CA"/>
        </w:rPr>
        <w:t xml:space="preserve"> système</w:t>
      </w:r>
      <w:r>
        <w:rPr>
          <w:lang w:val="fr-CA"/>
        </w:rPr>
        <w:t>s</w:t>
      </w:r>
      <w:r w:rsidRPr="00602F42">
        <w:rPr>
          <w:lang w:val="fr-CA"/>
        </w:rPr>
        <w:t xml:space="preserve"> d’octroi de </w:t>
      </w:r>
      <w:r w:rsidR="00392991">
        <w:rPr>
          <w:lang w:val="fr-CA"/>
        </w:rPr>
        <w:t>permis</w:t>
      </w:r>
      <w:r w:rsidRPr="00602F42">
        <w:rPr>
          <w:lang w:val="fr-CA"/>
        </w:rPr>
        <w:t>, dans le cadre du financement de la préparation des PGEH, selon qu’il convie</w:t>
      </w:r>
      <w:r>
        <w:rPr>
          <w:lang w:val="fr-CA"/>
        </w:rPr>
        <w:t>nt</w:t>
      </w:r>
      <w:r w:rsidRPr="00602F42">
        <w:rPr>
          <w:lang w:val="fr-CA"/>
        </w:rPr>
        <w:t xml:space="preserve">, et qu’il </w:t>
      </w:r>
      <w:proofErr w:type="gramStart"/>
      <w:r w:rsidRPr="00602F42">
        <w:rPr>
          <w:lang w:val="fr-CA"/>
        </w:rPr>
        <w:lastRenderedPageBreak/>
        <w:t>faudrait</w:t>
      </w:r>
      <w:proofErr w:type="gramEnd"/>
      <w:r w:rsidRPr="00602F42">
        <w:rPr>
          <w:lang w:val="fr-CA"/>
        </w:rPr>
        <w:t xml:space="preserve"> exiger la confirmation de cette assistance, comme préalable au financement de la mise en œuvre du PGEH. </w:t>
      </w:r>
    </w:p>
    <w:p w14:paraId="6CBEAA6D" w14:textId="59417FFA" w:rsidR="006510FE" w:rsidRPr="008F4D42" w:rsidRDefault="006510FE" w:rsidP="006510FE">
      <w:pPr>
        <w:pStyle w:val="Heading1"/>
        <w:rPr>
          <w:lang w:val="fr-CA"/>
        </w:rPr>
      </w:pPr>
      <w:r w:rsidRPr="00602F42">
        <w:rPr>
          <w:lang w:val="fr-CA"/>
        </w:rPr>
        <w:t>Lors de la 5</w:t>
      </w:r>
      <w:r>
        <w:rPr>
          <w:lang w:val="fr-CA"/>
        </w:rPr>
        <w:t>5</w:t>
      </w:r>
      <w:r w:rsidRPr="009657D0">
        <w:rPr>
          <w:vertAlign w:val="superscript"/>
          <w:lang w:val="fr-CA"/>
        </w:rPr>
        <w:t>e</w:t>
      </w:r>
      <w:r>
        <w:rPr>
          <w:lang w:val="fr-CA"/>
        </w:rPr>
        <w:t> </w:t>
      </w:r>
      <w:r w:rsidRPr="00602F42">
        <w:rPr>
          <w:lang w:val="fr-CA"/>
        </w:rPr>
        <w:t>réunion, le Secrétariat a reçu, au total, 144</w:t>
      </w:r>
      <w:r>
        <w:rPr>
          <w:lang w:val="fr-CA"/>
        </w:rPr>
        <w:t> </w:t>
      </w:r>
      <w:r w:rsidRPr="00602F42">
        <w:rPr>
          <w:lang w:val="fr-CA"/>
        </w:rPr>
        <w:t xml:space="preserve">demandes de préparation de PGEH de la part des agences bilatérales et des agences d’exécution </w:t>
      </w:r>
      <w:r w:rsidR="00AF4847">
        <w:rPr>
          <w:lang w:val="fr-CA"/>
        </w:rPr>
        <w:t>pour</w:t>
      </w:r>
      <w:r w:rsidRPr="00602F42">
        <w:rPr>
          <w:lang w:val="fr-CA"/>
        </w:rPr>
        <w:t xml:space="preserve"> 107</w:t>
      </w:r>
      <w:r>
        <w:rPr>
          <w:lang w:val="fr-CA"/>
        </w:rPr>
        <w:t> </w:t>
      </w:r>
      <w:r w:rsidRPr="00602F42">
        <w:rPr>
          <w:lang w:val="fr-CA"/>
        </w:rPr>
        <w:t xml:space="preserve">pays, dont la Chine, </w:t>
      </w:r>
      <w:r w:rsidR="00AF4847">
        <w:rPr>
          <w:lang w:val="fr-CA"/>
        </w:rPr>
        <w:t>représentant</w:t>
      </w:r>
      <w:r w:rsidRPr="00602F42">
        <w:rPr>
          <w:lang w:val="fr-CA"/>
        </w:rPr>
        <w:t xml:space="preserve"> un financement total d’environ 36,4</w:t>
      </w:r>
      <w:r>
        <w:rPr>
          <w:lang w:val="fr-CA"/>
        </w:rPr>
        <w:t> millions </w:t>
      </w:r>
      <w:r w:rsidRPr="00602F42">
        <w:rPr>
          <w:lang w:val="fr-CA"/>
        </w:rPr>
        <w:t xml:space="preserve">$US. </w:t>
      </w:r>
      <w:r>
        <w:rPr>
          <w:lang w:val="fr-CA"/>
        </w:rPr>
        <w:t>Il a par ailleurs</w:t>
      </w:r>
      <w:r w:rsidRPr="00602F42">
        <w:rPr>
          <w:lang w:val="fr-CA"/>
        </w:rPr>
        <w:t xml:space="preserve"> proposé un modèle de coût normalisé en vue d’assurer un financement équivalent pour les pays présentant des caractéristiques semblables, </w:t>
      </w:r>
      <w:r>
        <w:rPr>
          <w:lang w:val="fr-CA"/>
        </w:rPr>
        <w:t xml:space="preserve">notamment </w:t>
      </w:r>
      <w:r w:rsidRPr="00602F42">
        <w:rPr>
          <w:lang w:val="fr-CA"/>
        </w:rPr>
        <w:t xml:space="preserve">en </w:t>
      </w:r>
      <w:r>
        <w:rPr>
          <w:lang w:val="fr-CA"/>
        </w:rPr>
        <w:t xml:space="preserve">rapport avec </w:t>
      </w:r>
      <w:r w:rsidRPr="00602F42">
        <w:rPr>
          <w:lang w:val="fr-CA"/>
        </w:rPr>
        <w:t xml:space="preserve">trois </w:t>
      </w:r>
      <w:r>
        <w:rPr>
          <w:lang w:val="fr-CA"/>
        </w:rPr>
        <w:t xml:space="preserve">éléments : assistance pour les politiques en lien avec le système d’octroi de </w:t>
      </w:r>
      <w:r w:rsidR="00392991">
        <w:rPr>
          <w:lang w:val="fr-CA"/>
        </w:rPr>
        <w:t>permis</w:t>
      </w:r>
      <w:r>
        <w:rPr>
          <w:lang w:val="fr-CA"/>
        </w:rPr>
        <w:t xml:space="preserve"> de HCFC, collecte et analyse des données d’enquête, et élaboration et finalisation de la stratégie.</w:t>
      </w:r>
      <w:r>
        <w:rPr>
          <w:rStyle w:val="FootnoteReference"/>
          <w:rFonts w:eastAsiaTheme="minorHAnsi"/>
        </w:rPr>
        <w:footnoteReference w:id="4"/>
      </w:r>
      <w:r w:rsidRPr="008F4D42">
        <w:rPr>
          <w:lang w:val="fr-CA"/>
        </w:rPr>
        <w:t xml:space="preserve"> </w:t>
      </w:r>
    </w:p>
    <w:p w14:paraId="699D0A3C" w14:textId="257420F2" w:rsidR="006510FE" w:rsidRPr="000547CF" w:rsidRDefault="006510FE" w:rsidP="006510FE">
      <w:pPr>
        <w:pStyle w:val="Heading1"/>
        <w:rPr>
          <w:lang w:val="fr-CA"/>
        </w:rPr>
      </w:pPr>
      <w:r w:rsidRPr="00602F42">
        <w:rPr>
          <w:lang w:val="fr-CA"/>
        </w:rPr>
        <w:t xml:space="preserve">À l’issue des discussions entourant </w:t>
      </w:r>
      <w:r>
        <w:rPr>
          <w:lang w:val="fr-CA"/>
        </w:rPr>
        <w:t>ces</w:t>
      </w:r>
      <w:r w:rsidRPr="00602F42">
        <w:rPr>
          <w:lang w:val="fr-CA"/>
        </w:rPr>
        <w:t xml:space="preserve"> soumission</w:t>
      </w:r>
      <w:r>
        <w:rPr>
          <w:lang w:val="fr-CA"/>
        </w:rPr>
        <w:t>s</w:t>
      </w:r>
      <w:r w:rsidRPr="00602F42">
        <w:rPr>
          <w:lang w:val="fr-CA"/>
        </w:rPr>
        <w:t xml:space="preserve"> et de leur examen par le Secrétariat, le Comité exécutif a approuvé depuis </w:t>
      </w:r>
      <w:r>
        <w:rPr>
          <w:lang w:val="fr-CA"/>
        </w:rPr>
        <w:t xml:space="preserve">lors </w:t>
      </w:r>
      <w:r w:rsidRPr="00602F42">
        <w:rPr>
          <w:lang w:val="fr-CA"/>
        </w:rPr>
        <w:t>le financement d’activités de préparation des PGEH (décision</w:t>
      </w:r>
      <w:r>
        <w:rPr>
          <w:lang w:val="fr-CA"/>
        </w:rPr>
        <w:t>s </w:t>
      </w:r>
      <w:r w:rsidRPr="00602F42">
        <w:rPr>
          <w:lang w:val="fr-CA"/>
        </w:rPr>
        <w:t>55/13 et</w:t>
      </w:r>
      <w:r>
        <w:rPr>
          <w:lang w:val="fr-CA"/>
        </w:rPr>
        <w:t> </w:t>
      </w:r>
      <w:r w:rsidRPr="00602F42">
        <w:rPr>
          <w:lang w:val="fr-CA"/>
        </w:rPr>
        <w:t xml:space="preserve">55/14). </w:t>
      </w:r>
      <w:r w:rsidRPr="004D1078">
        <w:rPr>
          <w:lang w:val="fr-CA"/>
        </w:rPr>
        <w:t>Le Comité exécutif</w:t>
      </w:r>
      <w:r w:rsidR="00AF4847">
        <w:rPr>
          <w:lang w:val="fr-CA"/>
        </w:rPr>
        <w:t>,</w:t>
      </w:r>
      <w:r w:rsidRPr="004D1078">
        <w:rPr>
          <w:lang w:val="fr-CA"/>
        </w:rPr>
        <w:t xml:space="preserve"> à sa 5</w:t>
      </w:r>
      <w:r>
        <w:rPr>
          <w:lang w:val="fr-CA"/>
        </w:rPr>
        <w:t>6</w:t>
      </w:r>
      <w:r w:rsidRPr="004D1078">
        <w:rPr>
          <w:vertAlign w:val="superscript"/>
          <w:lang w:val="fr-CA"/>
        </w:rPr>
        <w:t>e</w:t>
      </w:r>
      <w:r>
        <w:rPr>
          <w:lang w:val="fr-CA"/>
        </w:rPr>
        <w:t> </w:t>
      </w:r>
      <w:r w:rsidRPr="004D1078">
        <w:rPr>
          <w:lang w:val="fr-CA"/>
        </w:rPr>
        <w:t>réunion</w:t>
      </w:r>
      <w:r w:rsidR="00AF4847">
        <w:rPr>
          <w:lang w:val="fr-CA"/>
        </w:rPr>
        <w:t>,</w:t>
      </w:r>
      <w:r w:rsidRPr="004D1078">
        <w:rPr>
          <w:lang w:val="fr-CA"/>
        </w:rPr>
        <w:t xml:space="preserve"> a défini </w:t>
      </w:r>
      <w:r w:rsidRPr="00002D71">
        <w:rPr>
          <w:lang w:val="fr-CA"/>
        </w:rPr>
        <w:t>les composantes de la structure des coûts du financement de la préparation</w:t>
      </w:r>
      <w:r>
        <w:rPr>
          <w:lang w:val="fr-CA"/>
        </w:rPr>
        <w:t xml:space="preserve"> </w:t>
      </w:r>
      <w:r w:rsidRPr="00002D71">
        <w:rPr>
          <w:lang w:val="fr-CA"/>
        </w:rPr>
        <w:t>d’un plan de gestion global de l'élimination des HCFC, conformément à la décision</w:t>
      </w:r>
      <w:r>
        <w:rPr>
          <w:lang w:val="fr-CA"/>
        </w:rPr>
        <w:t xml:space="preserve"> </w:t>
      </w:r>
      <w:r w:rsidRPr="00002D71">
        <w:rPr>
          <w:lang w:val="fr-CA"/>
        </w:rPr>
        <w:t xml:space="preserve">54/39, </w:t>
      </w:r>
      <w:r>
        <w:rPr>
          <w:lang w:val="fr-CA"/>
        </w:rPr>
        <w:t xml:space="preserve">comprenant ce qui suit : assistance </w:t>
      </w:r>
      <w:r w:rsidRPr="00002D71">
        <w:rPr>
          <w:lang w:val="fr-CA"/>
        </w:rPr>
        <w:t>pour les politiques et les mesures législatives, p. ex., pour le</w:t>
      </w:r>
      <w:r>
        <w:rPr>
          <w:lang w:val="fr-CA"/>
        </w:rPr>
        <w:t xml:space="preserve"> </w:t>
      </w:r>
      <w:r w:rsidRPr="00002D71">
        <w:rPr>
          <w:lang w:val="fr-CA"/>
        </w:rPr>
        <w:t>développement de nouvelles mesures législatives ou pour étendre les mesures</w:t>
      </w:r>
      <w:r>
        <w:rPr>
          <w:lang w:val="fr-CA"/>
        </w:rPr>
        <w:t xml:space="preserve"> </w:t>
      </w:r>
      <w:r w:rsidRPr="00002D71">
        <w:rPr>
          <w:lang w:val="fr-CA"/>
        </w:rPr>
        <w:t>législatives existantes concernant les HCFC, les produits à base de HCFC, les</w:t>
      </w:r>
      <w:r>
        <w:rPr>
          <w:lang w:val="fr-CA"/>
        </w:rPr>
        <w:t xml:space="preserve"> quotas et les </w:t>
      </w:r>
      <w:r w:rsidR="00392991">
        <w:rPr>
          <w:lang w:val="fr-CA"/>
        </w:rPr>
        <w:t>permis</w:t>
      </w:r>
      <w:r>
        <w:rPr>
          <w:lang w:val="fr-CA"/>
        </w:rPr>
        <w:t>; enquête sur l’utilisation des HCFC et analyse des données; élaboration et finalisation du PGEH, y compris la phase I, en rapport avec les mesures de réglementation 2013 et 2015; et élaboration d’activités d’investissement pour les secteurs de la fabrication qui consomment des HCFC pour la phase I d’un PGEH, si de telles activités sont nécessaires (décision 56/16).</w:t>
      </w:r>
    </w:p>
    <w:p w14:paraId="489E9CB4" w14:textId="45FB1FF0" w:rsidR="006510FE" w:rsidRPr="000547CF" w:rsidRDefault="006510FE" w:rsidP="006510FE">
      <w:pPr>
        <w:pStyle w:val="Heading1"/>
        <w:rPr>
          <w:lang w:val="fr-CA"/>
        </w:rPr>
      </w:pPr>
      <w:r w:rsidRPr="004D1078">
        <w:rPr>
          <w:lang w:val="fr-CA"/>
        </w:rPr>
        <w:t xml:space="preserve">Les activités de préparation d’un PGEH comprennent le financement spécifique </w:t>
      </w:r>
      <w:r>
        <w:rPr>
          <w:lang w:val="fr-CA"/>
        </w:rPr>
        <w:t>de</w:t>
      </w:r>
      <w:r w:rsidRPr="004D1078">
        <w:rPr>
          <w:lang w:val="fr-CA"/>
        </w:rPr>
        <w:t xml:space="preserve"> l’assistance </w:t>
      </w:r>
      <w:r>
        <w:rPr>
          <w:lang w:val="fr-CA"/>
        </w:rPr>
        <w:t xml:space="preserve">pour les </w:t>
      </w:r>
      <w:r w:rsidRPr="004D1078">
        <w:rPr>
          <w:lang w:val="fr-CA"/>
        </w:rPr>
        <w:t>politique</w:t>
      </w:r>
      <w:r>
        <w:rPr>
          <w:lang w:val="fr-CA"/>
        </w:rPr>
        <w:t>s</w:t>
      </w:r>
      <w:r w:rsidRPr="004D1078">
        <w:rPr>
          <w:lang w:val="fr-CA"/>
        </w:rPr>
        <w:t>, y compris l’élaboration de système</w:t>
      </w:r>
      <w:r>
        <w:rPr>
          <w:lang w:val="fr-CA"/>
        </w:rPr>
        <w:t>s</w:t>
      </w:r>
      <w:r w:rsidRPr="004D1078">
        <w:rPr>
          <w:lang w:val="fr-CA"/>
        </w:rPr>
        <w:t xml:space="preserve"> d’octroi de </w:t>
      </w:r>
      <w:r w:rsidR="00392991">
        <w:rPr>
          <w:lang w:val="fr-CA"/>
        </w:rPr>
        <w:t>permis</w:t>
      </w:r>
      <w:r w:rsidRPr="004D1078">
        <w:rPr>
          <w:lang w:val="fr-CA"/>
        </w:rPr>
        <w:t xml:space="preserve"> de </w:t>
      </w:r>
      <w:r>
        <w:rPr>
          <w:lang w:val="fr-CA"/>
        </w:rPr>
        <w:t>HCFC</w:t>
      </w:r>
      <w:r w:rsidRPr="004D1078">
        <w:rPr>
          <w:lang w:val="fr-CA"/>
        </w:rPr>
        <w:t>, qui a servi dans la plupart des pays à retenir les services d</w:t>
      </w:r>
      <w:r>
        <w:rPr>
          <w:lang w:val="fr-CA"/>
        </w:rPr>
        <w:t>e</w:t>
      </w:r>
      <w:r w:rsidRPr="004D1078">
        <w:rPr>
          <w:lang w:val="fr-CA"/>
        </w:rPr>
        <w:t xml:space="preserve"> consultant</w:t>
      </w:r>
      <w:r>
        <w:rPr>
          <w:lang w:val="fr-CA"/>
        </w:rPr>
        <w:t>s</w:t>
      </w:r>
      <w:r w:rsidRPr="004D1078">
        <w:rPr>
          <w:lang w:val="fr-CA"/>
        </w:rPr>
        <w:t xml:space="preserve"> juridique</w:t>
      </w:r>
      <w:r>
        <w:rPr>
          <w:lang w:val="fr-CA"/>
        </w:rPr>
        <w:t>s</w:t>
      </w:r>
      <w:r w:rsidRPr="004D1078">
        <w:rPr>
          <w:lang w:val="fr-CA"/>
        </w:rPr>
        <w:t xml:space="preserve">, </w:t>
      </w:r>
      <w:r>
        <w:rPr>
          <w:lang w:val="fr-CA"/>
        </w:rPr>
        <w:t>à organiser des</w:t>
      </w:r>
      <w:r w:rsidRPr="004D1078">
        <w:rPr>
          <w:lang w:val="fr-CA"/>
        </w:rPr>
        <w:t xml:space="preserve"> réunions de consultation </w:t>
      </w:r>
      <w:r>
        <w:rPr>
          <w:lang w:val="fr-CA"/>
        </w:rPr>
        <w:t xml:space="preserve">visant à élaborer des règles, et à la diffusion de l’information aux fins d’application de la loi. </w:t>
      </w:r>
      <w:r w:rsidRPr="004D1078">
        <w:rPr>
          <w:lang w:val="fr-CA"/>
        </w:rPr>
        <w:t xml:space="preserve">Tous les pays dont le PGEH a été approuvé </w:t>
      </w:r>
      <w:r>
        <w:rPr>
          <w:lang w:val="fr-CA"/>
        </w:rPr>
        <w:t>ont</w:t>
      </w:r>
      <w:r w:rsidRPr="004D1078">
        <w:rPr>
          <w:lang w:val="fr-CA"/>
        </w:rPr>
        <w:t xml:space="preserve"> établi un système d’octroi de </w:t>
      </w:r>
      <w:r w:rsidR="00392991">
        <w:rPr>
          <w:lang w:val="fr-CA"/>
        </w:rPr>
        <w:t>permis</w:t>
      </w:r>
      <w:r w:rsidRPr="004D1078">
        <w:rPr>
          <w:lang w:val="fr-CA"/>
        </w:rPr>
        <w:t xml:space="preserve"> et de quotas d’importation (et dans certains cas de production et d’exportation) </w:t>
      </w:r>
      <w:r>
        <w:rPr>
          <w:lang w:val="fr-CA"/>
        </w:rPr>
        <w:t>de HCFC.</w:t>
      </w:r>
    </w:p>
    <w:p w14:paraId="07EE775E" w14:textId="35AFCD44" w:rsidR="006510FE" w:rsidRPr="007B6958" w:rsidRDefault="006510FE" w:rsidP="006510FE">
      <w:pPr>
        <w:pStyle w:val="Heading1"/>
        <w:rPr>
          <w:lang w:val="fr-CA"/>
        </w:rPr>
      </w:pPr>
      <w:r w:rsidRPr="00CC0BA9">
        <w:rPr>
          <w:lang w:val="fr-CA"/>
        </w:rPr>
        <w:t>Afin de veiller à ce que des mesures adéquates soient prises à l’échelon national, le Comité exécutif à sa 63</w:t>
      </w:r>
      <w:r w:rsidRPr="008F4D42">
        <w:rPr>
          <w:vertAlign w:val="superscript"/>
          <w:lang w:val="fr-CA"/>
        </w:rPr>
        <w:t>e</w:t>
      </w:r>
      <w:r>
        <w:rPr>
          <w:lang w:val="fr-CA"/>
        </w:rPr>
        <w:t> </w:t>
      </w:r>
      <w:r w:rsidRPr="00CC0BA9">
        <w:rPr>
          <w:lang w:val="fr-CA"/>
        </w:rPr>
        <w:t>réunion a décidé d’ajouter un paragraphe, à la fois dans le modèle de projet d’accord et dans</w:t>
      </w:r>
      <w:r>
        <w:rPr>
          <w:lang w:val="fr-CA"/>
        </w:rPr>
        <w:t xml:space="preserve"> les</w:t>
      </w:r>
      <w:r w:rsidRPr="00CC0BA9">
        <w:rPr>
          <w:lang w:val="fr-CA"/>
        </w:rPr>
        <w:t xml:space="preserve"> projet</w:t>
      </w:r>
      <w:r>
        <w:rPr>
          <w:lang w:val="fr-CA"/>
        </w:rPr>
        <w:t>s</w:t>
      </w:r>
      <w:r w:rsidRPr="00CC0BA9">
        <w:rPr>
          <w:lang w:val="fr-CA"/>
        </w:rPr>
        <w:t xml:space="preserve"> d’accord entre les pays visés à l’article</w:t>
      </w:r>
      <w:r>
        <w:rPr>
          <w:lang w:val="fr-CA"/>
        </w:rPr>
        <w:t> </w:t>
      </w:r>
      <w:r w:rsidRPr="00CC0BA9">
        <w:rPr>
          <w:lang w:val="fr-CA"/>
        </w:rPr>
        <w:t xml:space="preserve">5 et le Comité exécutif indiquant que pour toutes les soumissions </w:t>
      </w:r>
      <w:r>
        <w:rPr>
          <w:lang w:val="fr-CA"/>
        </w:rPr>
        <w:t xml:space="preserve">présentées </w:t>
      </w:r>
      <w:r w:rsidRPr="00CC0BA9">
        <w:rPr>
          <w:lang w:val="fr-CA"/>
        </w:rPr>
        <w:t>à partir de la 68</w:t>
      </w:r>
      <w:r w:rsidRPr="008F4D42">
        <w:rPr>
          <w:vertAlign w:val="superscript"/>
          <w:lang w:val="fr-CA"/>
        </w:rPr>
        <w:t>e</w:t>
      </w:r>
      <w:r>
        <w:rPr>
          <w:lang w:val="fr-CA"/>
        </w:rPr>
        <w:t> </w:t>
      </w:r>
      <w:r w:rsidRPr="00CC0BA9">
        <w:rPr>
          <w:lang w:val="fr-CA"/>
        </w:rPr>
        <w:t xml:space="preserve">réunion, le gouvernement avait confirmé qu’un système national applicable d’octroi de </w:t>
      </w:r>
      <w:r w:rsidR="00392991">
        <w:rPr>
          <w:lang w:val="fr-CA"/>
        </w:rPr>
        <w:t>permis</w:t>
      </w:r>
      <w:r>
        <w:rPr>
          <w:lang w:val="fr-CA"/>
        </w:rPr>
        <w:t xml:space="preserve"> et de quotas</w:t>
      </w:r>
      <w:r w:rsidRPr="00CC0BA9">
        <w:rPr>
          <w:lang w:val="fr-CA"/>
        </w:rPr>
        <w:t xml:space="preserve"> d’importation de HCFC avait été mis en place et, s’il y a lieu, des contrôles de la production et des exportations, et que le système était en mesure d’assurer l</w:t>
      </w:r>
      <w:r>
        <w:rPr>
          <w:lang w:val="fr-CA"/>
        </w:rPr>
        <w:t>e respect, par le</w:t>
      </w:r>
      <w:r w:rsidRPr="00CC0BA9">
        <w:rPr>
          <w:lang w:val="fr-CA"/>
        </w:rPr>
        <w:t xml:space="preserve"> pays, du calendrier d’élimination des HCFC du Protocole de Montréal pour </w:t>
      </w:r>
      <w:r>
        <w:rPr>
          <w:lang w:val="fr-CA"/>
        </w:rPr>
        <w:t xml:space="preserve">toute </w:t>
      </w:r>
      <w:r w:rsidRPr="00CC0BA9">
        <w:rPr>
          <w:lang w:val="fr-CA"/>
        </w:rPr>
        <w:t xml:space="preserve">la durée de cet </w:t>
      </w:r>
      <w:r>
        <w:rPr>
          <w:lang w:val="fr-CA"/>
        </w:rPr>
        <w:t>a</w:t>
      </w:r>
      <w:r w:rsidRPr="00CC0BA9">
        <w:rPr>
          <w:lang w:val="fr-CA"/>
        </w:rPr>
        <w:t>ccord.</w:t>
      </w:r>
    </w:p>
    <w:p w14:paraId="6265F9AF" w14:textId="241DCCCD" w:rsidR="006510FE" w:rsidRPr="000547CF" w:rsidRDefault="006510FE" w:rsidP="006510FE">
      <w:pPr>
        <w:pStyle w:val="Heading1"/>
        <w:rPr>
          <w:lang w:val="fr-CA"/>
        </w:rPr>
      </w:pPr>
      <w:r w:rsidRPr="00CC0BA9">
        <w:rPr>
          <w:lang w:val="fr-CA"/>
        </w:rPr>
        <w:t>Cette décision a été essentielle pour assurer que les pays visés à l’article</w:t>
      </w:r>
      <w:r>
        <w:rPr>
          <w:lang w:val="fr-CA"/>
        </w:rPr>
        <w:t> </w:t>
      </w:r>
      <w:r w:rsidRPr="00CC0BA9">
        <w:rPr>
          <w:lang w:val="fr-CA"/>
        </w:rPr>
        <w:t xml:space="preserve">5 </w:t>
      </w:r>
      <w:r>
        <w:rPr>
          <w:lang w:val="fr-CA"/>
        </w:rPr>
        <w:t>donnent</w:t>
      </w:r>
      <w:r w:rsidRPr="00CC0BA9">
        <w:rPr>
          <w:lang w:val="fr-CA"/>
        </w:rPr>
        <w:t xml:space="preserve"> la priorité à l’élaboration d’un système d’octroi de </w:t>
      </w:r>
      <w:r w:rsidR="00392991">
        <w:rPr>
          <w:lang w:val="fr-CA"/>
        </w:rPr>
        <w:t>permis</w:t>
      </w:r>
      <w:r>
        <w:rPr>
          <w:lang w:val="fr-CA"/>
        </w:rPr>
        <w:t xml:space="preserve"> et de quotas</w:t>
      </w:r>
      <w:r w:rsidRPr="00CC0BA9">
        <w:rPr>
          <w:lang w:val="fr-CA"/>
        </w:rPr>
        <w:t xml:space="preserve"> opérationnel pour les importations de HCFC </w:t>
      </w:r>
      <w:r>
        <w:rPr>
          <w:lang w:val="fr-CA"/>
        </w:rPr>
        <w:t>a</w:t>
      </w:r>
      <w:r w:rsidRPr="00CC0BA9">
        <w:rPr>
          <w:lang w:val="fr-CA"/>
        </w:rPr>
        <w:t xml:space="preserve">u cours de la phase préparatoire des PGEH. Même s’il </w:t>
      </w:r>
      <w:r>
        <w:rPr>
          <w:lang w:val="fr-CA"/>
        </w:rPr>
        <w:t>est im</w:t>
      </w:r>
      <w:r w:rsidRPr="00CC0BA9">
        <w:rPr>
          <w:lang w:val="fr-CA"/>
        </w:rPr>
        <w:t xml:space="preserve">possible de déduire des rapports de projet </w:t>
      </w:r>
      <w:r w:rsidR="006A1515">
        <w:rPr>
          <w:lang w:val="fr-CA"/>
        </w:rPr>
        <w:t>la mesure dans laquelle</w:t>
      </w:r>
      <w:r w:rsidRPr="00CC0BA9">
        <w:rPr>
          <w:lang w:val="fr-CA"/>
        </w:rPr>
        <w:t xml:space="preserve"> le financement approuvé pour la préparation des PGEH </w:t>
      </w:r>
      <w:r>
        <w:rPr>
          <w:lang w:val="fr-CA"/>
        </w:rPr>
        <w:t xml:space="preserve">a directement contribué à la mise en place des systèmes d’octroi de </w:t>
      </w:r>
      <w:r w:rsidR="00392991">
        <w:rPr>
          <w:lang w:val="fr-CA"/>
        </w:rPr>
        <w:t>permis</w:t>
      </w:r>
      <w:r>
        <w:rPr>
          <w:lang w:val="fr-CA"/>
        </w:rPr>
        <w:t xml:space="preserve">, il est mentionné que cela a facilité le processus de consultation et de sensibilisation à l’échelle nationale et fourni des ressources pour l’expertise juridique. </w:t>
      </w:r>
      <w:r w:rsidRPr="00CC0BA9">
        <w:rPr>
          <w:lang w:val="fr-CA"/>
        </w:rPr>
        <w:t xml:space="preserve">La plupart des pays ont utilisé ce financement pour organiser de grands ateliers de consultation des intervenants, avec la participation </w:t>
      </w:r>
      <w:r>
        <w:rPr>
          <w:lang w:val="fr-CA"/>
        </w:rPr>
        <w:t xml:space="preserve">du secteur privé et des principaux organes gouvernementaux, afin d’expliquer les engagements en matière d’élimination des HCFC et les conséquences au niveau du pays. </w:t>
      </w:r>
      <w:r w:rsidRPr="00CC0BA9">
        <w:rPr>
          <w:lang w:val="fr-CA"/>
        </w:rPr>
        <w:t>Au moment où les pays visés à l’article</w:t>
      </w:r>
      <w:r>
        <w:rPr>
          <w:lang w:val="fr-CA"/>
        </w:rPr>
        <w:t> </w:t>
      </w:r>
      <w:r w:rsidRPr="00CC0BA9">
        <w:rPr>
          <w:lang w:val="fr-CA"/>
        </w:rPr>
        <w:t xml:space="preserve">5 avaient achevé les activités de préparation et reçu l’approbation </w:t>
      </w:r>
      <w:r w:rsidRPr="00CC0BA9">
        <w:rPr>
          <w:lang w:val="fr-CA"/>
        </w:rPr>
        <w:lastRenderedPageBreak/>
        <w:t xml:space="preserve">du financement </w:t>
      </w:r>
      <w:r>
        <w:rPr>
          <w:lang w:val="fr-CA"/>
        </w:rPr>
        <w:t xml:space="preserve">pour la mise en œuvre d’un PGEH, ils disposaient déjà d’un système d’octroi de </w:t>
      </w:r>
      <w:r w:rsidR="00392991">
        <w:rPr>
          <w:lang w:val="fr-CA"/>
        </w:rPr>
        <w:t>permis</w:t>
      </w:r>
      <w:r>
        <w:rPr>
          <w:lang w:val="fr-CA"/>
        </w:rPr>
        <w:t xml:space="preserve"> et de quotas pour l’importation des HCFC. </w:t>
      </w:r>
    </w:p>
    <w:p w14:paraId="7D2892AD" w14:textId="6C21A92F" w:rsidR="006510FE" w:rsidRPr="00FF41EE" w:rsidRDefault="006510FE" w:rsidP="006510FE">
      <w:pPr>
        <w:pStyle w:val="Heading1"/>
        <w:rPr>
          <w:lang w:val="fr-CA"/>
        </w:rPr>
      </w:pPr>
      <w:r w:rsidRPr="00CC0BA9">
        <w:rPr>
          <w:lang w:val="fr-CA"/>
        </w:rPr>
        <w:t xml:space="preserve">Alors que certains pays ont tardé à adopter leur système d’octroi de </w:t>
      </w:r>
      <w:r w:rsidR="00392991">
        <w:rPr>
          <w:lang w:val="fr-CA"/>
        </w:rPr>
        <w:t>permis</w:t>
      </w:r>
      <w:r>
        <w:rPr>
          <w:lang w:val="fr-CA"/>
        </w:rPr>
        <w:t xml:space="preserve"> et de quotas</w:t>
      </w:r>
      <w:r w:rsidRPr="00CC0BA9">
        <w:rPr>
          <w:lang w:val="fr-CA"/>
        </w:rPr>
        <w:t xml:space="preserve"> d’importation/exportation de HCFC, le fait qu’il s’agissait d’une condition préalable à l’approbation des fonds </w:t>
      </w:r>
      <w:r>
        <w:rPr>
          <w:lang w:val="fr-CA"/>
        </w:rPr>
        <w:t xml:space="preserve">a </w:t>
      </w:r>
      <w:r w:rsidRPr="00CC0BA9">
        <w:rPr>
          <w:lang w:val="fr-CA"/>
        </w:rPr>
        <w:t xml:space="preserve">contribué en général à accélérer le processus. Rien n’indique que la mise en place de ces systèmes </w:t>
      </w:r>
      <w:r>
        <w:rPr>
          <w:lang w:val="fr-CA"/>
        </w:rPr>
        <w:t>ait</w:t>
      </w:r>
      <w:r w:rsidRPr="00CC0BA9">
        <w:rPr>
          <w:lang w:val="fr-CA"/>
        </w:rPr>
        <w:t xml:space="preserve"> été retardé</w:t>
      </w:r>
      <w:r>
        <w:rPr>
          <w:lang w:val="fr-CA"/>
        </w:rPr>
        <w:t>e</w:t>
      </w:r>
      <w:r w:rsidRPr="00CC0BA9">
        <w:rPr>
          <w:lang w:val="fr-CA"/>
        </w:rPr>
        <w:t xml:space="preserve"> en raison de l’insuffisance de fonds </w:t>
      </w:r>
      <w:r>
        <w:rPr>
          <w:lang w:val="fr-CA"/>
        </w:rPr>
        <w:t xml:space="preserve">pour les activités de préparation. </w:t>
      </w:r>
      <w:r w:rsidRPr="00C66DAE">
        <w:rPr>
          <w:lang w:val="fr-CA"/>
        </w:rPr>
        <w:t xml:space="preserve">Les délais correspondent généralement au temps requis pour obtenir les approbations pour les mesures réglementaires et </w:t>
      </w:r>
      <w:r>
        <w:rPr>
          <w:lang w:val="fr-CA"/>
        </w:rPr>
        <w:t xml:space="preserve">tenir </w:t>
      </w:r>
      <w:r w:rsidRPr="00C66DAE">
        <w:rPr>
          <w:lang w:val="fr-CA"/>
        </w:rPr>
        <w:t xml:space="preserve">les consultations avec </w:t>
      </w:r>
      <w:r>
        <w:rPr>
          <w:lang w:val="fr-CA"/>
        </w:rPr>
        <w:t xml:space="preserve">les intervenants. </w:t>
      </w:r>
      <w:r w:rsidRPr="00C66DAE">
        <w:rPr>
          <w:lang w:val="fr-CA"/>
        </w:rPr>
        <w:t>On peut consulter les motifs des retards à l’annexe</w:t>
      </w:r>
      <w:r>
        <w:rPr>
          <w:lang w:val="fr-CA"/>
        </w:rPr>
        <w:t> </w:t>
      </w:r>
      <w:r w:rsidRPr="00C66DAE">
        <w:rPr>
          <w:lang w:val="fr-CA"/>
        </w:rPr>
        <w:t>II du présent document.</w:t>
      </w:r>
    </w:p>
    <w:p w14:paraId="188FEA77" w14:textId="2A9B5F08" w:rsidR="006510FE" w:rsidRPr="000547CF" w:rsidRDefault="006510FE" w:rsidP="006510FE">
      <w:pPr>
        <w:pStyle w:val="Heading1"/>
        <w:rPr>
          <w:lang w:val="fr-CA"/>
        </w:rPr>
      </w:pPr>
      <w:r>
        <w:rPr>
          <w:lang w:val="fr-CA"/>
        </w:rPr>
        <w:t>À peu près</w:t>
      </w:r>
      <w:r w:rsidRPr="00C66DAE">
        <w:rPr>
          <w:lang w:val="fr-CA"/>
        </w:rPr>
        <w:t xml:space="preserve"> tous les pays visés par l’étude disposaient déjà des lois, règlements et </w:t>
      </w:r>
      <w:r w:rsidR="006A1515">
        <w:rPr>
          <w:lang w:val="fr-CA"/>
        </w:rPr>
        <w:t>programmes</w:t>
      </w:r>
      <w:r w:rsidRPr="00C66DAE">
        <w:rPr>
          <w:lang w:val="fr-CA"/>
        </w:rPr>
        <w:t xml:space="preserve"> de </w:t>
      </w:r>
      <w:r w:rsidR="00392991">
        <w:rPr>
          <w:lang w:val="fr-CA"/>
        </w:rPr>
        <w:t>permis</w:t>
      </w:r>
      <w:r w:rsidRPr="00C66DAE">
        <w:rPr>
          <w:lang w:val="fr-CA"/>
        </w:rPr>
        <w:t xml:space="preserve"> nécessaires au moment de la soumission de la </w:t>
      </w:r>
      <w:r>
        <w:rPr>
          <w:lang w:val="fr-CA"/>
        </w:rPr>
        <w:t>phase I</w:t>
      </w:r>
      <w:r w:rsidRPr="00C66DAE">
        <w:rPr>
          <w:lang w:val="fr-CA"/>
        </w:rPr>
        <w:t xml:space="preserve"> du PGEH, à l’exception de l’Égypte, où les importateurs ont besoin de permis </w:t>
      </w:r>
      <w:r>
        <w:rPr>
          <w:lang w:val="fr-CA"/>
        </w:rPr>
        <w:t>valides</w:t>
      </w:r>
      <w:r w:rsidRPr="00C66DAE">
        <w:rPr>
          <w:lang w:val="fr-CA"/>
        </w:rPr>
        <w:t xml:space="preserve"> depuis le 1</w:t>
      </w:r>
      <w:r w:rsidRPr="00FF41EE">
        <w:rPr>
          <w:vertAlign w:val="superscript"/>
          <w:lang w:val="fr-CA"/>
        </w:rPr>
        <w:t>er</w:t>
      </w:r>
      <w:r>
        <w:rPr>
          <w:lang w:val="fr-CA"/>
        </w:rPr>
        <w:t> </w:t>
      </w:r>
      <w:r w:rsidRPr="00C66DAE">
        <w:rPr>
          <w:lang w:val="fr-CA"/>
        </w:rPr>
        <w:t>juin</w:t>
      </w:r>
      <w:r>
        <w:rPr>
          <w:lang w:val="fr-CA"/>
        </w:rPr>
        <w:t> </w:t>
      </w:r>
      <w:r w:rsidRPr="00C66DAE">
        <w:rPr>
          <w:lang w:val="fr-CA"/>
        </w:rPr>
        <w:t xml:space="preserve">2012 et </w:t>
      </w:r>
      <w:r>
        <w:rPr>
          <w:lang w:val="fr-CA"/>
        </w:rPr>
        <w:t xml:space="preserve">de </w:t>
      </w:r>
      <w:r w:rsidRPr="00C66DAE">
        <w:rPr>
          <w:lang w:val="fr-CA"/>
        </w:rPr>
        <w:t>la Namibie</w:t>
      </w:r>
      <w:r>
        <w:rPr>
          <w:lang w:val="fr-CA"/>
        </w:rPr>
        <w:t>,</w:t>
      </w:r>
      <w:r w:rsidRPr="00C66DAE">
        <w:rPr>
          <w:lang w:val="fr-CA"/>
        </w:rPr>
        <w:t xml:space="preserve"> o</w:t>
      </w:r>
      <w:r>
        <w:rPr>
          <w:lang w:val="fr-CA"/>
        </w:rPr>
        <w:t>ù</w:t>
      </w:r>
      <w:r w:rsidRPr="00C66DAE">
        <w:rPr>
          <w:lang w:val="fr-CA"/>
        </w:rPr>
        <w:t xml:space="preserve"> les permis sont </w:t>
      </w:r>
      <w:r>
        <w:rPr>
          <w:lang w:val="fr-CA"/>
        </w:rPr>
        <w:t>requis</w:t>
      </w:r>
      <w:r w:rsidRPr="00C66DAE">
        <w:rPr>
          <w:lang w:val="fr-CA"/>
        </w:rPr>
        <w:t xml:space="preserve"> depuis le 1</w:t>
      </w:r>
      <w:r w:rsidRPr="00FF41EE">
        <w:rPr>
          <w:vertAlign w:val="superscript"/>
          <w:lang w:val="fr-CA"/>
        </w:rPr>
        <w:t>er</w:t>
      </w:r>
      <w:r>
        <w:rPr>
          <w:lang w:val="fr-CA"/>
        </w:rPr>
        <w:t> </w:t>
      </w:r>
      <w:r w:rsidRPr="00C66DAE">
        <w:rPr>
          <w:lang w:val="fr-CA"/>
        </w:rPr>
        <w:t>janvier</w:t>
      </w:r>
      <w:r>
        <w:rPr>
          <w:lang w:val="fr-CA"/>
        </w:rPr>
        <w:t> </w:t>
      </w:r>
      <w:r w:rsidRPr="00C66DAE">
        <w:rPr>
          <w:lang w:val="fr-CA"/>
        </w:rPr>
        <w:t>2011; du Nigéria (l’approbation du nouveau projet de loi exhaustif couvrant les HCFC n’</w:t>
      </w:r>
      <w:r>
        <w:rPr>
          <w:lang w:val="fr-CA"/>
        </w:rPr>
        <w:t>était</w:t>
      </w:r>
      <w:r w:rsidRPr="00C66DAE">
        <w:rPr>
          <w:lang w:val="fr-CA"/>
        </w:rPr>
        <w:t xml:space="preserve"> pas encore </w:t>
      </w:r>
      <w:r>
        <w:rPr>
          <w:lang w:val="fr-CA"/>
        </w:rPr>
        <w:t>obtenue</w:t>
      </w:r>
      <w:r w:rsidRPr="00C66DAE">
        <w:rPr>
          <w:lang w:val="fr-CA"/>
        </w:rPr>
        <w:t xml:space="preserve"> au moment de la soumission</w:t>
      </w:r>
      <w:r>
        <w:rPr>
          <w:lang w:val="fr-CA"/>
        </w:rPr>
        <w:t>)</w:t>
      </w:r>
      <w:r w:rsidRPr="00C66DAE">
        <w:rPr>
          <w:lang w:val="fr-CA"/>
        </w:rPr>
        <w:t xml:space="preserve">; et </w:t>
      </w:r>
      <w:r>
        <w:rPr>
          <w:lang w:val="fr-CA"/>
        </w:rPr>
        <w:t xml:space="preserve">de </w:t>
      </w:r>
      <w:r w:rsidRPr="00C66DAE">
        <w:rPr>
          <w:lang w:val="fr-CA"/>
        </w:rPr>
        <w:t>la Tunisie (qui a besoin de mesure</w:t>
      </w:r>
      <w:r>
        <w:rPr>
          <w:lang w:val="fr-CA"/>
        </w:rPr>
        <w:t>s</w:t>
      </w:r>
      <w:r w:rsidRPr="00C66DAE">
        <w:rPr>
          <w:lang w:val="fr-CA"/>
        </w:rPr>
        <w:t xml:space="preserve"> de politique contribuant à inverser la croissance de la consommation de services et, éventuellement, </w:t>
      </w:r>
      <w:r>
        <w:rPr>
          <w:lang w:val="fr-CA"/>
        </w:rPr>
        <w:t xml:space="preserve">à la réduction de la consommation par rapport aux niveaux de référence). </w:t>
      </w:r>
      <w:r w:rsidRPr="00C66DAE">
        <w:rPr>
          <w:lang w:val="fr-CA"/>
        </w:rPr>
        <w:t xml:space="preserve">Plusieurs pays prévoyaient mettre à jour ou améliorer leur législation et leur système d’octroi de </w:t>
      </w:r>
      <w:r w:rsidR="00392991">
        <w:rPr>
          <w:lang w:val="fr-CA"/>
        </w:rPr>
        <w:t>permis</w:t>
      </w:r>
      <w:r w:rsidRPr="00C66DAE">
        <w:rPr>
          <w:lang w:val="fr-CA"/>
        </w:rPr>
        <w:t xml:space="preserve"> en les rendant plus complet</w:t>
      </w:r>
      <w:r>
        <w:rPr>
          <w:lang w:val="fr-CA"/>
        </w:rPr>
        <w:t>s</w:t>
      </w:r>
      <w:r w:rsidRPr="00C66DAE">
        <w:rPr>
          <w:lang w:val="fr-CA"/>
        </w:rPr>
        <w:t xml:space="preserve">. Tous ces changements nécessitent une approbation du gouvernement local, ce qui prend un certain temps. </w:t>
      </w:r>
    </w:p>
    <w:p w14:paraId="64229532" w14:textId="14FBE3D0" w:rsidR="006510FE" w:rsidRPr="000547CF" w:rsidRDefault="006510FE" w:rsidP="006510FE">
      <w:pPr>
        <w:pStyle w:val="Heading1"/>
        <w:rPr>
          <w:lang w:val="fr-CA"/>
        </w:rPr>
      </w:pPr>
      <w:r w:rsidRPr="00C66DAE">
        <w:rPr>
          <w:lang w:val="fr-CA"/>
        </w:rPr>
        <w:t xml:space="preserve">En ce qui a trait au </w:t>
      </w:r>
      <w:r w:rsidR="006A1515">
        <w:rPr>
          <w:lang w:val="fr-CA"/>
        </w:rPr>
        <w:t>programme</w:t>
      </w:r>
      <w:r w:rsidRPr="00C66DAE">
        <w:rPr>
          <w:lang w:val="fr-CA"/>
        </w:rPr>
        <w:t xml:space="preserve"> de quotas, tous les pays avaient présenté leur PGEH av</w:t>
      </w:r>
      <w:r>
        <w:rPr>
          <w:lang w:val="fr-CA"/>
        </w:rPr>
        <w:t>ant </w:t>
      </w:r>
      <w:r w:rsidRPr="00C66DAE">
        <w:rPr>
          <w:lang w:val="fr-CA"/>
        </w:rPr>
        <w:t>2013, date correspondant au premier contrôle (</w:t>
      </w:r>
      <w:r>
        <w:rPr>
          <w:lang w:val="fr-CA"/>
        </w:rPr>
        <w:t>gel</w:t>
      </w:r>
      <w:r w:rsidRPr="00C66DAE">
        <w:rPr>
          <w:lang w:val="fr-CA"/>
        </w:rPr>
        <w:t xml:space="preserve">) </w:t>
      </w:r>
      <w:r>
        <w:rPr>
          <w:lang w:val="fr-CA"/>
        </w:rPr>
        <w:t xml:space="preserve">de la consommation de HCFC. </w:t>
      </w:r>
      <w:r w:rsidRPr="00C66DAE">
        <w:rPr>
          <w:lang w:val="fr-CA"/>
        </w:rPr>
        <w:t xml:space="preserve">Plusieurs pays (Albanie, Bahreïn, Bolivie, Brésil, </w:t>
      </w:r>
      <w:r>
        <w:rPr>
          <w:lang w:val="fr-CA"/>
        </w:rPr>
        <w:t>Ghana</w:t>
      </w:r>
      <w:r w:rsidRPr="00C66DAE">
        <w:rPr>
          <w:lang w:val="fr-CA"/>
        </w:rPr>
        <w:t>, Mexique, Mongolie et Népal) avai</w:t>
      </w:r>
      <w:r>
        <w:rPr>
          <w:lang w:val="fr-CA"/>
        </w:rPr>
        <w:t>en</w:t>
      </w:r>
      <w:r w:rsidRPr="00C66DAE">
        <w:rPr>
          <w:lang w:val="fr-CA"/>
        </w:rPr>
        <w:t xml:space="preserve">t spécifiquement indiqué qu’ils disposaient d’un </w:t>
      </w:r>
      <w:r w:rsidR="00BD0E45">
        <w:rPr>
          <w:lang w:val="fr-CA"/>
        </w:rPr>
        <w:t>programme</w:t>
      </w:r>
      <w:r w:rsidRPr="00C66DAE">
        <w:rPr>
          <w:lang w:val="fr-CA"/>
        </w:rPr>
        <w:t xml:space="preserve"> de quotas </w:t>
      </w:r>
      <w:r>
        <w:rPr>
          <w:lang w:val="fr-CA"/>
        </w:rPr>
        <w:t xml:space="preserve">pour les HCFC et qu’ils se servaient de l’émission de </w:t>
      </w:r>
      <w:r w:rsidR="00392991">
        <w:rPr>
          <w:lang w:val="fr-CA"/>
        </w:rPr>
        <w:t>permis</w:t>
      </w:r>
      <w:r>
        <w:rPr>
          <w:lang w:val="fr-CA"/>
        </w:rPr>
        <w:t xml:space="preserve"> pour surveiller les importations de HCFC.</w:t>
      </w:r>
    </w:p>
    <w:p w14:paraId="1DC28153" w14:textId="4CC17DEB" w:rsidR="006510FE" w:rsidRPr="00B26B85" w:rsidRDefault="006510FE" w:rsidP="006510FE">
      <w:pPr>
        <w:pStyle w:val="Heading1"/>
        <w:rPr>
          <w:lang w:val="fr-CA"/>
        </w:rPr>
      </w:pPr>
      <w:r w:rsidRPr="005500ED">
        <w:rPr>
          <w:lang w:val="fr-CA"/>
        </w:rPr>
        <w:t>Dans au moins</w:t>
      </w:r>
      <w:r>
        <w:rPr>
          <w:lang w:val="fr-CA"/>
        </w:rPr>
        <w:t xml:space="preserve"> deux régions</w:t>
      </w:r>
      <w:r w:rsidRPr="005500ED">
        <w:rPr>
          <w:lang w:val="fr-CA"/>
        </w:rPr>
        <w:t xml:space="preserve">, la Communauté économique des </w:t>
      </w:r>
      <w:r>
        <w:rPr>
          <w:lang w:val="fr-CA"/>
        </w:rPr>
        <w:t>É</w:t>
      </w:r>
      <w:r w:rsidRPr="005500ED">
        <w:rPr>
          <w:lang w:val="fr-CA"/>
        </w:rPr>
        <w:t>tats de l’Afrique de l’Ouest (</w:t>
      </w:r>
      <w:r>
        <w:rPr>
          <w:lang w:val="fr-CA"/>
        </w:rPr>
        <w:t>CEDEAO</w:t>
      </w:r>
      <w:r w:rsidRPr="005500ED">
        <w:rPr>
          <w:lang w:val="fr-CA"/>
        </w:rPr>
        <w:t xml:space="preserve">), avec l’aide du Programme d’aide à la conformité du PNUE, et </w:t>
      </w:r>
      <w:r w:rsidR="00BD0E45">
        <w:rPr>
          <w:lang w:val="fr-CA"/>
        </w:rPr>
        <w:t>le</w:t>
      </w:r>
      <w:r w:rsidRPr="005500ED">
        <w:rPr>
          <w:lang w:val="fr-CA"/>
        </w:rPr>
        <w:t xml:space="preserve"> Conseil de coopération du golfe (CCG), les pays visés à l’article</w:t>
      </w:r>
      <w:r>
        <w:rPr>
          <w:lang w:val="fr-CA"/>
        </w:rPr>
        <w:t> </w:t>
      </w:r>
      <w:r w:rsidRPr="005500ED">
        <w:rPr>
          <w:lang w:val="fr-CA"/>
        </w:rPr>
        <w:t xml:space="preserve">5 concernés ont par ailleurs mis sur pied, au cours de la préparation de leur PGEH, des cadres réglementaires harmonisés pour les SAO </w:t>
      </w:r>
      <w:r>
        <w:rPr>
          <w:lang w:val="fr-CA"/>
        </w:rPr>
        <w:t xml:space="preserve">ayant servi de fondement à l’établissement des systèmes d’octroi de </w:t>
      </w:r>
      <w:r w:rsidR="00392991">
        <w:rPr>
          <w:lang w:val="fr-CA"/>
        </w:rPr>
        <w:t>permis</w:t>
      </w:r>
      <w:r>
        <w:rPr>
          <w:lang w:val="fr-CA"/>
        </w:rPr>
        <w:t xml:space="preserve"> et de quotas. </w:t>
      </w:r>
      <w:r w:rsidRPr="005500ED">
        <w:rPr>
          <w:lang w:val="fr-CA"/>
        </w:rPr>
        <w:t xml:space="preserve">On </w:t>
      </w:r>
      <w:r>
        <w:rPr>
          <w:lang w:val="fr-CA"/>
        </w:rPr>
        <w:t>n’</w:t>
      </w:r>
      <w:r w:rsidRPr="005500ED">
        <w:rPr>
          <w:lang w:val="fr-CA"/>
        </w:rPr>
        <w:t>a pu déduire dans quelle mesure le financement procuré au titre de la préparation des PGEH</w:t>
      </w:r>
      <w:r>
        <w:rPr>
          <w:lang w:val="fr-CA"/>
        </w:rPr>
        <w:t xml:space="preserve"> a</w:t>
      </w:r>
      <w:r w:rsidRPr="005500ED">
        <w:rPr>
          <w:lang w:val="fr-CA"/>
        </w:rPr>
        <w:t xml:space="preserve"> pu influer sur </w:t>
      </w:r>
      <w:r>
        <w:rPr>
          <w:lang w:val="fr-CA"/>
        </w:rPr>
        <w:t>c</w:t>
      </w:r>
      <w:r w:rsidRPr="005500ED">
        <w:rPr>
          <w:lang w:val="fr-CA"/>
        </w:rPr>
        <w:t xml:space="preserve">es processus régionaux, mais il est évident qu’il a </w:t>
      </w:r>
      <w:r>
        <w:rPr>
          <w:lang w:val="fr-CA"/>
        </w:rPr>
        <w:t>eu une incidence sur</w:t>
      </w:r>
      <w:r w:rsidRPr="005500ED">
        <w:rPr>
          <w:lang w:val="fr-CA"/>
        </w:rPr>
        <w:t xml:space="preserve"> l’élaboration des politiques nationales.</w:t>
      </w:r>
    </w:p>
    <w:p w14:paraId="49E7FEAE" w14:textId="77777777" w:rsidR="006510FE" w:rsidRDefault="006510FE" w:rsidP="006510FE">
      <w:pPr>
        <w:pStyle w:val="Heading1"/>
        <w:rPr>
          <w:lang w:val="fr-CA"/>
        </w:rPr>
      </w:pPr>
      <w:r w:rsidRPr="005500ED">
        <w:rPr>
          <w:lang w:val="fr-CA"/>
        </w:rPr>
        <w:t>Les activités menées en vue d’adapter et renforcer le cadre juridique et institutionnel et les capacités techniques comprennent des ateliers de sensibilisation à l’intention des intervenants du secteur public, des services des douanes et des autorités environnementales.</w:t>
      </w:r>
      <w:r w:rsidRPr="00B26B85">
        <w:rPr>
          <w:lang w:val="fr-CA"/>
        </w:rPr>
        <w:t xml:space="preserve"> </w:t>
      </w:r>
    </w:p>
    <w:p w14:paraId="360887D9" w14:textId="02DECCF7" w:rsidR="00BD0E45" w:rsidRPr="00BD0E45" w:rsidRDefault="00BD0E45" w:rsidP="00BD0E45">
      <w:pPr>
        <w:pStyle w:val="Heading1"/>
        <w:rPr>
          <w:lang w:val="fr-CA"/>
        </w:rPr>
      </w:pPr>
      <w:r>
        <w:rPr>
          <w:b/>
          <w:lang w:val="fr-CA"/>
        </w:rPr>
        <w:t xml:space="preserve">Plusieurs pays ont </w:t>
      </w:r>
      <w:r w:rsidRPr="00C46865">
        <w:rPr>
          <w:b/>
          <w:lang w:val="fr-CA"/>
        </w:rPr>
        <w:t xml:space="preserve">proposé des programmes d’encouragement, sous une forme ou une autre. Par exemple, la Bolivie, Grenade, les Maldives et le Népal ont proposé des </w:t>
      </w:r>
      <w:r w:rsidR="00573A44">
        <w:rPr>
          <w:b/>
          <w:lang w:val="fr-CA"/>
        </w:rPr>
        <w:t>mesures d’encouragement fiscal</w:t>
      </w:r>
      <w:r w:rsidRPr="00C46865">
        <w:rPr>
          <w:b/>
          <w:lang w:val="fr-CA"/>
        </w:rPr>
        <w:t xml:space="preserve"> </w:t>
      </w:r>
      <w:r w:rsidR="001B0111" w:rsidRPr="00C46865">
        <w:rPr>
          <w:b/>
          <w:lang w:val="fr-CA"/>
        </w:rPr>
        <w:t>pour l’importation et l’utilisation de frigorigènes et d’équipement sans HCFC</w:t>
      </w:r>
      <w:r w:rsidR="00C46865">
        <w:rPr>
          <w:b/>
          <w:lang w:val="fr-CA"/>
        </w:rPr>
        <w:t>,</w:t>
      </w:r>
      <w:r w:rsidR="001B0111" w:rsidRPr="00C46865">
        <w:rPr>
          <w:b/>
          <w:lang w:val="fr-CA"/>
        </w:rPr>
        <w:t xml:space="preserve"> tandis que le Mexique et la Jordanie ont proposé respectivement d’imposer des taxes pour décourager l’importation d’équipement à base de HCFC et sur l’utilisation de frigorigènes à base de HCFC. </w:t>
      </w:r>
      <w:r w:rsidR="00A0576A" w:rsidRPr="00C46865">
        <w:rPr>
          <w:b/>
          <w:lang w:val="fr-CA"/>
        </w:rPr>
        <w:t>Neu</w:t>
      </w:r>
      <w:r w:rsidR="001B0111" w:rsidRPr="00C46865">
        <w:rPr>
          <w:b/>
          <w:lang w:val="fr-CA"/>
        </w:rPr>
        <w:t>f des 29 pays évalués ont proposé des mesures d’encourag</w:t>
      </w:r>
      <w:r w:rsidR="00A0576A" w:rsidRPr="00C46865">
        <w:rPr>
          <w:b/>
          <w:lang w:val="fr-CA"/>
        </w:rPr>
        <w:t>e</w:t>
      </w:r>
      <w:r w:rsidR="001B0111" w:rsidRPr="00C46865">
        <w:rPr>
          <w:b/>
          <w:lang w:val="fr-CA"/>
        </w:rPr>
        <w:t>ment pour la reconversion (c.-à-d., l’adaptation</w:t>
      </w:r>
      <w:r w:rsidR="00863A19" w:rsidRPr="00D03B00">
        <w:rPr>
          <w:rStyle w:val="FootnoteReference"/>
          <w:b/>
        </w:rPr>
        <w:footnoteReference w:id="5"/>
      </w:r>
      <w:r w:rsidR="001B0111" w:rsidRPr="00C46865">
        <w:rPr>
          <w:b/>
          <w:lang w:val="fr-CA"/>
        </w:rPr>
        <w:t xml:space="preserve">) de l’équipement existant à base de HCFC-22 </w:t>
      </w:r>
      <w:r w:rsidR="00A0576A" w:rsidRPr="00C46865">
        <w:rPr>
          <w:b/>
          <w:lang w:val="fr-CA"/>
        </w:rPr>
        <w:t>à des frigo</w:t>
      </w:r>
      <w:r w:rsidR="001B0111" w:rsidRPr="00C46865">
        <w:rPr>
          <w:b/>
          <w:lang w:val="fr-CA"/>
        </w:rPr>
        <w:t>rigènes sans SAO et/ou à faible PRG, cinq pays pour la</w:t>
      </w:r>
      <w:r w:rsidR="00A0576A" w:rsidRPr="00C46865">
        <w:rPr>
          <w:b/>
          <w:lang w:val="fr-CA"/>
        </w:rPr>
        <w:t xml:space="preserve"> récupération, le recyclage et la réutilisation des frigorigènes et </w:t>
      </w:r>
      <w:r w:rsidR="00C46865">
        <w:rPr>
          <w:b/>
          <w:lang w:val="fr-CA"/>
        </w:rPr>
        <w:t xml:space="preserve">d’autres pays </w:t>
      </w:r>
      <w:r w:rsidR="00573A44">
        <w:rPr>
          <w:b/>
          <w:lang w:val="fr-CA"/>
        </w:rPr>
        <w:t>ont prévu</w:t>
      </w:r>
      <w:r w:rsidR="00C46865">
        <w:rPr>
          <w:b/>
          <w:lang w:val="fr-CA"/>
        </w:rPr>
        <w:t xml:space="preserve"> des </w:t>
      </w:r>
      <w:r w:rsidR="00A0576A" w:rsidRPr="00C46865">
        <w:rPr>
          <w:b/>
          <w:lang w:val="fr-CA"/>
        </w:rPr>
        <w:t>programmes d’encouragement pour les utilisateurs afin</w:t>
      </w:r>
      <w:r w:rsidR="001B0111" w:rsidRPr="00C46865">
        <w:rPr>
          <w:b/>
          <w:lang w:val="fr-CA"/>
        </w:rPr>
        <w:t xml:space="preserve"> </w:t>
      </w:r>
      <w:r w:rsidR="00A0576A" w:rsidRPr="00C46865">
        <w:rPr>
          <w:b/>
          <w:lang w:val="fr-CA"/>
        </w:rPr>
        <w:t xml:space="preserve">de faire la démonstration </w:t>
      </w:r>
      <w:r w:rsidR="00A0576A" w:rsidRPr="00C46865">
        <w:rPr>
          <w:b/>
          <w:lang w:val="fr-CA"/>
        </w:rPr>
        <w:lastRenderedPageBreak/>
        <w:t>d’équipement fondé sur des substances de remplacement à faible PRG. Cependant</w:t>
      </w:r>
      <w:r w:rsidR="00C46865">
        <w:rPr>
          <w:b/>
          <w:lang w:val="fr-CA"/>
        </w:rPr>
        <w:t>, l</w:t>
      </w:r>
      <w:r w:rsidR="00A0576A" w:rsidRPr="00C46865">
        <w:rPr>
          <w:b/>
          <w:lang w:val="fr-CA"/>
        </w:rPr>
        <w:t xml:space="preserve">es détails de ces programmes étaient généralement vagues pour l’étape de la préparation, et très peu de pays avaient prévu des sommes pour les mesures d’encouragement dans leur budget. Neuf pays évalués </w:t>
      </w:r>
      <w:r w:rsidR="00573A44">
        <w:rPr>
          <w:b/>
          <w:lang w:val="fr-CA"/>
        </w:rPr>
        <w:t xml:space="preserve">ne </w:t>
      </w:r>
      <w:r w:rsidR="00510540">
        <w:rPr>
          <w:b/>
          <w:lang w:val="fr-CA"/>
        </w:rPr>
        <w:t>font aucune mention des</w:t>
      </w:r>
      <w:r w:rsidR="00A0576A" w:rsidRPr="00C46865">
        <w:rPr>
          <w:b/>
          <w:lang w:val="fr-CA"/>
        </w:rPr>
        <w:t xml:space="preserve"> mesures d’encouragement</w:t>
      </w:r>
      <w:r w:rsidR="00A0576A">
        <w:rPr>
          <w:b/>
          <w:lang w:val="fr-CA"/>
        </w:rPr>
        <w:t xml:space="preserve"> dans leurs documents de projet.</w:t>
      </w:r>
    </w:p>
    <w:p w14:paraId="64223585" w14:textId="3DC6EA90" w:rsidR="006510FE" w:rsidRPr="005500ED" w:rsidRDefault="006510FE" w:rsidP="006510FE">
      <w:pPr>
        <w:pStyle w:val="Heading1"/>
        <w:numPr>
          <w:ilvl w:val="0"/>
          <w:numId w:val="0"/>
        </w:numPr>
        <w:rPr>
          <w:u w:val="single"/>
          <w:lang w:val="fr-CA"/>
        </w:rPr>
      </w:pPr>
      <w:r>
        <w:rPr>
          <w:u w:val="single"/>
          <w:lang w:val="fr-CA"/>
        </w:rPr>
        <w:t xml:space="preserve">Rôle de </w:t>
      </w:r>
      <w:r w:rsidR="00C46865">
        <w:rPr>
          <w:u w:val="single"/>
          <w:lang w:val="fr-CA"/>
        </w:rPr>
        <w:t>du Bureau</w:t>
      </w:r>
      <w:r w:rsidRPr="005500ED">
        <w:rPr>
          <w:u w:val="single"/>
          <w:lang w:val="fr-CA"/>
        </w:rPr>
        <w:t xml:space="preserve"> national d</w:t>
      </w:r>
      <w:r w:rsidR="00C46865">
        <w:rPr>
          <w:u w:val="single"/>
          <w:lang w:val="fr-CA"/>
        </w:rPr>
        <w:t>e l</w:t>
      </w:r>
      <w:r w:rsidRPr="005500ED">
        <w:rPr>
          <w:u w:val="single"/>
          <w:lang w:val="fr-CA"/>
        </w:rPr>
        <w:t xml:space="preserve">’ozone </w:t>
      </w:r>
    </w:p>
    <w:p w14:paraId="0F6C2721" w14:textId="42FFB020" w:rsidR="006510FE" w:rsidRPr="000547CF" w:rsidRDefault="006510FE" w:rsidP="006510FE">
      <w:pPr>
        <w:pStyle w:val="Heading1"/>
        <w:rPr>
          <w:lang w:val="fr-CA"/>
        </w:rPr>
      </w:pPr>
      <w:r w:rsidRPr="005500ED">
        <w:rPr>
          <w:lang w:val="fr-CA"/>
        </w:rPr>
        <w:t>Dans tous les pays visés à l’article</w:t>
      </w:r>
      <w:r>
        <w:rPr>
          <w:lang w:val="fr-CA"/>
        </w:rPr>
        <w:t> </w:t>
      </w:r>
      <w:r w:rsidRPr="005500ED">
        <w:rPr>
          <w:lang w:val="fr-CA"/>
        </w:rPr>
        <w:t xml:space="preserve">5 </w:t>
      </w:r>
      <w:r>
        <w:rPr>
          <w:lang w:val="fr-CA"/>
        </w:rPr>
        <w:t xml:space="preserve">dont un </w:t>
      </w:r>
      <w:r w:rsidRPr="005500ED">
        <w:rPr>
          <w:lang w:val="fr-CA"/>
        </w:rPr>
        <w:t>projet de renforcement des institutions</w:t>
      </w:r>
      <w:r>
        <w:rPr>
          <w:lang w:val="fr-CA"/>
        </w:rPr>
        <w:t xml:space="preserve"> a été approuvé</w:t>
      </w:r>
      <w:r w:rsidRPr="005500ED">
        <w:rPr>
          <w:lang w:val="fr-CA"/>
        </w:rPr>
        <w:t xml:space="preserve">, </w:t>
      </w:r>
      <w:r w:rsidR="00C46865">
        <w:rPr>
          <w:lang w:val="fr-CA"/>
        </w:rPr>
        <w:t>le Bureau national de l’ozone</w:t>
      </w:r>
      <w:r w:rsidRPr="005500ED">
        <w:rPr>
          <w:lang w:val="fr-CA"/>
        </w:rPr>
        <w:t xml:space="preserve"> </w:t>
      </w:r>
      <w:r>
        <w:rPr>
          <w:lang w:val="fr-CA"/>
        </w:rPr>
        <w:t>a</w:t>
      </w:r>
      <w:r w:rsidRPr="005500ED">
        <w:rPr>
          <w:lang w:val="fr-CA"/>
        </w:rPr>
        <w:t xml:space="preserve"> men</w:t>
      </w:r>
      <w:r>
        <w:rPr>
          <w:lang w:val="fr-CA"/>
        </w:rPr>
        <w:t>é</w:t>
      </w:r>
      <w:r w:rsidRPr="005500ED">
        <w:rPr>
          <w:lang w:val="fr-CA"/>
        </w:rPr>
        <w:t xml:space="preserve"> l’élaboration des PGEH et s’est assuré que les principaux intervenants, en particulier les organismes gouvernementaux comme les douanes, </w:t>
      </w:r>
      <w:r>
        <w:rPr>
          <w:lang w:val="fr-CA"/>
        </w:rPr>
        <w:t xml:space="preserve">participaient aux activités de préparation, comme l’élaboration et l’application du </w:t>
      </w:r>
      <w:r w:rsidR="00863A19">
        <w:rPr>
          <w:lang w:val="fr-CA"/>
        </w:rPr>
        <w:t>programme</w:t>
      </w:r>
      <w:r>
        <w:rPr>
          <w:lang w:val="fr-CA"/>
        </w:rPr>
        <w:t xml:space="preserve"> d’octroi de </w:t>
      </w:r>
      <w:r w:rsidR="00392991">
        <w:rPr>
          <w:lang w:val="fr-CA"/>
        </w:rPr>
        <w:t>permis</w:t>
      </w:r>
      <w:r>
        <w:rPr>
          <w:lang w:val="fr-CA"/>
        </w:rPr>
        <w:t xml:space="preserve"> et de quotas, s’il y a lieu. </w:t>
      </w:r>
      <w:r w:rsidRPr="005500ED">
        <w:rPr>
          <w:lang w:val="fr-CA"/>
        </w:rPr>
        <w:t>En raison de l’expérience acquise précédemment dans l’é</w:t>
      </w:r>
      <w:r>
        <w:rPr>
          <w:lang w:val="fr-CA"/>
        </w:rPr>
        <w:t>tablissement</w:t>
      </w:r>
      <w:r w:rsidRPr="005500ED">
        <w:rPr>
          <w:lang w:val="fr-CA"/>
        </w:rPr>
        <w:t xml:space="preserve"> de lois et</w:t>
      </w:r>
      <w:r>
        <w:rPr>
          <w:lang w:val="fr-CA"/>
        </w:rPr>
        <w:t xml:space="preserve"> de</w:t>
      </w:r>
      <w:r w:rsidR="00863A19">
        <w:rPr>
          <w:lang w:val="fr-CA"/>
        </w:rPr>
        <w:t xml:space="preserve"> règlements pour l’élimination l</w:t>
      </w:r>
      <w:r w:rsidRPr="005500ED">
        <w:rPr>
          <w:lang w:val="fr-CA"/>
        </w:rPr>
        <w:t>es CFC, i</w:t>
      </w:r>
      <w:r>
        <w:rPr>
          <w:lang w:val="fr-CA"/>
        </w:rPr>
        <w:t>l</w:t>
      </w:r>
      <w:r w:rsidRPr="005500ED">
        <w:rPr>
          <w:lang w:val="fr-CA"/>
        </w:rPr>
        <w:t xml:space="preserve"> n’a pas été nécessaire </w:t>
      </w:r>
      <w:r>
        <w:rPr>
          <w:lang w:val="fr-CA"/>
        </w:rPr>
        <w:t>d’o</w:t>
      </w:r>
      <w:r w:rsidRPr="005500ED">
        <w:rPr>
          <w:lang w:val="fr-CA"/>
        </w:rPr>
        <w:t>rganiser des formations. Dans certains pays, les experts chargés de la collecte des données ont eu des discussions avec les agences d’exécution concernée</w:t>
      </w:r>
      <w:r>
        <w:rPr>
          <w:lang w:val="fr-CA"/>
        </w:rPr>
        <w:t>s</w:t>
      </w:r>
      <w:r w:rsidRPr="005500ED">
        <w:rPr>
          <w:lang w:val="fr-CA"/>
        </w:rPr>
        <w:t xml:space="preserve"> par cette collecte. Dans la plupart des pays, les diverses associations, en particulier celles </w:t>
      </w:r>
      <w:r>
        <w:rPr>
          <w:lang w:val="fr-CA"/>
        </w:rPr>
        <w:t>associées</w:t>
      </w:r>
      <w:r w:rsidRPr="005500ED">
        <w:rPr>
          <w:lang w:val="fr-CA"/>
        </w:rPr>
        <w:t xml:space="preserve"> à la fabrication </w:t>
      </w:r>
      <w:r>
        <w:rPr>
          <w:lang w:val="fr-CA"/>
        </w:rPr>
        <w:t xml:space="preserve">et à l’entretien </w:t>
      </w:r>
      <w:r w:rsidRPr="005500ED">
        <w:rPr>
          <w:lang w:val="fr-CA"/>
        </w:rPr>
        <w:t>de</w:t>
      </w:r>
      <w:r>
        <w:rPr>
          <w:lang w:val="fr-CA"/>
        </w:rPr>
        <w:t xml:space="preserve"> l’équipement</w:t>
      </w:r>
      <w:r w:rsidRPr="005500ED">
        <w:rPr>
          <w:lang w:val="fr-CA"/>
        </w:rPr>
        <w:t xml:space="preserve"> de réfrigération et de climatisation et à la fabrication de mousse, ont directement contribué au recueil des données </w:t>
      </w:r>
      <w:r>
        <w:rPr>
          <w:lang w:val="fr-CA"/>
        </w:rPr>
        <w:t>sur</w:t>
      </w:r>
      <w:r w:rsidRPr="005500ED">
        <w:rPr>
          <w:lang w:val="fr-CA"/>
        </w:rPr>
        <w:t xml:space="preserve"> </w:t>
      </w:r>
      <w:r>
        <w:rPr>
          <w:lang w:val="fr-CA"/>
        </w:rPr>
        <w:t>la consommation</w:t>
      </w:r>
      <w:r w:rsidRPr="005500ED">
        <w:rPr>
          <w:lang w:val="fr-CA"/>
        </w:rPr>
        <w:t xml:space="preserve"> des </w:t>
      </w:r>
      <w:r>
        <w:rPr>
          <w:lang w:val="fr-CA"/>
        </w:rPr>
        <w:t>HCFC</w:t>
      </w:r>
      <w:r w:rsidRPr="005500ED">
        <w:rPr>
          <w:lang w:val="fr-CA"/>
        </w:rPr>
        <w:t xml:space="preserve">. </w:t>
      </w:r>
    </w:p>
    <w:p w14:paraId="4325E179" w14:textId="6225A5B0" w:rsidR="006510FE" w:rsidRPr="000547CF" w:rsidRDefault="00863A19" w:rsidP="006510FE">
      <w:pPr>
        <w:pStyle w:val="Heading1"/>
        <w:rPr>
          <w:lang w:val="fr-CA"/>
        </w:rPr>
      </w:pPr>
      <w:r>
        <w:rPr>
          <w:lang w:val="fr-CA"/>
        </w:rPr>
        <w:t>Le Bureau national de l’ozone</w:t>
      </w:r>
      <w:r w:rsidR="006510FE" w:rsidRPr="005500ED">
        <w:rPr>
          <w:lang w:val="fr-CA"/>
        </w:rPr>
        <w:t xml:space="preserve"> a également joué un rôle déterminant en ce qui a trait au</w:t>
      </w:r>
      <w:r w:rsidR="006510FE">
        <w:rPr>
          <w:lang w:val="fr-CA"/>
        </w:rPr>
        <w:t>x</w:t>
      </w:r>
      <w:r w:rsidR="006510FE" w:rsidRPr="005500ED">
        <w:rPr>
          <w:lang w:val="fr-CA"/>
        </w:rPr>
        <w:t xml:space="preserve"> </w:t>
      </w:r>
      <w:r w:rsidR="006510FE">
        <w:rPr>
          <w:lang w:val="fr-CA"/>
        </w:rPr>
        <w:t>r</w:t>
      </w:r>
      <w:r w:rsidR="006510FE" w:rsidRPr="005500ED">
        <w:rPr>
          <w:lang w:val="fr-CA"/>
        </w:rPr>
        <w:t>èglement</w:t>
      </w:r>
      <w:r w:rsidR="006510FE">
        <w:rPr>
          <w:lang w:val="fr-CA"/>
        </w:rPr>
        <w:t>s</w:t>
      </w:r>
      <w:r w:rsidR="006510FE" w:rsidRPr="005500ED">
        <w:rPr>
          <w:lang w:val="fr-CA"/>
        </w:rPr>
        <w:t xml:space="preserve">. Dans plusieurs pays, les permis d’importation ont été émis par </w:t>
      </w:r>
      <w:r w:rsidR="0017398D">
        <w:rPr>
          <w:lang w:val="fr-CA"/>
        </w:rPr>
        <w:t>le Bureau</w:t>
      </w:r>
      <w:r w:rsidR="006510FE">
        <w:rPr>
          <w:lang w:val="fr-CA"/>
        </w:rPr>
        <w:t xml:space="preserve"> ou par une autorité du service de l’environnement après approbation </w:t>
      </w:r>
      <w:r w:rsidR="0017398D">
        <w:rPr>
          <w:lang w:val="fr-CA"/>
        </w:rPr>
        <w:t>du Bureau national de l’ozone</w:t>
      </w:r>
      <w:r w:rsidR="006510FE">
        <w:rPr>
          <w:lang w:val="fr-CA"/>
        </w:rPr>
        <w:t xml:space="preserve">. </w:t>
      </w:r>
      <w:r w:rsidR="006510FE" w:rsidRPr="005500ED">
        <w:rPr>
          <w:lang w:val="fr-CA"/>
        </w:rPr>
        <w:t xml:space="preserve">La préparation des PGEH a bénéficié de l’infrastructure existante </w:t>
      </w:r>
      <w:r w:rsidR="006510FE">
        <w:rPr>
          <w:lang w:val="fr-CA"/>
        </w:rPr>
        <w:t xml:space="preserve">suite à la mise en œuvre des PGEF et des plans nationaux d’élimination, qui, dans certains cas, se poursuivaient encore au moment de la préparation des PGEH. </w:t>
      </w:r>
      <w:r w:rsidR="006510FE" w:rsidRPr="00F72015">
        <w:rPr>
          <w:lang w:val="fr-CA"/>
        </w:rPr>
        <w:t xml:space="preserve">Les ressources prévues pour ces plans ont été utilisées </w:t>
      </w:r>
      <w:r w:rsidR="006510FE">
        <w:rPr>
          <w:lang w:val="fr-CA"/>
        </w:rPr>
        <w:t xml:space="preserve">pour accroître la sensibilisation et mener des activités préliminaires en vue de démarrer </w:t>
      </w:r>
      <w:r w:rsidR="0017398D">
        <w:rPr>
          <w:lang w:val="fr-CA"/>
        </w:rPr>
        <w:t>la réglementation</w:t>
      </w:r>
      <w:r w:rsidR="006510FE">
        <w:rPr>
          <w:lang w:val="fr-CA"/>
        </w:rPr>
        <w:t xml:space="preserve"> des HCFC. Certaines des unités de gestion des projets au titre des plans nationaux, encore en service au moment de la préparation des PGEH, ont facilité le processus de prise de contact avec le secteur privé et contribué aux arrangements logistiques nécessaires. </w:t>
      </w:r>
    </w:p>
    <w:p w14:paraId="1F47B98C" w14:textId="1F265B4E" w:rsidR="006510FE" w:rsidRPr="000547CF" w:rsidRDefault="006510FE" w:rsidP="006510FE">
      <w:pPr>
        <w:pStyle w:val="Heading1"/>
        <w:rPr>
          <w:lang w:val="fr-CA"/>
        </w:rPr>
      </w:pPr>
      <w:r w:rsidRPr="00F72015">
        <w:rPr>
          <w:lang w:val="fr-CA"/>
        </w:rPr>
        <w:t xml:space="preserve">Dans les grands pays, où les systèmes d’octroi de </w:t>
      </w:r>
      <w:r w:rsidR="00392991">
        <w:rPr>
          <w:lang w:val="fr-CA"/>
        </w:rPr>
        <w:t>permis</w:t>
      </w:r>
      <w:r>
        <w:rPr>
          <w:lang w:val="fr-CA"/>
        </w:rPr>
        <w:t xml:space="preserve"> et de quotas</w:t>
      </w:r>
      <w:r w:rsidRPr="00F72015">
        <w:rPr>
          <w:lang w:val="fr-CA"/>
        </w:rPr>
        <w:t xml:space="preserve"> sont mis en œuvre par différents </w:t>
      </w:r>
      <w:r>
        <w:rPr>
          <w:lang w:val="fr-CA"/>
        </w:rPr>
        <w:t>services</w:t>
      </w:r>
      <w:r w:rsidRPr="00F72015">
        <w:rPr>
          <w:lang w:val="fr-CA"/>
        </w:rPr>
        <w:t xml:space="preserve"> gouvernementaux, la participation </w:t>
      </w:r>
      <w:r w:rsidR="0017398D">
        <w:rPr>
          <w:lang w:val="fr-CA"/>
        </w:rPr>
        <w:t>du Bureau national de l’ozone</w:t>
      </w:r>
      <w:r w:rsidRPr="00F72015">
        <w:rPr>
          <w:lang w:val="fr-CA"/>
        </w:rPr>
        <w:t xml:space="preserve"> a également été primordiale</w:t>
      </w:r>
      <w:r>
        <w:rPr>
          <w:lang w:val="fr-CA"/>
        </w:rPr>
        <w:t xml:space="preserve"> pour mobiliser</w:t>
      </w:r>
      <w:r w:rsidRPr="00F72015">
        <w:rPr>
          <w:lang w:val="fr-CA"/>
        </w:rPr>
        <w:t xml:space="preserve"> les organes respectifs en vue de la formulation et de l’approbation des politiques. Certains pays ont demandé un financement supplémentaire pour des mesures réglementaires au titre de la </w:t>
      </w:r>
      <w:r>
        <w:rPr>
          <w:lang w:val="fr-CA"/>
        </w:rPr>
        <w:t>phase I</w:t>
      </w:r>
      <w:r w:rsidRPr="00F72015">
        <w:rPr>
          <w:lang w:val="fr-CA"/>
        </w:rPr>
        <w:t xml:space="preserve"> du PGEH, de manière à poursuivre le processus </w:t>
      </w:r>
      <w:r>
        <w:rPr>
          <w:lang w:val="fr-CA"/>
        </w:rPr>
        <w:t xml:space="preserve">de mise à jour des règlements régissant le contrôle des HCFC. </w:t>
      </w:r>
    </w:p>
    <w:p w14:paraId="1DA5FA7E" w14:textId="77777777" w:rsidR="006510FE" w:rsidRPr="00F72015" w:rsidRDefault="006510FE" w:rsidP="006510FE">
      <w:pPr>
        <w:pStyle w:val="ListParagraph"/>
        <w:spacing w:before="120" w:after="240"/>
        <w:ind w:left="0"/>
        <w:contextualSpacing w:val="0"/>
        <w:jc w:val="both"/>
        <w:rPr>
          <w:u w:val="single"/>
          <w:lang w:val="fr-CA"/>
        </w:rPr>
      </w:pPr>
      <w:r w:rsidRPr="00F72015">
        <w:rPr>
          <w:u w:val="single"/>
          <w:lang w:val="fr-CA"/>
        </w:rPr>
        <w:t>Participation des intervenants</w:t>
      </w:r>
    </w:p>
    <w:p w14:paraId="038763F5" w14:textId="77777777" w:rsidR="006510FE" w:rsidRPr="000547CF" w:rsidRDefault="006510FE" w:rsidP="006510FE">
      <w:pPr>
        <w:pStyle w:val="Heading1"/>
        <w:rPr>
          <w:lang w:val="fr-CA"/>
        </w:rPr>
      </w:pPr>
      <w:r w:rsidRPr="00F72015">
        <w:rPr>
          <w:lang w:val="fr-CA"/>
        </w:rPr>
        <w:t xml:space="preserve">Les intervenants ont participé aux ateliers ayant jeté les </w:t>
      </w:r>
      <w:r>
        <w:rPr>
          <w:lang w:val="fr-CA"/>
        </w:rPr>
        <w:t>bases</w:t>
      </w:r>
      <w:r w:rsidRPr="00F72015">
        <w:rPr>
          <w:lang w:val="fr-CA"/>
        </w:rPr>
        <w:t xml:space="preserve"> du système de collecte de données pour la préparation </w:t>
      </w:r>
      <w:r>
        <w:rPr>
          <w:lang w:val="fr-CA"/>
        </w:rPr>
        <w:t>du PGEH</w:t>
      </w:r>
      <w:r w:rsidRPr="00F72015">
        <w:rPr>
          <w:lang w:val="fr-CA"/>
        </w:rPr>
        <w:t>.</w:t>
      </w:r>
      <w:r w:rsidRPr="00E4340B">
        <w:rPr>
          <w:rStyle w:val="FootnoteReference"/>
          <w:rFonts w:eastAsiaTheme="minorHAnsi"/>
        </w:rPr>
        <w:footnoteReference w:id="6"/>
      </w:r>
      <w:r w:rsidRPr="00F72015">
        <w:rPr>
          <w:lang w:val="fr-CA"/>
        </w:rPr>
        <w:t xml:space="preserve"> </w:t>
      </w:r>
      <w:r>
        <w:rPr>
          <w:lang w:val="fr-CA"/>
        </w:rPr>
        <w:t>P</w:t>
      </w:r>
      <w:r w:rsidRPr="00E763EE">
        <w:rPr>
          <w:lang w:val="fr-CA"/>
        </w:rPr>
        <w:t xml:space="preserve">armi les intervenants, soulignons le gouvernement, les acteurs sectoriels et commerciaux, les agences d’exécution </w:t>
      </w:r>
      <w:r>
        <w:rPr>
          <w:lang w:val="fr-CA"/>
        </w:rPr>
        <w:t xml:space="preserve">et les associations professionnelles. Tous les pays ont examiné le projet de PGEH lors d’un atelier final, avant de le présenter au Comité exécutif. </w:t>
      </w:r>
      <w:r w:rsidRPr="00AF2F56">
        <w:rPr>
          <w:lang w:val="fr-CA"/>
        </w:rPr>
        <w:t>Dans plusieurs cas</w:t>
      </w:r>
      <w:r w:rsidRPr="00E4340B">
        <w:rPr>
          <w:rStyle w:val="FootnoteReference"/>
          <w:rFonts w:eastAsiaTheme="minorHAnsi"/>
        </w:rPr>
        <w:footnoteReference w:id="7"/>
      </w:r>
      <w:r w:rsidRPr="00E763EE">
        <w:rPr>
          <w:lang w:val="fr-CA"/>
        </w:rPr>
        <w:t>, le rapport périodique mentionne la tenue d’une réunion d’intervenants, mais il n’est pas certain que le projet de PGEH a été examiné lors de cette rencontre. Ce</w:t>
      </w:r>
      <w:r>
        <w:rPr>
          <w:lang w:val="fr-CA"/>
        </w:rPr>
        <w:t>s</w:t>
      </w:r>
      <w:r w:rsidRPr="00E763EE">
        <w:rPr>
          <w:lang w:val="fr-CA"/>
        </w:rPr>
        <w:t xml:space="preserve"> rapport</w:t>
      </w:r>
      <w:r>
        <w:rPr>
          <w:lang w:val="fr-CA"/>
        </w:rPr>
        <w:t>s</w:t>
      </w:r>
      <w:r w:rsidRPr="00E763EE">
        <w:rPr>
          <w:lang w:val="fr-CA"/>
        </w:rPr>
        <w:t xml:space="preserve"> indique</w:t>
      </w:r>
      <w:r>
        <w:rPr>
          <w:lang w:val="fr-CA"/>
        </w:rPr>
        <w:t>nt</w:t>
      </w:r>
      <w:r w:rsidRPr="00E763EE">
        <w:rPr>
          <w:lang w:val="fr-CA"/>
        </w:rPr>
        <w:t xml:space="preserve"> qu’un atelier d’intervenants </w:t>
      </w:r>
      <w:r>
        <w:rPr>
          <w:lang w:val="fr-CA"/>
        </w:rPr>
        <w:t>était</w:t>
      </w:r>
      <w:r w:rsidRPr="00E763EE">
        <w:rPr>
          <w:lang w:val="fr-CA"/>
        </w:rPr>
        <w:t xml:space="preserve"> </w:t>
      </w:r>
      <w:r>
        <w:rPr>
          <w:lang w:val="fr-CA"/>
        </w:rPr>
        <w:lastRenderedPageBreak/>
        <w:t>prévu</w:t>
      </w:r>
      <w:r w:rsidRPr="00E763EE">
        <w:rPr>
          <w:lang w:val="fr-CA"/>
        </w:rPr>
        <w:t xml:space="preserve"> </w:t>
      </w:r>
      <w:r>
        <w:rPr>
          <w:lang w:val="fr-CA"/>
        </w:rPr>
        <w:t>pour finaliser</w:t>
      </w:r>
      <w:r w:rsidRPr="00E763EE">
        <w:rPr>
          <w:lang w:val="fr-CA"/>
        </w:rPr>
        <w:t xml:space="preserve"> le PGEH. Certains pays (p.</w:t>
      </w:r>
      <w:r>
        <w:rPr>
          <w:lang w:val="fr-CA"/>
        </w:rPr>
        <w:t> </w:t>
      </w:r>
      <w:r w:rsidRPr="00E763EE">
        <w:rPr>
          <w:lang w:val="fr-CA"/>
        </w:rPr>
        <w:t>ex.,</w:t>
      </w:r>
      <w:r>
        <w:rPr>
          <w:lang w:val="fr-CA"/>
        </w:rPr>
        <w:t> </w:t>
      </w:r>
      <w:r w:rsidRPr="00E763EE">
        <w:rPr>
          <w:lang w:val="fr-CA"/>
        </w:rPr>
        <w:t>Arménie) ont mis en place d</w:t>
      </w:r>
      <w:r>
        <w:rPr>
          <w:lang w:val="fr-CA"/>
        </w:rPr>
        <w:t>es</w:t>
      </w:r>
      <w:r w:rsidRPr="00E763EE">
        <w:rPr>
          <w:lang w:val="fr-CA"/>
        </w:rPr>
        <w:t xml:space="preserve"> cadre</w:t>
      </w:r>
      <w:r>
        <w:rPr>
          <w:lang w:val="fr-CA"/>
        </w:rPr>
        <w:t>s</w:t>
      </w:r>
      <w:r w:rsidRPr="00E763EE">
        <w:rPr>
          <w:lang w:val="fr-CA"/>
        </w:rPr>
        <w:t xml:space="preserve"> institutionnel</w:t>
      </w:r>
      <w:r>
        <w:rPr>
          <w:lang w:val="fr-CA"/>
        </w:rPr>
        <w:t>s</w:t>
      </w:r>
      <w:r w:rsidRPr="00E763EE">
        <w:rPr>
          <w:lang w:val="fr-CA"/>
        </w:rPr>
        <w:t xml:space="preserve"> précisant le rôle et les responsabilités de chaque acteur.</w:t>
      </w:r>
    </w:p>
    <w:p w14:paraId="7C12599C" w14:textId="77777777" w:rsidR="006510FE" w:rsidRPr="000547CF" w:rsidRDefault="006510FE" w:rsidP="006510FE">
      <w:pPr>
        <w:pStyle w:val="Heading1"/>
        <w:rPr>
          <w:lang w:val="fr-CA"/>
        </w:rPr>
      </w:pPr>
      <w:r w:rsidRPr="00E763EE">
        <w:rPr>
          <w:lang w:val="fr-CA"/>
        </w:rPr>
        <w:t>La plupart des pays ont consulté les associations des secteurs de la réfrigération et de la climatisation o</w:t>
      </w:r>
      <w:r>
        <w:rPr>
          <w:lang w:val="fr-CA"/>
        </w:rPr>
        <w:t>u</w:t>
      </w:r>
      <w:r w:rsidRPr="00E763EE">
        <w:rPr>
          <w:lang w:val="fr-CA"/>
        </w:rPr>
        <w:t xml:space="preserve"> </w:t>
      </w:r>
      <w:r>
        <w:rPr>
          <w:lang w:val="fr-CA"/>
        </w:rPr>
        <w:t>les</w:t>
      </w:r>
      <w:r w:rsidRPr="00E763EE">
        <w:rPr>
          <w:lang w:val="fr-CA"/>
        </w:rPr>
        <w:t xml:space="preserve"> ont fait participer à la préparation des PGEH. Celles</w:t>
      </w:r>
      <w:r>
        <w:rPr>
          <w:lang w:val="fr-CA"/>
        </w:rPr>
        <w:noBreakHyphen/>
      </w:r>
      <w:r w:rsidRPr="00E763EE">
        <w:rPr>
          <w:lang w:val="fr-CA"/>
        </w:rPr>
        <w:t xml:space="preserve">ci ont particulièrement aidé au recensement des utilisateurs de HCFC, </w:t>
      </w:r>
      <w:r>
        <w:rPr>
          <w:lang w:val="fr-CA"/>
        </w:rPr>
        <w:t xml:space="preserve">en particulier les PME qui sont éparpillées et difficiles à trouver. </w:t>
      </w:r>
      <w:r w:rsidRPr="00E763EE">
        <w:rPr>
          <w:lang w:val="fr-CA"/>
        </w:rPr>
        <w:t xml:space="preserve">On peut signaler l’exemple, dans le secteur des mousses, des sociétés de formulation </w:t>
      </w:r>
      <w:r>
        <w:rPr>
          <w:lang w:val="fr-CA"/>
        </w:rPr>
        <w:t xml:space="preserve">qui ont participé (en tant que fournisseur d’agents de gonflage et de produits chimiques associés pour les PME) à la conception, à la sélection des technologies et à l’assistance offerte à un grand nombre de bénéficiaires. </w:t>
      </w:r>
    </w:p>
    <w:p w14:paraId="6704AAEF" w14:textId="77777777" w:rsidR="006510FE" w:rsidRPr="000547CF" w:rsidRDefault="006510FE" w:rsidP="006510FE">
      <w:pPr>
        <w:pStyle w:val="Heading1"/>
        <w:rPr>
          <w:lang w:val="fr-CA"/>
        </w:rPr>
      </w:pPr>
      <w:r w:rsidRPr="00953A61">
        <w:rPr>
          <w:lang w:val="fr-CA"/>
        </w:rPr>
        <w:t xml:space="preserve"> </w:t>
      </w:r>
      <w:r>
        <w:rPr>
          <w:lang w:val="fr-CA"/>
        </w:rPr>
        <w:t>Les</w:t>
      </w:r>
      <w:r w:rsidRPr="00953A61">
        <w:rPr>
          <w:lang w:val="fr-CA"/>
        </w:rPr>
        <w:t xml:space="preserve"> questions relatives à la division du travail et à la coordination entre l’</w:t>
      </w:r>
      <w:r>
        <w:rPr>
          <w:lang w:val="fr-CA"/>
        </w:rPr>
        <w:t>a</w:t>
      </w:r>
      <w:r w:rsidRPr="00953A61">
        <w:rPr>
          <w:lang w:val="fr-CA"/>
        </w:rPr>
        <w:t>gence principale et l’</w:t>
      </w:r>
      <w:r>
        <w:rPr>
          <w:lang w:val="fr-CA"/>
        </w:rPr>
        <w:t>a</w:t>
      </w:r>
      <w:r w:rsidRPr="00953A61">
        <w:rPr>
          <w:lang w:val="fr-CA"/>
        </w:rPr>
        <w:t xml:space="preserve">gence de coopération ne sont pas couramment communiquées au cours de la mise en œuvre des projets. </w:t>
      </w:r>
      <w:r>
        <w:rPr>
          <w:lang w:val="fr-CA"/>
        </w:rPr>
        <w:t>Il y a eu toutefois des cas où les agences de coopération ont soumis leurs éléments de PGEH sans consulter l’agence principale, ou vice versa. Ces</w:t>
      </w:r>
      <w:r w:rsidRPr="00953A61">
        <w:rPr>
          <w:lang w:val="fr-CA"/>
        </w:rPr>
        <w:t xml:space="preserve"> situations </w:t>
      </w:r>
      <w:r>
        <w:rPr>
          <w:lang w:val="fr-CA"/>
        </w:rPr>
        <w:t>étaient</w:t>
      </w:r>
      <w:r w:rsidRPr="00953A61">
        <w:rPr>
          <w:lang w:val="fr-CA"/>
        </w:rPr>
        <w:t xml:space="preserve"> plus </w:t>
      </w:r>
      <w:r>
        <w:rPr>
          <w:lang w:val="fr-CA"/>
        </w:rPr>
        <w:t>fréquentes</w:t>
      </w:r>
      <w:r w:rsidRPr="00953A61">
        <w:rPr>
          <w:lang w:val="fr-CA"/>
        </w:rPr>
        <w:t xml:space="preserve"> au cours des phases initiales du PGEH, et il semble que la coordination entre les agences </w:t>
      </w:r>
      <w:r>
        <w:rPr>
          <w:lang w:val="fr-CA"/>
        </w:rPr>
        <w:t>s’</w:t>
      </w:r>
      <w:r w:rsidRPr="00953A61">
        <w:rPr>
          <w:lang w:val="fr-CA"/>
        </w:rPr>
        <w:t xml:space="preserve">est continuellement </w:t>
      </w:r>
      <w:r>
        <w:rPr>
          <w:lang w:val="fr-CA"/>
        </w:rPr>
        <w:t>améliorée</w:t>
      </w:r>
      <w:r w:rsidRPr="00953A61">
        <w:rPr>
          <w:lang w:val="fr-CA"/>
        </w:rPr>
        <w:t xml:space="preserve">. </w:t>
      </w:r>
    </w:p>
    <w:p w14:paraId="391E7701" w14:textId="77777777" w:rsidR="006510FE" w:rsidRPr="00953A61" w:rsidRDefault="006510FE" w:rsidP="006510FE">
      <w:pPr>
        <w:keepNext/>
        <w:keepLines/>
        <w:rPr>
          <w:u w:val="single"/>
          <w:lang w:val="fr-CA"/>
        </w:rPr>
      </w:pPr>
      <w:r w:rsidRPr="00953A61">
        <w:rPr>
          <w:u w:val="single"/>
          <w:lang w:val="fr-CA"/>
        </w:rPr>
        <w:t>Autres questions et politiques pertinentes</w:t>
      </w:r>
    </w:p>
    <w:p w14:paraId="60C83595" w14:textId="77777777" w:rsidR="006510FE" w:rsidRPr="00953A61" w:rsidRDefault="006510FE" w:rsidP="006510FE">
      <w:pPr>
        <w:keepNext/>
        <w:keepLines/>
        <w:rPr>
          <w:u w:val="single"/>
          <w:lang w:val="fr-CA"/>
        </w:rPr>
      </w:pPr>
    </w:p>
    <w:p w14:paraId="7BBC7542" w14:textId="77777777" w:rsidR="006510FE" w:rsidRPr="000547CF" w:rsidRDefault="006510FE" w:rsidP="006510FE">
      <w:pPr>
        <w:pStyle w:val="Heading1"/>
        <w:rPr>
          <w:lang w:val="fr-CA"/>
        </w:rPr>
      </w:pPr>
      <w:r w:rsidRPr="00953A61">
        <w:rPr>
          <w:lang w:val="fr-CA"/>
        </w:rPr>
        <w:t xml:space="preserve">Aucun problème de financement inadéquat n’est apparemment survenu en lien avec l’élaboration des mesures de réglementation des HCFC </w:t>
      </w:r>
      <w:r>
        <w:rPr>
          <w:lang w:val="fr-CA"/>
        </w:rPr>
        <w:t xml:space="preserve">contenues dans la loi, les règlements et les systèmes de licence, et aucun des documents étudiés n’a mentionné de préoccupations relatives à la coordination des activités entre les agences principales et les agences de coopération, quand il y avait plusieurs agences participantes. </w:t>
      </w:r>
    </w:p>
    <w:p w14:paraId="07EB66E8" w14:textId="7CBCB3DE" w:rsidR="006510FE" w:rsidRPr="000547CF" w:rsidRDefault="006510FE" w:rsidP="006510FE">
      <w:pPr>
        <w:pStyle w:val="Heading1"/>
        <w:rPr>
          <w:lang w:val="fr-CA"/>
        </w:rPr>
      </w:pPr>
      <w:r w:rsidRPr="008B685F">
        <w:rPr>
          <w:lang w:val="fr-CA"/>
        </w:rPr>
        <w:t xml:space="preserve">Au cours du processus de préparation, outre l’élaboration des </w:t>
      </w:r>
      <w:r w:rsidR="00504EFA">
        <w:rPr>
          <w:lang w:val="fr-CA"/>
        </w:rPr>
        <w:t>programmes</w:t>
      </w:r>
      <w:r w:rsidRPr="008B685F">
        <w:rPr>
          <w:lang w:val="fr-CA"/>
        </w:rPr>
        <w:t xml:space="preserve"> d’octroi de </w:t>
      </w:r>
      <w:r w:rsidR="00392991">
        <w:rPr>
          <w:lang w:val="fr-CA"/>
        </w:rPr>
        <w:t>permis</w:t>
      </w:r>
      <w:r>
        <w:rPr>
          <w:lang w:val="fr-CA"/>
        </w:rPr>
        <w:t xml:space="preserve"> et de quotas</w:t>
      </w:r>
      <w:r w:rsidRPr="008B685F">
        <w:rPr>
          <w:lang w:val="fr-CA"/>
        </w:rPr>
        <w:t>, les pays visés à l’article</w:t>
      </w:r>
      <w:r>
        <w:rPr>
          <w:lang w:val="fr-CA"/>
        </w:rPr>
        <w:t> </w:t>
      </w:r>
      <w:r w:rsidRPr="008B685F">
        <w:rPr>
          <w:lang w:val="fr-CA"/>
        </w:rPr>
        <w:t>5 ont défini d’autres politiques à examiner au cours de la mise en œuvre de leur</w:t>
      </w:r>
      <w:r>
        <w:rPr>
          <w:lang w:val="fr-CA"/>
        </w:rPr>
        <w:t>s</w:t>
      </w:r>
      <w:r w:rsidRPr="008B685F">
        <w:rPr>
          <w:lang w:val="fr-CA"/>
        </w:rPr>
        <w:t xml:space="preserve"> </w:t>
      </w:r>
      <w:r>
        <w:rPr>
          <w:lang w:val="fr-CA"/>
        </w:rPr>
        <w:t>PGEH </w:t>
      </w:r>
      <w:r w:rsidRPr="008B685F">
        <w:rPr>
          <w:lang w:val="fr-CA"/>
        </w:rPr>
        <w:t xml:space="preserve">: </w:t>
      </w:r>
      <w:r>
        <w:rPr>
          <w:lang w:val="fr-CA"/>
        </w:rPr>
        <w:t>m</w:t>
      </w:r>
      <w:r w:rsidRPr="008B685F">
        <w:rPr>
          <w:lang w:val="fr-CA"/>
        </w:rPr>
        <w:t xml:space="preserve">odification des règlements existants en matière de réglementation de l’utilisation, des importations, de la fabrication, de l’assemblage et de l’installation des produits renfermant des HCFC; établissement de </w:t>
      </w:r>
      <w:r w:rsidR="00392991">
        <w:rPr>
          <w:lang w:val="fr-CA"/>
        </w:rPr>
        <w:t>permis</w:t>
      </w:r>
      <w:r w:rsidRPr="008B685F">
        <w:rPr>
          <w:lang w:val="fr-CA"/>
        </w:rPr>
        <w:t xml:space="preserve"> pour la réexportation des </w:t>
      </w:r>
      <w:r>
        <w:rPr>
          <w:lang w:val="fr-CA"/>
        </w:rPr>
        <w:t>HCFC</w:t>
      </w:r>
      <w:r w:rsidRPr="008B685F">
        <w:rPr>
          <w:lang w:val="fr-CA"/>
        </w:rPr>
        <w:t>; interdiction frappant la création et le renforcement des capacités de fabrication à base de HCFC; établissement d’un système d’incitation pour la promotion de l’utilisation de solutions de remplacement des HCFC</w:t>
      </w:r>
      <w:r>
        <w:rPr>
          <w:lang w:val="fr-CA"/>
        </w:rPr>
        <w:t> </w:t>
      </w:r>
      <w:r w:rsidRPr="008B685F">
        <w:rPr>
          <w:lang w:val="fr-CA"/>
        </w:rPr>
        <w:t xml:space="preserve">: certification des techniciens relativement à la manipulation des </w:t>
      </w:r>
      <w:r>
        <w:rPr>
          <w:lang w:val="fr-CA"/>
        </w:rPr>
        <w:t>HCFC</w:t>
      </w:r>
      <w:r w:rsidRPr="008B685F">
        <w:rPr>
          <w:lang w:val="fr-CA"/>
        </w:rPr>
        <w:t>; interdiction touchant la fabrication, l’assemblage et l’importation de</w:t>
      </w:r>
      <w:r>
        <w:rPr>
          <w:lang w:val="fr-CA"/>
        </w:rPr>
        <w:t>s</w:t>
      </w:r>
      <w:r w:rsidRPr="008B685F">
        <w:rPr>
          <w:lang w:val="fr-CA"/>
        </w:rPr>
        <w:t xml:space="preserve"> climatiseurs à base de </w:t>
      </w:r>
      <w:r>
        <w:rPr>
          <w:lang w:val="fr-CA"/>
        </w:rPr>
        <w:t>HCFC</w:t>
      </w:r>
      <w:r w:rsidRPr="008B685F">
        <w:rPr>
          <w:lang w:val="fr-CA"/>
        </w:rPr>
        <w:t xml:space="preserve"> lorsque les fabricants locaux ont été reconvertis; interdiction des importations de </w:t>
      </w:r>
      <w:r>
        <w:rPr>
          <w:lang w:val="fr-CA"/>
        </w:rPr>
        <w:t>polyols</w:t>
      </w:r>
      <w:r w:rsidRPr="008B685F">
        <w:rPr>
          <w:lang w:val="fr-CA"/>
        </w:rPr>
        <w:t xml:space="preserve"> </w:t>
      </w:r>
      <w:proofErr w:type="spellStart"/>
      <w:r>
        <w:rPr>
          <w:lang w:val="fr-CA"/>
        </w:rPr>
        <w:t>prémélangés</w:t>
      </w:r>
      <w:proofErr w:type="spellEnd"/>
      <w:r w:rsidRPr="008B685F">
        <w:rPr>
          <w:lang w:val="fr-CA"/>
        </w:rPr>
        <w:t xml:space="preserve"> avec des </w:t>
      </w:r>
      <w:r>
        <w:rPr>
          <w:lang w:val="fr-CA"/>
        </w:rPr>
        <w:t>HCFC</w:t>
      </w:r>
      <w:r w:rsidRPr="008B685F">
        <w:rPr>
          <w:lang w:val="fr-CA"/>
        </w:rPr>
        <w:t xml:space="preserve">, lorsque les fabricants </w:t>
      </w:r>
      <w:r>
        <w:rPr>
          <w:lang w:val="fr-CA"/>
        </w:rPr>
        <w:t xml:space="preserve">locaux </w:t>
      </w:r>
      <w:r w:rsidRPr="008B685F">
        <w:rPr>
          <w:lang w:val="fr-CA"/>
        </w:rPr>
        <w:t xml:space="preserve">de mousse de polyuréthane (PU) ont été </w:t>
      </w:r>
      <w:r>
        <w:rPr>
          <w:lang w:val="fr-CA"/>
        </w:rPr>
        <w:t>reconvertis</w:t>
      </w:r>
      <w:r w:rsidRPr="008B685F">
        <w:rPr>
          <w:lang w:val="fr-CA"/>
        </w:rPr>
        <w:t xml:space="preserve"> à des formules ne renfermant pas de </w:t>
      </w:r>
      <w:r>
        <w:rPr>
          <w:lang w:val="fr-CA"/>
        </w:rPr>
        <w:t>HCFC</w:t>
      </w:r>
      <w:r w:rsidRPr="008B685F">
        <w:rPr>
          <w:lang w:val="fr-CA"/>
        </w:rPr>
        <w:t>; normes et programmes d’étiquetage</w:t>
      </w:r>
      <w:r>
        <w:rPr>
          <w:lang w:val="fr-CA"/>
        </w:rPr>
        <w:t> </w:t>
      </w:r>
      <w:r w:rsidRPr="008B685F">
        <w:rPr>
          <w:lang w:val="fr-CA"/>
        </w:rPr>
        <w:t xml:space="preserve">: instauration des conditions favorables à l’utilisation en toute sécurité des hydrocarbures et autres frigorigènes; questions entourant les contenants de </w:t>
      </w:r>
      <w:r>
        <w:rPr>
          <w:lang w:val="fr-CA"/>
        </w:rPr>
        <w:t>HCFC</w:t>
      </w:r>
      <w:r w:rsidRPr="008B685F">
        <w:rPr>
          <w:lang w:val="fr-CA"/>
        </w:rPr>
        <w:t xml:space="preserve"> non rechargeable</w:t>
      </w:r>
      <w:r>
        <w:rPr>
          <w:lang w:val="fr-CA"/>
        </w:rPr>
        <w:t>s</w:t>
      </w:r>
      <w:r w:rsidRPr="008B685F">
        <w:rPr>
          <w:lang w:val="fr-CA"/>
        </w:rPr>
        <w:t xml:space="preserve">; détection obligatoire des fuites et confinement de toutes les substances réglementées utilisées dans les systèmes de réfrigération et de climatisation; formation et tenue d’un registre permettant de consigner toutes les fuites, toutes les réparations </w:t>
      </w:r>
      <w:r>
        <w:rPr>
          <w:lang w:val="fr-CA"/>
        </w:rPr>
        <w:t xml:space="preserve">et </w:t>
      </w:r>
      <w:r w:rsidRPr="008B685F">
        <w:rPr>
          <w:lang w:val="fr-CA"/>
        </w:rPr>
        <w:t>tous les rechargements; récupération et recyclage des frigorigènes obligatoires; et rapports obligatoires sur les frigorigènes récupérés/recyclés et réutilisés et stocks de frigorigène</w:t>
      </w:r>
      <w:r>
        <w:rPr>
          <w:lang w:val="fr-CA"/>
        </w:rPr>
        <w:t>s</w:t>
      </w:r>
      <w:r w:rsidRPr="008B685F">
        <w:rPr>
          <w:lang w:val="fr-CA"/>
        </w:rPr>
        <w:t xml:space="preserve"> inutilisable</w:t>
      </w:r>
      <w:r>
        <w:rPr>
          <w:lang w:val="fr-CA"/>
        </w:rPr>
        <w:t>s</w:t>
      </w:r>
      <w:r w:rsidRPr="008B685F">
        <w:rPr>
          <w:lang w:val="fr-CA"/>
        </w:rPr>
        <w:t>.</w:t>
      </w:r>
    </w:p>
    <w:p w14:paraId="6CD7848E" w14:textId="3BD96F08" w:rsidR="006510FE" w:rsidRDefault="006510FE" w:rsidP="006510FE">
      <w:pPr>
        <w:pStyle w:val="Heading1"/>
        <w:rPr>
          <w:lang w:val="fr-CA"/>
        </w:rPr>
      </w:pPr>
      <w:r w:rsidRPr="008B685F">
        <w:rPr>
          <w:lang w:val="fr-CA"/>
        </w:rPr>
        <w:t>Le Comité exécutif à sa 70</w:t>
      </w:r>
      <w:r w:rsidRPr="00F908ED">
        <w:rPr>
          <w:vertAlign w:val="superscript"/>
          <w:lang w:val="fr-CA"/>
        </w:rPr>
        <w:t>e</w:t>
      </w:r>
      <w:r>
        <w:rPr>
          <w:lang w:val="fr-CA"/>
        </w:rPr>
        <w:t> </w:t>
      </w:r>
      <w:r w:rsidRPr="008B685F">
        <w:rPr>
          <w:lang w:val="fr-CA"/>
        </w:rPr>
        <w:t xml:space="preserve">réunion a approuvé les lignes directrices pour la préparation de la </w:t>
      </w:r>
      <w:r>
        <w:rPr>
          <w:lang w:val="fr-CA"/>
        </w:rPr>
        <w:t>phase I</w:t>
      </w:r>
      <w:r w:rsidRPr="008B685F">
        <w:rPr>
          <w:lang w:val="fr-CA"/>
        </w:rPr>
        <w:t>I des PGEH. Étant donné les progrès accomplis par les pays visés à l’article</w:t>
      </w:r>
      <w:r>
        <w:rPr>
          <w:lang w:val="fr-CA"/>
        </w:rPr>
        <w:t> </w:t>
      </w:r>
      <w:r w:rsidRPr="008B685F">
        <w:rPr>
          <w:lang w:val="fr-CA"/>
        </w:rPr>
        <w:t>5 sur le plan de l’établissement de leur</w:t>
      </w:r>
      <w:r>
        <w:rPr>
          <w:lang w:val="fr-CA"/>
        </w:rPr>
        <w:t>s</w:t>
      </w:r>
      <w:r w:rsidRPr="008B685F">
        <w:rPr>
          <w:lang w:val="fr-CA"/>
        </w:rPr>
        <w:t xml:space="preserve"> </w:t>
      </w:r>
      <w:r w:rsidR="00D93700">
        <w:rPr>
          <w:lang w:val="fr-CA"/>
        </w:rPr>
        <w:t>programmes</w:t>
      </w:r>
      <w:r w:rsidRPr="008B685F">
        <w:rPr>
          <w:lang w:val="fr-CA"/>
        </w:rPr>
        <w:t xml:space="preserve"> de </w:t>
      </w:r>
      <w:r w:rsidR="00392991">
        <w:rPr>
          <w:lang w:val="fr-CA"/>
        </w:rPr>
        <w:t>permis</w:t>
      </w:r>
      <w:r w:rsidRPr="008B685F">
        <w:rPr>
          <w:lang w:val="fr-CA"/>
        </w:rPr>
        <w:t xml:space="preserve"> et de quotas </w:t>
      </w:r>
      <w:r>
        <w:rPr>
          <w:lang w:val="fr-CA"/>
        </w:rPr>
        <w:t xml:space="preserve">et l’infrastructure existante au titre de la phase I des PGEH, les lignes directrices actualisées pour la préparation de la phase II ne comprennent pas le financement pour l’assistance en matière de politiques, mais incluent un financement réduit pour la mise à jour des enquêtes et la finalisation de la stratégie. </w:t>
      </w:r>
    </w:p>
    <w:p w14:paraId="61728B2A" w14:textId="794499E7" w:rsidR="000A5451" w:rsidRPr="000A5451" w:rsidRDefault="00D93700" w:rsidP="000A5451">
      <w:pPr>
        <w:pStyle w:val="Heading1"/>
        <w:rPr>
          <w:b/>
          <w:lang w:val="fr-CA"/>
        </w:rPr>
      </w:pPr>
      <w:r>
        <w:rPr>
          <w:b/>
          <w:lang w:val="fr-CA"/>
        </w:rPr>
        <w:t xml:space="preserve">Aucune obligation d’inclure </w:t>
      </w:r>
      <w:r w:rsidR="00BF0936">
        <w:rPr>
          <w:b/>
          <w:lang w:val="fr-CA"/>
        </w:rPr>
        <w:t>du</w:t>
      </w:r>
      <w:r>
        <w:rPr>
          <w:b/>
          <w:lang w:val="fr-CA"/>
        </w:rPr>
        <w:t xml:space="preserve"> cof</w:t>
      </w:r>
      <w:r w:rsidR="00BF0936">
        <w:rPr>
          <w:b/>
          <w:lang w:val="fr-CA"/>
        </w:rPr>
        <w:t>inancement dans les programmes n</w:t>
      </w:r>
      <w:r>
        <w:rPr>
          <w:b/>
          <w:lang w:val="fr-CA"/>
        </w:rPr>
        <w:t xml:space="preserve">’a été imposée lors de la préparation de la phase I des PGEH. </w:t>
      </w:r>
      <w:r w:rsidR="009E20E1">
        <w:rPr>
          <w:b/>
          <w:lang w:val="fr-CA"/>
        </w:rPr>
        <w:t>Le</w:t>
      </w:r>
      <w:r>
        <w:rPr>
          <w:b/>
          <w:lang w:val="fr-CA"/>
        </w:rPr>
        <w:t xml:space="preserve"> Comité exécutif a </w:t>
      </w:r>
      <w:r w:rsidR="009E20E1">
        <w:rPr>
          <w:b/>
          <w:lang w:val="fr-CA"/>
        </w:rPr>
        <w:t xml:space="preserve">toutefois </w:t>
      </w:r>
      <w:r>
        <w:rPr>
          <w:b/>
          <w:lang w:val="fr-CA"/>
        </w:rPr>
        <w:t xml:space="preserve">décidé de demander aux agences d’exécution d’examiner la possibilité de trouver des synergies et des possibilités de </w:t>
      </w:r>
      <w:r>
        <w:rPr>
          <w:b/>
          <w:lang w:val="fr-CA"/>
        </w:rPr>
        <w:lastRenderedPageBreak/>
        <w:t>cofinancement</w:t>
      </w:r>
      <w:r w:rsidR="00543C0B">
        <w:rPr>
          <w:rStyle w:val="FootnoteReference"/>
          <w:b/>
        </w:rPr>
        <w:footnoteReference w:id="8"/>
      </w:r>
      <w:r>
        <w:rPr>
          <w:b/>
          <w:lang w:val="fr-CA"/>
        </w:rPr>
        <w:t>. Dans le cas du Bahreïn, de l’Égypte et du Koweït, l’ONUDI a réalisé une étude détaillée dans le cadre du PGEH suggérant différents moyens d’obtenir des prêts subventionnés au cours de la mise en œuvre. Cette que</w:t>
      </w:r>
      <w:r w:rsidR="000A5451">
        <w:rPr>
          <w:b/>
          <w:lang w:val="fr-CA"/>
        </w:rPr>
        <w:t>stion a été abordée dans le PGEH, mais i</w:t>
      </w:r>
      <w:r w:rsidR="00543C0B">
        <w:rPr>
          <w:b/>
          <w:lang w:val="fr-CA"/>
        </w:rPr>
        <w:t xml:space="preserve">l semble qu’aucun pays n’ait poussé la question plus loin </w:t>
      </w:r>
      <w:r w:rsidR="000A5451">
        <w:rPr>
          <w:b/>
          <w:lang w:val="fr-CA"/>
        </w:rPr>
        <w:t xml:space="preserve">à l’échelle nationale. </w:t>
      </w:r>
      <w:r w:rsidR="00D05596">
        <w:rPr>
          <w:b/>
          <w:lang w:val="fr-CA"/>
        </w:rPr>
        <w:t>Un</w:t>
      </w:r>
      <w:r w:rsidR="000A5451">
        <w:rPr>
          <w:b/>
          <w:lang w:val="fr-CA"/>
        </w:rPr>
        <w:t xml:space="preserve"> cofinancement a </w:t>
      </w:r>
      <w:r w:rsidR="00D05596">
        <w:rPr>
          <w:b/>
          <w:lang w:val="fr-CA"/>
        </w:rPr>
        <w:t xml:space="preserve">toutefois </w:t>
      </w:r>
      <w:r w:rsidR="000A5451">
        <w:rPr>
          <w:b/>
          <w:lang w:val="fr-CA"/>
        </w:rPr>
        <w:t xml:space="preserve">été obtenu pour la mise en œuvre de certains projets d’investissement lorsque la valeur de la reconversion </w:t>
      </w:r>
      <w:r w:rsidR="00D05596">
        <w:rPr>
          <w:b/>
          <w:lang w:val="fr-CA"/>
        </w:rPr>
        <w:t>s’est révélée</w:t>
      </w:r>
      <w:r w:rsidR="000A5451">
        <w:rPr>
          <w:b/>
          <w:lang w:val="fr-CA"/>
        </w:rPr>
        <w:t xml:space="preserve"> supérieure aux seuils de coût-efficacité. De plus, afin d’assurer l’élimination complète </w:t>
      </w:r>
      <w:r w:rsidR="00D05596">
        <w:rPr>
          <w:b/>
          <w:lang w:val="fr-CA"/>
        </w:rPr>
        <w:t>des HCFC dans certains secteurs, l</w:t>
      </w:r>
      <w:r w:rsidR="000A5451">
        <w:rPr>
          <w:b/>
          <w:lang w:val="fr-CA"/>
        </w:rPr>
        <w:t>es</w:t>
      </w:r>
      <w:r w:rsidR="00BF0936">
        <w:rPr>
          <w:b/>
          <w:lang w:val="fr-CA"/>
        </w:rPr>
        <w:t xml:space="preserve"> entreprises non admissibles on</w:t>
      </w:r>
      <w:r w:rsidR="000A5451">
        <w:rPr>
          <w:b/>
          <w:lang w:val="fr-CA"/>
        </w:rPr>
        <w:t>t</w:t>
      </w:r>
      <w:r w:rsidR="00BF0936">
        <w:rPr>
          <w:b/>
          <w:lang w:val="fr-CA"/>
        </w:rPr>
        <w:t xml:space="preserve"> </w:t>
      </w:r>
      <w:r w:rsidR="000A5451">
        <w:rPr>
          <w:b/>
          <w:lang w:val="fr-CA"/>
        </w:rPr>
        <w:t>été informées d</w:t>
      </w:r>
      <w:r w:rsidR="00BF0936">
        <w:rPr>
          <w:b/>
          <w:lang w:val="fr-CA"/>
        </w:rPr>
        <w:t>es plans d’éliminati</w:t>
      </w:r>
      <w:r w:rsidR="000A5451">
        <w:rPr>
          <w:b/>
          <w:lang w:val="fr-CA"/>
        </w:rPr>
        <w:t>on</w:t>
      </w:r>
      <w:r w:rsidR="005E04D2">
        <w:rPr>
          <w:b/>
          <w:lang w:val="fr-CA"/>
        </w:rPr>
        <w:t xml:space="preserve"> à l’étape de la préparatio</w:t>
      </w:r>
      <w:r w:rsidR="00BF0936">
        <w:rPr>
          <w:b/>
          <w:lang w:val="fr-CA"/>
        </w:rPr>
        <w:t>n afin de coordonner l’éliminati</w:t>
      </w:r>
      <w:r w:rsidR="005E04D2">
        <w:rPr>
          <w:b/>
          <w:lang w:val="fr-CA"/>
        </w:rPr>
        <w:t>on en parallèle avec des entreprises admissibles ayant reçu du</w:t>
      </w:r>
      <w:r w:rsidR="00BF0936">
        <w:rPr>
          <w:b/>
          <w:lang w:val="fr-CA"/>
        </w:rPr>
        <w:t xml:space="preserve"> </w:t>
      </w:r>
      <w:r w:rsidR="005E04D2">
        <w:rPr>
          <w:b/>
          <w:lang w:val="fr-CA"/>
        </w:rPr>
        <w:t>financement (p. ex., le secteur de la mousse de polyuréthanne en Afrique du Sud). Le</w:t>
      </w:r>
      <w:r w:rsidR="009E20E1">
        <w:rPr>
          <w:b/>
          <w:lang w:val="fr-CA"/>
        </w:rPr>
        <w:t>s</w:t>
      </w:r>
      <w:r w:rsidR="005E04D2">
        <w:rPr>
          <w:b/>
          <w:lang w:val="fr-CA"/>
        </w:rPr>
        <w:t xml:space="preserve"> PGEH de l’In</w:t>
      </w:r>
      <w:r w:rsidR="00D05596">
        <w:rPr>
          <w:b/>
          <w:lang w:val="fr-CA"/>
        </w:rPr>
        <w:t>de et de la Malaisie mentionnen</w:t>
      </w:r>
      <w:r w:rsidR="005E04D2">
        <w:rPr>
          <w:b/>
          <w:lang w:val="fr-CA"/>
        </w:rPr>
        <w:t>t qu’une part import</w:t>
      </w:r>
      <w:r w:rsidR="00BF0936">
        <w:rPr>
          <w:b/>
          <w:lang w:val="fr-CA"/>
        </w:rPr>
        <w:t>a</w:t>
      </w:r>
      <w:r w:rsidR="005E04D2">
        <w:rPr>
          <w:b/>
          <w:lang w:val="fr-CA"/>
        </w:rPr>
        <w:t>nte de leur financement de contrepartie a été assuré par des en</w:t>
      </w:r>
      <w:r w:rsidR="00BF0936">
        <w:rPr>
          <w:b/>
          <w:lang w:val="fr-CA"/>
        </w:rPr>
        <w:t>treprises en voie de reconver</w:t>
      </w:r>
      <w:r w:rsidR="005E04D2">
        <w:rPr>
          <w:b/>
          <w:lang w:val="fr-CA"/>
        </w:rPr>
        <w:t xml:space="preserve">sion à des technologies sans HCFC-141b, tandis que le Nigeria a obtenu un financement de contrepartie substantiel de l’entreprise bénéficiaire </w:t>
      </w:r>
      <w:r w:rsidR="00D05596">
        <w:rPr>
          <w:b/>
          <w:lang w:val="fr-CA"/>
        </w:rPr>
        <w:t>qui fabrique</w:t>
      </w:r>
      <w:r w:rsidR="00BF0936">
        <w:rPr>
          <w:b/>
          <w:lang w:val="fr-CA"/>
        </w:rPr>
        <w:t xml:space="preserve"> d</w:t>
      </w:r>
      <w:r w:rsidR="00D05596">
        <w:rPr>
          <w:b/>
          <w:lang w:val="fr-CA"/>
        </w:rPr>
        <w:t xml:space="preserve">es </w:t>
      </w:r>
      <w:r w:rsidR="00BF0936">
        <w:rPr>
          <w:b/>
          <w:lang w:val="fr-CA"/>
        </w:rPr>
        <w:t>hydrocarbures pour utilisation comme frigorigène</w:t>
      </w:r>
      <w:r w:rsidR="00D05596">
        <w:rPr>
          <w:b/>
          <w:lang w:val="fr-CA"/>
        </w:rPr>
        <w:t>s</w:t>
      </w:r>
      <w:r w:rsidR="00BF0936">
        <w:rPr>
          <w:b/>
          <w:lang w:val="fr-CA"/>
        </w:rPr>
        <w:t>. Plusieurs pays ont mentionné dans leur</w:t>
      </w:r>
      <w:r w:rsidR="007E1B82">
        <w:rPr>
          <w:b/>
          <w:lang w:val="fr-CA"/>
        </w:rPr>
        <w:t>s</w:t>
      </w:r>
      <w:r w:rsidR="00BF0936">
        <w:rPr>
          <w:b/>
          <w:lang w:val="fr-CA"/>
        </w:rPr>
        <w:t xml:space="preserve"> document</w:t>
      </w:r>
      <w:r w:rsidR="007E1B82">
        <w:rPr>
          <w:b/>
          <w:lang w:val="fr-CA"/>
        </w:rPr>
        <w:t>s</w:t>
      </w:r>
      <w:r w:rsidR="00BF0936">
        <w:rPr>
          <w:b/>
          <w:lang w:val="fr-CA"/>
        </w:rPr>
        <w:t xml:space="preserve"> qu’ils étaient à la recherche de cofinancement pour certaines activités prévues.</w:t>
      </w:r>
    </w:p>
    <w:p w14:paraId="23053738" w14:textId="2B9874EB" w:rsidR="006510FE" w:rsidRPr="008B685F" w:rsidRDefault="006510FE" w:rsidP="006510FE">
      <w:pPr>
        <w:rPr>
          <w:b/>
          <w:lang w:val="fr-CA"/>
        </w:rPr>
      </w:pPr>
      <w:r w:rsidRPr="008B685F">
        <w:rPr>
          <w:b/>
          <w:lang w:val="fr-CA"/>
        </w:rPr>
        <w:t xml:space="preserve">Enquête sur l’utilisation des </w:t>
      </w:r>
      <w:r>
        <w:rPr>
          <w:b/>
          <w:lang w:val="fr-CA"/>
        </w:rPr>
        <w:t>HCFC</w:t>
      </w:r>
      <w:r w:rsidRPr="008B685F">
        <w:rPr>
          <w:b/>
          <w:lang w:val="fr-CA"/>
        </w:rPr>
        <w:t xml:space="preserve"> et analyse des données</w:t>
      </w:r>
      <w:r w:rsidR="00543C0B">
        <w:rPr>
          <w:b/>
          <w:lang w:val="fr-CA"/>
        </w:rPr>
        <w:t xml:space="preserve"> </w:t>
      </w:r>
    </w:p>
    <w:p w14:paraId="1A242E19" w14:textId="77777777" w:rsidR="006510FE" w:rsidRPr="008B685F" w:rsidRDefault="006510FE" w:rsidP="006510FE">
      <w:pPr>
        <w:rPr>
          <w:b/>
          <w:lang w:val="fr-CA"/>
        </w:rPr>
      </w:pPr>
    </w:p>
    <w:p w14:paraId="790924E2" w14:textId="77777777" w:rsidR="006510FE" w:rsidRPr="00F908ED" w:rsidRDefault="006510FE" w:rsidP="006510FE">
      <w:pPr>
        <w:pStyle w:val="Heading1"/>
        <w:rPr>
          <w:lang w:val="fr-CA"/>
        </w:rPr>
      </w:pPr>
      <w:r w:rsidRPr="008B685F">
        <w:rPr>
          <w:lang w:val="fr-CA"/>
        </w:rPr>
        <w:t xml:space="preserve">Les données recueillies au cours des enquêtes menées pour la préparation des PGEF ou plans nationaux d’élimination ont facilité, dans une certaine mesure, la préparation des PGEH car dans la majorité des pays, les applications utilisant du </w:t>
      </w:r>
      <w:r>
        <w:rPr>
          <w:lang w:val="fr-CA"/>
        </w:rPr>
        <w:t>HCFC</w:t>
      </w:r>
      <w:r>
        <w:rPr>
          <w:lang w:val="fr-CA"/>
        </w:rPr>
        <w:noBreakHyphen/>
      </w:r>
      <w:r w:rsidRPr="008B685F">
        <w:rPr>
          <w:lang w:val="fr-CA"/>
        </w:rPr>
        <w:t>22 (surtout des climatiseurs résidentiels et commerciaux</w:t>
      </w:r>
      <w:r>
        <w:rPr>
          <w:lang w:val="fr-CA"/>
        </w:rPr>
        <w:t>,</w:t>
      </w:r>
      <w:r w:rsidRPr="008B685F">
        <w:rPr>
          <w:lang w:val="fr-CA"/>
        </w:rPr>
        <w:t xml:space="preserve"> </w:t>
      </w:r>
      <w:r>
        <w:rPr>
          <w:lang w:val="fr-CA"/>
        </w:rPr>
        <w:t>suivis des systèmes de réfrigération commerciaux) différaient de celles qui avaient employé du CFC</w:t>
      </w:r>
      <w:r>
        <w:rPr>
          <w:lang w:val="fr-CA"/>
        </w:rPr>
        <w:noBreakHyphen/>
        <w:t>12 et du CFC</w:t>
      </w:r>
      <w:r>
        <w:rPr>
          <w:lang w:val="fr-CA"/>
        </w:rPr>
        <w:noBreakHyphen/>
        <w:t xml:space="preserve">11 auparavant </w:t>
      </w:r>
      <w:r w:rsidRPr="00F908ED">
        <w:rPr>
          <w:lang w:val="fr-CA"/>
        </w:rPr>
        <w:t xml:space="preserve">(réfrigérateurs commerciaux autonomes et domestiques, et climatiseurs mobiles). </w:t>
      </w:r>
      <w:r w:rsidRPr="008B685F">
        <w:rPr>
          <w:lang w:val="fr-CA"/>
        </w:rPr>
        <w:t>Les relations instaur</w:t>
      </w:r>
      <w:r>
        <w:rPr>
          <w:lang w:val="fr-CA"/>
        </w:rPr>
        <w:t>ées</w:t>
      </w:r>
      <w:r w:rsidRPr="008B685F">
        <w:rPr>
          <w:lang w:val="fr-CA"/>
        </w:rPr>
        <w:t xml:space="preserve"> et maintenu</w:t>
      </w:r>
      <w:r>
        <w:rPr>
          <w:lang w:val="fr-CA"/>
        </w:rPr>
        <w:t>es</w:t>
      </w:r>
      <w:r w:rsidRPr="008B685F">
        <w:rPr>
          <w:lang w:val="fr-CA"/>
        </w:rPr>
        <w:t xml:space="preserve"> avec les associations du secteur de la réfrigération, les établissements de formation et les services des douanes ont toutefois </w:t>
      </w:r>
      <w:r>
        <w:rPr>
          <w:lang w:val="fr-CA"/>
        </w:rPr>
        <w:t>aid</w:t>
      </w:r>
      <w:r w:rsidRPr="008B685F">
        <w:rPr>
          <w:lang w:val="fr-CA"/>
        </w:rPr>
        <w:t>é à la collecte des données.</w:t>
      </w:r>
      <w:r w:rsidRPr="00F908ED">
        <w:rPr>
          <w:lang w:val="fr-CA"/>
        </w:rPr>
        <w:t xml:space="preserve"> </w:t>
      </w:r>
    </w:p>
    <w:p w14:paraId="6ED8EDF5" w14:textId="54C961E7" w:rsidR="006510FE" w:rsidRPr="000B4F53" w:rsidRDefault="006510FE" w:rsidP="006510FE">
      <w:pPr>
        <w:pStyle w:val="Heading1"/>
        <w:rPr>
          <w:lang w:val="fr-CA"/>
        </w:rPr>
      </w:pPr>
      <w:r w:rsidRPr="008B685F">
        <w:rPr>
          <w:lang w:val="fr-CA"/>
        </w:rPr>
        <w:t xml:space="preserve">La plupart des pays </w:t>
      </w:r>
      <w:r>
        <w:rPr>
          <w:lang w:val="fr-CA"/>
        </w:rPr>
        <w:t xml:space="preserve">ont </w:t>
      </w:r>
      <w:r w:rsidRPr="008B685F">
        <w:rPr>
          <w:lang w:val="fr-CA"/>
        </w:rPr>
        <w:t>recueilli des données complètes à l’échelle nationale grâce à des enquêtes «</w:t>
      </w:r>
      <w:r>
        <w:rPr>
          <w:lang w:val="fr-CA"/>
        </w:rPr>
        <w:t> </w:t>
      </w:r>
      <w:r w:rsidRPr="008B685F">
        <w:rPr>
          <w:lang w:val="fr-CA"/>
        </w:rPr>
        <w:t>descendantes</w:t>
      </w:r>
      <w:r>
        <w:rPr>
          <w:lang w:val="fr-CA"/>
        </w:rPr>
        <w:t> </w:t>
      </w:r>
      <w:r w:rsidRPr="008B685F">
        <w:rPr>
          <w:lang w:val="fr-CA"/>
        </w:rPr>
        <w:t xml:space="preserve">» auprès des importateurs et distributeurs et </w:t>
      </w:r>
      <w:r>
        <w:rPr>
          <w:lang w:val="fr-CA"/>
        </w:rPr>
        <w:t xml:space="preserve">à </w:t>
      </w:r>
      <w:r w:rsidRPr="008B685F">
        <w:rPr>
          <w:lang w:val="fr-CA"/>
        </w:rPr>
        <w:t>des enquêtes «</w:t>
      </w:r>
      <w:r>
        <w:rPr>
          <w:lang w:val="fr-CA"/>
        </w:rPr>
        <w:t xml:space="preserve"> ascendantes » au niveau de l’entreprise. </w:t>
      </w:r>
      <w:r w:rsidRPr="008B685F">
        <w:rPr>
          <w:lang w:val="fr-CA"/>
        </w:rPr>
        <w:t>Par exemple, l’Égypte a axé ses efforts sur la définition de la consommation de HCFC</w:t>
      </w:r>
      <w:r>
        <w:rPr>
          <w:lang w:val="fr-CA"/>
        </w:rPr>
        <w:noBreakHyphen/>
      </w:r>
      <w:r w:rsidRPr="008B685F">
        <w:rPr>
          <w:lang w:val="fr-CA"/>
        </w:rPr>
        <w:t>141</w:t>
      </w:r>
      <w:r>
        <w:rPr>
          <w:lang w:val="fr-CA"/>
        </w:rPr>
        <w:t>b (</w:t>
      </w:r>
      <w:r w:rsidRPr="008B685F">
        <w:rPr>
          <w:lang w:val="fr-CA"/>
        </w:rPr>
        <w:t xml:space="preserve">pur et </w:t>
      </w:r>
      <w:r w:rsidR="00876496">
        <w:rPr>
          <w:lang w:val="fr-CA"/>
        </w:rPr>
        <w:t>contenu</w:t>
      </w:r>
      <w:r w:rsidRPr="008B685F">
        <w:rPr>
          <w:lang w:val="fr-CA"/>
        </w:rPr>
        <w:t xml:space="preserve"> </w:t>
      </w:r>
      <w:r>
        <w:rPr>
          <w:lang w:val="fr-CA"/>
        </w:rPr>
        <w:t xml:space="preserve">dans des polyols </w:t>
      </w:r>
      <w:proofErr w:type="spellStart"/>
      <w:r>
        <w:rPr>
          <w:lang w:val="fr-CA"/>
        </w:rPr>
        <w:t>prémélangés</w:t>
      </w:r>
      <w:proofErr w:type="spellEnd"/>
      <w:r>
        <w:rPr>
          <w:lang w:val="fr-CA"/>
        </w:rPr>
        <w:t xml:space="preserve">). </w:t>
      </w:r>
      <w:r w:rsidRPr="00071857">
        <w:rPr>
          <w:lang w:val="fr-CA"/>
        </w:rPr>
        <w:t>Les données initiales à l’échelle de l’entreprise dans le secteur de la fabrication et autres (c.</w:t>
      </w:r>
      <w:r>
        <w:rPr>
          <w:lang w:val="fr-CA"/>
        </w:rPr>
        <w:noBreakHyphen/>
      </w:r>
      <w:r w:rsidRPr="00071857">
        <w:rPr>
          <w:lang w:val="fr-CA"/>
        </w:rPr>
        <w:t>à</w:t>
      </w:r>
      <w:r>
        <w:rPr>
          <w:lang w:val="fr-CA"/>
        </w:rPr>
        <w:noBreakHyphen/>
      </w:r>
      <w:r w:rsidRPr="00071857">
        <w:rPr>
          <w:lang w:val="fr-CA"/>
        </w:rPr>
        <w:t xml:space="preserve">d., fabricants, importateurs, distributeurs </w:t>
      </w:r>
      <w:r>
        <w:rPr>
          <w:lang w:val="fr-CA"/>
        </w:rPr>
        <w:t xml:space="preserve">et sociétés de formulation) ont été compilées par le biais d’enquêtes menées par des experts des secteurs des mousses et de la réfrigération. </w:t>
      </w:r>
      <w:r w:rsidRPr="00071857">
        <w:rPr>
          <w:lang w:val="fr-CA"/>
        </w:rPr>
        <w:t xml:space="preserve">Pour le secteur de l’entretien de l’équipement de réfrigération et de climatisation, les </w:t>
      </w:r>
      <w:r>
        <w:rPr>
          <w:lang w:val="fr-CA"/>
        </w:rPr>
        <w:t>renseignements</w:t>
      </w:r>
      <w:r w:rsidRPr="00071857">
        <w:rPr>
          <w:lang w:val="fr-CA"/>
        </w:rPr>
        <w:t xml:space="preserve"> proviennent </w:t>
      </w:r>
      <w:r>
        <w:rPr>
          <w:lang w:val="fr-CA"/>
        </w:rPr>
        <w:t>des ateliers d’ent</w:t>
      </w:r>
      <w:r w:rsidRPr="00974325">
        <w:rPr>
          <w:lang w:val="fr-CA"/>
        </w:rPr>
        <w:t>retien connus. L</w:t>
      </w:r>
      <w:r w:rsidRPr="00861149">
        <w:rPr>
          <w:lang w:val="fr-CA"/>
        </w:rPr>
        <w:t xml:space="preserve">’information </w:t>
      </w:r>
      <w:r>
        <w:rPr>
          <w:lang w:val="fr-CA"/>
        </w:rPr>
        <w:t xml:space="preserve">a </w:t>
      </w:r>
      <w:r w:rsidRPr="00861149">
        <w:rPr>
          <w:lang w:val="fr-CA"/>
        </w:rPr>
        <w:t>ensuite été vérifié</w:t>
      </w:r>
      <w:r>
        <w:rPr>
          <w:lang w:val="fr-CA"/>
        </w:rPr>
        <w:t>e</w:t>
      </w:r>
      <w:r w:rsidRPr="00861149">
        <w:rPr>
          <w:lang w:val="fr-CA"/>
        </w:rPr>
        <w:t xml:space="preserve"> par rapport aux données de la consommation nationale pour les HCFC en vrac, collectées par le biais du </w:t>
      </w:r>
      <w:r w:rsidR="00876496">
        <w:rPr>
          <w:lang w:val="fr-CA"/>
        </w:rPr>
        <w:t>programme</w:t>
      </w:r>
      <w:r w:rsidRPr="00861149">
        <w:rPr>
          <w:lang w:val="fr-CA"/>
        </w:rPr>
        <w:t xml:space="preserve"> de </w:t>
      </w:r>
      <w:r w:rsidR="007D2FD0">
        <w:rPr>
          <w:lang w:val="fr-CA"/>
        </w:rPr>
        <w:t>permis ;</w:t>
      </w:r>
      <w:r w:rsidRPr="00861149">
        <w:rPr>
          <w:lang w:val="fr-CA"/>
        </w:rPr>
        <w:t xml:space="preserve"> </w:t>
      </w:r>
      <w:r>
        <w:rPr>
          <w:lang w:val="fr-CA"/>
        </w:rPr>
        <w:t>de même, à Grenade, l’enquête a commencé avec les gros consommateurs puis s’est concentrée sur les petits consommateurs par paroisse.</w:t>
      </w:r>
    </w:p>
    <w:p w14:paraId="132DB396" w14:textId="221486E0" w:rsidR="006510FE" w:rsidRPr="000547CF" w:rsidRDefault="006510FE" w:rsidP="006510FE">
      <w:pPr>
        <w:pStyle w:val="Heading1"/>
        <w:rPr>
          <w:lang w:val="fr-CA"/>
        </w:rPr>
      </w:pPr>
      <w:r w:rsidRPr="00861149">
        <w:rPr>
          <w:lang w:val="fr-CA"/>
        </w:rPr>
        <w:t>Les enquêtes sur l’utilisation d</w:t>
      </w:r>
      <w:r>
        <w:rPr>
          <w:lang w:val="fr-CA"/>
        </w:rPr>
        <w:t>es</w:t>
      </w:r>
      <w:r w:rsidRPr="00861149">
        <w:rPr>
          <w:lang w:val="fr-CA"/>
        </w:rPr>
        <w:t xml:space="preserve"> HCFC et la compilation des données d’utilisation ont été effectuée</w:t>
      </w:r>
      <w:r>
        <w:rPr>
          <w:lang w:val="fr-CA"/>
        </w:rPr>
        <w:t>s</w:t>
      </w:r>
      <w:r w:rsidRPr="00861149">
        <w:rPr>
          <w:lang w:val="fr-CA"/>
        </w:rPr>
        <w:t xml:space="preserve"> par plusieurs entités à l’intérieur des pays, comme </w:t>
      </w:r>
      <w:r w:rsidR="00876496">
        <w:rPr>
          <w:lang w:val="fr-CA"/>
        </w:rPr>
        <w:t>le Bureau national de l’ozone</w:t>
      </w:r>
      <w:r w:rsidRPr="00861149">
        <w:rPr>
          <w:lang w:val="fr-CA"/>
        </w:rPr>
        <w:t xml:space="preserve">, les associations sectorielles, les associations du secteur de l’entretien </w:t>
      </w:r>
      <w:r>
        <w:rPr>
          <w:lang w:val="fr-CA"/>
        </w:rPr>
        <w:t xml:space="preserve">de l’équipement de réfrigération, les entreprises d’entretien spécialisées, les experts et consultants en réfrigération, ainsi que le personnel des entreprises nationales d’électricité. </w:t>
      </w:r>
      <w:r w:rsidRPr="00861149">
        <w:rPr>
          <w:lang w:val="fr-CA"/>
        </w:rPr>
        <w:t>Au Ghana, par exemple, l’</w:t>
      </w:r>
      <w:r>
        <w:rPr>
          <w:lang w:val="fr-CA"/>
        </w:rPr>
        <w:t>a</w:t>
      </w:r>
      <w:r w:rsidRPr="00861149">
        <w:rPr>
          <w:lang w:val="fr-CA"/>
        </w:rPr>
        <w:t xml:space="preserve">ssociation du secteur de la réfrigération et de la climatisation </w:t>
      </w:r>
      <w:r>
        <w:rPr>
          <w:lang w:val="fr-CA"/>
        </w:rPr>
        <w:t>a</w:t>
      </w:r>
      <w:r w:rsidRPr="00861149">
        <w:rPr>
          <w:lang w:val="fr-CA"/>
        </w:rPr>
        <w:t xml:space="preserve"> mené une enquête </w:t>
      </w:r>
      <w:r>
        <w:rPr>
          <w:lang w:val="fr-CA"/>
        </w:rPr>
        <w:t>porte</w:t>
      </w:r>
      <w:r>
        <w:rPr>
          <w:lang w:val="fr-CA"/>
        </w:rPr>
        <w:noBreakHyphen/>
        <w:t>à</w:t>
      </w:r>
      <w:r>
        <w:rPr>
          <w:lang w:val="fr-CA"/>
        </w:rPr>
        <w:noBreakHyphen/>
        <w:t xml:space="preserve">porte auprès de ses membres. </w:t>
      </w:r>
      <w:r w:rsidRPr="00861149">
        <w:rPr>
          <w:lang w:val="fr-CA"/>
        </w:rPr>
        <w:t xml:space="preserve">Les données </w:t>
      </w:r>
      <w:r w:rsidR="00422234">
        <w:rPr>
          <w:lang w:val="fr-CA"/>
        </w:rPr>
        <w:t>recueillies</w:t>
      </w:r>
      <w:r w:rsidRPr="00861149">
        <w:rPr>
          <w:lang w:val="fr-CA"/>
        </w:rPr>
        <w:t xml:space="preserve"> </w:t>
      </w:r>
      <w:r w:rsidR="00422234">
        <w:rPr>
          <w:lang w:val="fr-CA"/>
        </w:rPr>
        <w:t>ont été</w:t>
      </w:r>
      <w:r w:rsidRPr="00861149">
        <w:rPr>
          <w:lang w:val="fr-CA"/>
        </w:rPr>
        <w:t xml:space="preserve"> validées à partir des données d’importation de HCFC compilées annuellement et de celle</w:t>
      </w:r>
      <w:r>
        <w:rPr>
          <w:lang w:val="fr-CA"/>
        </w:rPr>
        <w:t>s</w:t>
      </w:r>
      <w:r w:rsidRPr="00861149">
        <w:rPr>
          <w:lang w:val="fr-CA"/>
        </w:rPr>
        <w:t xml:space="preserve"> communiqu</w:t>
      </w:r>
      <w:r>
        <w:rPr>
          <w:lang w:val="fr-CA"/>
        </w:rPr>
        <w:t>ées</w:t>
      </w:r>
      <w:r w:rsidRPr="00861149">
        <w:rPr>
          <w:lang w:val="fr-CA"/>
        </w:rPr>
        <w:t xml:space="preserve"> </w:t>
      </w:r>
      <w:r>
        <w:rPr>
          <w:lang w:val="fr-CA"/>
        </w:rPr>
        <w:t xml:space="preserve">par les importateurs de produits chimiques par le biais du </w:t>
      </w:r>
      <w:r w:rsidR="00422234">
        <w:rPr>
          <w:lang w:val="fr-CA"/>
        </w:rPr>
        <w:t>programme</w:t>
      </w:r>
      <w:r>
        <w:rPr>
          <w:lang w:val="fr-CA"/>
        </w:rPr>
        <w:t xml:space="preserve"> de permis.</w:t>
      </w:r>
    </w:p>
    <w:p w14:paraId="5B4F4467" w14:textId="2CF74DB9" w:rsidR="006510FE" w:rsidRPr="000547CF" w:rsidRDefault="006510FE" w:rsidP="006510FE">
      <w:pPr>
        <w:pStyle w:val="Heading1"/>
        <w:rPr>
          <w:lang w:val="fr-CA"/>
        </w:rPr>
      </w:pPr>
      <w:r w:rsidRPr="00861149">
        <w:rPr>
          <w:lang w:val="fr-CA"/>
        </w:rPr>
        <w:t xml:space="preserve">Aucune information </w:t>
      </w:r>
      <w:r>
        <w:rPr>
          <w:lang w:val="fr-CA"/>
        </w:rPr>
        <w:t>communiquée ne nous révèle</w:t>
      </w:r>
      <w:r w:rsidRPr="00861149">
        <w:rPr>
          <w:lang w:val="fr-CA"/>
        </w:rPr>
        <w:t xml:space="preserve"> si les consultants locaux </w:t>
      </w:r>
      <w:r>
        <w:rPr>
          <w:lang w:val="fr-CA"/>
        </w:rPr>
        <w:t xml:space="preserve">avaient </w:t>
      </w:r>
      <w:r w:rsidRPr="00861149">
        <w:rPr>
          <w:lang w:val="fr-CA"/>
        </w:rPr>
        <w:t xml:space="preserve">reçu une formation suffisante, une assistance </w:t>
      </w:r>
      <w:r>
        <w:rPr>
          <w:lang w:val="fr-CA"/>
        </w:rPr>
        <w:t xml:space="preserve">au niveau des </w:t>
      </w:r>
      <w:r w:rsidRPr="00861149">
        <w:rPr>
          <w:lang w:val="fr-CA"/>
        </w:rPr>
        <w:t xml:space="preserve">questions relatives </w:t>
      </w:r>
      <w:r>
        <w:rPr>
          <w:lang w:val="fr-CA"/>
        </w:rPr>
        <w:t xml:space="preserve">à la réglementation des HCFC et aux </w:t>
      </w:r>
      <w:r>
        <w:rPr>
          <w:lang w:val="fr-CA"/>
        </w:rPr>
        <w:lastRenderedPageBreak/>
        <w:t>quotas associés et des activités de mise en œuvre, ou une orientation sur les questions se rapportant au Protocole de Montréal. O</w:t>
      </w:r>
      <w:r w:rsidRPr="00861149">
        <w:rPr>
          <w:lang w:val="fr-CA"/>
        </w:rPr>
        <w:t xml:space="preserve">n a toutefois remarqué au cours de la mise en œuvre des PGEH, </w:t>
      </w:r>
      <w:r>
        <w:rPr>
          <w:lang w:val="fr-CA"/>
        </w:rPr>
        <w:t xml:space="preserve">et en particulier suite à la vérification indépendante de la consommation de HCFC requise pour l’émission des tranches de financement, que les estimations initiales et l’enregistrement de la consommation de HCFC au cours des années de référence n’étaient pas toujours exacts et que les </w:t>
      </w:r>
      <w:r w:rsidR="00422234">
        <w:rPr>
          <w:lang w:val="fr-CA"/>
        </w:rPr>
        <w:t>programmes</w:t>
      </w:r>
      <w:r>
        <w:rPr>
          <w:lang w:val="fr-CA"/>
        </w:rPr>
        <w:t xml:space="preserve"> d’octroi de </w:t>
      </w:r>
      <w:r w:rsidR="00392991">
        <w:rPr>
          <w:lang w:val="fr-CA"/>
        </w:rPr>
        <w:t>permis</w:t>
      </w:r>
      <w:r>
        <w:rPr>
          <w:lang w:val="fr-CA"/>
        </w:rPr>
        <w:t xml:space="preserve"> et de quotas présentaient des déficiences au niveau de leur conception (p. ex., </w:t>
      </w:r>
      <w:r w:rsidR="00392991">
        <w:rPr>
          <w:lang w:val="fr-CA"/>
        </w:rPr>
        <w:t>permis</w:t>
      </w:r>
      <w:r>
        <w:rPr>
          <w:lang w:val="fr-CA"/>
        </w:rPr>
        <w:t xml:space="preserve"> d’une durée de plus d’une année) ou de leur mise en œuvre (p. ex., mauvaise utilisation des codes d’importation, ou emploi des mêmes codes pour différentes substances). </w:t>
      </w:r>
      <w:r w:rsidRPr="00861149">
        <w:rPr>
          <w:lang w:val="fr-CA"/>
        </w:rPr>
        <w:t xml:space="preserve">Ces problèmes ont été progressivement </w:t>
      </w:r>
      <w:r>
        <w:rPr>
          <w:lang w:val="fr-CA"/>
        </w:rPr>
        <w:t>cernés</w:t>
      </w:r>
      <w:r w:rsidRPr="00861149">
        <w:rPr>
          <w:lang w:val="fr-CA"/>
        </w:rPr>
        <w:t xml:space="preserve"> et corrigés par les gouvernements. </w:t>
      </w:r>
    </w:p>
    <w:p w14:paraId="0B000521" w14:textId="0F92478B" w:rsidR="006510FE" w:rsidRPr="00831311" w:rsidRDefault="006510FE" w:rsidP="006510FE">
      <w:pPr>
        <w:pStyle w:val="Heading1"/>
        <w:rPr>
          <w:lang w:val="fr-CA"/>
        </w:rPr>
      </w:pPr>
      <w:r w:rsidRPr="00861149">
        <w:rPr>
          <w:lang w:val="fr-CA"/>
        </w:rPr>
        <w:t xml:space="preserve">Tous les PGEH ont fourni une analyse à jour des niveaux de consommation dans le pays, ainsi que la répartition de la consommation entre les secteurs, fondée sur des enquêtes complètes menées dans le pays, </w:t>
      </w:r>
      <w:r>
        <w:rPr>
          <w:lang w:val="fr-CA"/>
        </w:rPr>
        <w:t xml:space="preserve">valide </w:t>
      </w:r>
      <w:r w:rsidRPr="00861149">
        <w:rPr>
          <w:lang w:val="fr-CA"/>
        </w:rPr>
        <w:t xml:space="preserve">au moins jusqu’en 2011. Les enquêtes ont fourni la base des points de départ pour la réduction globale de la consommation de </w:t>
      </w:r>
      <w:r>
        <w:rPr>
          <w:lang w:val="fr-CA"/>
        </w:rPr>
        <w:t>HCFC</w:t>
      </w:r>
      <w:r w:rsidRPr="00861149">
        <w:rPr>
          <w:lang w:val="fr-CA"/>
        </w:rPr>
        <w:t xml:space="preserve"> convenus par les gouvernements concernés. </w:t>
      </w:r>
      <w:r w:rsidRPr="00117CA1">
        <w:rPr>
          <w:lang w:val="fr-CA"/>
        </w:rPr>
        <w:t xml:space="preserve">Dans un certain nombre de cas, on s’est servi de ces enquêtes pour </w:t>
      </w:r>
      <w:r>
        <w:rPr>
          <w:lang w:val="fr-CA"/>
        </w:rPr>
        <w:t>r</w:t>
      </w:r>
      <w:r w:rsidRPr="00117CA1">
        <w:rPr>
          <w:lang w:val="fr-CA"/>
        </w:rPr>
        <w:t xml:space="preserve">ajuster les données </w:t>
      </w:r>
      <w:r w:rsidR="00422234">
        <w:rPr>
          <w:lang w:val="fr-CA"/>
        </w:rPr>
        <w:t>relatives à</w:t>
      </w:r>
      <w:r w:rsidRPr="00117CA1">
        <w:rPr>
          <w:lang w:val="fr-CA"/>
        </w:rPr>
        <w:t xml:space="preserve"> l’article</w:t>
      </w:r>
      <w:r>
        <w:rPr>
          <w:lang w:val="fr-CA"/>
        </w:rPr>
        <w:t> </w:t>
      </w:r>
      <w:r w:rsidRPr="00117CA1">
        <w:rPr>
          <w:lang w:val="fr-CA"/>
        </w:rPr>
        <w:t>7 et, ultérieurement, les valeurs de référence de</w:t>
      </w:r>
      <w:r>
        <w:rPr>
          <w:lang w:val="fr-CA"/>
        </w:rPr>
        <w:t>s</w:t>
      </w:r>
      <w:r w:rsidRPr="00117CA1">
        <w:rPr>
          <w:lang w:val="fr-CA"/>
        </w:rPr>
        <w:t xml:space="preserve"> pays.</w:t>
      </w:r>
    </w:p>
    <w:p w14:paraId="1AD17112" w14:textId="2197ED2A" w:rsidR="006510FE" w:rsidRDefault="006510FE" w:rsidP="006510FE">
      <w:pPr>
        <w:pStyle w:val="Heading1"/>
        <w:rPr>
          <w:lang w:val="fr-CA"/>
        </w:rPr>
      </w:pPr>
      <w:r w:rsidRPr="00117CA1">
        <w:rPr>
          <w:lang w:val="fr-CA"/>
        </w:rPr>
        <w:t xml:space="preserve">Les enquêtes au niveau de l’entreprise ont établi les types et quantités de HCFC utilisé par différents fabricants et utilisateurs finaux, les types de produits fabriqués avec des HCFC, </w:t>
      </w:r>
      <w:r>
        <w:rPr>
          <w:lang w:val="fr-CA"/>
        </w:rPr>
        <w:t xml:space="preserve">les tendances au niveau de leur utilisation et les facteurs influant sur ces dernières. </w:t>
      </w:r>
      <w:r w:rsidRPr="00117CA1">
        <w:rPr>
          <w:lang w:val="fr-CA"/>
        </w:rPr>
        <w:t>Elles couvrent le secteur des mousses et les secteurs de la fabrication et de l’entretien de l’équipement de réfrigération et de climatisation. Les données recueillies ont été comparées aux données officielles disponibles (c.</w:t>
      </w:r>
      <w:r>
        <w:rPr>
          <w:lang w:val="fr-CA"/>
        </w:rPr>
        <w:noBreakHyphen/>
      </w:r>
      <w:r w:rsidRPr="00117CA1">
        <w:rPr>
          <w:lang w:val="fr-CA"/>
        </w:rPr>
        <w:t>à</w:t>
      </w:r>
      <w:r>
        <w:rPr>
          <w:lang w:val="fr-CA"/>
        </w:rPr>
        <w:noBreakHyphen/>
      </w:r>
      <w:r w:rsidRPr="00117CA1">
        <w:rPr>
          <w:lang w:val="fr-CA"/>
        </w:rPr>
        <w:t>d.</w:t>
      </w:r>
      <w:r>
        <w:rPr>
          <w:lang w:val="fr-CA"/>
        </w:rPr>
        <w:t>, </w:t>
      </w:r>
      <w:r w:rsidR="00392991">
        <w:rPr>
          <w:lang w:val="fr-CA"/>
        </w:rPr>
        <w:t>permis</w:t>
      </w:r>
      <w:r w:rsidR="00422234">
        <w:rPr>
          <w:lang w:val="fr-CA"/>
        </w:rPr>
        <w:t xml:space="preserve"> émis</w:t>
      </w:r>
      <w:r w:rsidRPr="00117CA1">
        <w:rPr>
          <w:lang w:val="fr-CA"/>
        </w:rPr>
        <w:t xml:space="preserve">, importations déclarées </w:t>
      </w:r>
      <w:r>
        <w:rPr>
          <w:lang w:val="fr-CA"/>
        </w:rPr>
        <w:t xml:space="preserve">et données des douanes). </w:t>
      </w:r>
    </w:p>
    <w:p w14:paraId="5C723867" w14:textId="5453F6AE" w:rsidR="00422234" w:rsidRPr="00422234" w:rsidRDefault="00422234" w:rsidP="00422234">
      <w:pPr>
        <w:pStyle w:val="Heading1"/>
        <w:rPr>
          <w:b/>
          <w:lang w:val="fr-CA"/>
        </w:rPr>
      </w:pPr>
      <w:r w:rsidRPr="00422234">
        <w:rPr>
          <w:b/>
          <w:lang w:val="fr-CA"/>
        </w:rPr>
        <w:t>La plupart des pays de l’échantillon</w:t>
      </w:r>
      <w:r>
        <w:rPr>
          <w:b/>
          <w:lang w:val="fr-CA"/>
        </w:rPr>
        <w:t xml:space="preserve"> ont fourni les prix des HCFC et des substances de remplacement </w:t>
      </w:r>
      <w:r w:rsidR="007B1D9B">
        <w:rPr>
          <w:b/>
          <w:lang w:val="fr-CA"/>
        </w:rPr>
        <w:t>lors</w:t>
      </w:r>
      <w:r>
        <w:rPr>
          <w:b/>
          <w:lang w:val="fr-CA"/>
        </w:rPr>
        <w:t xml:space="preserve"> de la préparation des PGEH, sauf </w:t>
      </w:r>
      <w:r w:rsidR="00CC1772">
        <w:rPr>
          <w:b/>
          <w:lang w:val="fr-CA"/>
        </w:rPr>
        <w:t xml:space="preserve">l’Égypte, l’Inde, le Liban, la Malaisie, le Panama, les pays insulaires du Pacifique et la Tunisie. </w:t>
      </w:r>
      <w:r w:rsidR="00F65051">
        <w:rPr>
          <w:b/>
          <w:lang w:val="fr-CA"/>
        </w:rPr>
        <w:t xml:space="preserve">Par contre, le PGEH de l’Égypte précise que les prix sont </w:t>
      </w:r>
      <w:r w:rsidR="007B1D9B">
        <w:rPr>
          <w:b/>
          <w:lang w:val="fr-CA"/>
        </w:rPr>
        <w:t>communiqués</w:t>
      </w:r>
      <w:r w:rsidR="00F65051">
        <w:rPr>
          <w:b/>
          <w:lang w:val="fr-CA"/>
        </w:rPr>
        <w:t xml:space="preserve"> chaque année au Fonds multilatéral dans son rapport </w:t>
      </w:r>
      <w:r w:rsidR="007B1D9B">
        <w:rPr>
          <w:b/>
          <w:lang w:val="fr-CA"/>
        </w:rPr>
        <w:t>de données relatives au</w:t>
      </w:r>
      <w:r w:rsidR="00F65051">
        <w:rPr>
          <w:b/>
          <w:lang w:val="fr-CA"/>
        </w:rPr>
        <w:t xml:space="preserve"> programme de pays, tandis que le</w:t>
      </w:r>
      <w:r w:rsidR="0097798B">
        <w:rPr>
          <w:b/>
          <w:lang w:val="fr-CA"/>
        </w:rPr>
        <w:t>s</w:t>
      </w:r>
      <w:r w:rsidR="00F65051">
        <w:rPr>
          <w:b/>
          <w:lang w:val="fr-CA"/>
        </w:rPr>
        <w:t xml:space="preserve"> PGEH de l’Inde et la Malaisie indique</w:t>
      </w:r>
      <w:r w:rsidR="0097798B">
        <w:rPr>
          <w:b/>
          <w:lang w:val="fr-CA"/>
        </w:rPr>
        <w:t>nt</w:t>
      </w:r>
      <w:r w:rsidR="00F65051">
        <w:rPr>
          <w:b/>
          <w:lang w:val="fr-CA"/>
        </w:rPr>
        <w:t xml:space="preserve"> que les prix ont été recueillis lors de l’enquête sur les HCFC et les substances de remplacement. </w:t>
      </w:r>
      <w:r w:rsidR="005B6058">
        <w:rPr>
          <w:b/>
          <w:lang w:val="fr-CA"/>
        </w:rPr>
        <w:t xml:space="preserve">Il n’existe pas de méthode systématique pour faire le suivi des prix des HCFC et des substances de remplacement. </w:t>
      </w:r>
      <w:r w:rsidR="00F65051">
        <w:rPr>
          <w:b/>
          <w:lang w:val="fr-CA"/>
        </w:rPr>
        <w:t xml:space="preserve"> Le rapport de données </w:t>
      </w:r>
      <w:r w:rsidR="005B6058">
        <w:rPr>
          <w:b/>
          <w:lang w:val="fr-CA"/>
        </w:rPr>
        <w:t>relatives au programme d</w:t>
      </w:r>
      <w:r w:rsidR="00462C73">
        <w:rPr>
          <w:b/>
          <w:lang w:val="fr-CA"/>
        </w:rPr>
        <w:t>e pays contient le</w:t>
      </w:r>
      <w:r w:rsidR="0097798B">
        <w:rPr>
          <w:b/>
          <w:lang w:val="fr-CA"/>
        </w:rPr>
        <w:t>s</w:t>
      </w:r>
      <w:r w:rsidR="00462C73">
        <w:rPr>
          <w:b/>
          <w:lang w:val="fr-CA"/>
        </w:rPr>
        <w:t xml:space="preserve"> prix des su</w:t>
      </w:r>
      <w:r w:rsidR="005B6058">
        <w:rPr>
          <w:b/>
          <w:lang w:val="fr-CA"/>
        </w:rPr>
        <w:t>bstances de rempla</w:t>
      </w:r>
      <w:r w:rsidR="00462C73">
        <w:rPr>
          <w:b/>
          <w:lang w:val="fr-CA"/>
        </w:rPr>
        <w:t>ce</w:t>
      </w:r>
      <w:r w:rsidR="005B6058">
        <w:rPr>
          <w:b/>
          <w:lang w:val="fr-CA"/>
        </w:rPr>
        <w:t>ment des SAO</w:t>
      </w:r>
      <w:r w:rsidR="0097798B">
        <w:rPr>
          <w:b/>
          <w:lang w:val="fr-CA"/>
        </w:rPr>
        <w:t>,</w:t>
      </w:r>
      <w:r w:rsidR="005B6058">
        <w:rPr>
          <w:b/>
          <w:lang w:val="fr-CA"/>
        </w:rPr>
        <w:t xml:space="preserve"> fournis sur une base volontaire, </w:t>
      </w:r>
      <w:r w:rsidR="007B1D9B">
        <w:rPr>
          <w:b/>
          <w:lang w:val="fr-CA"/>
        </w:rPr>
        <w:t>et les</w:t>
      </w:r>
      <w:r w:rsidR="005B6058">
        <w:rPr>
          <w:b/>
          <w:lang w:val="fr-CA"/>
        </w:rPr>
        <w:t xml:space="preserve"> prix </w:t>
      </w:r>
      <w:r w:rsidR="007B1D9B">
        <w:rPr>
          <w:b/>
          <w:lang w:val="fr-CA"/>
        </w:rPr>
        <w:t>ne sont</w:t>
      </w:r>
      <w:r w:rsidR="005B6058">
        <w:rPr>
          <w:b/>
          <w:lang w:val="fr-CA"/>
        </w:rPr>
        <w:t xml:space="preserve"> demandés que dans le cadre des activités préparatoires des projets d’investissement afin de calculer les surcoûts d’exploitation, qui ne correspondaient pas toujours aux données déclarées dans les rapports des données relatives au programme de pays. </w:t>
      </w:r>
      <w:r w:rsidR="007B1D9B">
        <w:rPr>
          <w:b/>
          <w:lang w:val="fr-CA"/>
        </w:rPr>
        <w:t>Par conséquent</w:t>
      </w:r>
      <w:r w:rsidR="00462C73">
        <w:rPr>
          <w:b/>
          <w:lang w:val="fr-CA"/>
        </w:rPr>
        <w:t>, le comité exécutif, à sa 79</w:t>
      </w:r>
      <w:r w:rsidR="00462C73" w:rsidRPr="00462C73">
        <w:rPr>
          <w:b/>
          <w:vertAlign w:val="superscript"/>
          <w:lang w:val="fr-CA"/>
        </w:rPr>
        <w:t>e</w:t>
      </w:r>
      <w:r w:rsidR="00462C73">
        <w:rPr>
          <w:b/>
          <w:lang w:val="fr-CA"/>
        </w:rPr>
        <w:t xml:space="preserve">  réunion, a chargé le </w:t>
      </w:r>
      <w:r w:rsidR="00462C73" w:rsidRPr="00462C73">
        <w:rPr>
          <w:b/>
          <w:lang w:val="fr-CA"/>
        </w:rPr>
        <w:t>Secrétariat « d’inclure dans le document émis à chaque réunion sur l’"Aperçu des questions soulevées pendant l’examen des projets", un résumé des prix des substances règlementées et des produits de remplacement à introduire, tels que communiqués par les entreprises qui demandent du financement dans toutes les nouvelles propositions de projets, incluant des précisions sur toute différence entre ces prix et les prix communiqués dans les rapports de données relatives au programme de pays. » (Décision 79/4)</w:t>
      </w:r>
      <w:r w:rsidR="00462C73">
        <w:rPr>
          <w:b/>
          <w:lang w:val="fr-CA"/>
        </w:rPr>
        <w:t xml:space="preserve"> </w:t>
      </w:r>
    </w:p>
    <w:p w14:paraId="6FEB8E36" w14:textId="77777777" w:rsidR="006510FE" w:rsidRPr="000547CF" w:rsidRDefault="006510FE" w:rsidP="006510FE">
      <w:pPr>
        <w:pStyle w:val="ListParagraph"/>
        <w:spacing w:before="120" w:after="240"/>
        <w:ind w:left="0"/>
        <w:contextualSpacing w:val="0"/>
        <w:jc w:val="both"/>
        <w:rPr>
          <w:b/>
          <w:lang w:val="fr-CA"/>
        </w:rPr>
      </w:pPr>
      <w:r w:rsidRPr="000547CF">
        <w:rPr>
          <w:b/>
          <w:lang w:val="fr-CA"/>
        </w:rPr>
        <w:t>Élaboration et finalisation des PGEH, y compris les consultations</w:t>
      </w:r>
    </w:p>
    <w:p w14:paraId="3ABBA32E" w14:textId="14E4D850" w:rsidR="006510FE" w:rsidRPr="00974325" w:rsidRDefault="006510FE" w:rsidP="006510FE">
      <w:pPr>
        <w:pStyle w:val="Heading1"/>
        <w:rPr>
          <w:lang w:val="fr-CA"/>
        </w:rPr>
      </w:pPr>
      <w:r w:rsidRPr="00117CA1">
        <w:rPr>
          <w:lang w:val="fr-CA"/>
        </w:rPr>
        <w:t>Au moment de l’approbation du financement, on s’attendait à ce que la plupart des PGEH soi</w:t>
      </w:r>
      <w:r>
        <w:rPr>
          <w:lang w:val="fr-CA"/>
        </w:rPr>
        <w:t>en</w:t>
      </w:r>
      <w:r w:rsidRPr="00117CA1">
        <w:rPr>
          <w:lang w:val="fr-CA"/>
        </w:rPr>
        <w:t>t soumis dans les 12</w:t>
      </w:r>
      <w:r>
        <w:rPr>
          <w:lang w:val="fr-CA"/>
        </w:rPr>
        <w:t> </w:t>
      </w:r>
      <w:r w:rsidRPr="00117CA1">
        <w:rPr>
          <w:lang w:val="fr-CA"/>
        </w:rPr>
        <w:t>mois suivant l’approbation du financement des activités de préparation. Les agences d’exécution ont mentionné dans leurs rapports périodiques que le délai de 12</w:t>
      </w:r>
      <w:r>
        <w:rPr>
          <w:lang w:val="fr-CA"/>
        </w:rPr>
        <w:t> </w:t>
      </w:r>
      <w:r w:rsidRPr="00117CA1">
        <w:rPr>
          <w:lang w:val="fr-CA"/>
        </w:rPr>
        <w:t xml:space="preserve">mois n’était pas adéquat, en raison du temps nécessaire </w:t>
      </w:r>
      <w:r>
        <w:rPr>
          <w:lang w:val="fr-CA"/>
        </w:rPr>
        <w:t>pour signer les contrats et les accords entre les gouvernements et les agences et retenir les service</w:t>
      </w:r>
      <w:r w:rsidR="00F623F6">
        <w:rPr>
          <w:lang w:val="fr-CA"/>
        </w:rPr>
        <w:t>s d’experts</w:t>
      </w:r>
      <w:r w:rsidR="007D2FD0">
        <w:rPr>
          <w:lang w:val="fr-CA"/>
        </w:rPr>
        <w:t xml:space="preserve"> </w:t>
      </w:r>
      <w:r w:rsidR="00F623F6">
        <w:rPr>
          <w:lang w:val="fr-CA"/>
        </w:rPr>
        <w:t xml:space="preserve">; de la difficulté à </w:t>
      </w:r>
      <w:r>
        <w:rPr>
          <w:lang w:val="fr-CA"/>
        </w:rPr>
        <w:t>obtenir les données de terrain</w:t>
      </w:r>
      <w:r w:rsidR="007D2FD0">
        <w:rPr>
          <w:lang w:val="fr-CA"/>
        </w:rPr>
        <w:t xml:space="preserve"> </w:t>
      </w:r>
      <w:r>
        <w:rPr>
          <w:lang w:val="fr-CA"/>
        </w:rPr>
        <w:t>; du cha</w:t>
      </w:r>
      <w:r w:rsidR="00F623F6">
        <w:rPr>
          <w:lang w:val="fr-CA"/>
        </w:rPr>
        <w:t>ngement de personnel au sein du Bureau national de l’ozone</w:t>
      </w:r>
      <w:r w:rsidR="007D2FD0">
        <w:rPr>
          <w:lang w:val="fr-CA"/>
        </w:rPr>
        <w:t xml:space="preserve"> </w:t>
      </w:r>
      <w:r>
        <w:rPr>
          <w:lang w:val="fr-CA"/>
        </w:rPr>
        <w:t xml:space="preserve">; et des procédures gouvernementales. </w:t>
      </w:r>
    </w:p>
    <w:p w14:paraId="4B6FF566" w14:textId="70F4FF64" w:rsidR="006510FE" w:rsidRPr="0090484A" w:rsidRDefault="006510FE" w:rsidP="006510FE">
      <w:pPr>
        <w:pStyle w:val="Heading1"/>
        <w:rPr>
          <w:caps/>
          <w:lang w:val="fr-CA"/>
        </w:rPr>
      </w:pPr>
      <w:r w:rsidRPr="00117CA1">
        <w:rPr>
          <w:lang w:val="fr-CA"/>
        </w:rPr>
        <w:lastRenderedPageBreak/>
        <w:t xml:space="preserve">La mobilisation des </w:t>
      </w:r>
      <w:r>
        <w:rPr>
          <w:lang w:val="fr-CA"/>
        </w:rPr>
        <w:t>se</w:t>
      </w:r>
      <w:r w:rsidRPr="00117CA1">
        <w:rPr>
          <w:lang w:val="fr-CA"/>
        </w:rPr>
        <w:t xml:space="preserve">cteurs des utilisateurs de </w:t>
      </w:r>
      <w:r>
        <w:rPr>
          <w:lang w:val="fr-CA"/>
        </w:rPr>
        <w:t>HCFC</w:t>
      </w:r>
      <w:r w:rsidRPr="00117CA1">
        <w:rPr>
          <w:lang w:val="fr-CA"/>
        </w:rPr>
        <w:t xml:space="preserve"> et autres intervenants en vue de mettre en œuvre la stratégie globale convenue a été obtenue </w:t>
      </w:r>
      <w:r>
        <w:rPr>
          <w:lang w:val="fr-CA"/>
        </w:rPr>
        <w:t xml:space="preserve">suite à un long processus de consultation mené au cours de la préparation des PGEH. </w:t>
      </w:r>
      <w:r w:rsidRPr="00117CA1">
        <w:rPr>
          <w:lang w:val="fr-CA"/>
        </w:rPr>
        <w:t>Des consultations ont été or</w:t>
      </w:r>
      <w:r w:rsidR="00F623F6">
        <w:rPr>
          <w:lang w:val="fr-CA"/>
        </w:rPr>
        <w:t>ganisées auprès du Bureau national de l’ozone</w:t>
      </w:r>
      <w:r w:rsidRPr="00117CA1">
        <w:rPr>
          <w:lang w:val="fr-CA"/>
        </w:rPr>
        <w:t xml:space="preserve"> et des intervenants concernés (p.</w:t>
      </w:r>
      <w:r>
        <w:rPr>
          <w:lang w:val="fr-CA"/>
        </w:rPr>
        <w:t> </w:t>
      </w:r>
      <w:r w:rsidRPr="00117CA1">
        <w:rPr>
          <w:lang w:val="fr-CA"/>
        </w:rPr>
        <w:t>ex.,</w:t>
      </w:r>
      <w:r>
        <w:rPr>
          <w:lang w:val="fr-CA"/>
        </w:rPr>
        <w:t xml:space="preserve"> l’industrie et les associations professionnelles) dans le but de définir les principaux éléments entrant dans la préparation des PGEH. </w:t>
      </w:r>
      <w:r w:rsidRPr="00117CA1">
        <w:rPr>
          <w:lang w:val="fr-CA"/>
        </w:rPr>
        <w:t xml:space="preserve">Les documents ne mentionnent pas si des mandats spécifiques ont été établis, </w:t>
      </w:r>
      <w:r>
        <w:rPr>
          <w:lang w:val="fr-CA"/>
        </w:rPr>
        <w:t xml:space="preserve">mais chaque groupe a travaillé sur un aspect précis de l’élaboration des PGEH. </w:t>
      </w:r>
      <w:r w:rsidRPr="00117CA1">
        <w:rPr>
          <w:lang w:val="fr-CA"/>
        </w:rPr>
        <w:t>Dans les pays utilisant des HCFC dans le</w:t>
      </w:r>
      <w:r>
        <w:rPr>
          <w:lang w:val="fr-CA"/>
        </w:rPr>
        <w:t>s</w:t>
      </w:r>
      <w:r w:rsidRPr="00117CA1">
        <w:rPr>
          <w:lang w:val="fr-CA"/>
        </w:rPr>
        <w:t xml:space="preserve"> secteur</w:t>
      </w:r>
      <w:r>
        <w:rPr>
          <w:lang w:val="fr-CA"/>
        </w:rPr>
        <w:t>s</w:t>
      </w:r>
      <w:r w:rsidRPr="00117CA1">
        <w:rPr>
          <w:lang w:val="fr-CA"/>
        </w:rPr>
        <w:t xml:space="preserve"> des mousses et de la fabrication </w:t>
      </w:r>
      <w:r>
        <w:rPr>
          <w:lang w:val="fr-CA"/>
        </w:rPr>
        <w:t xml:space="preserve">de l’équipement de réfrigération, les projets ont été élaborés et présentés dans les PGEH. </w:t>
      </w:r>
      <w:r w:rsidRPr="00262DD2">
        <w:rPr>
          <w:lang w:val="fr-CA"/>
        </w:rPr>
        <w:t>Ceux</w:t>
      </w:r>
      <w:r>
        <w:rPr>
          <w:lang w:val="fr-CA"/>
        </w:rPr>
        <w:noBreakHyphen/>
      </w:r>
      <w:r w:rsidRPr="00262DD2">
        <w:rPr>
          <w:lang w:val="fr-CA"/>
        </w:rPr>
        <w:t xml:space="preserve">ci ont été préparés en collaboration étroite avec les intervenants concernés </w:t>
      </w:r>
      <w:r>
        <w:rPr>
          <w:lang w:val="fr-CA"/>
        </w:rPr>
        <w:t xml:space="preserve">et approuvés par </w:t>
      </w:r>
      <w:r w:rsidR="00F623F6">
        <w:rPr>
          <w:lang w:val="fr-CA"/>
        </w:rPr>
        <w:t>le Bureau national de l’ozone</w:t>
      </w:r>
      <w:r>
        <w:rPr>
          <w:lang w:val="fr-CA"/>
        </w:rPr>
        <w:t>.</w:t>
      </w:r>
      <w:r w:rsidRPr="0090484A">
        <w:rPr>
          <w:lang w:val="fr-CA"/>
        </w:rPr>
        <w:t xml:space="preserve"> </w:t>
      </w:r>
    </w:p>
    <w:p w14:paraId="21263428" w14:textId="01F69126" w:rsidR="006510FE" w:rsidRDefault="006510FE" w:rsidP="006510FE">
      <w:pPr>
        <w:pStyle w:val="Heading1"/>
        <w:rPr>
          <w:lang w:val="fr-CA"/>
        </w:rPr>
      </w:pPr>
      <w:r w:rsidRPr="00262DD2">
        <w:rPr>
          <w:lang w:val="fr-CA"/>
        </w:rPr>
        <w:t xml:space="preserve">La plupart des PGEH </w:t>
      </w:r>
      <w:r>
        <w:rPr>
          <w:lang w:val="fr-CA"/>
        </w:rPr>
        <w:t>ont dû</w:t>
      </w:r>
      <w:r w:rsidRPr="00262DD2">
        <w:rPr>
          <w:lang w:val="fr-CA"/>
        </w:rPr>
        <w:t xml:space="preserve"> faire l’objet d’un processus de consultation auprès des principa</w:t>
      </w:r>
      <w:r>
        <w:rPr>
          <w:lang w:val="fr-CA"/>
        </w:rPr>
        <w:t>les</w:t>
      </w:r>
      <w:r w:rsidRPr="00262DD2">
        <w:rPr>
          <w:lang w:val="fr-CA"/>
        </w:rPr>
        <w:t xml:space="preserve"> parti</w:t>
      </w:r>
      <w:r>
        <w:rPr>
          <w:lang w:val="fr-CA"/>
        </w:rPr>
        <w:t>e</w:t>
      </w:r>
      <w:r w:rsidRPr="00262DD2">
        <w:rPr>
          <w:lang w:val="fr-CA"/>
        </w:rPr>
        <w:t xml:space="preserve">s prenantes. Dans les pays importants, la stratégie </w:t>
      </w:r>
      <w:r>
        <w:rPr>
          <w:lang w:val="fr-CA"/>
        </w:rPr>
        <w:t xml:space="preserve">a </w:t>
      </w:r>
      <w:r w:rsidRPr="00262DD2">
        <w:rPr>
          <w:lang w:val="fr-CA"/>
        </w:rPr>
        <w:t>été établi</w:t>
      </w:r>
      <w:r>
        <w:rPr>
          <w:lang w:val="fr-CA"/>
        </w:rPr>
        <w:t>e</w:t>
      </w:r>
      <w:r w:rsidRPr="00262DD2">
        <w:rPr>
          <w:lang w:val="fr-CA"/>
        </w:rPr>
        <w:t xml:space="preserve"> avec la participation </w:t>
      </w:r>
      <w:r>
        <w:rPr>
          <w:lang w:val="fr-CA"/>
        </w:rPr>
        <w:t xml:space="preserve">de ces dernières et soumise à un processus formel de consultation publique en vue de garantir une approbation générale à l’échelle nationale. </w:t>
      </w:r>
      <w:r w:rsidRPr="00262DD2">
        <w:rPr>
          <w:lang w:val="fr-CA"/>
        </w:rPr>
        <w:t xml:space="preserve">Ainsi, il était très difficile d’apporter des modifications en fonction des rétroactions du Comité exécutif, </w:t>
      </w:r>
      <w:r>
        <w:rPr>
          <w:lang w:val="fr-CA"/>
        </w:rPr>
        <w:t>car certains de ces changements auraient dû faire l’objet du même processus d’approbation nationale.</w:t>
      </w:r>
    </w:p>
    <w:p w14:paraId="6B2B0EFB" w14:textId="64145101" w:rsidR="00F623F6" w:rsidRDefault="00F623F6" w:rsidP="00F623F6">
      <w:pPr>
        <w:pStyle w:val="Heading1"/>
        <w:rPr>
          <w:b/>
          <w:lang w:val="fr-CA"/>
        </w:rPr>
      </w:pPr>
      <w:r w:rsidRPr="00D0004C">
        <w:rPr>
          <w:b/>
          <w:lang w:val="fr-CA"/>
        </w:rPr>
        <w:t>Tous les PGEH de l’étude théorique décrivent la mesure dans laquelle les Bureaux nationaux de l’ozone ont</w:t>
      </w:r>
      <w:r w:rsidR="00D0004C">
        <w:rPr>
          <w:b/>
          <w:lang w:val="fr-CA"/>
        </w:rPr>
        <w:t xml:space="preserve"> dialogué avec d’autres ministères et services gouvernementaux au cours de l’élaboration du PGEH. </w:t>
      </w:r>
      <w:r w:rsidR="00D0004C" w:rsidRPr="00D3055B">
        <w:rPr>
          <w:b/>
          <w:lang w:val="fr-CA"/>
        </w:rPr>
        <w:t>Ces minist</w:t>
      </w:r>
      <w:r w:rsidR="00D3055B" w:rsidRPr="00D3055B">
        <w:rPr>
          <w:b/>
          <w:lang w:val="fr-CA"/>
        </w:rPr>
        <w:t>ères étaient</w:t>
      </w:r>
      <w:r w:rsidR="00D0004C" w:rsidRPr="00D3055B">
        <w:rPr>
          <w:b/>
          <w:lang w:val="fr-CA"/>
        </w:rPr>
        <w:t>, entre autres</w:t>
      </w:r>
      <w:r w:rsidR="007E1B82">
        <w:rPr>
          <w:b/>
          <w:lang w:val="fr-CA"/>
        </w:rPr>
        <w:t xml:space="preserve"> choses</w:t>
      </w:r>
      <w:r w:rsidR="00D0004C" w:rsidRPr="00D3055B">
        <w:rPr>
          <w:b/>
          <w:lang w:val="fr-CA"/>
        </w:rPr>
        <w:t>, les équivalents des ministères des Douanes, des Finances, de l’Éducation, de l’Industrie, du Commerce, des Affaires jur</w:t>
      </w:r>
      <w:r w:rsidR="00D3055B" w:rsidRPr="00D3055B">
        <w:rPr>
          <w:b/>
          <w:lang w:val="fr-CA"/>
        </w:rPr>
        <w:t>idiques et de l’</w:t>
      </w:r>
      <w:r w:rsidR="00D0004C" w:rsidRPr="00D3055B">
        <w:rPr>
          <w:b/>
          <w:lang w:val="fr-CA"/>
        </w:rPr>
        <w:t>Environnement (lorsque le Bureau national de l’ozone était situé dans un autre ministère). Par contre, la coordination avec d’autres services gouvernementaux</w:t>
      </w:r>
      <w:r w:rsidR="00D0004C">
        <w:rPr>
          <w:b/>
          <w:lang w:val="fr-CA"/>
        </w:rPr>
        <w:t>, tels que ceux liés aux politiques d’efficacité énergétique, n’a pas été développé</w:t>
      </w:r>
      <w:r w:rsidR="00D3055B">
        <w:rPr>
          <w:b/>
          <w:lang w:val="fr-CA"/>
        </w:rPr>
        <w:t>e</w:t>
      </w:r>
      <w:r w:rsidR="00D0004C">
        <w:rPr>
          <w:b/>
          <w:lang w:val="fr-CA"/>
        </w:rPr>
        <w:t xml:space="preserve"> à son plein potentiel.</w:t>
      </w:r>
    </w:p>
    <w:p w14:paraId="3CDC0402" w14:textId="068F743E" w:rsidR="00D0004C" w:rsidRPr="00D0004C" w:rsidRDefault="00FF52B0" w:rsidP="00D0004C">
      <w:pPr>
        <w:pStyle w:val="Heading1"/>
        <w:rPr>
          <w:lang w:val="fr-CA"/>
        </w:rPr>
      </w:pPr>
      <w:r>
        <w:rPr>
          <w:b/>
          <w:lang w:val="fr-CA"/>
        </w:rPr>
        <w:t xml:space="preserve">À ce jour, les activités et processus du Fonds multilatéral ont surtout porté sur l’élimination des SAO. </w:t>
      </w:r>
      <w:r w:rsidR="00CA5415">
        <w:rPr>
          <w:b/>
          <w:lang w:val="fr-CA"/>
        </w:rPr>
        <w:t>Le</w:t>
      </w:r>
      <w:r>
        <w:rPr>
          <w:b/>
          <w:lang w:val="fr-CA"/>
        </w:rPr>
        <w:t xml:space="preserve"> Fonds multilatéral</w:t>
      </w:r>
      <w:r w:rsidR="00CA5415">
        <w:rPr>
          <w:b/>
          <w:lang w:val="fr-CA"/>
        </w:rPr>
        <w:t xml:space="preserve">, grâce aux directives des Réunions des Parties, </w:t>
      </w:r>
      <w:r>
        <w:rPr>
          <w:b/>
          <w:lang w:val="fr-CA"/>
        </w:rPr>
        <w:t xml:space="preserve">a développé </w:t>
      </w:r>
      <w:r w:rsidR="00CA5415">
        <w:rPr>
          <w:b/>
          <w:lang w:val="fr-CA"/>
        </w:rPr>
        <w:t xml:space="preserve">au fil des ans </w:t>
      </w:r>
      <w:r>
        <w:rPr>
          <w:b/>
          <w:lang w:val="fr-CA"/>
        </w:rPr>
        <w:t>des lignes directrices et des critères pour le financement de projets pour éliminer les SAO. Ses activités et processus sont singulièrement ciblées à cet égard. D’autres institutions de financement multilatéral, telles que le Fonds pour l’environnement mondial (FEM), fournissent un soutien financier pour l’élimination des SAO à des pays à économie en transition.</w:t>
      </w:r>
    </w:p>
    <w:p w14:paraId="51AB9DCC" w14:textId="77777777" w:rsidR="006510FE" w:rsidRPr="00262DD2" w:rsidRDefault="006510FE" w:rsidP="006510FE">
      <w:pPr>
        <w:spacing w:after="240"/>
        <w:rPr>
          <w:b/>
          <w:lang w:val="fr-CA"/>
        </w:rPr>
      </w:pPr>
      <w:r w:rsidRPr="00262DD2">
        <w:rPr>
          <w:b/>
          <w:lang w:val="fr-CA"/>
        </w:rPr>
        <w:t>Enseignements tirés en vue de faciliter la mise en œuvre de l’Amendement de Kigali</w:t>
      </w:r>
    </w:p>
    <w:p w14:paraId="3FD18EF3" w14:textId="31286C1E" w:rsidR="006510FE" w:rsidRPr="00293BD0" w:rsidDel="00C26A3A" w:rsidRDefault="006510FE" w:rsidP="006510FE">
      <w:pPr>
        <w:pStyle w:val="Heading1"/>
        <w:rPr>
          <w:spacing w:val="12"/>
          <w:lang w:val="fr-CA"/>
        </w:rPr>
      </w:pPr>
      <w:r>
        <w:rPr>
          <w:lang w:val="fr-CA"/>
        </w:rPr>
        <w:t> L’</w:t>
      </w:r>
      <w:r w:rsidRPr="00262DD2">
        <w:rPr>
          <w:lang w:val="fr-CA"/>
        </w:rPr>
        <w:t>Amendement de Kigali entrera en vigueur</w:t>
      </w:r>
      <w:r>
        <w:rPr>
          <w:lang w:val="fr-CA"/>
        </w:rPr>
        <w:t xml:space="preserve"> à compter du</w:t>
      </w:r>
      <w:r w:rsidRPr="00262DD2">
        <w:rPr>
          <w:lang w:val="fr-CA"/>
        </w:rPr>
        <w:t xml:space="preserve"> 1</w:t>
      </w:r>
      <w:r w:rsidRPr="00293BD0">
        <w:rPr>
          <w:vertAlign w:val="superscript"/>
          <w:lang w:val="fr-CA"/>
        </w:rPr>
        <w:t>er</w:t>
      </w:r>
      <w:r>
        <w:rPr>
          <w:lang w:val="fr-CA"/>
        </w:rPr>
        <w:t> </w:t>
      </w:r>
      <w:r w:rsidRPr="00262DD2">
        <w:rPr>
          <w:lang w:val="fr-CA"/>
        </w:rPr>
        <w:t>janvier</w:t>
      </w:r>
      <w:r>
        <w:rPr>
          <w:lang w:val="fr-CA"/>
        </w:rPr>
        <w:t> </w:t>
      </w:r>
      <w:r w:rsidRPr="00262DD2">
        <w:rPr>
          <w:lang w:val="fr-CA"/>
        </w:rPr>
        <w:t xml:space="preserve">2019. </w:t>
      </w:r>
      <w:r>
        <w:rPr>
          <w:lang w:val="fr-CA"/>
        </w:rPr>
        <w:t xml:space="preserve">Il regroupe les pays visés à l’article 5 en deux catégories selon les dates cibles </w:t>
      </w:r>
      <w:r w:rsidR="00D3055B">
        <w:rPr>
          <w:lang w:val="fr-CA"/>
        </w:rPr>
        <w:t>de réduction</w:t>
      </w:r>
      <w:r>
        <w:rPr>
          <w:lang w:val="fr-CA"/>
        </w:rPr>
        <w:t xml:space="preserve"> progressive. </w:t>
      </w:r>
      <w:r w:rsidRPr="00262DD2">
        <w:rPr>
          <w:lang w:val="fr-CA"/>
        </w:rPr>
        <w:t>Le groupe</w:t>
      </w:r>
      <w:r>
        <w:rPr>
          <w:lang w:val="fr-CA"/>
        </w:rPr>
        <w:t> 1</w:t>
      </w:r>
      <w:r w:rsidRPr="00262DD2">
        <w:rPr>
          <w:lang w:val="fr-CA"/>
        </w:rPr>
        <w:t xml:space="preserve"> qui englobe la majorité des pays visés à l’article</w:t>
      </w:r>
      <w:r>
        <w:rPr>
          <w:lang w:val="fr-CA"/>
        </w:rPr>
        <w:t> </w:t>
      </w:r>
      <w:r w:rsidRPr="00262DD2">
        <w:rPr>
          <w:lang w:val="fr-CA"/>
        </w:rPr>
        <w:t xml:space="preserve">5 </w:t>
      </w:r>
      <w:r>
        <w:rPr>
          <w:lang w:val="fr-CA"/>
        </w:rPr>
        <w:t>gèlera sa</w:t>
      </w:r>
      <w:r w:rsidRPr="00262DD2">
        <w:rPr>
          <w:lang w:val="fr-CA"/>
        </w:rPr>
        <w:t xml:space="preserve"> consommation de HCFC </w:t>
      </w:r>
      <w:r>
        <w:rPr>
          <w:lang w:val="fr-CA"/>
        </w:rPr>
        <w:t>d’ici 2024, tandis que les pays appartenant au groupe 2</w:t>
      </w:r>
      <w:r>
        <w:rPr>
          <w:rStyle w:val="FootnoteReference"/>
          <w:rFonts w:eastAsiaTheme="minorHAnsi"/>
        </w:rPr>
        <w:footnoteReference w:id="9"/>
      </w:r>
      <w:r w:rsidRPr="00293BD0">
        <w:rPr>
          <w:lang w:val="fr-CA"/>
        </w:rPr>
        <w:t xml:space="preserve"> le fer</w:t>
      </w:r>
      <w:r>
        <w:rPr>
          <w:lang w:val="fr-CA"/>
        </w:rPr>
        <w:t>ont</w:t>
      </w:r>
      <w:r w:rsidRPr="00293BD0">
        <w:rPr>
          <w:lang w:val="fr-CA"/>
        </w:rPr>
        <w:t xml:space="preserve"> d’ici 2028. </w:t>
      </w:r>
    </w:p>
    <w:p w14:paraId="6565D312" w14:textId="3B8E568F" w:rsidR="006510FE" w:rsidRPr="00FF27B2" w:rsidRDefault="001C7AC0" w:rsidP="006510FE">
      <w:pPr>
        <w:pStyle w:val="Heading1"/>
        <w:rPr>
          <w:lang w:val="fr-CA"/>
        </w:rPr>
      </w:pPr>
      <w:r>
        <w:rPr>
          <w:lang w:val="fr-CA"/>
        </w:rPr>
        <w:t>Afin de permettre aux P</w:t>
      </w:r>
      <w:r w:rsidR="006510FE" w:rsidRPr="00FF27B2">
        <w:rPr>
          <w:lang w:val="fr-CA"/>
        </w:rPr>
        <w:t>arties visées à l’article 5 de transmettre les valeurs de r</w:t>
      </w:r>
      <w:r w:rsidR="006510FE">
        <w:rPr>
          <w:lang w:val="fr-CA"/>
        </w:rPr>
        <w:t>é</w:t>
      </w:r>
      <w:r w:rsidR="006510FE" w:rsidRPr="00FF27B2">
        <w:rPr>
          <w:lang w:val="fr-CA"/>
        </w:rPr>
        <w:t>f</w:t>
      </w:r>
      <w:r w:rsidR="006510FE">
        <w:rPr>
          <w:lang w:val="fr-CA"/>
        </w:rPr>
        <w:t>é</w:t>
      </w:r>
      <w:r w:rsidR="006510FE" w:rsidRPr="00FF27B2">
        <w:rPr>
          <w:lang w:val="fr-CA"/>
        </w:rPr>
        <w:t xml:space="preserve">rence des HCFC réelles, la trentième Réunion des Parties a décidé de prier le Comité </w:t>
      </w:r>
      <w:r>
        <w:rPr>
          <w:lang w:val="fr-CA"/>
        </w:rPr>
        <w:t>d’application</w:t>
      </w:r>
      <w:r w:rsidR="006510FE" w:rsidRPr="00FF27B2">
        <w:rPr>
          <w:lang w:val="fr-CA"/>
        </w:rPr>
        <w:t xml:space="preserve"> et la Réunion des Parties de reporter </w:t>
      </w:r>
      <w:r w:rsidR="006510FE">
        <w:rPr>
          <w:lang w:val="fr-CA"/>
        </w:rPr>
        <w:t xml:space="preserve">l’examen de l’état de communication des données de consommation de référence des </w:t>
      </w:r>
      <w:r w:rsidR="006510FE" w:rsidRPr="00FF27B2">
        <w:rPr>
          <w:lang w:val="fr-CA"/>
        </w:rPr>
        <w:t xml:space="preserve">HCFC </w:t>
      </w:r>
      <w:r w:rsidR="006510FE">
        <w:rPr>
          <w:lang w:val="fr-CA"/>
        </w:rPr>
        <w:t>au titre de l’a</w:t>
      </w:r>
      <w:r w:rsidR="006510FE" w:rsidRPr="00FF27B2">
        <w:rPr>
          <w:lang w:val="fr-CA"/>
        </w:rPr>
        <w:t>rticle</w:t>
      </w:r>
      <w:r w:rsidR="006510FE">
        <w:rPr>
          <w:lang w:val="fr-CA"/>
        </w:rPr>
        <w:t> </w:t>
      </w:r>
      <w:r w:rsidR="006510FE" w:rsidRPr="00FF27B2">
        <w:rPr>
          <w:lang w:val="fr-CA"/>
        </w:rPr>
        <w:t xml:space="preserve">7 </w:t>
      </w:r>
      <w:r w:rsidR="006510FE">
        <w:rPr>
          <w:lang w:val="fr-CA"/>
        </w:rPr>
        <w:t>jusqu’à neuf mois après la fin de chaque année de la période visée,</w:t>
      </w:r>
      <w:r w:rsidR="006510FE" w:rsidRPr="00FF27B2">
        <w:rPr>
          <w:lang w:val="fr-CA"/>
        </w:rPr>
        <w:t xml:space="preserve"> </w:t>
      </w:r>
      <w:r w:rsidR="006510FE">
        <w:rPr>
          <w:lang w:val="fr-CA"/>
        </w:rPr>
        <w:t xml:space="preserve">selon le groupe de </w:t>
      </w:r>
      <w:r>
        <w:rPr>
          <w:lang w:val="fr-CA"/>
        </w:rPr>
        <w:t>P</w:t>
      </w:r>
      <w:r w:rsidR="006510FE">
        <w:rPr>
          <w:lang w:val="fr-CA"/>
        </w:rPr>
        <w:t>arties concerné</w:t>
      </w:r>
      <w:r w:rsidR="006510FE" w:rsidRPr="00FF27B2">
        <w:rPr>
          <w:lang w:val="fr-CA"/>
        </w:rPr>
        <w:t xml:space="preserve"> (d</w:t>
      </w:r>
      <w:r w:rsidR="006510FE">
        <w:rPr>
          <w:lang w:val="fr-CA"/>
        </w:rPr>
        <w:t>é</w:t>
      </w:r>
      <w:r w:rsidR="006510FE" w:rsidRPr="00FF27B2">
        <w:rPr>
          <w:lang w:val="fr-CA"/>
        </w:rPr>
        <w:t xml:space="preserve">cision XXX/11). </w:t>
      </w:r>
    </w:p>
    <w:p w14:paraId="0E5F4EBB" w14:textId="77777777" w:rsidR="006510FE" w:rsidRPr="00262DD2" w:rsidRDefault="006510FE" w:rsidP="006510FE">
      <w:pPr>
        <w:pStyle w:val="Heading1"/>
        <w:rPr>
          <w:lang w:val="fr-CA"/>
        </w:rPr>
      </w:pPr>
      <w:r w:rsidRPr="00262DD2">
        <w:rPr>
          <w:lang w:val="fr-CA"/>
        </w:rPr>
        <w:t xml:space="preserve">Les aspects qui devraient différer au niveau de la mise en œuvre des activités de préparation de l’élimination des HCFC </w:t>
      </w:r>
      <w:r>
        <w:rPr>
          <w:lang w:val="fr-CA"/>
        </w:rPr>
        <w:t xml:space="preserve">par rapport aux PGEH sont les suivants : </w:t>
      </w:r>
    </w:p>
    <w:p w14:paraId="795C12B4" w14:textId="29E6F538" w:rsidR="006510FE" w:rsidRPr="00ED076B" w:rsidRDefault="006510FE" w:rsidP="006510FE">
      <w:pPr>
        <w:pStyle w:val="Heading2"/>
        <w:rPr>
          <w:lang w:val="fr-CA"/>
        </w:rPr>
      </w:pPr>
      <w:r w:rsidRPr="0019115F">
        <w:rPr>
          <w:lang w:val="fr-CA"/>
        </w:rPr>
        <w:t>En 2018, le</w:t>
      </w:r>
      <w:r>
        <w:rPr>
          <w:lang w:val="fr-CA"/>
        </w:rPr>
        <w:t>s</w:t>
      </w:r>
      <w:r w:rsidRPr="0019115F">
        <w:rPr>
          <w:lang w:val="fr-CA"/>
        </w:rPr>
        <w:t xml:space="preserve"> code</w:t>
      </w:r>
      <w:r>
        <w:rPr>
          <w:lang w:val="fr-CA"/>
        </w:rPr>
        <w:t>s</w:t>
      </w:r>
      <w:r w:rsidRPr="0019115F">
        <w:rPr>
          <w:lang w:val="fr-CA"/>
        </w:rPr>
        <w:t xml:space="preserve"> des douanes spécifiques au</w:t>
      </w:r>
      <w:r>
        <w:rPr>
          <w:lang w:val="fr-CA"/>
        </w:rPr>
        <w:t>x</w:t>
      </w:r>
      <w:r w:rsidRPr="0019115F">
        <w:rPr>
          <w:lang w:val="fr-CA"/>
        </w:rPr>
        <w:t xml:space="preserve"> </w:t>
      </w:r>
      <w:r>
        <w:rPr>
          <w:lang w:val="fr-CA"/>
        </w:rPr>
        <w:t>HCFC</w:t>
      </w:r>
      <w:r w:rsidRPr="0019115F">
        <w:rPr>
          <w:lang w:val="fr-CA"/>
        </w:rPr>
        <w:t xml:space="preserve"> et à leurs mélanges </w:t>
      </w:r>
      <w:r>
        <w:rPr>
          <w:lang w:val="fr-CA"/>
        </w:rPr>
        <w:t>au titre du</w:t>
      </w:r>
      <w:r w:rsidRPr="0019115F">
        <w:rPr>
          <w:lang w:val="fr-CA"/>
        </w:rPr>
        <w:t xml:space="preserve"> </w:t>
      </w:r>
      <w:r w:rsidRPr="0019115F">
        <w:rPr>
          <w:lang w:val="fr-CA"/>
        </w:rPr>
        <w:lastRenderedPageBreak/>
        <w:t>système harmonisé avai</w:t>
      </w:r>
      <w:r>
        <w:rPr>
          <w:lang w:val="fr-CA"/>
        </w:rPr>
        <w:t>en</w:t>
      </w:r>
      <w:r w:rsidRPr="0019115F">
        <w:rPr>
          <w:lang w:val="fr-CA"/>
        </w:rPr>
        <w:t>t seulement été adopté</w:t>
      </w:r>
      <w:r>
        <w:rPr>
          <w:lang w:val="fr-CA"/>
        </w:rPr>
        <w:t>s</w:t>
      </w:r>
      <w:r w:rsidRPr="0019115F">
        <w:rPr>
          <w:lang w:val="fr-CA"/>
        </w:rPr>
        <w:t xml:space="preserve"> de manière provisoire; le </w:t>
      </w:r>
      <w:r>
        <w:rPr>
          <w:lang w:val="fr-CA"/>
        </w:rPr>
        <w:t>C</w:t>
      </w:r>
      <w:r w:rsidRPr="0019115F">
        <w:rPr>
          <w:lang w:val="fr-CA"/>
        </w:rPr>
        <w:t xml:space="preserve">omité du système harmonisé </w:t>
      </w:r>
      <w:r>
        <w:rPr>
          <w:lang w:val="fr-CA"/>
        </w:rPr>
        <w:t xml:space="preserve">devrait examiner ces codes </w:t>
      </w:r>
      <w:r w:rsidRPr="0019115F">
        <w:rPr>
          <w:lang w:val="fr-CA"/>
        </w:rPr>
        <w:t>à sa 63</w:t>
      </w:r>
      <w:r w:rsidRPr="004D1686">
        <w:rPr>
          <w:vertAlign w:val="superscript"/>
          <w:lang w:val="fr-CA"/>
        </w:rPr>
        <w:t>e</w:t>
      </w:r>
      <w:r>
        <w:rPr>
          <w:lang w:val="fr-CA"/>
        </w:rPr>
        <w:t> </w:t>
      </w:r>
      <w:r w:rsidRPr="0019115F">
        <w:rPr>
          <w:lang w:val="fr-CA"/>
        </w:rPr>
        <w:t>réunion, en mars</w:t>
      </w:r>
      <w:r>
        <w:rPr>
          <w:lang w:val="fr-CA"/>
        </w:rPr>
        <w:t> </w:t>
      </w:r>
      <w:r w:rsidRPr="0019115F">
        <w:rPr>
          <w:lang w:val="fr-CA"/>
        </w:rPr>
        <w:t xml:space="preserve">2019, </w:t>
      </w:r>
      <w:r>
        <w:rPr>
          <w:lang w:val="fr-CA"/>
        </w:rPr>
        <w:t>lesquels</w:t>
      </w:r>
      <w:r w:rsidRPr="0019115F">
        <w:rPr>
          <w:lang w:val="fr-CA"/>
        </w:rPr>
        <w:t xml:space="preserve"> pourrai</w:t>
      </w:r>
      <w:r>
        <w:rPr>
          <w:lang w:val="fr-CA"/>
        </w:rPr>
        <w:t>en</w:t>
      </w:r>
      <w:r w:rsidRPr="0019115F">
        <w:rPr>
          <w:lang w:val="fr-CA"/>
        </w:rPr>
        <w:t>t être approuvé</w:t>
      </w:r>
      <w:r>
        <w:rPr>
          <w:lang w:val="fr-CA"/>
        </w:rPr>
        <w:t>s</w:t>
      </w:r>
      <w:r w:rsidRPr="0019115F">
        <w:rPr>
          <w:lang w:val="fr-CA"/>
        </w:rPr>
        <w:t xml:space="preserve"> par </w:t>
      </w:r>
      <w:r>
        <w:rPr>
          <w:lang w:val="fr-CA"/>
        </w:rPr>
        <w:t>le Conseil de l’Organisation mondiale des douanes, en juin 2019, ce qui fait que ceux-ci entreraient en vigueur le 1</w:t>
      </w:r>
      <w:r w:rsidRPr="0019115F">
        <w:rPr>
          <w:vertAlign w:val="superscript"/>
          <w:lang w:val="fr-CA"/>
        </w:rPr>
        <w:t>er</w:t>
      </w:r>
      <w:r>
        <w:rPr>
          <w:lang w:val="fr-CA"/>
        </w:rPr>
        <w:t> janvier 2022.</w:t>
      </w:r>
      <w:r>
        <w:rPr>
          <w:rStyle w:val="FootnoteReference"/>
          <w:rFonts w:eastAsiaTheme="minorHAnsi"/>
        </w:rPr>
        <w:footnoteReference w:id="10"/>
      </w:r>
      <w:r w:rsidRPr="004D1686">
        <w:rPr>
          <w:lang w:val="fr-CA"/>
        </w:rPr>
        <w:t xml:space="preserve"> </w:t>
      </w:r>
      <w:r>
        <w:rPr>
          <w:lang w:val="fr-CA"/>
        </w:rPr>
        <w:t>Ainsi</w:t>
      </w:r>
      <w:r w:rsidRPr="0019115F">
        <w:rPr>
          <w:lang w:val="fr-CA"/>
        </w:rPr>
        <w:t xml:space="preserve">, il pourrait être difficile de mettre en place </w:t>
      </w:r>
      <w:r>
        <w:rPr>
          <w:lang w:val="fr-CA"/>
        </w:rPr>
        <w:t>un contrôle spécifique sur les HCFC. Étant donné que le système harmonisé des codes de douanes n’a pas encore été officiellement adopté et entrerait en vigueur au plus tôt le 1</w:t>
      </w:r>
      <w:r w:rsidRPr="0019115F">
        <w:rPr>
          <w:vertAlign w:val="superscript"/>
          <w:lang w:val="fr-CA"/>
        </w:rPr>
        <w:t>er</w:t>
      </w:r>
      <w:r>
        <w:rPr>
          <w:lang w:val="fr-CA"/>
        </w:rPr>
        <w:t xml:space="preserve"> janvier 2022, les pays devront penser à établir de manière temporaire un système fiable d’enregistrement des importations de HCFC. Un tel </w:t>
      </w:r>
      <w:r w:rsidRPr="0019115F">
        <w:rPr>
          <w:lang w:val="fr-CA"/>
        </w:rPr>
        <w:t xml:space="preserve">système </w:t>
      </w:r>
      <w:r>
        <w:rPr>
          <w:lang w:val="fr-CA"/>
        </w:rPr>
        <w:t>temporaire</w:t>
      </w:r>
      <w:r w:rsidRPr="0019115F">
        <w:rPr>
          <w:lang w:val="fr-CA"/>
        </w:rPr>
        <w:t xml:space="preserve"> </w:t>
      </w:r>
      <w:r>
        <w:rPr>
          <w:lang w:val="fr-CA"/>
        </w:rPr>
        <w:t xml:space="preserve">pourrait être fondé </w:t>
      </w:r>
      <w:r w:rsidRPr="0019115F">
        <w:rPr>
          <w:lang w:val="fr-CA"/>
        </w:rPr>
        <w:t xml:space="preserve">sur des codes </w:t>
      </w:r>
      <w:r>
        <w:rPr>
          <w:lang w:val="fr-CA"/>
        </w:rPr>
        <w:t xml:space="preserve">adoptés de manière provisoire, vu que les codes du système harmonisé n’ont pas encore été officiellement adoptés. La plupart des pays sont en train de mettre en œuvre la phase I ou la phase II de leurs PGEH (certains les deux), ce qui inclut les budgets pour la surveillance et la mise en œuvre. L’infrastructure et les ressources disponibles pourraient faciliter le travail supplémentaire requis pour la préparation de plans </w:t>
      </w:r>
      <w:r w:rsidR="001C7AC0">
        <w:rPr>
          <w:lang w:val="fr-CA"/>
        </w:rPr>
        <w:t>de réduction</w:t>
      </w:r>
      <w:r>
        <w:rPr>
          <w:lang w:val="fr-CA"/>
        </w:rPr>
        <w:t xml:space="preserve"> progressive des HCFC, à condition que l’objectif premier de ces ressources soit maintenu aux fins de conformité avec les mesures de réglementation des HCFC et de mise en œuvre des activités d’élimination des HCFC</w:t>
      </w:r>
      <w:r w:rsidR="007D2FD0">
        <w:rPr>
          <w:lang w:val="fr-CA"/>
        </w:rPr>
        <w:t xml:space="preserve"> </w:t>
      </w:r>
      <w:r>
        <w:rPr>
          <w:lang w:val="fr-CA"/>
        </w:rPr>
        <w:t>;</w:t>
      </w:r>
    </w:p>
    <w:p w14:paraId="5C467B20" w14:textId="33D03380" w:rsidR="006510FE" w:rsidRPr="007722EC" w:rsidRDefault="006510FE" w:rsidP="006510FE">
      <w:pPr>
        <w:pStyle w:val="Heading2"/>
        <w:rPr>
          <w:lang w:val="fr-CA"/>
        </w:rPr>
      </w:pPr>
      <w:r>
        <w:rPr>
          <w:lang w:val="fr-CA"/>
        </w:rPr>
        <w:t xml:space="preserve">Au moment de la préparation de la phase I des PGEH, les HCFC étaient déjà des substances réglementées et les pays déclaraient leur consommation et leur production depuis des années. Les obligations, telles que le fait de </w:t>
      </w:r>
      <w:r w:rsidR="00467B79">
        <w:rPr>
          <w:lang w:val="fr-CA"/>
        </w:rPr>
        <w:t>se doter</w:t>
      </w:r>
      <w:r>
        <w:rPr>
          <w:lang w:val="fr-CA"/>
        </w:rPr>
        <w:t xml:space="preserve"> d’un </w:t>
      </w:r>
      <w:r w:rsidR="00467B79">
        <w:rPr>
          <w:lang w:val="fr-CA"/>
        </w:rPr>
        <w:t>programme</w:t>
      </w:r>
      <w:r>
        <w:rPr>
          <w:lang w:val="fr-CA"/>
        </w:rPr>
        <w:t xml:space="preserve"> d’octroi de </w:t>
      </w:r>
      <w:r w:rsidR="00392991">
        <w:rPr>
          <w:lang w:val="fr-CA"/>
        </w:rPr>
        <w:t>permis</w:t>
      </w:r>
      <w:r>
        <w:rPr>
          <w:lang w:val="fr-CA"/>
        </w:rPr>
        <w:t xml:space="preserve"> conformément à l’article 4B du Protocole de Montréal, s’appliquaient aux HCFC. En revanche, les HCFC deviendront des substances réglementées au titre du Protocole de Montréal à compter du 1</w:t>
      </w:r>
      <w:r w:rsidRPr="00ED076B">
        <w:rPr>
          <w:vertAlign w:val="superscript"/>
          <w:lang w:val="fr-CA"/>
        </w:rPr>
        <w:t>er</w:t>
      </w:r>
      <w:r>
        <w:rPr>
          <w:lang w:val="fr-CA"/>
        </w:rPr>
        <w:t> janvier 2019, et même si les importateurs et les secteurs d’utilisateurs sont souvent les mêmes, on n’a pas encore effectué de collecte systématique des données relatives à ce groupe de substances, avec les rapports nécessaires, sauf dans le cas d’un exercice ponctuel de l’enquête sur les substances de remplacement des SAO. L’attribution d’un financement pour l’élaboration des politiques au cours de la préparation de la phase I a donné des résultats positifs, et même si aucun fonds n’a été alloué à la préparation de la phase II, le processus de préparation des premiers plans d’élimination des HCFC serait très semblable à celui de la phase I, et les pays auraient avantage à démarrer le plus rapidement possible l’enregistrement et le contrôle officiels des afflux de HCFC</w:t>
      </w:r>
      <w:r w:rsidR="007D2FD0">
        <w:rPr>
          <w:lang w:val="fr-CA"/>
        </w:rPr>
        <w:t xml:space="preserve"> </w:t>
      </w:r>
      <w:r>
        <w:rPr>
          <w:lang w:val="fr-CA"/>
        </w:rPr>
        <w:t>;</w:t>
      </w:r>
    </w:p>
    <w:p w14:paraId="16EE5EA8" w14:textId="5560276B" w:rsidR="006510FE" w:rsidRPr="000547CF" w:rsidRDefault="006510FE" w:rsidP="006510FE">
      <w:pPr>
        <w:pStyle w:val="Heading2"/>
        <w:rPr>
          <w:lang w:val="fr-CA"/>
        </w:rPr>
      </w:pPr>
      <w:r>
        <w:rPr>
          <w:lang w:val="fr-CA"/>
        </w:rPr>
        <w:t xml:space="preserve">Les </w:t>
      </w:r>
      <w:r w:rsidR="00467B79">
        <w:rPr>
          <w:lang w:val="fr-CA"/>
        </w:rPr>
        <w:t>programmes</w:t>
      </w:r>
      <w:r w:rsidRPr="00ED076B">
        <w:rPr>
          <w:lang w:val="fr-CA"/>
        </w:rPr>
        <w:t xml:space="preserve"> d’octroi de </w:t>
      </w:r>
      <w:r w:rsidR="00392991">
        <w:rPr>
          <w:lang w:val="fr-CA"/>
        </w:rPr>
        <w:t>permis</w:t>
      </w:r>
      <w:r w:rsidRPr="00ED076B">
        <w:rPr>
          <w:lang w:val="fr-CA"/>
        </w:rPr>
        <w:t xml:space="preserve"> </w:t>
      </w:r>
      <w:r>
        <w:rPr>
          <w:lang w:val="fr-CA"/>
        </w:rPr>
        <w:t xml:space="preserve">et </w:t>
      </w:r>
      <w:r w:rsidRPr="00ED076B">
        <w:rPr>
          <w:lang w:val="fr-CA"/>
        </w:rPr>
        <w:t xml:space="preserve">de quotas pour les importations ont déjà une base solide de même que </w:t>
      </w:r>
      <w:r>
        <w:rPr>
          <w:lang w:val="fr-CA"/>
        </w:rPr>
        <w:t xml:space="preserve">ceux </w:t>
      </w:r>
      <w:r w:rsidRPr="00ED076B">
        <w:rPr>
          <w:lang w:val="fr-CA"/>
        </w:rPr>
        <w:t>pour les exportations et la production de H</w:t>
      </w:r>
      <w:r>
        <w:rPr>
          <w:lang w:val="fr-CA"/>
        </w:rPr>
        <w:t>C</w:t>
      </w:r>
      <w:r w:rsidRPr="00ED076B">
        <w:rPr>
          <w:lang w:val="fr-CA"/>
        </w:rPr>
        <w:t xml:space="preserve">FC, le cas échéant. Cela pourra éventuellement faciliter le processus d’établissement de </w:t>
      </w:r>
      <w:r w:rsidR="00467B79">
        <w:rPr>
          <w:lang w:val="fr-CA"/>
        </w:rPr>
        <w:t>programmes</w:t>
      </w:r>
      <w:r w:rsidRPr="00ED076B">
        <w:rPr>
          <w:lang w:val="fr-CA"/>
        </w:rPr>
        <w:t xml:space="preserve"> de </w:t>
      </w:r>
      <w:r w:rsidR="00392991">
        <w:rPr>
          <w:lang w:val="fr-CA"/>
        </w:rPr>
        <w:t>permis</w:t>
      </w:r>
      <w:r w:rsidRPr="00ED076B">
        <w:rPr>
          <w:lang w:val="fr-CA"/>
        </w:rPr>
        <w:t xml:space="preserve"> et autres mesures de réglementation liée</w:t>
      </w:r>
      <w:r>
        <w:rPr>
          <w:lang w:val="fr-CA"/>
        </w:rPr>
        <w:t>s</w:t>
      </w:r>
      <w:r w:rsidRPr="00ED076B">
        <w:rPr>
          <w:lang w:val="fr-CA"/>
        </w:rPr>
        <w:t xml:space="preserve"> au</w:t>
      </w:r>
      <w:r>
        <w:rPr>
          <w:lang w:val="fr-CA"/>
        </w:rPr>
        <w:t>x</w:t>
      </w:r>
      <w:r w:rsidRPr="00ED076B">
        <w:rPr>
          <w:lang w:val="fr-CA"/>
        </w:rPr>
        <w:t xml:space="preserve"> </w:t>
      </w:r>
      <w:r>
        <w:rPr>
          <w:lang w:val="fr-CA"/>
        </w:rPr>
        <w:t>HCFC, le cadre réglementaire général étant déjà en place</w:t>
      </w:r>
      <w:r w:rsidR="007D2FD0">
        <w:rPr>
          <w:lang w:val="fr-CA"/>
        </w:rPr>
        <w:t xml:space="preserve"> </w:t>
      </w:r>
      <w:r>
        <w:rPr>
          <w:lang w:val="fr-CA"/>
        </w:rPr>
        <w:t>;</w:t>
      </w:r>
    </w:p>
    <w:p w14:paraId="51B21950" w14:textId="47D36431" w:rsidR="006510FE" w:rsidRPr="00ED076B" w:rsidRDefault="006510FE" w:rsidP="006510FE">
      <w:pPr>
        <w:pStyle w:val="Heading2"/>
        <w:rPr>
          <w:lang w:val="fr-CA"/>
        </w:rPr>
      </w:pPr>
      <w:r w:rsidRPr="00ED076B">
        <w:rPr>
          <w:lang w:val="fr-CA"/>
        </w:rPr>
        <w:t xml:space="preserve">Vu </w:t>
      </w:r>
      <w:r>
        <w:rPr>
          <w:lang w:val="fr-CA"/>
        </w:rPr>
        <w:t>l</w:t>
      </w:r>
      <w:r w:rsidRPr="00ED076B">
        <w:rPr>
          <w:lang w:val="fr-CA"/>
        </w:rPr>
        <w:t>’expérience acquise avec le</w:t>
      </w:r>
      <w:r>
        <w:rPr>
          <w:lang w:val="fr-CA"/>
        </w:rPr>
        <w:t>s</w:t>
      </w:r>
      <w:r w:rsidRPr="00ED076B">
        <w:rPr>
          <w:lang w:val="fr-CA"/>
        </w:rPr>
        <w:t xml:space="preserve"> </w:t>
      </w:r>
      <w:r>
        <w:rPr>
          <w:lang w:val="fr-CA"/>
        </w:rPr>
        <w:t>c</w:t>
      </w:r>
      <w:r w:rsidRPr="00ED076B">
        <w:rPr>
          <w:lang w:val="fr-CA"/>
        </w:rPr>
        <w:t>adre</w:t>
      </w:r>
      <w:r>
        <w:rPr>
          <w:lang w:val="fr-CA"/>
        </w:rPr>
        <w:t>s</w:t>
      </w:r>
      <w:r w:rsidRPr="00ED076B">
        <w:rPr>
          <w:lang w:val="fr-CA"/>
        </w:rPr>
        <w:t xml:space="preserve"> </w:t>
      </w:r>
      <w:r>
        <w:rPr>
          <w:lang w:val="fr-CA"/>
        </w:rPr>
        <w:t>réglementaires</w:t>
      </w:r>
      <w:r w:rsidRPr="00ED076B">
        <w:rPr>
          <w:lang w:val="fr-CA"/>
        </w:rPr>
        <w:t xml:space="preserve"> pour les SAO et le fait qu’il a été démontré que certaines mesures réglementaires, outre le</w:t>
      </w:r>
      <w:r>
        <w:rPr>
          <w:lang w:val="fr-CA"/>
        </w:rPr>
        <w:t>s</w:t>
      </w:r>
      <w:r w:rsidRPr="00ED076B">
        <w:rPr>
          <w:lang w:val="fr-CA"/>
        </w:rPr>
        <w:t xml:space="preserve"> </w:t>
      </w:r>
      <w:r w:rsidR="00467B79">
        <w:rPr>
          <w:lang w:val="fr-CA"/>
        </w:rPr>
        <w:t>programmes</w:t>
      </w:r>
      <w:r w:rsidRPr="00ED076B">
        <w:rPr>
          <w:lang w:val="fr-CA"/>
        </w:rPr>
        <w:t xml:space="preserve"> de </w:t>
      </w:r>
      <w:r w:rsidR="00392991">
        <w:rPr>
          <w:lang w:val="fr-CA"/>
        </w:rPr>
        <w:t>permis</w:t>
      </w:r>
      <w:r w:rsidRPr="00ED076B">
        <w:rPr>
          <w:lang w:val="fr-CA"/>
        </w:rPr>
        <w:t xml:space="preserve"> et de quotas, avai</w:t>
      </w:r>
      <w:r>
        <w:rPr>
          <w:lang w:val="fr-CA"/>
        </w:rPr>
        <w:t>en</w:t>
      </w:r>
      <w:r w:rsidRPr="00ED076B">
        <w:rPr>
          <w:lang w:val="fr-CA"/>
        </w:rPr>
        <w:t>t une incidence sur l</w:t>
      </w:r>
      <w:r>
        <w:rPr>
          <w:lang w:val="fr-CA"/>
        </w:rPr>
        <w:t>’aff</w:t>
      </w:r>
      <w:r w:rsidRPr="00ED076B">
        <w:rPr>
          <w:lang w:val="fr-CA"/>
        </w:rPr>
        <w:t>lux de substances réglementées, au cours du processus de préparation de</w:t>
      </w:r>
      <w:r>
        <w:rPr>
          <w:lang w:val="fr-CA"/>
        </w:rPr>
        <w:t>s</w:t>
      </w:r>
      <w:r w:rsidRPr="00ED076B">
        <w:rPr>
          <w:lang w:val="fr-CA"/>
        </w:rPr>
        <w:t xml:space="preserve"> plans d’élimination des H</w:t>
      </w:r>
      <w:r>
        <w:rPr>
          <w:lang w:val="fr-CA"/>
        </w:rPr>
        <w:t>C</w:t>
      </w:r>
      <w:r w:rsidRPr="00ED076B">
        <w:rPr>
          <w:lang w:val="fr-CA"/>
        </w:rPr>
        <w:t>FC, les pays visés à l’article</w:t>
      </w:r>
      <w:r>
        <w:rPr>
          <w:lang w:val="fr-CA"/>
        </w:rPr>
        <w:t> </w:t>
      </w:r>
      <w:r w:rsidRPr="00ED076B">
        <w:rPr>
          <w:lang w:val="fr-CA"/>
        </w:rPr>
        <w:t>5 aurai</w:t>
      </w:r>
      <w:r>
        <w:rPr>
          <w:lang w:val="fr-CA"/>
        </w:rPr>
        <w:t>en</w:t>
      </w:r>
      <w:r w:rsidRPr="00ED076B">
        <w:rPr>
          <w:lang w:val="fr-CA"/>
        </w:rPr>
        <w:t>t avantage à établir d’autres mesures réglementaires destinées à faciliter la mise en œuvre de leur</w:t>
      </w:r>
      <w:r>
        <w:rPr>
          <w:lang w:val="fr-CA"/>
        </w:rPr>
        <w:t>s</w:t>
      </w:r>
      <w:r w:rsidRPr="00ED076B">
        <w:rPr>
          <w:lang w:val="fr-CA"/>
        </w:rPr>
        <w:t xml:space="preserve"> plan</w:t>
      </w:r>
      <w:r>
        <w:rPr>
          <w:lang w:val="fr-CA"/>
        </w:rPr>
        <w:t>s</w:t>
      </w:r>
      <w:r w:rsidRPr="00ED076B">
        <w:rPr>
          <w:lang w:val="fr-CA"/>
        </w:rPr>
        <w:t xml:space="preserve"> (p.</w:t>
      </w:r>
      <w:r>
        <w:rPr>
          <w:lang w:val="fr-CA"/>
        </w:rPr>
        <w:t> </w:t>
      </w:r>
      <w:r w:rsidRPr="00ED076B">
        <w:rPr>
          <w:lang w:val="fr-CA"/>
        </w:rPr>
        <w:t>ex.,</w:t>
      </w:r>
      <w:r>
        <w:rPr>
          <w:lang w:val="fr-CA"/>
        </w:rPr>
        <w:t> </w:t>
      </w:r>
      <w:r w:rsidRPr="00ED076B">
        <w:rPr>
          <w:lang w:val="fr-CA"/>
        </w:rPr>
        <w:t>enregistrement et,</w:t>
      </w:r>
      <w:r>
        <w:rPr>
          <w:lang w:val="fr-CA"/>
        </w:rPr>
        <w:t xml:space="preserve"> éventuellement</w:t>
      </w:r>
      <w:r w:rsidRPr="00ED076B">
        <w:rPr>
          <w:lang w:val="fr-CA"/>
        </w:rPr>
        <w:t xml:space="preserve">, émission de </w:t>
      </w:r>
      <w:r w:rsidR="00392991">
        <w:rPr>
          <w:lang w:val="fr-CA"/>
        </w:rPr>
        <w:t>permis</w:t>
      </w:r>
      <w:r w:rsidRPr="00ED076B">
        <w:rPr>
          <w:lang w:val="fr-CA"/>
        </w:rPr>
        <w:t xml:space="preserve"> d’importation de l’équipement à base de H</w:t>
      </w:r>
      <w:r>
        <w:rPr>
          <w:lang w:val="fr-CA"/>
        </w:rPr>
        <w:t>C</w:t>
      </w:r>
      <w:r w:rsidRPr="00ED076B">
        <w:rPr>
          <w:lang w:val="fr-CA"/>
        </w:rPr>
        <w:t>FC, interdiction</w:t>
      </w:r>
      <w:r>
        <w:rPr>
          <w:lang w:val="fr-CA"/>
        </w:rPr>
        <w:t>s</w:t>
      </w:r>
      <w:r w:rsidRPr="00ED076B">
        <w:rPr>
          <w:lang w:val="fr-CA"/>
        </w:rPr>
        <w:t xml:space="preserve"> frappant les bouteilles non rechargeables, ainsi que l’évacuation intentionnelle des frigorigènes dans les cas où un projet de récupération et de régénération </w:t>
      </w:r>
      <w:r>
        <w:rPr>
          <w:lang w:val="fr-CA"/>
        </w:rPr>
        <w:t xml:space="preserve">est inclus dans le plan d’élimination des </w:t>
      </w:r>
      <w:r w:rsidRPr="001D77FC">
        <w:rPr>
          <w:lang w:val="fr-CA"/>
        </w:rPr>
        <w:t>HCFC);</w:t>
      </w:r>
      <w:r>
        <w:rPr>
          <w:lang w:val="fr-CA"/>
        </w:rPr>
        <w:t xml:space="preserve"> </w:t>
      </w:r>
    </w:p>
    <w:p w14:paraId="3881FA70" w14:textId="273B72CF" w:rsidR="006510FE" w:rsidRPr="000547CF" w:rsidRDefault="006510FE" w:rsidP="007D2FD0">
      <w:pPr>
        <w:pStyle w:val="Heading2"/>
        <w:keepNext/>
        <w:widowControl/>
        <w:rPr>
          <w:lang w:val="fr-CA"/>
        </w:rPr>
      </w:pPr>
      <w:r w:rsidRPr="00AF1A6D">
        <w:rPr>
          <w:lang w:val="fr-CA"/>
        </w:rPr>
        <w:lastRenderedPageBreak/>
        <w:t>La phase</w:t>
      </w:r>
      <w:r>
        <w:rPr>
          <w:lang w:val="fr-CA"/>
        </w:rPr>
        <w:t> I</w:t>
      </w:r>
      <w:r w:rsidRPr="00AF1A6D">
        <w:rPr>
          <w:lang w:val="fr-CA"/>
        </w:rPr>
        <w:t xml:space="preserve"> des PGEH a été </w:t>
      </w:r>
      <w:r>
        <w:rPr>
          <w:lang w:val="fr-CA"/>
        </w:rPr>
        <w:t>formulée</w:t>
      </w:r>
      <w:r w:rsidRPr="00AF1A6D">
        <w:rPr>
          <w:lang w:val="fr-CA"/>
        </w:rPr>
        <w:t xml:space="preserve">, pour la plupart des pays, entre les </w:t>
      </w:r>
      <w:r>
        <w:rPr>
          <w:lang w:val="fr-CA"/>
        </w:rPr>
        <w:t>55</w:t>
      </w:r>
      <w:r w:rsidRPr="008338C0">
        <w:rPr>
          <w:vertAlign w:val="superscript"/>
          <w:lang w:val="fr-CA"/>
        </w:rPr>
        <w:t>e</w:t>
      </w:r>
      <w:r>
        <w:rPr>
          <w:lang w:val="fr-CA"/>
        </w:rPr>
        <w:t> et 68</w:t>
      </w:r>
      <w:r w:rsidRPr="008338C0">
        <w:rPr>
          <w:vertAlign w:val="superscript"/>
          <w:lang w:val="fr-CA"/>
        </w:rPr>
        <w:t>e</w:t>
      </w:r>
      <w:r>
        <w:rPr>
          <w:lang w:val="fr-CA"/>
        </w:rPr>
        <w:t> </w:t>
      </w:r>
      <w:r w:rsidRPr="00AF1A6D">
        <w:rPr>
          <w:lang w:val="fr-CA"/>
        </w:rPr>
        <w:t xml:space="preserve">réunions, ce qui revient à dire que les enquêtes sur la consommation des HCFC </w:t>
      </w:r>
      <w:r>
        <w:rPr>
          <w:lang w:val="fr-CA"/>
        </w:rPr>
        <w:t xml:space="preserve">ont été réalisées de 2009 à 2012 (en quatre années, une année avant la première mesure de réglementation). </w:t>
      </w:r>
      <w:r w:rsidRPr="00AF1A6D">
        <w:rPr>
          <w:lang w:val="fr-CA"/>
        </w:rPr>
        <w:t xml:space="preserve">Dans de nombreux cas, les données </w:t>
      </w:r>
      <w:r w:rsidR="00623AE9">
        <w:rPr>
          <w:lang w:val="fr-CA"/>
        </w:rPr>
        <w:t>amassées</w:t>
      </w:r>
      <w:r w:rsidRPr="00AF1A6D">
        <w:rPr>
          <w:lang w:val="fr-CA"/>
        </w:rPr>
        <w:t xml:space="preserve"> dans le cadre des enquêtes ont coïncidé avec au moins une année de référence. Le</w:t>
      </w:r>
      <w:r>
        <w:rPr>
          <w:lang w:val="fr-CA"/>
        </w:rPr>
        <w:t>s</w:t>
      </w:r>
      <w:r w:rsidRPr="00AF1A6D">
        <w:rPr>
          <w:lang w:val="fr-CA"/>
        </w:rPr>
        <w:t xml:space="preserve"> point</w:t>
      </w:r>
      <w:r>
        <w:rPr>
          <w:lang w:val="fr-CA"/>
        </w:rPr>
        <w:t>s</w:t>
      </w:r>
      <w:r w:rsidRPr="00AF1A6D">
        <w:rPr>
          <w:lang w:val="fr-CA"/>
        </w:rPr>
        <w:t xml:space="preserve"> de départ pour les réductions </w:t>
      </w:r>
      <w:r>
        <w:rPr>
          <w:lang w:val="fr-CA"/>
        </w:rPr>
        <w:t xml:space="preserve">de consommation </w:t>
      </w:r>
      <w:r w:rsidRPr="00AF1A6D">
        <w:rPr>
          <w:lang w:val="fr-CA"/>
        </w:rPr>
        <w:t>convenues étai</w:t>
      </w:r>
      <w:r>
        <w:rPr>
          <w:lang w:val="fr-CA"/>
        </w:rPr>
        <w:t>en</w:t>
      </w:r>
      <w:r w:rsidRPr="00AF1A6D">
        <w:rPr>
          <w:lang w:val="fr-CA"/>
        </w:rPr>
        <w:t>t fondé</w:t>
      </w:r>
      <w:r>
        <w:rPr>
          <w:lang w:val="fr-CA"/>
        </w:rPr>
        <w:t>s</w:t>
      </w:r>
      <w:r w:rsidRPr="00AF1A6D">
        <w:rPr>
          <w:lang w:val="fr-CA"/>
        </w:rPr>
        <w:t xml:space="preserve"> sur des estimations des valeurs de référence future</w:t>
      </w:r>
      <w:r>
        <w:rPr>
          <w:lang w:val="fr-CA"/>
        </w:rPr>
        <w:t>s</w:t>
      </w:r>
      <w:r w:rsidRPr="00AF1A6D">
        <w:rPr>
          <w:lang w:val="fr-CA"/>
        </w:rPr>
        <w:t xml:space="preserve">, qui ont été ultérieurement </w:t>
      </w:r>
      <w:r>
        <w:rPr>
          <w:lang w:val="fr-CA"/>
        </w:rPr>
        <w:t>rajustées</w:t>
      </w:r>
      <w:r w:rsidRPr="00AF1A6D">
        <w:rPr>
          <w:lang w:val="fr-CA"/>
        </w:rPr>
        <w:t xml:space="preserve"> </w:t>
      </w:r>
      <w:r>
        <w:rPr>
          <w:lang w:val="fr-CA"/>
        </w:rPr>
        <w:t xml:space="preserve">à mesure que les pays ont communiqué leurs données de consommation au titre de l’article 7 du Protocole. </w:t>
      </w:r>
      <w:r w:rsidRPr="00AF1A6D">
        <w:rPr>
          <w:lang w:val="fr-CA"/>
        </w:rPr>
        <w:t>Compte tenu du fait qu’en vertu de l’Amendement de Kigali, plus de 30</w:t>
      </w:r>
      <w:r>
        <w:rPr>
          <w:lang w:val="fr-CA"/>
        </w:rPr>
        <w:t> </w:t>
      </w:r>
      <w:r w:rsidRPr="00AF1A6D">
        <w:rPr>
          <w:lang w:val="fr-CA"/>
        </w:rPr>
        <w:t>pays visés à l’article</w:t>
      </w:r>
      <w:r>
        <w:rPr>
          <w:lang w:val="fr-CA"/>
        </w:rPr>
        <w:t> </w:t>
      </w:r>
      <w:r w:rsidRPr="00AF1A6D">
        <w:rPr>
          <w:lang w:val="fr-CA"/>
        </w:rPr>
        <w:t xml:space="preserve">5 appartenant au </w:t>
      </w:r>
      <w:r>
        <w:rPr>
          <w:lang w:val="fr-CA"/>
        </w:rPr>
        <w:t>g</w:t>
      </w:r>
      <w:r w:rsidRPr="00AF1A6D">
        <w:rPr>
          <w:lang w:val="fr-CA"/>
        </w:rPr>
        <w:t>roupe</w:t>
      </w:r>
      <w:r>
        <w:rPr>
          <w:lang w:val="fr-CA"/>
        </w:rPr>
        <w:t> 1 pourraient</w:t>
      </w:r>
      <w:r w:rsidRPr="00AF1A6D">
        <w:rPr>
          <w:lang w:val="fr-CA"/>
        </w:rPr>
        <w:t xml:space="preserve"> demande</w:t>
      </w:r>
      <w:r>
        <w:rPr>
          <w:lang w:val="fr-CA"/>
        </w:rPr>
        <w:t>r</w:t>
      </w:r>
      <w:r w:rsidRPr="00AF1A6D">
        <w:rPr>
          <w:lang w:val="fr-CA"/>
        </w:rPr>
        <w:t xml:space="preserve"> </w:t>
      </w:r>
      <w:r>
        <w:rPr>
          <w:lang w:val="fr-CA"/>
        </w:rPr>
        <w:t>un</w:t>
      </w:r>
      <w:r w:rsidRPr="00AF1A6D">
        <w:rPr>
          <w:lang w:val="fr-CA"/>
        </w:rPr>
        <w:t xml:space="preserve"> financement pour les activités de préparation des plans </w:t>
      </w:r>
      <w:r w:rsidR="00623AE9">
        <w:rPr>
          <w:lang w:val="fr-CA"/>
        </w:rPr>
        <w:t>de réduction</w:t>
      </w:r>
      <w:r>
        <w:rPr>
          <w:lang w:val="fr-CA"/>
        </w:rPr>
        <w:t xml:space="preserve"> progressive des HCFC en 2019 (cinq ans avant la première mesure de réglementation), les consommations de référence pourraient être plus difficiles à estimer. </w:t>
      </w:r>
      <w:r w:rsidRPr="00AF1A6D">
        <w:rPr>
          <w:lang w:val="fr-CA"/>
        </w:rPr>
        <w:t>On devrait déployer plus d’effort</w:t>
      </w:r>
      <w:r>
        <w:rPr>
          <w:lang w:val="fr-CA"/>
        </w:rPr>
        <w:t>s</w:t>
      </w:r>
      <w:r w:rsidRPr="00AF1A6D">
        <w:rPr>
          <w:lang w:val="fr-CA"/>
        </w:rPr>
        <w:t xml:space="preserve"> lors de la collecte des données de consommation afin de mieux comprendre les tendances (p</w:t>
      </w:r>
      <w:r>
        <w:rPr>
          <w:lang w:val="fr-CA"/>
        </w:rPr>
        <w:t>. ex., </w:t>
      </w:r>
      <w:r w:rsidRPr="00AF1A6D">
        <w:rPr>
          <w:lang w:val="fr-CA"/>
        </w:rPr>
        <w:t xml:space="preserve">données d’estimation correspondant à un plus grand nombre d’années). </w:t>
      </w:r>
      <w:r w:rsidRPr="000547CF">
        <w:rPr>
          <w:lang w:val="fr-CA"/>
        </w:rPr>
        <w:t xml:space="preserve">On devrait par conséquent consacrer assez de temps aux facteurs déterminants à prendre en compte et à mettre en œuvre adéquatement, afin de préparer </w:t>
      </w:r>
      <w:r w:rsidR="00623AE9">
        <w:rPr>
          <w:lang w:val="fr-CA"/>
        </w:rPr>
        <w:t>la réduction</w:t>
      </w:r>
      <w:r w:rsidRPr="000547CF">
        <w:rPr>
          <w:lang w:val="fr-CA"/>
        </w:rPr>
        <w:t xml:space="preserve"> progressive des HCFC</w:t>
      </w:r>
      <w:r w:rsidR="007D2FD0">
        <w:rPr>
          <w:lang w:val="fr-CA"/>
        </w:rPr>
        <w:t xml:space="preserve"> </w:t>
      </w:r>
      <w:r w:rsidRPr="000547CF">
        <w:rPr>
          <w:lang w:val="fr-CA"/>
        </w:rPr>
        <w:t xml:space="preserve">; </w:t>
      </w:r>
    </w:p>
    <w:p w14:paraId="6D717580" w14:textId="77777777" w:rsidR="006510FE" w:rsidRPr="00002EF2" w:rsidRDefault="006510FE" w:rsidP="006510FE">
      <w:pPr>
        <w:pStyle w:val="Heading2"/>
        <w:rPr>
          <w:lang w:val="fr-CA"/>
        </w:rPr>
      </w:pPr>
      <w:r w:rsidRPr="00AF1A6D">
        <w:rPr>
          <w:lang w:val="fr-CA"/>
        </w:rPr>
        <w:t xml:space="preserve">Dans plusieurs pays, on a constaté avec le temps que les estimations des valeurs de référence des HCFC </w:t>
      </w:r>
      <w:r>
        <w:rPr>
          <w:lang w:val="fr-CA"/>
        </w:rPr>
        <w:t xml:space="preserve">étaient inexactes </w:t>
      </w:r>
      <w:r w:rsidRPr="00AF1A6D">
        <w:rPr>
          <w:lang w:val="fr-CA"/>
        </w:rPr>
        <w:t>pour différent</w:t>
      </w:r>
      <w:r>
        <w:rPr>
          <w:lang w:val="fr-CA"/>
        </w:rPr>
        <w:t>e</w:t>
      </w:r>
      <w:r w:rsidRPr="00AF1A6D">
        <w:rPr>
          <w:lang w:val="fr-CA"/>
        </w:rPr>
        <w:t xml:space="preserve">s </w:t>
      </w:r>
      <w:r>
        <w:rPr>
          <w:lang w:val="fr-CA"/>
        </w:rPr>
        <w:t>raisons</w:t>
      </w:r>
      <w:r w:rsidRPr="00AF1A6D">
        <w:rPr>
          <w:lang w:val="fr-CA"/>
        </w:rPr>
        <w:t>, comme l’</w:t>
      </w:r>
      <w:r>
        <w:rPr>
          <w:lang w:val="fr-CA"/>
        </w:rPr>
        <w:t>étendue</w:t>
      </w:r>
      <w:r w:rsidRPr="00AF1A6D">
        <w:rPr>
          <w:lang w:val="fr-CA"/>
        </w:rPr>
        <w:t xml:space="preserve"> des stocks ou le manque de connaissance</w:t>
      </w:r>
      <w:r>
        <w:rPr>
          <w:lang w:val="fr-CA"/>
        </w:rPr>
        <w:t>s</w:t>
      </w:r>
      <w:r w:rsidRPr="00AF1A6D">
        <w:rPr>
          <w:lang w:val="fr-CA"/>
        </w:rPr>
        <w:t xml:space="preserve"> concernant la demande </w:t>
      </w:r>
      <w:r>
        <w:rPr>
          <w:lang w:val="fr-CA"/>
        </w:rPr>
        <w:t>réelle en</w:t>
      </w:r>
      <w:r w:rsidRPr="00AF1A6D">
        <w:rPr>
          <w:lang w:val="fr-CA"/>
        </w:rPr>
        <w:t xml:space="preserve"> HCFC dans les secteurs d</w:t>
      </w:r>
      <w:r>
        <w:rPr>
          <w:lang w:val="fr-CA"/>
        </w:rPr>
        <w:t>’</w:t>
      </w:r>
      <w:r w:rsidRPr="00AF1A6D">
        <w:rPr>
          <w:lang w:val="fr-CA"/>
        </w:rPr>
        <w:t xml:space="preserve">utilisateurs. On a donc dû revoir les points de départ au cours de la mise en œuvre des PGEH. Afin de ne pas </w:t>
      </w:r>
      <w:r>
        <w:rPr>
          <w:lang w:val="fr-CA"/>
        </w:rPr>
        <w:t>procéder</w:t>
      </w:r>
      <w:r w:rsidRPr="00AF1A6D">
        <w:rPr>
          <w:lang w:val="fr-CA"/>
        </w:rPr>
        <w:t xml:space="preserve"> à des rajustements majeurs des données de consommation estimée</w:t>
      </w:r>
      <w:r>
        <w:rPr>
          <w:lang w:val="fr-CA"/>
        </w:rPr>
        <w:t>s</w:t>
      </w:r>
      <w:r w:rsidRPr="00AF1A6D">
        <w:rPr>
          <w:lang w:val="fr-CA"/>
        </w:rPr>
        <w:t>, un examen de la consommation passée des CFC et des HCFC</w:t>
      </w:r>
      <w:r>
        <w:rPr>
          <w:lang w:val="fr-CA"/>
        </w:rPr>
        <w:t>,</w:t>
      </w:r>
      <w:r w:rsidRPr="00AF1A6D">
        <w:rPr>
          <w:lang w:val="fr-CA"/>
        </w:rPr>
        <w:t xml:space="preserve"> de même qu’une analyse </w:t>
      </w:r>
      <w:r>
        <w:rPr>
          <w:lang w:val="fr-CA"/>
        </w:rPr>
        <w:t>des principaux paramètres socio-économiques des pays (p. ex., distribution de la population dans les zones urbaines et rurales; emplacement des activités économiques ayant besoin d’équipement de réfrigération et de climatisation; population raccordée au réseau électrique) ont pu être entrepris au cours des phases préparatoires à l’élimination progressive des HCFC;</w:t>
      </w:r>
      <w:r w:rsidRPr="00002EF2">
        <w:rPr>
          <w:lang w:val="fr-CA"/>
        </w:rPr>
        <w:t xml:space="preserve"> </w:t>
      </w:r>
    </w:p>
    <w:p w14:paraId="34B58F09" w14:textId="71A24C1F" w:rsidR="006510FE" w:rsidRPr="000547CF" w:rsidRDefault="006510FE" w:rsidP="006510FE">
      <w:pPr>
        <w:pStyle w:val="Heading2"/>
        <w:rPr>
          <w:lang w:val="fr-CA"/>
        </w:rPr>
      </w:pPr>
      <w:r w:rsidRPr="00B8625F">
        <w:rPr>
          <w:lang w:val="fr-CA"/>
        </w:rPr>
        <w:t xml:space="preserve">Alors que </w:t>
      </w:r>
      <w:r>
        <w:rPr>
          <w:lang w:val="fr-CA"/>
        </w:rPr>
        <w:t xml:space="preserve">dans tous les pays, </w:t>
      </w:r>
      <w:r w:rsidRPr="00B8625F">
        <w:rPr>
          <w:lang w:val="fr-CA"/>
        </w:rPr>
        <w:t>la majorité des H</w:t>
      </w:r>
      <w:r>
        <w:rPr>
          <w:lang w:val="fr-CA"/>
        </w:rPr>
        <w:t>C</w:t>
      </w:r>
      <w:r w:rsidRPr="00B8625F">
        <w:rPr>
          <w:lang w:val="fr-CA"/>
        </w:rPr>
        <w:t xml:space="preserve">FC </w:t>
      </w:r>
      <w:r w:rsidR="00527A0D">
        <w:rPr>
          <w:lang w:val="fr-CA"/>
        </w:rPr>
        <w:t>consistent en du</w:t>
      </w:r>
      <w:r w:rsidRPr="00B8625F">
        <w:rPr>
          <w:lang w:val="fr-CA"/>
        </w:rPr>
        <w:t xml:space="preserve"> HCFC-22, et dans une moindre mesure, </w:t>
      </w:r>
      <w:r w:rsidR="00527A0D">
        <w:rPr>
          <w:lang w:val="fr-CA"/>
        </w:rPr>
        <w:t>du</w:t>
      </w:r>
      <w:r w:rsidRPr="00B8625F">
        <w:rPr>
          <w:lang w:val="fr-CA"/>
        </w:rPr>
        <w:t xml:space="preserve"> HCFC-141</w:t>
      </w:r>
      <w:r>
        <w:rPr>
          <w:lang w:val="fr-CA"/>
        </w:rPr>
        <w:t>b</w:t>
      </w:r>
      <w:r w:rsidRPr="00B8625F">
        <w:rPr>
          <w:lang w:val="fr-CA"/>
        </w:rPr>
        <w:t xml:space="preserve"> et </w:t>
      </w:r>
      <w:r w:rsidR="00527A0D">
        <w:rPr>
          <w:lang w:val="fr-CA"/>
        </w:rPr>
        <w:t>du</w:t>
      </w:r>
      <w:r w:rsidRPr="00B8625F">
        <w:rPr>
          <w:lang w:val="fr-CA"/>
        </w:rPr>
        <w:t xml:space="preserve"> H</w:t>
      </w:r>
      <w:r>
        <w:rPr>
          <w:lang w:val="fr-CA"/>
        </w:rPr>
        <w:t>C</w:t>
      </w:r>
      <w:r w:rsidRPr="00B8625F">
        <w:rPr>
          <w:lang w:val="fr-CA"/>
        </w:rPr>
        <w:t>FC-142</w:t>
      </w:r>
      <w:r>
        <w:rPr>
          <w:lang w:val="fr-CA"/>
        </w:rPr>
        <w:t>b</w:t>
      </w:r>
      <w:r w:rsidRPr="00B8625F">
        <w:rPr>
          <w:lang w:val="fr-CA"/>
        </w:rPr>
        <w:t>, principalement dans les secteurs des mousses et de l’équipement de réfrigération et de climatisation, les HFC se retrouvent sous diverses formes</w:t>
      </w:r>
      <w:r>
        <w:rPr>
          <w:lang w:val="fr-CA"/>
        </w:rPr>
        <w:t xml:space="preserve"> (</w:t>
      </w:r>
      <w:r w:rsidRPr="00B8625F">
        <w:rPr>
          <w:lang w:val="fr-CA"/>
        </w:rPr>
        <w:t>à l’état pur et</w:t>
      </w:r>
      <w:r>
        <w:rPr>
          <w:lang w:val="fr-CA"/>
        </w:rPr>
        <w:t xml:space="preserve"> en</w:t>
      </w:r>
      <w:r w:rsidRPr="00B8625F">
        <w:rPr>
          <w:lang w:val="fr-CA"/>
        </w:rPr>
        <w:t xml:space="preserve"> mélange</w:t>
      </w:r>
      <w:r>
        <w:rPr>
          <w:lang w:val="fr-CA"/>
        </w:rPr>
        <w:t>s)</w:t>
      </w:r>
      <w:r w:rsidRPr="00B8625F">
        <w:rPr>
          <w:lang w:val="fr-CA"/>
        </w:rPr>
        <w:t xml:space="preserve"> dans tous les secteurs. </w:t>
      </w:r>
      <w:r w:rsidRPr="000547CF">
        <w:rPr>
          <w:lang w:val="fr-CA"/>
        </w:rPr>
        <w:t>Il convient de prendre en compte cette différence et cette variété au cours des activités de préparation aux fins de mise en œuvre de l’Amendement de Kigali</w:t>
      </w:r>
      <w:r w:rsidR="007D2FD0">
        <w:rPr>
          <w:lang w:val="fr-CA"/>
        </w:rPr>
        <w:t xml:space="preserve"> </w:t>
      </w:r>
      <w:r w:rsidRPr="000547CF">
        <w:rPr>
          <w:lang w:val="fr-CA"/>
        </w:rPr>
        <w:t>;</w:t>
      </w:r>
    </w:p>
    <w:p w14:paraId="343D1686" w14:textId="3338A8D9" w:rsidR="006510FE" w:rsidRPr="000547CF" w:rsidRDefault="006510FE" w:rsidP="006510FE">
      <w:pPr>
        <w:pStyle w:val="Heading2"/>
        <w:rPr>
          <w:lang w:val="fr-CA"/>
        </w:rPr>
      </w:pPr>
      <w:r>
        <w:rPr>
          <w:lang w:val="fr-CA"/>
        </w:rPr>
        <w:t>La</w:t>
      </w:r>
      <w:r w:rsidRPr="006F6723">
        <w:rPr>
          <w:lang w:val="fr-CA"/>
        </w:rPr>
        <w:t xml:space="preserve"> réglementation des HCFC </w:t>
      </w:r>
      <w:r>
        <w:rPr>
          <w:lang w:val="fr-CA"/>
        </w:rPr>
        <w:t>se fonde sur les</w:t>
      </w:r>
      <w:r w:rsidRPr="006F6723">
        <w:rPr>
          <w:lang w:val="fr-CA"/>
        </w:rPr>
        <w:t xml:space="preserve"> tonnes d’équivalent</w:t>
      </w:r>
      <w:r w:rsidR="00527A0D">
        <w:rPr>
          <w:lang w:val="fr-CA"/>
        </w:rPr>
        <w:t xml:space="preserve"> de</w:t>
      </w:r>
      <w:r>
        <w:rPr>
          <w:lang w:val="fr-CA"/>
        </w:rPr>
        <w:t> </w:t>
      </w:r>
      <w:r w:rsidRPr="006F6723">
        <w:rPr>
          <w:lang w:val="fr-CA"/>
        </w:rPr>
        <w:t>CO</w:t>
      </w:r>
      <w:r w:rsidRPr="006A2760">
        <w:rPr>
          <w:vertAlign w:val="subscript"/>
          <w:lang w:val="fr-CA"/>
        </w:rPr>
        <w:t>2</w:t>
      </w:r>
      <w:r w:rsidRPr="006F6723">
        <w:rPr>
          <w:lang w:val="fr-CA"/>
        </w:rPr>
        <w:t xml:space="preserve">, </w:t>
      </w:r>
      <w:r>
        <w:rPr>
          <w:lang w:val="fr-CA"/>
        </w:rPr>
        <w:t>unité de mesure</w:t>
      </w:r>
      <w:r w:rsidRPr="006F6723">
        <w:rPr>
          <w:lang w:val="fr-CA"/>
        </w:rPr>
        <w:t xml:space="preserve"> différent</w:t>
      </w:r>
      <w:r>
        <w:rPr>
          <w:lang w:val="fr-CA"/>
        </w:rPr>
        <w:t>e</w:t>
      </w:r>
      <w:r w:rsidRPr="006F6723">
        <w:rPr>
          <w:lang w:val="fr-CA"/>
        </w:rPr>
        <w:t xml:space="preserve"> du facteur</w:t>
      </w:r>
      <w:r>
        <w:rPr>
          <w:lang w:val="fr-CA"/>
        </w:rPr>
        <w:t> </w:t>
      </w:r>
      <w:r w:rsidRPr="006F6723">
        <w:rPr>
          <w:lang w:val="fr-CA"/>
        </w:rPr>
        <w:t xml:space="preserve">PAO utilisé pour tous les autres groupes de substances réglementées. Cela exige une analyse plus poussée et une certaine adaptation de la part des </w:t>
      </w:r>
      <w:r>
        <w:rPr>
          <w:lang w:val="fr-CA"/>
        </w:rPr>
        <w:t xml:space="preserve">établissements locaux. </w:t>
      </w:r>
      <w:r w:rsidRPr="006F6723">
        <w:rPr>
          <w:lang w:val="fr-CA"/>
        </w:rPr>
        <w:t xml:space="preserve">La plus grande </w:t>
      </w:r>
      <w:r>
        <w:rPr>
          <w:lang w:val="fr-CA"/>
        </w:rPr>
        <w:t>diversité</w:t>
      </w:r>
      <w:r w:rsidRPr="006F6723">
        <w:rPr>
          <w:lang w:val="fr-CA"/>
        </w:rPr>
        <w:t xml:space="preserve"> des substances et le nombre</w:t>
      </w:r>
      <w:r>
        <w:rPr>
          <w:lang w:val="fr-CA"/>
        </w:rPr>
        <w:t xml:space="preserve"> élevé de </w:t>
      </w:r>
      <w:r w:rsidRPr="006F6723">
        <w:rPr>
          <w:lang w:val="fr-CA"/>
        </w:rPr>
        <w:t xml:space="preserve">mélanges </w:t>
      </w:r>
      <w:r>
        <w:rPr>
          <w:lang w:val="fr-CA"/>
        </w:rPr>
        <w:t>ajoutent à la complexité de la collecte et de l’enregistrement des données</w:t>
      </w:r>
      <w:r w:rsidR="007D2FD0">
        <w:rPr>
          <w:lang w:val="fr-CA"/>
        </w:rPr>
        <w:t xml:space="preserve"> </w:t>
      </w:r>
      <w:r>
        <w:rPr>
          <w:lang w:val="fr-CA"/>
        </w:rPr>
        <w:t xml:space="preserve">; </w:t>
      </w:r>
    </w:p>
    <w:p w14:paraId="2695ECBF" w14:textId="0EB58794" w:rsidR="006510FE" w:rsidRPr="006A2760" w:rsidRDefault="006510FE" w:rsidP="006510FE">
      <w:pPr>
        <w:pStyle w:val="Heading2"/>
        <w:rPr>
          <w:lang w:val="fr-CA"/>
        </w:rPr>
      </w:pPr>
      <w:r w:rsidRPr="006F6723">
        <w:rPr>
          <w:lang w:val="fr-CA"/>
        </w:rPr>
        <w:t>La participation des intervenants s’est avérée efficace pour ce qui est d’obtenir les renseignements requis des utilisateurs finaux et de l’industrie. Faire participer</w:t>
      </w:r>
      <w:r>
        <w:rPr>
          <w:lang w:val="fr-CA"/>
        </w:rPr>
        <w:t xml:space="preserve"> </w:t>
      </w:r>
      <w:r w:rsidRPr="006F6723">
        <w:rPr>
          <w:lang w:val="fr-CA"/>
        </w:rPr>
        <w:t xml:space="preserve">les intervenants au processus </w:t>
      </w:r>
      <w:r>
        <w:rPr>
          <w:lang w:val="fr-CA"/>
        </w:rPr>
        <w:t xml:space="preserve">concourt à ce qu’ils se sentent concernés par les projets, et constitue par le fait même un excellent mécanisme d’accroissement de la sensibilisation. </w:t>
      </w:r>
      <w:r w:rsidRPr="006F6723">
        <w:rPr>
          <w:lang w:val="fr-CA"/>
        </w:rPr>
        <w:t>Cette approche inclusive devrait être maintenue pour la mise en œuvre de l’Amendement de Kigali</w:t>
      </w:r>
      <w:r w:rsidR="007D2FD0">
        <w:rPr>
          <w:lang w:val="fr-CA"/>
        </w:rPr>
        <w:t xml:space="preserve"> </w:t>
      </w:r>
      <w:r w:rsidRPr="006A2760">
        <w:rPr>
          <w:lang w:val="fr-CA"/>
        </w:rPr>
        <w:t>;</w:t>
      </w:r>
    </w:p>
    <w:p w14:paraId="60A81B99" w14:textId="28904ECD" w:rsidR="006510FE" w:rsidRPr="006A2760" w:rsidRDefault="006510FE" w:rsidP="00A015EE">
      <w:pPr>
        <w:pStyle w:val="Heading2"/>
        <w:keepNext/>
        <w:widowControl/>
        <w:rPr>
          <w:lang w:val="fr-CA"/>
        </w:rPr>
      </w:pPr>
      <w:r w:rsidRPr="006F6723">
        <w:rPr>
          <w:lang w:val="fr-CA"/>
        </w:rPr>
        <w:lastRenderedPageBreak/>
        <w:t>Les activités du secteur de l’entretien de l’équipement de réfrigération fourniront des synergies entre l’élimination des H</w:t>
      </w:r>
      <w:r>
        <w:rPr>
          <w:lang w:val="fr-CA"/>
        </w:rPr>
        <w:t>C</w:t>
      </w:r>
      <w:r w:rsidRPr="006F6723">
        <w:rPr>
          <w:lang w:val="fr-CA"/>
        </w:rPr>
        <w:t xml:space="preserve">FC </w:t>
      </w:r>
      <w:r>
        <w:rPr>
          <w:lang w:val="fr-CA"/>
        </w:rPr>
        <w:t xml:space="preserve">et </w:t>
      </w:r>
      <w:r w:rsidR="007A65C7">
        <w:rPr>
          <w:lang w:val="fr-CA"/>
        </w:rPr>
        <w:t>la réduction</w:t>
      </w:r>
      <w:r w:rsidRPr="006F6723">
        <w:rPr>
          <w:lang w:val="fr-CA"/>
        </w:rPr>
        <w:t xml:space="preserve"> progressive des HCFC, car nombre de ces activités (p.</w:t>
      </w:r>
      <w:r>
        <w:rPr>
          <w:lang w:val="fr-CA"/>
        </w:rPr>
        <w:t> </w:t>
      </w:r>
      <w:r w:rsidRPr="006F6723">
        <w:rPr>
          <w:lang w:val="fr-CA"/>
        </w:rPr>
        <w:t>ex.,</w:t>
      </w:r>
      <w:r>
        <w:rPr>
          <w:lang w:val="fr-CA"/>
        </w:rPr>
        <w:t> </w:t>
      </w:r>
      <w:r w:rsidRPr="006F6723">
        <w:rPr>
          <w:lang w:val="fr-CA"/>
        </w:rPr>
        <w:t>formation des techniciens, récupération et régénération des frigorigènes, élaboration de normes pour l’installation et l’utilisation de l’équipement à faible PR</w:t>
      </w:r>
      <w:r>
        <w:rPr>
          <w:lang w:val="fr-CA"/>
        </w:rPr>
        <w:t>G</w:t>
      </w:r>
      <w:r w:rsidRPr="006F6723">
        <w:rPr>
          <w:lang w:val="fr-CA"/>
        </w:rPr>
        <w:t>) ont un impact sur</w:t>
      </w:r>
      <w:r>
        <w:rPr>
          <w:lang w:val="fr-CA"/>
        </w:rPr>
        <w:t xml:space="preserve"> l’utilisation de</w:t>
      </w:r>
      <w:r w:rsidRPr="006F6723">
        <w:rPr>
          <w:lang w:val="fr-CA"/>
        </w:rPr>
        <w:t xml:space="preserve"> tous les frigorigènes et substances de remplacement </w:t>
      </w:r>
      <w:r>
        <w:rPr>
          <w:lang w:val="fr-CA"/>
        </w:rPr>
        <w:t xml:space="preserve">dans le pays. </w:t>
      </w:r>
      <w:r w:rsidRPr="006F6723">
        <w:rPr>
          <w:lang w:val="fr-CA"/>
        </w:rPr>
        <w:t>Le financement des activités de préparation des plans d’élimination progressive des HCFC doit donc dûment prendre en compte les activités déjà mises en œuvre dans le secteur au titre de l’élimination des HCFC.</w:t>
      </w:r>
    </w:p>
    <w:p w14:paraId="2C37AFF9" w14:textId="77777777" w:rsidR="006510FE" w:rsidRDefault="006510FE" w:rsidP="006510FE">
      <w:pPr>
        <w:pStyle w:val="Heading1"/>
        <w:rPr>
          <w:lang w:val="fr-CA"/>
        </w:rPr>
      </w:pPr>
      <w:r w:rsidRPr="008338C0">
        <w:rPr>
          <w:lang w:val="fr-CA"/>
        </w:rPr>
        <w:t>Le choix de technologie</w:t>
      </w:r>
      <w:r>
        <w:rPr>
          <w:lang w:val="fr-CA"/>
        </w:rPr>
        <w:t>s</w:t>
      </w:r>
      <w:r w:rsidRPr="008338C0">
        <w:rPr>
          <w:lang w:val="fr-CA"/>
        </w:rPr>
        <w:t xml:space="preserve"> éprouvée</w:t>
      </w:r>
      <w:r>
        <w:rPr>
          <w:lang w:val="fr-CA"/>
        </w:rPr>
        <w:t>s,</w:t>
      </w:r>
      <w:r w:rsidRPr="008338C0">
        <w:rPr>
          <w:lang w:val="fr-CA"/>
        </w:rPr>
        <w:t xml:space="preserve"> disponible</w:t>
      </w:r>
      <w:r>
        <w:rPr>
          <w:lang w:val="fr-CA"/>
        </w:rPr>
        <w:t>s</w:t>
      </w:r>
      <w:r w:rsidRPr="008338C0">
        <w:rPr>
          <w:lang w:val="fr-CA"/>
        </w:rPr>
        <w:t xml:space="preserve"> sur le marché, </w:t>
      </w:r>
      <w:r>
        <w:rPr>
          <w:lang w:val="fr-CA"/>
        </w:rPr>
        <w:t>à</w:t>
      </w:r>
      <w:r w:rsidRPr="008338C0">
        <w:rPr>
          <w:lang w:val="fr-CA"/>
        </w:rPr>
        <w:t xml:space="preserve"> prix raisonnable, </w:t>
      </w:r>
      <w:r>
        <w:rPr>
          <w:lang w:val="fr-CA"/>
        </w:rPr>
        <w:t xml:space="preserve">à </w:t>
      </w:r>
      <w:r w:rsidRPr="008338C0">
        <w:rPr>
          <w:lang w:val="fr-CA"/>
        </w:rPr>
        <w:t xml:space="preserve">PAO </w:t>
      </w:r>
      <w:r>
        <w:rPr>
          <w:lang w:val="fr-CA"/>
        </w:rPr>
        <w:t>nul</w:t>
      </w:r>
      <w:r w:rsidRPr="008338C0">
        <w:rPr>
          <w:lang w:val="fr-CA"/>
        </w:rPr>
        <w:t xml:space="preserve">, à faible PRP et présentant une bonne efficacité énergétique constitue un problème auquel sont déjà confrontés les pays </w:t>
      </w:r>
      <w:r>
        <w:rPr>
          <w:lang w:val="fr-CA"/>
        </w:rPr>
        <w:t xml:space="preserve">qui mènent des activités d’élimination des HCFC. </w:t>
      </w:r>
      <w:r w:rsidRPr="008338C0">
        <w:rPr>
          <w:lang w:val="fr-CA"/>
        </w:rPr>
        <w:t>Par exemple, alors que le R</w:t>
      </w:r>
      <w:r>
        <w:rPr>
          <w:lang w:val="fr-CA"/>
        </w:rPr>
        <w:noBreakHyphen/>
        <w:t>2</w:t>
      </w:r>
      <w:r w:rsidRPr="008338C0">
        <w:rPr>
          <w:lang w:val="fr-CA"/>
        </w:rPr>
        <w:t>90 e</w:t>
      </w:r>
      <w:r>
        <w:rPr>
          <w:lang w:val="fr-CA"/>
        </w:rPr>
        <w:t>st un</w:t>
      </w:r>
      <w:r w:rsidRPr="008338C0">
        <w:rPr>
          <w:lang w:val="fr-CA"/>
        </w:rPr>
        <w:t xml:space="preserve"> frigorigène pouvant être </w:t>
      </w:r>
      <w:r>
        <w:rPr>
          <w:lang w:val="fr-CA"/>
        </w:rPr>
        <w:t>utilisé</w:t>
      </w:r>
      <w:r w:rsidRPr="008338C0">
        <w:rPr>
          <w:lang w:val="fr-CA"/>
        </w:rPr>
        <w:t xml:space="preserve"> dans les climatiseurs, </w:t>
      </w:r>
      <w:r>
        <w:rPr>
          <w:lang w:val="fr-CA"/>
        </w:rPr>
        <w:t xml:space="preserve">son inflammabilité impose des limites au niveau de la quantité de substance qui peut être chargée dans le système. </w:t>
      </w:r>
      <w:r w:rsidRPr="008338C0">
        <w:rPr>
          <w:lang w:val="fr-CA"/>
        </w:rPr>
        <w:t xml:space="preserve">Les solutions de rechange pour les systèmes de réfrigération et de climatisation de moyen </w:t>
      </w:r>
      <w:r>
        <w:rPr>
          <w:lang w:val="fr-CA"/>
        </w:rPr>
        <w:t xml:space="preserve">ou grand format ne sont pas nombreuses et demeurent souvent très coûteuses ou présentent d’autres contraintes, notamment en matière de sécurité (p. ex., ammoniac utilisé comme frigorigène, ou systèmes à dioxyde de carbone </w:t>
      </w:r>
      <w:r w:rsidRPr="009829A2">
        <w:rPr>
          <w:lang w:val="fr-CA"/>
        </w:rPr>
        <w:t>haute pression.)</w:t>
      </w:r>
      <w:r w:rsidRPr="008E5A28">
        <w:rPr>
          <w:lang w:val="fr-CA"/>
        </w:rPr>
        <w:t xml:space="preserve"> </w:t>
      </w:r>
    </w:p>
    <w:p w14:paraId="5357055F" w14:textId="1752CF65" w:rsidR="00A421FE" w:rsidRPr="001549BA" w:rsidRDefault="00A421FE" w:rsidP="001549BA">
      <w:pPr>
        <w:pStyle w:val="Heading1"/>
        <w:rPr>
          <w:b/>
          <w:lang w:val="fr-CA"/>
        </w:rPr>
      </w:pPr>
      <w:r w:rsidRPr="00A421FE">
        <w:rPr>
          <w:b/>
          <w:lang w:val="fr-CA"/>
        </w:rPr>
        <w:t xml:space="preserve">Le HFC-23 est un sous-produit du processus de </w:t>
      </w:r>
      <w:r>
        <w:rPr>
          <w:b/>
          <w:lang w:val="fr-CA"/>
        </w:rPr>
        <w:t>fabrication</w:t>
      </w:r>
      <w:r w:rsidRPr="00A421FE">
        <w:rPr>
          <w:b/>
          <w:lang w:val="fr-CA"/>
        </w:rPr>
        <w:t xml:space="preserve"> du HCFC-22 et est consommé dans un petit nombre d’</w:t>
      </w:r>
      <w:r>
        <w:rPr>
          <w:b/>
          <w:lang w:val="fr-CA"/>
        </w:rPr>
        <w:t>applicati</w:t>
      </w:r>
      <w:r w:rsidRPr="00A421FE">
        <w:rPr>
          <w:b/>
          <w:lang w:val="fr-CA"/>
        </w:rPr>
        <w:t xml:space="preserve">ons (réfrigération à basse </w:t>
      </w:r>
      <w:r>
        <w:rPr>
          <w:b/>
          <w:lang w:val="fr-CA"/>
        </w:rPr>
        <w:t xml:space="preserve">température et </w:t>
      </w:r>
      <w:r w:rsidR="001600FE">
        <w:rPr>
          <w:b/>
          <w:lang w:val="fr-CA"/>
        </w:rPr>
        <w:t>extinction des</w:t>
      </w:r>
      <w:r w:rsidR="001549BA">
        <w:rPr>
          <w:b/>
          <w:lang w:val="fr-CA"/>
        </w:rPr>
        <w:t xml:space="preserve"> incendies</w:t>
      </w:r>
      <w:r>
        <w:rPr>
          <w:b/>
          <w:lang w:val="fr-CA"/>
        </w:rPr>
        <w:t>).</w:t>
      </w:r>
      <w:r w:rsidRPr="0079738F">
        <w:rPr>
          <w:rStyle w:val="FootnoteReference"/>
          <w:b/>
        </w:rPr>
        <w:footnoteReference w:id="11"/>
      </w:r>
      <w:r>
        <w:rPr>
          <w:b/>
          <w:lang w:val="fr-CA"/>
        </w:rPr>
        <w:t xml:space="preserve"> </w:t>
      </w:r>
      <w:r w:rsidR="00297377">
        <w:rPr>
          <w:b/>
          <w:lang w:val="fr-CA"/>
        </w:rPr>
        <w:t>L’</w:t>
      </w:r>
      <w:r w:rsidR="001549BA">
        <w:rPr>
          <w:b/>
          <w:lang w:val="fr-CA"/>
        </w:rPr>
        <w:t>A</w:t>
      </w:r>
      <w:r w:rsidR="00297377">
        <w:rPr>
          <w:b/>
          <w:lang w:val="fr-CA"/>
        </w:rPr>
        <w:t xml:space="preserve">mendement de Kigali </w:t>
      </w:r>
      <w:r w:rsidR="001549BA">
        <w:rPr>
          <w:b/>
          <w:lang w:val="fr-CA"/>
        </w:rPr>
        <w:t>impose la déclaration et le contrôle des émissions du</w:t>
      </w:r>
      <w:r w:rsidR="00297377" w:rsidRPr="001549BA">
        <w:rPr>
          <w:b/>
          <w:lang w:val="fr-CA"/>
        </w:rPr>
        <w:t xml:space="preserve"> sous-produit et </w:t>
      </w:r>
      <w:r w:rsidR="001600FE">
        <w:rPr>
          <w:b/>
          <w:lang w:val="fr-CA"/>
        </w:rPr>
        <w:t xml:space="preserve">de </w:t>
      </w:r>
      <w:r w:rsidR="00297377" w:rsidRPr="001549BA">
        <w:rPr>
          <w:b/>
          <w:lang w:val="fr-CA"/>
        </w:rPr>
        <w:t xml:space="preserve">la consommation de HFC-23. Les mesures de réglementation des émissions du sous-produit HFC-23 ciblent la fabrication du HCFC-22 et non les projets de préparation des PGEH. </w:t>
      </w:r>
      <w:r w:rsidR="000A70BF">
        <w:rPr>
          <w:b/>
          <w:lang w:val="fr-CA"/>
        </w:rPr>
        <w:t>Le</w:t>
      </w:r>
      <w:r w:rsidR="00491F22" w:rsidRPr="001549BA">
        <w:rPr>
          <w:b/>
          <w:lang w:val="fr-CA"/>
        </w:rPr>
        <w:t xml:space="preserve"> Secrétariat a présenté </w:t>
      </w:r>
      <w:r w:rsidR="000A70BF">
        <w:rPr>
          <w:b/>
          <w:lang w:val="fr-CA"/>
        </w:rPr>
        <w:t>à la 79</w:t>
      </w:r>
      <w:r w:rsidR="000A70BF" w:rsidRPr="000A70BF">
        <w:rPr>
          <w:b/>
          <w:vertAlign w:val="superscript"/>
          <w:lang w:val="fr-CA"/>
        </w:rPr>
        <w:t>e</w:t>
      </w:r>
      <w:r w:rsidR="000A70BF">
        <w:rPr>
          <w:b/>
          <w:lang w:val="fr-CA"/>
        </w:rPr>
        <w:t xml:space="preserve"> réunion </w:t>
      </w:r>
      <w:r w:rsidR="00491F22" w:rsidRPr="001549BA">
        <w:rPr>
          <w:b/>
          <w:lang w:val="fr-CA"/>
        </w:rPr>
        <w:t>le document « Principaux aspects liés aux technologies de contrôle du sous</w:t>
      </w:r>
      <w:r w:rsidR="00A015EE">
        <w:rPr>
          <w:b/>
          <w:lang w:val="fr-CA"/>
        </w:rPr>
        <w:noBreakHyphen/>
      </w:r>
      <w:r w:rsidR="00491F22" w:rsidRPr="001549BA">
        <w:rPr>
          <w:b/>
          <w:lang w:val="fr-CA"/>
        </w:rPr>
        <w:t>produit HFC-23 (décision 78/5) », qui traite de</w:t>
      </w:r>
      <w:r w:rsidR="001549BA" w:rsidRPr="001549BA">
        <w:rPr>
          <w:b/>
          <w:lang w:val="fr-CA"/>
        </w:rPr>
        <w:t xml:space="preserve"> la questi</w:t>
      </w:r>
      <w:r w:rsidR="00491F22" w:rsidRPr="001549BA">
        <w:rPr>
          <w:b/>
          <w:lang w:val="fr-CA"/>
        </w:rPr>
        <w:t>on en détail.</w:t>
      </w:r>
      <w:r w:rsidR="00A2346F" w:rsidRPr="0079738F">
        <w:rPr>
          <w:rStyle w:val="FootnoteReference"/>
          <w:b/>
          <w:bCs/>
        </w:rPr>
        <w:footnoteReference w:id="12"/>
      </w:r>
      <w:r w:rsidR="00A2346F" w:rsidRPr="00A2346F">
        <w:rPr>
          <w:b/>
          <w:bCs/>
          <w:lang w:val="fr-CA"/>
        </w:rPr>
        <w:t xml:space="preserve"> </w:t>
      </w:r>
      <w:r w:rsidR="00491F22" w:rsidRPr="001549BA">
        <w:rPr>
          <w:b/>
          <w:lang w:val="fr-CA"/>
        </w:rPr>
        <w:t>Toute consommation de HFC</w:t>
      </w:r>
      <w:r w:rsidR="00A015EE">
        <w:rPr>
          <w:b/>
          <w:lang w:val="fr-CA"/>
        </w:rPr>
        <w:noBreakHyphen/>
      </w:r>
      <w:r w:rsidR="00491F22" w:rsidRPr="001549BA">
        <w:rPr>
          <w:b/>
          <w:lang w:val="fr-CA"/>
        </w:rPr>
        <w:t>23 dans les pays visés à l’article 5 doit être abordée dans les plans d’élimination des HFC respectifs des p</w:t>
      </w:r>
      <w:r w:rsidR="001549BA" w:rsidRPr="001549BA">
        <w:rPr>
          <w:b/>
          <w:lang w:val="fr-CA"/>
        </w:rPr>
        <w:t>ays en question et les activités de préparation devront tenir compte de cette consommation.</w:t>
      </w:r>
    </w:p>
    <w:p w14:paraId="6F66B2CE" w14:textId="77777777" w:rsidR="006510FE" w:rsidRPr="00AB1896" w:rsidRDefault="006510FE" w:rsidP="006510FE">
      <w:pPr>
        <w:rPr>
          <w:b/>
          <w:lang w:val="fr-CA"/>
        </w:rPr>
      </w:pPr>
      <w:r w:rsidRPr="00AB1896">
        <w:rPr>
          <w:b/>
          <w:lang w:val="fr-CA"/>
        </w:rPr>
        <w:t xml:space="preserve">Suggestion pour </w:t>
      </w:r>
      <w:r>
        <w:rPr>
          <w:b/>
          <w:lang w:val="fr-CA"/>
        </w:rPr>
        <w:t>l’avenir</w:t>
      </w:r>
    </w:p>
    <w:p w14:paraId="51E67063" w14:textId="77777777" w:rsidR="006510FE" w:rsidRPr="00AB1896" w:rsidRDefault="006510FE" w:rsidP="006510FE">
      <w:pPr>
        <w:rPr>
          <w:lang w:val="fr-CA"/>
        </w:rPr>
      </w:pPr>
    </w:p>
    <w:p w14:paraId="10726102" w14:textId="77777777" w:rsidR="006510FE" w:rsidRPr="009829A2" w:rsidRDefault="006510FE" w:rsidP="006510FE">
      <w:pPr>
        <w:pStyle w:val="Heading1"/>
        <w:rPr>
          <w:b/>
          <w:lang w:val="fr-CA"/>
        </w:rPr>
      </w:pPr>
      <w:r w:rsidRPr="00194922">
        <w:rPr>
          <w:lang w:val="fr-CA"/>
        </w:rPr>
        <w:t>Au lieu de prévoir une deuxième phase</w:t>
      </w:r>
      <w:r>
        <w:rPr>
          <w:lang w:val="fr-CA"/>
        </w:rPr>
        <w:t xml:space="preserve"> à</w:t>
      </w:r>
      <w:r w:rsidRPr="00194922">
        <w:rPr>
          <w:lang w:val="fr-CA"/>
        </w:rPr>
        <w:t xml:space="preserve"> la présente étude théorique, le Secrétariat devrait être prié d’élaborer des lignes directrices pour la préparation des plans d’élimination progressive des H</w:t>
      </w:r>
      <w:r>
        <w:rPr>
          <w:lang w:val="fr-CA"/>
        </w:rPr>
        <w:t>C</w:t>
      </w:r>
      <w:r w:rsidRPr="00194922">
        <w:rPr>
          <w:lang w:val="fr-CA"/>
        </w:rPr>
        <w:t xml:space="preserve">FC en suivant la même approche </w:t>
      </w:r>
      <w:r>
        <w:rPr>
          <w:lang w:val="fr-CA"/>
        </w:rPr>
        <w:t>que celle employée pour l’élimination des HCFC, compte tenu des enseignements tirés de l’étude théorique.</w:t>
      </w:r>
      <w:r w:rsidRPr="009829A2">
        <w:rPr>
          <w:lang w:val="fr-CA"/>
        </w:rPr>
        <w:t xml:space="preserve"> </w:t>
      </w:r>
    </w:p>
    <w:p w14:paraId="0F003171" w14:textId="77777777" w:rsidR="006510FE" w:rsidRPr="00814B12" w:rsidRDefault="006510FE" w:rsidP="006510FE">
      <w:pPr>
        <w:keepNext/>
        <w:keepLines/>
        <w:spacing w:after="240"/>
        <w:rPr>
          <w:b/>
        </w:rPr>
      </w:pPr>
      <w:proofErr w:type="spellStart"/>
      <w:r w:rsidRPr="00814B12" w:rsidDel="00FA1A43">
        <w:rPr>
          <w:b/>
        </w:rPr>
        <w:t>Recomm</w:t>
      </w:r>
      <w:r>
        <w:rPr>
          <w:b/>
        </w:rPr>
        <w:t>a</w:t>
      </w:r>
      <w:r w:rsidRPr="00814B12" w:rsidDel="00FA1A43">
        <w:rPr>
          <w:b/>
        </w:rPr>
        <w:t>ndation</w:t>
      </w:r>
      <w:proofErr w:type="spellEnd"/>
    </w:p>
    <w:p w14:paraId="157579DF" w14:textId="77777777" w:rsidR="006510FE" w:rsidRPr="00DA0151" w:rsidRDefault="006510FE" w:rsidP="006510FE">
      <w:pPr>
        <w:pStyle w:val="Heading1"/>
        <w:keepNext/>
        <w:keepLines/>
        <w:rPr>
          <w:lang w:val="fr-CA"/>
        </w:rPr>
      </w:pPr>
      <w:r w:rsidRPr="00DA0151">
        <w:rPr>
          <w:lang w:val="fr-CA"/>
        </w:rPr>
        <w:t>Le Comité exécutif pourrait souhaiter</w:t>
      </w:r>
      <w:r>
        <w:rPr>
          <w:lang w:val="fr-CA"/>
        </w:rPr>
        <w:t> </w:t>
      </w:r>
      <w:r w:rsidRPr="00DA0151">
        <w:rPr>
          <w:lang w:val="fr-CA"/>
        </w:rPr>
        <w:t>:</w:t>
      </w:r>
    </w:p>
    <w:p w14:paraId="56D10DDE" w14:textId="33FE66A5" w:rsidR="006510FE" w:rsidRPr="00DA0151" w:rsidRDefault="006510FE" w:rsidP="006510FE">
      <w:pPr>
        <w:pStyle w:val="Heading2"/>
        <w:rPr>
          <w:lang w:val="fr-CA"/>
        </w:rPr>
      </w:pPr>
      <w:r w:rsidRPr="00DA0151">
        <w:rPr>
          <w:lang w:val="fr-CA"/>
        </w:rPr>
        <w:t>Prendre note de l’Étude théorique sur l’évaluation des activités de préparation du plan de gestion de l’élimination des HCFC destinées à faciliter la mise en œuvre de l’Amendement de Kigali renfermée dans le d</w:t>
      </w:r>
      <w:r w:rsidR="00A2346F">
        <w:rPr>
          <w:lang w:val="fr-CA"/>
        </w:rPr>
        <w:t>ocument UNEP/</w:t>
      </w:r>
      <w:proofErr w:type="spellStart"/>
      <w:r w:rsidR="00A2346F">
        <w:rPr>
          <w:lang w:val="fr-CA"/>
        </w:rPr>
        <w:t>OzL.Pro</w:t>
      </w:r>
      <w:proofErr w:type="spellEnd"/>
      <w:r w:rsidR="00A2346F">
        <w:rPr>
          <w:lang w:val="fr-CA"/>
        </w:rPr>
        <w:t>/</w:t>
      </w:r>
      <w:proofErr w:type="spellStart"/>
      <w:r w:rsidR="00A2346F">
        <w:rPr>
          <w:lang w:val="fr-CA"/>
        </w:rPr>
        <w:t>ExCom</w:t>
      </w:r>
      <w:proofErr w:type="spellEnd"/>
      <w:r w:rsidR="00A2346F">
        <w:rPr>
          <w:lang w:val="fr-CA"/>
        </w:rPr>
        <w:t>/83/8</w:t>
      </w:r>
      <w:r w:rsidR="00A015EE">
        <w:rPr>
          <w:lang w:val="fr-CA"/>
        </w:rPr>
        <w:t xml:space="preserve"> </w:t>
      </w:r>
      <w:r w:rsidRPr="00DA0151">
        <w:rPr>
          <w:lang w:val="fr-CA"/>
        </w:rPr>
        <w:t xml:space="preserve">; </w:t>
      </w:r>
    </w:p>
    <w:p w14:paraId="2D0DDDC8" w14:textId="38A97C46" w:rsidR="006510FE" w:rsidRPr="00DA0151" w:rsidRDefault="006510FE" w:rsidP="006510FE">
      <w:pPr>
        <w:pStyle w:val="Heading2"/>
        <w:rPr>
          <w:lang w:val="fr-CA"/>
        </w:rPr>
      </w:pPr>
      <w:r w:rsidRPr="00DA0151">
        <w:rPr>
          <w:lang w:val="fr-CA"/>
        </w:rPr>
        <w:t>Inviter les agences bilatérales et les agences d’exécution à appliquer, selon qu’il convient, les constatations et les recommandations de l’évaluation</w:t>
      </w:r>
      <w:r w:rsidR="00A015EE">
        <w:rPr>
          <w:lang w:val="fr-CA"/>
        </w:rPr>
        <w:t xml:space="preserve"> </w:t>
      </w:r>
      <w:r w:rsidRPr="00DA0151">
        <w:rPr>
          <w:lang w:val="fr-CA"/>
        </w:rPr>
        <w:t>;</w:t>
      </w:r>
    </w:p>
    <w:p w14:paraId="08021D39" w14:textId="77777777" w:rsidR="006510FE" w:rsidRPr="00DA0151" w:rsidRDefault="006510FE" w:rsidP="006510FE">
      <w:pPr>
        <w:pStyle w:val="Heading2"/>
        <w:rPr>
          <w:lang w:val="fr-CA"/>
        </w:rPr>
      </w:pPr>
      <w:r w:rsidRPr="00DA0151">
        <w:rPr>
          <w:lang w:val="fr-CA"/>
        </w:rPr>
        <w:lastRenderedPageBreak/>
        <w:t xml:space="preserve">Prier le Secrétariat de préparer les lignes directrices pour la préparation des plans d’élimination progressive des HFC en suivant la même approche que celle employée pour l’élimination des HCFC, compte tenu des enseignements tirés de l’étude théorique. </w:t>
      </w:r>
    </w:p>
    <w:p w14:paraId="5427C5D5" w14:textId="77777777" w:rsidR="006510FE" w:rsidRPr="00DA0151" w:rsidRDefault="006510FE" w:rsidP="006510FE">
      <w:pPr>
        <w:pStyle w:val="StyleHeader4Para4Left0Firstline0"/>
        <w:numPr>
          <w:ilvl w:val="0"/>
          <w:numId w:val="0"/>
        </w:numPr>
        <w:rPr>
          <w:lang w:val="fr-CA"/>
        </w:rPr>
      </w:pPr>
    </w:p>
    <w:p w14:paraId="539566A9" w14:textId="77777777" w:rsidR="002F02E4" w:rsidRPr="006510FE" w:rsidRDefault="002F02E4" w:rsidP="002F02E4">
      <w:pPr>
        <w:rPr>
          <w:b/>
          <w:lang w:val="fr-CA"/>
        </w:rPr>
        <w:sectPr w:rsidR="002F02E4" w:rsidRPr="006510FE" w:rsidSect="002F02E4">
          <w:headerReference w:type="even" r:id="rId13"/>
          <w:headerReference w:type="default" r:id="rId14"/>
          <w:footerReference w:type="even" r:id="rId15"/>
          <w:footerReference w:type="default" r:id="rId16"/>
          <w:footerReference w:type="first" r:id="rId17"/>
          <w:pgSz w:w="12240" w:h="15840"/>
          <w:pgMar w:top="1440" w:right="1440" w:bottom="1440" w:left="1440" w:header="720" w:footer="720" w:gutter="0"/>
          <w:cols w:space="720"/>
          <w:titlePg/>
          <w:docGrid w:linePitch="360"/>
        </w:sectPr>
      </w:pPr>
    </w:p>
    <w:p w14:paraId="5DDCC232" w14:textId="77777777" w:rsidR="00E85409" w:rsidRPr="006510FE" w:rsidRDefault="00E85409" w:rsidP="000A70BF">
      <w:pPr>
        <w:spacing w:after="240"/>
        <w:rPr>
          <w:lang w:val="fr-CA"/>
        </w:rPr>
      </w:pPr>
    </w:p>
    <w:sectPr w:rsidR="00E85409" w:rsidRPr="006510FE" w:rsidSect="00F13B49">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F05A6" w16cid:durableId="1F9A1D09"/>
  <w16cid:commentId w16cid:paraId="63C8987B" w16cid:durableId="1F9A1E9A"/>
  <w16cid:commentId w16cid:paraId="268E46D6" w16cid:durableId="1F9A2489"/>
  <w16cid:commentId w16cid:paraId="4B9AAE8F" w16cid:durableId="1F9A392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45DD3" w14:textId="77777777" w:rsidR="00BD24C9" w:rsidRDefault="00BD24C9" w:rsidP="004A504B">
      <w:r>
        <w:separator/>
      </w:r>
    </w:p>
  </w:endnote>
  <w:endnote w:type="continuationSeparator" w:id="0">
    <w:p w14:paraId="6AC70E2C" w14:textId="77777777" w:rsidR="00BD24C9" w:rsidRDefault="00BD24C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397771"/>
      <w:docPartObj>
        <w:docPartGallery w:val="Page Numbers (Bottom of Page)"/>
        <w:docPartUnique/>
      </w:docPartObj>
    </w:sdtPr>
    <w:sdtEndPr>
      <w:rPr>
        <w:noProof/>
      </w:rPr>
    </w:sdtEndPr>
    <w:sdtContent>
      <w:p w14:paraId="7FEFAC02" w14:textId="02A9FA22" w:rsidR="005E04D2" w:rsidRDefault="005E04D2">
        <w:pPr>
          <w:pStyle w:val="Footer"/>
          <w:jc w:val="center"/>
        </w:pPr>
        <w:r>
          <w:fldChar w:fldCharType="begin"/>
        </w:r>
        <w:r>
          <w:instrText xml:space="preserve"> PAGE   \* MERGEFORMAT </w:instrText>
        </w:r>
        <w:r>
          <w:fldChar w:fldCharType="separate"/>
        </w:r>
        <w:r w:rsidR="00FB0534">
          <w:rPr>
            <w:noProof/>
          </w:rPr>
          <w:t>14</w:t>
        </w:r>
        <w:r>
          <w:rPr>
            <w:noProof/>
          </w:rPr>
          <w:fldChar w:fldCharType="end"/>
        </w:r>
      </w:p>
    </w:sdtContent>
  </w:sdt>
  <w:p w14:paraId="28A6C33C" w14:textId="77777777" w:rsidR="005E04D2" w:rsidRDefault="005E04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340541"/>
      <w:docPartObj>
        <w:docPartGallery w:val="Page Numbers (Bottom of Page)"/>
        <w:docPartUnique/>
      </w:docPartObj>
    </w:sdtPr>
    <w:sdtEndPr>
      <w:rPr>
        <w:noProof/>
      </w:rPr>
    </w:sdtEndPr>
    <w:sdtContent>
      <w:p w14:paraId="35CD75EC" w14:textId="12876551" w:rsidR="005E04D2" w:rsidRDefault="005E04D2">
        <w:pPr>
          <w:pStyle w:val="Footer"/>
          <w:jc w:val="center"/>
        </w:pPr>
        <w:r>
          <w:fldChar w:fldCharType="begin"/>
        </w:r>
        <w:r>
          <w:instrText xml:space="preserve"> PAGE   \* MERGEFORMAT </w:instrText>
        </w:r>
        <w:r>
          <w:fldChar w:fldCharType="separate"/>
        </w:r>
        <w:r w:rsidR="00FB0534">
          <w:rPr>
            <w:noProof/>
          </w:rPr>
          <w:t>13</w:t>
        </w:r>
        <w:r>
          <w:rPr>
            <w:noProof/>
          </w:rPr>
          <w:fldChar w:fldCharType="end"/>
        </w:r>
      </w:p>
    </w:sdtContent>
  </w:sdt>
  <w:p w14:paraId="2631B2BB" w14:textId="77777777" w:rsidR="005E04D2" w:rsidRDefault="005E04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B0B4" w14:textId="77777777" w:rsidR="005E04D2" w:rsidRDefault="005E04D2" w:rsidP="00A5090F">
    <w:pPr>
      <w:pBdr>
        <w:top w:val="single" w:sz="4" w:space="1" w:color="auto"/>
        <w:left w:val="single" w:sz="4" w:space="4" w:color="auto"/>
        <w:bottom w:val="single" w:sz="4" w:space="1" w:color="auto"/>
        <w:right w:val="single" w:sz="4" w:space="11" w:color="auto"/>
      </w:pBdr>
      <w:jc w:val="center"/>
      <w:rPr>
        <w:rFonts w:cs="MS Serif"/>
        <w:sz w:val="20"/>
        <w:lang w:val="fr-FR"/>
      </w:rPr>
    </w:pPr>
    <w:r>
      <w:rPr>
        <w:rFonts w:cs="MS Serif"/>
        <w:sz w:val="20"/>
        <w:lang w:val="fr-FR"/>
      </w:rPr>
      <w:t xml:space="preserve">Les documents de </w:t>
    </w:r>
    <w:proofErr w:type="spellStart"/>
    <w:r>
      <w:rPr>
        <w:rFonts w:cs="MS Serif"/>
        <w:sz w:val="20"/>
        <w:lang w:val="fr-FR"/>
      </w:rPr>
      <w:t>présession</w:t>
    </w:r>
    <w:proofErr w:type="spellEnd"/>
    <w:r>
      <w:rPr>
        <w:rFonts w:cs="MS Serif"/>
        <w:sz w:val="20"/>
        <w:lang w:val="fr-FR"/>
      </w:rPr>
      <w:t xml:space="preserve"> du Comité exécutif du Fonds multilatéral aux fins d’application du Protocole de </w:t>
    </w:r>
  </w:p>
  <w:p w14:paraId="71413EA7" w14:textId="4A03E140" w:rsidR="005E04D2" w:rsidRPr="00A5090F" w:rsidRDefault="005E04D2" w:rsidP="00A5090F">
    <w:pPr>
      <w:pBdr>
        <w:top w:val="single" w:sz="4" w:space="1" w:color="auto"/>
        <w:left w:val="single" w:sz="4" w:space="4" w:color="auto"/>
        <w:bottom w:val="single" w:sz="4" w:space="1" w:color="auto"/>
        <w:right w:val="single" w:sz="4" w:space="11" w:color="auto"/>
      </w:pBdr>
      <w:jc w:val="center"/>
      <w:rPr>
        <w:sz w:val="18"/>
        <w:szCs w:val="18"/>
        <w:lang w:val="fr-CA"/>
      </w:rPr>
    </w:pPr>
    <w:r>
      <w:rPr>
        <w:rFonts w:cs="MS Serif"/>
        <w:sz w:val="20"/>
        <w:lang w:val="fr-FR"/>
      </w:rPr>
      <w:t>Montréal sont présentés sous réserve des décisions pouvant être prises par</w:t>
    </w:r>
    <w:r w:rsidR="004B73D6">
      <w:rPr>
        <w:rFonts w:cs="MS Serif"/>
        <w:sz w:val="20"/>
        <w:lang w:val="fr-FR"/>
      </w:rPr>
      <w:t xml:space="preserve"> le Comité exécutif après leur </w:t>
    </w:r>
    <w:r>
      <w:rPr>
        <w:rFonts w:cs="MS Serif"/>
        <w:sz w:val="20"/>
        <w:lang w:val="fr-FR"/>
      </w:rPr>
      <w:t>publication.</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1D1FE" w14:textId="0E34715C" w:rsidR="005E04D2" w:rsidRPr="0033525D" w:rsidRDefault="005E04D2">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643F" w14:textId="16C70AE8" w:rsidR="005E04D2" w:rsidRPr="0033525D" w:rsidRDefault="005E04D2">
    <w:pPr>
      <w:jc w:val="center"/>
    </w:pPr>
    <w:r>
      <w:fldChar w:fldCharType="begin"/>
    </w:r>
    <w:r>
      <w:instrText xml:space="preserve"> PAGE </w:instrText>
    </w:r>
    <w:r>
      <w:fldChar w:fldCharType="separate"/>
    </w:r>
    <w:r w:rsidR="00D154F9">
      <w:rPr>
        <w:noProof/>
      </w:rPr>
      <w:t>1</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237344"/>
      <w:docPartObj>
        <w:docPartGallery w:val="Page Numbers (Bottom of Page)"/>
        <w:docPartUnique/>
      </w:docPartObj>
    </w:sdtPr>
    <w:sdtEndPr>
      <w:rPr>
        <w:noProof/>
      </w:rPr>
    </w:sdtEndPr>
    <w:sdtContent>
      <w:p w14:paraId="6DFD1221" w14:textId="7886A5B9" w:rsidR="005E04D2" w:rsidRDefault="005E04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AD6664" w14:textId="77777777" w:rsidR="005E04D2" w:rsidRPr="002F02E4" w:rsidRDefault="005E04D2" w:rsidP="002F02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FEF7B" w14:textId="77777777" w:rsidR="00BD24C9" w:rsidRDefault="00BD24C9" w:rsidP="004A504B">
      <w:r>
        <w:separator/>
      </w:r>
    </w:p>
  </w:footnote>
  <w:footnote w:type="continuationSeparator" w:id="0">
    <w:p w14:paraId="58DBDCD6" w14:textId="77777777" w:rsidR="00BD24C9" w:rsidRDefault="00BD24C9" w:rsidP="004A504B">
      <w:r>
        <w:continuationSeparator/>
      </w:r>
    </w:p>
  </w:footnote>
  <w:footnote w:id="1">
    <w:p w14:paraId="1C839155" w14:textId="77777777" w:rsidR="005E04D2" w:rsidRPr="006E6F01" w:rsidRDefault="005E04D2" w:rsidP="00271D70">
      <w:pPr>
        <w:pStyle w:val="FootnoteText"/>
        <w:jc w:val="left"/>
        <w:rPr>
          <w:lang w:val="fr-CA"/>
        </w:rPr>
      </w:pPr>
      <w:r>
        <w:rPr>
          <w:rStyle w:val="FootnoteReference"/>
        </w:rPr>
        <w:footnoteRef/>
      </w:r>
      <w:r w:rsidRPr="006E6F01">
        <w:rPr>
          <w:lang w:val="fr-CA"/>
        </w:rPr>
        <w:t xml:space="preserve"> UNEP/</w:t>
      </w:r>
      <w:proofErr w:type="spellStart"/>
      <w:r w:rsidRPr="006E6F01">
        <w:rPr>
          <w:lang w:val="fr-CA"/>
        </w:rPr>
        <w:t>OzL.Pro</w:t>
      </w:r>
      <w:proofErr w:type="spellEnd"/>
      <w:r w:rsidRPr="006E6F01">
        <w:rPr>
          <w:lang w:val="fr-CA"/>
        </w:rPr>
        <w:t>/</w:t>
      </w:r>
      <w:proofErr w:type="spellStart"/>
      <w:r w:rsidRPr="006E6F01">
        <w:rPr>
          <w:lang w:val="fr-CA"/>
        </w:rPr>
        <w:t>ExCom</w:t>
      </w:r>
      <w:proofErr w:type="spellEnd"/>
      <w:r w:rsidRPr="006E6F01">
        <w:rPr>
          <w:lang w:val="fr-CA"/>
        </w:rPr>
        <w:t>/82/12</w:t>
      </w:r>
    </w:p>
    <w:p w14:paraId="72DB497B" w14:textId="77777777" w:rsidR="005E04D2" w:rsidRPr="006E6F01" w:rsidRDefault="005E04D2" w:rsidP="00271D70">
      <w:pPr>
        <w:pStyle w:val="FootnoteText"/>
        <w:jc w:val="left"/>
        <w:rPr>
          <w:lang w:val="fr-CA"/>
        </w:rPr>
      </w:pPr>
    </w:p>
  </w:footnote>
  <w:footnote w:id="2">
    <w:p w14:paraId="14DD6A14" w14:textId="63A76FB9" w:rsidR="005E04D2" w:rsidRPr="00715C2A" w:rsidRDefault="005E04D2" w:rsidP="006510FE">
      <w:pPr>
        <w:pStyle w:val="FootnoteText"/>
        <w:jc w:val="left"/>
        <w:rPr>
          <w:lang w:val="fr-CA"/>
        </w:rPr>
      </w:pPr>
      <w:r>
        <w:rPr>
          <w:rStyle w:val="FootnoteReference"/>
        </w:rPr>
        <w:footnoteRef/>
      </w:r>
      <w:r w:rsidRPr="00715C2A">
        <w:rPr>
          <w:lang w:val="fr-CA"/>
        </w:rPr>
        <w:t xml:space="preserve"> L</w:t>
      </w:r>
      <w:r w:rsidR="008A78D7">
        <w:rPr>
          <w:lang w:val="fr-CA"/>
        </w:rPr>
        <w:t>e mandat figure à l’annexe III a</w:t>
      </w:r>
      <w:r w:rsidRPr="00715C2A">
        <w:rPr>
          <w:lang w:val="fr-CA"/>
        </w:rPr>
        <w:t>u prése</w:t>
      </w:r>
      <w:r>
        <w:rPr>
          <w:lang w:val="fr-CA"/>
        </w:rPr>
        <w:t>nt rapport</w:t>
      </w:r>
      <w:r w:rsidRPr="00715C2A">
        <w:rPr>
          <w:lang w:val="fr-CA"/>
        </w:rPr>
        <w:t>.</w:t>
      </w:r>
    </w:p>
  </w:footnote>
  <w:footnote w:id="3">
    <w:p w14:paraId="0D3B31BF" w14:textId="77777777" w:rsidR="005E04D2" w:rsidRPr="00715C2A" w:rsidRDefault="005E04D2" w:rsidP="006510FE">
      <w:pPr>
        <w:pStyle w:val="FootnoteText"/>
        <w:jc w:val="both"/>
        <w:rPr>
          <w:lang w:val="fr-CA"/>
        </w:rPr>
      </w:pPr>
      <w:r>
        <w:rPr>
          <w:rStyle w:val="FootnoteReference"/>
        </w:rPr>
        <w:footnoteRef/>
      </w:r>
      <w:r w:rsidRPr="00715C2A">
        <w:rPr>
          <w:lang w:val="fr-CA"/>
        </w:rPr>
        <w:t xml:space="preserve"> Fondé</w:t>
      </w:r>
      <w:r>
        <w:rPr>
          <w:lang w:val="fr-CA"/>
        </w:rPr>
        <w:t>es</w:t>
      </w:r>
      <w:r w:rsidRPr="00715C2A">
        <w:rPr>
          <w:lang w:val="fr-CA"/>
        </w:rPr>
        <w:t xml:space="preserve"> sur le document</w:t>
      </w:r>
      <w:r>
        <w:rPr>
          <w:lang w:val="fr-CA"/>
        </w:rPr>
        <w:t> </w:t>
      </w:r>
      <w:r w:rsidRPr="00715C2A">
        <w:rPr>
          <w:lang w:val="fr-CA"/>
        </w:rPr>
        <w:t>UNEP/</w:t>
      </w:r>
      <w:proofErr w:type="spellStart"/>
      <w:r w:rsidRPr="00715C2A">
        <w:rPr>
          <w:lang w:val="fr-CA"/>
        </w:rPr>
        <w:t>OzL.Pro</w:t>
      </w:r>
      <w:proofErr w:type="spellEnd"/>
      <w:r w:rsidRPr="00715C2A">
        <w:rPr>
          <w:lang w:val="fr-CA"/>
        </w:rPr>
        <w:t>/</w:t>
      </w:r>
      <w:proofErr w:type="spellStart"/>
      <w:r w:rsidRPr="00715C2A">
        <w:rPr>
          <w:lang w:val="fr-CA"/>
        </w:rPr>
        <w:t>ExCom</w:t>
      </w:r>
      <w:proofErr w:type="spellEnd"/>
      <w:r w:rsidRPr="00715C2A">
        <w:rPr>
          <w:lang w:val="fr-CA"/>
        </w:rPr>
        <w:t>/54/53.</w:t>
      </w:r>
    </w:p>
  </w:footnote>
  <w:footnote w:id="4">
    <w:p w14:paraId="32F033DF" w14:textId="2C2F3EB6" w:rsidR="005E04D2" w:rsidRPr="00602F42" w:rsidRDefault="005E04D2" w:rsidP="006510FE">
      <w:pPr>
        <w:pStyle w:val="FootnoteText"/>
        <w:jc w:val="both"/>
        <w:rPr>
          <w:lang w:val="fr-CA"/>
        </w:rPr>
      </w:pPr>
      <w:r>
        <w:rPr>
          <w:rStyle w:val="FootnoteReference"/>
        </w:rPr>
        <w:footnoteRef/>
      </w:r>
      <w:r w:rsidR="008A78D7">
        <w:rPr>
          <w:lang w:val="fr-CA"/>
        </w:rPr>
        <w:t xml:space="preserve"> Annexe IV a</w:t>
      </w:r>
      <w:r w:rsidRPr="00602F42">
        <w:rPr>
          <w:lang w:val="fr-CA"/>
        </w:rPr>
        <w:t>u document UNEP/</w:t>
      </w:r>
      <w:proofErr w:type="spellStart"/>
      <w:r w:rsidRPr="00602F42">
        <w:rPr>
          <w:lang w:val="fr-CA"/>
        </w:rPr>
        <w:t>OzL.Pro</w:t>
      </w:r>
      <w:proofErr w:type="spellEnd"/>
      <w:r w:rsidRPr="00602F42">
        <w:rPr>
          <w:lang w:val="fr-CA"/>
        </w:rPr>
        <w:t>/</w:t>
      </w:r>
      <w:proofErr w:type="spellStart"/>
      <w:r w:rsidRPr="00602F42">
        <w:rPr>
          <w:lang w:val="fr-CA"/>
        </w:rPr>
        <w:t>ExCom</w:t>
      </w:r>
      <w:proofErr w:type="spellEnd"/>
      <w:r w:rsidRPr="00602F42">
        <w:rPr>
          <w:lang w:val="fr-CA"/>
        </w:rPr>
        <w:t>/55/17.</w:t>
      </w:r>
    </w:p>
  </w:footnote>
  <w:footnote w:id="5">
    <w:p w14:paraId="4A2B5A5A" w14:textId="34075696" w:rsidR="005E04D2" w:rsidRPr="00863A19" w:rsidRDefault="005E04D2" w:rsidP="00863A19">
      <w:pPr>
        <w:pStyle w:val="FootnoteText"/>
        <w:jc w:val="left"/>
        <w:rPr>
          <w:lang w:val="fr-CA"/>
        </w:rPr>
      </w:pPr>
      <w:r w:rsidRPr="00D03B00">
        <w:rPr>
          <w:rStyle w:val="FootnoteReference"/>
        </w:rPr>
        <w:footnoteRef/>
      </w:r>
      <w:r w:rsidRPr="00863A19">
        <w:rPr>
          <w:lang w:val="fr-CA"/>
        </w:rPr>
        <w:t xml:space="preserve"> Plusieurs pays ont </w:t>
      </w:r>
      <w:r>
        <w:rPr>
          <w:lang w:val="fr-CA"/>
        </w:rPr>
        <w:t>décidé de proposer</w:t>
      </w:r>
      <w:r w:rsidRPr="00863A19">
        <w:rPr>
          <w:lang w:val="fr-CA"/>
        </w:rPr>
        <w:t xml:space="preserve"> d’</w:t>
      </w:r>
      <w:r>
        <w:rPr>
          <w:lang w:val="fr-CA"/>
        </w:rPr>
        <w:t xml:space="preserve">autres activités au lieu </w:t>
      </w:r>
      <w:r w:rsidRPr="00863A19">
        <w:rPr>
          <w:lang w:val="fr-CA"/>
        </w:rPr>
        <w:t>de l’adaptation dans la foulée des d</w:t>
      </w:r>
      <w:r>
        <w:rPr>
          <w:lang w:val="fr-CA"/>
        </w:rPr>
        <w:t>é</w:t>
      </w:r>
      <w:r w:rsidR="006E09A8">
        <w:rPr>
          <w:lang w:val="fr-CA"/>
        </w:rPr>
        <w:t>cisions 72/17 et 73/34</w:t>
      </w:r>
      <w:r w:rsidRPr="00863A19">
        <w:rPr>
          <w:lang w:val="fr-CA"/>
        </w:rPr>
        <w:t>.</w:t>
      </w:r>
    </w:p>
  </w:footnote>
  <w:footnote w:id="6">
    <w:p w14:paraId="4402B06D" w14:textId="77777777" w:rsidR="005E04D2" w:rsidRPr="000B7F19" w:rsidRDefault="005E04D2" w:rsidP="006510FE">
      <w:pPr>
        <w:pStyle w:val="ListParagraph"/>
        <w:spacing w:before="120"/>
        <w:ind w:left="0"/>
        <w:contextualSpacing w:val="0"/>
        <w:jc w:val="both"/>
        <w:rPr>
          <w:sz w:val="20"/>
          <w:szCs w:val="20"/>
          <w:lang w:val="fr-CA"/>
        </w:rPr>
      </w:pPr>
      <w:r>
        <w:rPr>
          <w:rStyle w:val="FootnoteReference"/>
        </w:rPr>
        <w:footnoteRef/>
      </w:r>
      <w:r w:rsidRPr="00F72015">
        <w:rPr>
          <w:lang w:val="fr-CA"/>
        </w:rPr>
        <w:t xml:space="preserve"> </w:t>
      </w:r>
      <w:r w:rsidRPr="00F72015">
        <w:rPr>
          <w:sz w:val="20"/>
          <w:szCs w:val="20"/>
          <w:lang w:val="fr-CA"/>
        </w:rPr>
        <w:t>Les seules exceptions semblent être l'Afrique du Sud, l'Albanie, Grenade, la Jordanie, la Namibie, l'</w:t>
      </w:r>
      <w:r>
        <w:rPr>
          <w:sz w:val="20"/>
          <w:szCs w:val="20"/>
          <w:lang w:val="fr-CA"/>
        </w:rPr>
        <w:t>ex</w:t>
      </w:r>
      <w:r>
        <w:rPr>
          <w:sz w:val="20"/>
          <w:szCs w:val="20"/>
          <w:lang w:val="fr-CA"/>
        </w:rPr>
        <w:noBreakHyphen/>
        <w:t>République yougoslave de Macédoine</w:t>
      </w:r>
      <w:r w:rsidRPr="00F72015">
        <w:rPr>
          <w:sz w:val="20"/>
          <w:szCs w:val="20"/>
          <w:lang w:val="fr-CA"/>
        </w:rPr>
        <w:t xml:space="preserve">, </w:t>
      </w:r>
      <w:r>
        <w:rPr>
          <w:sz w:val="20"/>
          <w:szCs w:val="20"/>
          <w:lang w:val="fr-CA"/>
        </w:rPr>
        <w:t xml:space="preserve">le </w:t>
      </w:r>
      <w:r w:rsidRPr="00F72015">
        <w:rPr>
          <w:sz w:val="20"/>
          <w:szCs w:val="20"/>
          <w:lang w:val="fr-CA"/>
        </w:rPr>
        <w:t>Sénégal, la Thaïlande et la Tunisie, qui n'ont pas fait mention de consultations initiales avec les intervenants dans leur</w:t>
      </w:r>
      <w:r>
        <w:rPr>
          <w:sz w:val="20"/>
          <w:szCs w:val="20"/>
          <w:lang w:val="fr-CA"/>
        </w:rPr>
        <w:t>s</w:t>
      </w:r>
      <w:r w:rsidRPr="00F72015">
        <w:rPr>
          <w:sz w:val="20"/>
          <w:szCs w:val="20"/>
          <w:lang w:val="fr-CA"/>
        </w:rPr>
        <w:t xml:space="preserve"> PGEH, ou dans les rapports périodiques </w:t>
      </w:r>
      <w:r>
        <w:rPr>
          <w:sz w:val="20"/>
          <w:szCs w:val="20"/>
          <w:lang w:val="fr-CA"/>
        </w:rPr>
        <w:t>p</w:t>
      </w:r>
      <w:r w:rsidRPr="00F72015">
        <w:rPr>
          <w:sz w:val="20"/>
          <w:szCs w:val="20"/>
          <w:lang w:val="fr-CA"/>
        </w:rPr>
        <w:t>résenté</w:t>
      </w:r>
      <w:r>
        <w:rPr>
          <w:sz w:val="20"/>
          <w:szCs w:val="20"/>
          <w:lang w:val="fr-CA"/>
        </w:rPr>
        <w:t>s</w:t>
      </w:r>
      <w:r w:rsidRPr="00F72015">
        <w:rPr>
          <w:sz w:val="20"/>
          <w:szCs w:val="20"/>
          <w:lang w:val="fr-CA"/>
        </w:rPr>
        <w:t xml:space="preserve"> par l'</w:t>
      </w:r>
      <w:r>
        <w:rPr>
          <w:sz w:val="20"/>
          <w:szCs w:val="20"/>
          <w:lang w:val="fr-CA"/>
        </w:rPr>
        <w:t>a</w:t>
      </w:r>
      <w:r w:rsidRPr="00F72015">
        <w:rPr>
          <w:sz w:val="20"/>
          <w:szCs w:val="20"/>
          <w:lang w:val="fr-CA"/>
        </w:rPr>
        <w:t>gence principale.</w:t>
      </w:r>
      <w:r>
        <w:rPr>
          <w:lang w:val="fr-CA"/>
        </w:rPr>
        <w:t xml:space="preserve"> </w:t>
      </w:r>
    </w:p>
  </w:footnote>
  <w:footnote w:id="7">
    <w:p w14:paraId="36372B34" w14:textId="77777777" w:rsidR="005E04D2" w:rsidRPr="000B7F19" w:rsidRDefault="005E04D2" w:rsidP="006510FE">
      <w:pPr>
        <w:pStyle w:val="FootnoteText"/>
        <w:jc w:val="both"/>
        <w:rPr>
          <w:lang w:val="fr-CA"/>
        </w:rPr>
      </w:pPr>
      <w:r w:rsidRPr="00745FB7">
        <w:rPr>
          <w:rStyle w:val="FootnoteReference"/>
        </w:rPr>
        <w:footnoteRef/>
      </w:r>
      <w:r w:rsidRPr="00E763EE">
        <w:rPr>
          <w:lang w:val="fr-CA"/>
        </w:rPr>
        <w:t xml:space="preserve"> Afrique du Sud, Géorgie, Jordanie, Koweït, Maldives, Mexique, Namibie, Népal, Nigéria, Panama, </w:t>
      </w:r>
      <w:r>
        <w:rPr>
          <w:lang w:val="fr-CA"/>
        </w:rPr>
        <w:t>ex</w:t>
      </w:r>
      <w:r>
        <w:rPr>
          <w:lang w:val="fr-CA"/>
        </w:rPr>
        <w:noBreakHyphen/>
        <w:t>République yougoslave de Macédoine</w:t>
      </w:r>
      <w:r w:rsidRPr="00E763EE">
        <w:rPr>
          <w:lang w:val="fr-CA"/>
        </w:rPr>
        <w:t xml:space="preserve">, Sénégal et Tunisie. </w:t>
      </w:r>
    </w:p>
  </w:footnote>
  <w:footnote w:id="8">
    <w:p w14:paraId="543C626B" w14:textId="5DD23076" w:rsidR="00543C0B" w:rsidRPr="00543C0B" w:rsidRDefault="00543C0B" w:rsidP="00543C0B">
      <w:pPr>
        <w:pStyle w:val="FootnoteText"/>
        <w:jc w:val="left"/>
        <w:rPr>
          <w:lang w:val="fr-CA"/>
        </w:rPr>
      </w:pPr>
      <w:r>
        <w:rPr>
          <w:rStyle w:val="FootnoteReference"/>
        </w:rPr>
        <w:footnoteRef/>
      </w:r>
      <w:r w:rsidR="00876496">
        <w:rPr>
          <w:lang w:val="fr-CA"/>
        </w:rPr>
        <w:t xml:space="preserve"> Décision 54/39 </w:t>
      </w:r>
      <w:r w:rsidRPr="00543C0B">
        <w:rPr>
          <w:lang w:val="fr-CA"/>
        </w:rPr>
        <w:t>h).</w:t>
      </w:r>
    </w:p>
  </w:footnote>
  <w:footnote w:id="9">
    <w:p w14:paraId="7D81290D" w14:textId="77777777" w:rsidR="005E04D2" w:rsidRPr="000547CF" w:rsidRDefault="005E04D2" w:rsidP="006510FE">
      <w:pPr>
        <w:pStyle w:val="FootnoteText"/>
        <w:jc w:val="both"/>
        <w:rPr>
          <w:lang w:val="fr-CA"/>
        </w:rPr>
      </w:pPr>
      <w:r>
        <w:rPr>
          <w:rStyle w:val="FootnoteReference"/>
        </w:rPr>
        <w:footnoteRef/>
      </w:r>
      <w:r w:rsidRPr="00262DD2">
        <w:rPr>
          <w:lang w:val="fr-CA"/>
        </w:rPr>
        <w:t xml:space="preserve"> Arabie Saoudite, Bahreïn, Émirats arabes unis, Iraq, Koweït, Oman, Pakistan, Qatar et République islamique d'Iran. </w:t>
      </w:r>
    </w:p>
  </w:footnote>
  <w:footnote w:id="10">
    <w:p w14:paraId="5F10DCA5" w14:textId="77777777" w:rsidR="005E04D2" w:rsidRPr="00262DD2" w:rsidRDefault="005E04D2" w:rsidP="006510FE">
      <w:pPr>
        <w:pStyle w:val="FootnoteText"/>
        <w:jc w:val="both"/>
        <w:rPr>
          <w:lang w:val="fr-CA"/>
        </w:rPr>
      </w:pPr>
      <w:r>
        <w:rPr>
          <w:rStyle w:val="FootnoteReference"/>
        </w:rPr>
        <w:footnoteRef/>
      </w:r>
      <w:r w:rsidRPr="00262DD2">
        <w:rPr>
          <w:lang w:val="fr-CA"/>
        </w:rPr>
        <w:t xml:space="preserve"> UNEP/OzL.Pro.30/INF/7 et MOP30</w:t>
      </w:r>
      <w:r>
        <w:rPr>
          <w:lang w:val="fr-CA"/>
        </w:rPr>
        <w:noBreakHyphen/>
      </w:r>
      <w:r w:rsidRPr="00262DD2">
        <w:rPr>
          <w:lang w:val="fr-CA"/>
        </w:rPr>
        <w:t>L1.</w:t>
      </w:r>
    </w:p>
  </w:footnote>
  <w:footnote w:id="11">
    <w:p w14:paraId="4EED930C" w14:textId="4B071FB3" w:rsidR="00A421FE" w:rsidRPr="00A2346F" w:rsidRDefault="00A421FE" w:rsidP="00A421FE">
      <w:pPr>
        <w:pStyle w:val="FootnoteText"/>
        <w:jc w:val="left"/>
        <w:rPr>
          <w:lang w:val="fr-CA"/>
        </w:rPr>
      </w:pPr>
      <w:r>
        <w:rPr>
          <w:rStyle w:val="FootnoteReference"/>
        </w:rPr>
        <w:footnoteRef/>
      </w:r>
      <w:r w:rsidRPr="00A2346F">
        <w:rPr>
          <w:lang w:val="fr-CA"/>
        </w:rPr>
        <w:t xml:space="preserve"> </w:t>
      </w:r>
      <w:r w:rsidR="00A2346F" w:rsidRPr="00A2346F">
        <w:rPr>
          <w:lang w:val="fr-CA"/>
        </w:rPr>
        <w:t xml:space="preserve">L’information sur la </w:t>
      </w:r>
      <w:r w:rsidR="00A2346F">
        <w:rPr>
          <w:lang w:val="fr-CA"/>
        </w:rPr>
        <w:t>conso</w:t>
      </w:r>
      <w:r w:rsidR="00A2346F" w:rsidRPr="00A2346F">
        <w:rPr>
          <w:lang w:val="fr-CA"/>
        </w:rPr>
        <w:t>mmation de HFC a été publiée dans les enqu</w:t>
      </w:r>
      <w:r w:rsidR="00A2346F">
        <w:rPr>
          <w:lang w:val="fr-CA"/>
        </w:rPr>
        <w:t>êtes sur les substances de remplacement des SAO menées dans 119 pays visés à l’article 5 en réponse au paragraphe 4 de la décision XXVI/2, dont 22 ont été présentées à la 80</w:t>
      </w:r>
      <w:r w:rsidR="00A2346F" w:rsidRPr="00A2346F">
        <w:rPr>
          <w:vertAlign w:val="superscript"/>
          <w:lang w:val="fr-CA"/>
        </w:rPr>
        <w:t>e</w:t>
      </w:r>
      <w:r w:rsidR="00A2346F">
        <w:rPr>
          <w:lang w:val="fr-CA"/>
        </w:rPr>
        <w:t xml:space="preserve"> réunion</w:t>
      </w:r>
      <w:r w:rsidRPr="00A2346F">
        <w:rPr>
          <w:lang w:val="fr-CA"/>
        </w:rPr>
        <w:t xml:space="preserve">. </w:t>
      </w:r>
    </w:p>
  </w:footnote>
  <w:footnote w:id="12">
    <w:p w14:paraId="3D9B8727" w14:textId="77777777" w:rsidR="00A2346F" w:rsidRPr="0017676D" w:rsidRDefault="00A2346F" w:rsidP="00A2346F">
      <w:pPr>
        <w:pStyle w:val="FootnoteText"/>
        <w:jc w:val="left"/>
        <w:rPr>
          <w:lang w:val="en-CA"/>
        </w:rPr>
      </w:pPr>
      <w:r>
        <w:rPr>
          <w:rStyle w:val="FootnoteReference"/>
        </w:rPr>
        <w:footnoteRef/>
      </w:r>
      <w:r>
        <w:t xml:space="preserve"> </w:t>
      </w:r>
      <w:r w:rsidRPr="00FB6ABE">
        <w:rPr>
          <w:b/>
        </w:rPr>
        <w:t>UNEP/</w:t>
      </w:r>
      <w:proofErr w:type="spellStart"/>
      <w:r w:rsidRPr="00FB6ABE">
        <w:rPr>
          <w:b/>
        </w:rPr>
        <w:t>OzL.Pro</w:t>
      </w:r>
      <w:proofErr w:type="spellEnd"/>
      <w:r w:rsidRPr="00FB6ABE">
        <w:rPr>
          <w:b/>
        </w:rPr>
        <w:t>/</w:t>
      </w:r>
      <w:proofErr w:type="spellStart"/>
      <w:r w:rsidRPr="00FB6ABE">
        <w:rPr>
          <w:b/>
        </w:rPr>
        <w:t>ExCom</w:t>
      </w:r>
      <w:proofErr w:type="spellEnd"/>
      <w:r w:rsidRPr="00FB6ABE">
        <w:rPr>
          <w:b/>
        </w:rPr>
        <w:t>/79/48</w:t>
      </w:r>
      <w:r>
        <w:rPr>
          <w: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DF69" w14:textId="0F547C30" w:rsidR="005E04D2" w:rsidRPr="00106B54" w:rsidRDefault="005E04D2" w:rsidP="002F02E4">
    <w:r>
      <w:rPr>
        <w:bCs/>
        <w:lang w:val="en-US"/>
      </w:rPr>
      <w:fldChar w:fldCharType="begin"/>
    </w:r>
    <w:r>
      <w:rPr>
        <w:bCs/>
        <w:lang w:val="en-US"/>
      </w:rPr>
      <w:instrText xml:space="preserve"> DOCPROPERTY "Document number"  \* MERGEFORMAT </w:instrText>
    </w:r>
    <w:r>
      <w:rPr>
        <w:bCs/>
        <w:lang w:val="en-US"/>
      </w:rPr>
      <w:fldChar w:fldCharType="separate"/>
    </w:r>
    <w:r w:rsidR="000A70BF">
      <w:rPr>
        <w:bCs/>
        <w:lang w:val="en-US"/>
      </w:rPr>
      <w:t>UNEP/</w:t>
    </w:r>
    <w:proofErr w:type="spellStart"/>
    <w:r w:rsidR="000A70BF">
      <w:rPr>
        <w:bCs/>
        <w:lang w:val="en-US"/>
      </w:rPr>
      <w:t>OzL.Pro</w:t>
    </w:r>
    <w:proofErr w:type="spellEnd"/>
    <w:r w:rsidR="000A70BF">
      <w:rPr>
        <w:bCs/>
        <w:lang w:val="en-US"/>
      </w:rPr>
      <w:t>/</w:t>
    </w:r>
    <w:proofErr w:type="spellStart"/>
    <w:r w:rsidR="000A70BF">
      <w:rPr>
        <w:bCs/>
        <w:lang w:val="en-US"/>
      </w:rPr>
      <w:t>ExCom</w:t>
    </w:r>
    <w:proofErr w:type="spellEnd"/>
    <w:r w:rsidR="000A70BF">
      <w:rPr>
        <w:bCs/>
        <w:lang w:val="en-US"/>
      </w:rPr>
      <w:t>/83/8</w:t>
    </w:r>
    <w:r>
      <w:rPr>
        <w:bCs/>
        <w:lang w:val="en-US"/>
      </w:rPr>
      <w:fldChar w:fldCharType="end"/>
    </w:r>
  </w:p>
  <w:p w14:paraId="6B00C304" w14:textId="77777777" w:rsidR="005E04D2" w:rsidRDefault="005E04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C379" w14:textId="523451E7" w:rsidR="005E04D2" w:rsidRPr="00106B54" w:rsidRDefault="005E04D2" w:rsidP="002F02E4">
    <w:pPr>
      <w:jc w:val="right"/>
    </w:pPr>
    <w:r>
      <w:rPr>
        <w:bCs/>
        <w:lang w:val="en-US"/>
      </w:rPr>
      <w:fldChar w:fldCharType="begin"/>
    </w:r>
    <w:r>
      <w:rPr>
        <w:bCs/>
        <w:lang w:val="en-US"/>
      </w:rPr>
      <w:instrText xml:space="preserve"> DOCPROPERTY "Document number"  \* MERGEFORMAT </w:instrText>
    </w:r>
    <w:r>
      <w:rPr>
        <w:bCs/>
        <w:lang w:val="en-US"/>
      </w:rPr>
      <w:fldChar w:fldCharType="separate"/>
    </w:r>
    <w:r w:rsidR="000A70BF">
      <w:rPr>
        <w:bCs/>
        <w:lang w:val="en-US"/>
      </w:rPr>
      <w:t>UNEP/</w:t>
    </w:r>
    <w:proofErr w:type="spellStart"/>
    <w:r w:rsidR="000A70BF">
      <w:rPr>
        <w:bCs/>
        <w:lang w:val="en-US"/>
      </w:rPr>
      <w:t>OzL.Pro</w:t>
    </w:r>
    <w:proofErr w:type="spellEnd"/>
    <w:r w:rsidR="000A70BF">
      <w:rPr>
        <w:bCs/>
        <w:lang w:val="en-US"/>
      </w:rPr>
      <w:t>/</w:t>
    </w:r>
    <w:proofErr w:type="spellStart"/>
    <w:r w:rsidR="000A70BF">
      <w:rPr>
        <w:bCs/>
        <w:lang w:val="en-US"/>
      </w:rPr>
      <w:t>ExCom</w:t>
    </w:r>
    <w:proofErr w:type="spellEnd"/>
    <w:r w:rsidR="000A70BF">
      <w:rPr>
        <w:bCs/>
        <w:lang w:val="en-US"/>
      </w:rPr>
      <w:t>/83/8</w:t>
    </w:r>
    <w:r>
      <w:rPr>
        <w:bCs/>
        <w:lang w:val="en-US"/>
      </w:rPr>
      <w:fldChar w:fldCharType="end"/>
    </w:r>
  </w:p>
  <w:p w14:paraId="06A7BA26" w14:textId="77777777" w:rsidR="005E04D2" w:rsidRDefault="005E04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0CFD" w14:textId="11F0E89A" w:rsidR="005E04D2" w:rsidRPr="00106B54" w:rsidRDefault="005E04D2">
    <w:r>
      <w:rPr>
        <w:bCs/>
        <w:lang w:val="en-US"/>
      </w:rPr>
      <w:fldChar w:fldCharType="begin"/>
    </w:r>
    <w:r>
      <w:rPr>
        <w:bCs/>
        <w:lang w:val="en-US"/>
      </w:rPr>
      <w:instrText xml:space="preserve"> DOCPROPERTY "Document number"  \* MERGEFORMAT </w:instrText>
    </w:r>
    <w:r>
      <w:rPr>
        <w:bCs/>
        <w:lang w:val="en-US"/>
      </w:rPr>
      <w:fldChar w:fldCharType="separate"/>
    </w:r>
    <w:r w:rsidR="000A70BF">
      <w:rPr>
        <w:bCs/>
        <w:lang w:val="en-US"/>
      </w:rPr>
      <w:t>UNEP/</w:t>
    </w:r>
    <w:proofErr w:type="spellStart"/>
    <w:r w:rsidR="000A70BF">
      <w:rPr>
        <w:bCs/>
        <w:lang w:val="en-US"/>
      </w:rPr>
      <w:t>OzL.Pro</w:t>
    </w:r>
    <w:proofErr w:type="spellEnd"/>
    <w:r w:rsidR="000A70BF">
      <w:rPr>
        <w:bCs/>
        <w:lang w:val="en-US"/>
      </w:rPr>
      <w:t>/</w:t>
    </w:r>
    <w:proofErr w:type="spellStart"/>
    <w:r w:rsidR="000A70BF">
      <w:rPr>
        <w:bCs/>
        <w:lang w:val="en-US"/>
      </w:rPr>
      <w:t>ExCom</w:t>
    </w:r>
    <w:proofErr w:type="spellEnd"/>
    <w:r w:rsidR="000A70BF">
      <w:rPr>
        <w:bCs/>
        <w:lang w:val="en-US"/>
      </w:rPr>
      <w:t>/83/8</w:t>
    </w:r>
    <w:r>
      <w:rPr>
        <w:bCs/>
        <w:lang w:val="en-US"/>
      </w:rPr>
      <w:fldChar w:fldCharType="end"/>
    </w:r>
  </w:p>
  <w:p w14:paraId="6A33FEC7" w14:textId="77777777" w:rsidR="005E04D2" w:rsidRPr="0033525D" w:rsidRDefault="005E04D2">
    <w:r>
      <w:t>Annex III</w:t>
    </w:r>
  </w:p>
  <w:p w14:paraId="67C21353" w14:textId="77777777" w:rsidR="005E04D2" w:rsidRPr="0033525D" w:rsidRDefault="005E04D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0123" w14:textId="3199CC2D" w:rsidR="005E04D2" w:rsidRPr="00CB618B" w:rsidRDefault="005E04D2">
    <w:pPr>
      <w:jc w:val="right"/>
    </w:pPr>
    <w:r w:rsidRPr="00CB618B">
      <w:rPr>
        <w:bCs/>
        <w:lang w:val="en-US"/>
      </w:rPr>
      <w:fldChar w:fldCharType="begin"/>
    </w:r>
    <w:r w:rsidRPr="00CB618B">
      <w:rPr>
        <w:bCs/>
        <w:lang w:val="en-US"/>
      </w:rPr>
      <w:instrText xml:space="preserve"> DOCPROPERTY "Document number"  \* MERGEFORMAT </w:instrText>
    </w:r>
    <w:r w:rsidRPr="00CB618B">
      <w:rPr>
        <w:bCs/>
        <w:lang w:val="en-US"/>
      </w:rPr>
      <w:fldChar w:fldCharType="separate"/>
    </w:r>
    <w:r w:rsidR="000A70BF">
      <w:rPr>
        <w:bCs/>
        <w:lang w:val="en-US"/>
      </w:rPr>
      <w:t>UNEP/</w:t>
    </w:r>
    <w:proofErr w:type="spellStart"/>
    <w:r w:rsidR="000A70BF">
      <w:rPr>
        <w:bCs/>
        <w:lang w:val="en-US"/>
      </w:rPr>
      <w:t>OzL.Pro</w:t>
    </w:r>
    <w:proofErr w:type="spellEnd"/>
    <w:r w:rsidR="000A70BF">
      <w:rPr>
        <w:bCs/>
        <w:lang w:val="en-US"/>
      </w:rPr>
      <w:t>/</w:t>
    </w:r>
    <w:proofErr w:type="spellStart"/>
    <w:r w:rsidR="000A70BF">
      <w:rPr>
        <w:bCs/>
        <w:lang w:val="en-US"/>
      </w:rPr>
      <w:t>ExCom</w:t>
    </w:r>
    <w:proofErr w:type="spellEnd"/>
    <w:r w:rsidR="000A70BF">
      <w:rPr>
        <w:bCs/>
        <w:lang w:val="en-US"/>
      </w:rPr>
      <w:t>/83/8</w:t>
    </w:r>
    <w:r w:rsidRPr="00CB618B">
      <w:rPr>
        <w:bCs/>
        <w:lang w:val="en-US"/>
      </w:rPr>
      <w:fldChar w:fldCharType="end"/>
    </w:r>
  </w:p>
  <w:p w14:paraId="41365017" w14:textId="59CFB302" w:rsidR="005E04D2" w:rsidRPr="0033525D" w:rsidRDefault="005E04D2" w:rsidP="002F02E4">
    <w:pPr>
      <w:jc w:val="right"/>
    </w:pPr>
    <w:r>
      <w:t>Annex III</w:t>
    </w:r>
  </w:p>
  <w:p w14:paraId="5BAB5AEB" w14:textId="77777777" w:rsidR="005E04D2" w:rsidRPr="0033525D" w:rsidRDefault="005E04D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E680" w14:textId="59EEC106" w:rsidR="005E04D2" w:rsidRPr="00106B54" w:rsidRDefault="005E04D2" w:rsidP="002F02E4">
    <w:pPr>
      <w:jc w:val="right"/>
    </w:pPr>
    <w:r>
      <w:rPr>
        <w:bCs/>
        <w:lang w:val="en-US"/>
      </w:rPr>
      <w:fldChar w:fldCharType="begin"/>
    </w:r>
    <w:r>
      <w:rPr>
        <w:bCs/>
        <w:lang w:val="en-US"/>
      </w:rPr>
      <w:instrText xml:space="preserve"> DOCPROPERTY "Document number"  \* MERGEFORMAT </w:instrText>
    </w:r>
    <w:r>
      <w:rPr>
        <w:bCs/>
        <w:lang w:val="en-US"/>
      </w:rPr>
      <w:fldChar w:fldCharType="separate"/>
    </w:r>
    <w:r w:rsidR="000A70BF">
      <w:rPr>
        <w:bCs/>
        <w:lang w:val="en-US"/>
      </w:rPr>
      <w:t>UNEP/</w:t>
    </w:r>
    <w:proofErr w:type="spellStart"/>
    <w:r w:rsidR="000A70BF">
      <w:rPr>
        <w:bCs/>
        <w:lang w:val="en-US"/>
      </w:rPr>
      <w:t>OzL.Pro</w:t>
    </w:r>
    <w:proofErr w:type="spellEnd"/>
    <w:r w:rsidR="000A70BF">
      <w:rPr>
        <w:bCs/>
        <w:lang w:val="en-US"/>
      </w:rPr>
      <w:t>/</w:t>
    </w:r>
    <w:proofErr w:type="spellStart"/>
    <w:r w:rsidR="000A70BF">
      <w:rPr>
        <w:bCs/>
        <w:lang w:val="en-US"/>
      </w:rPr>
      <w:t>ExCom</w:t>
    </w:r>
    <w:proofErr w:type="spellEnd"/>
    <w:r w:rsidR="000A70BF">
      <w:rPr>
        <w:bCs/>
        <w:lang w:val="en-US"/>
      </w:rPr>
      <w:t>/83/8</w:t>
    </w:r>
    <w:r>
      <w:rPr>
        <w:bCs/>
        <w:lang w:val="en-US"/>
      </w:rPr>
      <w:fldChar w:fldCharType="end"/>
    </w:r>
  </w:p>
  <w:p w14:paraId="5F67AFD0" w14:textId="77777777" w:rsidR="005E04D2" w:rsidRDefault="005E04D2" w:rsidP="002F02E4">
    <w:pPr>
      <w:pStyle w:val="Header"/>
      <w:jc w:val="right"/>
    </w:pPr>
    <w:r>
      <w:t>Annex III</w:t>
    </w:r>
  </w:p>
  <w:p w14:paraId="27D0AD62" w14:textId="77777777" w:rsidR="005E04D2" w:rsidRDefault="005E04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A80249C"/>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2AE3781"/>
    <w:multiLevelType w:val="hybridMultilevel"/>
    <w:tmpl w:val="A3624F2E"/>
    <w:lvl w:ilvl="0" w:tplc="4022A5DA">
      <w:start w:val="1"/>
      <w:numFmt w:val="decimal"/>
      <w:lvlText w:val="%1."/>
      <w:lvlJc w:val="left"/>
      <w:pPr>
        <w:ind w:left="36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B9424C"/>
    <w:multiLevelType w:val="hybridMultilevel"/>
    <w:tmpl w:val="53E83F98"/>
    <w:lvl w:ilvl="0" w:tplc="F2680E22">
      <w:start w:val="1"/>
      <w:numFmt w:val="decimal"/>
      <w:lvlText w:val="%1."/>
      <w:lvlJc w:val="left"/>
      <w:pPr>
        <w:ind w:left="720" w:hanging="360"/>
      </w:pPr>
      <w:rPr>
        <w:b w:val="0"/>
      </w:rPr>
    </w:lvl>
    <w:lvl w:ilvl="1" w:tplc="99B8D59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8A0DC8"/>
    <w:multiLevelType w:val="hybridMultilevel"/>
    <w:tmpl w:val="ABA8F62C"/>
    <w:lvl w:ilvl="0" w:tplc="019289C6">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C0C5117"/>
    <w:multiLevelType w:val="hybridMultilevel"/>
    <w:tmpl w:val="640A5264"/>
    <w:lvl w:ilvl="0" w:tplc="448871EA">
      <w:numFmt w:val="bullet"/>
      <w:lvlText w:val="-"/>
      <w:lvlJc w:val="left"/>
      <w:pPr>
        <w:ind w:left="330" w:hanging="360"/>
      </w:pPr>
      <w:rPr>
        <w:rFonts w:ascii="Times New Roman" w:eastAsia="Times New Roman" w:hAnsi="Times New Roman" w:hint="default"/>
      </w:rPr>
    </w:lvl>
    <w:lvl w:ilvl="1" w:tplc="04090003" w:tentative="1">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9" w15:restartNumberingAfterBreak="0">
    <w:nsid w:val="711924F0"/>
    <w:multiLevelType w:val="hybridMultilevel"/>
    <w:tmpl w:val="9F002D96"/>
    <w:lvl w:ilvl="0" w:tplc="99B8D59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758C3ADE"/>
    <w:multiLevelType w:val="hybridMultilevel"/>
    <w:tmpl w:val="397C946E"/>
    <w:lvl w:ilvl="0" w:tplc="99B8D59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E8329A5"/>
    <w:multiLevelType w:val="multilevel"/>
    <w:tmpl w:val="D0A2909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pPr>
        <w:ind w:left="720" w:hanging="720"/>
      </w:pPr>
    </w:lvl>
    <w:lvl w:ilvl="8">
      <w:start w:val="6"/>
      <w:numFmt w:val="upperLetter"/>
      <w:lvlText w:val="%9."/>
      <w:lvlJc w:val="left"/>
      <w:pPr>
        <w:ind w:left="360" w:hanging="36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7"/>
  </w:num>
  <w:num w:numId="19">
    <w:abstractNumId w:val="21"/>
  </w:num>
  <w:num w:numId="20">
    <w:abstractNumId w:val="15"/>
  </w:num>
  <w:num w:numId="21">
    <w:abstractNumId w:val="18"/>
  </w:num>
  <w:num w:numId="22">
    <w:abstractNumId w:val="12"/>
  </w:num>
  <w:num w:numId="23">
    <w:abstractNumId w:val="11"/>
  </w:num>
  <w:num w:numId="24">
    <w:abstractNumId w:val="20"/>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0"/>
  </w:num>
  <w:num w:numId="29">
    <w:abstractNumId w:val="10"/>
  </w:num>
  <w:num w:numId="30">
    <w:abstractNumId w:val="10"/>
  </w:num>
  <w:num w:numId="31">
    <w:abstractNumId w:val="22"/>
  </w:num>
  <w:num w:numId="32">
    <w:abstractNumId w:val="10"/>
  </w:num>
  <w:num w:numId="33">
    <w:abstractNumId w:val="10"/>
  </w:num>
  <w:num w:numId="34">
    <w:abstractNumId w:val="10"/>
  </w:num>
  <w:num w:numId="35">
    <w:abstractNumId w:val="10"/>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removePersonalInformation/>
  <w:removeDateAndTime/>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B4139E"/>
    <w:rsid w:val="00000FED"/>
    <w:rsid w:val="0000434E"/>
    <w:rsid w:val="00015C6B"/>
    <w:rsid w:val="000211A9"/>
    <w:rsid w:val="00031260"/>
    <w:rsid w:val="000326FC"/>
    <w:rsid w:val="0003681A"/>
    <w:rsid w:val="00044009"/>
    <w:rsid w:val="00046D5B"/>
    <w:rsid w:val="00061EC2"/>
    <w:rsid w:val="00065ABE"/>
    <w:rsid w:val="00066ABE"/>
    <w:rsid w:val="00080ED0"/>
    <w:rsid w:val="00085B8F"/>
    <w:rsid w:val="000869B5"/>
    <w:rsid w:val="00090481"/>
    <w:rsid w:val="000933DC"/>
    <w:rsid w:val="000A5451"/>
    <w:rsid w:val="000A6C26"/>
    <w:rsid w:val="000A70BF"/>
    <w:rsid w:val="000B1B25"/>
    <w:rsid w:val="000C222A"/>
    <w:rsid w:val="000C2ABD"/>
    <w:rsid w:val="000D03B3"/>
    <w:rsid w:val="000D52A4"/>
    <w:rsid w:val="000E07BC"/>
    <w:rsid w:val="000F1CD4"/>
    <w:rsid w:val="000F2661"/>
    <w:rsid w:val="000F4103"/>
    <w:rsid w:val="000F70A7"/>
    <w:rsid w:val="000F79D6"/>
    <w:rsid w:val="001002C6"/>
    <w:rsid w:val="00102E62"/>
    <w:rsid w:val="00104BC6"/>
    <w:rsid w:val="00106B54"/>
    <w:rsid w:val="00113CCA"/>
    <w:rsid w:val="00122F25"/>
    <w:rsid w:val="00135980"/>
    <w:rsid w:val="00154961"/>
    <w:rsid w:val="0015496E"/>
    <w:rsid w:val="001549BA"/>
    <w:rsid w:val="001600FE"/>
    <w:rsid w:val="00164719"/>
    <w:rsid w:val="00166FC4"/>
    <w:rsid w:val="001677AC"/>
    <w:rsid w:val="001732DD"/>
    <w:rsid w:val="0017398D"/>
    <w:rsid w:val="0017676D"/>
    <w:rsid w:val="001804EA"/>
    <w:rsid w:val="00190A61"/>
    <w:rsid w:val="001A3342"/>
    <w:rsid w:val="001A3E3D"/>
    <w:rsid w:val="001A67D9"/>
    <w:rsid w:val="001A7049"/>
    <w:rsid w:val="001B0111"/>
    <w:rsid w:val="001B1E40"/>
    <w:rsid w:val="001B5FD1"/>
    <w:rsid w:val="001C764E"/>
    <w:rsid w:val="001C79AF"/>
    <w:rsid w:val="001C7AC0"/>
    <w:rsid w:val="001D2DED"/>
    <w:rsid w:val="001E1052"/>
    <w:rsid w:val="001E21B1"/>
    <w:rsid w:val="001E2F93"/>
    <w:rsid w:val="001E5587"/>
    <w:rsid w:val="001E61E5"/>
    <w:rsid w:val="001E7E72"/>
    <w:rsid w:val="001F2159"/>
    <w:rsid w:val="00210A98"/>
    <w:rsid w:val="00214863"/>
    <w:rsid w:val="002156B4"/>
    <w:rsid w:val="00247F88"/>
    <w:rsid w:val="00251481"/>
    <w:rsid w:val="00253222"/>
    <w:rsid w:val="00262847"/>
    <w:rsid w:val="00271D70"/>
    <w:rsid w:val="0028128D"/>
    <w:rsid w:val="00281BB2"/>
    <w:rsid w:val="00284FF3"/>
    <w:rsid w:val="00292F68"/>
    <w:rsid w:val="00297377"/>
    <w:rsid w:val="002A0A6D"/>
    <w:rsid w:val="002B72E9"/>
    <w:rsid w:val="002C7998"/>
    <w:rsid w:val="002F02E4"/>
    <w:rsid w:val="002F1E53"/>
    <w:rsid w:val="002F2CAA"/>
    <w:rsid w:val="002F3465"/>
    <w:rsid w:val="0030052C"/>
    <w:rsid w:val="00306BFC"/>
    <w:rsid w:val="00323AB2"/>
    <w:rsid w:val="003306E1"/>
    <w:rsid w:val="003320E4"/>
    <w:rsid w:val="00334095"/>
    <w:rsid w:val="0033525D"/>
    <w:rsid w:val="00335353"/>
    <w:rsid w:val="003361CC"/>
    <w:rsid w:val="003414F3"/>
    <w:rsid w:val="00347246"/>
    <w:rsid w:val="0035613E"/>
    <w:rsid w:val="00363EE9"/>
    <w:rsid w:val="00365E32"/>
    <w:rsid w:val="00376128"/>
    <w:rsid w:val="003763FB"/>
    <w:rsid w:val="0037742E"/>
    <w:rsid w:val="0038245A"/>
    <w:rsid w:val="00382DF5"/>
    <w:rsid w:val="00385CFC"/>
    <w:rsid w:val="00392991"/>
    <w:rsid w:val="0039337A"/>
    <w:rsid w:val="003A094E"/>
    <w:rsid w:val="003A3189"/>
    <w:rsid w:val="003B33BD"/>
    <w:rsid w:val="003B569D"/>
    <w:rsid w:val="003C3C0E"/>
    <w:rsid w:val="003C3C4F"/>
    <w:rsid w:val="003D1C3A"/>
    <w:rsid w:val="003D4FAC"/>
    <w:rsid w:val="003E7906"/>
    <w:rsid w:val="003F3C50"/>
    <w:rsid w:val="003F5649"/>
    <w:rsid w:val="004048DD"/>
    <w:rsid w:val="00406A6A"/>
    <w:rsid w:val="00406B22"/>
    <w:rsid w:val="00422234"/>
    <w:rsid w:val="004328A7"/>
    <w:rsid w:val="00434C74"/>
    <w:rsid w:val="00440FD8"/>
    <w:rsid w:val="0044746B"/>
    <w:rsid w:val="004526BB"/>
    <w:rsid w:val="00453403"/>
    <w:rsid w:val="00456EB4"/>
    <w:rsid w:val="00457C07"/>
    <w:rsid w:val="00462C73"/>
    <w:rsid w:val="00467B79"/>
    <w:rsid w:val="0047011D"/>
    <w:rsid w:val="004718F3"/>
    <w:rsid w:val="00472F37"/>
    <w:rsid w:val="00474258"/>
    <w:rsid w:val="00475040"/>
    <w:rsid w:val="00477AC7"/>
    <w:rsid w:val="00484299"/>
    <w:rsid w:val="0048792A"/>
    <w:rsid w:val="00490E74"/>
    <w:rsid w:val="00491F22"/>
    <w:rsid w:val="00492D04"/>
    <w:rsid w:val="00493D40"/>
    <w:rsid w:val="004967B6"/>
    <w:rsid w:val="004A504B"/>
    <w:rsid w:val="004A6911"/>
    <w:rsid w:val="004B2280"/>
    <w:rsid w:val="004B54E0"/>
    <w:rsid w:val="004B7384"/>
    <w:rsid w:val="004B73D6"/>
    <w:rsid w:val="004B7F97"/>
    <w:rsid w:val="004C4269"/>
    <w:rsid w:val="004C7243"/>
    <w:rsid w:val="004D6236"/>
    <w:rsid w:val="004D6AC5"/>
    <w:rsid w:val="004D7F90"/>
    <w:rsid w:val="004E4DBB"/>
    <w:rsid w:val="004E4E41"/>
    <w:rsid w:val="004E7F9C"/>
    <w:rsid w:val="004F3493"/>
    <w:rsid w:val="004F5143"/>
    <w:rsid w:val="0050078E"/>
    <w:rsid w:val="00501218"/>
    <w:rsid w:val="00504EFA"/>
    <w:rsid w:val="00510540"/>
    <w:rsid w:val="00512B09"/>
    <w:rsid w:val="00516206"/>
    <w:rsid w:val="00527A0D"/>
    <w:rsid w:val="00533796"/>
    <w:rsid w:val="00543C0B"/>
    <w:rsid w:val="00546222"/>
    <w:rsid w:val="00547655"/>
    <w:rsid w:val="00555D75"/>
    <w:rsid w:val="00560DF0"/>
    <w:rsid w:val="0056759C"/>
    <w:rsid w:val="00573A44"/>
    <w:rsid w:val="00592758"/>
    <w:rsid w:val="0059513E"/>
    <w:rsid w:val="005A27FB"/>
    <w:rsid w:val="005B4386"/>
    <w:rsid w:val="005B48FF"/>
    <w:rsid w:val="005B6058"/>
    <w:rsid w:val="005C5DA1"/>
    <w:rsid w:val="005D45F3"/>
    <w:rsid w:val="005E04D2"/>
    <w:rsid w:val="005F192F"/>
    <w:rsid w:val="005F224F"/>
    <w:rsid w:val="00602870"/>
    <w:rsid w:val="00604C15"/>
    <w:rsid w:val="006158D5"/>
    <w:rsid w:val="00623AE9"/>
    <w:rsid w:val="00625D83"/>
    <w:rsid w:val="00631C1B"/>
    <w:rsid w:val="006510FE"/>
    <w:rsid w:val="006623E7"/>
    <w:rsid w:val="00662B80"/>
    <w:rsid w:val="00670F6C"/>
    <w:rsid w:val="00677FAE"/>
    <w:rsid w:val="006852C7"/>
    <w:rsid w:val="00686189"/>
    <w:rsid w:val="006A1515"/>
    <w:rsid w:val="006A4DCF"/>
    <w:rsid w:val="006C1727"/>
    <w:rsid w:val="006C32FD"/>
    <w:rsid w:val="006C39CE"/>
    <w:rsid w:val="006C754A"/>
    <w:rsid w:val="006D0FCC"/>
    <w:rsid w:val="006D228E"/>
    <w:rsid w:val="006E09A8"/>
    <w:rsid w:val="006E1FC3"/>
    <w:rsid w:val="006E6F01"/>
    <w:rsid w:val="006F6757"/>
    <w:rsid w:val="0070616B"/>
    <w:rsid w:val="00706FDA"/>
    <w:rsid w:val="00711F9A"/>
    <w:rsid w:val="00713810"/>
    <w:rsid w:val="007303A5"/>
    <w:rsid w:val="00730B3E"/>
    <w:rsid w:val="0073420B"/>
    <w:rsid w:val="00745464"/>
    <w:rsid w:val="0074760E"/>
    <w:rsid w:val="007532A8"/>
    <w:rsid w:val="00754ABA"/>
    <w:rsid w:val="007819D0"/>
    <w:rsid w:val="00787B3C"/>
    <w:rsid w:val="0079738F"/>
    <w:rsid w:val="00797D6F"/>
    <w:rsid w:val="007A1546"/>
    <w:rsid w:val="007A228C"/>
    <w:rsid w:val="007A368E"/>
    <w:rsid w:val="007A5868"/>
    <w:rsid w:val="007A65C7"/>
    <w:rsid w:val="007B04CE"/>
    <w:rsid w:val="007B0B29"/>
    <w:rsid w:val="007B1D9B"/>
    <w:rsid w:val="007B2064"/>
    <w:rsid w:val="007B6871"/>
    <w:rsid w:val="007B7A2F"/>
    <w:rsid w:val="007C3D33"/>
    <w:rsid w:val="007C7C95"/>
    <w:rsid w:val="007D294A"/>
    <w:rsid w:val="007D2FD0"/>
    <w:rsid w:val="007D47D2"/>
    <w:rsid w:val="007D6EC0"/>
    <w:rsid w:val="007D7E1D"/>
    <w:rsid w:val="007E1B82"/>
    <w:rsid w:val="00800706"/>
    <w:rsid w:val="00802BA7"/>
    <w:rsid w:val="00813B50"/>
    <w:rsid w:val="0081445A"/>
    <w:rsid w:val="00817D26"/>
    <w:rsid w:val="00817F96"/>
    <w:rsid w:val="00831979"/>
    <w:rsid w:val="00847327"/>
    <w:rsid w:val="00850A25"/>
    <w:rsid w:val="00851352"/>
    <w:rsid w:val="00863230"/>
    <w:rsid w:val="00863A19"/>
    <w:rsid w:val="008717D8"/>
    <w:rsid w:val="0087215C"/>
    <w:rsid w:val="00876496"/>
    <w:rsid w:val="00880E35"/>
    <w:rsid w:val="008875FE"/>
    <w:rsid w:val="00887F8E"/>
    <w:rsid w:val="00896234"/>
    <w:rsid w:val="00897E43"/>
    <w:rsid w:val="008A0311"/>
    <w:rsid w:val="008A0D65"/>
    <w:rsid w:val="008A78D7"/>
    <w:rsid w:val="008B7F81"/>
    <w:rsid w:val="008C12F5"/>
    <w:rsid w:val="008C5738"/>
    <w:rsid w:val="008C7EAD"/>
    <w:rsid w:val="008D0CFE"/>
    <w:rsid w:val="008D2F6D"/>
    <w:rsid w:val="008D6152"/>
    <w:rsid w:val="008F0F81"/>
    <w:rsid w:val="008F27BF"/>
    <w:rsid w:val="009142EC"/>
    <w:rsid w:val="009154C3"/>
    <w:rsid w:val="00923540"/>
    <w:rsid w:val="00926767"/>
    <w:rsid w:val="00933972"/>
    <w:rsid w:val="009361D5"/>
    <w:rsid w:val="009428A4"/>
    <w:rsid w:val="009659F4"/>
    <w:rsid w:val="00965C32"/>
    <w:rsid w:val="00970D60"/>
    <w:rsid w:val="0097798B"/>
    <w:rsid w:val="00986054"/>
    <w:rsid w:val="009960E5"/>
    <w:rsid w:val="009A2704"/>
    <w:rsid w:val="009A365C"/>
    <w:rsid w:val="009A7ADC"/>
    <w:rsid w:val="009B6F9B"/>
    <w:rsid w:val="009C19B7"/>
    <w:rsid w:val="009D7C51"/>
    <w:rsid w:val="009E196C"/>
    <w:rsid w:val="009E1DC3"/>
    <w:rsid w:val="009E20E1"/>
    <w:rsid w:val="009F36BF"/>
    <w:rsid w:val="00A015EE"/>
    <w:rsid w:val="00A0576A"/>
    <w:rsid w:val="00A111B6"/>
    <w:rsid w:val="00A2346F"/>
    <w:rsid w:val="00A26D27"/>
    <w:rsid w:val="00A30445"/>
    <w:rsid w:val="00A376EE"/>
    <w:rsid w:val="00A421FE"/>
    <w:rsid w:val="00A42A99"/>
    <w:rsid w:val="00A5090F"/>
    <w:rsid w:val="00A5151A"/>
    <w:rsid w:val="00A57E0A"/>
    <w:rsid w:val="00A61000"/>
    <w:rsid w:val="00A823F6"/>
    <w:rsid w:val="00A86357"/>
    <w:rsid w:val="00A86F72"/>
    <w:rsid w:val="00A92921"/>
    <w:rsid w:val="00AA00DC"/>
    <w:rsid w:val="00AA0A89"/>
    <w:rsid w:val="00AA1F65"/>
    <w:rsid w:val="00AA3DF4"/>
    <w:rsid w:val="00AA578D"/>
    <w:rsid w:val="00AA5C45"/>
    <w:rsid w:val="00AA6429"/>
    <w:rsid w:val="00AC01AA"/>
    <w:rsid w:val="00AC4F72"/>
    <w:rsid w:val="00AC7D54"/>
    <w:rsid w:val="00AF4847"/>
    <w:rsid w:val="00AF741A"/>
    <w:rsid w:val="00B01ADB"/>
    <w:rsid w:val="00B04161"/>
    <w:rsid w:val="00B056F9"/>
    <w:rsid w:val="00B11E3D"/>
    <w:rsid w:val="00B174B6"/>
    <w:rsid w:val="00B17E82"/>
    <w:rsid w:val="00B24C9D"/>
    <w:rsid w:val="00B278E2"/>
    <w:rsid w:val="00B4139E"/>
    <w:rsid w:val="00B4512A"/>
    <w:rsid w:val="00B4575A"/>
    <w:rsid w:val="00B575BA"/>
    <w:rsid w:val="00B677C9"/>
    <w:rsid w:val="00B734D3"/>
    <w:rsid w:val="00B76429"/>
    <w:rsid w:val="00B8398C"/>
    <w:rsid w:val="00B87995"/>
    <w:rsid w:val="00B956D4"/>
    <w:rsid w:val="00B97446"/>
    <w:rsid w:val="00BA7432"/>
    <w:rsid w:val="00BC1AA0"/>
    <w:rsid w:val="00BC2495"/>
    <w:rsid w:val="00BC7EB9"/>
    <w:rsid w:val="00BD0E45"/>
    <w:rsid w:val="00BD1B99"/>
    <w:rsid w:val="00BD24C9"/>
    <w:rsid w:val="00BD2643"/>
    <w:rsid w:val="00BD45F8"/>
    <w:rsid w:val="00BD468F"/>
    <w:rsid w:val="00BD56B1"/>
    <w:rsid w:val="00BD6558"/>
    <w:rsid w:val="00BE51A1"/>
    <w:rsid w:val="00BF0936"/>
    <w:rsid w:val="00BF3022"/>
    <w:rsid w:val="00BF3214"/>
    <w:rsid w:val="00BF5573"/>
    <w:rsid w:val="00C15867"/>
    <w:rsid w:val="00C2296D"/>
    <w:rsid w:val="00C23155"/>
    <w:rsid w:val="00C30445"/>
    <w:rsid w:val="00C369B2"/>
    <w:rsid w:val="00C40C41"/>
    <w:rsid w:val="00C45885"/>
    <w:rsid w:val="00C46865"/>
    <w:rsid w:val="00C50F22"/>
    <w:rsid w:val="00C57971"/>
    <w:rsid w:val="00C65BD7"/>
    <w:rsid w:val="00C76BA4"/>
    <w:rsid w:val="00C83A48"/>
    <w:rsid w:val="00C8415C"/>
    <w:rsid w:val="00C85865"/>
    <w:rsid w:val="00C85E85"/>
    <w:rsid w:val="00CA1B92"/>
    <w:rsid w:val="00CA2EAE"/>
    <w:rsid w:val="00CA4AC1"/>
    <w:rsid w:val="00CA5415"/>
    <w:rsid w:val="00CB0316"/>
    <w:rsid w:val="00CB0B11"/>
    <w:rsid w:val="00CB5354"/>
    <w:rsid w:val="00CB618B"/>
    <w:rsid w:val="00CC1772"/>
    <w:rsid w:val="00CC1952"/>
    <w:rsid w:val="00CC6A14"/>
    <w:rsid w:val="00CC70A3"/>
    <w:rsid w:val="00CD0D7C"/>
    <w:rsid w:val="00CD2D9F"/>
    <w:rsid w:val="00CD4442"/>
    <w:rsid w:val="00CD53C3"/>
    <w:rsid w:val="00CD574E"/>
    <w:rsid w:val="00CE4C22"/>
    <w:rsid w:val="00CE7A4A"/>
    <w:rsid w:val="00CF1047"/>
    <w:rsid w:val="00CF3D0E"/>
    <w:rsid w:val="00CF41EC"/>
    <w:rsid w:val="00CF5D04"/>
    <w:rsid w:val="00D0004C"/>
    <w:rsid w:val="00D01D4A"/>
    <w:rsid w:val="00D03B00"/>
    <w:rsid w:val="00D04DE4"/>
    <w:rsid w:val="00D05596"/>
    <w:rsid w:val="00D063F1"/>
    <w:rsid w:val="00D14F22"/>
    <w:rsid w:val="00D154F9"/>
    <w:rsid w:val="00D23A66"/>
    <w:rsid w:val="00D24858"/>
    <w:rsid w:val="00D26F3D"/>
    <w:rsid w:val="00D27DCC"/>
    <w:rsid w:val="00D3055B"/>
    <w:rsid w:val="00D30877"/>
    <w:rsid w:val="00D4741C"/>
    <w:rsid w:val="00D53F35"/>
    <w:rsid w:val="00D57918"/>
    <w:rsid w:val="00D61006"/>
    <w:rsid w:val="00D63B0C"/>
    <w:rsid w:val="00D73DC6"/>
    <w:rsid w:val="00D74C1A"/>
    <w:rsid w:val="00D754C1"/>
    <w:rsid w:val="00D77393"/>
    <w:rsid w:val="00D77A35"/>
    <w:rsid w:val="00D81B3E"/>
    <w:rsid w:val="00D90C70"/>
    <w:rsid w:val="00D90E49"/>
    <w:rsid w:val="00D93700"/>
    <w:rsid w:val="00D96ADE"/>
    <w:rsid w:val="00DA0CE2"/>
    <w:rsid w:val="00DC3A9A"/>
    <w:rsid w:val="00DC6A10"/>
    <w:rsid w:val="00DD4F91"/>
    <w:rsid w:val="00DE657E"/>
    <w:rsid w:val="00DF4704"/>
    <w:rsid w:val="00E024AA"/>
    <w:rsid w:val="00E05152"/>
    <w:rsid w:val="00E21792"/>
    <w:rsid w:val="00E250F1"/>
    <w:rsid w:val="00E3550D"/>
    <w:rsid w:val="00E4340B"/>
    <w:rsid w:val="00E54312"/>
    <w:rsid w:val="00E614E0"/>
    <w:rsid w:val="00E73F7F"/>
    <w:rsid w:val="00E75FDE"/>
    <w:rsid w:val="00E85409"/>
    <w:rsid w:val="00E91223"/>
    <w:rsid w:val="00E93B9F"/>
    <w:rsid w:val="00E96A9E"/>
    <w:rsid w:val="00EA3291"/>
    <w:rsid w:val="00EA429F"/>
    <w:rsid w:val="00EA4F9E"/>
    <w:rsid w:val="00EA63CA"/>
    <w:rsid w:val="00EA6D3B"/>
    <w:rsid w:val="00EB00AD"/>
    <w:rsid w:val="00EB136C"/>
    <w:rsid w:val="00EB480E"/>
    <w:rsid w:val="00EB5EC6"/>
    <w:rsid w:val="00EB7FC9"/>
    <w:rsid w:val="00ED14F0"/>
    <w:rsid w:val="00ED27E8"/>
    <w:rsid w:val="00ED7137"/>
    <w:rsid w:val="00EF232A"/>
    <w:rsid w:val="00EF2858"/>
    <w:rsid w:val="00F13B49"/>
    <w:rsid w:val="00F21088"/>
    <w:rsid w:val="00F27E35"/>
    <w:rsid w:val="00F327E7"/>
    <w:rsid w:val="00F35746"/>
    <w:rsid w:val="00F42776"/>
    <w:rsid w:val="00F447C7"/>
    <w:rsid w:val="00F5211B"/>
    <w:rsid w:val="00F554A9"/>
    <w:rsid w:val="00F623F6"/>
    <w:rsid w:val="00F65051"/>
    <w:rsid w:val="00F716FD"/>
    <w:rsid w:val="00F720CB"/>
    <w:rsid w:val="00F77674"/>
    <w:rsid w:val="00F80355"/>
    <w:rsid w:val="00F87C43"/>
    <w:rsid w:val="00FA2C88"/>
    <w:rsid w:val="00FA758B"/>
    <w:rsid w:val="00FB0534"/>
    <w:rsid w:val="00FB0C81"/>
    <w:rsid w:val="00FB6ABE"/>
    <w:rsid w:val="00FC2200"/>
    <w:rsid w:val="00FC2540"/>
    <w:rsid w:val="00FF0204"/>
    <w:rsid w:val="00FF3AED"/>
    <w:rsid w:val="00FF52B0"/>
    <w:rsid w:val="00FF5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EF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B4139E"/>
    <w:rPr>
      <w:sz w:val="22"/>
      <w:szCs w:val="22"/>
      <w:lang w:val="en-GB"/>
    </w:rPr>
  </w:style>
  <w:style w:type="paragraph" w:styleId="ListParagraph">
    <w:name w:val="List Paragraph"/>
    <w:basedOn w:val="Normal"/>
    <w:uiPriority w:val="34"/>
    <w:qFormat/>
    <w:rsid w:val="00B4139E"/>
    <w:pPr>
      <w:ind w:left="720"/>
      <w:contextualSpacing/>
      <w:jc w:val="center"/>
    </w:pPr>
    <w:rPr>
      <w:rFonts w:eastAsiaTheme="minorHAnsi"/>
      <w:lang w:val="en-US"/>
    </w:rPr>
  </w:style>
  <w:style w:type="paragraph" w:customStyle="1" w:styleId="Default">
    <w:name w:val="Default"/>
    <w:rsid w:val="00B4139E"/>
    <w:pPr>
      <w:autoSpaceDE w:val="0"/>
      <w:autoSpaceDN w:val="0"/>
      <w:adjustRightInd w:val="0"/>
    </w:pPr>
    <w:rPr>
      <w:rFonts w:eastAsiaTheme="minorHAnsi"/>
      <w:color w:val="000000"/>
      <w:sz w:val="24"/>
      <w:szCs w:val="24"/>
    </w:rPr>
  </w:style>
  <w:style w:type="paragraph" w:styleId="FootnoteText">
    <w:name w:val="footnote text"/>
    <w:aliases w:val=" Char1, Char1 Char Char,Fußnotentextf,Char1,Char1 Char Char"/>
    <w:basedOn w:val="Normal"/>
    <w:link w:val="FootnoteTextChar"/>
    <w:uiPriority w:val="99"/>
    <w:unhideWhenUsed/>
    <w:qFormat/>
    <w:rsid w:val="00B4139E"/>
    <w:pPr>
      <w:jc w:val="center"/>
    </w:pPr>
    <w:rPr>
      <w:rFonts w:eastAsiaTheme="minorHAnsi"/>
      <w:sz w:val="20"/>
      <w:szCs w:val="20"/>
      <w:lang w:val="en-US"/>
    </w:rPr>
  </w:style>
  <w:style w:type="character" w:customStyle="1" w:styleId="FootnoteTextChar">
    <w:name w:val="Footnote Text Char"/>
    <w:aliases w:val=" Char1 Char, Char1 Char Char Char,Fußnotentextf Char,Char1 Char,Char1 Char Char Char"/>
    <w:basedOn w:val="DefaultParagraphFont"/>
    <w:link w:val="FootnoteText"/>
    <w:uiPriority w:val="99"/>
    <w:rsid w:val="00B4139E"/>
    <w:rPr>
      <w:rFonts w:eastAsiaTheme="minorHAnsi"/>
    </w:rPr>
  </w:style>
  <w:style w:type="character" w:styleId="FootnoteReference">
    <w:name w:val="footnote reference"/>
    <w:aliases w:val="16 Point,Superscript 6 Point,Footnote text,Footnote Text1,Footnote Text2"/>
    <w:basedOn w:val="DefaultParagraphFont"/>
    <w:uiPriority w:val="99"/>
    <w:unhideWhenUsed/>
    <w:rsid w:val="00B4139E"/>
    <w:rPr>
      <w:vertAlign w:val="superscript"/>
    </w:rPr>
  </w:style>
  <w:style w:type="character" w:customStyle="1" w:styleId="FooterChar">
    <w:name w:val="Footer Char"/>
    <w:basedOn w:val="DefaultParagraphFont"/>
    <w:link w:val="Footer"/>
    <w:uiPriority w:val="99"/>
    <w:rsid w:val="002F02E4"/>
    <w:rPr>
      <w:sz w:val="22"/>
      <w:szCs w:val="22"/>
      <w:lang w:val="en-GB"/>
    </w:rPr>
  </w:style>
  <w:style w:type="paragraph" w:customStyle="1" w:styleId="Normal-pool">
    <w:name w:val="Normal-pool"/>
    <w:link w:val="Normal-poolChar"/>
    <w:rsid w:val="008A0D65"/>
    <w:pPr>
      <w:tabs>
        <w:tab w:val="left" w:pos="1247"/>
        <w:tab w:val="left" w:pos="1814"/>
        <w:tab w:val="left" w:pos="2381"/>
        <w:tab w:val="left" w:pos="2948"/>
        <w:tab w:val="left" w:pos="3515"/>
      </w:tabs>
    </w:pPr>
    <w:rPr>
      <w:lang w:val="en-GB"/>
    </w:rPr>
  </w:style>
  <w:style w:type="character" w:customStyle="1" w:styleId="Normal-poolChar">
    <w:name w:val="Normal-pool Char"/>
    <w:link w:val="Normal-pool"/>
    <w:locked/>
    <w:rsid w:val="008A0D65"/>
    <w:rPr>
      <w:lang w:val="en-GB"/>
    </w:rPr>
  </w:style>
  <w:style w:type="numbering" w:customStyle="1" w:styleId="WWOutlineListStyle4">
    <w:name w:val="WW_OutlineListStyle_4"/>
    <w:basedOn w:val="NoList"/>
    <w:rsid w:val="008A0D65"/>
    <w:pPr>
      <w:numPr>
        <w:numId w:val="31"/>
      </w:numPr>
    </w:pPr>
  </w:style>
  <w:style w:type="character" w:customStyle="1" w:styleId="normaltextrun">
    <w:name w:val="normaltextrun"/>
    <w:basedOn w:val="DefaultParagraphFont"/>
    <w:rsid w:val="001732DD"/>
  </w:style>
  <w:style w:type="character" w:customStyle="1" w:styleId="spellingerror">
    <w:name w:val="spellingerror"/>
    <w:basedOn w:val="DefaultParagraphFont"/>
    <w:rsid w:val="001732DD"/>
  </w:style>
  <w:style w:type="character" w:styleId="Hyperlink">
    <w:name w:val="Hyperlink"/>
    <w:basedOn w:val="DefaultParagraphFont"/>
    <w:uiPriority w:val="99"/>
    <w:unhideWhenUsed/>
    <w:rsid w:val="00365E32"/>
    <w:rPr>
      <w:color w:val="0563C1"/>
      <w:u w:val="single"/>
    </w:rPr>
  </w:style>
  <w:style w:type="paragraph" w:customStyle="1" w:styleId="StyleHeading1Para1Heading1CharHeading1Char3CharHeadin">
    <w:name w:val="Style Heading 1Para (1)Heading 1 CharHeading 1 Char3 CharHeadin..."/>
    <w:basedOn w:val="Heading1"/>
    <w:rsid w:val="006510FE"/>
    <w:pPr>
      <w:numPr>
        <w:numId w:val="0"/>
      </w:numPr>
      <w:tabs>
        <w:tab w:val="left" w:pos="72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Number xmlns="8662b4aa-cf42-4f00-a3f0-9d3b4acad230">UNEP/OzL.Pro/ExCom/82/8</Document_x0020_Number>
    <DocumentType xmlns="310e179b-1379-4e79-9b74-d5a32b1812d3">Pre-session</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E4441DB9763A4B9F4793D394AD28DA" ma:contentTypeVersion="2" ma:contentTypeDescription="Create a new document." ma:contentTypeScope="" ma:versionID="171df64618d6dd1096111a941a4c869d">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04BF94-7164-4091-AD2C-B436C2370BE9}"/>
</file>

<file path=customXml/itemProps2.xml><?xml version="1.0" encoding="utf-8"?>
<ds:datastoreItem xmlns:ds="http://schemas.openxmlformats.org/officeDocument/2006/customXml" ds:itemID="{D3528937-325A-4859-98A5-E56FA906C7A1}"/>
</file>

<file path=customXml/itemProps3.xml><?xml version="1.0" encoding="utf-8"?>
<ds:datastoreItem xmlns:ds="http://schemas.openxmlformats.org/officeDocument/2006/customXml" ds:itemID="{94B232DF-1B44-4A60-B707-C681789F4272}"/>
</file>

<file path=customXml/itemProps4.xml><?xml version="1.0" encoding="utf-8"?>
<ds:datastoreItem xmlns:ds="http://schemas.openxmlformats.org/officeDocument/2006/customXml" ds:itemID="{DAEB6B08-CD6C-4046-88F4-C87848EAE0E3}"/>
</file>

<file path=docProps/app.xml><?xml version="1.0" encoding="utf-8"?>
<Properties xmlns="http://schemas.openxmlformats.org/officeDocument/2006/extended-properties" xmlns:vt="http://schemas.openxmlformats.org/officeDocument/2006/docPropsVTypes">
  <Template>normal</Template>
  <TotalTime>0</TotalTime>
  <Pages>15</Pages>
  <Words>7571</Words>
  <Characters>41072</Characters>
  <Application>Microsoft Office Word</Application>
  <DocSecurity>0</DocSecurity>
  <Lines>342</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Etude théorique révisée sur l'évaluation des activités de préparation des PGEH</vt:lpstr>
      <vt:lpstr>Revised desk study for the evaluation of HCFC phase-out management plan preparation activities to assist with the implementation of the Kigali Amendment</vt:lpstr>
    </vt:vector>
  </TitlesOfParts>
  <Company/>
  <LinksUpToDate>false</LinksUpToDate>
  <CharactersWithSpaces>48546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théorique révisée sur l'évaluation des activités de préparation des PGEH</dc:title>
  <dc:subject/>
  <dc:creator/>
  <cp:keywords/>
  <dc:description/>
  <cp:lastModifiedBy/>
  <cp:revision>1</cp:revision>
  <dcterms:created xsi:type="dcterms:W3CDTF">2019-04-26T15:53:00Z</dcterms:created>
  <dcterms:modified xsi:type="dcterms:W3CDTF">2019-05-08T16:02:00Z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UNEP/OzL.Pro/ExCom/83/8</vt:lpwstr>
  </property>
  <property fmtid="{D5CDD505-2E9C-101B-9397-08002B2CF9AE}" pid="3" name="Revision date">
    <vt:lpwstr>04/25/2019</vt:lpwstr>
  </property>
  <property fmtid="{D5CDD505-2E9C-101B-9397-08002B2CF9AE}" pid="4" name="ContentTypeId">
    <vt:lpwstr>0x01010021E4441DB9763A4B9F4793D394AD28DA</vt:lpwstr>
  </property>
  <property fmtid="{D5CDD505-2E9C-101B-9397-08002B2CF9AE}" pid="5" name="FileType">
    <vt:lpwstr>Word</vt:lpwstr>
  </property>
</Properties>
</file>