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14:paraId="06968978" w14:textId="77777777">
        <w:trPr>
          <w:trHeight w:val="720"/>
        </w:trPr>
        <w:tc>
          <w:tcPr>
            <w:tcW w:w="7061" w:type="dxa"/>
            <w:gridSpan w:val="2"/>
            <w:tcBorders>
              <w:bottom w:val="single" w:sz="18" w:space="0" w:color="auto"/>
            </w:tcBorders>
          </w:tcPr>
          <w:p w14:paraId="66DC4F17"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2CD30890"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36FC42AC" w14:textId="6B4C6B29" w:rsidR="00441083" w:rsidRDefault="00EF6385">
            <w:pPr>
              <w:tabs>
                <w:tab w:val="left" w:pos="3010"/>
              </w:tabs>
              <w:jc w:val="center"/>
              <w:rPr>
                <w:sz w:val="52"/>
                <w:szCs w:val="52"/>
              </w:rPr>
            </w:pPr>
            <w:r>
              <w:rPr>
                <w:rFonts w:ascii="Univers Bold" w:hAnsi="Univers Bold"/>
                <w:b/>
                <w:sz w:val="72"/>
                <w:lang w:val="fr-CA"/>
              </w:rPr>
              <w:t xml:space="preserve">     </w:t>
            </w:r>
            <w:r w:rsidR="00E60D9C">
              <w:rPr>
                <w:rFonts w:ascii="Univers Bold" w:hAnsi="Univers Bold"/>
                <w:b/>
                <w:sz w:val="72"/>
                <w:lang w:val="fr-CA"/>
              </w:rPr>
              <w:t>EP</w:t>
            </w:r>
          </w:p>
        </w:tc>
      </w:tr>
      <w:tr w:rsidR="00441083" w14:paraId="36E082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82470EC" w14:textId="77777777" w:rsidR="00441083" w:rsidRDefault="00C6443E">
            <w:pPr>
              <w:spacing w:before="120"/>
            </w:pPr>
            <w:r>
              <w:rPr>
                <w:noProof/>
                <w:lang w:val="en-CA" w:eastAsia="en-CA"/>
              </w:rPr>
              <w:drawing>
                <wp:anchor distT="0" distB="0" distL="114300" distR="114300" simplePos="0" relativeHeight="251660288" behindDoc="0" locked="0" layoutInCell="1" allowOverlap="1" wp14:anchorId="0680E751" wp14:editId="65708842">
                  <wp:simplePos x="0" y="0"/>
                  <wp:positionH relativeFrom="column">
                    <wp:posOffset>96520</wp:posOffset>
                  </wp:positionH>
                  <wp:positionV relativeFrom="paragraph">
                    <wp:posOffset>864870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42AB01BA" wp14:editId="356E1510">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090CEDA5" w14:textId="77777777"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50059999"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01E26771" w14:textId="77777777" w:rsidR="00441083" w:rsidRDefault="00E60D9C">
            <w:pPr>
              <w:rPr>
                <w:rFonts w:ascii="Univers" w:hAnsi="Univers"/>
                <w:b/>
                <w:sz w:val="32"/>
                <w:lang w:val="fr-CA"/>
              </w:rPr>
            </w:pPr>
            <w:r>
              <w:rPr>
                <w:rFonts w:ascii="Univers" w:hAnsi="Univers"/>
                <w:b/>
                <w:sz w:val="32"/>
                <w:lang w:val="fr-CA"/>
              </w:rPr>
              <w:t>Nations Unies pour</w:t>
            </w:r>
          </w:p>
          <w:p w14:paraId="65A6F9E5" w14:textId="77777777" w:rsidR="00441083" w:rsidRDefault="00E60D9C">
            <w:pPr>
              <w:rPr>
                <w:rFonts w:ascii="Univers" w:hAnsi="Univers"/>
                <w:b/>
                <w:sz w:val="32"/>
                <w:lang w:val="fr-CA"/>
              </w:rPr>
            </w:pPr>
            <w:proofErr w:type="gramStart"/>
            <w:r>
              <w:rPr>
                <w:rFonts w:ascii="Univers" w:hAnsi="Univers"/>
                <w:b/>
                <w:sz w:val="32"/>
                <w:lang w:val="fr-CA"/>
              </w:rPr>
              <w:t>l’environnement</w:t>
            </w:r>
            <w:proofErr w:type="gramEnd"/>
          </w:p>
          <w:p w14:paraId="51CDA79A" w14:textId="77777777"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59A38E85" w14:textId="77777777" w:rsidR="00441083" w:rsidRDefault="00441083">
            <w:pPr>
              <w:rPr>
                <w:lang w:val="fr-FR"/>
              </w:rPr>
            </w:pPr>
          </w:p>
          <w:p w14:paraId="729F5A68" w14:textId="77777777" w:rsidR="00441083" w:rsidRPr="002E2D7D" w:rsidRDefault="00E60D9C">
            <w:pPr>
              <w:rPr>
                <w:lang w:val="fr-FR"/>
              </w:rPr>
            </w:pPr>
            <w:proofErr w:type="spellStart"/>
            <w:r w:rsidRPr="002E2D7D">
              <w:rPr>
                <w:lang w:val="fr-FR"/>
              </w:rPr>
              <w:t>Distr</w:t>
            </w:r>
            <w:proofErr w:type="spellEnd"/>
            <w:r w:rsidRPr="002E2D7D">
              <w:rPr>
                <w:lang w:val="fr-FR"/>
              </w:rPr>
              <w:t>.</w:t>
            </w:r>
          </w:p>
          <w:p w14:paraId="665C3CAB" w14:textId="7F70654B" w:rsidR="00441083" w:rsidRPr="00281309" w:rsidRDefault="00315598">
            <w:pPr>
              <w:rPr>
                <w:lang w:val="fr-CA"/>
              </w:rPr>
            </w:pPr>
            <w:r w:rsidRPr="00281309">
              <w:rPr>
                <w:lang w:val="fr-CA"/>
              </w:rPr>
              <w:t>GÉNÉRALE</w:t>
            </w:r>
          </w:p>
          <w:p w14:paraId="7B9053BE" w14:textId="77777777" w:rsidR="00441083" w:rsidRPr="00281309" w:rsidRDefault="00441083">
            <w:pPr>
              <w:rPr>
                <w:lang w:val="fr-CA"/>
              </w:rPr>
            </w:pPr>
          </w:p>
          <w:p w14:paraId="6AE9A83E" w14:textId="2C0D36CA" w:rsidR="00441083" w:rsidRPr="002E2D7D" w:rsidRDefault="00E60D9C">
            <w:pPr>
              <w:rPr>
                <w:lang w:val="en-CA"/>
              </w:rPr>
            </w:pPr>
            <w:r>
              <w:fldChar w:fldCharType="begin"/>
            </w:r>
            <w:r w:rsidRPr="002E2D7D">
              <w:rPr>
                <w:lang w:val="en-CA"/>
              </w:rPr>
              <w:instrText xml:space="preserve"> DOCPROPERTY "Document number"  \* MERGEFORMAT </w:instrText>
            </w:r>
            <w:r>
              <w:fldChar w:fldCharType="separate"/>
            </w:r>
            <w:r w:rsidR="002E2D7D">
              <w:rPr>
                <w:lang w:val="en-CA"/>
              </w:rPr>
              <w:t>UNEP/</w:t>
            </w:r>
            <w:proofErr w:type="spellStart"/>
            <w:r w:rsidR="002E2D7D">
              <w:rPr>
                <w:lang w:val="en-CA"/>
              </w:rPr>
              <w:t>OzL.Pro</w:t>
            </w:r>
            <w:proofErr w:type="spellEnd"/>
            <w:r w:rsidR="002E2D7D">
              <w:rPr>
                <w:lang w:val="en-CA"/>
              </w:rPr>
              <w:t>/</w:t>
            </w:r>
            <w:proofErr w:type="spellStart"/>
            <w:r w:rsidR="002E2D7D">
              <w:rPr>
                <w:lang w:val="en-CA"/>
              </w:rPr>
              <w:t>ExCom</w:t>
            </w:r>
            <w:proofErr w:type="spellEnd"/>
            <w:r w:rsidR="002E2D7D">
              <w:rPr>
                <w:lang w:val="en-CA"/>
              </w:rPr>
              <w:t>/83/9/Rev.1</w:t>
            </w:r>
            <w:r>
              <w:fldChar w:fldCharType="end"/>
            </w:r>
            <w:bookmarkStart w:id="0" w:name="_GoBack"/>
            <w:bookmarkEnd w:id="0"/>
          </w:p>
          <w:p w14:paraId="20E8350E" w14:textId="1A62B529" w:rsidR="002F0B57" w:rsidRPr="0003776F" w:rsidRDefault="00BC183A" w:rsidP="001D4CE7">
            <w:pPr>
              <w:rPr>
                <w:lang w:val="fr-FR"/>
              </w:rPr>
            </w:pPr>
            <w:r>
              <w:rPr>
                <w:lang w:val="en-US"/>
              </w:rPr>
              <w:t>31</w:t>
            </w:r>
            <w:r w:rsidR="008C43DA" w:rsidRPr="00BC183A">
              <w:rPr>
                <w:lang w:val="en-US"/>
              </w:rPr>
              <w:t xml:space="preserve"> </w:t>
            </w:r>
            <w:r w:rsidR="008C43DA" w:rsidRPr="0003776F">
              <w:rPr>
                <w:lang w:val="fr-FR"/>
              </w:rPr>
              <w:t>mai</w:t>
            </w:r>
            <w:r w:rsidR="002F0B57">
              <w:fldChar w:fldCharType="begin"/>
            </w:r>
            <w:r w:rsidR="002F0B57" w:rsidRPr="0003776F">
              <w:rPr>
                <w:lang w:val="fr-FR"/>
              </w:rPr>
              <w:instrText xml:space="preserve"> DOCPROPERTY "Revision date" \@ "d MMMM YYYY"  \* MERGEFORMAT </w:instrText>
            </w:r>
            <w:r w:rsidR="002F0B57">
              <w:fldChar w:fldCharType="separate"/>
            </w:r>
            <w:r w:rsidR="00E273B3" w:rsidRPr="0003776F">
              <w:rPr>
                <w:lang w:val="fr-FR"/>
              </w:rPr>
              <w:t xml:space="preserve"> 2019</w:t>
            </w:r>
            <w:r w:rsidR="002F0B57">
              <w:fldChar w:fldCharType="end"/>
            </w:r>
          </w:p>
          <w:p w14:paraId="07482E89" w14:textId="77777777" w:rsidR="00441083" w:rsidRDefault="00FC5578">
            <w:pPr>
              <w:rPr>
                <w:caps/>
                <w:lang w:val="fr-FR"/>
              </w:rPr>
            </w:pPr>
            <w:r w:rsidRPr="0003776F">
              <w:rPr>
                <w:caps/>
                <w:lang w:val="fr-FR"/>
              </w:rPr>
              <w:br/>
            </w:r>
            <w:r w:rsidR="00E60D9C">
              <w:rPr>
                <w:caps/>
                <w:lang w:val="fr-FR"/>
              </w:rPr>
              <w:t>FRANÇAIS</w:t>
            </w:r>
          </w:p>
          <w:p w14:paraId="772DE614" w14:textId="15EAF738" w:rsidR="00441083" w:rsidRDefault="00E60D9C">
            <w:r>
              <w:t>ORIGINAL</w:t>
            </w:r>
            <w:r w:rsidR="00315598">
              <w:t xml:space="preserve"> </w:t>
            </w:r>
            <w:r>
              <w:t xml:space="preserve">: </w:t>
            </w:r>
            <w:r w:rsidR="0091161A">
              <w:t>ANGLAIS</w:t>
            </w:r>
          </w:p>
        </w:tc>
      </w:tr>
    </w:tbl>
    <w:p w14:paraId="5E07D8B4" w14:textId="77777777" w:rsidR="00441083" w:rsidRDefault="00441083">
      <w:pPr>
        <w:jc w:val="left"/>
        <w:rPr>
          <w:lang w:val="fr-CA"/>
        </w:rPr>
      </w:pPr>
    </w:p>
    <w:p w14:paraId="6E115B7D" w14:textId="0DF136FC" w:rsidR="00441083" w:rsidRDefault="00BC183A" w:rsidP="004C2C87">
      <w:pPr>
        <w:jc w:val="left"/>
        <w:rPr>
          <w:lang w:val="fr-CA"/>
        </w:rPr>
      </w:pPr>
      <w:r>
        <w:rPr>
          <w:lang w:val="fr-CA"/>
        </w:rPr>
        <w:t>COMITE EXÉ</w:t>
      </w:r>
      <w:r w:rsidR="00E60D9C">
        <w:rPr>
          <w:lang w:val="fr-CA"/>
        </w:rPr>
        <w:t xml:space="preserve">CUTIF </w:t>
      </w:r>
      <w:r w:rsidR="00E60D9C">
        <w:rPr>
          <w:lang w:val="fr-CA"/>
        </w:rPr>
        <w:br/>
      </w:r>
      <w:r w:rsidR="00EF6385">
        <w:rPr>
          <w:lang w:val="fr-CA"/>
        </w:rPr>
        <w:t xml:space="preserve"> </w:t>
      </w:r>
      <w:r>
        <w:rPr>
          <w:lang w:val="fr-CA"/>
        </w:rPr>
        <w:t>DU FONDS MULTILATÉ</w:t>
      </w:r>
      <w:r w:rsidR="00E60D9C">
        <w:rPr>
          <w:lang w:val="fr-CA"/>
        </w:rPr>
        <w:t xml:space="preserve">RAL AUX FINS </w:t>
      </w:r>
      <w:r w:rsidR="00E60D9C">
        <w:rPr>
          <w:lang w:val="fr-CA"/>
        </w:rPr>
        <w:br/>
      </w:r>
      <w:r w:rsidR="00EF6385">
        <w:rPr>
          <w:lang w:val="fr-CA"/>
        </w:rPr>
        <w:t xml:space="preserve"> </w:t>
      </w:r>
      <w:r w:rsidR="00E60D9C">
        <w:rPr>
          <w:lang w:val="fr-CA"/>
        </w:rPr>
        <w:t>D’AP</w:t>
      </w:r>
      <w:r>
        <w:rPr>
          <w:lang w:val="fr-CA"/>
        </w:rPr>
        <w:t>PLICATION DU PROTOCOLE DE MONTRÉ</w:t>
      </w:r>
      <w:r w:rsidR="00E60D9C">
        <w:rPr>
          <w:lang w:val="fr-CA"/>
        </w:rPr>
        <w:t>AL</w:t>
      </w:r>
      <w:r w:rsidR="00E60D9C">
        <w:rPr>
          <w:lang w:val="fr-CA"/>
        </w:rPr>
        <w:br/>
      </w:r>
      <w:r w:rsidR="00E54871">
        <w:rPr>
          <w:lang w:val="fr-CA"/>
        </w:rPr>
        <w:t>Quatre</w:t>
      </w:r>
      <w:r w:rsidR="00E60D9C">
        <w:rPr>
          <w:lang w:val="fr-CA"/>
        </w:rPr>
        <w:t>-</w:t>
      </w:r>
      <w:r w:rsidR="00E54871">
        <w:rPr>
          <w:lang w:val="fr-CA"/>
        </w:rPr>
        <w:t>vingt</w:t>
      </w:r>
      <w:r w:rsidR="00AE63D8">
        <w:rPr>
          <w:lang w:val="fr-CA"/>
        </w:rPr>
        <w:t>-</w:t>
      </w:r>
      <w:r w:rsidR="004C2C87">
        <w:rPr>
          <w:lang w:val="fr-CA"/>
        </w:rPr>
        <w:t>troisi</w:t>
      </w:r>
      <w:r w:rsidR="00E54871">
        <w:rPr>
          <w:lang w:val="fr-CA"/>
        </w:rPr>
        <w:t>ème</w:t>
      </w:r>
      <w:r w:rsidR="00FC5578" w:rsidRPr="00FC5578">
        <w:rPr>
          <w:lang w:val="fr-CA"/>
        </w:rPr>
        <w:t xml:space="preserve"> </w:t>
      </w:r>
      <w:r w:rsidR="00E60D9C">
        <w:rPr>
          <w:lang w:val="fr-CA"/>
        </w:rPr>
        <w:t>réunion</w:t>
      </w:r>
    </w:p>
    <w:p w14:paraId="2AEFAC0B" w14:textId="77777777" w:rsidR="00441083" w:rsidRDefault="00E54871">
      <w:pPr>
        <w:jc w:val="left"/>
        <w:rPr>
          <w:lang w:val="fr-CA"/>
        </w:rPr>
      </w:pPr>
      <w:r w:rsidRPr="00644D1F">
        <w:rPr>
          <w:lang w:val="fr-CA"/>
        </w:rPr>
        <w:t>Montréal,</w:t>
      </w:r>
      <w:r w:rsidR="00FC5578" w:rsidRPr="00644D1F">
        <w:rPr>
          <w:lang w:val="fr-CA"/>
        </w:rPr>
        <w:t xml:space="preserve"> </w:t>
      </w:r>
      <w:r w:rsidR="004C2C87" w:rsidRPr="00644D1F">
        <w:rPr>
          <w:lang w:val="fr-CA"/>
        </w:rPr>
        <w:t>27</w:t>
      </w:r>
      <w:r w:rsidR="00E60D9C">
        <w:rPr>
          <w:lang w:val="fr-CA"/>
        </w:rPr>
        <w:t xml:space="preserve">– </w:t>
      </w:r>
      <w:r w:rsidR="004C2C87">
        <w:rPr>
          <w:lang w:val="fr-CA"/>
        </w:rPr>
        <w:t>31</w:t>
      </w:r>
      <w:r w:rsidR="00E60D9C">
        <w:rPr>
          <w:lang w:val="fr-CA"/>
        </w:rPr>
        <w:t xml:space="preserve"> </w:t>
      </w:r>
      <w:r w:rsidR="004C2C87">
        <w:rPr>
          <w:lang w:val="fr-CA"/>
        </w:rPr>
        <w:t>mai 2019</w:t>
      </w:r>
    </w:p>
    <w:p w14:paraId="47A7EF8C" w14:textId="77777777" w:rsidR="00441083" w:rsidRDefault="00441083">
      <w:pPr>
        <w:pStyle w:val="Heading3"/>
        <w:numPr>
          <w:ilvl w:val="0"/>
          <w:numId w:val="0"/>
        </w:numPr>
        <w:spacing w:after="0"/>
        <w:rPr>
          <w:lang w:val="fr-FR"/>
        </w:rPr>
      </w:pPr>
    </w:p>
    <w:p w14:paraId="109DA7A0" w14:textId="77777777" w:rsidR="009C5EB4" w:rsidRPr="006A17B1" w:rsidRDefault="009C5EB4" w:rsidP="009C5EB4">
      <w:pPr>
        <w:rPr>
          <w:lang w:val="fr-CA"/>
        </w:rPr>
      </w:pPr>
    </w:p>
    <w:p w14:paraId="3AA35BDC" w14:textId="77777777" w:rsidR="006A17B1" w:rsidRDefault="009C5EB4" w:rsidP="006A17B1">
      <w:pPr>
        <w:pStyle w:val="Title1"/>
        <w:rPr>
          <w:lang w:val="fr-FR"/>
        </w:rPr>
      </w:pPr>
      <w:r>
        <w:rPr>
          <w:lang w:val="fr-FR"/>
        </w:rPr>
        <w:t xml:space="preserve">MANDAT </w:t>
      </w:r>
      <w:r w:rsidR="008C43DA">
        <w:rPr>
          <w:lang w:val="fr-FR"/>
        </w:rPr>
        <w:t xml:space="preserve">DE L’ÉTUDE THÉORIQUE </w:t>
      </w:r>
    </w:p>
    <w:p w14:paraId="0B346FD5" w14:textId="3D337976" w:rsidR="009C5EB4" w:rsidRDefault="008C43DA" w:rsidP="006A17B1">
      <w:pPr>
        <w:pStyle w:val="Title1"/>
        <w:rPr>
          <w:lang w:val="fr-FR"/>
        </w:rPr>
      </w:pPr>
      <w:r>
        <w:rPr>
          <w:lang w:val="fr-FR"/>
        </w:rPr>
        <w:t xml:space="preserve">SUR </w:t>
      </w:r>
      <w:r w:rsidR="00BC183A">
        <w:rPr>
          <w:lang w:val="fr-FR"/>
        </w:rPr>
        <w:t>L’É</w:t>
      </w:r>
      <w:r w:rsidR="006A17B1">
        <w:rPr>
          <w:lang w:val="fr-FR"/>
        </w:rPr>
        <w:t xml:space="preserve">VALUATION DE </w:t>
      </w:r>
      <w:r>
        <w:rPr>
          <w:lang w:val="fr-FR"/>
        </w:rPr>
        <w:t xml:space="preserve">LA </w:t>
      </w:r>
      <w:r w:rsidR="00BC183A">
        <w:rPr>
          <w:lang w:val="fr-FR"/>
        </w:rPr>
        <w:t>PÉRENNITÉ</w:t>
      </w:r>
      <w:r>
        <w:rPr>
          <w:lang w:val="fr-FR"/>
        </w:rPr>
        <w:t xml:space="preserve"> DES RÉALISATIONS</w:t>
      </w:r>
    </w:p>
    <w:p w14:paraId="75B2F586" w14:textId="77777777" w:rsidR="00441083" w:rsidRPr="008C43DA" w:rsidRDefault="008C43DA" w:rsidP="009C5EB4">
      <w:pPr>
        <w:pStyle w:val="Title1"/>
        <w:rPr>
          <w:lang w:val="fr-FR"/>
        </w:rPr>
      </w:pPr>
      <w:r>
        <w:rPr>
          <w:lang w:val="fr-FR"/>
        </w:rPr>
        <w:t xml:space="preserve"> DU PROTOCOLE DE MONTRÉAL</w:t>
      </w:r>
    </w:p>
    <w:p w14:paraId="6D8209E4" w14:textId="77777777" w:rsidR="00441083" w:rsidRDefault="00441083">
      <w:pPr>
        <w:jc w:val="center"/>
        <w:rPr>
          <w:lang w:val="fr-CA"/>
        </w:rPr>
      </w:pPr>
    </w:p>
    <w:p w14:paraId="30C2658B" w14:textId="77777777" w:rsidR="008C43DA" w:rsidRDefault="008C43DA" w:rsidP="008C43DA">
      <w:pPr>
        <w:rPr>
          <w:b/>
          <w:lang w:val="fr-CA"/>
        </w:rPr>
      </w:pPr>
      <w:r>
        <w:rPr>
          <w:b/>
          <w:lang w:val="fr-CA"/>
        </w:rPr>
        <w:t>Contexte</w:t>
      </w:r>
    </w:p>
    <w:p w14:paraId="2CBE46C3" w14:textId="77777777" w:rsidR="008C43DA" w:rsidRPr="008C43DA" w:rsidRDefault="008C43DA" w:rsidP="008C43DA">
      <w:pPr>
        <w:rPr>
          <w:b/>
          <w:lang w:val="fr-CA"/>
        </w:rPr>
      </w:pPr>
    </w:p>
    <w:p w14:paraId="1AAD6256" w14:textId="2ECC8A39" w:rsidR="00441083" w:rsidRDefault="00171E98">
      <w:pPr>
        <w:pStyle w:val="StyleHeading1Para1Heading1CharHeading1Char3CharHeadin"/>
        <w:numPr>
          <w:ilvl w:val="0"/>
          <w:numId w:val="1"/>
        </w:numPr>
        <w:tabs>
          <w:tab w:val="clear" w:pos="0"/>
        </w:tabs>
        <w:rPr>
          <w:lang w:val="fr-CA"/>
        </w:rPr>
      </w:pPr>
      <w:r>
        <w:rPr>
          <w:lang w:val="fr-CA"/>
        </w:rPr>
        <w:t>À la 82</w:t>
      </w:r>
      <w:r w:rsidRPr="00171E98">
        <w:rPr>
          <w:vertAlign w:val="superscript"/>
          <w:lang w:val="fr-CA"/>
        </w:rPr>
        <w:t>e</w:t>
      </w:r>
      <w:r>
        <w:rPr>
          <w:lang w:val="fr-CA"/>
        </w:rPr>
        <w:t xml:space="preserve"> réunion, l’Administrateur principal, Suivi et évaluation, a soumis le projet de pro</w:t>
      </w:r>
      <w:r w:rsidR="00315598">
        <w:rPr>
          <w:lang w:val="fr-CA"/>
        </w:rPr>
        <w:t xml:space="preserve">gramme de travail de suivi et </w:t>
      </w:r>
      <w:r>
        <w:rPr>
          <w:lang w:val="fr-CA"/>
        </w:rPr>
        <w:t>évaluation pour l’année 2019</w:t>
      </w:r>
      <w:r>
        <w:rPr>
          <w:rStyle w:val="FootnoteReference"/>
          <w:lang w:val="fr-CA"/>
        </w:rPr>
        <w:footnoteReference w:id="1"/>
      </w:r>
      <w:r>
        <w:rPr>
          <w:lang w:val="fr-CA"/>
        </w:rPr>
        <w:t xml:space="preserve"> qui présentait plusieurs sujets d’évaluation possibles et il </w:t>
      </w:r>
      <w:r w:rsidR="001C38EC">
        <w:rPr>
          <w:lang w:val="fr-CA"/>
        </w:rPr>
        <w:t xml:space="preserve">a </w:t>
      </w:r>
      <w:r>
        <w:rPr>
          <w:lang w:val="fr-CA"/>
        </w:rPr>
        <w:t>demand</w:t>
      </w:r>
      <w:r w:rsidR="001C38EC">
        <w:rPr>
          <w:lang w:val="fr-CA"/>
        </w:rPr>
        <w:t>é des directives au</w:t>
      </w:r>
      <w:r>
        <w:rPr>
          <w:lang w:val="fr-CA"/>
        </w:rPr>
        <w:t xml:space="preserve"> Comité exécutif afin de </w:t>
      </w:r>
      <w:r w:rsidR="001C38EC">
        <w:rPr>
          <w:lang w:val="fr-CA"/>
        </w:rPr>
        <w:t xml:space="preserve">déterminer </w:t>
      </w:r>
      <w:r>
        <w:rPr>
          <w:lang w:val="fr-CA"/>
        </w:rPr>
        <w:t xml:space="preserve">lesquels </w:t>
      </w:r>
      <w:r w:rsidR="001C38EC">
        <w:rPr>
          <w:lang w:val="fr-CA"/>
        </w:rPr>
        <w:t>devraient être inclus</w:t>
      </w:r>
      <w:r>
        <w:rPr>
          <w:lang w:val="fr-CA"/>
        </w:rPr>
        <w:t xml:space="preserve"> dans le programme de travail</w:t>
      </w:r>
      <w:r w:rsidR="00E60D9C">
        <w:rPr>
          <w:lang w:val="fr-CA"/>
        </w:rPr>
        <w:t>.</w:t>
      </w:r>
    </w:p>
    <w:p w14:paraId="08A23943" w14:textId="7AC4358A" w:rsidR="001C38EC" w:rsidRDefault="00CF0006" w:rsidP="00531843">
      <w:pPr>
        <w:pStyle w:val="StyleHeading1Para1Heading1CharHeading1Char3CharHeadin"/>
        <w:numPr>
          <w:ilvl w:val="0"/>
          <w:numId w:val="1"/>
        </w:numPr>
        <w:tabs>
          <w:tab w:val="clear" w:pos="0"/>
        </w:tabs>
        <w:rPr>
          <w:lang w:val="fr-CA"/>
        </w:rPr>
      </w:pPr>
      <w:r>
        <w:rPr>
          <w:lang w:val="fr-CA"/>
        </w:rPr>
        <w:t>Au cours de</w:t>
      </w:r>
      <w:r w:rsidR="001C38EC">
        <w:rPr>
          <w:lang w:val="fr-CA"/>
        </w:rPr>
        <w:t xml:space="preserve"> la discussion</w:t>
      </w:r>
      <w:r w:rsidR="00171E98">
        <w:rPr>
          <w:lang w:val="fr-CA"/>
        </w:rPr>
        <w:t xml:space="preserve">, plusieurs membres ont exprimé de l’intérêt pour une évaluation de la durabilité des réalisations du Protocole de Montréal, </w:t>
      </w:r>
      <w:r w:rsidR="001C38EC">
        <w:rPr>
          <w:lang w:val="fr-CA"/>
        </w:rPr>
        <w:t>y compris l’</w:t>
      </w:r>
      <w:r w:rsidR="00171E98">
        <w:rPr>
          <w:lang w:val="fr-CA"/>
        </w:rPr>
        <w:t xml:space="preserve">évaluation du rôle des Bureaux nationaux de l’ozone et des </w:t>
      </w:r>
      <w:r w:rsidR="00E6240B">
        <w:rPr>
          <w:lang w:val="fr-CA"/>
        </w:rPr>
        <w:t>Bureaux</w:t>
      </w:r>
      <w:r w:rsidR="003D58A7">
        <w:rPr>
          <w:lang w:val="fr-CA"/>
        </w:rPr>
        <w:t xml:space="preserve"> </w:t>
      </w:r>
      <w:r w:rsidR="00480D1A">
        <w:rPr>
          <w:lang w:val="fr-CA"/>
        </w:rPr>
        <w:t xml:space="preserve">de </w:t>
      </w:r>
      <w:r w:rsidR="003D58A7">
        <w:rPr>
          <w:lang w:val="fr-CA"/>
        </w:rPr>
        <w:t>gestion de projets dans le suivi de l’élimination des SAO</w:t>
      </w:r>
      <w:r w:rsidR="00E60D9C">
        <w:rPr>
          <w:lang w:val="fr-CA"/>
        </w:rPr>
        <w:t>.</w:t>
      </w:r>
      <w:r w:rsidR="00EF6385">
        <w:rPr>
          <w:lang w:val="fr-CA"/>
        </w:rPr>
        <w:t xml:space="preserve"> </w:t>
      </w:r>
      <w:r w:rsidR="003D58A7">
        <w:rPr>
          <w:lang w:val="fr-CA"/>
        </w:rPr>
        <w:t xml:space="preserve">Un membre a </w:t>
      </w:r>
      <w:r w:rsidR="00BC4B6A">
        <w:rPr>
          <w:lang w:val="fr-CA"/>
        </w:rPr>
        <w:t>mentionné</w:t>
      </w:r>
      <w:r w:rsidR="003D58A7">
        <w:rPr>
          <w:lang w:val="fr-CA"/>
        </w:rPr>
        <w:t xml:space="preserve"> qu’il serait opportun d’examiner comment les </w:t>
      </w:r>
      <w:r w:rsidR="00644D1F">
        <w:rPr>
          <w:lang w:val="fr-CA"/>
        </w:rPr>
        <w:t>Bureaux nationaux de l’ozone</w:t>
      </w:r>
      <w:r w:rsidR="003D58A7">
        <w:rPr>
          <w:lang w:val="fr-CA"/>
        </w:rPr>
        <w:t xml:space="preserve"> et les gouvernements </w:t>
      </w:r>
      <w:r w:rsidR="00BC4B6A">
        <w:rPr>
          <w:lang w:val="fr-CA"/>
        </w:rPr>
        <w:t>o</w:t>
      </w:r>
      <w:r>
        <w:rPr>
          <w:lang w:val="fr-CA"/>
        </w:rPr>
        <w:t>nt</w:t>
      </w:r>
      <w:r w:rsidR="003D58A7">
        <w:rPr>
          <w:lang w:val="fr-CA"/>
        </w:rPr>
        <w:t xml:space="preserve"> in</w:t>
      </w:r>
      <w:r>
        <w:rPr>
          <w:lang w:val="fr-CA"/>
        </w:rPr>
        <w:t>corporé</w:t>
      </w:r>
      <w:r w:rsidR="003D58A7">
        <w:rPr>
          <w:lang w:val="fr-CA"/>
        </w:rPr>
        <w:t xml:space="preserve"> les obligations du </w:t>
      </w:r>
      <w:r w:rsidR="00E6240B">
        <w:rPr>
          <w:lang w:val="fr-CA"/>
        </w:rPr>
        <w:t>Protocole de Montréal</w:t>
      </w:r>
      <w:r w:rsidR="003D58A7">
        <w:rPr>
          <w:lang w:val="fr-CA"/>
        </w:rPr>
        <w:t xml:space="preserve"> et les </w:t>
      </w:r>
      <w:r>
        <w:rPr>
          <w:lang w:val="fr-CA"/>
        </w:rPr>
        <w:t>résultats des projets dans le</w:t>
      </w:r>
      <w:r w:rsidR="009352AF">
        <w:rPr>
          <w:lang w:val="fr-CA"/>
        </w:rPr>
        <w:t>ur</w:t>
      </w:r>
      <w:r>
        <w:rPr>
          <w:lang w:val="fr-CA"/>
        </w:rPr>
        <w:t xml:space="preserve"> cadre</w:t>
      </w:r>
      <w:r w:rsidR="003D58A7">
        <w:rPr>
          <w:lang w:val="fr-CA"/>
        </w:rPr>
        <w:t xml:space="preserve"> juridique et politique et comment cela s’est</w:t>
      </w:r>
      <w:r>
        <w:rPr>
          <w:lang w:val="fr-CA"/>
        </w:rPr>
        <w:t xml:space="preserve"> reflété dans les activités des </w:t>
      </w:r>
      <w:r w:rsidR="00644D1F">
        <w:rPr>
          <w:lang w:val="fr-CA"/>
        </w:rPr>
        <w:t>Bureaux nationaux de l’ozone</w:t>
      </w:r>
      <w:r w:rsidR="003D58A7">
        <w:rPr>
          <w:lang w:val="fr-CA"/>
        </w:rPr>
        <w:t>.</w:t>
      </w:r>
      <w:r w:rsidR="00EF6385">
        <w:rPr>
          <w:lang w:val="fr-CA"/>
        </w:rPr>
        <w:t xml:space="preserve"> </w:t>
      </w:r>
      <w:r w:rsidR="003D58A7">
        <w:rPr>
          <w:lang w:val="fr-CA"/>
        </w:rPr>
        <w:t xml:space="preserve">D’autres suggestions portaient sur la coordination de </w:t>
      </w:r>
      <w:r w:rsidR="00480D1A">
        <w:rPr>
          <w:lang w:val="fr-CA"/>
        </w:rPr>
        <w:t>toutes les parties prenantes</w:t>
      </w:r>
      <w:r w:rsidR="003D58A7">
        <w:rPr>
          <w:lang w:val="fr-CA"/>
        </w:rPr>
        <w:t xml:space="preserve"> au niveau national et sur les méthod</w:t>
      </w:r>
      <w:r>
        <w:rPr>
          <w:lang w:val="fr-CA"/>
        </w:rPr>
        <w:t>ologi</w:t>
      </w:r>
      <w:r w:rsidR="003D58A7">
        <w:rPr>
          <w:lang w:val="fr-CA"/>
        </w:rPr>
        <w:t>es adoptées pour assurer la mise en œuvre</w:t>
      </w:r>
      <w:r w:rsidR="009C5EB4">
        <w:rPr>
          <w:lang w:val="fr-CA"/>
        </w:rPr>
        <w:t xml:space="preserve"> efficace du </w:t>
      </w:r>
      <w:r w:rsidR="00E6240B">
        <w:rPr>
          <w:lang w:val="fr-CA"/>
        </w:rPr>
        <w:t xml:space="preserve">Protocole de Montréal </w:t>
      </w:r>
      <w:r w:rsidR="003D58A7">
        <w:rPr>
          <w:lang w:val="fr-CA"/>
        </w:rPr>
        <w:t xml:space="preserve">et le fonctionnement des mécanismes de suivi </w:t>
      </w:r>
      <w:r w:rsidR="00480D1A">
        <w:rPr>
          <w:lang w:val="fr-CA"/>
        </w:rPr>
        <w:t>de</w:t>
      </w:r>
      <w:r>
        <w:rPr>
          <w:lang w:val="fr-CA"/>
        </w:rPr>
        <w:t xml:space="preserve"> la</w:t>
      </w:r>
      <w:r w:rsidR="003D58A7">
        <w:rPr>
          <w:lang w:val="fr-CA"/>
        </w:rPr>
        <w:t xml:space="preserve"> r</w:t>
      </w:r>
      <w:r>
        <w:rPr>
          <w:lang w:val="fr-CA"/>
        </w:rPr>
        <w:t>edirection</w:t>
      </w:r>
      <w:r w:rsidR="003D58A7">
        <w:rPr>
          <w:lang w:val="fr-CA"/>
        </w:rPr>
        <w:t xml:space="preserve"> des utilisations non règlementées vers des utilisations règlementées des substances.</w:t>
      </w:r>
      <w:r w:rsidR="00EF6385">
        <w:rPr>
          <w:lang w:val="fr-CA"/>
        </w:rPr>
        <w:t xml:space="preserve"> </w:t>
      </w:r>
      <w:r w:rsidR="003D58A7">
        <w:rPr>
          <w:lang w:val="fr-CA"/>
        </w:rPr>
        <w:t xml:space="preserve">En outre, l’évaluation pourrait établir une synergie avec la deuxième phase de l’évaluation des projets de démonstration </w:t>
      </w:r>
      <w:r w:rsidR="00480D1A">
        <w:rPr>
          <w:lang w:val="fr-CA"/>
        </w:rPr>
        <w:t xml:space="preserve">pilotes </w:t>
      </w:r>
      <w:r w:rsidR="003D58A7">
        <w:rPr>
          <w:lang w:val="fr-CA"/>
        </w:rPr>
        <w:t xml:space="preserve">sur l’élimination </w:t>
      </w:r>
      <w:r w:rsidR="001C38EC">
        <w:rPr>
          <w:lang w:val="fr-CA"/>
        </w:rPr>
        <w:t xml:space="preserve">définitive </w:t>
      </w:r>
      <w:r w:rsidR="003D58A7">
        <w:rPr>
          <w:lang w:val="fr-CA"/>
        </w:rPr>
        <w:t>et la destruction des SAO</w:t>
      </w:r>
      <w:r w:rsidR="001C38EC">
        <w:rPr>
          <w:lang w:val="fr-CA"/>
        </w:rPr>
        <w:t xml:space="preserve"> </w:t>
      </w:r>
      <w:r w:rsidR="009C5EB4">
        <w:rPr>
          <w:lang w:val="fr-CA"/>
        </w:rPr>
        <w:t xml:space="preserve">concernant le </w:t>
      </w:r>
      <w:r w:rsidR="001C38EC">
        <w:rPr>
          <w:lang w:val="fr-CA"/>
        </w:rPr>
        <w:t>rôle de prévention de</w:t>
      </w:r>
      <w:r w:rsidR="00BC4B6A">
        <w:rPr>
          <w:lang w:val="fr-CA"/>
        </w:rPr>
        <w:t xml:space="preserve"> substance</w:t>
      </w:r>
      <w:r w:rsidR="001C38EC">
        <w:rPr>
          <w:lang w:val="fr-CA"/>
        </w:rPr>
        <w:t xml:space="preserve">s </w:t>
      </w:r>
      <w:r w:rsidR="00BC4B6A">
        <w:rPr>
          <w:lang w:val="fr-CA"/>
        </w:rPr>
        <w:t>résiduaires</w:t>
      </w:r>
      <w:r w:rsidR="001C38EC">
        <w:rPr>
          <w:lang w:val="fr-CA"/>
        </w:rPr>
        <w:t>.</w:t>
      </w:r>
      <w:r w:rsidR="001C38EC">
        <w:rPr>
          <w:rStyle w:val="FootnoteReference"/>
          <w:lang w:val="fr-CA"/>
        </w:rPr>
        <w:footnoteReference w:id="2"/>
      </w:r>
    </w:p>
    <w:p w14:paraId="527B85C6" w14:textId="4CCF9597" w:rsidR="00441083" w:rsidRPr="00E6240B" w:rsidRDefault="00E6240B" w:rsidP="00EF540D">
      <w:pPr>
        <w:pStyle w:val="StyleHeading1Para1Heading1CharHeading1Char3CharHeadin"/>
        <w:numPr>
          <w:ilvl w:val="0"/>
          <w:numId w:val="1"/>
        </w:numPr>
        <w:tabs>
          <w:tab w:val="clear" w:pos="0"/>
        </w:tabs>
        <w:rPr>
          <w:lang w:val="fr-CA"/>
        </w:rPr>
      </w:pPr>
      <w:r w:rsidRPr="00E6240B">
        <w:rPr>
          <w:lang w:val="fr-CA"/>
        </w:rPr>
        <w:t>À</w:t>
      </w:r>
      <w:r w:rsidR="001C38EC" w:rsidRPr="00E6240B">
        <w:rPr>
          <w:lang w:val="fr-CA"/>
        </w:rPr>
        <w:t xml:space="preserve"> l’issue de</w:t>
      </w:r>
      <w:r w:rsidR="00CF0006" w:rsidRPr="00E6240B">
        <w:rPr>
          <w:lang w:val="fr-CA"/>
        </w:rPr>
        <w:t xml:space="preserve"> la discussion</w:t>
      </w:r>
      <w:r w:rsidR="001C38EC" w:rsidRPr="00E6240B">
        <w:rPr>
          <w:lang w:val="fr-CA"/>
        </w:rPr>
        <w:t xml:space="preserve">, le Comité exécutif a demandé </w:t>
      </w:r>
      <w:r w:rsidR="00CF0006" w:rsidRPr="00E6240B">
        <w:rPr>
          <w:lang w:val="fr-CA"/>
        </w:rPr>
        <w:t>à l’Administrateur</w:t>
      </w:r>
      <w:r w:rsidR="00CC3C60">
        <w:rPr>
          <w:lang w:val="fr-CA"/>
        </w:rPr>
        <w:t xml:space="preserve"> principal, Suivi et évaluation</w:t>
      </w:r>
      <w:r w:rsidR="00CF0006" w:rsidRPr="00E6240B">
        <w:rPr>
          <w:lang w:val="fr-CA"/>
        </w:rPr>
        <w:t xml:space="preserve"> de présenter à la 83</w:t>
      </w:r>
      <w:r w:rsidR="00CF0006" w:rsidRPr="00E6240B">
        <w:rPr>
          <w:vertAlign w:val="superscript"/>
          <w:lang w:val="fr-CA"/>
        </w:rPr>
        <w:t>e</w:t>
      </w:r>
      <w:r w:rsidR="00CF0006" w:rsidRPr="00E6240B">
        <w:rPr>
          <w:lang w:val="fr-CA"/>
        </w:rPr>
        <w:t xml:space="preserve"> réunion le</w:t>
      </w:r>
      <w:r w:rsidR="009C5EB4" w:rsidRPr="00E6240B">
        <w:rPr>
          <w:lang w:val="fr-CA"/>
        </w:rPr>
        <w:t xml:space="preserve"> mandat</w:t>
      </w:r>
      <w:r w:rsidR="00CF0006" w:rsidRPr="00E6240B">
        <w:rPr>
          <w:lang w:val="fr-CA"/>
        </w:rPr>
        <w:t xml:space="preserve"> de l’étude théorique sur la </w:t>
      </w:r>
      <w:r w:rsidR="00CC3C60">
        <w:rPr>
          <w:lang w:val="fr-CA"/>
        </w:rPr>
        <w:t>pérennité</w:t>
      </w:r>
      <w:r w:rsidR="00CF0006" w:rsidRPr="00E6240B">
        <w:rPr>
          <w:lang w:val="fr-CA"/>
        </w:rPr>
        <w:t xml:space="preserve"> des réalisations </w:t>
      </w:r>
      <w:r w:rsidRPr="00E6240B">
        <w:rPr>
          <w:lang w:val="fr-CA"/>
        </w:rPr>
        <w:t xml:space="preserve">du </w:t>
      </w:r>
      <w:r w:rsidRPr="00E6240B">
        <w:rPr>
          <w:lang w:val="fr-CA"/>
        </w:rPr>
        <w:lastRenderedPageBreak/>
        <w:t xml:space="preserve">Protocole de Montréal, </w:t>
      </w:r>
      <w:r w:rsidR="009C5EB4" w:rsidRPr="00E6240B">
        <w:rPr>
          <w:lang w:val="fr-CA"/>
        </w:rPr>
        <w:t>telle que reflétée dans les projets financés par le Fonds multilatéral, approuvés dans le cadre du programme de travail de suivi et d’évaluation pour l’année 2019 (décision 82/10).</w:t>
      </w:r>
      <w:r w:rsidR="003D58A7" w:rsidRPr="00E6240B">
        <w:rPr>
          <w:lang w:val="fr-CA"/>
        </w:rPr>
        <w:t xml:space="preserve"> </w:t>
      </w:r>
    </w:p>
    <w:p w14:paraId="67C7CCE0" w14:textId="754BB1BC" w:rsidR="009C5EB4" w:rsidRDefault="009C5EB4">
      <w:pPr>
        <w:pStyle w:val="StyleHeading1Para1Heading1CharHeading1Char3CharHeadin"/>
        <w:numPr>
          <w:ilvl w:val="0"/>
          <w:numId w:val="1"/>
        </w:numPr>
        <w:tabs>
          <w:tab w:val="clear" w:pos="0"/>
        </w:tabs>
        <w:rPr>
          <w:lang w:val="fr-CA"/>
        </w:rPr>
      </w:pPr>
      <w:r>
        <w:rPr>
          <w:lang w:val="fr-CA"/>
        </w:rPr>
        <w:t xml:space="preserve">Le présent document est proposé pour donner suite </w:t>
      </w:r>
      <w:r w:rsidR="00E6240B">
        <w:rPr>
          <w:lang w:val="fr-CA"/>
        </w:rPr>
        <w:t xml:space="preserve">à la décision 82/10 </w:t>
      </w:r>
      <w:r>
        <w:rPr>
          <w:lang w:val="fr-CA"/>
        </w:rPr>
        <w:t>b).</w:t>
      </w:r>
    </w:p>
    <w:p w14:paraId="770BA64E" w14:textId="77777777" w:rsidR="009C5EB4" w:rsidRDefault="009C5EB4" w:rsidP="009C5EB4">
      <w:pPr>
        <w:pStyle w:val="StyleHeading1Para1Heading1CharHeading1Char3CharHeadin"/>
        <w:rPr>
          <w:b/>
          <w:lang w:val="fr-CA"/>
        </w:rPr>
      </w:pPr>
      <w:r>
        <w:rPr>
          <w:b/>
          <w:lang w:val="fr-CA"/>
        </w:rPr>
        <w:t>Objectif et portée de l’étude théorique</w:t>
      </w:r>
    </w:p>
    <w:p w14:paraId="293FB2E1" w14:textId="610B1EE1" w:rsidR="00F643BF" w:rsidRDefault="009C5EB4" w:rsidP="000A5F3F">
      <w:pPr>
        <w:pStyle w:val="Heading1"/>
        <w:rPr>
          <w:lang w:val="fr-CA"/>
        </w:rPr>
      </w:pPr>
      <w:r>
        <w:rPr>
          <w:lang w:val="fr-CA"/>
        </w:rPr>
        <w:t xml:space="preserve">L’étude théorique </w:t>
      </w:r>
      <w:r w:rsidR="00CA59A8">
        <w:rPr>
          <w:lang w:val="fr-CA"/>
        </w:rPr>
        <w:t xml:space="preserve">évaluera </w:t>
      </w:r>
      <w:r w:rsidR="004B064A">
        <w:rPr>
          <w:lang w:val="fr-CA"/>
        </w:rPr>
        <w:t>comment les réductions</w:t>
      </w:r>
      <w:r w:rsidR="00F643BF">
        <w:rPr>
          <w:lang w:val="fr-CA"/>
        </w:rPr>
        <w:t xml:space="preserve"> réalisées au titre du Protocole de Montréal ont perduré après l’achèvement des projets financés par le Fonds multilatéral et la mesure dans laquelle les activités financées par le Fonds multilatéral contribuent </w:t>
      </w:r>
      <w:r w:rsidR="00431011">
        <w:rPr>
          <w:lang w:val="fr-CA"/>
        </w:rPr>
        <w:t>au maintien de</w:t>
      </w:r>
      <w:r w:rsidR="00F643BF">
        <w:rPr>
          <w:lang w:val="fr-CA"/>
        </w:rPr>
        <w:t xml:space="preserve"> la conformité après l</w:t>
      </w:r>
      <w:r w:rsidR="00DA71BD">
        <w:rPr>
          <w:lang w:val="fr-CA"/>
        </w:rPr>
        <w:t xml:space="preserve">eur </w:t>
      </w:r>
      <w:r w:rsidR="00F643BF">
        <w:rPr>
          <w:lang w:val="fr-CA"/>
        </w:rPr>
        <w:t>ach</w:t>
      </w:r>
      <w:r w:rsidR="00DA71BD">
        <w:rPr>
          <w:lang w:val="fr-CA"/>
        </w:rPr>
        <w:t>èvement</w:t>
      </w:r>
      <w:r w:rsidR="00F643BF">
        <w:rPr>
          <w:lang w:val="fr-CA"/>
        </w:rPr>
        <w:t>.</w:t>
      </w:r>
    </w:p>
    <w:p w14:paraId="492AD64C" w14:textId="09A4193D" w:rsidR="00DA71BD" w:rsidRDefault="00DA71BD" w:rsidP="000A5F3F">
      <w:pPr>
        <w:pStyle w:val="Heading1"/>
        <w:rPr>
          <w:lang w:val="fr-CA"/>
        </w:rPr>
      </w:pPr>
      <w:r>
        <w:rPr>
          <w:lang w:val="fr-CA"/>
        </w:rPr>
        <w:t xml:space="preserve">Elle portera sur divers aspects liés aux </w:t>
      </w:r>
      <w:r w:rsidR="00E564C6">
        <w:rPr>
          <w:lang w:val="fr-CA"/>
        </w:rPr>
        <w:t>politiques</w:t>
      </w:r>
      <w:r>
        <w:rPr>
          <w:lang w:val="fr-CA"/>
        </w:rPr>
        <w:t xml:space="preserve">, cadres de réglementation, institutions et </w:t>
      </w:r>
      <w:proofErr w:type="gramStart"/>
      <w:r>
        <w:rPr>
          <w:lang w:val="fr-CA"/>
        </w:rPr>
        <w:t>mécanismes;</w:t>
      </w:r>
      <w:proofErr w:type="gramEnd"/>
      <w:r>
        <w:rPr>
          <w:lang w:val="fr-CA"/>
        </w:rPr>
        <w:t xml:space="preserve"> le suivi et la remise de rapports; le rôle et les responsabilités des Bureaux nationaux de l’ozone et des Bureaux de gestion de projets, le rôle du renforcement des institutions; la production et la consommation; les parties prenantes et les activités de sensibilisation</w:t>
      </w:r>
      <w:r w:rsidR="00431011">
        <w:rPr>
          <w:lang w:val="fr-CA"/>
        </w:rPr>
        <w:t>,</w:t>
      </w:r>
      <w:r>
        <w:rPr>
          <w:lang w:val="fr-CA"/>
        </w:rPr>
        <w:t xml:space="preserve"> dans le contexte du soutien offert dans le cadre des projets financés par le Fonds multilatéral.</w:t>
      </w:r>
    </w:p>
    <w:p w14:paraId="4E56ACEF" w14:textId="004256D7" w:rsidR="00DA71BD" w:rsidRDefault="00DA71BD" w:rsidP="00DA71BD">
      <w:pPr>
        <w:pStyle w:val="Heading1"/>
        <w:rPr>
          <w:lang w:val="fr-CA"/>
        </w:rPr>
      </w:pPr>
      <w:r>
        <w:rPr>
          <w:lang w:val="fr-CA"/>
        </w:rPr>
        <w:t>Elle abordera les sujets ci-dessous.</w:t>
      </w:r>
    </w:p>
    <w:p w14:paraId="0B5969F3" w14:textId="366FAE60" w:rsidR="00DA71BD" w:rsidRDefault="00E564C6" w:rsidP="00DA71BD">
      <w:pPr>
        <w:rPr>
          <w:lang w:val="fr-CA"/>
        </w:rPr>
      </w:pPr>
      <w:r>
        <w:rPr>
          <w:u w:val="single"/>
          <w:lang w:val="fr-CA"/>
        </w:rPr>
        <w:t>Politiques, cadres de réglementation, institutions et mécanismes</w:t>
      </w:r>
    </w:p>
    <w:p w14:paraId="76F4D283" w14:textId="77777777" w:rsidR="00E564C6" w:rsidRPr="00E564C6" w:rsidRDefault="00E564C6" w:rsidP="00DA71BD">
      <w:pPr>
        <w:rPr>
          <w:lang w:val="fr-CA"/>
        </w:rPr>
      </w:pPr>
    </w:p>
    <w:p w14:paraId="64231DF1" w14:textId="1071A944" w:rsidR="00E564C6" w:rsidRPr="00D949C5" w:rsidRDefault="00E564C6" w:rsidP="000A5F3F">
      <w:pPr>
        <w:pStyle w:val="Heading1"/>
        <w:rPr>
          <w:lang w:val="fr-CA"/>
        </w:rPr>
      </w:pPr>
      <w:r w:rsidRPr="00D949C5">
        <w:rPr>
          <w:lang w:val="fr-CA"/>
        </w:rPr>
        <w:t xml:space="preserve">Comment les pays assurent-ils le respect des obligations au titre du Protocole de Montréal, plus particulièrement les réductions globales durables de substances réglementées, après l’achèvement des activités financées par le Fonds </w:t>
      </w:r>
      <w:proofErr w:type="gramStart"/>
      <w:r w:rsidRPr="00D949C5">
        <w:rPr>
          <w:lang w:val="fr-CA"/>
        </w:rPr>
        <w:t>multilatéral?</w:t>
      </w:r>
      <w:proofErr w:type="gramEnd"/>
      <w:r w:rsidRPr="00D949C5">
        <w:rPr>
          <w:lang w:val="fr-CA"/>
        </w:rPr>
        <w:t xml:space="preserve"> </w:t>
      </w:r>
      <w:r w:rsidR="00BA50BD">
        <w:rPr>
          <w:lang w:val="fr-CA"/>
        </w:rPr>
        <w:t>Est-il intégré</w:t>
      </w:r>
      <w:r w:rsidR="00D949C5" w:rsidRPr="00D949C5">
        <w:rPr>
          <w:lang w:val="fr-CA"/>
        </w:rPr>
        <w:t xml:space="preserve"> aux politiques</w:t>
      </w:r>
      <w:r w:rsidRPr="00D949C5">
        <w:rPr>
          <w:lang w:val="fr-CA"/>
        </w:rPr>
        <w:t>, lois et réglementations</w:t>
      </w:r>
      <w:r w:rsidR="00D949C5" w:rsidRPr="00D949C5">
        <w:rPr>
          <w:lang w:val="fr-CA"/>
        </w:rPr>
        <w:t xml:space="preserve"> </w:t>
      </w:r>
      <w:proofErr w:type="gramStart"/>
      <w:r w:rsidR="00D949C5" w:rsidRPr="00D949C5">
        <w:rPr>
          <w:lang w:val="fr-CA"/>
        </w:rPr>
        <w:t>nationales</w:t>
      </w:r>
      <w:r w:rsidRPr="00D949C5">
        <w:rPr>
          <w:lang w:val="fr-CA"/>
        </w:rPr>
        <w:t>?</w:t>
      </w:r>
      <w:proofErr w:type="gramEnd"/>
    </w:p>
    <w:p w14:paraId="16F361DD" w14:textId="446BF645" w:rsidR="00E564C6" w:rsidRPr="00D949C5" w:rsidRDefault="004D5046" w:rsidP="00E564C6">
      <w:pPr>
        <w:pStyle w:val="Heading1"/>
        <w:rPr>
          <w:lang w:val="fr-CA"/>
        </w:rPr>
      </w:pPr>
      <w:r w:rsidRPr="00D949C5">
        <w:rPr>
          <w:lang w:val="fr-CA"/>
        </w:rPr>
        <w:t xml:space="preserve">Quel rôle jouent les Bureau nationaux de l’ozone et les Bureaux de gestion de projets dans l’assistance à l’élaboration de politiques et cadres de </w:t>
      </w:r>
      <w:proofErr w:type="gramStart"/>
      <w:r w:rsidRPr="00D949C5">
        <w:rPr>
          <w:lang w:val="fr-CA"/>
        </w:rPr>
        <w:t>réglementation?</w:t>
      </w:r>
      <w:proofErr w:type="gramEnd"/>
      <w:r w:rsidRPr="00D949C5">
        <w:rPr>
          <w:lang w:val="fr-CA"/>
        </w:rPr>
        <w:t xml:space="preserve"> Existe-t</w:t>
      </w:r>
      <w:r w:rsidR="00D949C5" w:rsidRPr="00D949C5">
        <w:rPr>
          <w:lang w:val="fr-CA"/>
        </w:rPr>
        <w:t>-</w:t>
      </w:r>
      <w:r w:rsidRPr="00D949C5">
        <w:rPr>
          <w:lang w:val="fr-CA"/>
        </w:rPr>
        <w:t xml:space="preserve">il des réglementations adéquates pour </w:t>
      </w:r>
      <w:r w:rsidR="00D949C5">
        <w:rPr>
          <w:lang w:val="fr-CA"/>
        </w:rPr>
        <w:t>contrôler</w:t>
      </w:r>
      <w:r w:rsidRPr="00D949C5">
        <w:rPr>
          <w:lang w:val="fr-CA"/>
        </w:rPr>
        <w:t xml:space="preserve"> l’exportation, l’importation, la fabrication, la vente et certaines utilisations des SAO et des produits qui en </w:t>
      </w:r>
      <w:proofErr w:type="gramStart"/>
      <w:r w:rsidRPr="00D949C5">
        <w:rPr>
          <w:lang w:val="fr-CA"/>
        </w:rPr>
        <w:t>contiennent?</w:t>
      </w:r>
      <w:proofErr w:type="gramEnd"/>
      <w:r w:rsidRPr="00D949C5">
        <w:rPr>
          <w:lang w:val="fr-CA"/>
        </w:rPr>
        <w:t xml:space="preserve"> Comment traite-t-on les nouveaux développements et les difficultés dans l</w:t>
      </w:r>
      <w:r w:rsidR="00D949C5">
        <w:rPr>
          <w:lang w:val="fr-CA"/>
        </w:rPr>
        <w:t>a</w:t>
      </w:r>
      <w:r w:rsidRPr="00D949C5">
        <w:rPr>
          <w:lang w:val="fr-CA"/>
        </w:rPr>
        <w:t xml:space="preserve"> mise en </w:t>
      </w:r>
      <w:proofErr w:type="gramStart"/>
      <w:r w:rsidRPr="00D949C5">
        <w:rPr>
          <w:lang w:val="fr-CA"/>
        </w:rPr>
        <w:t>œuvre?</w:t>
      </w:r>
      <w:proofErr w:type="gramEnd"/>
      <w:r w:rsidRPr="00D949C5">
        <w:rPr>
          <w:lang w:val="fr-CA"/>
        </w:rPr>
        <w:t xml:space="preserve"> </w:t>
      </w:r>
    </w:p>
    <w:p w14:paraId="4F7D9B8C" w14:textId="478C2BF0" w:rsidR="004D5046" w:rsidRPr="00D949C5" w:rsidRDefault="00CD6EAF" w:rsidP="004D5046">
      <w:pPr>
        <w:pStyle w:val="Heading1"/>
        <w:rPr>
          <w:lang w:val="fr-CA"/>
        </w:rPr>
      </w:pPr>
      <w:r w:rsidRPr="00D949C5">
        <w:rPr>
          <w:lang w:val="fr-CA"/>
        </w:rPr>
        <w:t xml:space="preserve">A-t-on recours à des mécanismes fiscaux, tels que les encouragements ou obstacles fiscaux ou le retrait des subventions pour encourager les entreprises à reconvertir afin de délaisser les substances </w:t>
      </w:r>
      <w:proofErr w:type="gramStart"/>
      <w:r w:rsidRPr="00D949C5">
        <w:rPr>
          <w:lang w:val="fr-CA"/>
        </w:rPr>
        <w:t>réglementées?</w:t>
      </w:r>
      <w:proofErr w:type="gramEnd"/>
    </w:p>
    <w:p w14:paraId="5D4552F3" w14:textId="09A0F7DE" w:rsidR="00CD6EAF" w:rsidRPr="00D949C5" w:rsidRDefault="00CD6EAF" w:rsidP="00CD6EAF">
      <w:pPr>
        <w:pStyle w:val="Heading1"/>
        <w:rPr>
          <w:lang w:val="fr-CA"/>
        </w:rPr>
      </w:pPr>
      <w:r w:rsidRPr="00D949C5">
        <w:rPr>
          <w:lang w:val="fr-CA"/>
        </w:rPr>
        <w:t>Existe-t-il un cadre d’application des politiques, lois et réglementations existant</w:t>
      </w:r>
      <w:r w:rsidR="00D949C5">
        <w:rPr>
          <w:lang w:val="fr-CA"/>
        </w:rPr>
        <w:t>e</w:t>
      </w:r>
      <w:r w:rsidRPr="00D949C5">
        <w:rPr>
          <w:lang w:val="fr-CA"/>
        </w:rPr>
        <w:t xml:space="preserve">s </w:t>
      </w:r>
      <w:r w:rsidR="000F439D">
        <w:rPr>
          <w:lang w:val="fr-CA"/>
        </w:rPr>
        <w:t>qui aborde</w:t>
      </w:r>
      <w:r w:rsidR="00EF40EA" w:rsidRPr="00D949C5">
        <w:rPr>
          <w:lang w:val="fr-CA"/>
        </w:rPr>
        <w:t xml:space="preserve"> la questi</w:t>
      </w:r>
      <w:r w:rsidRPr="00D949C5">
        <w:rPr>
          <w:lang w:val="fr-CA"/>
        </w:rPr>
        <w:t xml:space="preserve">on </w:t>
      </w:r>
      <w:r w:rsidR="00D949C5">
        <w:rPr>
          <w:lang w:val="fr-CA"/>
        </w:rPr>
        <w:t>des</w:t>
      </w:r>
      <w:r w:rsidRPr="00D949C5">
        <w:rPr>
          <w:lang w:val="fr-CA"/>
        </w:rPr>
        <w:t xml:space="preserve"> réductions globales durables au titre du Protocol</w:t>
      </w:r>
      <w:r w:rsidR="00EF40EA" w:rsidRPr="00D949C5">
        <w:rPr>
          <w:lang w:val="fr-CA"/>
        </w:rPr>
        <w:t>e de Montréal, notamment le suiv</w:t>
      </w:r>
      <w:r w:rsidRPr="00D949C5">
        <w:rPr>
          <w:lang w:val="fr-CA"/>
        </w:rPr>
        <w:t xml:space="preserve">i et le retour à la conformité grâce aux processus </w:t>
      </w:r>
      <w:proofErr w:type="gramStart"/>
      <w:r w:rsidR="00EF40EA" w:rsidRPr="00D949C5">
        <w:rPr>
          <w:lang w:val="fr-CA"/>
        </w:rPr>
        <w:t>nationaux?</w:t>
      </w:r>
      <w:proofErr w:type="gramEnd"/>
      <w:r w:rsidR="00EF40EA" w:rsidRPr="00D949C5">
        <w:rPr>
          <w:lang w:val="fr-CA"/>
        </w:rPr>
        <w:t xml:space="preserve"> Est-ce que des sanctions sont</w:t>
      </w:r>
      <w:r w:rsidR="000F439D">
        <w:rPr>
          <w:lang w:val="fr-CA"/>
        </w:rPr>
        <w:t xml:space="preserve"> imposées aux pays qui violent c</w:t>
      </w:r>
      <w:r w:rsidR="00EF40EA" w:rsidRPr="00D949C5">
        <w:rPr>
          <w:lang w:val="fr-CA"/>
        </w:rPr>
        <w:t xml:space="preserve">es </w:t>
      </w:r>
      <w:proofErr w:type="gramStart"/>
      <w:r w:rsidR="00EF40EA" w:rsidRPr="00D949C5">
        <w:rPr>
          <w:lang w:val="fr-CA"/>
        </w:rPr>
        <w:t>réglementations?</w:t>
      </w:r>
      <w:proofErr w:type="gramEnd"/>
    </w:p>
    <w:p w14:paraId="4DBA6FEB" w14:textId="7F626813" w:rsidR="00EF40EA" w:rsidRPr="00D949C5" w:rsidRDefault="00EF40EA" w:rsidP="00EF40EA">
      <w:pPr>
        <w:pStyle w:val="Heading1"/>
        <w:rPr>
          <w:lang w:val="fr-CA"/>
        </w:rPr>
      </w:pPr>
      <w:r w:rsidRPr="00D949C5">
        <w:rPr>
          <w:lang w:val="fr-CA"/>
        </w:rPr>
        <w:t xml:space="preserve">Quel est le rôle des organisations et associations professionnelles qui contribuent aux lois et au suivi de leur </w:t>
      </w:r>
      <w:proofErr w:type="gramStart"/>
      <w:r w:rsidRPr="00D949C5">
        <w:rPr>
          <w:lang w:val="fr-CA"/>
        </w:rPr>
        <w:t>application?</w:t>
      </w:r>
      <w:proofErr w:type="gramEnd"/>
    </w:p>
    <w:p w14:paraId="7D3FB016" w14:textId="0F5340B2" w:rsidR="00EF40EA" w:rsidRPr="00D949C5" w:rsidRDefault="00EF40EA" w:rsidP="00EF40EA">
      <w:pPr>
        <w:rPr>
          <w:lang w:val="fr-CA"/>
        </w:rPr>
      </w:pPr>
      <w:r w:rsidRPr="00D949C5">
        <w:rPr>
          <w:u w:val="single"/>
          <w:lang w:val="fr-CA"/>
        </w:rPr>
        <w:t>Suivi et remise de rapports</w:t>
      </w:r>
    </w:p>
    <w:p w14:paraId="07E59428" w14:textId="77777777" w:rsidR="00EF40EA" w:rsidRPr="00D949C5" w:rsidRDefault="00EF40EA" w:rsidP="00EF40EA">
      <w:pPr>
        <w:rPr>
          <w:lang w:val="fr-CA"/>
        </w:rPr>
      </w:pPr>
    </w:p>
    <w:p w14:paraId="4382DEC1" w14:textId="2B3B0C3C" w:rsidR="00EF40EA" w:rsidRPr="00D949C5" w:rsidRDefault="00EF40EA" w:rsidP="000A5F3F">
      <w:pPr>
        <w:pStyle w:val="Heading1"/>
        <w:rPr>
          <w:lang w:val="fr-CA"/>
        </w:rPr>
      </w:pPr>
      <w:r w:rsidRPr="00D949C5">
        <w:rPr>
          <w:lang w:val="fr-CA"/>
        </w:rPr>
        <w:t xml:space="preserve">Quels sont les mécanismes en place pour assurer le suivi de l’élimination des substances réglementées </w:t>
      </w:r>
      <w:r w:rsidR="00D445E4" w:rsidRPr="00D949C5">
        <w:rPr>
          <w:lang w:val="fr-CA"/>
        </w:rPr>
        <w:t xml:space="preserve">après l’achèvement des </w:t>
      </w:r>
      <w:proofErr w:type="gramStart"/>
      <w:r w:rsidR="00D445E4" w:rsidRPr="00D949C5">
        <w:rPr>
          <w:lang w:val="fr-CA"/>
        </w:rPr>
        <w:t>projets?</w:t>
      </w:r>
      <w:proofErr w:type="gramEnd"/>
    </w:p>
    <w:p w14:paraId="11B36BCB" w14:textId="1844E96E" w:rsidR="00D445E4" w:rsidRPr="00D949C5" w:rsidRDefault="00D445E4" w:rsidP="00D445E4">
      <w:pPr>
        <w:pStyle w:val="Heading1"/>
        <w:rPr>
          <w:lang w:val="fr-CA"/>
        </w:rPr>
      </w:pPr>
      <w:r w:rsidRPr="00D949C5">
        <w:rPr>
          <w:lang w:val="fr-CA"/>
        </w:rPr>
        <w:t xml:space="preserve">Quelles institutions participent actuellement à ces activités de </w:t>
      </w:r>
      <w:proofErr w:type="gramStart"/>
      <w:r w:rsidRPr="00D949C5">
        <w:rPr>
          <w:lang w:val="fr-CA"/>
        </w:rPr>
        <w:t>suivi?</w:t>
      </w:r>
      <w:proofErr w:type="gramEnd"/>
      <w:r w:rsidRPr="00D949C5">
        <w:rPr>
          <w:lang w:val="fr-CA"/>
        </w:rPr>
        <w:t xml:space="preserve"> En quelle capacité (p. ex., personnel technique, accès aux données et aux protocoles de suivi) et comment peut-on </w:t>
      </w:r>
      <w:proofErr w:type="gramStart"/>
      <w:r w:rsidRPr="00D949C5">
        <w:rPr>
          <w:lang w:val="fr-CA"/>
        </w:rPr>
        <w:t>l’améliorer?</w:t>
      </w:r>
      <w:proofErr w:type="gramEnd"/>
    </w:p>
    <w:p w14:paraId="26BBCDC5" w14:textId="7F51A915" w:rsidR="00D445E4" w:rsidRPr="00D949C5" w:rsidRDefault="00D445E4" w:rsidP="00D445E4">
      <w:pPr>
        <w:pStyle w:val="Heading1"/>
        <w:rPr>
          <w:lang w:val="fr-CA"/>
        </w:rPr>
      </w:pPr>
      <w:r w:rsidRPr="00D949C5">
        <w:rPr>
          <w:lang w:val="fr-CA"/>
        </w:rPr>
        <w:t>Les services douaniers sont-ils dotés d’un syst</w:t>
      </w:r>
      <w:r w:rsidR="00EF540D" w:rsidRPr="00D949C5">
        <w:rPr>
          <w:lang w:val="fr-CA"/>
        </w:rPr>
        <w:t>ème de ge</w:t>
      </w:r>
      <w:r w:rsidRPr="00D949C5">
        <w:rPr>
          <w:lang w:val="fr-CA"/>
        </w:rPr>
        <w:t xml:space="preserve">stion de l’information financé par le Fonds </w:t>
      </w:r>
      <w:proofErr w:type="gramStart"/>
      <w:r w:rsidRPr="00D949C5">
        <w:rPr>
          <w:lang w:val="fr-CA"/>
        </w:rPr>
        <w:t>multilatéral?</w:t>
      </w:r>
      <w:proofErr w:type="gramEnd"/>
      <w:r w:rsidRPr="00D949C5">
        <w:rPr>
          <w:lang w:val="fr-CA"/>
        </w:rPr>
        <w:t xml:space="preserve"> Ont-ils des politiques à long terme sur le suivi et la remise de </w:t>
      </w:r>
      <w:proofErr w:type="gramStart"/>
      <w:r w:rsidRPr="00D949C5">
        <w:rPr>
          <w:lang w:val="fr-CA"/>
        </w:rPr>
        <w:t>rapports?</w:t>
      </w:r>
      <w:proofErr w:type="gramEnd"/>
    </w:p>
    <w:p w14:paraId="6AAB8D4A" w14:textId="62EC81A4" w:rsidR="00EF540D" w:rsidRPr="00D949C5" w:rsidRDefault="00EF540D" w:rsidP="00EF540D">
      <w:pPr>
        <w:pStyle w:val="Heading1"/>
        <w:rPr>
          <w:lang w:val="fr-CA"/>
        </w:rPr>
      </w:pPr>
      <w:r w:rsidRPr="00D949C5">
        <w:rPr>
          <w:lang w:val="fr-CA"/>
        </w:rPr>
        <w:lastRenderedPageBreak/>
        <w:t xml:space="preserve">Quel est le rôle exact des Bureaux nationaux de l’ozone et des Bureaux de gestion de projets concernant le suivi de l’élimination des </w:t>
      </w:r>
      <w:proofErr w:type="gramStart"/>
      <w:r w:rsidRPr="00D949C5">
        <w:rPr>
          <w:lang w:val="fr-CA"/>
        </w:rPr>
        <w:t>SAO?</w:t>
      </w:r>
      <w:proofErr w:type="gramEnd"/>
      <w:r w:rsidRPr="00D949C5">
        <w:rPr>
          <w:lang w:val="fr-CA"/>
        </w:rPr>
        <w:t xml:space="preserve"> Les Bureaux nationaux de l’ozone ont-ils des capacités de suivi et de communication des données ou un système de gestion de l’information partagé avec d’autres parties prenantes</w:t>
      </w:r>
      <w:r w:rsidR="00D85D9B">
        <w:rPr>
          <w:lang w:val="fr-CA"/>
        </w:rPr>
        <w:t xml:space="preserve"> ou auquel celles-ci ont </w:t>
      </w:r>
      <w:proofErr w:type="gramStart"/>
      <w:r w:rsidR="00D85D9B">
        <w:rPr>
          <w:lang w:val="fr-CA"/>
        </w:rPr>
        <w:t>accès</w:t>
      </w:r>
      <w:r w:rsidRPr="00D949C5">
        <w:rPr>
          <w:lang w:val="fr-CA"/>
        </w:rPr>
        <w:t>?</w:t>
      </w:r>
      <w:proofErr w:type="gramEnd"/>
      <w:r w:rsidRPr="00D949C5">
        <w:rPr>
          <w:lang w:val="fr-CA"/>
        </w:rPr>
        <w:t xml:space="preserve"> Comment peut-on améliorer la </w:t>
      </w:r>
      <w:proofErr w:type="gramStart"/>
      <w:r w:rsidRPr="00D949C5">
        <w:rPr>
          <w:lang w:val="fr-CA"/>
        </w:rPr>
        <w:t>situation?</w:t>
      </w:r>
      <w:proofErr w:type="gramEnd"/>
    </w:p>
    <w:p w14:paraId="58B2F82C" w14:textId="26C1CF67" w:rsidR="00EF540D" w:rsidRPr="00D949C5" w:rsidRDefault="00534416" w:rsidP="00EF540D">
      <w:pPr>
        <w:rPr>
          <w:lang w:val="fr-CA"/>
        </w:rPr>
      </w:pPr>
      <w:r w:rsidRPr="00D949C5">
        <w:rPr>
          <w:u w:val="single"/>
          <w:lang w:val="fr-CA"/>
        </w:rPr>
        <w:t>Rôle et responsabilités des Bureaux nationaux de l’ozone et rôle du renforcement des institutions</w:t>
      </w:r>
    </w:p>
    <w:p w14:paraId="743E6746" w14:textId="77777777" w:rsidR="00534416" w:rsidRPr="00D949C5" w:rsidRDefault="00534416" w:rsidP="00EF540D">
      <w:pPr>
        <w:rPr>
          <w:lang w:val="fr-CA"/>
        </w:rPr>
      </w:pPr>
    </w:p>
    <w:p w14:paraId="190CE5DD" w14:textId="539BC5AD" w:rsidR="00534416" w:rsidRPr="00D949C5" w:rsidRDefault="00534416" w:rsidP="000A5F3F">
      <w:pPr>
        <w:pStyle w:val="Heading1"/>
        <w:rPr>
          <w:lang w:val="fr-CA"/>
        </w:rPr>
      </w:pPr>
      <w:r w:rsidRPr="00D949C5">
        <w:rPr>
          <w:lang w:val="fr-CA"/>
        </w:rPr>
        <w:t xml:space="preserve">Où sont situés les Bureaux nationaux de l’ozone dans l’organigramme institutionnel du gouvernement et y a-t-il des mesures en place pour assurer leur fonctionnement </w:t>
      </w:r>
      <w:proofErr w:type="gramStart"/>
      <w:r w:rsidRPr="00D949C5">
        <w:rPr>
          <w:lang w:val="fr-CA"/>
        </w:rPr>
        <w:t>continu?</w:t>
      </w:r>
      <w:proofErr w:type="gramEnd"/>
      <w:r w:rsidRPr="00D949C5">
        <w:rPr>
          <w:lang w:val="fr-CA"/>
        </w:rPr>
        <w:t xml:space="preserve"> </w:t>
      </w:r>
      <w:r w:rsidR="0038618E" w:rsidRPr="00D949C5">
        <w:rPr>
          <w:lang w:val="fr-CA"/>
        </w:rPr>
        <w:t xml:space="preserve">Quelles activités sont entreprises pour renforcer les Bureaux nationaux de </w:t>
      </w:r>
      <w:proofErr w:type="gramStart"/>
      <w:r w:rsidR="0038618E" w:rsidRPr="00D949C5">
        <w:rPr>
          <w:lang w:val="fr-CA"/>
        </w:rPr>
        <w:t>l’ozone?</w:t>
      </w:r>
      <w:proofErr w:type="gramEnd"/>
      <w:r w:rsidR="0038618E" w:rsidRPr="00D949C5">
        <w:rPr>
          <w:lang w:val="fr-CA"/>
        </w:rPr>
        <w:t xml:space="preserve"> Quel est le taux de roulement du personnel dans les Bureaux nationaux de l’ozone et quelles mesures sont prises pour assurer le maintien des connaissances au sein des Bureaux nationaux de </w:t>
      </w:r>
      <w:proofErr w:type="gramStart"/>
      <w:r w:rsidR="0038618E" w:rsidRPr="00D949C5">
        <w:rPr>
          <w:lang w:val="fr-CA"/>
        </w:rPr>
        <w:t>l’ozone?</w:t>
      </w:r>
      <w:proofErr w:type="gramEnd"/>
    </w:p>
    <w:p w14:paraId="19FB68C6" w14:textId="166D6F04" w:rsidR="0038618E" w:rsidRPr="00D949C5" w:rsidRDefault="0038618E" w:rsidP="0038618E">
      <w:pPr>
        <w:pStyle w:val="Heading1"/>
        <w:rPr>
          <w:lang w:val="fr-CA"/>
        </w:rPr>
      </w:pPr>
      <w:r w:rsidRPr="00D949C5">
        <w:rPr>
          <w:lang w:val="fr-CA"/>
        </w:rPr>
        <w:t xml:space="preserve">Les mécanismes actuels de suivi et de remise de rapports sur la mise en œuvre du Protocole de Montréal sont-ils renforcés afin de pouvoir fonctionner après l’achèvement des projets financés par le Protocole de </w:t>
      </w:r>
      <w:proofErr w:type="gramStart"/>
      <w:r w:rsidRPr="00D949C5">
        <w:rPr>
          <w:lang w:val="fr-CA"/>
        </w:rPr>
        <w:t>Montréal?</w:t>
      </w:r>
      <w:proofErr w:type="gramEnd"/>
      <w:r w:rsidRPr="00D949C5">
        <w:rPr>
          <w:lang w:val="fr-CA"/>
        </w:rPr>
        <w:t xml:space="preserve"> Quelles sont les activités de renforcement des institutions organisées à ces </w:t>
      </w:r>
      <w:proofErr w:type="gramStart"/>
      <w:r w:rsidRPr="00D949C5">
        <w:rPr>
          <w:lang w:val="fr-CA"/>
        </w:rPr>
        <w:t>fins?</w:t>
      </w:r>
      <w:proofErr w:type="gramEnd"/>
      <w:r w:rsidRPr="00D949C5">
        <w:rPr>
          <w:lang w:val="fr-CA"/>
        </w:rPr>
        <w:t xml:space="preserve"> Quelles autres institutions participent à ce </w:t>
      </w:r>
      <w:proofErr w:type="gramStart"/>
      <w:r w:rsidRPr="00D949C5">
        <w:rPr>
          <w:lang w:val="fr-CA"/>
        </w:rPr>
        <w:t>processus?</w:t>
      </w:r>
      <w:proofErr w:type="gramEnd"/>
    </w:p>
    <w:p w14:paraId="7F489BE1" w14:textId="3B6D3480" w:rsidR="0038618E" w:rsidRPr="00D949C5" w:rsidRDefault="009D2720" w:rsidP="0038618E">
      <w:pPr>
        <w:pStyle w:val="Heading1"/>
        <w:rPr>
          <w:lang w:val="fr-CA"/>
        </w:rPr>
      </w:pPr>
      <w:r w:rsidRPr="00D949C5">
        <w:rPr>
          <w:lang w:val="fr-CA"/>
        </w:rPr>
        <w:t xml:space="preserve">Comment le Programme d’aide à la conformité du PNUE soutient-il le renforcement des institutions existantes et contribue-t-il à leur </w:t>
      </w:r>
      <w:proofErr w:type="gramStart"/>
      <w:r w:rsidRPr="00D949C5">
        <w:rPr>
          <w:lang w:val="fr-CA"/>
        </w:rPr>
        <w:t>pérennité?</w:t>
      </w:r>
      <w:proofErr w:type="gramEnd"/>
      <w:r w:rsidRPr="00D949C5">
        <w:rPr>
          <w:lang w:val="fr-CA"/>
        </w:rPr>
        <w:t xml:space="preserve"> Comment le Programme d’aide à la conformité aide-t-il les pays à assurer leur propre conformité aux Protocole de </w:t>
      </w:r>
      <w:proofErr w:type="gramStart"/>
      <w:r w:rsidRPr="00D949C5">
        <w:rPr>
          <w:lang w:val="fr-CA"/>
        </w:rPr>
        <w:t>Montréal?</w:t>
      </w:r>
      <w:proofErr w:type="gramEnd"/>
    </w:p>
    <w:p w14:paraId="6783E60B" w14:textId="26366458" w:rsidR="009D2720" w:rsidRPr="00D949C5" w:rsidRDefault="009D2720" w:rsidP="009D2720">
      <w:pPr>
        <w:rPr>
          <w:lang w:val="fr-CA"/>
        </w:rPr>
      </w:pPr>
      <w:r w:rsidRPr="00D949C5">
        <w:rPr>
          <w:u w:val="single"/>
          <w:lang w:val="fr-CA"/>
        </w:rPr>
        <w:t>Rôle et responsabilités des Bureaux de gestion de projets</w:t>
      </w:r>
    </w:p>
    <w:p w14:paraId="370F8045" w14:textId="77777777" w:rsidR="009D2720" w:rsidRPr="00D949C5" w:rsidRDefault="009D2720" w:rsidP="009D2720">
      <w:pPr>
        <w:rPr>
          <w:lang w:val="fr-CA"/>
        </w:rPr>
      </w:pPr>
    </w:p>
    <w:p w14:paraId="68B897BA" w14:textId="1C97CE02" w:rsidR="009D2720" w:rsidRPr="00D949C5" w:rsidRDefault="001B1973" w:rsidP="000A5F3F">
      <w:pPr>
        <w:pStyle w:val="Heading1"/>
        <w:rPr>
          <w:lang w:val="fr-CA"/>
        </w:rPr>
      </w:pPr>
      <w:r w:rsidRPr="00D949C5">
        <w:rPr>
          <w:lang w:val="fr-CA"/>
        </w:rPr>
        <w:t xml:space="preserve">Est-ce que des mesures sont en place afin de maintenir et de transférer les connaissances et les capacités des Bureaux de gestion de projets aux Bureaux nationaux de l’ozone une fois l’Accord avec le Comité exécutif </w:t>
      </w:r>
      <w:proofErr w:type="gramStart"/>
      <w:r w:rsidRPr="00D949C5">
        <w:rPr>
          <w:lang w:val="fr-CA"/>
        </w:rPr>
        <w:t>échu?</w:t>
      </w:r>
      <w:proofErr w:type="gramEnd"/>
    </w:p>
    <w:p w14:paraId="36D1E49E" w14:textId="06C6E98A" w:rsidR="001B1973" w:rsidRPr="00D949C5" w:rsidRDefault="001B1973" w:rsidP="001B1973">
      <w:pPr>
        <w:pStyle w:val="Heading1"/>
        <w:rPr>
          <w:lang w:val="fr-CA"/>
        </w:rPr>
      </w:pPr>
      <w:r w:rsidRPr="00D949C5">
        <w:rPr>
          <w:lang w:val="fr-CA"/>
        </w:rPr>
        <w:t xml:space="preserve">Les Bureaux de gestion de projets participent-ils à l’établissement de politiques, de lois et de réglementations concernant la réduction globale </w:t>
      </w:r>
      <w:proofErr w:type="gramStart"/>
      <w:r w:rsidRPr="00D949C5">
        <w:rPr>
          <w:lang w:val="fr-CA"/>
        </w:rPr>
        <w:t>durable?</w:t>
      </w:r>
      <w:proofErr w:type="gramEnd"/>
    </w:p>
    <w:p w14:paraId="54803B3C" w14:textId="1091E999" w:rsidR="001B1973" w:rsidRPr="00D949C5" w:rsidRDefault="001B1973" w:rsidP="001B1973">
      <w:pPr>
        <w:rPr>
          <w:lang w:val="fr-CA"/>
        </w:rPr>
      </w:pPr>
      <w:r w:rsidRPr="00D949C5">
        <w:rPr>
          <w:u w:val="single"/>
          <w:lang w:val="fr-CA"/>
        </w:rPr>
        <w:t>Production, consommation et accumulation de stocks</w:t>
      </w:r>
    </w:p>
    <w:p w14:paraId="21BEF5C4" w14:textId="77777777" w:rsidR="001B1973" w:rsidRPr="00D949C5" w:rsidRDefault="001B1973" w:rsidP="001B1973">
      <w:pPr>
        <w:rPr>
          <w:lang w:val="fr-CA"/>
        </w:rPr>
      </w:pPr>
    </w:p>
    <w:p w14:paraId="48BB4229" w14:textId="16E41208" w:rsidR="001B1973" w:rsidRPr="00D949C5" w:rsidRDefault="00F25E52" w:rsidP="000A5F3F">
      <w:pPr>
        <w:pStyle w:val="Heading1"/>
        <w:rPr>
          <w:lang w:val="fr-CA"/>
        </w:rPr>
      </w:pPr>
      <w:r w:rsidRPr="00D949C5">
        <w:rPr>
          <w:lang w:val="fr-CA"/>
        </w:rPr>
        <w:t xml:space="preserve">Existe-t-il une base de données des entreprises de production et des chaînes dont le démantèlement a été </w:t>
      </w:r>
      <w:proofErr w:type="gramStart"/>
      <w:r w:rsidRPr="00D949C5">
        <w:rPr>
          <w:lang w:val="fr-CA"/>
        </w:rPr>
        <w:t>financé?</w:t>
      </w:r>
      <w:proofErr w:type="gramEnd"/>
      <w:r w:rsidRPr="00D949C5">
        <w:rPr>
          <w:lang w:val="fr-CA"/>
        </w:rPr>
        <w:t xml:space="preserve"> Existe-t-il un mécanisme de suivi des chaînes dont la fermeture a été </w:t>
      </w:r>
      <w:proofErr w:type="gramStart"/>
      <w:r w:rsidRPr="00D949C5">
        <w:rPr>
          <w:lang w:val="fr-CA"/>
        </w:rPr>
        <w:t>financée?</w:t>
      </w:r>
      <w:proofErr w:type="gramEnd"/>
      <w:r w:rsidRPr="00D949C5">
        <w:rPr>
          <w:lang w:val="fr-CA"/>
        </w:rPr>
        <w:t xml:space="preserve"> En ce qui concerne les chaînes de production qui n’ont pas été fermées car elles ne produisaient que des sub</w:t>
      </w:r>
      <w:r w:rsidR="00FD5B18">
        <w:rPr>
          <w:lang w:val="fr-CA"/>
        </w:rPr>
        <w:t>stances réglementées à des fins</w:t>
      </w:r>
      <w:r w:rsidRPr="00D949C5">
        <w:rPr>
          <w:lang w:val="fr-CA"/>
        </w:rPr>
        <w:t xml:space="preserve"> profitant d’une dérogation, comment assure-t-on le suivi de cett</w:t>
      </w:r>
      <w:r w:rsidR="00A83A2A" w:rsidRPr="00D949C5">
        <w:rPr>
          <w:lang w:val="fr-CA"/>
        </w:rPr>
        <w:t>e</w:t>
      </w:r>
      <w:r w:rsidRPr="00D949C5">
        <w:rPr>
          <w:lang w:val="fr-CA"/>
        </w:rPr>
        <w:t xml:space="preserve"> production afin d’éviter </w:t>
      </w:r>
      <w:r w:rsidR="00A83A2A" w:rsidRPr="00D949C5">
        <w:rPr>
          <w:lang w:val="fr-CA"/>
        </w:rPr>
        <w:t>que cette producti</w:t>
      </w:r>
      <w:r w:rsidRPr="00D949C5">
        <w:rPr>
          <w:lang w:val="fr-CA"/>
        </w:rPr>
        <w:t xml:space="preserve">on </w:t>
      </w:r>
      <w:r w:rsidR="00A83A2A" w:rsidRPr="00D949C5">
        <w:rPr>
          <w:lang w:val="fr-CA"/>
        </w:rPr>
        <w:t xml:space="preserve">soit redirigée </w:t>
      </w:r>
      <w:r w:rsidRPr="00D949C5">
        <w:rPr>
          <w:lang w:val="fr-CA"/>
        </w:rPr>
        <w:t xml:space="preserve">de matière première à </w:t>
      </w:r>
      <w:r w:rsidR="00490ECE">
        <w:rPr>
          <w:lang w:val="fr-CA"/>
        </w:rPr>
        <w:t xml:space="preserve">un </w:t>
      </w:r>
      <w:r w:rsidRPr="00D949C5">
        <w:rPr>
          <w:lang w:val="fr-CA"/>
        </w:rPr>
        <w:t xml:space="preserve">usage </w:t>
      </w:r>
      <w:proofErr w:type="gramStart"/>
      <w:r w:rsidRPr="00D949C5">
        <w:rPr>
          <w:lang w:val="fr-CA"/>
        </w:rPr>
        <w:t>réglementé?</w:t>
      </w:r>
      <w:proofErr w:type="gramEnd"/>
    </w:p>
    <w:p w14:paraId="4EACC905" w14:textId="2E0DED2B" w:rsidR="00A83A2A" w:rsidRPr="00D949C5" w:rsidRDefault="00A83A2A" w:rsidP="00A83A2A">
      <w:pPr>
        <w:pStyle w:val="Heading1"/>
        <w:rPr>
          <w:lang w:val="fr-CA"/>
        </w:rPr>
      </w:pPr>
      <w:r w:rsidRPr="00D949C5">
        <w:rPr>
          <w:lang w:val="fr-CA"/>
        </w:rPr>
        <w:t xml:space="preserve">Combien d’entreprises de fabrication ayant reçu de l’assistance pour la reconversion utilisent encore la substance de remplacement </w:t>
      </w:r>
      <w:proofErr w:type="gramStart"/>
      <w:r w:rsidRPr="00D949C5">
        <w:rPr>
          <w:lang w:val="fr-CA"/>
        </w:rPr>
        <w:t>convenue?</w:t>
      </w:r>
      <w:proofErr w:type="gramEnd"/>
      <w:r w:rsidRPr="00D949C5">
        <w:rPr>
          <w:lang w:val="fr-CA"/>
        </w:rPr>
        <w:t xml:space="preserve"> Quelle information y a-t-il sur les accumulations de stocks de substances réglementées </w:t>
      </w:r>
      <w:proofErr w:type="gramStart"/>
      <w:r w:rsidRPr="00D949C5">
        <w:rPr>
          <w:lang w:val="fr-CA"/>
        </w:rPr>
        <w:t>éliminées?</w:t>
      </w:r>
      <w:proofErr w:type="gramEnd"/>
      <w:r w:rsidRPr="00D949C5">
        <w:rPr>
          <w:lang w:val="fr-CA"/>
        </w:rPr>
        <w:t xml:space="preserve"> Qui effectue le suivi, lorsque ces stocks accumulés font l’objet d’un </w:t>
      </w:r>
      <w:proofErr w:type="gramStart"/>
      <w:r w:rsidRPr="00D949C5">
        <w:rPr>
          <w:lang w:val="fr-CA"/>
        </w:rPr>
        <w:t>suivi?</w:t>
      </w:r>
      <w:proofErr w:type="gramEnd"/>
      <w:r w:rsidRPr="00D949C5">
        <w:rPr>
          <w:lang w:val="fr-CA"/>
        </w:rPr>
        <w:t xml:space="preserve"> Les Bureaux nationaux de l’ozone participent-ils à ce </w:t>
      </w:r>
      <w:proofErr w:type="gramStart"/>
      <w:r w:rsidRPr="00D949C5">
        <w:rPr>
          <w:lang w:val="fr-CA"/>
        </w:rPr>
        <w:t>suivi?</w:t>
      </w:r>
      <w:proofErr w:type="gramEnd"/>
    </w:p>
    <w:p w14:paraId="67504C1B" w14:textId="3638B1F8" w:rsidR="00A83A2A" w:rsidRPr="00D949C5" w:rsidRDefault="00490ECE" w:rsidP="00A83A2A">
      <w:pPr>
        <w:pStyle w:val="Heading1"/>
        <w:rPr>
          <w:lang w:val="fr-CA"/>
        </w:rPr>
      </w:pPr>
      <w:r>
        <w:rPr>
          <w:lang w:val="fr-CA"/>
        </w:rPr>
        <w:t>Est-ce que des</w:t>
      </w:r>
      <w:r w:rsidR="00D04EE1" w:rsidRPr="00D949C5">
        <w:rPr>
          <w:lang w:val="fr-CA"/>
        </w:rPr>
        <w:t xml:space="preserve"> SAO </w:t>
      </w:r>
      <w:r>
        <w:rPr>
          <w:lang w:val="fr-CA"/>
        </w:rPr>
        <w:t>ont</w:t>
      </w:r>
      <w:r w:rsidR="00D04EE1" w:rsidRPr="00D949C5">
        <w:rPr>
          <w:lang w:val="fr-CA"/>
        </w:rPr>
        <w:t xml:space="preserve"> été </w:t>
      </w:r>
      <w:proofErr w:type="gramStart"/>
      <w:r w:rsidR="00D04EE1" w:rsidRPr="00D949C5">
        <w:rPr>
          <w:lang w:val="fr-CA"/>
        </w:rPr>
        <w:t>récupérées?</w:t>
      </w:r>
      <w:proofErr w:type="gramEnd"/>
      <w:r w:rsidR="00D04EE1" w:rsidRPr="00D949C5">
        <w:rPr>
          <w:lang w:val="fr-CA"/>
        </w:rPr>
        <w:t xml:space="preserve"> </w:t>
      </w:r>
      <w:proofErr w:type="spellStart"/>
      <w:r w:rsidR="00D04EE1" w:rsidRPr="00D949C5">
        <w:rPr>
          <w:lang w:val="fr-CA"/>
        </w:rPr>
        <w:t>Ont-elles</w:t>
      </w:r>
      <w:proofErr w:type="spellEnd"/>
      <w:r w:rsidR="00D04EE1" w:rsidRPr="00D949C5">
        <w:rPr>
          <w:lang w:val="fr-CA"/>
        </w:rPr>
        <w:t xml:space="preserve"> été détruites sur place ou expédiées à l’étranger pour </w:t>
      </w:r>
      <w:r>
        <w:rPr>
          <w:lang w:val="fr-CA"/>
        </w:rPr>
        <w:t xml:space="preserve">y être </w:t>
      </w:r>
      <w:proofErr w:type="gramStart"/>
      <w:r>
        <w:rPr>
          <w:lang w:val="fr-CA"/>
        </w:rPr>
        <w:t>détruites</w:t>
      </w:r>
      <w:r w:rsidR="00D04EE1" w:rsidRPr="00D949C5">
        <w:rPr>
          <w:lang w:val="fr-CA"/>
        </w:rPr>
        <w:t>?</w:t>
      </w:r>
      <w:proofErr w:type="gramEnd"/>
      <w:r w:rsidR="00D04EE1" w:rsidRPr="00D949C5">
        <w:rPr>
          <w:lang w:val="fr-CA"/>
        </w:rPr>
        <w:t xml:space="preserve"> Les usines de destruction </w:t>
      </w:r>
      <w:proofErr w:type="spellStart"/>
      <w:r w:rsidR="00D04EE1" w:rsidRPr="00D949C5">
        <w:rPr>
          <w:lang w:val="fr-CA"/>
        </w:rPr>
        <w:t>ont-elles</w:t>
      </w:r>
      <w:proofErr w:type="spellEnd"/>
      <w:r w:rsidR="00D04EE1" w:rsidRPr="00D949C5">
        <w:rPr>
          <w:lang w:val="fr-CA"/>
        </w:rPr>
        <w:t xml:space="preserve"> une viabilité financière </w:t>
      </w:r>
      <w:r w:rsidR="00186DF0">
        <w:rPr>
          <w:lang w:val="fr-CA"/>
        </w:rPr>
        <w:t>leur permettant de</w:t>
      </w:r>
      <w:r w:rsidR="00D04EE1" w:rsidRPr="00D949C5">
        <w:rPr>
          <w:lang w:val="fr-CA"/>
        </w:rPr>
        <w:t xml:space="preserve"> continuer la destruction après l’achèvement du </w:t>
      </w:r>
      <w:proofErr w:type="gramStart"/>
      <w:r w:rsidR="00D04EE1" w:rsidRPr="00D949C5">
        <w:rPr>
          <w:lang w:val="fr-CA"/>
        </w:rPr>
        <w:t>projet?</w:t>
      </w:r>
      <w:proofErr w:type="gramEnd"/>
      <w:r w:rsidR="00D04EE1" w:rsidRPr="00D949C5">
        <w:rPr>
          <w:lang w:val="fr-CA"/>
        </w:rPr>
        <w:t xml:space="preserve"> Comment est-elle </w:t>
      </w:r>
      <w:proofErr w:type="gramStart"/>
      <w:r w:rsidR="00D04EE1" w:rsidRPr="00D949C5">
        <w:rPr>
          <w:lang w:val="fr-CA"/>
        </w:rPr>
        <w:t>assurée?</w:t>
      </w:r>
      <w:proofErr w:type="gramEnd"/>
    </w:p>
    <w:p w14:paraId="267FEA3F" w14:textId="7C218A48" w:rsidR="00D04EE1" w:rsidRPr="00D949C5" w:rsidRDefault="00D04EE1" w:rsidP="00D04EE1">
      <w:pPr>
        <w:rPr>
          <w:lang w:val="fr-CA"/>
        </w:rPr>
      </w:pPr>
      <w:r w:rsidRPr="00D949C5">
        <w:rPr>
          <w:u w:val="single"/>
          <w:lang w:val="fr-CA"/>
        </w:rPr>
        <w:t>Parties prenantes</w:t>
      </w:r>
    </w:p>
    <w:p w14:paraId="2DC2E085" w14:textId="77777777" w:rsidR="00D04EE1" w:rsidRPr="00D949C5" w:rsidRDefault="00D04EE1" w:rsidP="00D04EE1">
      <w:pPr>
        <w:rPr>
          <w:lang w:val="fr-CA"/>
        </w:rPr>
      </w:pPr>
    </w:p>
    <w:p w14:paraId="282C2B9B" w14:textId="47AE0805" w:rsidR="00D04EE1" w:rsidRPr="00D949C5" w:rsidRDefault="00D04EE1" w:rsidP="000A5F3F">
      <w:pPr>
        <w:pStyle w:val="Heading1"/>
        <w:rPr>
          <w:lang w:val="fr-CA"/>
        </w:rPr>
      </w:pPr>
      <w:r w:rsidRPr="00D949C5">
        <w:rPr>
          <w:lang w:val="fr-CA"/>
        </w:rPr>
        <w:t xml:space="preserve">Quel </w:t>
      </w:r>
      <w:r w:rsidR="00186DF0">
        <w:rPr>
          <w:lang w:val="fr-CA"/>
        </w:rPr>
        <w:t>est le mécanisme est utilisé pour</w:t>
      </w:r>
      <w:r w:rsidRPr="00D949C5">
        <w:rPr>
          <w:lang w:val="fr-CA"/>
        </w:rPr>
        <w:t xml:space="preserve"> coord</w:t>
      </w:r>
      <w:r w:rsidR="00FD5B18">
        <w:rPr>
          <w:lang w:val="fr-CA"/>
        </w:rPr>
        <w:t>on</w:t>
      </w:r>
      <w:r w:rsidRPr="00D949C5">
        <w:rPr>
          <w:lang w:val="fr-CA"/>
        </w:rPr>
        <w:t>n</w:t>
      </w:r>
      <w:r w:rsidR="00186DF0">
        <w:rPr>
          <w:lang w:val="fr-CA"/>
        </w:rPr>
        <w:t>er</w:t>
      </w:r>
      <w:r w:rsidRPr="00D949C5">
        <w:rPr>
          <w:lang w:val="fr-CA"/>
        </w:rPr>
        <w:t xml:space="preserve"> les parties prenantes (institutions gouvernementales, l’industrie, les agences de services, les institutions techniques/professionnelles, les organismes de réglementation associés aux normes et les organismes de certification</w:t>
      </w:r>
      <w:proofErr w:type="gramStart"/>
      <w:r w:rsidRPr="00D949C5">
        <w:rPr>
          <w:lang w:val="fr-CA"/>
        </w:rPr>
        <w:t>)?</w:t>
      </w:r>
      <w:proofErr w:type="gramEnd"/>
      <w:r w:rsidRPr="00D949C5">
        <w:rPr>
          <w:lang w:val="fr-CA"/>
        </w:rPr>
        <w:t xml:space="preserve"> La coordination </w:t>
      </w:r>
      <w:r w:rsidRPr="00D949C5">
        <w:rPr>
          <w:lang w:val="fr-CA"/>
        </w:rPr>
        <w:lastRenderedPageBreak/>
        <w:t xml:space="preserve">évolue-t-elle au fil des ans et si oui, </w:t>
      </w:r>
      <w:proofErr w:type="gramStart"/>
      <w:r w:rsidRPr="00D949C5">
        <w:rPr>
          <w:lang w:val="fr-CA"/>
        </w:rPr>
        <w:t>comment?</w:t>
      </w:r>
      <w:proofErr w:type="gramEnd"/>
      <w:r w:rsidRPr="00D949C5">
        <w:rPr>
          <w:lang w:val="fr-CA"/>
        </w:rPr>
        <w:t xml:space="preserve"> Les Bureaux nationaux de l’ozone jouent-ils un rôle dans le processus de </w:t>
      </w:r>
      <w:proofErr w:type="gramStart"/>
      <w:r w:rsidRPr="00D949C5">
        <w:rPr>
          <w:lang w:val="fr-CA"/>
        </w:rPr>
        <w:t>coordination?</w:t>
      </w:r>
      <w:proofErr w:type="gramEnd"/>
    </w:p>
    <w:p w14:paraId="43075C46" w14:textId="1DFFEB00" w:rsidR="00D04EE1" w:rsidRPr="00D949C5" w:rsidRDefault="00F44D30" w:rsidP="00D04EE1">
      <w:pPr>
        <w:pStyle w:val="Heading1"/>
        <w:rPr>
          <w:lang w:val="fr-CA"/>
        </w:rPr>
      </w:pPr>
      <w:r w:rsidRPr="00D949C5">
        <w:rPr>
          <w:lang w:val="fr-CA"/>
        </w:rPr>
        <w:t xml:space="preserve">Quelles </w:t>
      </w:r>
      <w:r w:rsidR="00186DF0">
        <w:rPr>
          <w:lang w:val="fr-CA"/>
        </w:rPr>
        <w:t xml:space="preserve">sont les </w:t>
      </w:r>
      <w:r w:rsidRPr="00D949C5">
        <w:rPr>
          <w:lang w:val="fr-CA"/>
        </w:rPr>
        <w:t xml:space="preserve">mesures prises pour </w:t>
      </w:r>
      <w:r w:rsidR="00186DF0">
        <w:rPr>
          <w:lang w:val="fr-CA"/>
        </w:rPr>
        <w:t xml:space="preserve">intégrer </w:t>
      </w:r>
      <w:r w:rsidRPr="00D949C5">
        <w:rPr>
          <w:lang w:val="fr-CA"/>
        </w:rPr>
        <w:t xml:space="preserve">les questions en lien avec le Protocole de Montréal à la formation des </w:t>
      </w:r>
      <w:proofErr w:type="gramStart"/>
      <w:r w:rsidRPr="00D949C5">
        <w:rPr>
          <w:lang w:val="fr-CA"/>
        </w:rPr>
        <w:t>techniciens?</w:t>
      </w:r>
      <w:proofErr w:type="gramEnd"/>
      <w:r w:rsidRPr="00D949C5">
        <w:rPr>
          <w:lang w:val="fr-CA"/>
        </w:rPr>
        <w:t xml:space="preserve"> Existe-t-il un bassin de formateurs des techniciens d’entretien sur les questions en lien avec le Protocole de </w:t>
      </w:r>
      <w:proofErr w:type="gramStart"/>
      <w:r w:rsidRPr="00D949C5">
        <w:rPr>
          <w:lang w:val="fr-CA"/>
        </w:rPr>
        <w:t>Montréal?</w:t>
      </w:r>
      <w:proofErr w:type="gramEnd"/>
      <w:r w:rsidRPr="00D949C5">
        <w:rPr>
          <w:lang w:val="fr-CA"/>
        </w:rPr>
        <w:t xml:space="preserve"> Existe-t-il un programme de certification des techniciens formés et si oui, comment fonctionne-t-</w:t>
      </w:r>
      <w:proofErr w:type="gramStart"/>
      <w:r w:rsidRPr="00D949C5">
        <w:rPr>
          <w:lang w:val="fr-CA"/>
        </w:rPr>
        <w:t>il?</w:t>
      </w:r>
      <w:proofErr w:type="gramEnd"/>
      <w:r w:rsidRPr="00D949C5">
        <w:rPr>
          <w:lang w:val="fr-CA"/>
        </w:rPr>
        <w:t xml:space="preserve"> Est-ce que des mesures sont en place </w:t>
      </w:r>
      <w:r w:rsidR="001B0D86" w:rsidRPr="00D949C5">
        <w:rPr>
          <w:lang w:val="fr-CA"/>
        </w:rPr>
        <w:t xml:space="preserve">pour vérifier le programme de </w:t>
      </w:r>
      <w:proofErr w:type="gramStart"/>
      <w:r w:rsidR="001B0D86" w:rsidRPr="00D949C5">
        <w:rPr>
          <w:lang w:val="fr-CA"/>
        </w:rPr>
        <w:t>certification?</w:t>
      </w:r>
      <w:proofErr w:type="gramEnd"/>
      <w:r w:rsidR="001B0D86" w:rsidRPr="00D949C5">
        <w:rPr>
          <w:lang w:val="fr-CA"/>
        </w:rPr>
        <w:t xml:space="preserve"> Existe-t-il des données réparties selon le sexe sur les formateurs et les </w:t>
      </w:r>
      <w:proofErr w:type="gramStart"/>
      <w:r w:rsidR="001B0D86" w:rsidRPr="00D949C5">
        <w:rPr>
          <w:lang w:val="fr-CA"/>
        </w:rPr>
        <w:t>stagiaires?</w:t>
      </w:r>
      <w:proofErr w:type="gramEnd"/>
      <w:r w:rsidR="001B0D86" w:rsidRPr="00D949C5">
        <w:rPr>
          <w:lang w:val="fr-CA"/>
        </w:rPr>
        <w:t xml:space="preserve"> Est-ce que des organisations et des associations professionnelles ont été créées et </w:t>
      </w:r>
      <w:proofErr w:type="spellStart"/>
      <w:r w:rsidR="0009086B">
        <w:rPr>
          <w:lang w:val="fr-CA"/>
        </w:rPr>
        <w:t>ont-elles</w:t>
      </w:r>
      <w:proofErr w:type="spellEnd"/>
      <w:r w:rsidR="0009086B">
        <w:rPr>
          <w:lang w:val="fr-CA"/>
        </w:rPr>
        <w:t xml:space="preserve"> la</w:t>
      </w:r>
      <w:r w:rsidR="001B0D86" w:rsidRPr="00D949C5">
        <w:rPr>
          <w:lang w:val="fr-CA"/>
        </w:rPr>
        <w:t xml:space="preserve"> capacité de continuer à former efficacement les techniciens après l’achèvement des projets financ</w:t>
      </w:r>
      <w:r w:rsidR="0009086B">
        <w:rPr>
          <w:lang w:val="fr-CA"/>
        </w:rPr>
        <w:t>és par le Fonds multilatéral (p</w:t>
      </w:r>
      <w:r w:rsidR="001B0D86" w:rsidRPr="00D949C5">
        <w:rPr>
          <w:lang w:val="fr-CA"/>
        </w:rPr>
        <w:t>. ex., associations de réfrigération et de climatisation ou institutions techniques/professionnelles</w:t>
      </w:r>
      <w:proofErr w:type="gramStart"/>
      <w:r w:rsidR="001B0D86" w:rsidRPr="00D949C5">
        <w:rPr>
          <w:lang w:val="fr-CA"/>
        </w:rPr>
        <w:t>)?</w:t>
      </w:r>
      <w:proofErr w:type="gramEnd"/>
    </w:p>
    <w:p w14:paraId="6F2F9FD7" w14:textId="4EF753FB" w:rsidR="001B0D86" w:rsidRPr="00D949C5" w:rsidRDefault="001B0D86" w:rsidP="001B0D86">
      <w:pPr>
        <w:pStyle w:val="Heading1"/>
        <w:rPr>
          <w:lang w:val="fr-CA"/>
        </w:rPr>
      </w:pPr>
      <w:r w:rsidRPr="00D949C5">
        <w:rPr>
          <w:lang w:val="fr-CA"/>
        </w:rPr>
        <w:t xml:space="preserve">Quelles mesures ont été prises pour garantir l’intégration des questions </w:t>
      </w:r>
      <w:r w:rsidR="0009086B">
        <w:rPr>
          <w:lang w:val="fr-CA"/>
        </w:rPr>
        <w:t>liées au</w:t>
      </w:r>
      <w:r w:rsidRPr="00D949C5">
        <w:rPr>
          <w:lang w:val="fr-CA"/>
        </w:rPr>
        <w:t xml:space="preserve"> Protocole de Montréal </w:t>
      </w:r>
      <w:r w:rsidR="005E33F8" w:rsidRPr="00D949C5">
        <w:rPr>
          <w:lang w:val="fr-CA"/>
        </w:rPr>
        <w:t xml:space="preserve">aux cours de formation des douaniers après l’achèvement des projets financés par le Fonds </w:t>
      </w:r>
      <w:proofErr w:type="gramStart"/>
      <w:r w:rsidR="005E33F8" w:rsidRPr="00D949C5">
        <w:rPr>
          <w:lang w:val="fr-CA"/>
        </w:rPr>
        <w:t>multilatéral?</w:t>
      </w:r>
      <w:proofErr w:type="gramEnd"/>
      <w:r w:rsidR="005E33F8" w:rsidRPr="00D949C5">
        <w:rPr>
          <w:lang w:val="fr-CA"/>
        </w:rPr>
        <w:t xml:space="preserve"> Y a-t-il des formateurs pour assurer la formation </w:t>
      </w:r>
      <w:r w:rsidR="0009086B">
        <w:rPr>
          <w:lang w:val="fr-CA"/>
        </w:rPr>
        <w:t>des</w:t>
      </w:r>
      <w:r w:rsidR="005E33F8" w:rsidRPr="00D949C5">
        <w:rPr>
          <w:lang w:val="fr-CA"/>
        </w:rPr>
        <w:t xml:space="preserve"> douaniers sur les questions liées au Protocole de </w:t>
      </w:r>
      <w:proofErr w:type="gramStart"/>
      <w:r w:rsidR="005E33F8" w:rsidRPr="00D949C5">
        <w:rPr>
          <w:lang w:val="fr-CA"/>
        </w:rPr>
        <w:t>Montréal?</w:t>
      </w:r>
      <w:proofErr w:type="gramEnd"/>
      <w:r w:rsidR="005E33F8" w:rsidRPr="00D949C5">
        <w:rPr>
          <w:lang w:val="fr-CA"/>
        </w:rPr>
        <w:t xml:space="preserve"> Y a-t-il une formation de suivi sur les nouveaux développements ou pour les nouveaux </w:t>
      </w:r>
      <w:proofErr w:type="gramStart"/>
      <w:r w:rsidR="005E33F8" w:rsidRPr="00D949C5">
        <w:rPr>
          <w:lang w:val="fr-CA"/>
        </w:rPr>
        <w:t>employés?</w:t>
      </w:r>
      <w:proofErr w:type="gramEnd"/>
    </w:p>
    <w:p w14:paraId="36F8CB5D" w14:textId="36FDF58D" w:rsidR="005E33F8" w:rsidRPr="00D949C5" w:rsidRDefault="005E33F8" w:rsidP="005E33F8">
      <w:pPr>
        <w:rPr>
          <w:lang w:val="fr-CA"/>
        </w:rPr>
      </w:pPr>
      <w:r w:rsidRPr="00D949C5">
        <w:rPr>
          <w:u w:val="single"/>
          <w:lang w:val="fr-CA"/>
        </w:rPr>
        <w:t>Activités de sensibilisation</w:t>
      </w:r>
    </w:p>
    <w:p w14:paraId="47C1FD09" w14:textId="77777777" w:rsidR="005E33F8" w:rsidRPr="00D949C5" w:rsidRDefault="005E33F8" w:rsidP="005E33F8">
      <w:pPr>
        <w:rPr>
          <w:lang w:val="fr-CA"/>
        </w:rPr>
      </w:pPr>
    </w:p>
    <w:p w14:paraId="78152D44" w14:textId="32DFD116" w:rsidR="005E33F8" w:rsidRPr="00D949C5" w:rsidRDefault="005E33F8" w:rsidP="005E33F8">
      <w:pPr>
        <w:pStyle w:val="Heading1"/>
        <w:rPr>
          <w:lang w:val="fr-CA"/>
        </w:rPr>
      </w:pPr>
      <w:r w:rsidRPr="00D949C5">
        <w:rPr>
          <w:lang w:val="fr-CA"/>
        </w:rPr>
        <w:t>Y a-t-il des activités de sensibilisation</w:t>
      </w:r>
      <w:r w:rsidR="00D64E42" w:rsidRPr="00D949C5">
        <w:rPr>
          <w:lang w:val="fr-CA"/>
        </w:rPr>
        <w:t xml:space="preserve"> </w:t>
      </w:r>
      <w:r w:rsidR="0009086B">
        <w:rPr>
          <w:lang w:val="fr-CA"/>
        </w:rPr>
        <w:t>au</w:t>
      </w:r>
      <w:r w:rsidR="00D64E42" w:rsidRPr="00D949C5">
        <w:rPr>
          <w:lang w:val="fr-CA"/>
        </w:rPr>
        <w:t xml:space="preserve"> Protocole de Montréal </w:t>
      </w:r>
      <w:r w:rsidR="0009086B">
        <w:rPr>
          <w:lang w:val="fr-CA"/>
        </w:rPr>
        <w:t>qui ciblent</w:t>
      </w:r>
      <w:r w:rsidR="00D64E42" w:rsidRPr="00D949C5">
        <w:rPr>
          <w:lang w:val="fr-CA"/>
        </w:rPr>
        <w:t xml:space="preserve"> les décideurs, les parties pre</w:t>
      </w:r>
      <w:r w:rsidR="003F20B9" w:rsidRPr="00D949C5">
        <w:rPr>
          <w:lang w:val="fr-CA"/>
        </w:rPr>
        <w:t>n</w:t>
      </w:r>
      <w:r w:rsidR="00D64E42" w:rsidRPr="00D949C5">
        <w:rPr>
          <w:lang w:val="fr-CA"/>
        </w:rPr>
        <w:t>antes et le gran</w:t>
      </w:r>
      <w:r w:rsidR="003F20B9" w:rsidRPr="00D949C5">
        <w:rPr>
          <w:lang w:val="fr-CA"/>
        </w:rPr>
        <w:t>d</w:t>
      </w:r>
      <w:r w:rsidR="00D64E42" w:rsidRPr="00D949C5">
        <w:rPr>
          <w:lang w:val="fr-CA"/>
        </w:rPr>
        <w:t xml:space="preserve"> </w:t>
      </w:r>
      <w:proofErr w:type="gramStart"/>
      <w:r w:rsidR="00D64E42" w:rsidRPr="00D949C5">
        <w:rPr>
          <w:lang w:val="fr-CA"/>
        </w:rPr>
        <w:t>public?</w:t>
      </w:r>
      <w:proofErr w:type="gramEnd"/>
      <w:r w:rsidR="00D64E42" w:rsidRPr="00D949C5">
        <w:rPr>
          <w:lang w:val="fr-CA"/>
        </w:rPr>
        <w:t xml:space="preserve"> Qui les </w:t>
      </w:r>
      <w:proofErr w:type="gramStart"/>
      <w:r w:rsidR="00D64E42" w:rsidRPr="00D949C5">
        <w:rPr>
          <w:lang w:val="fr-CA"/>
        </w:rPr>
        <w:t>organise?</w:t>
      </w:r>
      <w:proofErr w:type="gramEnd"/>
      <w:r w:rsidR="00D64E42" w:rsidRPr="00D949C5">
        <w:rPr>
          <w:lang w:val="fr-CA"/>
        </w:rPr>
        <w:t xml:space="preserve"> Quelle est la participation des Bureaux nationaux de </w:t>
      </w:r>
      <w:proofErr w:type="gramStart"/>
      <w:r w:rsidR="00D64E42" w:rsidRPr="00D949C5">
        <w:rPr>
          <w:lang w:val="fr-CA"/>
        </w:rPr>
        <w:t>l’ozone?</w:t>
      </w:r>
      <w:proofErr w:type="gramEnd"/>
      <w:r w:rsidR="00D64E42" w:rsidRPr="00D949C5">
        <w:rPr>
          <w:lang w:val="fr-CA"/>
        </w:rPr>
        <w:t xml:space="preserve"> </w:t>
      </w:r>
      <w:r w:rsidR="003F20B9" w:rsidRPr="00D949C5">
        <w:rPr>
          <w:lang w:val="fr-CA"/>
        </w:rPr>
        <w:t xml:space="preserve">Est-ce que ces campagnes tiennent compte </w:t>
      </w:r>
      <w:r w:rsidR="00D64E42" w:rsidRPr="00D949C5">
        <w:rPr>
          <w:lang w:val="fr-CA"/>
        </w:rPr>
        <w:t>des spécificités hommes-</w:t>
      </w:r>
      <w:proofErr w:type="gramStart"/>
      <w:r w:rsidR="00D64E42" w:rsidRPr="00D949C5">
        <w:rPr>
          <w:lang w:val="fr-CA"/>
        </w:rPr>
        <w:t>femmes</w:t>
      </w:r>
      <w:r w:rsidR="003F20B9" w:rsidRPr="00D949C5">
        <w:rPr>
          <w:lang w:val="fr-CA"/>
        </w:rPr>
        <w:t>?</w:t>
      </w:r>
      <w:proofErr w:type="gramEnd"/>
      <w:r w:rsidR="003F20B9" w:rsidRPr="00D949C5">
        <w:rPr>
          <w:lang w:val="fr-CA"/>
        </w:rPr>
        <w:t xml:space="preserve"> Les questions liées au Protocole de Montréal sont-elles mentionnées dans les médias (p. ex., journaux, télévision et médias sociaux</w:t>
      </w:r>
      <w:proofErr w:type="gramStart"/>
      <w:r w:rsidR="003F20B9" w:rsidRPr="00D949C5">
        <w:rPr>
          <w:lang w:val="fr-CA"/>
        </w:rPr>
        <w:t>)?</w:t>
      </w:r>
      <w:proofErr w:type="gramEnd"/>
    </w:p>
    <w:p w14:paraId="4FBCD7DA" w14:textId="7084A64F" w:rsidR="003F20B9" w:rsidRPr="00D949C5" w:rsidRDefault="003F20B9" w:rsidP="003F20B9">
      <w:pPr>
        <w:rPr>
          <w:lang w:val="fr-CA"/>
        </w:rPr>
      </w:pPr>
      <w:r w:rsidRPr="00D949C5">
        <w:rPr>
          <w:b/>
          <w:lang w:val="fr-CA"/>
        </w:rPr>
        <w:t>Organisation et résultats de l’évaluation</w:t>
      </w:r>
    </w:p>
    <w:p w14:paraId="2BED0FD9" w14:textId="77777777" w:rsidR="003F20B9" w:rsidRPr="00D949C5" w:rsidRDefault="003F20B9" w:rsidP="003F20B9">
      <w:pPr>
        <w:rPr>
          <w:lang w:val="fr-CA"/>
        </w:rPr>
      </w:pPr>
    </w:p>
    <w:p w14:paraId="72D136EA" w14:textId="12B31519" w:rsidR="003F20B9" w:rsidRPr="00D949C5" w:rsidRDefault="003F20B9" w:rsidP="000A5F3F">
      <w:pPr>
        <w:pStyle w:val="Heading1"/>
        <w:rPr>
          <w:lang w:val="fr-CA"/>
        </w:rPr>
      </w:pPr>
      <w:r w:rsidRPr="00D949C5">
        <w:rPr>
          <w:lang w:val="fr-CA"/>
        </w:rPr>
        <w:t xml:space="preserve">Un consultant sera recruté pour examiner la documentation existante, </w:t>
      </w:r>
      <w:r w:rsidR="0009086B">
        <w:rPr>
          <w:lang w:val="fr-CA"/>
        </w:rPr>
        <w:t>dont</w:t>
      </w:r>
      <w:r w:rsidRPr="00D949C5">
        <w:rPr>
          <w:lang w:val="fr-CA"/>
        </w:rPr>
        <w:t xml:space="preserve"> les propositions de projets, les rapports d’achèvement de projet, les rapports d’évaluation et les rapports des réunions du Comité exécutif et des Réunions des Parties</w:t>
      </w:r>
      <w:r w:rsidR="0009086B">
        <w:rPr>
          <w:lang w:val="fr-CA"/>
        </w:rPr>
        <w:t>,</w:t>
      </w:r>
      <w:r w:rsidRPr="00D949C5">
        <w:rPr>
          <w:lang w:val="fr-CA"/>
        </w:rPr>
        <w:t xml:space="preserve"> et rédi</w:t>
      </w:r>
      <w:r w:rsidR="0009086B">
        <w:rPr>
          <w:lang w:val="fr-CA"/>
        </w:rPr>
        <w:t>ger le projet d’étude théorique qui sera partagé</w:t>
      </w:r>
      <w:r w:rsidR="00716AE6" w:rsidRPr="00D949C5">
        <w:rPr>
          <w:lang w:val="fr-CA"/>
        </w:rPr>
        <w:t xml:space="preserve"> avec le Secrétariat et les agences bilatérales et d’exécution pour commentaires, et présenté à la 84</w:t>
      </w:r>
      <w:r w:rsidR="00716AE6" w:rsidRPr="00D949C5">
        <w:rPr>
          <w:vertAlign w:val="superscript"/>
          <w:lang w:val="fr-CA"/>
        </w:rPr>
        <w:t>e</w:t>
      </w:r>
      <w:r w:rsidR="00716AE6" w:rsidRPr="00D949C5">
        <w:rPr>
          <w:lang w:val="fr-CA"/>
        </w:rPr>
        <w:t xml:space="preserve"> réunion du Comité exécutif.</w:t>
      </w:r>
    </w:p>
    <w:p w14:paraId="56840591" w14:textId="391E0955" w:rsidR="00716AE6" w:rsidRPr="00D949C5" w:rsidRDefault="00716AE6" w:rsidP="00716AE6">
      <w:pPr>
        <w:rPr>
          <w:lang w:val="fr-CA"/>
        </w:rPr>
      </w:pPr>
      <w:r w:rsidRPr="00D949C5">
        <w:rPr>
          <w:b/>
          <w:lang w:val="fr-CA"/>
        </w:rPr>
        <w:t>Recommandation</w:t>
      </w:r>
    </w:p>
    <w:p w14:paraId="5058D86C" w14:textId="77777777" w:rsidR="00716AE6" w:rsidRPr="00D949C5" w:rsidRDefault="00716AE6" w:rsidP="00716AE6">
      <w:pPr>
        <w:rPr>
          <w:lang w:val="fr-CA"/>
        </w:rPr>
      </w:pPr>
    </w:p>
    <w:p w14:paraId="7B737934" w14:textId="02033145" w:rsidR="00716AE6" w:rsidRPr="00D949C5" w:rsidRDefault="00716AE6" w:rsidP="00716AE6">
      <w:pPr>
        <w:pStyle w:val="Heading1"/>
        <w:rPr>
          <w:lang w:val="fr-CA"/>
        </w:rPr>
      </w:pPr>
      <w:r w:rsidRPr="00D949C5">
        <w:rPr>
          <w:lang w:val="fr-CA"/>
        </w:rPr>
        <w:t xml:space="preserve">Le Comité exécutif pourrait souhaiter approuver le mandat de l’Étude théorique sur l’évaluation de la </w:t>
      </w:r>
      <w:r w:rsidR="0009086B">
        <w:rPr>
          <w:lang w:val="fr-CA"/>
        </w:rPr>
        <w:t>pérennité</w:t>
      </w:r>
      <w:r w:rsidRPr="00D949C5">
        <w:rPr>
          <w:lang w:val="fr-CA"/>
        </w:rPr>
        <w:t xml:space="preserve"> des réalisations du Protocole de Montréal, contenu dans le document UNEP/OzL.Pro/ExCom/83/9</w:t>
      </w:r>
      <w:r w:rsidR="0009086B">
        <w:rPr>
          <w:lang w:val="fr-CA"/>
        </w:rPr>
        <w:t>/Rev.1</w:t>
      </w:r>
      <w:r w:rsidRPr="00D949C5">
        <w:rPr>
          <w:lang w:val="fr-CA"/>
        </w:rPr>
        <w:t>.</w:t>
      </w:r>
    </w:p>
    <w:sectPr w:rsidR="00716AE6" w:rsidRPr="00D949C5" w:rsidSect="00A601B5">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8BDB" w14:textId="77777777" w:rsidR="00DE54FD" w:rsidRDefault="00DE54FD">
      <w:r>
        <w:separator/>
      </w:r>
    </w:p>
  </w:endnote>
  <w:endnote w:type="continuationSeparator" w:id="0">
    <w:p w14:paraId="620805B4" w14:textId="77777777" w:rsidR="00DE54FD" w:rsidRDefault="00DE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ACB0" w14:textId="4D3A3351" w:rsidR="00EF540D" w:rsidRDefault="00EF540D" w:rsidP="00761DD6">
    <w:pPr>
      <w:jc w:val="center"/>
    </w:pPr>
    <w:r>
      <w:fldChar w:fldCharType="begin"/>
    </w:r>
    <w:r>
      <w:instrText xml:space="preserve"> PAGE   \* MERGEFORMAT </w:instrText>
    </w:r>
    <w:r>
      <w:fldChar w:fldCharType="separate"/>
    </w:r>
    <w:r w:rsidR="002E2D7D">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60855"/>
      <w:docPartObj>
        <w:docPartGallery w:val="Page Numbers (Bottom of Page)"/>
        <w:docPartUnique/>
      </w:docPartObj>
    </w:sdtPr>
    <w:sdtEndPr>
      <w:rPr>
        <w:noProof/>
      </w:rPr>
    </w:sdtEndPr>
    <w:sdtContent>
      <w:p w14:paraId="21CCB208" w14:textId="44D05C74" w:rsidR="00EF540D" w:rsidRDefault="00EF540D" w:rsidP="00420455">
        <w:pPr>
          <w:pStyle w:val="Footer"/>
          <w:jc w:val="center"/>
        </w:pPr>
        <w:r>
          <w:fldChar w:fldCharType="begin"/>
        </w:r>
        <w:r>
          <w:instrText xml:space="preserve"> PAGE   \* MERGEFORMAT </w:instrText>
        </w:r>
        <w:r>
          <w:fldChar w:fldCharType="separate"/>
        </w:r>
        <w:r w:rsidR="002E2D7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75D35846" w14:textId="0B15A320" w:rsidR="00EF540D" w:rsidRDefault="00EF540D">
        <w:pPr>
          <w:pStyle w:val="Footer"/>
          <w:jc w:val="center"/>
        </w:pPr>
        <w:r>
          <w:t>1</w:t>
        </w:r>
      </w:p>
    </w:sdtContent>
  </w:sdt>
  <w:p w14:paraId="47EE5F14" w14:textId="77777777" w:rsidR="00EF540D" w:rsidRDefault="00EF540D">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36B8" w14:textId="77777777" w:rsidR="00DE54FD" w:rsidRDefault="00DE54FD">
      <w:r>
        <w:separator/>
      </w:r>
    </w:p>
  </w:footnote>
  <w:footnote w:type="continuationSeparator" w:id="0">
    <w:p w14:paraId="2E0EEB70" w14:textId="77777777" w:rsidR="00DE54FD" w:rsidRDefault="00DE54FD">
      <w:r>
        <w:continuationSeparator/>
      </w:r>
    </w:p>
  </w:footnote>
  <w:footnote w:id="1">
    <w:p w14:paraId="12149E84" w14:textId="77777777" w:rsidR="00EF540D" w:rsidRPr="00531843" w:rsidRDefault="00EF540D">
      <w:pPr>
        <w:pStyle w:val="FootnoteText"/>
        <w:rPr>
          <w:sz w:val="20"/>
          <w:szCs w:val="20"/>
          <w:lang w:val="en-CA"/>
        </w:rPr>
      </w:pPr>
      <w:r w:rsidRPr="00C30BA4">
        <w:rPr>
          <w:rStyle w:val="FootnoteReference"/>
          <w:sz w:val="20"/>
          <w:szCs w:val="20"/>
        </w:rPr>
        <w:footnoteRef/>
      </w:r>
      <w:r w:rsidRPr="00C30BA4">
        <w:rPr>
          <w:sz w:val="20"/>
          <w:szCs w:val="20"/>
        </w:rPr>
        <w:t xml:space="preserve"> </w:t>
      </w:r>
      <w:r w:rsidRPr="00531843">
        <w:rPr>
          <w:sz w:val="20"/>
          <w:szCs w:val="20"/>
          <w:lang w:val="en-CA"/>
        </w:rPr>
        <w:t>UNEP/OzL.Pro./ExCom/82/13/Rev.1</w:t>
      </w:r>
    </w:p>
  </w:footnote>
  <w:footnote w:id="2">
    <w:p w14:paraId="3C11EC4B" w14:textId="3E55FF10" w:rsidR="00EF540D" w:rsidRDefault="00EF540D">
      <w:pPr>
        <w:pStyle w:val="FootnoteText"/>
        <w:rPr>
          <w:sz w:val="20"/>
          <w:szCs w:val="20"/>
          <w:lang w:val="fr-FR"/>
        </w:rPr>
      </w:pPr>
      <w:r w:rsidRPr="00C30BA4">
        <w:rPr>
          <w:rStyle w:val="FootnoteReference"/>
          <w:sz w:val="20"/>
          <w:szCs w:val="20"/>
        </w:rPr>
        <w:footnoteRef/>
      </w:r>
      <w:r w:rsidRPr="00C30BA4">
        <w:rPr>
          <w:sz w:val="20"/>
          <w:szCs w:val="20"/>
          <w:lang w:val="fr-FR"/>
        </w:rPr>
        <w:t xml:space="preserve"> L’étude théorique sur l’évaluation des projets de démonstration </w:t>
      </w:r>
      <w:r w:rsidR="00CC3C60">
        <w:rPr>
          <w:sz w:val="20"/>
          <w:szCs w:val="20"/>
          <w:lang w:val="fr-FR"/>
        </w:rPr>
        <w:t xml:space="preserve">pilotes </w:t>
      </w:r>
      <w:r w:rsidRPr="00C30BA4">
        <w:rPr>
          <w:sz w:val="20"/>
          <w:szCs w:val="20"/>
          <w:lang w:val="fr-FR"/>
        </w:rPr>
        <w:t>sur l’élimination définitive et la destruction des SAO a été présentée à la 75</w:t>
      </w:r>
      <w:r w:rsidRPr="00C30BA4">
        <w:rPr>
          <w:sz w:val="20"/>
          <w:szCs w:val="20"/>
          <w:vertAlign w:val="superscript"/>
          <w:lang w:val="fr-FR"/>
        </w:rPr>
        <w:t>e</w:t>
      </w:r>
      <w:r w:rsidRPr="00C30BA4">
        <w:rPr>
          <w:sz w:val="20"/>
          <w:szCs w:val="20"/>
          <w:lang w:val="fr-FR"/>
        </w:rPr>
        <w:t xml:space="preserve"> réunion et le mandat de la deuxième phase a été approuvé comme élément du Projet de programme de travail de suivi et d’évaluation pour l’année 2019 (UNEP/OzL.Pro/ExCom/82/13/Rev.1).</w:t>
      </w:r>
    </w:p>
    <w:p w14:paraId="2D57D304" w14:textId="77777777" w:rsidR="00EF540D" w:rsidRPr="00C30BA4" w:rsidRDefault="00EF540D">
      <w:pPr>
        <w:pStyle w:val="FootnoteText"/>
        <w:rPr>
          <w:sz w:val="20"/>
          <w:szCs w:val="20"/>
          <w:lang w:val="fr-FR"/>
        </w:rPr>
      </w:pPr>
    </w:p>
    <w:p w14:paraId="42BE9989" w14:textId="77777777" w:rsidR="00EF540D" w:rsidRPr="001C38EC" w:rsidRDefault="00EF540D">
      <w:pPr>
        <w:pStyle w:val="FootnoteText"/>
        <w:rPr>
          <w:sz w:val="18"/>
          <w:szCs w:val="18"/>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8FC5" w14:textId="77777777" w:rsidR="00EF540D" w:rsidRDefault="00DE54FD">
    <w:r>
      <w:fldChar w:fldCharType="begin"/>
    </w:r>
    <w:r>
      <w:instrText xml:space="preserve"> DOCPROPERTY "Document number"  \* MERGEFORMAT </w:instrText>
    </w:r>
    <w:r>
      <w:fldChar w:fldCharType="separate"/>
    </w:r>
    <w:r w:rsidR="00281309">
      <w:t>UNEP/</w:t>
    </w:r>
    <w:proofErr w:type="spellStart"/>
    <w:r w:rsidR="00281309">
      <w:t>OzL.Pro</w:t>
    </w:r>
    <w:proofErr w:type="spellEnd"/>
    <w:r w:rsidR="00281309">
      <w:t>/</w:t>
    </w:r>
    <w:proofErr w:type="spellStart"/>
    <w:r w:rsidR="00281309">
      <w:t>ExCom</w:t>
    </w:r>
    <w:proofErr w:type="spellEnd"/>
    <w:r w:rsidR="00281309">
      <w:t>/83/9/Rev.1</w:t>
    </w:r>
    <w:r>
      <w:fldChar w:fldCharType="end"/>
    </w:r>
  </w:p>
  <w:p w14:paraId="3EA0C171" w14:textId="77777777" w:rsidR="00EF540D" w:rsidRDefault="00EF540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8B03" w14:textId="77777777" w:rsidR="00A601B5" w:rsidRDefault="00A601B5" w:rsidP="00A601B5">
    <w:pPr>
      <w:ind w:left="5040" w:firstLine="720"/>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/83/9/Rev.1</w:t>
    </w:r>
    <w:r>
      <w:fldChar w:fldCharType="end"/>
    </w:r>
  </w:p>
  <w:p w14:paraId="481E1CCD" w14:textId="05D241DE" w:rsidR="00EF540D" w:rsidRDefault="00281309" w:rsidP="00281309">
    <w:pPr>
      <w:tabs>
        <w:tab w:val="right" w:pos="9270"/>
      </w:tabs>
      <w:ind w:left="5760"/>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6A40" w14:textId="77777777" w:rsidR="00EF540D" w:rsidRDefault="00EF540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28C7A85"/>
    <w:multiLevelType w:val="hybridMultilevel"/>
    <w:tmpl w:val="EFE2560E"/>
    <w:lvl w:ilvl="0" w:tplc="C08EAE7A">
      <w:start w:val="1"/>
      <w:numFmt w:val="decimal"/>
      <w:lvlText w:val="%1."/>
      <w:lvlJc w:val="left"/>
      <w:pPr>
        <w:ind w:left="72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AA0314F"/>
    <w:multiLevelType w:val="hybridMultilevel"/>
    <w:tmpl w:val="8E2A8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9"/>
  </w:num>
  <w:num w:numId="20">
    <w:abstractNumId w:val="14"/>
  </w:num>
  <w:num w:numId="21">
    <w:abstractNumId w:val="11"/>
  </w:num>
  <w:num w:numId="22">
    <w:abstractNumId w:val="12"/>
  </w:num>
  <w:num w:numId="23">
    <w:abstractNumId w:val="18"/>
  </w:num>
  <w:num w:numId="24">
    <w:abstractNumId w:val="17"/>
  </w:num>
  <w:num w:numId="25">
    <w:abstractNumId w:val="10"/>
    <w:lvlOverride w:ilvl="0">
      <w:startOverride w:val="1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B3"/>
    <w:rsid w:val="000105E1"/>
    <w:rsid w:val="00012822"/>
    <w:rsid w:val="0003776F"/>
    <w:rsid w:val="00076D7C"/>
    <w:rsid w:val="00081B5C"/>
    <w:rsid w:val="0009086B"/>
    <w:rsid w:val="000A5F3F"/>
    <w:rsid w:val="000E3874"/>
    <w:rsid w:val="000F439D"/>
    <w:rsid w:val="00105FA1"/>
    <w:rsid w:val="0011055D"/>
    <w:rsid w:val="001437AD"/>
    <w:rsid w:val="00171E98"/>
    <w:rsid w:val="00186DF0"/>
    <w:rsid w:val="00191C19"/>
    <w:rsid w:val="001B0D86"/>
    <w:rsid w:val="001B1973"/>
    <w:rsid w:val="001C38EC"/>
    <w:rsid w:val="001C3D0C"/>
    <w:rsid w:val="001D4CE7"/>
    <w:rsid w:val="00206FD3"/>
    <w:rsid w:val="0020721F"/>
    <w:rsid w:val="00253461"/>
    <w:rsid w:val="00255DF3"/>
    <w:rsid w:val="00263F9B"/>
    <w:rsid w:val="00265AF0"/>
    <w:rsid w:val="00281309"/>
    <w:rsid w:val="002D41FF"/>
    <w:rsid w:val="002E2D7D"/>
    <w:rsid w:val="002E354E"/>
    <w:rsid w:val="002E47C5"/>
    <w:rsid w:val="002F0B57"/>
    <w:rsid w:val="00305984"/>
    <w:rsid w:val="00315598"/>
    <w:rsid w:val="00340376"/>
    <w:rsid w:val="003425EC"/>
    <w:rsid w:val="0035252D"/>
    <w:rsid w:val="00361250"/>
    <w:rsid w:val="0038618E"/>
    <w:rsid w:val="003D58A7"/>
    <w:rsid w:val="003F00BA"/>
    <w:rsid w:val="003F20B9"/>
    <w:rsid w:val="00400C1B"/>
    <w:rsid w:val="0040447B"/>
    <w:rsid w:val="00420455"/>
    <w:rsid w:val="00431011"/>
    <w:rsid w:val="00441083"/>
    <w:rsid w:val="0047227E"/>
    <w:rsid w:val="00480D1A"/>
    <w:rsid w:val="00490ECE"/>
    <w:rsid w:val="00496265"/>
    <w:rsid w:val="004B0492"/>
    <w:rsid w:val="004B064A"/>
    <w:rsid w:val="004C2C87"/>
    <w:rsid w:val="004D5046"/>
    <w:rsid w:val="004E0F55"/>
    <w:rsid w:val="004E3A36"/>
    <w:rsid w:val="0052654C"/>
    <w:rsid w:val="00531843"/>
    <w:rsid w:val="00534416"/>
    <w:rsid w:val="00534981"/>
    <w:rsid w:val="00561CFA"/>
    <w:rsid w:val="00575959"/>
    <w:rsid w:val="005B7CB6"/>
    <w:rsid w:val="005E33F8"/>
    <w:rsid w:val="00605093"/>
    <w:rsid w:val="00640EEA"/>
    <w:rsid w:val="00644D1F"/>
    <w:rsid w:val="00675765"/>
    <w:rsid w:val="00695F38"/>
    <w:rsid w:val="006A17B1"/>
    <w:rsid w:val="006B7EE1"/>
    <w:rsid w:val="007034FA"/>
    <w:rsid w:val="00716AE6"/>
    <w:rsid w:val="00742872"/>
    <w:rsid w:val="0075750B"/>
    <w:rsid w:val="00761DD6"/>
    <w:rsid w:val="007C1F32"/>
    <w:rsid w:val="007D20F2"/>
    <w:rsid w:val="008C00A5"/>
    <w:rsid w:val="008C43DA"/>
    <w:rsid w:val="008C6E05"/>
    <w:rsid w:val="008E7F2B"/>
    <w:rsid w:val="00902DFC"/>
    <w:rsid w:val="0091161A"/>
    <w:rsid w:val="00915218"/>
    <w:rsid w:val="0092413B"/>
    <w:rsid w:val="009352AF"/>
    <w:rsid w:val="009534EB"/>
    <w:rsid w:val="009A1F6F"/>
    <w:rsid w:val="009A5180"/>
    <w:rsid w:val="009C5EB4"/>
    <w:rsid w:val="009D2720"/>
    <w:rsid w:val="009D5C03"/>
    <w:rsid w:val="00A601B5"/>
    <w:rsid w:val="00A83A2A"/>
    <w:rsid w:val="00A844BE"/>
    <w:rsid w:val="00A92082"/>
    <w:rsid w:val="00AC5725"/>
    <w:rsid w:val="00AC73B0"/>
    <w:rsid w:val="00AE63D8"/>
    <w:rsid w:val="00B22FC8"/>
    <w:rsid w:val="00B56011"/>
    <w:rsid w:val="00B811F2"/>
    <w:rsid w:val="00BA50BD"/>
    <w:rsid w:val="00BC04DB"/>
    <w:rsid w:val="00BC183A"/>
    <w:rsid w:val="00BC3C7D"/>
    <w:rsid w:val="00BC4B6A"/>
    <w:rsid w:val="00C30BA4"/>
    <w:rsid w:val="00C6443E"/>
    <w:rsid w:val="00C71E65"/>
    <w:rsid w:val="00C972ED"/>
    <w:rsid w:val="00CA59A8"/>
    <w:rsid w:val="00CB0C90"/>
    <w:rsid w:val="00CC3C60"/>
    <w:rsid w:val="00CD6EAF"/>
    <w:rsid w:val="00CE785D"/>
    <w:rsid w:val="00CF0006"/>
    <w:rsid w:val="00CF4BDA"/>
    <w:rsid w:val="00D042EC"/>
    <w:rsid w:val="00D04EE1"/>
    <w:rsid w:val="00D10A0C"/>
    <w:rsid w:val="00D11B4A"/>
    <w:rsid w:val="00D445E4"/>
    <w:rsid w:val="00D64E42"/>
    <w:rsid w:val="00D83033"/>
    <w:rsid w:val="00D85D9B"/>
    <w:rsid w:val="00D949C5"/>
    <w:rsid w:val="00DA71BD"/>
    <w:rsid w:val="00DE1CEF"/>
    <w:rsid w:val="00DE54FD"/>
    <w:rsid w:val="00DF0ED9"/>
    <w:rsid w:val="00E16903"/>
    <w:rsid w:val="00E273B3"/>
    <w:rsid w:val="00E54871"/>
    <w:rsid w:val="00E564C6"/>
    <w:rsid w:val="00E60D9C"/>
    <w:rsid w:val="00E6240B"/>
    <w:rsid w:val="00E75526"/>
    <w:rsid w:val="00EC7140"/>
    <w:rsid w:val="00EF40EA"/>
    <w:rsid w:val="00EF540D"/>
    <w:rsid w:val="00EF6385"/>
    <w:rsid w:val="00F202B3"/>
    <w:rsid w:val="00F25E52"/>
    <w:rsid w:val="00F37A42"/>
    <w:rsid w:val="00F44D30"/>
    <w:rsid w:val="00F557F5"/>
    <w:rsid w:val="00F643BF"/>
    <w:rsid w:val="00F74A42"/>
    <w:rsid w:val="00FB05A1"/>
    <w:rsid w:val="00FC5578"/>
    <w:rsid w:val="00FD22FE"/>
    <w:rsid w:val="00FD5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880026"/>
  <w15:docId w15:val="{245EFECA-B03A-4C8A-8FBB-9546727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6F"/>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unhideWhenUsed/>
    <w:rsid w:val="00171E98"/>
    <w:rPr>
      <w:sz w:val="24"/>
      <w:szCs w:val="24"/>
    </w:rPr>
  </w:style>
  <w:style w:type="character" w:customStyle="1" w:styleId="FootnoteTextChar">
    <w:name w:val="Footnote Text Char"/>
    <w:basedOn w:val="DefaultParagraphFont"/>
    <w:link w:val="FootnoteText"/>
    <w:uiPriority w:val="99"/>
    <w:rsid w:val="00171E98"/>
    <w:rPr>
      <w:sz w:val="24"/>
      <w:szCs w:val="24"/>
      <w:lang w:val="en-GB"/>
    </w:rPr>
  </w:style>
  <w:style w:type="character" w:styleId="FootnoteReference">
    <w:name w:val="footnote reference"/>
    <w:basedOn w:val="DefaultParagraphFont"/>
    <w:uiPriority w:val="99"/>
    <w:unhideWhenUsed/>
    <w:rsid w:val="00171E98"/>
    <w:rPr>
      <w:vertAlign w:val="superscript"/>
    </w:rPr>
  </w:style>
  <w:style w:type="paragraph" w:styleId="ListParagraph">
    <w:name w:val="List Paragraph"/>
    <w:basedOn w:val="Normal"/>
    <w:uiPriority w:val="34"/>
    <w:qFormat/>
    <w:rsid w:val="009D5C03"/>
    <w:pPr>
      <w:ind w:left="720"/>
      <w:contextualSpacing/>
    </w:pPr>
  </w:style>
  <w:style w:type="character" w:styleId="Hyperlink">
    <w:name w:val="Hyperlink"/>
    <w:basedOn w:val="DefaultParagraphFont"/>
    <w:uiPriority w:val="99"/>
    <w:unhideWhenUsed/>
    <w:rsid w:val="003425EC"/>
    <w:rPr>
      <w:color w:val="0000FF" w:themeColor="hyperlink"/>
      <w:u w:val="single"/>
    </w:rPr>
  </w:style>
  <w:style w:type="table" w:customStyle="1" w:styleId="TableGrid20">
    <w:name w:val="Table Grid2"/>
    <w:basedOn w:val="TableNormal"/>
    <w:next w:val="TableGrid"/>
    <w:uiPriority w:val="39"/>
    <w:rsid w:val="00361250"/>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1250"/>
    <w:pPr>
      <w:spacing w:before="100" w:beforeAutospacing="1" w:after="100" w:afterAutospacing="1"/>
      <w:jc w:val="left"/>
    </w:pPr>
    <w:rPr>
      <w:sz w:val="24"/>
      <w:szCs w:val="24"/>
      <w:lang w:val="en-CA" w:eastAsia="en-CA"/>
    </w:rPr>
  </w:style>
  <w:style w:type="character" w:customStyle="1" w:styleId="HeaderChar">
    <w:name w:val="Header Char"/>
    <w:basedOn w:val="DefaultParagraphFont"/>
    <w:link w:val="Header"/>
    <w:uiPriority w:val="99"/>
    <w:rsid w:val="00D11B4A"/>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6A17B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In-session</DocumentType>
    <Document_x0020_Number xmlns="8662b4aa-cf42-4f00-a3f0-9d3b4acad230">UNEP/OzL.Pro/ExCom/83/9/Rev.1</Document_x0020_Number>
  </documentManagement>
</p:properties>
</file>

<file path=customXml/itemProps1.xml><?xml version="1.0" encoding="utf-8"?>
<ds:datastoreItem xmlns:ds="http://schemas.openxmlformats.org/officeDocument/2006/customXml" ds:itemID="{6A8BB43D-DDF8-43FE-B3E4-0D8B6205C9B2}"/>
</file>

<file path=customXml/itemProps2.xml><?xml version="1.0" encoding="utf-8"?>
<ds:datastoreItem xmlns:ds="http://schemas.openxmlformats.org/officeDocument/2006/customXml" ds:itemID="{2A9B1A8B-3787-4184-94E9-820EBE70DC10}"/>
</file>

<file path=customXml/itemProps3.xml><?xml version="1.0" encoding="utf-8"?>
<ds:datastoreItem xmlns:ds="http://schemas.openxmlformats.org/officeDocument/2006/customXml" ds:itemID="{915FAD15-1838-46BE-9F4A-F97F35A48292}"/>
</file>

<file path=customXml/itemProps4.xml><?xml version="1.0" encoding="utf-8"?>
<ds:datastoreItem xmlns:ds="http://schemas.openxmlformats.org/officeDocument/2006/customXml" ds:itemID="{D8B4414F-0B35-4F05-8DBA-0017EE528EFD}"/>
</file>

<file path=docProps/app.xml><?xml version="1.0" encoding="utf-8"?>
<Properties xmlns="http://schemas.openxmlformats.org/officeDocument/2006/extended-properties" xmlns:vt="http://schemas.openxmlformats.org/officeDocument/2006/docPropsVTypes">
  <Template>normal</Template>
  <TotalTime>509</TotalTime>
  <Pages>4</Pages>
  <Words>1693</Words>
  <Characters>9877</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Mandat de l’étude théorique sur l’évaluation de la pérennité des réalisations du Protocole de Montréal</vt:lpstr>
      <vt:lpstr>Mandat de l’étude théorique sur l’évaluation de la pérennité des réalisations du Protocole de Montréal</vt:lpstr>
    </vt:vector>
  </TitlesOfParts>
  <Company>UNMFS</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de l’étude théorique sur l’évaluation de la pérennité des réalisations du Protocole de Montréal</dc:title>
  <dc:creator>Microsoft Office User</dc:creator>
  <cp:lastModifiedBy>HBE</cp:lastModifiedBy>
  <cp:revision>9</cp:revision>
  <cp:lastPrinted>2019-06-27T14:45:00Z</cp:lastPrinted>
  <dcterms:created xsi:type="dcterms:W3CDTF">2019-06-26T17:09:00Z</dcterms:created>
  <dcterms:modified xsi:type="dcterms:W3CDTF">2019-08-14T15:47:00Z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UNEP/OzL.Pro/ExCom/83/9/Rev.1</vt:lpwstr>
  </property>
  <property fmtid="{D5CDD505-2E9C-101B-9397-08002B2CF9AE}" pid="3" name="Revision date">
    <vt:lpwstr>5/9/2019</vt:lpwstr>
  </property>
  <property fmtid="{D5CDD505-2E9C-101B-9397-08002B2CF9AE}" pid="4" name="ContentTypeId">
    <vt:lpwstr>0x01010021E4441DB9763A4B9F4793D394AD28DA</vt:lpwstr>
  </property>
</Properties>
</file>